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48" w:rsidRDefault="00017248" w:rsidP="00017248">
      <w:pPr>
        <w:spacing w:line="360" w:lineRule="auto"/>
        <w:jc w:val="center"/>
        <w:outlineLvl w:val="0"/>
        <w:rPr>
          <w:rFonts w:eastAsia="黑体"/>
          <w:b/>
          <w:bCs/>
          <w:sz w:val="32"/>
          <w:szCs w:val="32"/>
        </w:rPr>
      </w:pPr>
      <w:r>
        <w:rPr>
          <w:rFonts w:eastAsia="黑体" w:hint="eastAsia"/>
          <w:b/>
          <w:bCs/>
          <w:sz w:val="32"/>
          <w:szCs w:val="32"/>
        </w:rPr>
        <w:t>上海市林学会团体标准</w:t>
      </w:r>
    </w:p>
    <w:p w:rsidR="00017248" w:rsidRDefault="00017248" w:rsidP="00017248">
      <w:pPr>
        <w:spacing w:line="360" w:lineRule="auto"/>
        <w:jc w:val="center"/>
        <w:outlineLvl w:val="0"/>
        <w:rPr>
          <w:rFonts w:eastAsia="黑体"/>
          <w:b/>
          <w:bCs/>
          <w:sz w:val="32"/>
          <w:szCs w:val="32"/>
        </w:rPr>
      </w:pPr>
      <w:r>
        <w:rPr>
          <w:rFonts w:eastAsia="黑体" w:hint="eastAsia"/>
          <w:b/>
          <w:bCs/>
          <w:sz w:val="32"/>
          <w:szCs w:val="32"/>
        </w:rPr>
        <w:t>《西红花球茎中吲哚乙酸和吲哚丁酸的测定</w:t>
      </w:r>
      <w:r>
        <w:rPr>
          <w:rFonts w:eastAsia="黑体" w:hint="eastAsia"/>
          <w:b/>
          <w:bCs/>
          <w:sz w:val="32"/>
          <w:szCs w:val="32"/>
        </w:rPr>
        <w:t xml:space="preserve"> </w:t>
      </w:r>
      <w:r>
        <w:rPr>
          <w:rFonts w:eastAsia="黑体" w:hint="eastAsia"/>
          <w:b/>
          <w:bCs/>
          <w:sz w:val="32"/>
          <w:szCs w:val="32"/>
        </w:rPr>
        <w:t>液相色谱</w:t>
      </w:r>
      <w:r>
        <w:rPr>
          <w:rFonts w:eastAsia="黑体" w:hint="eastAsia"/>
          <w:b/>
          <w:bCs/>
          <w:sz w:val="32"/>
          <w:szCs w:val="32"/>
        </w:rPr>
        <w:t>-</w:t>
      </w:r>
      <w:r>
        <w:rPr>
          <w:rFonts w:eastAsia="黑体" w:hint="eastAsia"/>
          <w:b/>
          <w:bCs/>
          <w:sz w:val="32"/>
          <w:szCs w:val="32"/>
        </w:rPr>
        <w:t>串联质谱法》（征求意见稿）编制说明</w:t>
      </w:r>
    </w:p>
    <w:p w:rsidR="00017248" w:rsidRDefault="00017248" w:rsidP="00017248">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一、任务来源</w:t>
      </w:r>
    </w:p>
    <w:p w:rsidR="00017248" w:rsidRDefault="00017248" w:rsidP="00017248">
      <w:pPr>
        <w:widowControl/>
        <w:autoSpaceDE w:val="0"/>
        <w:autoSpaceDN w:val="0"/>
        <w:spacing w:line="360" w:lineRule="auto"/>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2</w:t>
      </w:r>
      <w:r>
        <w:rPr>
          <w:rFonts w:ascii="仿宋_GB2312" w:eastAsia="仿宋_GB2312" w:hAnsi="仿宋_GB2312"/>
          <w:kern w:val="0"/>
          <w:sz w:val="28"/>
          <w:szCs w:val="28"/>
        </w:rPr>
        <w:t>02</w:t>
      </w:r>
      <w:r w:rsidR="00FB1832">
        <w:rPr>
          <w:rFonts w:ascii="仿宋_GB2312" w:eastAsia="仿宋_GB2312" w:hAnsi="仿宋_GB2312" w:hint="eastAsia"/>
          <w:kern w:val="0"/>
          <w:sz w:val="28"/>
          <w:szCs w:val="28"/>
        </w:rPr>
        <w:t>4</w:t>
      </w:r>
      <w:r>
        <w:rPr>
          <w:rFonts w:ascii="仿宋_GB2312" w:eastAsia="仿宋_GB2312" w:hAnsi="仿宋_GB2312" w:hint="eastAsia"/>
          <w:kern w:val="0"/>
          <w:sz w:val="28"/>
          <w:szCs w:val="28"/>
        </w:rPr>
        <w:t>年</w:t>
      </w:r>
      <w:r w:rsidR="00FB1832">
        <w:rPr>
          <w:rFonts w:ascii="仿宋_GB2312" w:eastAsia="仿宋_GB2312" w:hAnsi="仿宋_GB2312" w:hint="eastAsia"/>
          <w:kern w:val="0"/>
          <w:sz w:val="28"/>
          <w:szCs w:val="28"/>
        </w:rPr>
        <w:t>9</w:t>
      </w:r>
      <w:r>
        <w:rPr>
          <w:rFonts w:ascii="仿宋_GB2312" w:eastAsia="仿宋_GB2312" w:hAnsi="仿宋_GB2312" w:hint="eastAsia"/>
          <w:kern w:val="0"/>
          <w:sz w:val="28"/>
          <w:szCs w:val="28"/>
        </w:rPr>
        <w:t>月，由上海市崇明食品药品检验所提出编制上海市林业团体标准《</w:t>
      </w:r>
      <w:r w:rsidRPr="00017248">
        <w:rPr>
          <w:rFonts w:ascii="仿宋_GB2312" w:eastAsia="仿宋_GB2312" w:hAnsi="仿宋_GB2312" w:hint="eastAsia"/>
          <w:kern w:val="0"/>
          <w:sz w:val="28"/>
          <w:szCs w:val="28"/>
        </w:rPr>
        <w:t>西红花球茎中吲哚乙酸和吲哚丁酸的测定 液相色谱-串联质谱法</w:t>
      </w:r>
      <w:r>
        <w:rPr>
          <w:rFonts w:ascii="仿宋_GB2312" w:eastAsia="仿宋_GB2312" w:hAnsi="仿宋_GB2312" w:hint="eastAsia"/>
          <w:kern w:val="0"/>
          <w:sz w:val="28"/>
          <w:szCs w:val="28"/>
        </w:rPr>
        <w:t>》的立项申请，上海市林学会根据《上海市林</w:t>
      </w:r>
      <w:r w:rsidR="00253082">
        <w:rPr>
          <w:rFonts w:ascii="仿宋_GB2312" w:eastAsia="仿宋_GB2312" w:hAnsi="仿宋_GB2312" w:hint="eastAsia"/>
          <w:kern w:val="0"/>
          <w:sz w:val="28"/>
          <w:szCs w:val="28"/>
        </w:rPr>
        <w:t>学会团体标准管理办法》的规定，经过公开征集和专家评审，同意立项。</w:t>
      </w:r>
      <w:r>
        <w:rPr>
          <w:rFonts w:ascii="仿宋_GB2312" w:eastAsia="仿宋_GB2312" w:hAnsi="仿宋_GB2312" w:hint="eastAsia"/>
          <w:kern w:val="0"/>
          <w:sz w:val="28"/>
          <w:szCs w:val="28"/>
        </w:rPr>
        <w:t>根据《关于下达 2025 年度第一批林业团体标准制修订项目计划的通知》（沪林会学字〔2025〕4 号）批文，本项目被列入2</w:t>
      </w:r>
      <w:r>
        <w:rPr>
          <w:rFonts w:ascii="仿宋_GB2312" w:eastAsia="仿宋_GB2312" w:hAnsi="仿宋_GB2312"/>
          <w:kern w:val="0"/>
          <w:sz w:val="28"/>
          <w:szCs w:val="28"/>
        </w:rPr>
        <w:t>02</w:t>
      </w:r>
      <w:r>
        <w:rPr>
          <w:rFonts w:ascii="仿宋_GB2312" w:eastAsia="仿宋_GB2312" w:hAnsi="仿宋_GB2312" w:hint="eastAsia"/>
          <w:kern w:val="0"/>
          <w:sz w:val="28"/>
          <w:szCs w:val="28"/>
        </w:rPr>
        <w:t>5年度第一批林业团体标准修订项目计划，以《</w:t>
      </w:r>
      <w:r w:rsidRPr="00017248">
        <w:rPr>
          <w:rFonts w:ascii="仿宋_GB2312" w:eastAsia="仿宋_GB2312" w:hAnsi="仿宋_GB2312" w:hint="eastAsia"/>
          <w:kern w:val="0"/>
          <w:sz w:val="28"/>
          <w:szCs w:val="28"/>
        </w:rPr>
        <w:t>西红花球茎中吲哚乙酸和吲哚丁酸的测定 液相色谱-串联质谱法</w:t>
      </w:r>
      <w:r>
        <w:rPr>
          <w:rFonts w:ascii="仿宋_GB2312" w:eastAsia="仿宋_GB2312" w:hAnsi="仿宋_GB2312" w:hint="eastAsia"/>
          <w:kern w:val="0"/>
          <w:sz w:val="28"/>
          <w:szCs w:val="28"/>
        </w:rPr>
        <w:t>》名称正式下达编制任务。上海市崇明食品药品检验所作为本文件的主要起草单位，负责对该标准进行制订。</w:t>
      </w:r>
    </w:p>
    <w:p w:rsidR="00C70E93" w:rsidRDefault="00C70E93" w:rsidP="00C70E93">
      <w:pPr>
        <w:spacing w:line="360" w:lineRule="auto"/>
        <w:ind w:firstLineChars="200" w:firstLine="420"/>
        <w:jc w:val="left"/>
        <w:outlineLvl w:val="0"/>
        <w:rPr>
          <w:rFonts w:ascii="黑体" w:eastAsia="黑体" w:hAnsi="黑体" w:cs="黑体"/>
          <w:sz w:val="24"/>
        </w:rPr>
      </w:pPr>
      <w:r>
        <w:rPr>
          <w:rFonts w:hint="eastAsia"/>
        </w:rPr>
        <w:t xml:space="preserve">    </w:t>
      </w:r>
      <w:r>
        <w:rPr>
          <w:rFonts w:ascii="黑体" w:eastAsia="黑体" w:hAnsi="黑体" w:cs="黑体" w:hint="eastAsia"/>
          <w:sz w:val="28"/>
          <w:szCs w:val="28"/>
        </w:rPr>
        <w:t>二、标准编制目的和意义</w:t>
      </w:r>
    </w:p>
    <w:p w:rsidR="00CF5C03" w:rsidRDefault="00C70E93" w:rsidP="00C70E93">
      <w:pPr>
        <w:ind w:firstLine="450"/>
        <w:rPr>
          <w:rFonts w:ascii="仿宋_GB2312" w:eastAsia="仿宋_GB2312" w:hAnsi="仿宋_GB2312"/>
          <w:kern w:val="0"/>
          <w:sz w:val="28"/>
          <w:szCs w:val="28"/>
        </w:rPr>
      </w:pPr>
      <w:r w:rsidRPr="00C70E93">
        <w:rPr>
          <w:rFonts w:ascii="仿宋_GB2312" w:eastAsia="仿宋_GB2312" w:hAnsi="仿宋_GB2312" w:hint="eastAsia"/>
          <w:kern w:val="0"/>
          <w:sz w:val="28"/>
          <w:szCs w:val="28"/>
        </w:rPr>
        <w:t xml:space="preserve">• </w:t>
      </w:r>
      <w:r>
        <w:rPr>
          <w:rFonts w:ascii="仿宋_GB2312" w:eastAsia="仿宋_GB2312" w:hAnsi="仿宋_GB2312" w:hint="eastAsia"/>
          <w:kern w:val="0"/>
          <w:sz w:val="28"/>
          <w:szCs w:val="28"/>
        </w:rPr>
        <w:t>通过建立规范的检测方法，旨在</w:t>
      </w:r>
      <w:r w:rsidR="00FF541F">
        <w:rPr>
          <w:rFonts w:ascii="仿宋_GB2312" w:eastAsia="仿宋_GB2312" w:hAnsi="仿宋_GB2312" w:hint="eastAsia"/>
          <w:kern w:val="0"/>
          <w:sz w:val="28"/>
          <w:szCs w:val="28"/>
        </w:rPr>
        <w:t>为西红花中生长素</w:t>
      </w:r>
      <w:r>
        <w:rPr>
          <w:rFonts w:ascii="仿宋_GB2312" w:eastAsia="仿宋_GB2312" w:hAnsi="仿宋_GB2312" w:hint="eastAsia"/>
          <w:kern w:val="0"/>
          <w:sz w:val="28"/>
          <w:szCs w:val="28"/>
        </w:rPr>
        <w:t>吲哚乙酸和吲哚丁酸</w:t>
      </w:r>
      <w:r w:rsidR="00253082">
        <w:rPr>
          <w:rFonts w:ascii="仿宋_GB2312" w:eastAsia="仿宋_GB2312" w:hAnsi="仿宋_GB2312" w:hint="eastAsia"/>
          <w:kern w:val="0"/>
          <w:sz w:val="28"/>
          <w:szCs w:val="28"/>
        </w:rPr>
        <w:t>含量</w:t>
      </w:r>
      <w:r w:rsidRPr="00C70E93">
        <w:rPr>
          <w:rFonts w:ascii="仿宋_GB2312" w:eastAsia="仿宋_GB2312" w:hAnsi="仿宋_GB2312" w:hint="eastAsia"/>
          <w:kern w:val="0"/>
          <w:sz w:val="28"/>
          <w:szCs w:val="28"/>
        </w:rPr>
        <w:t>的检测提供统一、规范的方法和流程，确保检测结果的准确性和可比性，使不同机构和企业的检测数据能够相互</w:t>
      </w:r>
      <w:r w:rsidR="00FF541F">
        <w:rPr>
          <w:rFonts w:ascii="仿宋_GB2312" w:eastAsia="仿宋_GB2312" w:hAnsi="仿宋_GB2312" w:hint="eastAsia"/>
          <w:kern w:val="0"/>
          <w:sz w:val="28"/>
          <w:szCs w:val="28"/>
        </w:rPr>
        <w:t>印证，为科研、生产和监管等提供可靠的数据支持。通过明确生长素</w:t>
      </w:r>
      <w:r w:rsidRPr="00C70E93">
        <w:rPr>
          <w:rFonts w:ascii="仿宋_GB2312" w:eastAsia="仿宋_GB2312" w:hAnsi="仿宋_GB2312" w:hint="eastAsia"/>
          <w:kern w:val="0"/>
          <w:sz w:val="28"/>
          <w:szCs w:val="28"/>
        </w:rPr>
        <w:t>的相关指标和标准，能够更好地控制西红花的质量，保证西红花产品的品质稳定，有助于筛选出品质优良的西红花品种，提高西红花产业的整体质量水平。</w:t>
      </w:r>
      <w:r>
        <w:rPr>
          <w:rFonts w:ascii="仿宋_GB2312" w:eastAsia="仿宋_GB2312" w:hAnsi="仿宋_GB2312" w:hint="eastAsia"/>
          <w:kern w:val="0"/>
          <w:sz w:val="28"/>
          <w:szCs w:val="28"/>
        </w:rPr>
        <w:t>并且可以</w:t>
      </w:r>
      <w:r w:rsidR="00FF541F">
        <w:rPr>
          <w:rFonts w:ascii="仿宋_GB2312" w:eastAsia="仿宋_GB2312" w:hAnsi="仿宋_GB2312" w:hint="eastAsia"/>
          <w:kern w:val="0"/>
          <w:sz w:val="28"/>
          <w:szCs w:val="28"/>
        </w:rPr>
        <w:t>帮助种植户和企业了解西红花生长过程中生长素</w:t>
      </w:r>
      <w:r w:rsidRPr="00C70E93">
        <w:rPr>
          <w:rFonts w:ascii="仿宋_GB2312" w:eastAsia="仿宋_GB2312" w:hAnsi="仿宋_GB2312" w:hint="eastAsia"/>
          <w:kern w:val="0"/>
          <w:sz w:val="28"/>
          <w:szCs w:val="28"/>
        </w:rPr>
        <w:t>的变化规律</w:t>
      </w:r>
      <w:r w:rsidR="00FF541F">
        <w:rPr>
          <w:rFonts w:ascii="仿宋_GB2312" w:eastAsia="仿宋_GB2312" w:hAnsi="仿宋_GB2312" w:hint="eastAsia"/>
          <w:kern w:val="0"/>
          <w:sz w:val="28"/>
          <w:szCs w:val="28"/>
        </w:rPr>
        <w:t>及合理使用生长素的量</w:t>
      </w:r>
      <w:r w:rsidRPr="00C70E93">
        <w:rPr>
          <w:rFonts w:ascii="仿宋_GB2312" w:eastAsia="仿宋_GB2312" w:hAnsi="仿宋_GB2312" w:hint="eastAsia"/>
          <w:kern w:val="0"/>
          <w:sz w:val="28"/>
          <w:szCs w:val="28"/>
        </w:rPr>
        <w:t>，依据标准合理调整种植、管理等生产措</w:t>
      </w:r>
      <w:r w:rsidRPr="00C70E93">
        <w:rPr>
          <w:rFonts w:ascii="仿宋_GB2312" w:eastAsia="仿宋_GB2312" w:hAnsi="仿宋_GB2312" w:hint="eastAsia"/>
          <w:kern w:val="0"/>
          <w:sz w:val="28"/>
          <w:szCs w:val="28"/>
        </w:rPr>
        <w:lastRenderedPageBreak/>
        <w:t>施，实现科学化、规范化生产，提高西红花的产量和质量。</w:t>
      </w:r>
    </w:p>
    <w:p w:rsidR="00C70E93" w:rsidRDefault="00C70E93" w:rsidP="00C70E93">
      <w:pPr>
        <w:ind w:firstLineChars="200" w:firstLine="560"/>
        <w:rPr>
          <w:rFonts w:ascii="仿宋_GB2312" w:eastAsia="仿宋_GB2312" w:hAnsi="仿宋_GB2312"/>
          <w:kern w:val="0"/>
          <w:sz w:val="28"/>
          <w:szCs w:val="28"/>
        </w:rPr>
      </w:pPr>
      <w:r w:rsidRPr="00C70E93">
        <w:rPr>
          <w:rFonts w:ascii="仿宋_GB2312" w:eastAsia="仿宋_GB2312" w:hAnsi="仿宋_GB2312" w:hint="eastAsia"/>
          <w:kern w:val="0"/>
          <w:sz w:val="28"/>
          <w:szCs w:val="28"/>
        </w:rPr>
        <w:t>标准的制定有助于</w:t>
      </w:r>
      <w:proofErr w:type="gramStart"/>
      <w:r w:rsidRPr="00C70E93">
        <w:rPr>
          <w:rFonts w:ascii="仿宋_GB2312" w:eastAsia="仿宋_GB2312" w:hAnsi="仿宋_GB2312" w:hint="eastAsia"/>
          <w:kern w:val="0"/>
          <w:sz w:val="28"/>
          <w:szCs w:val="28"/>
        </w:rPr>
        <w:t>崇明区</w:t>
      </w:r>
      <w:proofErr w:type="gramEnd"/>
      <w:r w:rsidRPr="00C70E93">
        <w:rPr>
          <w:rFonts w:ascii="仿宋_GB2312" w:eastAsia="仿宋_GB2312" w:hAnsi="仿宋_GB2312" w:hint="eastAsia"/>
          <w:kern w:val="0"/>
          <w:sz w:val="28"/>
          <w:szCs w:val="28"/>
        </w:rPr>
        <w:t>西红花产业形成统一的质量规范和品牌形象，增强市场认可度和竞争力，推动西红花及其相关产品走向更广阔的市场，促进产业升级和可持续发展。</w:t>
      </w:r>
      <w:r w:rsidR="004E39AE">
        <w:rPr>
          <w:rFonts w:ascii="仿宋_GB2312" w:eastAsia="仿宋_GB2312" w:hAnsi="仿宋_GB2312" w:hint="eastAsia"/>
          <w:kern w:val="0"/>
          <w:sz w:val="28"/>
          <w:szCs w:val="28"/>
        </w:rPr>
        <w:t>同时还</w:t>
      </w:r>
      <w:proofErr w:type="gramStart"/>
      <w:r w:rsidR="004E39AE">
        <w:rPr>
          <w:rFonts w:ascii="仿宋_GB2312" w:eastAsia="仿宋_GB2312" w:hAnsi="仿宋_GB2312" w:hint="eastAsia"/>
          <w:kern w:val="0"/>
          <w:sz w:val="28"/>
          <w:szCs w:val="28"/>
        </w:rPr>
        <w:t>能</w:t>
      </w:r>
      <w:r w:rsidRPr="00C70E93">
        <w:rPr>
          <w:rFonts w:ascii="仿宋_GB2312" w:eastAsia="仿宋_GB2312" w:hAnsi="仿宋_GB2312" w:hint="eastAsia"/>
          <w:kern w:val="0"/>
          <w:sz w:val="28"/>
          <w:szCs w:val="28"/>
        </w:rPr>
        <w:t>为西</w:t>
      </w:r>
      <w:proofErr w:type="gramEnd"/>
      <w:r w:rsidRPr="00C70E93">
        <w:rPr>
          <w:rFonts w:ascii="仿宋_GB2312" w:eastAsia="仿宋_GB2312" w:hAnsi="仿宋_GB2312" w:hint="eastAsia"/>
          <w:kern w:val="0"/>
          <w:sz w:val="28"/>
          <w:szCs w:val="28"/>
        </w:rPr>
        <w:t>红花内源性激素的研究提供了统一的标准和参考，便于科研人员之间的交流与合作，吸引更多的科研力量投入到西红花的研究中，推动西红花领域的科研创新，为产业发展提供更多的技术支持。</w:t>
      </w:r>
    </w:p>
    <w:p w:rsidR="00C70E93" w:rsidRDefault="00C70E93" w:rsidP="00C70E93">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三、编制过程</w:t>
      </w:r>
    </w:p>
    <w:p w:rsidR="00C70E93" w:rsidRPr="00C70E93" w:rsidRDefault="00C70E93" w:rsidP="00C70E93">
      <w:pPr>
        <w:widowControl/>
        <w:autoSpaceDE w:val="0"/>
        <w:autoSpaceDN w:val="0"/>
        <w:spacing w:line="360" w:lineRule="auto"/>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1、工作准备</w:t>
      </w:r>
    </w:p>
    <w:p w:rsidR="00C70E93" w:rsidRPr="00FF541F" w:rsidRDefault="00C70E93" w:rsidP="00C70E93">
      <w:pPr>
        <w:pStyle w:val="a5"/>
        <w:ind w:firstLine="560"/>
        <w:rPr>
          <w:rFonts w:ascii="仿宋_GB2312" w:eastAsia="仿宋_GB2312" w:hAnsi="仿宋_GB2312"/>
          <w:kern w:val="0"/>
          <w:sz w:val="28"/>
          <w:szCs w:val="28"/>
        </w:rPr>
      </w:pPr>
      <w:r w:rsidRPr="00FF541F">
        <w:rPr>
          <w:rFonts w:ascii="仿宋_GB2312" w:eastAsia="仿宋_GB2312" w:hAnsi="仿宋_GB2312" w:hint="eastAsia"/>
          <w:kern w:val="0"/>
          <w:sz w:val="28"/>
          <w:szCs w:val="28"/>
        </w:rPr>
        <w:t>由上海市崇明食品药品检验所牵头成立了标准起草组，进行项目策划、进度控制，首先是多方借</w:t>
      </w:r>
      <w:r w:rsidR="00FF541F" w:rsidRPr="00FF541F">
        <w:rPr>
          <w:rFonts w:ascii="仿宋_GB2312" w:eastAsia="仿宋_GB2312" w:hAnsi="仿宋_GB2312" w:hint="eastAsia"/>
          <w:kern w:val="0"/>
          <w:sz w:val="28"/>
          <w:szCs w:val="28"/>
        </w:rPr>
        <w:t>鉴其他标准编制的经验，查询西红花理化检测处理方式和植物生长素</w:t>
      </w:r>
      <w:r w:rsidRPr="00FF541F">
        <w:rPr>
          <w:rFonts w:ascii="仿宋_GB2312" w:eastAsia="仿宋_GB2312" w:hAnsi="仿宋_GB2312" w:hint="eastAsia"/>
          <w:kern w:val="0"/>
          <w:sz w:val="28"/>
          <w:szCs w:val="28"/>
        </w:rPr>
        <w:t>的检测方法等资料。并组织成员对</w:t>
      </w:r>
      <w:r w:rsidRPr="00FF541F">
        <w:rPr>
          <w:rFonts w:ascii="仿宋_GB2312" w:eastAsia="仿宋_GB2312" w:hAnsi="仿宋_GB2312"/>
          <w:kern w:val="0"/>
          <w:sz w:val="28"/>
          <w:szCs w:val="28"/>
        </w:rPr>
        <w:t xml:space="preserve">GB/T 1.1-2020 </w:t>
      </w:r>
      <w:r w:rsidRPr="00FF541F">
        <w:rPr>
          <w:rFonts w:ascii="仿宋_GB2312" w:eastAsia="仿宋_GB2312" w:hAnsi="仿宋_GB2312" w:hint="eastAsia"/>
          <w:kern w:val="0"/>
          <w:sz w:val="28"/>
          <w:szCs w:val="28"/>
        </w:rPr>
        <w:t>《</w:t>
      </w:r>
      <w:r w:rsidRPr="00FF541F">
        <w:rPr>
          <w:rFonts w:ascii="仿宋_GB2312" w:eastAsia="仿宋_GB2312" w:hAnsi="仿宋_GB2312"/>
          <w:kern w:val="0"/>
          <w:sz w:val="28"/>
          <w:szCs w:val="28"/>
        </w:rPr>
        <w:t>标准化工作导则  第1部分：标准化文件的结构和起草规则</w:t>
      </w:r>
      <w:r w:rsidR="00253082" w:rsidRPr="00FF541F">
        <w:rPr>
          <w:rFonts w:ascii="仿宋_GB2312" w:eastAsia="仿宋_GB2312" w:hAnsi="仿宋_GB2312" w:hint="eastAsia"/>
          <w:kern w:val="0"/>
          <w:sz w:val="28"/>
          <w:szCs w:val="28"/>
        </w:rPr>
        <w:t>》进行学习，根据</w:t>
      </w:r>
      <w:r w:rsidRPr="00FF541F">
        <w:rPr>
          <w:rFonts w:ascii="仿宋_GB2312" w:eastAsia="仿宋_GB2312" w:hAnsi="仿宋_GB2312" w:hint="eastAsia"/>
          <w:kern w:val="0"/>
          <w:sz w:val="28"/>
          <w:szCs w:val="28"/>
        </w:rPr>
        <w:t>要求编制新文件。</w:t>
      </w:r>
    </w:p>
    <w:p w:rsidR="00C70E93" w:rsidRDefault="004E39AE" w:rsidP="00C70E93">
      <w:pPr>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组织标准标定小组成员依据《崇明西红花调研</w:t>
      </w:r>
      <w:r w:rsidR="00C70E93">
        <w:rPr>
          <w:rFonts w:ascii="仿宋_GB2312" w:eastAsia="仿宋_GB2312" w:hAnsi="仿宋_GB2312" w:hint="eastAsia"/>
          <w:kern w:val="0"/>
          <w:sz w:val="28"/>
          <w:szCs w:val="28"/>
        </w:rPr>
        <w:t>》</w:t>
      </w:r>
      <w:r>
        <w:rPr>
          <w:rFonts w:ascii="仿宋_GB2312" w:eastAsia="仿宋_GB2312" w:hAnsi="仿宋_GB2312" w:hint="eastAsia"/>
          <w:kern w:val="0"/>
          <w:sz w:val="28"/>
          <w:szCs w:val="28"/>
        </w:rPr>
        <w:t>方案</w:t>
      </w:r>
      <w:r w:rsidR="00C70E93">
        <w:rPr>
          <w:rFonts w:ascii="仿宋_GB2312" w:eastAsia="仿宋_GB2312" w:hAnsi="仿宋_GB2312" w:hint="eastAsia"/>
          <w:kern w:val="0"/>
          <w:sz w:val="28"/>
          <w:szCs w:val="28"/>
        </w:rPr>
        <w:t>开展对西红花种植园区和企业的调研工作，</w:t>
      </w:r>
      <w:r w:rsidR="00017DA4">
        <w:rPr>
          <w:rFonts w:ascii="仿宋_GB2312" w:eastAsia="仿宋_GB2312" w:hAnsi="仿宋_GB2312" w:hint="eastAsia"/>
          <w:kern w:val="0"/>
          <w:sz w:val="28"/>
          <w:szCs w:val="28"/>
        </w:rPr>
        <w:t>从种植环境、生产管理到产品质量、产业发展各个环节，充分了解</w:t>
      </w:r>
      <w:r w:rsidR="00FF541F">
        <w:rPr>
          <w:rFonts w:ascii="仿宋_GB2312" w:eastAsia="仿宋_GB2312" w:hAnsi="仿宋_GB2312" w:hint="eastAsia"/>
          <w:kern w:val="0"/>
          <w:sz w:val="28"/>
          <w:szCs w:val="28"/>
        </w:rPr>
        <w:t>生长情况</w:t>
      </w:r>
      <w:bookmarkStart w:id="0" w:name="_GoBack"/>
      <w:bookmarkEnd w:id="0"/>
      <w:r w:rsidR="00017DA4" w:rsidRPr="00017DA4">
        <w:rPr>
          <w:rFonts w:ascii="仿宋_GB2312" w:eastAsia="仿宋_GB2312" w:hAnsi="仿宋_GB2312" w:hint="eastAsia"/>
          <w:kern w:val="0"/>
          <w:sz w:val="28"/>
          <w:szCs w:val="28"/>
        </w:rPr>
        <w:t>相关的信息，为后续制定科学合理的团体标准提供坚实的数据支撑和实践依据。</w:t>
      </w:r>
    </w:p>
    <w:p w:rsidR="00017DA4" w:rsidRPr="00046DA0" w:rsidRDefault="00017DA4" w:rsidP="00EC29F3">
      <w:pPr>
        <w:widowControl/>
        <w:jc w:val="left"/>
        <w:rPr>
          <w:rFonts w:ascii="仿宋_GB2312" w:eastAsia="仿宋_GB2312" w:hAnsi="仿宋_GB2312"/>
          <w:color w:val="FF0000"/>
          <w:kern w:val="0"/>
          <w:sz w:val="28"/>
          <w:szCs w:val="28"/>
        </w:rPr>
      </w:pPr>
      <w:r>
        <w:rPr>
          <w:rFonts w:ascii="仿宋_GB2312" w:eastAsia="仿宋_GB2312" w:hAnsi="仿宋_GB2312" w:hint="eastAsia"/>
          <w:kern w:val="0"/>
          <w:sz w:val="28"/>
          <w:szCs w:val="28"/>
        </w:rPr>
        <w:t>本编订小组先后</w:t>
      </w:r>
      <w:r w:rsidRPr="00EC29F3">
        <w:rPr>
          <w:rFonts w:ascii="仿宋_GB2312" w:eastAsia="仿宋_GB2312" w:hAnsi="仿宋_GB2312" w:hint="eastAsia"/>
          <w:kern w:val="0"/>
          <w:sz w:val="28"/>
          <w:szCs w:val="28"/>
        </w:rPr>
        <w:t>开展了</w:t>
      </w:r>
      <w:r w:rsidR="001F6B3B" w:rsidRPr="00EC29F3">
        <w:rPr>
          <w:rFonts w:ascii="仿宋_GB2312" w:eastAsia="仿宋_GB2312" w:hAnsi="仿宋_GB2312" w:hint="eastAsia"/>
          <w:kern w:val="0"/>
          <w:sz w:val="28"/>
          <w:szCs w:val="28"/>
        </w:rPr>
        <w:t>上海市药材公司西红花种植基地、</w:t>
      </w:r>
      <w:bookmarkStart w:id="1" w:name="OLE_LINK1"/>
      <w:bookmarkStart w:id="2" w:name="OLE_LINK2"/>
      <w:r w:rsidR="001F6B3B" w:rsidRPr="00EC29F3">
        <w:rPr>
          <w:rFonts w:ascii="仿宋_GB2312" w:eastAsia="仿宋_GB2312" w:hAnsi="仿宋_GB2312" w:hint="eastAsia"/>
          <w:kern w:val="0"/>
          <w:sz w:val="28"/>
          <w:szCs w:val="28"/>
        </w:rPr>
        <w:t>上海卓睿西红花种植专业合作社、上海</w:t>
      </w:r>
      <w:proofErr w:type="gramStart"/>
      <w:r w:rsidR="001F6B3B" w:rsidRPr="00EC29F3">
        <w:rPr>
          <w:rFonts w:ascii="仿宋_GB2312" w:eastAsia="仿宋_GB2312" w:hAnsi="仿宋_GB2312" w:hint="eastAsia"/>
          <w:kern w:val="0"/>
          <w:sz w:val="28"/>
          <w:szCs w:val="28"/>
        </w:rPr>
        <w:t>姿蔓西红花</w:t>
      </w:r>
      <w:proofErr w:type="gramEnd"/>
      <w:r w:rsidR="001F6B3B" w:rsidRPr="00EC29F3">
        <w:rPr>
          <w:rFonts w:ascii="仿宋_GB2312" w:eastAsia="仿宋_GB2312" w:hAnsi="仿宋_GB2312" w:hint="eastAsia"/>
          <w:kern w:val="0"/>
          <w:sz w:val="28"/>
          <w:szCs w:val="28"/>
        </w:rPr>
        <w:t>种植专业合作社</w:t>
      </w:r>
      <w:bookmarkEnd w:id="1"/>
      <w:bookmarkEnd w:id="2"/>
      <w:r w:rsidR="00EC29F3" w:rsidRPr="00EC29F3">
        <w:rPr>
          <w:rFonts w:ascii="仿宋_GB2312" w:eastAsia="仿宋_GB2312" w:hAnsi="仿宋_GB2312" w:hint="eastAsia"/>
          <w:kern w:val="0"/>
          <w:sz w:val="28"/>
          <w:szCs w:val="28"/>
        </w:rPr>
        <w:t>等企业的调研活动，了解到西红花人工养殖对于气候、土壤、光照、水肥等都有严格要求。</w:t>
      </w:r>
      <w:r w:rsidR="00EC29F3" w:rsidRPr="00E61D6C">
        <w:rPr>
          <w:rFonts w:ascii="仿宋_GB2312" w:eastAsia="仿宋_GB2312" w:hAnsi="仿宋_GB2312"/>
          <w:kern w:val="0"/>
          <w:sz w:val="28"/>
          <w:szCs w:val="28"/>
        </w:rPr>
        <w:t>球茎休眠期（夏季）需保持凉爽干燥，温度控制在</w:t>
      </w:r>
      <w:r w:rsidR="00EC29F3" w:rsidRPr="00EC29F3">
        <w:rPr>
          <w:rFonts w:ascii="仿宋_GB2312" w:eastAsia="仿宋_GB2312" w:hAnsi="仿宋_GB2312"/>
          <w:kern w:val="0"/>
          <w:sz w:val="28"/>
          <w:szCs w:val="28"/>
        </w:rPr>
        <w:t xml:space="preserve"> </w:t>
      </w:r>
      <w:r w:rsidR="00EC29F3" w:rsidRPr="00E61D6C">
        <w:rPr>
          <w:rFonts w:ascii="仿宋_GB2312" w:eastAsia="仿宋_GB2312" w:hAnsi="仿宋_GB2312"/>
          <w:kern w:val="0"/>
          <w:sz w:val="28"/>
          <w:szCs w:val="28"/>
        </w:rPr>
        <w:t>25</w:t>
      </w:r>
      <w:r w:rsidR="00EC29F3" w:rsidRPr="00E61D6C">
        <w:rPr>
          <w:rFonts w:ascii="仿宋_GB2312" w:eastAsia="仿宋_GB2312" w:hAnsi="仿宋_GB2312" w:hint="eastAsia"/>
          <w:kern w:val="0"/>
          <w:sz w:val="28"/>
          <w:szCs w:val="28"/>
        </w:rPr>
        <w:t>℃</w:t>
      </w:r>
      <w:r w:rsidR="00EC29F3" w:rsidRPr="00E61D6C">
        <w:rPr>
          <w:rFonts w:ascii="仿宋_GB2312" w:eastAsia="仿宋_GB2312" w:hAnsi="仿宋_GB2312"/>
          <w:kern w:val="0"/>
          <w:sz w:val="28"/>
          <w:szCs w:val="28"/>
        </w:rPr>
        <w:t>以</w:t>
      </w:r>
      <w:r w:rsidR="00EC29F3" w:rsidRPr="00E61D6C">
        <w:rPr>
          <w:rFonts w:ascii="仿宋_GB2312" w:eastAsia="仿宋_GB2312" w:hAnsi="仿宋_GB2312"/>
          <w:kern w:val="0"/>
          <w:sz w:val="28"/>
          <w:szCs w:val="28"/>
        </w:rPr>
        <w:lastRenderedPageBreak/>
        <w:t>下，超过30</w:t>
      </w:r>
      <w:r w:rsidR="00EC29F3" w:rsidRPr="00E61D6C">
        <w:rPr>
          <w:rFonts w:ascii="仿宋_GB2312" w:eastAsia="仿宋_GB2312" w:hAnsi="仿宋_GB2312" w:hint="eastAsia"/>
          <w:kern w:val="0"/>
          <w:sz w:val="28"/>
          <w:szCs w:val="28"/>
        </w:rPr>
        <w:t>℃</w:t>
      </w:r>
      <w:r w:rsidR="00EC29F3" w:rsidRPr="00E61D6C">
        <w:rPr>
          <w:rFonts w:ascii="仿宋_GB2312" w:eastAsia="仿宋_GB2312" w:hAnsi="仿宋_GB2312"/>
          <w:kern w:val="0"/>
          <w:sz w:val="28"/>
          <w:szCs w:val="28"/>
        </w:rPr>
        <w:t>易导致球茎腐烂；冬季可耐受-10</w:t>
      </w:r>
      <w:r w:rsidR="00EC29F3" w:rsidRPr="00E61D6C">
        <w:rPr>
          <w:rFonts w:ascii="仿宋_GB2312" w:eastAsia="仿宋_GB2312" w:hAnsi="仿宋_GB2312" w:hint="eastAsia"/>
          <w:kern w:val="0"/>
          <w:sz w:val="28"/>
          <w:szCs w:val="28"/>
        </w:rPr>
        <w:t>℃</w:t>
      </w:r>
      <w:r w:rsidR="00EC29F3" w:rsidRPr="00EC29F3">
        <w:rPr>
          <w:rFonts w:ascii="仿宋_GB2312" w:eastAsia="仿宋_GB2312" w:hAnsi="仿宋_GB2312"/>
          <w:kern w:val="0"/>
          <w:sz w:val="28"/>
          <w:szCs w:val="28"/>
        </w:rPr>
        <w:t>左右低温，但若长期严寒需覆盖保温</w:t>
      </w:r>
      <w:r w:rsidR="00EC29F3" w:rsidRPr="00EC29F3">
        <w:rPr>
          <w:rFonts w:ascii="仿宋_GB2312" w:eastAsia="仿宋_GB2312" w:hAnsi="仿宋_GB2312" w:hint="eastAsia"/>
          <w:kern w:val="0"/>
          <w:sz w:val="28"/>
          <w:szCs w:val="28"/>
        </w:rPr>
        <w:t>。</w:t>
      </w:r>
      <w:r w:rsidR="00EC29F3" w:rsidRPr="00E61D6C">
        <w:rPr>
          <w:rFonts w:ascii="仿宋_GB2312" w:eastAsia="仿宋_GB2312" w:hAnsi="仿宋_GB2312"/>
          <w:kern w:val="0"/>
          <w:sz w:val="28"/>
          <w:szCs w:val="28"/>
        </w:rPr>
        <w:t xml:space="preserve"> 花期在秋季（10-11月），此时温度稳定在10-15</w:t>
      </w:r>
      <w:r w:rsidR="00EC29F3" w:rsidRPr="00E61D6C">
        <w:rPr>
          <w:rFonts w:ascii="仿宋_GB2312" w:eastAsia="仿宋_GB2312" w:hAnsi="仿宋_GB2312" w:hint="eastAsia"/>
          <w:kern w:val="0"/>
          <w:sz w:val="28"/>
          <w:szCs w:val="28"/>
        </w:rPr>
        <w:t>℃</w:t>
      </w:r>
      <w:r w:rsidR="00EC29F3" w:rsidRPr="00E61D6C">
        <w:rPr>
          <w:rFonts w:ascii="仿宋_GB2312" w:eastAsia="仿宋_GB2312" w:hAnsi="仿宋_GB2312"/>
          <w:kern w:val="0"/>
          <w:sz w:val="28"/>
          <w:szCs w:val="28"/>
        </w:rPr>
        <w:t>最利于开花</w:t>
      </w:r>
      <w:r w:rsidR="00EC29F3" w:rsidRPr="00EC29F3">
        <w:rPr>
          <w:rFonts w:ascii="仿宋_GB2312" w:eastAsia="仿宋_GB2312" w:hAnsi="仿宋_GB2312" w:hint="eastAsia"/>
          <w:kern w:val="0"/>
          <w:sz w:val="28"/>
          <w:szCs w:val="28"/>
        </w:rPr>
        <w:t>等</w:t>
      </w:r>
      <w:r w:rsidRPr="00EC29F3">
        <w:rPr>
          <w:rFonts w:ascii="仿宋_GB2312" w:eastAsia="仿宋_GB2312" w:hAnsi="仿宋_GB2312" w:hint="eastAsia"/>
          <w:kern w:val="0"/>
          <w:sz w:val="28"/>
          <w:szCs w:val="28"/>
        </w:rPr>
        <w:t>相关信息。</w:t>
      </w:r>
      <w:r w:rsidR="00EC29F3" w:rsidRPr="00EC29F3">
        <w:rPr>
          <w:rFonts w:ascii="仿宋_GB2312" w:eastAsia="仿宋_GB2312" w:hAnsi="仿宋_GB2312" w:hint="eastAsia"/>
          <w:kern w:val="0"/>
          <w:sz w:val="28"/>
          <w:szCs w:val="28"/>
        </w:rPr>
        <w:t>由此可见温度控制是西红花培育的关键点。</w:t>
      </w:r>
    </w:p>
    <w:p w:rsidR="00017DA4" w:rsidRDefault="00017DA4" w:rsidP="00C70E93">
      <w:pPr>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2、标准起草，形成征求意见稿</w:t>
      </w:r>
    </w:p>
    <w:p w:rsidR="00017DA4" w:rsidRDefault="00253082" w:rsidP="00017DA4">
      <w:pPr>
        <w:widowControl/>
        <w:tabs>
          <w:tab w:val="left" w:pos="2970"/>
        </w:tabs>
        <w:autoSpaceDE w:val="0"/>
        <w:autoSpaceDN w:val="0"/>
        <w:spacing w:line="360" w:lineRule="auto"/>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调研结束后，标准起草工作组开展了西红花中吲哚乙酸和吲哚丁酸检测方法的开发，进行了包括仪器选择、样品前处理方式、质谱条件等所有参数的开发及优化。在检测条件成型后，通过目标化合物加标的方式，</w:t>
      </w:r>
      <w:r w:rsidR="00F20C11">
        <w:rPr>
          <w:rFonts w:ascii="仿宋_GB2312" w:eastAsia="仿宋_GB2312" w:hAnsi="仿宋_GB2312" w:hint="eastAsia"/>
          <w:kern w:val="0"/>
          <w:sz w:val="28"/>
          <w:szCs w:val="28"/>
        </w:rPr>
        <w:t>从准确性、精密度、重现性等方面进行了验证</w:t>
      </w:r>
      <w:r>
        <w:rPr>
          <w:rFonts w:ascii="仿宋_GB2312" w:eastAsia="仿宋_GB2312" w:hAnsi="仿宋_GB2312" w:hint="eastAsia"/>
          <w:kern w:val="0"/>
          <w:sz w:val="28"/>
          <w:szCs w:val="28"/>
        </w:rPr>
        <w:t>，然后组织外部实验室开展方法准确性和再现性等信息的验证。最终，</w:t>
      </w:r>
      <w:r w:rsidR="00017DA4">
        <w:rPr>
          <w:rFonts w:ascii="仿宋_GB2312" w:eastAsia="仿宋_GB2312" w:hAnsi="仿宋_GB2312" w:hint="eastAsia"/>
          <w:kern w:val="0"/>
          <w:sz w:val="28"/>
          <w:szCs w:val="28"/>
        </w:rPr>
        <w:t>按范围、规范性引用文件、术语和定义、</w:t>
      </w:r>
      <w:r w:rsidR="00017DA4" w:rsidRPr="00017248">
        <w:rPr>
          <w:rFonts w:ascii="仿宋_GB2312" w:eastAsia="仿宋_GB2312" w:hAnsi="仿宋_GB2312" w:hint="eastAsia"/>
          <w:kern w:val="0"/>
          <w:sz w:val="28"/>
          <w:szCs w:val="28"/>
        </w:rPr>
        <w:t>西红花球茎中吲哚乙酸和吲哚丁酸的测定</w:t>
      </w:r>
      <w:r w:rsidR="00017DA4">
        <w:rPr>
          <w:rFonts w:ascii="仿宋_GB2312" w:eastAsia="仿宋_GB2312" w:hAnsi="仿宋_GB2312" w:hint="eastAsia"/>
          <w:kern w:val="0"/>
          <w:sz w:val="28"/>
          <w:szCs w:val="28"/>
        </w:rPr>
        <w:t>前处理方法及仪器信息等主要结构内容，形成了标准征求意见稿。</w:t>
      </w:r>
    </w:p>
    <w:p w:rsidR="00017DA4" w:rsidRDefault="00017DA4" w:rsidP="00017DA4">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四、编制原则</w:t>
      </w:r>
    </w:p>
    <w:p w:rsidR="00017DA4" w:rsidRDefault="00017DA4" w:rsidP="00017DA4">
      <w:pPr>
        <w:widowControl/>
        <w:autoSpaceDE w:val="0"/>
        <w:autoSpaceDN w:val="0"/>
        <w:spacing w:line="360" w:lineRule="auto"/>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本标准按照</w:t>
      </w:r>
      <w:r>
        <w:rPr>
          <w:rFonts w:ascii="仿宋" w:eastAsia="仿宋" w:hAnsi="仿宋"/>
          <w:color w:val="000000"/>
          <w:sz w:val="28"/>
          <w:szCs w:val="28"/>
        </w:rPr>
        <w:t xml:space="preserve">GB/T 1.1-2020 </w:t>
      </w:r>
      <w:r>
        <w:rPr>
          <w:rFonts w:ascii="仿宋" w:eastAsia="仿宋" w:hAnsi="仿宋" w:hint="eastAsia"/>
          <w:color w:val="000000"/>
          <w:sz w:val="28"/>
          <w:szCs w:val="28"/>
        </w:rPr>
        <w:t>《</w:t>
      </w:r>
      <w:r>
        <w:rPr>
          <w:rFonts w:ascii="仿宋" w:eastAsia="仿宋" w:hAnsi="仿宋"/>
          <w:color w:val="000000"/>
          <w:sz w:val="28"/>
          <w:szCs w:val="28"/>
        </w:rPr>
        <w:t>标准化工作导则</w:t>
      </w:r>
      <w:r>
        <w:rPr>
          <w:rFonts w:ascii="仿宋" w:eastAsia="仿宋"/>
          <w:color w:val="000000"/>
          <w:sz w:val="28"/>
          <w:szCs w:val="28"/>
        </w:rPr>
        <w:t> </w:t>
      </w:r>
      <w:r>
        <w:rPr>
          <w:rFonts w:ascii="仿宋" w:eastAsia="仿宋" w:hAnsi="仿宋"/>
          <w:color w:val="000000"/>
          <w:sz w:val="28"/>
          <w:szCs w:val="28"/>
        </w:rPr>
        <w:t xml:space="preserve"> 第1部分：标准化文件的结构和起草规则</w:t>
      </w:r>
      <w:r>
        <w:rPr>
          <w:rFonts w:ascii="仿宋" w:eastAsia="仿宋" w:hAnsi="仿宋" w:hint="eastAsia"/>
          <w:color w:val="000000"/>
          <w:sz w:val="28"/>
          <w:szCs w:val="28"/>
        </w:rPr>
        <w:t>》</w:t>
      </w:r>
      <w:r>
        <w:rPr>
          <w:rFonts w:ascii="仿宋_GB2312" w:eastAsia="仿宋_GB2312" w:hAnsi="仿宋_GB2312" w:hint="eastAsia"/>
          <w:kern w:val="0"/>
          <w:sz w:val="28"/>
          <w:szCs w:val="28"/>
        </w:rPr>
        <w:t>及国家有关法律法规、强制性标准及行业政策要求，遵循科学性、规范性、可操作性、协调性等原则进行编写。</w:t>
      </w:r>
    </w:p>
    <w:p w:rsidR="00017DA4" w:rsidRDefault="00017DA4" w:rsidP="00017DA4">
      <w:pPr>
        <w:widowControl/>
        <w:autoSpaceDE w:val="0"/>
        <w:autoSpaceDN w:val="0"/>
        <w:spacing w:line="360" w:lineRule="auto"/>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在科学性上，贯彻最新的国标及行标的技术规定，条款明确无歧义，内容正确完整，关系清晰，结构优化；在规范性上，遵守标准制定的一般程序，标准内容的编写顺序和编排格式、</w:t>
      </w:r>
      <w:proofErr w:type="gramStart"/>
      <w:r>
        <w:rPr>
          <w:rFonts w:ascii="仿宋_GB2312" w:eastAsia="仿宋_GB2312" w:hAnsi="仿宋_GB2312" w:hint="eastAsia"/>
          <w:kern w:val="0"/>
          <w:sz w:val="28"/>
          <w:szCs w:val="28"/>
        </w:rPr>
        <w:t>章条划分</w:t>
      </w:r>
      <w:proofErr w:type="gramEnd"/>
      <w:r>
        <w:rPr>
          <w:rFonts w:ascii="仿宋_GB2312" w:eastAsia="仿宋_GB2312" w:hAnsi="仿宋_GB2312" w:hint="eastAsia"/>
          <w:kern w:val="0"/>
          <w:sz w:val="28"/>
          <w:szCs w:val="28"/>
        </w:rPr>
        <w:t>、编号等，符合相关规定的要求；在</w:t>
      </w:r>
      <w:r w:rsidR="004E39AE">
        <w:rPr>
          <w:rFonts w:ascii="仿宋_GB2312" w:eastAsia="仿宋_GB2312" w:hAnsi="仿宋_GB2312" w:hint="eastAsia"/>
          <w:kern w:val="0"/>
          <w:sz w:val="28"/>
          <w:szCs w:val="28"/>
        </w:rPr>
        <w:t>可</w:t>
      </w:r>
      <w:r>
        <w:rPr>
          <w:rFonts w:ascii="仿宋_GB2312" w:eastAsia="仿宋_GB2312" w:hAnsi="仿宋_GB2312" w:hint="eastAsia"/>
          <w:kern w:val="0"/>
          <w:sz w:val="28"/>
          <w:szCs w:val="28"/>
        </w:rPr>
        <w:t xml:space="preserve">操作性上，通过对红花中吲哚乙酸和吲哚丁酸提取、浓缩和净化等发面进行方法优化，并利用目标化合物加标的形式，对本方法的精密度和重现性进行了考察，以确保其满足《GB 5009.295-2023 食品安全国家标准 </w:t>
      </w:r>
      <w:r w:rsidR="004E39AE">
        <w:rPr>
          <w:rFonts w:ascii="仿宋_GB2312" w:eastAsia="仿宋_GB2312" w:hAnsi="仿宋_GB2312" w:hint="eastAsia"/>
          <w:kern w:val="0"/>
          <w:sz w:val="28"/>
          <w:szCs w:val="28"/>
        </w:rPr>
        <w:t>化学分析方法验证通则》。</w:t>
      </w:r>
      <w:r>
        <w:rPr>
          <w:rFonts w:ascii="仿宋_GB2312" w:eastAsia="仿宋_GB2312" w:hAnsi="仿宋_GB2312" w:hint="eastAsia"/>
          <w:kern w:val="0"/>
          <w:sz w:val="28"/>
          <w:szCs w:val="28"/>
        </w:rPr>
        <w:t>并组</w:t>
      </w:r>
      <w:r>
        <w:rPr>
          <w:rFonts w:ascii="仿宋_GB2312" w:eastAsia="仿宋_GB2312" w:hAnsi="仿宋_GB2312" w:hint="eastAsia"/>
          <w:kern w:val="0"/>
          <w:sz w:val="28"/>
          <w:szCs w:val="28"/>
        </w:rPr>
        <w:lastRenderedPageBreak/>
        <w:t>织包含：</w:t>
      </w:r>
      <w:r w:rsidR="00AB3AF6">
        <w:rPr>
          <w:rFonts w:ascii="仿宋_GB2312" w:eastAsia="仿宋_GB2312" w:hAnsi="仿宋_GB2312" w:hint="eastAsia"/>
          <w:kern w:val="0"/>
          <w:sz w:val="28"/>
          <w:szCs w:val="28"/>
        </w:rPr>
        <w:t>上海市农产品质</w:t>
      </w:r>
      <w:proofErr w:type="gramStart"/>
      <w:r w:rsidR="00AB3AF6">
        <w:rPr>
          <w:rFonts w:ascii="仿宋_GB2312" w:eastAsia="仿宋_GB2312" w:hAnsi="仿宋_GB2312" w:hint="eastAsia"/>
          <w:kern w:val="0"/>
          <w:sz w:val="28"/>
          <w:szCs w:val="28"/>
        </w:rPr>
        <w:t>量安全</w:t>
      </w:r>
      <w:proofErr w:type="gramEnd"/>
      <w:r w:rsidR="00AB3AF6">
        <w:rPr>
          <w:rFonts w:ascii="仿宋_GB2312" w:eastAsia="仿宋_GB2312" w:hAnsi="仿宋_GB2312" w:hint="eastAsia"/>
          <w:kern w:val="0"/>
          <w:sz w:val="28"/>
          <w:szCs w:val="28"/>
        </w:rPr>
        <w:t>中心、</w:t>
      </w:r>
      <w:r>
        <w:rPr>
          <w:rFonts w:ascii="仿宋_GB2312" w:eastAsia="仿宋_GB2312" w:hAnsi="仿宋_GB2312" w:hint="eastAsia"/>
          <w:kern w:val="0"/>
          <w:sz w:val="28"/>
          <w:szCs w:val="28"/>
        </w:rPr>
        <w:t>上海市松江区食品药品检验所、上海市浦东区食品药品检验所、</w:t>
      </w:r>
      <w:r w:rsidR="00EC29F3">
        <w:rPr>
          <w:rFonts w:ascii="仿宋_GB2312" w:eastAsia="仿宋_GB2312" w:hAnsi="仿宋_GB2312" w:hint="eastAsia"/>
          <w:kern w:val="0"/>
          <w:sz w:val="28"/>
          <w:szCs w:val="28"/>
        </w:rPr>
        <w:t>上海市青浦食品药品检验所、上海市嘉定食品药品检验所、</w:t>
      </w:r>
      <w:proofErr w:type="gramStart"/>
      <w:r w:rsidR="00AB3AF6">
        <w:rPr>
          <w:rFonts w:ascii="仿宋_GB2312" w:eastAsia="仿宋_GB2312" w:hAnsi="仿宋_GB2312" w:hint="eastAsia"/>
          <w:kern w:val="0"/>
          <w:sz w:val="28"/>
          <w:szCs w:val="28"/>
        </w:rPr>
        <w:t>上海市安谱实验</w:t>
      </w:r>
      <w:proofErr w:type="gramEnd"/>
      <w:r w:rsidR="00AB3AF6">
        <w:rPr>
          <w:rFonts w:ascii="仿宋_GB2312" w:eastAsia="仿宋_GB2312" w:hAnsi="仿宋_GB2312" w:hint="eastAsia"/>
          <w:kern w:val="0"/>
          <w:sz w:val="28"/>
          <w:szCs w:val="28"/>
        </w:rPr>
        <w:t>科技股份有限公司共</w:t>
      </w:r>
      <w:r w:rsidR="00EC29F3">
        <w:rPr>
          <w:rFonts w:ascii="仿宋_GB2312" w:eastAsia="仿宋_GB2312" w:hAnsi="仿宋_GB2312" w:hint="eastAsia"/>
          <w:kern w:val="0"/>
          <w:sz w:val="28"/>
          <w:szCs w:val="28"/>
        </w:rPr>
        <w:t>6</w:t>
      </w:r>
      <w:r w:rsidR="004E39AE">
        <w:rPr>
          <w:rFonts w:ascii="仿宋_GB2312" w:eastAsia="仿宋_GB2312" w:hAnsi="仿宋_GB2312" w:hint="eastAsia"/>
          <w:kern w:val="0"/>
          <w:sz w:val="28"/>
          <w:szCs w:val="28"/>
        </w:rPr>
        <w:t>家实验室进行方法验证比对。通过外部实验室</w:t>
      </w:r>
      <w:r w:rsidR="00AB3AF6">
        <w:rPr>
          <w:rFonts w:ascii="仿宋_GB2312" w:eastAsia="仿宋_GB2312" w:hAnsi="仿宋_GB2312" w:hint="eastAsia"/>
          <w:kern w:val="0"/>
          <w:sz w:val="28"/>
          <w:szCs w:val="28"/>
        </w:rPr>
        <w:t>验证表明</w:t>
      </w:r>
      <w:r w:rsidR="004E39AE">
        <w:rPr>
          <w:rFonts w:ascii="仿宋_GB2312" w:eastAsia="仿宋_GB2312" w:hAnsi="仿宋_GB2312" w:hint="eastAsia"/>
          <w:kern w:val="0"/>
          <w:sz w:val="28"/>
          <w:szCs w:val="28"/>
        </w:rPr>
        <w:t>，</w:t>
      </w:r>
      <w:r w:rsidR="00AB3AF6">
        <w:rPr>
          <w:rFonts w:ascii="仿宋_GB2312" w:eastAsia="仿宋_GB2312" w:hAnsi="仿宋_GB2312" w:hint="eastAsia"/>
          <w:kern w:val="0"/>
          <w:sz w:val="28"/>
          <w:szCs w:val="28"/>
        </w:rPr>
        <w:t>该检测方法的</w:t>
      </w:r>
      <w:r w:rsidR="004E39AE">
        <w:rPr>
          <w:rFonts w:ascii="仿宋_GB2312" w:eastAsia="仿宋_GB2312" w:hAnsi="仿宋_GB2312" w:hint="eastAsia"/>
          <w:kern w:val="0"/>
          <w:sz w:val="28"/>
          <w:szCs w:val="28"/>
        </w:rPr>
        <w:t>准确性和</w:t>
      </w:r>
      <w:r w:rsidR="00AB3AF6">
        <w:rPr>
          <w:rFonts w:ascii="仿宋_GB2312" w:eastAsia="仿宋_GB2312" w:hAnsi="仿宋_GB2312" w:hint="eastAsia"/>
          <w:kern w:val="0"/>
          <w:sz w:val="28"/>
          <w:szCs w:val="28"/>
        </w:rPr>
        <w:t>再现性</w:t>
      </w:r>
      <w:r w:rsidR="004E39AE">
        <w:rPr>
          <w:rFonts w:ascii="仿宋_GB2312" w:eastAsia="仿宋_GB2312" w:hAnsi="仿宋_GB2312" w:hint="eastAsia"/>
          <w:kern w:val="0"/>
          <w:sz w:val="28"/>
          <w:szCs w:val="28"/>
        </w:rPr>
        <w:t>等</w:t>
      </w:r>
      <w:r w:rsidR="00AB3AF6">
        <w:rPr>
          <w:rFonts w:ascii="仿宋_GB2312" w:eastAsia="仿宋_GB2312" w:hAnsi="仿宋_GB2312" w:hint="eastAsia"/>
          <w:kern w:val="0"/>
          <w:sz w:val="28"/>
          <w:szCs w:val="28"/>
        </w:rPr>
        <w:t>满足检测需求，</w:t>
      </w:r>
      <w:r w:rsidR="004E39AE">
        <w:rPr>
          <w:rFonts w:ascii="仿宋_GB2312" w:eastAsia="仿宋_GB2312" w:hAnsi="仿宋_GB2312" w:hint="eastAsia"/>
          <w:kern w:val="0"/>
          <w:sz w:val="28"/>
          <w:szCs w:val="28"/>
        </w:rPr>
        <w:t>方法</w:t>
      </w:r>
      <w:r w:rsidR="00AB3AF6">
        <w:rPr>
          <w:rFonts w:ascii="仿宋_GB2312" w:eastAsia="仿宋_GB2312" w:hAnsi="仿宋_GB2312" w:hint="eastAsia"/>
          <w:kern w:val="0"/>
          <w:sz w:val="28"/>
          <w:szCs w:val="28"/>
        </w:rPr>
        <w:t>具有普遍适用性。</w:t>
      </w:r>
    </w:p>
    <w:p w:rsidR="00017DA4" w:rsidRDefault="00046DA0" w:rsidP="00017DA4">
      <w:pPr>
        <w:widowControl/>
        <w:autoSpaceDE w:val="0"/>
        <w:autoSpaceDN w:val="0"/>
        <w:spacing w:line="360" w:lineRule="auto"/>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在协调性上，与现行法律法规、相关国标</w:t>
      </w:r>
      <w:proofErr w:type="gramStart"/>
      <w:r>
        <w:rPr>
          <w:rFonts w:ascii="仿宋_GB2312" w:eastAsia="仿宋_GB2312" w:hAnsi="仿宋_GB2312" w:hint="eastAsia"/>
          <w:kern w:val="0"/>
          <w:sz w:val="28"/>
          <w:szCs w:val="28"/>
        </w:rPr>
        <w:t>或行标</w:t>
      </w:r>
      <w:r w:rsidR="00017DA4">
        <w:rPr>
          <w:rFonts w:ascii="仿宋_GB2312" w:eastAsia="仿宋_GB2312" w:hAnsi="仿宋_GB2312" w:hint="eastAsia"/>
          <w:kern w:val="0"/>
          <w:sz w:val="28"/>
          <w:szCs w:val="28"/>
        </w:rPr>
        <w:t>等</w:t>
      </w:r>
      <w:proofErr w:type="gramEnd"/>
      <w:r w:rsidR="00017DA4">
        <w:rPr>
          <w:rFonts w:ascii="仿宋_GB2312" w:eastAsia="仿宋_GB2312" w:hAnsi="仿宋_GB2312" w:hint="eastAsia"/>
          <w:kern w:val="0"/>
          <w:sz w:val="28"/>
          <w:szCs w:val="28"/>
        </w:rPr>
        <w:t>没有冲突。</w:t>
      </w:r>
    </w:p>
    <w:p w:rsidR="00174A4F" w:rsidRDefault="00174A4F" w:rsidP="00174A4F">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五、标准修订的主要内容</w:t>
      </w:r>
    </w:p>
    <w:p w:rsidR="00174A4F" w:rsidRDefault="00174A4F" w:rsidP="00174A4F">
      <w:pPr>
        <w:widowControl/>
        <w:autoSpaceDE w:val="0"/>
        <w:autoSpaceDN w:val="0"/>
        <w:spacing w:line="360" w:lineRule="auto"/>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本标准不涉及修订。</w:t>
      </w:r>
    </w:p>
    <w:p w:rsidR="00174A4F" w:rsidRDefault="00174A4F" w:rsidP="00174A4F">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六、标准的主要技术内容</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w:t>
      </w:r>
      <w:proofErr w:type="gramStart"/>
      <w:r>
        <w:rPr>
          <w:rFonts w:ascii="仿宋_GB2312" w:eastAsia="仿宋_GB2312" w:hAnsi="仿宋_GB2312" w:hint="eastAsia"/>
          <w:kern w:val="0"/>
          <w:sz w:val="28"/>
          <w:szCs w:val="28"/>
        </w:rPr>
        <w:t>一</w:t>
      </w:r>
      <w:proofErr w:type="gramEnd"/>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范围</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本文件本标准规定了西红花球茎中吲哚乙酸和吲哚丁酸的液相色谱-串联质谱检测方法。</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本文件适用于西红花球茎中吲哚乙酸和吲哚丁酸的测定。</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(二)</w:t>
      </w:r>
      <w:r w:rsidRPr="00174A4F">
        <w:rPr>
          <w:rFonts w:ascii="仿宋_GB2312" w:eastAsia="仿宋_GB2312" w:hAnsi="仿宋_GB2312" w:hint="eastAsia"/>
          <w:kern w:val="0"/>
          <w:sz w:val="28"/>
          <w:szCs w:val="28"/>
        </w:rPr>
        <w:t xml:space="preserve">  规范性引用文件</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下列文件中的内容通过文中的规范性引用而构成文件必不可少的条款。其中，注日期的引用文件，仅该日期对应的版本适用于本文件；不注日期的引用文件，其最新版本（包括所有的修改单）适用于本文件。</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GB/T 6682 分析实验室用水规格和试验方法</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(三)</w:t>
      </w:r>
      <w:r w:rsidRPr="00174A4F">
        <w:rPr>
          <w:rFonts w:ascii="仿宋_GB2312" w:eastAsia="仿宋_GB2312" w:hAnsi="仿宋_GB2312" w:hint="eastAsia"/>
          <w:kern w:val="0"/>
          <w:sz w:val="28"/>
          <w:szCs w:val="28"/>
        </w:rPr>
        <w:t xml:space="preserve">  原理</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试样用甲醇提取，经固相萃取柱净化，浓缩后供液相色谱-串联质谱仪测定，外标法定量。</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lastRenderedPageBreak/>
        <w:t>(四)</w:t>
      </w:r>
      <w:r w:rsidRPr="00174A4F">
        <w:rPr>
          <w:rFonts w:ascii="仿宋_GB2312" w:eastAsia="仿宋_GB2312" w:hAnsi="仿宋_GB2312" w:hint="eastAsia"/>
          <w:kern w:val="0"/>
          <w:sz w:val="28"/>
          <w:szCs w:val="28"/>
        </w:rPr>
        <w:t>试剂</w:t>
      </w:r>
      <w:r>
        <w:rPr>
          <w:rFonts w:ascii="仿宋_GB2312" w:eastAsia="仿宋_GB2312" w:hAnsi="仿宋_GB2312" w:hint="eastAsia"/>
          <w:kern w:val="0"/>
          <w:sz w:val="28"/>
          <w:szCs w:val="28"/>
        </w:rPr>
        <w:t>、标准品及材料</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除另有说明外，水为GB/T 6682规定的一级水。乙腈（CH3CN，75-05-8）：色谱纯。甲醇（CH3OH，67-56-1）: 色谱纯。甲酸（HCOOH）：色谱纯，纯度≥98%。乙醇（C2H5OH，64-17-5），色谱纯。50%甲醇溶液: 取等体积的甲醇和水混匀。0.1%甲酸溶液：取 1.0 mL 甲酸（4.1.3）用 1 000 mL 水稀释并定容。乙腈-0.1% 甲酸溶液(4+6)：量取 40mL 乙腈与 60 mL 的 0.1% 甲酸溶液（4.1.6），混匀。</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标准品</w:t>
      </w:r>
      <w:r>
        <w:rPr>
          <w:rFonts w:ascii="仿宋_GB2312" w:eastAsia="仿宋_GB2312" w:hAnsi="仿宋_GB2312" w:hint="eastAsia"/>
          <w:kern w:val="0"/>
          <w:sz w:val="28"/>
          <w:szCs w:val="28"/>
        </w:rPr>
        <w:t>信息:</w:t>
      </w:r>
      <w:r w:rsidRPr="00174A4F">
        <w:rPr>
          <w:rFonts w:ascii="仿宋_GB2312" w:eastAsia="仿宋_GB2312" w:hAnsi="仿宋_GB2312" w:hint="eastAsia"/>
          <w:kern w:val="0"/>
          <w:sz w:val="28"/>
          <w:szCs w:val="28"/>
        </w:rPr>
        <w:t>吲哚乙酸标准物质（C10H9NO2）：CAS号 87-51-4，纯度≥98%。吲哚丁酸标准物质（C12H13NO2）：CAS号 133-32-4，纯度≥98%。吲哚乙酸、吲哚丁酸标准储备液：100.0 g/mL。准确称取适量（精确至0.1mg）的吲哚乙酸、吲哚丁酸标准物质，分别用少量甲醇溶解并转移至 100 mL 容量瓶中，分别用甲醇</w:t>
      </w:r>
      <w:proofErr w:type="gramStart"/>
      <w:r w:rsidRPr="00174A4F">
        <w:rPr>
          <w:rFonts w:ascii="仿宋_GB2312" w:eastAsia="仿宋_GB2312" w:hAnsi="仿宋_GB2312" w:hint="eastAsia"/>
          <w:kern w:val="0"/>
          <w:sz w:val="28"/>
          <w:szCs w:val="28"/>
        </w:rPr>
        <w:t>定容至刻度</w:t>
      </w:r>
      <w:proofErr w:type="gramEnd"/>
      <w:r w:rsidRPr="00174A4F">
        <w:rPr>
          <w:rFonts w:ascii="仿宋_GB2312" w:eastAsia="仿宋_GB2312" w:hAnsi="仿宋_GB2312" w:hint="eastAsia"/>
          <w:kern w:val="0"/>
          <w:sz w:val="28"/>
          <w:szCs w:val="28"/>
        </w:rPr>
        <w:t xml:space="preserve">，混匀，-18 ℃以下避光保存 6 </w:t>
      </w:r>
      <w:proofErr w:type="gramStart"/>
      <w:r w:rsidRPr="00174A4F">
        <w:rPr>
          <w:rFonts w:ascii="仿宋_GB2312" w:eastAsia="仿宋_GB2312" w:hAnsi="仿宋_GB2312" w:hint="eastAsia"/>
          <w:kern w:val="0"/>
          <w:sz w:val="28"/>
          <w:szCs w:val="28"/>
        </w:rPr>
        <w:t>个</w:t>
      </w:r>
      <w:proofErr w:type="gramEnd"/>
      <w:r w:rsidRPr="00174A4F">
        <w:rPr>
          <w:rFonts w:ascii="仿宋_GB2312" w:eastAsia="仿宋_GB2312" w:hAnsi="仿宋_GB2312" w:hint="eastAsia"/>
          <w:kern w:val="0"/>
          <w:sz w:val="28"/>
          <w:szCs w:val="28"/>
        </w:rPr>
        <w:t>月。混合标准储备溶液：分别从标准储备溶液准确移取上述吲哚乙酸、吲哚丁酸标准储备液 1.0 mL 至 100 mL 容量瓶中，用甲醇</w:t>
      </w:r>
      <w:proofErr w:type="gramStart"/>
      <w:r w:rsidRPr="00174A4F">
        <w:rPr>
          <w:rFonts w:ascii="仿宋_GB2312" w:eastAsia="仿宋_GB2312" w:hAnsi="仿宋_GB2312" w:hint="eastAsia"/>
          <w:kern w:val="0"/>
          <w:sz w:val="28"/>
          <w:szCs w:val="28"/>
        </w:rPr>
        <w:t>定容至刻度</w:t>
      </w:r>
      <w:proofErr w:type="gramEnd"/>
      <w:r w:rsidRPr="00174A4F">
        <w:rPr>
          <w:rFonts w:ascii="仿宋_GB2312" w:eastAsia="仿宋_GB2312" w:hAnsi="仿宋_GB2312" w:hint="eastAsia"/>
          <w:kern w:val="0"/>
          <w:sz w:val="28"/>
          <w:szCs w:val="28"/>
        </w:rPr>
        <w:t>，混匀，浓度为 1.0 µg/mL，0～4 ℃以下避光保存。混合标准工作溶液：根据需要用甲醇稀释配制成浓度为 2.0</w:t>
      </w:r>
      <w:r w:rsidR="004B5102" w:rsidRPr="00174A4F">
        <w:rPr>
          <w:rFonts w:ascii="仿宋_GB2312" w:eastAsia="仿宋_GB2312" w:hAnsi="仿宋_GB2312" w:hint="eastAsia"/>
          <w:kern w:val="0"/>
          <w:sz w:val="28"/>
          <w:szCs w:val="28"/>
        </w:rPr>
        <w:t xml:space="preserve"> </w:t>
      </w:r>
      <w:r w:rsidRPr="00174A4F">
        <w:rPr>
          <w:rFonts w:ascii="仿宋_GB2312" w:eastAsia="仿宋_GB2312" w:hAnsi="仿宋_GB2312" w:hint="eastAsia"/>
          <w:kern w:val="0"/>
          <w:sz w:val="28"/>
          <w:szCs w:val="28"/>
        </w:rPr>
        <w:t>g/L、4.0</w:t>
      </w:r>
      <w:r w:rsidR="004B5102" w:rsidRPr="00174A4F">
        <w:rPr>
          <w:rFonts w:ascii="仿宋_GB2312" w:eastAsia="仿宋_GB2312" w:hAnsi="仿宋_GB2312" w:hint="eastAsia"/>
          <w:kern w:val="0"/>
          <w:sz w:val="28"/>
          <w:szCs w:val="28"/>
        </w:rPr>
        <w:t xml:space="preserve"> </w:t>
      </w:r>
      <w:r w:rsidRPr="00174A4F">
        <w:rPr>
          <w:rFonts w:ascii="仿宋_GB2312" w:eastAsia="仿宋_GB2312" w:hAnsi="仿宋_GB2312" w:hint="eastAsia"/>
          <w:kern w:val="0"/>
          <w:sz w:val="28"/>
          <w:szCs w:val="28"/>
        </w:rPr>
        <w:t>g/L、20.0 g/L、50.0</w:t>
      </w:r>
      <w:r w:rsidR="004B5102" w:rsidRPr="00174A4F">
        <w:rPr>
          <w:rFonts w:ascii="仿宋_GB2312" w:eastAsia="仿宋_GB2312" w:hAnsi="仿宋_GB2312" w:hint="eastAsia"/>
          <w:kern w:val="0"/>
          <w:sz w:val="28"/>
          <w:szCs w:val="28"/>
        </w:rPr>
        <w:t xml:space="preserve"> </w:t>
      </w:r>
      <w:r w:rsidRPr="00174A4F">
        <w:rPr>
          <w:rFonts w:ascii="仿宋_GB2312" w:eastAsia="仿宋_GB2312" w:hAnsi="仿宋_GB2312" w:hint="eastAsia"/>
          <w:kern w:val="0"/>
          <w:sz w:val="28"/>
          <w:szCs w:val="28"/>
        </w:rPr>
        <w:t>g/L、100.0 g/L、200.0</w:t>
      </w:r>
      <w:r w:rsidR="004B5102" w:rsidRPr="00174A4F">
        <w:rPr>
          <w:rFonts w:ascii="仿宋_GB2312" w:eastAsia="仿宋_GB2312" w:hAnsi="仿宋_GB2312" w:hint="eastAsia"/>
          <w:kern w:val="0"/>
          <w:sz w:val="28"/>
          <w:szCs w:val="28"/>
        </w:rPr>
        <w:t xml:space="preserve"> </w:t>
      </w:r>
      <w:r w:rsidRPr="00174A4F">
        <w:rPr>
          <w:rFonts w:ascii="仿宋_GB2312" w:eastAsia="仿宋_GB2312" w:hAnsi="仿宋_GB2312" w:hint="eastAsia"/>
          <w:kern w:val="0"/>
          <w:sz w:val="28"/>
          <w:szCs w:val="28"/>
        </w:rPr>
        <w:t>g/L、500.0</w:t>
      </w:r>
      <w:r w:rsidR="004B5102" w:rsidRPr="00174A4F">
        <w:rPr>
          <w:rFonts w:ascii="仿宋_GB2312" w:eastAsia="仿宋_GB2312" w:hAnsi="仿宋_GB2312" w:hint="eastAsia"/>
          <w:kern w:val="0"/>
          <w:sz w:val="28"/>
          <w:szCs w:val="28"/>
        </w:rPr>
        <w:t xml:space="preserve"> </w:t>
      </w:r>
      <w:r w:rsidRPr="00174A4F">
        <w:rPr>
          <w:rFonts w:ascii="仿宋_GB2312" w:eastAsia="仿宋_GB2312" w:hAnsi="仿宋_GB2312" w:hint="eastAsia"/>
          <w:kern w:val="0"/>
          <w:sz w:val="28"/>
          <w:szCs w:val="28"/>
        </w:rPr>
        <w:t>g/L的标准工作溶液。混合标准工作溶液应现用现配。</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材料</w:t>
      </w:r>
      <w:r>
        <w:rPr>
          <w:rFonts w:ascii="仿宋_GB2312" w:eastAsia="仿宋_GB2312" w:hAnsi="仿宋_GB2312" w:hint="eastAsia"/>
          <w:kern w:val="0"/>
          <w:sz w:val="28"/>
          <w:szCs w:val="28"/>
        </w:rPr>
        <w:t>信息:</w:t>
      </w:r>
      <w:r w:rsidRPr="00174A4F">
        <w:rPr>
          <w:rFonts w:ascii="仿宋_GB2312" w:eastAsia="仿宋_GB2312" w:hAnsi="仿宋_GB2312" w:hint="eastAsia"/>
          <w:kern w:val="0"/>
          <w:sz w:val="28"/>
          <w:szCs w:val="28"/>
        </w:rPr>
        <w:t>HLB 固相萃取柱（N-乙烯基吡咯烷酮-二乙烯基苯）：200 mg/6 mL，使用前用 5 mL 甲醇和 5 mL 水预处理。滤膜：0.22 µm，有机相。离心管</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150mL梨形瓶</w:t>
      </w:r>
    </w:p>
    <w:p w:rsid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lastRenderedPageBreak/>
        <w:t>（五）</w:t>
      </w:r>
      <w:r w:rsidRPr="00174A4F">
        <w:rPr>
          <w:rFonts w:ascii="仿宋_GB2312" w:eastAsia="仿宋_GB2312" w:hAnsi="仿宋_GB2312" w:hint="eastAsia"/>
          <w:kern w:val="0"/>
          <w:sz w:val="28"/>
          <w:szCs w:val="28"/>
        </w:rPr>
        <w:t>仪器设备</w:t>
      </w:r>
    </w:p>
    <w:p w:rsidR="00174A4F" w:rsidRPr="00174A4F" w:rsidRDefault="00174A4F" w:rsidP="004B5102">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液相色谱-串联质谱：配备电喷雾离子源（ESI）</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离心机：4000 r/min</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超声波清洗器：100 kHz</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分析天平：</w:t>
      </w:r>
      <w:proofErr w:type="gramStart"/>
      <w:r w:rsidRPr="00174A4F">
        <w:rPr>
          <w:rFonts w:ascii="仿宋_GB2312" w:eastAsia="仿宋_GB2312" w:hAnsi="仿宋_GB2312" w:hint="eastAsia"/>
          <w:kern w:val="0"/>
          <w:sz w:val="28"/>
          <w:szCs w:val="28"/>
        </w:rPr>
        <w:t>感</w:t>
      </w:r>
      <w:proofErr w:type="gramEnd"/>
      <w:r w:rsidRPr="00174A4F">
        <w:rPr>
          <w:rFonts w:ascii="仿宋_GB2312" w:eastAsia="仿宋_GB2312" w:hAnsi="仿宋_GB2312" w:hint="eastAsia"/>
          <w:kern w:val="0"/>
          <w:sz w:val="28"/>
          <w:szCs w:val="28"/>
        </w:rPr>
        <w:t>量0.1mg</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旋转蒸发仪</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均质机</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涡旋混合仪</w:t>
      </w:r>
      <w:r w:rsidR="004B5102">
        <w:rPr>
          <w:rFonts w:ascii="仿宋_GB2312" w:eastAsia="仿宋_GB2312" w:hAnsi="仿宋_GB2312" w:hint="eastAsia"/>
          <w:kern w:val="0"/>
          <w:sz w:val="28"/>
          <w:szCs w:val="28"/>
        </w:rPr>
        <w:t>。</w:t>
      </w:r>
    </w:p>
    <w:p w:rsid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（六）</w:t>
      </w:r>
      <w:r w:rsidRPr="00174A4F">
        <w:rPr>
          <w:rFonts w:ascii="仿宋_GB2312" w:eastAsia="仿宋_GB2312" w:hAnsi="仿宋_GB2312" w:hint="eastAsia"/>
          <w:kern w:val="0"/>
          <w:sz w:val="28"/>
          <w:szCs w:val="28"/>
        </w:rPr>
        <w:t>样品</w:t>
      </w:r>
      <w:r>
        <w:rPr>
          <w:rFonts w:ascii="仿宋_GB2312" w:eastAsia="仿宋_GB2312" w:hAnsi="仿宋_GB2312" w:hint="eastAsia"/>
          <w:kern w:val="0"/>
          <w:sz w:val="28"/>
          <w:szCs w:val="28"/>
        </w:rPr>
        <w:t xml:space="preserve"> </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取有代表性的试样100克，装入干净的容器内匀浆混匀，在抽样及制样的操作过程中，应防止样品受到污染或待测物发生含量的变化。</w:t>
      </w:r>
    </w:p>
    <w:p w:rsid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（七）</w:t>
      </w:r>
      <w:r w:rsidRPr="00174A4F">
        <w:rPr>
          <w:rFonts w:ascii="仿宋_GB2312" w:eastAsia="仿宋_GB2312" w:hAnsi="仿宋_GB2312" w:hint="eastAsia"/>
          <w:kern w:val="0"/>
          <w:sz w:val="28"/>
          <w:szCs w:val="28"/>
        </w:rPr>
        <w:t>试验步骤</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提取和净化</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准确称取</w:t>
      </w:r>
      <w:r w:rsidR="00933421">
        <w:rPr>
          <w:rFonts w:ascii="仿宋_GB2312" w:eastAsia="仿宋_GB2312" w:hAnsi="仿宋_GB2312" w:hint="eastAsia"/>
          <w:kern w:val="0"/>
          <w:sz w:val="28"/>
          <w:szCs w:val="28"/>
        </w:rPr>
        <w:t>5</w:t>
      </w:r>
      <w:r w:rsidRPr="00174A4F">
        <w:rPr>
          <w:rFonts w:ascii="仿宋_GB2312" w:eastAsia="仿宋_GB2312" w:hAnsi="仿宋_GB2312" w:hint="eastAsia"/>
          <w:kern w:val="0"/>
          <w:sz w:val="28"/>
          <w:szCs w:val="28"/>
        </w:rPr>
        <w:t xml:space="preserve"> g试样（精确至0.1 mg）于50 mL离心管中，用50 mL甲醇分两次提取，每次25 mL，涡旋混匀，超声提取10 min后，以4000r/min速度离心5min，合并上清液。</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将提取的上清液全部过柱，通过后，依次以50%甲醇溶液和5mL水洗涤，流速不超过2d/s,弃去淋洗液，负压抽干，用5mL甲醇洗脱，收集洗脱液于梨形瓶中，40℃以下旋至近干，用乙腈-0.1%甲酸溶液溶解，并</w:t>
      </w:r>
      <w:proofErr w:type="gramStart"/>
      <w:r w:rsidRPr="00174A4F">
        <w:rPr>
          <w:rFonts w:ascii="仿宋_GB2312" w:eastAsia="仿宋_GB2312" w:hAnsi="仿宋_GB2312" w:hint="eastAsia"/>
          <w:kern w:val="0"/>
          <w:sz w:val="28"/>
          <w:szCs w:val="28"/>
        </w:rPr>
        <w:t>定容至</w:t>
      </w:r>
      <w:proofErr w:type="gramEnd"/>
      <w:r w:rsidRPr="00174A4F">
        <w:rPr>
          <w:rFonts w:ascii="仿宋_GB2312" w:eastAsia="仿宋_GB2312" w:hAnsi="仿宋_GB2312" w:hint="eastAsia"/>
          <w:kern w:val="0"/>
          <w:sz w:val="28"/>
          <w:szCs w:val="28"/>
        </w:rPr>
        <w:t>1mL，经微孔滤膜过滤，供液相色谱-串联质谱测定。</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测定</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液相色谱参考条件</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色谱柱：BEH C18，1.7</w:t>
      </w:r>
      <w:r w:rsidR="004B5102" w:rsidRPr="004B5102">
        <w:rPr>
          <w:rFonts w:ascii="仿宋_GB2312" w:eastAsia="仿宋_GB2312" w:hAnsi="仿宋_GB2312" w:hint="eastAsia"/>
          <w:kern w:val="0"/>
          <w:sz w:val="28"/>
          <w:szCs w:val="28"/>
        </w:rPr>
        <w:t>μ</w:t>
      </w:r>
      <w:r w:rsidRPr="00174A4F">
        <w:rPr>
          <w:rFonts w:ascii="仿宋_GB2312" w:eastAsia="仿宋_GB2312" w:hAnsi="仿宋_GB2312" w:hint="eastAsia"/>
          <w:kern w:val="0"/>
          <w:sz w:val="28"/>
          <w:szCs w:val="28"/>
        </w:rPr>
        <w:t>m， 5 cm×0.21 cm（内径）或相当者</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柱温：35℃；流动相：乙腈+5mmoL/L乙酸铵（35+65，体积比）；流速：0.200mL/min；进样量：10μL。</w:t>
      </w:r>
    </w:p>
    <w:p w:rsid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质谱参考条件</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电离方式：ESI；扫描方式：正离子扫描；检测方式：多反应监测MRM，多反应监测条件</w:t>
      </w:r>
      <w:r w:rsidR="004B5102">
        <w:rPr>
          <w:rFonts w:ascii="仿宋_GB2312" w:eastAsia="仿宋_GB2312" w:hAnsi="仿宋_GB2312" w:hint="eastAsia"/>
          <w:kern w:val="0"/>
          <w:sz w:val="28"/>
          <w:szCs w:val="28"/>
        </w:rPr>
        <w:t>如下</w:t>
      </w:r>
      <w:r w:rsidRPr="00174A4F">
        <w:rPr>
          <w:rFonts w:ascii="仿宋_GB2312" w:eastAsia="仿宋_GB2312" w:hAnsi="仿宋_GB2312" w:hint="eastAsia"/>
          <w:kern w:val="0"/>
          <w:sz w:val="28"/>
          <w:szCs w:val="28"/>
        </w:rPr>
        <w:t>。</w:t>
      </w:r>
    </w:p>
    <w:tbl>
      <w:tblPr>
        <w:tblStyle w:val="a6"/>
        <w:tblW w:w="8221" w:type="dxa"/>
        <w:tblInd w:w="534" w:type="dxa"/>
        <w:tblLook w:val="04A0" w:firstRow="1" w:lastRow="0" w:firstColumn="1" w:lastColumn="0" w:noHBand="0" w:noVBand="1"/>
      </w:tblPr>
      <w:tblGrid>
        <w:gridCol w:w="1559"/>
        <w:gridCol w:w="1417"/>
        <w:gridCol w:w="1276"/>
        <w:gridCol w:w="1134"/>
        <w:gridCol w:w="1418"/>
        <w:gridCol w:w="1417"/>
      </w:tblGrid>
      <w:tr w:rsidR="004B5102" w:rsidRPr="004B5102" w:rsidTr="00B90C00">
        <w:tc>
          <w:tcPr>
            <w:tcW w:w="1559"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hAnsiTheme="minorEastAsia" w:cs="Times New Roman"/>
                <w:sz w:val="21"/>
              </w:rPr>
              <w:t>化合物</w:t>
            </w:r>
          </w:p>
          <w:p w:rsidR="004B5102" w:rsidRPr="00B90C00" w:rsidRDefault="004B5102" w:rsidP="00B92154">
            <w:pPr>
              <w:pStyle w:val="a7"/>
              <w:ind w:firstLineChars="0" w:firstLine="0"/>
              <w:jc w:val="center"/>
              <w:rPr>
                <w:rFonts w:ascii="Times New Roman" w:cs="Times New Roman"/>
                <w:sz w:val="21"/>
              </w:rPr>
            </w:pPr>
            <w:r w:rsidRPr="00B90C00">
              <w:rPr>
                <w:rFonts w:ascii="Times New Roman" w:hAnsiTheme="minorEastAsia" w:cs="Times New Roman"/>
                <w:sz w:val="21"/>
              </w:rPr>
              <w:t>名称</w:t>
            </w:r>
          </w:p>
        </w:tc>
        <w:tc>
          <w:tcPr>
            <w:tcW w:w="1417"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hAnsiTheme="minorEastAsia" w:cs="Times New Roman"/>
                <w:sz w:val="21"/>
              </w:rPr>
              <w:t>保留时间</w:t>
            </w:r>
          </w:p>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min</w:t>
            </w:r>
          </w:p>
        </w:tc>
        <w:tc>
          <w:tcPr>
            <w:tcW w:w="1276"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hAnsiTheme="minorEastAsia" w:cs="Times New Roman"/>
                <w:sz w:val="21"/>
              </w:rPr>
              <w:t>扫描模式</w:t>
            </w:r>
          </w:p>
        </w:tc>
        <w:tc>
          <w:tcPr>
            <w:tcW w:w="1134"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hAnsiTheme="minorEastAsia" w:cs="Times New Roman"/>
                <w:sz w:val="21"/>
              </w:rPr>
              <w:t>母离子</w:t>
            </w:r>
          </w:p>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m/z</w:t>
            </w:r>
          </w:p>
        </w:tc>
        <w:tc>
          <w:tcPr>
            <w:tcW w:w="1418"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hAnsiTheme="minorEastAsia" w:cs="Times New Roman"/>
                <w:sz w:val="21"/>
              </w:rPr>
              <w:t>子离子</w:t>
            </w:r>
          </w:p>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m/z</w:t>
            </w:r>
          </w:p>
        </w:tc>
        <w:tc>
          <w:tcPr>
            <w:tcW w:w="1417"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hAnsiTheme="minorEastAsia" w:cs="Times New Roman"/>
                <w:sz w:val="21"/>
              </w:rPr>
              <w:t>碰撞能量</w:t>
            </w:r>
          </w:p>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V</w:t>
            </w:r>
          </w:p>
        </w:tc>
      </w:tr>
      <w:tr w:rsidR="004B5102" w:rsidRPr="004B5102" w:rsidTr="00B90C00">
        <w:tc>
          <w:tcPr>
            <w:tcW w:w="1559" w:type="dxa"/>
            <w:vMerge w:val="restart"/>
            <w:vAlign w:val="center"/>
          </w:tcPr>
          <w:p w:rsidR="004B5102" w:rsidRPr="00B90C00" w:rsidRDefault="004B5102" w:rsidP="00B92154">
            <w:pPr>
              <w:pStyle w:val="a7"/>
              <w:ind w:firstLineChars="0" w:firstLine="0"/>
              <w:jc w:val="center"/>
              <w:rPr>
                <w:rFonts w:ascii="Times New Roman" w:cs="Times New Roman"/>
                <w:sz w:val="21"/>
              </w:rPr>
            </w:pPr>
            <w:r w:rsidRPr="00B90C00">
              <w:rPr>
                <w:rFonts w:hint="eastAsia"/>
                <w:sz w:val="21"/>
              </w:rPr>
              <w:t>吲哚乙酸/</w:t>
            </w:r>
            <w:r w:rsidRPr="00B90C00">
              <w:rPr>
                <w:rFonts w:ascii="Times New Roman" w:cs="Times New Roman"/>
                <w:sz w:val="21"/>
              </w:rPr>
              <w:t>IAA</w:t>
            </w:r>
          </w:p>
        </w:tc>
        <w:tc>
          <w:tcPr>
            <w:tcW w:w="1417" w:type="dxa"/>
            <w:vMerge w:val="restart"/>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1.759</w:t>
            </w:r>
          </w:p>
        </w:tc>
        <w:tc>
          <w:tcPr>
            <w:tcW w:w="1276" w:type="dxa"/>
            <w:vMerge w:val="restart"/>
            <w:vAlign w:val="center"/>
          </w:tcPr>
          <w:p w:rsidR="004B5102" w:rsidRPr="00B90C00" w:rsidRDefault="004B5102" w:rsidP="00B92154">
            <w:pPr>
              <w:jc w:val="center"/>
              <w:rPr>
                <w:sz w:val="21"/>
                <w:szCs w:val="21"/>
              </w:rPr>
            </w:pPr>
            <w:r w:rsidRPr="00B90C00">
              <w:rPr>
                <w:sz w:val="21"/>
                <w:szCs w:val="21"/>
              </w:rPr>
              <w:t>ESI+</w:t>
            </w:r>
          </w:p>
        </w:tc>
        <w:tc>
          <w:tcPr>
            <w:tcW w:w="1134" w:type="dxa"/>
            <w:vMerge w:val="restart"/>
            <w:vAlign w:val="center"/>
          </w:tcPr>
          <w:p w:rsidR="004B5102" w:rsidRPr="00B90C00" w:rsidRDefault="004B5102" w:rsidP="00B92154">
            <w:pPr>
              <w:jc w:val="center"/>
              <w:rPr>
                <w:sz w:val="21"/>
                <w:szCs w:val="21"/>
              </w:rPr>
            </w:pPr>
            <w:r w:rsidRPr="00B90C00">
              <w:rPr>
                <w:sz w:val="21"/>
                <w:szCs w:val="21"/>
              </w:rPr>
              <w:t>176.1</w:t>
            </w:r>
          </w:p>
        </w:tc>
        <w:tc>
          <w:tcPr>
            <w:tcW w:w="1418" w:type="dxa"/>
            <w:vAlign w:val="center"/>
          </w:tcPr>
          <w:p w:rsidR="004B5102" w:rsidRPr="00B90C00" w:rsidRDefault="004B5102" w:rsidP="00B92154">
            <w:pPr>
              <w:jc w:val="center"/>
              <w:rPr>
                <w:sz w:val="21"/>
                <w:szCs w:val="21"/>
              </w:rPr>
            </w:pPr>
            <w:r w:rsidRPr="00B90C00">
              <w:rPr>
                <w:sz w:val="21"/>
                <w:szCs w:val="21"/>
              </w:rPr>
              <w:t>103.3*</w:t>
            </w:r>
          </w:p>
        </w:tc>
        <w:tc>
          <w:tcPr>
            <w:tcW w:w="1417" w:type="dxa"/>
            <w:vAlign w:val="center"/>
          </w:tcPr>
          <w:p w:rsidR="004B5102" w:rsidRPr="00B90C00" w:rsidRDefault="004B5102" w:rsidP="00B92154">
            <w:pPr>
              <w:jc w:val="center"/>
              <w:rPr>
                <w:sz w:val="21"/>
                <w:szCs w:val="21"/>
              </w:rPr>
            </w:pPr>
            <w:r w:rsidRPr="00B90C00">
              <w:rPr>
                <w:sz w:val="21"/>
                <w:szCs w:val="21"/>
              </w:rPr>
              <w:t>85</w:t>
            </w:r>
          </w:p>
        </w:tc>
      </w:tr>
      <w:tr w:rsidR="004B5102" w:rsidRPr="004B5102" w:rsidTr="00B90C00">
        <w:tc>
          <w:tcPr>
            <w:tcW w:w="1559" w:type="dxa"/>
            <w:vMerge/>
            <w:vAlign w:val="center"/>
          </w:tcPr>
          <w:p w:rsidR="004B5102" w:rsidRPr="00B90C00" w:rsidRDefault="004B5102" w:rsidP="00B92154">
            <w:pPr>
              <w:pStyle w:val="a7"/>
              <w:ind w:firstLineChars="0" w:firstLine="0"/>
              <w:jc w:val="center"/>
              <w:rPr>
                <w:rFonts w:ascii="Times New Roman" w:cs="Times New Roman"/>
                <w:sz w:val="21"/>
              </w:rPr>
            </w:pPr>
          </w:p>
        </w:tc>
        <w:tc>
          <w:tcPr>
            <w:tcW w:w="1417" w:type="dxa"/>
            <w:vMerge/>
            <w:vAlign w:val="center"/>
          </w:tcPr>
          <w:p w:rsidR="004B5102" w:rsidRPr="00B90C00" w:rsidRDefault="004B5102" w:rsidP="00B92154">
            <w:pPr>
              <w:pStyle w:val="a7"/>
              <w:ind w:firstLineChars="0" w:firstLine="0"/>
              <w:jc w:val="center"/>
              <w:rPr>
                <w:rFonts w:ascii="Times New Roman" w:cs="Times New Roman"/>
                <w:sz w:val="21"/>
              </w:rPr>
            </w:pPr>
          </w:p>
        </w:tc>
        <w:tc>
          <w:tcPr>
            <w:tcW w:w="1276" w:type="dxa"/>
            <w:vMerge/>
            <w:vAlign w:val="center"/>
          </w:tcPr>
          <w:p w:rsidR="004B5102" w:rsidRPr="00B90C00" w:rsidRDefault="004B5102" w:rsidP="00B92154">
            <w:pPr>
              <w:pStyle w:val="a7"/>
              <w:ind w:firstLineChars="0" w:firstLine="0"/>
              <w:jc w:val="center"/>
              <w:rPr>
                <w:rFonts w:ascii="Times New Roman" w:cs="Times New Roman"/>
                <w:sz w:val="21"/>
              </w:rPr>
            </w:pPr>
          </w:p>
        </w:tc>
        <w:tc>
          <w:tcPr>
            <w:tcW w:w="1134" w:type="dxa"/>
            <w:vMerge/>
            <w:vAlign w:val="center"/>
          </w:tcPr>
          <w:p w:rsidR="004B5102" w:rsidRPr="00B90C00" w:rsidRDefault="004B5102" w:rsidP="00B92154">
            <w:pPr>
              <w:pStyle w:val="a7"/>
              <w:ind w:firstLineChars="0" w:firstLine="0"/>
              <w:jc w:val="center"/>
              <w:rPr>
                <w:rFonts w:ascii="Times New Roman" w:cs="Times New Roman"/>
                <w:sz w:val="21"/>
              </w:rPr>
            </w:pPr>
          </w:p>
        </w:tc>
        <w:tc>
          <w:tcPr>
            <w:tcW w:w="1418"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130.2</w:t>
            </w:r>
          </w:p>
        </w:tc>
        <w:tc>
          <w:tcPr>
            <w:tcW w:w="1417"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85</w:t>
            </w:r>
          </w:p>
        </w:tc>
      </w:tr>
      <w:tr w:rsidR="004B5102" w:rsidRPr="004B5102" w:rsidTr="00B90C00">
        <w:tc>
          <w:tcPr>
            <w:tcW w:w="1559" w:type="dxa"/>
            <w:vMerge w:val="restart"/>
            <w:vAlign w:val="center"/>
          </w:tcPr>
          <w:p w:rsidR="004B5102" w:rsidRPr="00B90C00" w:rsidRDefault="004B5102" w:rsidP="00B92154">
            <w:pPr>
              <w:pStyle w:val="a7"/>
              <w:ind w:firstLineChars="0" w:firstLine="0"/>
              <w:jc w:val="center"/>
              <w:rPr>
                <w:rFonts w:ascii="Times New Roman" w:cs="Times New Roman"/>
                <w:sz w:val="21"/>
              </w:rPr>
            </w:pPr>
            <w:r w:rsidRPr="00B90C00">
              <w:rPr>
                <w:rFonts w:hint="eastAsia"/>
                <w:sz w:val="21"/>
              </w:rPr>
              <w:lastRenderedPageBreak/>
              <w:t>吲哚丁酸/</w:t>
            </w:r>
            <w:r w:rsidRPr="00B90C00">
              <w:rPr>
                <w:rFonts w:ascii="Times New Roman" w:cs="Times New Roman"/>
                <w:sz w:val="21"/>
              </w:rPr>
              <w:t>IBA</w:t>
            </w:r>
          </w:p>
        </w:tc>
        <w:tc>
          <w:tcPr>
            <w:tcW w:w="1417" w:type="dxa"/>
            <w:vMerge w:val="restart"/>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1.752</w:t>
            </w:r>
          </w:p>
        </w:tc>
        <w:tc>
          <w:tcPr>
            <w:tcW w:w="1276" w:type="dxa"/>
            <w:vMerge w:val="restart"/>
            <w:vAlign w:val="center"/>
          </w:tcPr>
          <w:p w:rsidR="004B5102" w:rsidRPr="00B90C00" w:rsidRDefault="004B5102" w:rsidP="00B92154">
            <w:pPr>
              <w:jc w:val="center"/>
              <w:rPr>
                <w:sz w:val="21"/>
                <w:szCs w:val="21"/>
              </w:rPr>
            </w:pPr>
            <w:r w:rsidRPr="00B90C00">
              <w:rPr>
                <w:sz w:val="21"/>
                <w:szCs w:val="21"/>
              </w:rPr>
              <w:t>ESI+</w:t>
            </w:r>
          </w:p>
        </w:tc>
        <w:tc>
          <w:tcPr>
            <w:tcW w:w="1134" w:type="dxa"/>
            <w:vMerge w:val="restart"/>
            <w:vAlign w:val="center"/>
          </w:tcPr>
          <w:p w:rsidR="004B5102" w:rsidRPr="00B90C00" w:rsidRDefault="004B5102" w:rsidP="00B92154">
            <w:pPr>
              <w:jc w:val="center"/>
              <w:rPr>
                <w:sz w:val="21"/>
                <w:szCs w:val="21"/>
              </w:rPr>
            </w:pPr>
            <w:r w:rsidRPr="00B90C00">
              <w:rPr>
                <w:sz w:val="21"/>
                <w:szCs w:val="21"/>
              </w:rPr>
              <w:t>204.2</w:t>
            </w:r>
          </w:p>
        </w:tc>
        <w:tc>
          <w:tcPr>
            <w:tcW w:w="1418" w:type="dxa"/>
            <w:vAlign w:val="center"/>
          </w:tcPr>
          <w:p w:rsidR="004B5102" w:rsidRPr="00B90C00" w:rsidRDefault="004B5102" w:rsidP="00B92154">
            <w:pPr>
              <w:jc w:val="center"/>
              <w:rPr>
                <w:sz w:val="21"/>
                <w:szCs w:val="21"/>
              </w:rPr>
            </w:pPr>
            <w:r w:rsidRPr="00B90C00">
              <w:rPr>
                <w:sz w:val="21"/>
                <w:szCs w:val="21"/>
              </w:rPr>
              <w:t>186.0*</w:t>
            </w:r>
          </w:p>
        </w:tc>
        <w:tc>
          <w:tcPr>
            <w:tcW w:w="1417" w:type="dxa"/>
            <w:vAlign w:val="center"/>
          </w:tcPr>
          <w:p w:rsidR="004B5102" w:rsidRPr="00B90C00" w:rsidRDefault="004B5102" w:rsidP="00B92154">
            <w:pPr>
              <w:jc w:val="center"/>
              <w:rPr>
                <w:sz w:val="21"/>
                <w:szCs w:val="21"/>
              </w:rPr>
            </w:pPr>
            <w:r w:rsidRPr="00B90C00">
              <w:rPr>
                <w:sz w:val="21"/>
                <w:szCs w:val="21"/>
              </w:rPr>
              <w:t>85</w:t>
            </w:r>
          </w:p>
        </w:tc>
      </w:tr>
      <w:tr w:rsidR="004B5102" w:rsidRPr="004B5102" w:rsidTr="00B90C00">
        <w:tc>
          <w:tcPr>
            <w:tcW w:w="1559" w:type="dxa"/>
            <w:vMerge/>
            <w:vAlign w:val="center"/>
          </w:tcPr>
          <w:p w:rsidR="004B5102" w:rsidRPr="00B90C00" w:rsidRDefault="004B5102" w:rsidP="00B92154">
            <w:pPr>
              <w:pStyle w:val="a7"/>
              <w:ind w:firstLineChars="0" w:firstLine="0"/>
              <w:jc w:val="center"/>
              <w:rPr>
                <w:rFonts w:ascii="Times New Roman" w:cs="Times New Roman"/>
                <w:sz w:val="21"/>
              </w:rPr>
            </w:pPr>
          </w:p>
        </w:tc>
        <w:tc>
          <w:tcPr>
            <w:tcW w:w="1417" w:type="dxa"/>
            <w:vMerge/>
            <w:vAlign w:val="center"/>
          </w:tcPr>
          <w:p w:rsidR="004B5102" w:rsidRPr="00B90C00" w:rsidRDefault="004B5102" w:rsidP="00B92154">
            <w:pPr>
              <w:pStyle w:val="a7"/>
              <w:ind w:firstLineChars="0" w:firstLine="0"/>
              <w:jc w:val="center"/>
              <w:rPr>
                <w:rFonts w:ascii="Times New Roman" w:cs="Times New Roman"/>
                <w:sz w:val="21"/>
              </w:rPr>
            </w:pPr>
          </w:p>
        </w:tc>
        <w:tc>
          <w:tcPr>
            <w:tcW w:w="1276" w:type="dxa"/>
            <w:vMerge/>
            <w:vAlign w:val="center"/>
          </w:tcPr>
          <w:p w:rsidR="004B5102" w:rsidRPr="00B90C00" w:rsidRDefault="004B5102" w:rsidP="00B92154">
            <w:pPr>
              <w:pStyle w:val="a7"/>
              <w:ind w:firstLineChars="0" w:firstLine="0"/>
              <w:jc w:val="center"/>
              <w:rPr>
                <w:rFonts w:ascii="Times New Roman" w:cs="Times New Roman"/>
                <w:sz w:val="21"/>
              </w:rPr>
            </w:pPr>
          </w:p>
        </w:tc>
        <w:tc>
          <w:tcPr>
            <w:tcW w:w="1134" w:type="dxa"/>
            <w:vMerge/>
            <w:vAlign w:val="center"/>
          </w:tcPr>
          <w:p w:rsidR="004B5102" w:rsidRPr="00B90C00" w:rsidRDefault="004B5102" w:rsidP="00B92154">
            <w:pPr>
              <w:pStyle w:val="a7"/>
              <w:ind w:firstLineChars="0" w:firstLine="0"/>
              <w:jc w:val="center"/>
              <w:rPr>
                <w:rFonts w:ascii="Times New Roman" w:cs="Times New Roman"/>
                <w:sz w:val="21"/>
              </w:rPr>
            </w:pPr>
          </w:p>
        </w:tc>
        <w:tc>
          <w:tcPr>
            <w:tcW w:w="1418"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144.0</w:t>
            </w:r>
          </w:p>
        </w:tc>
        <w:tc>
          <w:tcPr>
            <w:tcW w:w="1417" w:type="dxa"/>
            <w:vAlign w:val="center"/>
          </w:tcPr>
          <w:p w:rsidR="004B5102" w:rsidRPr="00B90C00" w:rsidRDefault="004B5102" w:rsidP="00B92154">
            <w:pPr>
              <w:pStyle w:val="a7"/>
              <w:ind w:firstLineChars="0" w:firstLine="0"/>
              <w:jc w:val="center"/>
              <w:rPr>
                <w:rFonts w:ascii="Times New Roman" w:cs="Times New Roman"/>
                <w:sz w:val="21"/>
              </w:rPr>
            </w:pPr>
            <w:r w:rsidRPr="00B90C00">
              <w:rPr>
                <w:rFonts w:ascii="Times New Roman" w:cs="Times New Roman"/>
                <w:sz w:val="21"/>
              </w:rPr>
              <w:t>85</w:t>
            </w:r>
          </w:p>
        </w:tc>
      </w:tr>
      <w:tr w:rsidR="004B5102" w:rsidRPr="004B5102" w:rsidTr="00B90C00">
        <w:tc>
          <w:tcPr>
            <w:tcW w:w="8221" w:type="dxa"/>
            <w:gridSpan w:val="6"/>
            <w:vAlign w:val="center"/>
          </w:tcPr>
          <w:p w:rsidR="004B5102" w:rsidRPr="004B5102" w:rsidRDefault="004B5102" w:rsidP="00B92154">
            <w:pPr>
              <w:pStyle w:val="a7"/>
              <w:ind w:firstLineChars="0" w:firstLine="0"/>
              <w:jc w:val="left"/>
              <w:rPr>
                <w:rFonts w:ascii="Times New Roman" w:cs="Times New Roman"/>
              </w:rPr>
            </w:pPr>
            <w:r w:rsidRPr="004B5102">
              <w:rPr>
                <w:rFonts w:ascii="Times New Roman" w:hAnsiTheme="minorEastAsia" w:cs="Times New Roman"/>
              </w:rPr>
              <w:t>带</w:t>
            </w:r>
            <w:r w:rsidRPr="004B5102">
              <w:rPr>
                <w:rFonts w:ascii="Times New Roman" w:cs="Times New Roman"/>
              </w:rPr>
              <w:t>*</w:t>
            </w:r>
            <w:r w:rsidRPr="004B5102">
              <w:rPr>
                <w:rFonts w:ascii="Times New Roman" w:hAnsiTheme="minorEastAsia" w:cs="Times New Roman"/>
              </w:rPr>
              <w:t>的为定量离子</w:t>
            </w:r>
          </w:p>
        </w:tc>
      </w:tr>
    </w:tbl>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定性分析</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按照上述条件测定样品和混合标准溶液，如果样品中检出的色谱峰保留时间与所用标准溶液中目标物的保留时间一致，并且在扣除背景后所选择的3对离子的丰度与标准溶液中目标物的3对子离子丰度比的偏差不超过表1的限定，则可判定样品中存在相应的目标物。</w:t>
      </w:r>
    </w:p>
    <w:p w:rsidR="00174A4F" w:rsidRPr="00174A4F" w:rsidRDefault="00174A4F" w:rsidP="00174A4F">
      <w:pPr>
        <w:pStyle w:val="a7"/>
        <w:ind w:firstLineChars="0" w:firstLine="420"/>
        <w:jc w:val="right"/>
        <w:rPr>
          <w:sz w:val="18"/>
          <w:szCs w:val="18"/>
        </w:rPr>
      </w:pPr>
      <w:r w:rsidRPr="00174A4F">
        <w:rPr>
          <w:rFonts w:ascii="仿宋_GB2312" w:eastAsia="仿宋_GB2312" w:hAnsi="仿宋_GB2312" w:cs="Times New Roman" w:hint="eastAsia"/>
          <w:sz w:val="28"/>
          <w:szCs w:val="28"/>
        </w:rPr>
        <w:t>表1 定性测定是相对离子丰度的最大允许偏差</w:t>
      </w:r>
      <w:r>
        <w:rPr>
          <w:rFonts w:ascii="仿宋_GB2312" w:eastAsia="仿宋_GB2312" w:hAnsi="仿宋_GB2312" w:hint="eastAsia"/>
          <w:sz w:val="28"/>
          <w:szCs w:val="28"/>
        </w:rPr>
        <w:t xml:space="preserve">  </w:t>
      </w:r>
      <w:r w:rsidRPr="00FD30B2">
        <w:rPr>
          <w:rFonts w:hint="eastAsia"/>
          <w:sz w:val="18"/>
          <w:szCs w:val="18"/>
        </w:rPr>
        <w:t>单位为百分率</w:t>
      </w:r>
    </w:p>
    <w:tbl>
      <w:tblPr>
        <w:tblStyle w:val="a6"/>
        <w:tblW w:w="0" w:type="auto"/>
        <w:tblInd w:w="250" w:type="dxa"/>
        <w:tblLook w:val="04A0" w:firstRow="1" w:lastRow="0" w:firstColumn="1" w:lastColumn="0" w:noHBand="0" w:noVBand="1"/>
      </w:tblPr>
      <w:tblGrid>
        <w:gridCol w:w="1701"/>
        <w:gridCol w:w="1407"/>
        <w:gridCol w:w="1570"/>
        <w:gridCol w:w="1906"/>
        <w:gridCol w:w="1496"/>
      </w:tblGrid>
      <w:tr w:rsidR="00174A4F" w:rsidRPr="004B5102" w:rsidTr="00B90C00">
        <w:tc>
          <w:tcPr>
            <w:tcW w:w="1701"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类别</w:t>
            </w:r>
          </w:p>
        </w:tc>
        <w:tc>
          <w:tcPr>
            <w:tcW w:w="6379" w:type="dxa"/>
            <w:gridSpan w:val="4"/>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范围</w:t>
            </w:r>
          </w:p>
        </w:tc>
      </w:tr>
      <w:tr w:rsidR="00174A4F" w:rsidRPr="004B5102" w:rsidTr="00B90C00">
        <w:tc>
          <w:tcPr>
            <w:tcW w:w="1701" w:type="dxa"/>
          </w:tcPr>
          <w:p w:rsidR="00174A4F" w:rsidRPr="00B90C00" w:rsidRDefault="00174A4F" w:rsidP="00B92154">
            <w:pPr>
              <w:pStyle w:val="a7"/>
              <w:ind w:firstLineChars="0" w:firstLine="0"/>
              <w:jc w:val="left"/>
              <w:rPr>
                <w:rFonts w:ascii="Times New Roman" w:cs="Times New Roman"/>
                <w:sz w:val="21"/>
              </w:rPr>
            </w:pPr>
            <w:r w:rsidRPr="00B90C00">
              <w:rPr>
                <w:rFonts w:ascii="Times New Roman" w:cs="Times New Roman"/>
                <w:sz w:val="21"/>
              </w:rPr>
              <w:t>相对离子丰度</w:t>
            </w:r>
          </w:p>
        </w:tc>
        <w:tc>
          <w:tcPr>
            <w:tcW w:w="1407"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w:t>
            </w:r>
            <w:r w:rsidRPr="00B90C00">
              <w:rPr>
                <w:rFonts w:ascii="Times New Roman" w:cs="Times New Roman"/>
                <w:sz w:val="21"/>
              </w:rPr>
              <w:t>50</w:t>
            </w:r>
          </w:p>
        </w:tc>
        <w:tc>
          <w:tcPr>
            <w:tcW w:w="1570"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20-50</w:t>
            </w:r>
            <w:r w:rsidRPr="00B90C00">
              <w:rPr>
                <w:rFonts w:ascii="Times New Roman" w:cs="Times New Roman"/>
                <w:sz w:val="21"/>
              </w:rPr>
              <w:t>（含）</w:t>
            </w:r>
          </w:p>
        </w:tc>
        <w:tc>
          <w:tcPr>
            <w:tcW w:w="1906"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10-20</w:t>
            </w:r>
            <w:r w:rsidRPr="00B90C00">
              <w:rPr>
                <w:rFonts w:ascii="Times New Roman" w:cs="Times New Roman"/>
                <w:sz w:val="21"/>
              </w:rPr>
              <w:t>（含）</w:t>
            </w:r>
          </w:p>
        </w:tc>
        <w:tc>
          <w:tcPr>
            <w:tcW w:w="1496"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w:t>
            </w:r>
            <w:r w:rsidRPr="00B90C00">
              <w:rPr>
                <w:rFonts w:ascii="Times New Roman" w:cs="Times New Roman"/>
                <w:sz w:val="21"/>
              </w:rPr>
              <w:t>10</w:t>
            </w:r>
          </w:p>
        </w:tc>
      </w:tr>
      <w:tr w:rsidR="00174A4F" w:rsidRPr="004B5102" w:rsidTr="00B90C00">
        <w:tc>
          <w:tcPr>
            <w:tcW w:w="1701" w:type="dxa"/>
          </w:tcPr>
          <w:p w:rsidR="00174A4F" w:rsidRPr="00B90C00" w:rsidRDefault="00174A4F" w:rsidP="00B92154">
            <w:pPr>
              <w:pStyle w:val="a7"/>
              <w:ind w:firstLineChars="0" w:firstLine="0"/>
              <w:jc w:val="left"/>
              <w:rPr>
                <w:rFonts w:ascii="Times New Roman" w:cs="Times New Roman"/>
                <w:sz w:val="21"/>
              </w:rPr>
            </w:pPr>
            <w:r w:rsidRPr="00B90C00">
              <w:rPr>
                <w:rFonts w:ascii="Times New Roman" w:cs="Times New Roman"/>
                <w:sz w:val="21"/>
              </w:rPr>
              <w:t>允许的相对偏差</w:t>
            </w:r>
          </w:p>
        </w:tc>
        <w:tc>
          <w:tcPr>
            <w:tcW w:w="1407"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±20</w:t>
            </w:r>
          </w:p>
        </w:tc>
        <w:tc>
          <w:tcPr>
            <w:tcW w:w="1570"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±25</w:t>
            </w:r>
          </w:p>
        </w:tc>
        <w:tc>
          <w:tcPr>
            <w:tcW w:w="1906"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±30</w:t>
            </w:r>
          </w:p>
        </w:tc>
        <w:tc>
          <w:tcPr>
            <w:tcW w:w="1496" w:type="dxa"/>
          </w:tcPr>
          <w:p w:rsidR="00174A4F" w:rsidRPr="00B90C00" w:rsidRDefault="00174A4F" w:rsidP="00B92154">
            <w:pPr>
              <w:pStyle w:val="a7"/>
              <w:ind w:firstLineChars="0" w:firstLine="0"/>
              <w:jc w:val="center"/>
              <w:rPr>
                <w:rFonts w:ascii="Times New Roman" w:cs="Times New Roman"/>
                <w:sz w:val="21"/>
              </w:rPr>
            </w:pPr>
            <w:r w:rsidRPr="00B90C00">
              <w:rPr>
                <w:rFonts w:ascii="Times New Roman" w:cs="Times New Roman"/>
                <w:sz w:val="21"/>
              </w:rPr>
              <w:t>±50</w:t>
            </w:r>
          </w:p>
        </w:tc>
      </w:tr>
    </w:tbl>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定量测定</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采用外标法进行定量计算。按浓度由小到大的顺序，依次分析所用混合工作标准溶液，得到浓度与定量离子峰面积的工作曲线。样品溶液中分析物的响应值应在工作曲线范围内。</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标准溶液的液相色谱-串联质谱多反应监测（MRM）色谱图参见附录C。</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空白试验</w:t>
      </w:r>
      <w:r>
        <w:rPr>
          <w:rFonts w:ascii="仿宋_GB2312" w:eastAsia="仿宋_GB2312" w:hAnsi="仿宋_GB2312" w:hint="eastAsia"/>
          <w:kern w:val="0"/>
          <w:sz w:val="28"/>
          <w:szCs w:val="28"/>
        </w:rPr>
        <w:t>：</w:t>
      </w:r>
      <w:r w:rsidRPr="00174A4F">
        <w:rPr>
          <w:rFonts w:ascii="仿宋_GB2312" w:eastAsia="仿宋_GB2312" w:hAnsi="仿宋_GB2312" w:hint="eastAsia"/>
          <w:kern w:val="0"/>
          <w:sz w:val="28"/>
          <w:szCs w:val="28"/>
        </w:rPr>
        <w:t>除不加试样外，按照7.1步骤进行空白试验。</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（八）</w:t>
      </w:r>
      <w:r w:rsidRPr="00174A4F">
        <w:rPr>
          <w:rFonts w:ascii="仿宋_GB2312" w:eastAsia="仿宋_GB2312" w:hAnsi="仿宋_GB2312" w:hint="eastAsia"/>
          <w:kern w:val="0"/>
          <w:sz w:val="28"/>
          <w:szCs w:val="28"/>
        </w:rPr>
        <w:t>结果计算</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试样中被测组分含量按式（1）计算。</w:t>
      </w:r>
    </w:p>
    <w:p w:rsidR="00174A4F" w:rsidRPr="00174A4F" w:rsidRDefault="007972BD"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kern w:val="0"/>
          <w:sz w:val="28"/>
          <w:szCs w:val="28"/>
        </w:rPr>
        <w:t>X</w:t>
      </w:r>
      <w:proofErr w:type="gramStart"/>
      <w:r>
        <w:rPr>
          <w:rFonts w:ascii="仿宋_GB2312" w:eastAsia="仿宋_GB2312" w:hAnsi="仿宋_GB2312"/>
          <w:kern w:val="0"/>
          <w:sz w:val="28"/>
          <w:szCs w:val="28"/>
        </w:rPr>
        <w:t>=(</w:t>
      </w:r>
      <w:proofErr w:type="spellStart"/>
      <w:proofErr w:type="gramEnd"/>
      <w:r>
        <w:rPr>
          <w:rFonts w:ascii="仿宋_GB2312" w:eastAsia="仿宋_GB2312" w:hAnsi="仿宋_GB2312"/>
          <w:kern w:val="0"/>
          <w:sz w:val="28"/>
          <w:szCs w:val="28"/>
        </w:rPr>
        <w:t>C_i×V</w:t>
      </w:r>
      <w:proofErr w:type="spellEnd"/>
      <w:r>
        <w:rPr>
          <w:rFonts w:ascii="仿宋_GB2312" w:eastAsia="仿宋_GB2312" w:hAnsi="仿宋_GB2312"/>
          <w:kern w:val="0"/>
          <w:sz w:val="28"/>
          <w:szCs w:val="28"/>
        </w:rPr>
        <w:t>)/M…</w:t>
      </w:r>
      <w:r w:rsidRPr="00174A4F">
        <w:rPr>
          <w:rFonts w:ascii="仿宋_GB2312" w:eastAsia="仿宋_GB2312" w:hAnsi="仿宋_GB2312"/>
          <w:kern w:val="0"/>
          <w:sz w:val="28"/>
          <w:szCs w:val="28"/>
        </w:rPr>
        <w:t xml:space="preserve"> </w:t>
      </w:r>
      <w:r w:rsidR="00174A4F" w:rsidRPr="00174A4F">
        <w:rPr>
          <w:rFonts w:ascii="仿宋_GB2312" w:eastAsia="仿宋_GB2312" w:hAnsi="仿宋_GB2312"/>
          <w:kern w:val="0"/>
          <w:sz w:val="28"/>
          <w:szCs w:val="28"/>
        </w:rPr>
        <w:t>(1)</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式中：</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X—试样中被测组分的含量，单位为</w:t>
      </w:r>
      <w:proofErr w:type="gramStart"/>
      <w:r w:rsidRPr="00174A4F">
        <w:rPr>
          <w:rFonts w:ascii="仿宋_GB2312" w:eastAsia="仿宋_GB2312" w:hAnsi="仿宋_GB2312" w:hint="eastAsia"/>
          <w:kern w:val="0"/>
          <w:sz w:val="28"/>
          <w:szCs w:val="28"/>
        </w:rPr>
        <w:t>微克每</w:t>
      </w:r>
      <w:proofErr w:type="gramEnd"/>
      <w:r w:rsidRPr="00174A4F">
        <w:rPr>
          <w:rFonts w:ascii="仿宋_GB2312" w:eastAsia="仿宋_GB2312" w:hAnsi="仿宋_GB2312" w:hint="eastAsia"/>
          <w:kern w:val="0"/>
          <w:sz w:val="28"/>
          <w:szCs w:val="28"/>
        </w:rPr>
        <w:t>千克（µg/kg）；</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Ci —从标准工作曲线上得到的被测组分溶液浓度,单位为微克每升（µg/L）；</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lastRenderedPageBreak/>
        <w:t>V</w:t>
      </w:r>
      <w:proofErr w:type="gramStart"/>
      <w:r w:rsidRPr="00174A4F">
        <w:rPr>
          <w:rFonts w:ascii="仿宋_GB2312" w:eastAsia="仿宋_GB2312" w:hAnsi="仿宋_GB2312" w:hint="eastAsia"/>
          <w:kern w:val="0"/>
          <w:sz w:val="28"/>
          <w:szCs w:val="28"/>
        </w:rPr>
        <w:t>—样液最终定</w:t>
      </w:r>
      <w:proofErr w:type="gramEnd"/>
      <w:r w:rsidRPr="00174A4F">
        <w:rPr>
          <w:rFonts w:ascii="仿宋_GB2312" w:eastAsia="仿宋_GB2312" w:hAnsi="仿宋_GB2312" w:hint="eastAsia"/>
          <w:kern w:val="0"/>
          <w:sz w:val="28"/>
          <w:szCs w:val="28"/>
        </w:rPr>
        <w:t>容体积，单位为毫升（mL）；</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M</w:t>
      </w:r>
      <w:proofErr w:type="gramStart"/>
      <w:r w:rsidRPr="00174A4F">
        <w:rPr>
          <w:rFonts w:ascii="仿宋_GB2312" w:eastAsia="仿宋_GB2312" w:hAnsi="仿宋_GB2312" w:hint="eastAsia"/>
          <w:kern w:val="0"/>
          <w:sz w:val="28"/>
          <w:szCs w:val="28"/>
        </w:rPr>
        <w:t>—样液</w:t>
      </w:r>
      <w:proofErr w:type="gramEnd"/>
      <w:r w:rsidRPr="00174A4F">
        <w:rPr>
          <w:rFonts w:ascii="仿宋_GB2312" w:eastAsia="仿宋_GB2312" w:hAnsi="仿宋_GB2312" w:hint="eastAsia"/>
          <w:kern w:val="0"/>
          <w:sz w:val="28"/>
          <w:szCs w:val="28"/>
        </w:rPr>
        <w:t>所代表的试样质量单位为克（g）。</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计算结果保留2位有效数字。</w:t>
      </w:r>
    </w:p>
    <w:p w:rsid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（九）</w:t>
      </w:r>
      <w:r w:rsidRPr="00174A4F">
        <w:rPr>
          <w:rFonts w:ascii="仿宋_GB2312" w:eastAsia="仿宋_GB2312" w:hAnsi="仿宋_GB2312" w:hint="eastAsia"/>
          <w:kern w:val="0"/>
          <w:sz w:val="28"/>
          <w:szCs w:val="28"/>
        </w:rPr>
        <w:t>精密度</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在重复性条件下，2次独立测定结果的绝对差不大于重复性限（r），在再现性条件下，2次独立测定结果的绝对差不大于再现性限（R</w:t>
      </w:r>
      <w:r w:rsidR="000A7D07">
        <w:rPr>
          <w:rFonts w:ascii="仿宋_GB2312" w:eastAsia="仿宋_GB2312" w:hAnsi="仿宋_GB2312" w:hint="eastAsia"/>
          <w:kern w:val="0"/>
          <w:sz w:val="28"/>
          <w:szCs w:val="28"/>
        </w:rPr>
        <w:t>）。方法定量限、回收率、</w:t>
      </w:r>
      <w:r w:rsidR="000A7D07" w:rsidRPr="00174A4F">
        <w:rPr>
          <w:rFonts w:ascii="仿宋_GB2312" w:eastAsia="仿宋_GB2312" w:hAnsi="仿宋_GB2312" w:hint="eastAsia"/>
          <w:kern w:val="0"/>
          <w:sz w:val="28"/>
          <w:szCs w:val="28"/>
        </w:rPr>
        <w:t>被测组分的添加水平和回收率数据</w:t>
      </w:r>
      <w:r w:rsidR="000A7D07">
        <w:rPr>
          <w:rFonts w:ascii="仿宋_GB2312" w:eastAsia="仿宋_GB2312" w:hAnsi="仿宋_GB2312" w:hint="eastAsia"/>
          <w:kern w:val="0"/>
          <w:sz w:val="28"/>
          <w:szCs w:val="28"/>
        </w:rPr>
        <w:t>详细数据参见本检测方法附录部分</w:t>
      </w:r>
      <w:r w:rsidRPr="00174A4F">
        <w:rPr>
          <w:rFonts w:ascii="仿宋_GB2312" w:eastAsia="仿宋_GB2312" w:hAnsi="仿宋_GB2312" w:hint="eastAsia"/>
          <w:kern w:val="0"/>
          <w:sz w:val="28"/>
          <w:szCs w:val="28"/>
        </w:rPr>
        <w:t>。</w:t>
      </w:r>
    </w:p>
    <w:p w:rsidR="00174A4F" w:rsidRDefault="00174A4F" w:rsidP="00174A4F">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七、与国内外同类标准技术内容的对比情况</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与国内相关植物激素检测标准如《水果和蔬菜中多种植物生长调节剂的检测</w:t>
      </w:r>
      <w:r w:rsidR="009A14D8">
        <w:rPr>
          <w:rFonts w:ascii="仿宋_GB2312" w:eastAsia="仿宋_GB2312" w:hAnsi="仿宋_GB2312" w:hint="eastAsia"/>
          <w:kern w:val="0"/>
          <w:sz w:val="28"/>
          <w:szCs w:val="28"/>
        </w:rPr>
        <w:t xml:space="preserve"> </w:t>
      </w:r>
      <w:r w:rsidRPr="00174A4F">
        <w:rPr>
          <w:rFonts w:ascii="仿宋_GB2312" w:eastAsia="仿宋_GB2312" w:hAnsi="仿宋_GB2312" w:hint="eastAsia"/>
          <w:kern w:val="0"/>
          <w:sz w:val="28"/>
          <w:szCs w:val="28"/>
        </w:rPr>
        <w:t>液相色谱串联质谱法》（T/SATA 0008—2018</w:t>
      </w:r>
      <w:r>
        <w:rPr>
          <w:rFonts w:ascii="仿宋_GB2312" w:eastAsia="仿宋_GB2312" w:hAnsi="仿宋_GB2312" w:hint="eastAsia"/>
          <w:kern w:val="0"/>
          <w:sz w:val="28"/>
          <w:szCs w:val="28"/>
        </w:rPr>
        <w:t>）相比，</w:t>
      </w:r>
      <w:r w:rsidRPr="00174A4F">
        <w:rPr>
          <w:rFonts w:ascii="仿宋_GB2312" w:eastAsia="仿宋_GB2312" w:hAnsi="仿宋_GB2312" w:hint="eastAsia"/>
          <w:kern w:val="0"/>
          <w:sz w:val="28"/>
          <w:szCs w:val="28"/>
        </w:rPr>
        <w:t>在适用范围上更</w:t>
      </w:r>
      <w:r w:rsidR="009A14D8">
        <w:rPr>
          <w:rFonts w:ascii="仿宋_GB2312" w:eastAsia="仿宋_GB2312" w:hAnsi="仿宋_GB2312" w:hint="eastAsia"/>
          <w:kern w:val="0"/>
          <w:sz w:val="28"/>
          <w:szCs w:val="28"/>
        </w:rPr>
        <w:t>具</w:t>
      </w:r>
      <w:r w:rsidR="000A7D07">
        <w:rPr>
          <w:rFonts w:ascii="仿宋_GB2312" w:eastAsia="仿宋_GB2312" w:hAnsi="仿宋_GB2312" w:hint="eastAsia"/>
          <w:kern w:val="0"/>
          <w:sz w:val="28"/>
          <w:szCs w:val="28"/>
        </w:rPr>
        <w:t>更强的针对性</w:t>
      </w:r>
      <w:r w:rsidR="009A14D8">
        <w:rPr>
          <w:rFonts w:ascii="仿宋_GB2312" w:eastAsia="仿宋_GB2312" w:hAnsi="仿宋_GB2312" w:hint="eastAsia"/>
          <w:kern w:val="0"/>
          <w:sz w:val="28"/>
          <w:szCs w:val="28"/>
        </w:rPr>
        <w:t>。在检测方法上也</w:t>
      </w:r>
      <w:r w:rsidRPr="00174A4F">
        <w:rPr>
          <w:rFonts w:ascii="仿宋_GB2312" w:eastAsia="仿宋_GB2312" w:hAnsi="仿宋_GB2312" w:hint="eastAsia"/>
          <w:kern w:val="0"/>
          <w:sz w:val="28"/>
          <w:szCs w:val="28"/>
        </w:rPr>
        <w:t>有相似之处，但在样品前处理环节因西红花的特殊成分和基质而有所不同。</w:t>
      </w:r>
    </w:p>
    <w:p w:rsidR="00174A4F" w:rsidRP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sidRPr="00174A4F">
        <w:rPr>
          <w:rFonts w:ascii="仿宋_GB2312" w:eastAsia="仿宋_GB2312" w:hAnsi="仿宋_GB2312" w:hint="eastAsia"/>
          <w:kern w:val="0"/>
          <w:sz w:val="28"/>
          <w:szCs w:val="28"/>
        </w:rPr>
        <w:t>国外有类似的针对植物内源性激素检测的标准或方法，但在检测目标物的种类、检</w:t>
      </w:r>
      <w:r w:rsidR="009A14D8">
        <w:rPr>
          <w:rFonts w:ascii="仿宋_GB2312" w:eastAsia="仿宋_GB2312" w:hAnsi="仿宋_GB2312" w:hint="eastAsia"/>
          <w:kern w:val="0"/>
          <w:sz w:val="28"/>
          <w:szCs w:val="28"/>
        </w:rPr>
        <w:t>测技术细节、样品基质等方面存在差异。如国际上对于植物激素检测</w:t>
      </w:r>
      <w:r w:rsidRPr="00174A4F">
        <w:rPr>
          <w:rFonts w:ascii="仿宋_GB2312" w:eastAsia="仿宋_GB2312" w:hAnsi="仿宋_GB2312" w:hint="eastAsia"/>
          <w:kern w:val="0"/>
          <w:sz w:val="28"/>
          <w:szCs w:val="28"/>
        </w:rPr>
        <w:t>更侧重于多种激素的同时检测，而本方法专注于西红花中的吲哚乙酸和吲哚丁酸</w:t>
      </w:r>
      <w:r w:rsidR="009A14D8">
        <w:rPr>
          <w:rFonts w:ascii="仿宋_GB2312" w:eastAsia="仿宋_GB2312" w:hAnsi="仿宋_GB2312" w:hint="eastAsia"/>
          <w:kern w:val="0"/>
          <w:sz w:val="28"/>
          <w:szCs w:val="28"/>
        </w:rPr>
        <w:t>，提高了方法的灵敏度</w:t>
      </w:r>
      <w:r w:rsidRPr="00174A4F">
        <w:rPr>
          <w:rFonts w:ascii="仿宋_GB2312" w:eastAsia="仿宋_GB2312" w:hAnsi="仿宋_GB2312" w:hint="eastAsia"/>
          <w:kern w:val="0"/>
          <w:sz w:val="28"/>
          <w:szCs w:val="28"/>
        </w:rPr>
        <w:t>。此外，不同国家和地区的仪器设备使用习惯、试剂规格等也存在一定差异，导致具体方法参数有所不同。</w:t>
      </w:r>
    </w:p>
    <w:p w:rsidR="00174A4F" w:rsidRDefault="00174A4F" w:rsidP="00174A4F">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八、与有关法律、行政法规及相关标准的关系</w:t>
      </w:r>
    </w:p>
    <w:p w:rsidR="00174A4F" w:rsidRDefault="00174A4F" w:rsidP="00174A4F">
      <w:pPr>
        <w:spacing w:line="360" w:lineRule="auto"/>
        <w:ind w:firstLineChars="200" w:firstLine="600"/>
        <w:rPr>
          <w:rFonts w:ascii="仿宋" w:eastAsia="仿宋" w:hAnsi="仿宋"/>
          <w:sz w:val="30"/>
          <w:szCs w:val="30"/>
        </w:rPr>
      </w:pPr>
      <w:r>
        <w:rPr>
          <w:rFonts w:ascii="仿宋" w:eastAsia="仿宋" w:hAnsi="仿宋" w:hint="eastAsia"/>
          <w:sz w:val="30"/>
          <w:szCs w:val="30"/>
        </w:rPr>
        <w:t>本标准所确定的相关质量标准与现行法律、法规和相关标准化相协调、无冲突。</w:t>
      </w:r>
    </w:p>
    <w:p w:rsidR="00174A4F" w:rsidRDefault="00174A4F" w:rsidP="00174A4F">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lastRenderedPageBreak/>
        <w:t>九、重大分歧意见的处理经过和依据</w:t>
      </w:r>
    </w:p>
    <w:p w:rsidR="00174A4F" w:rsidRDefault="00174A4F" w:rsidP="00174A4F">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本标准制定过程至本阶段尚无重大分歧意见。</w:t>
      </w:r>
    </w:p>
    <w:p w:rsidR="00174A4F" w:rsidRDefault="00174A4F" w:rsidP="00174A4F">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十、实施标准的措施建议</w:t>
      </w:r>
    </w:p>
    <w:p w:rsidR="009A14D8" w:rsidRPr="009A14D8" w:rsidRDefault="009A14D8" w:rsidP="009A14D8">
      <w:pPr>
        <w:spacing w:line="360" w:lineRule="auto"/>
        <w:ind w:firstLineChars="200" w:firstLine="560"/>
        <w:jc w:val="left"/>
        <w:outlineLvl w:val="0"/>
        <w:rPr>
          <w:rFonts w:ascii="仿宋_GB2312" w:eastAsia="仿宋_GB2312" w:hAnsi="仿宋_GB2312"/>
          <w:kern w:val="0"/>
          <w:sz w:val="28"/>
          <w:szCs w:val="28"/>
        </w:rPr>
      </w:pPr>
      <w:r>
        <w:rPr>
          <w:rFonts w:ascii="仿宋_GB2312" w:eastAsia="仿宋_GB2312" w:hAnsi="仿宋_GB2312" w:hint="eastAsia"/>
          <w:kern w:val="0"/>
          <w:sz w:val="28"/>
          <w:szCs w:val="28"/>
        </w:rPr>
        <w:t>应用方法前需</w:t>
      </w:r>
      <w:r w:rsidRPr="009A14D8">
        <w:rPr>
          <w:rFonts w:ascii="仿宋_GB2312" w:eastAsia="仿宋_GB2312" w:hAnsi="仿宋_GB2312" w:hint="eastAsia"/>
          <w:kern w:val="0"/>
          <w:sz w:val="28"/>
          <w:szCs w:val="28"/>
        </w:rPr>
        <w:t>对相关操作人员开展包括样品前处理、仪器参数设置、数据采集与分析等环节</w:t>
      </w:r>
      <w:r>
        <w:rPr>
          <w:rFonts w:ascii="仿宋_GB2312" w:eastAsia="仿宋_GB2312" w:hAnsi="仿宋_GB2312" w:hint="eastAsia"/>
          <w:kern w:val="0"/>
          <w:sz w:val="28"/>
          <w:szCs w:val="28"/>
        </w:rPr>
        <w:t>的培训</w:t>
      </w:r>
      <w:r w:rsidRPr="009A14D8">
        <w:rPr>
          <w:rFonts w:ascii="仿宋_GB2312" w:eastAsia="仿宋_GB2312" w:hAnsi="仿宋_GB2312" w:hint="eastAsia"/>
          <w:kern w:val="0"/>
          <w:sz w:val="28"/>
          <w:szCs w:val="28"/>
        </w:rPr>
        <w:t>，提高操作人员的技能水平和熟练程度</w:t>
      </w:r>
      <w:r>
        <w:rPr>
          <w:rFonts w:ascii="仿宋_GB2312" w:eastAsia="仿宋_GB2312" w:hAnsi="仿宋_GB2312" w:hint="eastAsia"/>
          <w:kern w:val="0"/>
          <w:sz w:val="28"/>
          <w:szCs w:val="28"/>
        </w:rPr>
        <w:t>。定量分析时需</w:t>
      </w:r>
      <w:r w:rsidRPr="009A14D8">
        <w:rPr>
          <w:rFonts w:ascii="仿宋_GB2312" w:eastAsia="仿宋_GB2312" w:hAnsi="仿宋_GB2312" w:hint="eastAsia"/>
          <w:kern w:val="0"/>
          <w:sz w:val="28"/>
          <w:szCs w:val="28"/>
        </w:rPr>
        <w:t>选用具有高纯度、准确性和</w:t>
      </w:r>
      <w:proofErr w:type="gramStart"/>
      <w:r w:rsidRPr="009A14D8">
        <w:rPr>
          <w:rFonts w:ascii="仿宋_GB2312" w:eastAsia="仿宋_GB2312" w:hAnsi="仿宋_GB2312" w:hint="eastAsia"/>
          <w:kern w:val="0"/>
          <w:sz w:val="28"/>
          <w:szCs w:val="28"/>
        </w:rPr>
        <w:t>可</w:t>
      </w:r>
      <w:proofErr w:type="gramEnd"/>
      <w:r w:rsidRPr="009A14D8">
        <w:rPr>
          <w:rFonts w:ascii="仿宋_GB2312" w:eastAsia="仿宋_GB2312" w:hAnsi="仿宋_GB2312" w:hint="eastAsia"/>
          <w:kern w:val="0"/>
          <w:sz w:val="28"/>
          <w:szCs w:val="28"/>
        </w:rPr>
        <w:t>溯源性的吲哚乙酸、吲哚丁酸标准物质，用于仪器校准、方法验证和质量控制，确保检测结果的准确性和可比性。</w:t>
      </w:r>
    </w:p>
    <w:p w:rsidR="00174A4F" w:rsidRDefault="00174A4F" w:rsidP="00174A4F">
      <w:pPr>
        <w:spacing w:line="360" w:lineRule="auto"/>
        <w:ind w:firstLineChars="200" w:firstLine="560"/>
        <w:jc w:val="left"/>
        <w:outlineLvl w:val="0"/>
        <w:rPr>
          <w:rFonts w:ascii="黑体" w:eastAsia="黑体" w:hAnsi="黑体" w:cs="黑体"/>
          <w:sz w:val="28"/>
          <w:szCs w:val="28"/>
        </w:rPr>
      </w:pPr>
      <w:r>
        <w:rPr>
          <w:rFonts w:ascii="黑体" w:eastAsia="黑体" w:hAnsi="黑体" w:cs="黑体" w:hint="eastAsia"/>
          <w:sz w:val="28"/>
          <w:szCs w:val="28"/>
        </w:rPr>
        <w:t>十一、其他应当说明的事项</w:t>
      </w:r>
    </w:p>
    <w:p w:rsidR="00174A4F" w:rsidRDefault="00174A4F" w:rsidP="00174A4F">
      <w:pPr>
        <w:widowControl/>
        <w:autoSpaceDE w:val="0"/>
        <w:autoSpaceDN w:val="0"/>
        <w:spacing w:line="360" w:lineRule="auto"/>
        <w:ind w:firstLineChars="200" w:firstLine="560"/>
        <w:rPr>
          <w:rFonts w:ascii="仿宋_GB2312" w:eastAsia="仿宋_GB2312" w:hAnsi="仿宋_GB2312"/>
          <w:kern w:val="0"/>
          <w:sz w:val="28"/>
          <w:szCs w:val="28"/>
        </w:rPr>
      </w:pPr>
      <w:r>
        <w:rPr>
          <w:rFonts w:ascii="仿宋_GB2312" w:eastAsia="仿宋_GB2312" w:hAnsi="仿宋_GB2312" w:hint="eastAsia"/>
          <w:kern w:val="0"/>
          <w:sz w:val="28"/>
          <w:szCs w:val="28"/>
        </w:rPr>
        <w:t>无。</w:t>
      </w:r>
    </w:p>
    <w:p w:rsidR="00017DA4" w:rsidRPr="00174A4F" w:rsidRDefault="00017DA4" w:rsidP="00017DA4">
      <w:pPr>
        <w:widowControl/>
        <w:tabs>
          <w:tab w:val="left" w:pos="2970"/>
        </w:tabs>
        <w:autoSpaceDE w:val="0"/>
        <w:autoSpaceDN w:val="0"/>
        <w:spacing w:line="360" w:lineRule="auto"/>
        <w:ind w:firstLineChars="200" w:firstLine="560"/>
        <w:rPr>
          <w:rFonts w:ascii="仿宋_GB2312" w:eastAsia="仿宋_GB2312" w:hAnsi="仿宋_GB2312"/>
          <w:kern w:val="0"/>
          <w:sz w:val="28"/>
          <w:szCs w:val="28"/>
        </w:rPr>
      </w:pPr>
    </w:p>
    <w:p w:rsidR="00017DA4" w:rsidRPr="00017DA4" w:rsidRDefault="00017DA4" w:rsidP="00C70E93">
      <w:pPr>
        <w:ind w:firstLineChars="200" w:firstLine="560"/>
        <w:rPr>
          <w:rFonts w:ascii="仿宋_GB2312" w:eastAsia="仿宋_GB2312" w:hAnsi="仿宋_GB2312"/>
          <w:kern w:val="0"/>
          <w:sz w:val="28"/>
          <w:szCs w:val="28"/>
        </w:rPr>
      </w:pPr>
    </w:p>
    <w:sectPr w:rsidR="00017DA4" w:rsidRPr="00017DA4" w:rsidSect="00CF5C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50" w:rsidRDefault="000F5A50" w:rsidP="00017248">
      <w:r>
        <w:separator/>
      </w:r>
    </w:p>
  </w:endnote>
  <w:endnote w:type="continuationSeparator" w:id="0">
    <w:p w:rsidR="000F5A50" w:rsidRDefault="000F5A50" w:rsidP="0001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50" w:rsidRDefault="000F5A50" w:rsidP="00017248">
      <w:r>
        <w:separator/>
      </w:r>
    </w:p>
  </w:footnote>
  <w:footnote w:type="continuationSeparator" w:id="0">
    <w:p w:rsidR="000F5A50" w:rsidRDefault="000F5A50" w:rsidP="00017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7248"/>
    <w:rsid w:val="00017248"/>
    <w:rsid w:val="00017DA4"/>
    <w:rsid w:val="00046DA0"/>
    <w:rsid w:val="000564F4"/>
    <w:rsid w:val="000A7D07"/>
    <w:rsid w:val="000F5A50"/>
    <w:rsid w:val="00117395"/>
    <w:rsid w:val="00174A4F"/>
    <w:rsid w:val="001F6B3B"/>
    <w:rsid w:val="002461C0"/>
    <w:rsid w:val="00253082"/>
    <w:rsid w:val="004B5102"/>
    <w:rsid w:val="004E39AE"/>
    <w:rsid w:val="007972BD"/>
    <w:rsid w:val="00797DF3"/>
    <w:rsid w:val="00874970"/>
    <w:rsid w:val="00933421"/>
    <w:rsid w:val="009375D7"/>
    <w:rsid w:val="009A14D8"/>
    <w:rsid w:val="00A26AC8"/>
    <w:rsid w:val="00A37B2C"/>
    <w:rsid w:val="00AB3AF6"/>
    <w:rsid w:val="00B32A3C"/>
    <w:rsid w:val="00B90C00"/>
    <w:rsid w:val="00C5062B"/>
    <w:rsid w:val="00C70E93"/>
    <w:rsid w:val="00CC0685"/>
    <w:rsid w:val="00CD31A1"/>
    <w:rsid w:val="00CE73A4"/>
    <w:rsid w:val="00CF5C03"/>
    <w:rsid w:val="00D3101E"/>
    <w:rsid w:val="00E115C8"/>
    <w:rsid w:val="00EC29F3"/>
    <w:rsid w:val="00F20C11"/>
    <w:rsid w:val="00F73197"/>
    <w:rsid w:val="00FB1832"/>
    <w:rsid w:val="00FF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2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248"/>
    <w:rPr>
      <w:sz w:val="18"/>
      <w:szCs w:val="18"/>
    </w:rPr>
  </w:style>
  <w:style w:type="paragraph" w:styleId="a4">
    <w:name w:val="footer"/>
    <w:basedOn w:val="a"/>
    <w:link w:val="Char0"/>
    <w:uiPriority w:val="99"/>
    <w:unhideWhenUsed/>
    <w:rsid w:val="00017248"/>
    <w:pPr>
      <w:tabs>
        <w:tab w:val="center" w:pos="4153"/>
        <w:tab w:val="right" w:pos="8306"/>
      </w:tabs>
      <w:snapToGrid w:val="0"/>
      <w:jc w:val="left"/>
    </w:pPr>
    <w:rPr>
      <w:sz w:val="18"/>
      <w:szCs w:val="18"/>
    </w:rPr>
  </w:style>
  <w:style w:type="character" w:customStyle="1" w:styleId="Char0">
    <w:name w:val="页脚 Char"/>
    <w:basedOn w:val="a0"/>
    <w:link w:val="a4"/>
    <w:uiPriority w:val="99"/>
    <w:rsid w:val="00017248"/>
    <w:rPr>
      <w:sz w:val="18"/>
      <w:szCs w:val="18"/>
    </w:rPr>
  </w:style>
  <w:style w:type="paragraph" w:styleId="a5">
    <w:name w:val="List Paragraph"/>
    <w:basedOn w:val="a"/>
    <w:uiPriority w:val="34"/>
    <w:qFormat/>
    <w:rsid w:val="00C70E93"/>
    <w:pPr>
      <w:ind w:firstLineChars="200" w:firstLine="420"/>
    </w:pPr>
    <w:rPr>
      <w:szCs w:val="20"/>
    </w:rPr>
  </w:style>
  <w:style w:type="table" w:styleId="a6">
    <w:name w:val="Table Grid"/>
    <w:basedOn w:val="a1"/>
    <w:uiPriority w:val="99"/>
    <w:rsid w:val="00174A4F"/>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段"/>
    <w:link w:val="Char1"/>
    <w:qFormat/>
    <w:rsid w:val="00174A4F"/>
    <w:pPr>
      <w:autoSpaceDE w:val="0"/>
      <w:autoSpaceDN w:val="0"/>
      <w:ind w:firstLineChars="200" w:firstLine="200"/>
      <w:jc w:val="both"/>
    </w:pPr>
    <w:rPr>
      <w:rFonts w:ascii="宋体" w:hAnsi="Times New Roman" w:cs="宋体"/>
      <w:kern w:val="0"/>
      <w:szCs w:val="21"/>
    </w:rPr>
  </w:style>
  <w:style w:type="character" w:customStyle="1" w:styleId="Char1">
    <w:name w:val="段 Char"/>
    <w:basedOn w:val="a0"/>
    <w:link w:val="a7"/>
    <w:rsid w:val="00174A4F"/>
    <w:rPr>
      <w:rFonts w:ascii="宋体" w:hAnsi="Times New Roman"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9</Pages>
  <Words>741</Words>
  <Characters>4230</Characters>
  <Application>Microsoft Office Word</Application>
  <DocSecurity>0</DocSecurity>
  <Lines>35</Lines>
  <Paragraphs>9</Paragraphs>
  <ScaleCrop>false</ScaleCrop>
  <Company>Lenovo</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cmtp</dc:creator>
  <cp:keywords/>
  <dc:description/>
  <cp:lastModifiedBy>Microsoft</cp:lastModifiedBy>
  <cp:revision>36</cp:revision>
  <dcterms:created xsi:type="dcterms:W3CDTF">2025-02-14T02:17:00Z</dcterms:created>
  <dcterms:modified xsi:type="dcterms:W3CDTF">2025-12-11T07:07:00Z</dcterms:modified>
</cp:coreProperties>
</file>