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8DD12F">
      <w:pPr>
        <w:widowControl/>
        <w:ind w:firstLine="643"/>
        <w:jc w:val="center"/>
        <w:rPr>
          <w:rFonts w:hint="eastAsia" w:asciiTheme="minorEastAsia" w:hAnsiTheme="minorEastAsia" w:eastAsiaTheme="minorEastAsia" w:cstheme="minorEastAsia"/>
          <w:b/>
          <w:bCs/>
          <w:color w:val="auto"/>
          <w:sz w:val="32"/>
          <w:szCs w:val="28"/>
          <w:highlight w:val="none"/>
        </w:rPr>
      </w:pPr>
      <w:r>
        <w:rPr>
          <w:rFonts w:hint="eastAsia" w:asciiTheme="minorEastAsia" w:hAnsiTheme="minorEastAsia" w:eastAsiaTheme="minorEastAsia" w:cstheme="minorEastAsia"/>
          <w:b/>
          <w:bCs/>
          <w:color w:val="auto"/>
          <w:sz w:val="32"/>
          <w:szCs w:val="28"/>
          <w:highlight w:val="none"/>
        </w:rPr>
        <w:t>《</w:t>
      </w:r>
      <w:r>
        <w:rPr>
          <w:rFonts w:hint="eastAsia" w:asciiTheme="minorEastAsia" w:hAnsiTheme="minorEastAsia" w:eastAsiaTheme="minorEastAsia" w:cstheme="minorEastAsia"/>
          <w:b/>
          <w:bCs/>
          <w:color w:val="auto"/>
          <w:sz w:val="32"/>
          <w:szCs w:val="28"/>
          <w:highlight w:val="none"/>
          <w:lang w:val="en-US" w:eastAsia="zh-CN"/>
        </w:rPr>
        <w:t>血管衰老中医诊疗规范</w:t>
      </w:r>
      <w:r>
        <w:rPr>
          <w:rFonts w:hint="eastAsia" w:asciiTheme="minorEastAsia" w:hAnsiTheme="minorEastAsia" w:eastAsiaTheme="minorEastAsia" w:cstheme="minorEastAsia"/>
          <w:b/>
          <w:bCs/>
          <w:color w:val="auto"/>
          <w:sz w:val="32"/>
          <w:szCs w:val="28"/>
          <w:highlight w:val="none"/>
        </w:rPr>
        <w:t>》团体标准编制说明</w:t>
      </w:r>
    </w:p>
    <w:p w14:paraId="3E63439C">
      <w:pPr>
        <w:widowControl/>
        <w:spacing w:line="360" w:lineRule="auto"/>
        <w:ind w:firstLine="48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(阶段：征求意见稿、送审稿、报批稿)</w:t>
      </w:r>
    </w:p>
    <w:p w14:paraId="53FB46CF">
      <w:pPr>
        <w:widowControl/>
        <w:spacing w:line="360" w:lineRule="auto"/>
        <w:ind w:firstLine="480"/>
        <w:jc w:val="both"/>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一、团体标准任务来源、编制背景、目的和意义</w:t>
      </w:r>
    </w:p>
    <w:p w14:paraId="19EACB87">
      <w:pPr>
        <w:widowControl/>
        <w:spacing w:line="360" w:lineRule="auto"/>
        <w:ind w:firstLine="480"/>
        <w:jc w:val="both"/>
        <w:rPr>
          <w:rFonts w:hint="default" w:cs="Times New Roman" w:eastAsiaTheme="minorEastAsia"/>
          <w:b/>
          <w:bCs/>
          <w:color w:val="auto"/>
          <w:sz w:val="24"/>
          <w:highlight w:val="none"/>
          <w:lang w:val="en-US" w:eastAsia="zh-CN"/>
        </w:rPr>
      </w:pPr>
      <w:r>
        <w:rPr>
          <w:rFonts w:hint="default" w:ascii="Times New Roman" w:hAnsi="Times New Roman" w:cs="Times New Roman" w:eastAsiaTheme="minorEastAsia"/>
          <w:b/>
          <w:bCs/>
          <w:color w:val="auto"/>
          <w:sz w:val="24"/>
          <w:highlight w:val="none"/>
          <w:lang w:val="en-US" w:eastAsia="zh-CN"/>
        </w:rPr>
        <w:t>1.1</w:t>
      </w:r>
      <w:r>
        <w:rPr>
          <w:rFonts w:hint="eastAsia" w:cs="Times New Roman" w:eastAsiaTheme="minorEastAsia"/>
          <w:b/>
          <w:bCs/>
          <w:color w:val="auto"/>
          <w:sz w:val="24"/>
          <w:highlight w:val="none"/>
          <w:lang w:val="en-US" w:eastAsia="zh-CN"/>
        </w:rPr>
        <w:t xml:space="preserve"> 项目来源</w:t>
      </w:r>
    </w:p>
    <w:p w14:paraId="4CE08ED6">
      <w:pPr>
        <w:widowControl/>
        <w:spacing w:line="360" w:lineRule="auto"/>
        <w:ind w:firstLine="480"/>
        <w:jc w:val="both"/>
        <w:rPr>
          <w:rFonts w:hint="eastAsia" w:cs="Times New Roman" w:eastAsiaTheme="minorEastAsia"/>
          <w:color w:val="auto"/>
          <w:sz w:val="24"/>
          <w:highlight w:val="none"/>
          <w:lang w:val="en-US" w:eastAsia="zh-CN"/>
        </w:rPr>
      </w:pPr>
      <w:r>
        <w:rPr>
          <w:rFonts w:hint="eastAsia" w:cs="Times New Roman" w:eastAsiaTheme="minorEastAsia"/>
          <w:color w:val="auto"/>
          <w:sz w:val="24"/>
          <w:highlight w:val="none"/>
          <w:lang w:val="en-US" w:eastAsia="zh-CN"/>
        </w:rPr>
        <w:t>本团体标准由天津中医药大学第一附属医院提出并负责组织完成，由北京慢性病防治与健康教育研究会归口管理。</w:t>
      </w:r>
    </w:p>
    <w:p w14:paraId="25E66EE4">
      <w:pPr>
        <w:widowControl/>
        <w:spacing w:line="360" w:lineRule="auto"/>
        <w:ind w:firstLine="480"/>
        <w:jc w:val="both"/>
        <w:rPr>
          <w:rFonts w:hint="eastAsia" w:cs="Times New Roman" w:eastAsiaTheme="minorEastAsia"/>
          <w:b/>
          <w:bCs/>
          <w:color w:val="auto"/>
          <w:sz w:val="24"/>
          <w:highlight w:val="none"/>
          <w:lang w:val="en-US" w:eastAsia="zh-CN"/>
        </w:rPr>
      </w:pPr>
      <w:r>
        <w:rPr>
          <w:rFonts w:hint="eastAsia" w:cs="Times New Roman" w:eastAsiaTheme="minorEastAsia"/>
          <w:b/>
          <w:bCs/>
          <w:color w:val="auto"/>
          <w:sz w:val="24"/>
          <w:highlight w:val="none"/>
          <w:lang w:val="en-US" w:eastAsia="zh-CN"/>
        </w:rPr>
        <w:t>1.2 编制背景</w:t>
      </w:r>
    </w:p>
    <w:p w14:paraId="4FB54C5B">
      <w:pPr>
        <w:widowControl/>
        <w:spacing w:line="360" w:lineRule="auto"/>
        <w:ind w:firstLine="480"/>
        <w:jc w:val="both"/>
        <w:rPr>
          <w:rFonts w:hint="eastAsia" w:cs="Times New Roman" w:eastAsiaTheme="minorEastAsia"/>
          <w:color w:val="auto"/>
          <w:sz w:val="24"/>
          <w:highlight w:val="none"/>
          <w:lang w:val="en-US" w:eastAsia="zh-CN"/>
        </w:rPr>
      </w:pPr>
      <w:r>
        <w:rPr>
          <w:rFonts w:hint="eastAsia" w:cs="Times New Roman" w:eastAsiaTheme="minorEastAsia"/>
          <w:color w:val="auto"/>
          <w:sz w:val="24"/>
          <w:highlight w:val="none"/>
          <w:lang w:val="en-US" w:eastAsia="zh-CN"/>
        </w:rPr>
        <w:t>血管衰老是随年龄增长出现的血管系统形态与功能协同退行性改变，伴随全球人口老龄化进程加速，相关健康与社会负担日益凸显。现代医学虽已构建血管衰老临床评估框架并明确部分相关的生物标志物，但针对血管衰老的临床药物干预证据尚不充分，现有治疗策略以危险因素防控及生活方式干预为主导。中医药在缓解血管衰老临床症状、提高生存质量上具有独特优势，相关病机理论已逐步形成，但目前尚未形成系统性的中医诊疗共识与指南，辨证分型、治则治法及疗效评价均缺乏统一规范，制约了中医药在该领域的深入应用与推广。</w:t>
      </w:r>
    </w:p>
    <w:p w14:paraId="108780F9">
      <w:pPr>
        <w:widowControl/>
        <w:spacing w:line="360" w:lineRule="auto"/>
        <w:ind w:firstLine="480"/>
        <w:jc w:val="both"/>
        <w:rPr>
          <w:rFonts w:hint="eastAsia" w:cs="Times New Roman" w:eastAsiaTheme="minorEastAsia"/>
          <w:b/>
          <w:bCs/>
          <w:color w:val="auto"/>
          <w:sz w:val="24"/>
          <w:highlight w:val="none"/>
          <w:lang w:val="en-US" w:eastAsia="zh-CN"/>
        </w:rPr>
      </w:pPr>
      <w:r>
        <w:rPr>
          <w:rFonts w:hint="eastAsia" w:cs="Times New Roman" w:eastAsiaTheme="minorEastAsia"/>
          <w:b/>
          <w:bCs/>
          <w:color w:val="auto"/>
          <w:sz w:val="24"/>
          <w:highlight w:val="none"/>
          <w:lang w:val="en-US" w:eastAsia="zh-CN"/>
        </w:rPr>
        <w:t>1.3 目的和意义</w:t>
      </w:r>
    </w:p>
    <w:p w14:paraId="281082C3">
      <w:pPr>
        <w:widowControl/>
        <w:spacing w:line="360" w:lineRule="auto"/>
        <w:ind w:firstLine="480"/>
        <w:jc w:val="both"/>
        <w:rPr>
          <w:rFonts w:hint="eastAsia" w:cs="Times New Roman" w:eastAsiaTheme="minorEastAsia"/>
          <w:color w:val="auto"/>
          <w:sz w:val="24"/>
          <w:highlight w:val="none"/>
          <w:lang w:val="en-US" w:eastAsia="zh-CN"/>
        </w:rPr>
      </w:pPr>
      <w:r>
        <w:rPr>
          <w:rFonts w:hint="eastAsia" w:cs="Times New Roman" w:eastAsiaTheme="minorEastAsia"/>
          <w:color w:val="auto"/>
          <w:sz w:val="24"/>
          <w:highlight w:val="none"/>
          <w:lang w:val="en-US" w:eastAsia="zh-CN"/>
        </w:rPr>
        <w:t>本规范旨在建立科学统一、可推广的血管衰老中医诊疗体系，规范其辨证分型、治则治法、方药应用及疗效评价等核心环节，提升临床诊疗的标准化与同质化水平，充分发挥中医药在缓解症状、改善血管功能、提高患者生存质量中的独特优势，推动中医药在血管衰老领域的深入应用与推广。</w:t>
      </w:r>
    </w:p>
    <w:p w14:paraId="3AF00E1C">
      <w:pPr>
        <w:widowControl/>
        <w:spacing w:line="360" w:lineRule="auto"/>
        <w:ind w:firstLine="480"/>
        <w:jc w:val="both"/>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二、工作简况，包括基本信息、任务来源、主要工作过程、主要起草人及其分工等。</w:t>
      </w:r>
    </w:p>
    <w:p w14:paraId="4C91D806">
      <w:pPr>
        <w:widowControl/>
        <w:spacing w:line="360" w:lineRule="auto"/>
        <w:ind w:firstLine="480"/>
        <w:jc w:val="both"/>
        <w:rPr>
          <w:rFonts w:hint="default" w:ascii="Times New Roman" w:hAnsi="Times New Roman" w:cs="Times New Roman" w:eastAsiaTheme="minorEastAsia"/>
          <w:b/>
          <w:bCs/>
          <w:color w:val="auto"/>
          <w:sz w:val="24"/>
          <w:highlight w:val="none"/>
          <w:lang w:val="en-US" w:eastAsia="zh-CN"/>
        </w:rPr>
      </w:pPr>
      <w:r>
        <w:rPr>
          <w:rFonts w:hint="default" w:ascii="Times New Roman" w:hAnsi="Times New Roman" w:cs="Times New Roman" w:eastAsiaTheme="minorEastAsia"/>
          <w:b/>
          <w:bCs/>
          <w:color w:val="auto"/>
          <w:sz w:val="24"/>
          <w:highlight w:val="none"/>
          <w:lang w:val="en-US" w:eastAsia="zh-CN"/>
        </w:rPr>
        <w:t>2.1 基本信息</w:t>
      </w:r>
    </w:p>
    <w:p w14:paraId="5B885E4F">
      <w:pPr>
        <w:widowControl/>
        <w:spacing w:line="360" w:lineRule="auto"/>
        <w:ind w:firstLine="480"/>
        <w:jc w:val="both"/>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b/>
          <w:bCs/>
          <w:color w:val="auto"/>
          <w:sz w:val="24"/>
          <w:highlight w:val="none"/>
          <w:lang w:val="en-US" w:eastAsia="zh-CN"/>
        </w:rPr>
        <w:t>2.1.1 标准名称</w:t>
      </w:r>
      <w:r>
        <w:rPr>
          <w:rFonts w:hint="default" w:ascii="Times New Roman" w:hAnsi="Times New Roman" w:cs="Times New Roman" w:eastAsiaTheme="minorEastAsia"/>
          <w:color w:val="auto"/>
          <w:sz w:val="24"/>
          <w:highlight w:val="none"/>
          <w:lang w:val="en-US" w:eastAsia="zh-CN"/>
        </w:rPr>
        <w:t>：《血管衰老中医诊疗规范》</w:t>
      </w:r>
    </w:p>
    <w:p w14:paraId="408571CB">
      <w:pPr>
        <w:widowControl/>
        <w:spacing w:line="360" w:lineRule="auto"/>
        <w:ind w:firstLine="480"/>
        <w:jc w:val="both"/>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b/>
          <w:bCs/>
          <w:color w:val="auto"/>
          <w:sz w:val="24"/>
          <w:highlight w:val="none"/>
          <w:lang w:val="en-US" w:eastAsia="zh-CN"/>
        </w:rPr>
        <w:t xml:space="preserve">2.1.2 </w:t>
      </w:r>
      <w:r>
        <w:rPr>
          <w:rFonts w:hint="eastAsia" w:cs="Times New Roman" w:eastAsiaTheme="minorEastAsia"/>
          <w:b/>
          <w:bCs/>
          <w:color w:val="auto"/>
          <w:sz w:val="24"/>
          <w:highlight w:val="none"/>
          <w:lang w:val="en-US" w:eastAsia="zh-CN"/>
        </w:rPr>
        <w:t>牵头</w:t>
      </w:r>
      <w:r>
        <w:rPr>
          <w:rFonts w:hint="default" w:ascii="Times New Roman" w:hAnsi="Times New Roman" w:cs="Times New Roman" w:eastAsiaTheme="minorEastAsia"/>
          <w:b/>
          <w:bCs/>
          <w:color w:val="auto"/>
          <w:sz w:val="24"/>
          <w:highlight w:val="none"/>
          <w:lang w:val="en-US" w:eastAsia="zh-CN"/>
        </w:rPr>
        <w:t>单位</w:t>
      </w:r>
      <w:r>
        <w:rPr>
          <w:rFonts w:hint="default" w:ascii="Times New Roman" w:hAnsi="Times New Roman" w:cs="Times New Roman" w:eastAsiaTheme="minorEastAsia"/>
          <w:color w:val="auto"/>
          <w:sz w:val="24"/>
          <w:highlight w:val="none"/>
          <w:lang w:val="en-US" w:eastAsia="zh-CN"/>
        </w:rPr>
        <w:t>：天津中医药大学第一附属医院</w:t>
      </w:r>
    </w:p>
    <w:p w14:paraId="062F4B93">
      <w:pPr>
        <w:widowControl/>
        <w:spacing w:line="360" w:lineRule="auto"/>
        <w:ind w:firstLine="480"/>
        <w:jc w:val="both"/>
        <w:rPr>
          <w:rFonts w:hint="default" w:ascii="Times New Roman" w:hAnsi="Times New Roman" w:cs="Times New Roman" w:eastAsiaTheme="minorEastAsia"/>
          <w:color w:val="auto"/>
          <w:sz w:val="24"/>
          <w:highlight w:val="none"/>
          <w:lang w:val="en-US" w:eastAsia="zh-CN"/>
        </w:rPr>
      </w:pPr>
      <w:r>
        <w:rPr>
          <w:rFonts w:hint="eastAsia" w:cs="Times New Roman" w:eastAsiaTheme="minorEastAsia"/>
          <w:b/>
          <w:bCs/>
          <w:color w:val="auto"/>
          <w:sz w:val="24"/>
          <w:highlight w:val="none"/>
          <w:lang w:val="en-US" w:eastAsia="zh-CN"/>
        </w:rPr>
        <w:t>2.1.3 起草单位</w:t>
      </w:r>
      <w:r>
        <w:rPr>
          <w:rFonts w:hint="eastAsia" w:cs="Times New Roman" w:eastAsiaTheme="minorEastAsia"/>
          <w:color w:val="auto"/>
          <w:sz w:val="24"/>
          <w:highlight w:val="none"/>
          <w:lang w:val="en-US" w:eastAsia="zh-CN"/>
        </w:rPr>
        <w:t>：天津中医药大学第一附属医院、南京中医药大学、山西省中医院、新疆医科大学第四附属医院、贵州中医药大学第二附属医院、天津医科大学肿瘤医院、贵州中医药大学、华北理工大学附属迁安市中医医院、天津市中医药研究院附属医院、上海中医药大学附属龙华医院、黑龙江中医药大学附属第一医院、云南省中医医院、广州中医药大学东莞医院、内蒙古医科大学附属医院、中日友好医院、甘肃中医药大学、天津市泰达医院、北京中医药大学东直门医院、南开大学附属医院、大连医科大学附属第二医院、河南中医药大学附属三门峡市中医院、山东中医药大学附属医院、天津医科大学总医院、中国中医科学院西苑医院、呼伦贝尔市中蒙医院、内蒙古达拉特旗人民医院、郑州大学第五附属医院、江苏省淮安市洪泽区人民医院、上海中医药大学附属上海市中西医结合医院、清华大学玉泉医院、福建中医药大学附属福州市中医、江西中医药大学附属医院、浙江中医药大学、陕西中医药大学附属医院。</w:t>
      </w:r>
    </w:p>
    <w:p w14:paraId="67E074AC">
      <w:pPr>
        <w:widowControl/>
        <w:spacing w:line="360" w:lineRule="auto"/>
        <w:ind w:firstLine="480"/>
        <w:jc w:val="both"/>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b/>
          <w:bCs/>
          <w:color w:val="auto"/>
          <w:sz w:val="24"/>
          <w:highlight w:val="none"/>
          <w:lang w:val="en-US" w:eastAsia="zh-CN"/>
        </w:rPr>
        <w:t>2.1.</w:t>
      </w:r>
      <w:r>
        <w:rPr>
          <w:rFonts w:hint="eastAsia" w:cs="Times New Roman" w:eastAsiaTheme="minorEastAsia"/>
          <w:b/>
          <w:bCs/>
          <w:color w:val="auto"/>
          <w:sz w:val="24"/>
          <w:highlight w:val="none"/>
          <w:lang w:val="en-US" w:eastAsia="zh-CN"/>
        </w:rPr>
        <w:t>4</w:t>
      </w:r>
      <w:r>
        <w:rPr>
          <w:rFonts w:hint="default" w:ascii="Times New Roman" w:hAnsi="Times New Roman" w:cs="Times New Roman" w:eastAsiaTheme="minorEastAsia"/>
          <w:b/>
          <w:bCs/>
          <w:color w:val="auto"/>
          <w:sz w:val="24"/>
          <w:highlight w:val="none"/>
          <w:lang w:val="en-US" w:eastAsia="zh-CN"/>
        </w:rPr>
        <w:t xml:space="preserve"> 主要起草人：</w:t>
      </w:r>
      <w:r>
        <w:rPr>
          <w:rFonts w:hint="default" w:ascii="Times New Roman" w:hAnsi="Times New Roman" w:cs="Times New Roman" w:eastAsiaTheme="minorEastAsia"/>
          <w:color w:val="auto"/>
          <w:sz w:val="24"/>
          <w:highlight w:val="none"/>
          <w:lang w:val="en-US" w:eastAsia="zh-CN"/>
        </w:rPr>
        <w:t>吕仕超、胡玥、高宇、节阳华、彭立</w:t>
      </w:r>
    </w:p>
    <w:p w14:paraId="2C2728C3">
      <w:pPr>
        <w:widowControl/>
        <w:spacing w:line="360" w:lineRule="auto"/>
        <w:ind w:firstLine="480"/>
        <w:jc w:val="both"/>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b/>
          <w:bCs/>
          <w:color w:val="auto"/>
          <w:sz w:val="24"/>
          <w:highlight w:val="none"/>
          <w:lang w:val="en-US" w:eastAsia="zh-CN"/>
        </w:rPr>
        <w:t>2.1.</w:t>
      </w:r>
      <w:r>
        <w:rPr>
          <w:rFonts w:hint="eastAsia" w:cs="Times New Roman" w:eastAsiaTheme="minorEastAsia"/>
          <w:b/>
          <w:bCs/>
          <w:color w:val="auto"/>
          <w:sz w:val="24"/>
          <w:highlight w:val="none"/>
          <w:lang w:val="en-US" w:eastAsia="zh-CN"/>
        </w:rPr>
        <w:t>5</w:t>
      </w:r>
      <w:r>
        <w:rPr>
          <w:rFonts w:hint="default" w:ascii="Times New Roman" w:hAnsi="Times New Roman" w:cs="Times New Roman" w:eastAsiaTheme="minorEastAsia"/>
          <w:b/>
          <w:bCs/>
          <w:color w:val="auto"/>
          <w:sz w:val="24"/>
          <w:highlight w:val="none"/>
          <w:lang w:val="en-US" w:eastAsia="zh-CN"/>
        </w:rPr>
        <w:t xml:space="preserve"> 归口单位：</w:t>
      </w:r>
      <w:r>
        <w:rPr>
          <w:rFonts w:hint="default" w:ascii="Times New Roman" w:hAnsi="Times New Roman" w:cs="Times New Roman" w:eastAsiaTheme="minorEastAsia"/>
          <w:color w:val="auto"/>
          <w:sz w:val="24"/>
          <w:highlight w:val="none"/>
          <w:lang w:val="en-US" w:eastAsia="zh-CN"/>
        </w:rPr>
        <w:t>北京慢性病防治与健康教育研究会</w:t>
      </w:r>
    </w:p>
    <w:p w14:paraId="56A24EED">
      <w:pPr>
        <w:widowControl/>
        <w:spacing w:line="360" w:lineRule="auto"/>
        <w:jc w:val="both"/>
        <w:rPr>
          <w:rFonts w:hint="default" w:ascii="Times New Roman" w:hAnsi="Times New Roman" w:cs="Times New Roman" w:eastAsiaTheme="minorEastAsia"/>
          <w:b/>
          <w:bCs/>
          <w:color w:val="auto"/>
          <w:sz w:val="24"/>
          <w:highlight w:val="none"/>
          <w:lang w:val="en-US" w:eastAsia="zh-CN"/>
        </w:rPr>
      </w:pPr>
      <w:r>
        <w:rPr>
          <w:rFonts w:hint="default" w:ascii="Times New Roman" w:hAnsi="Times New Roman" w:cs="Times New Roman" w:eastAsiaTheme="minorEastAsia"/>
          <w:b/>
          <w:bCs/>
          <w:color w:val="auto"/>
          <w:sz w:val="24"/>
          <w:highlight w:val="none"/>
          <w:lang w:val="en-US" w:eastAsia="zh-CN"/>
        </w:rPr>
        <w:t>2.2 任务来源</w:t>
      </w:r>
    </w:p>
    <w:p w14:paraId="55CA4287">
      <w:pPr>
        <w:widowControl/>
        <w:spacing w:line="360" w:lineRule="auto"/>
        <w:ind w:firstLine="480"/>
        <w:jc w:val="both"/>
        <w:rPr>
          <w:rFonts w:hint="eastAsia" w:cs="Times New Roman" w:eastAsiaTheme="minorEastAsia"/>
          <w:color w:val="auto"/>
          <w:sz w:val="24"/>
          <w:highlight w:val="none"/>
          <w:lang w:val="en-US" w:eastAsia="zh-CN"/>
        </w:rPr>
      </w:pPr>
      <w:r>
        <w:rPr>
          <w:rFonts w:hint="eastAsia" w:cs="Times New Roman" w:eastAsiaTheme="minorEastAsia"/>
          <w:color w:val="auto"/>
          <w:sz w:val="24"/>
          <w:highlight w:val="none"/>
          <w:lang w:val="en-US" w:eastAsia="zh-CN"/>
        </w:rPr>
        <w:t>由天津中医药大学第一附属医院提出并贯彻执行，由北京慢性病防治与健康教育研究会立项并归口管理。</w:t>
      </w:r>
    </w:p>
    <w:p w14:paraId="651CD69B">
      <w:pPr>
        <w:keepNext w:val="0"/>
        <w:keepLines w:val="0"/>
        <w:pageBreakBefore w:val="0"/>
        <w:widowControl/>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eastAsiaTheme="minorEastAsia"/>
          <w:b/>
          <w:bCs/>
          <w:color w:val="auto"/>
          <w:sz w:val="24"/>
          <w:highlight w:val="none"/>
          <w:lang w:val="en-US" w:eastAsia="zh-CN"/>
        </w:rPr>
      </w:pPr>
      <w:r>
        <w:rPr>
          <w:rFonts w:hint="eastAsia" w:cs="Times New Roman" w:eastAsiaTheme="minorEastAsia"/>
          <w:b/>
          <w:bCs/>
          <w:color w:val="auto"/>
          <w:sz w:val="24"/>
          <w:highlight w:val="none"/>
          <w:lang w:val="en-US" w:eastAsia="zh-CN"/>
        </w:rPr>
        <w:t>2.3 主要编制过程</w:t>
      </w:r>
    </w:p>
    <w:p w14:paraId="7972E2A8">
      <w:pPr>
        <w:widowControl/>
        <w:spacing w:line="360" w:lineRule="auto"/>
        <w:ind w:firstLine="480"/>
        <w:jc w:val="both"/>
        <w:rPr>
          <w:rFonts w:hint="eastAsia" w:cs="Times New Roman" w:eastAsiaTheme="minorEastAsia"/>
          <w:color w:val="auto"/>
          <w:sz w:val="24"/>
          <w:highlight w:val="none"/>
          <w:lang w:val="en-US" w:eastAsia="zh-CN"/>
        </w:rPr>
      </w:pPr>
      <w:r>
        <w:rPr>
          <w:rFonts w:hint="default" w:cs="Times New Roman" w:eastAsiaTheme="minorEastAsia"/>
          <w:color w:val="auto"/>
          <w:sz w:val="24"/>
          <w:highlight w:val="none"/>
          <w:lang w:val="en-US" w:eastAsia="zh-CN"/>
        </w:rPr>
        <w:t>按照申请-立项-起草-征求意见</w:t>
      </w:r>
      <w:r>
        <w:rPr>
          <w:rFonts w:hint="eastAsia" w:cs="Times New Roman" w:eastAsiaTheme="minorEastAsia"/>
          <w:color w:val="auto"/>
          <w:sz w:val="24"/>
          <w:highlight w:val="none"/>
          <w:lang w:val="en-US" w:eastAsia="zh-CN"/>
        </w:rPr>
        <w:t>四个步骤完成主要编制过程的编写。</w:t>
      </w:r>
    </w:p>
    <w:p w14:paraId="671ABCB2">
      <w:pPr>
        <w:keepNext w:val="0"/>
        <w:keepLines w:val="0"/>
        <w:pageBreakBefore w:val="0"/>
        <w:widowControl/>
        <w:kinsoku/>
        <w:wordWrap/>
        <w:overflowPunct/>
        <w:topLinePunct w:val="0"/>
        <w:autoSpaceDE/>
        <w:autoSpaceDN/>
        <w:bidi w:val="0"/>
        <w:adjustRightInd/>
        <w:snapToGrid/>
        <w:spacing w:line="360" w:lineRule="auto"/>
        <w:ind w:left="0" w:leftChars="0" w:firstLine="482" w:firstLineChars="200"/>
        <w:jc w:val="both"/>
        <w:textAlignment w:val="auto"/>
        <w:rPr>
          <w:rFonts w:hint="default" w:cs="Times New Roman" w:eastAsiaTheme="minorEastAsia"/>
          <w:b/>
          <w:bCs/>
          <w:color w:val="auto"/>
          <w:sz w:val="24"/>
          <w:highlight w:val="none"/>
          <w:lang w:val="en-US" w:eastAsia="zh-CN"/>
        </w:rPr>
      </w:pPr>
      <w:r>
        <w:rPr>
          <w:rFonts w:hint="eastAsia" w:cs="Times New Roman" w:eastAsiaTheme="minorEastAsia"/>
          <w:b/>
          <w:bCs/>
          <w:color w:val="auto"/>
          <w:sz w:val="24"/>
          <w:highlight w:val="none"/>
          <w:lang w:val="en-US" w:eastAsia="zh-CN"/>
        </w:rPr>
        <w:t xml:space="preserve">2.3.1 </w:t>
      </w:r>
      <w:r>
        <w:rPr>
          <w:rFonts w:hint="eastAsia" w:ascii="Times New Roman Regular" w:hAnsi="Times New Roman Regular" w:cs="Times New Roman Regular"/>
          <w:b/>
          <w:bCs/>
          <w:sz w:val="24"/>
          <w:szCs w:val="24"/>
          <w:lang w:val="en-US" w:eastAsia="zh-CN"/>
        </w:rPr>
        <w:t>申请立项阶段</w:t>
      </w:r>
    </w:p>
    <w:p w14:paraId="4AE0248E">
      <w:pPr>
        <w:widowControl/>
        <w:spacing w:line="360" w:lineRule="auto"/>
        <w:ind w:firstLine="480"/>
        <w:jc w:val="both"/>
        <w:rPr>
          <w:rFonts w:hint="default" w:cs="Times New Roman" w:eastAsiaTheme="minorEastAsia"/>
          <w:color w:val="auto"/>
          <w:sz w:val="24"/>
          <w:highlight w:val="none"/>
          <w:lang w:val="en-US" w:eastAsia="zh-CN"/>
        </w:rPr>
      </w:pPr>
      <w:r>
        <w:rPr>
          <w:rFonts w:hint="default" w:cs="Times New Roman" w:eastAsiaTheme="minorEastAsia"/>
          <w:color w:val="auto"/>
          <w:sz w:val="24"/>
          <w:highlight w:val="none"/>
          <w:lang w:val="en-US" w:eastAsia="zh-CN"/>
        </w:rPr>
        <w:t>根据学会要求，本共识于202</w:t>
      </w:r>
      <w:r>
        <w:rPr>
          <w:rFonts w:hint="eastAsia" w:cs="Times New Roman" w:eastAsiaTheme="minorEastAsia"/>
          <w:color w:val="auto"/>
          <w:sz w:val="24"/>
          <w:highlight w:val="none"/>
          <w:lang w:val="en-US" w:eastAsia="zh-CN"/>
        </w:rPr>
        <w:t>5</w:t>
      </w:r>
      <w:r>
        <w:rPr>
          <w:rFonts w:hint="default" w:cs="Times New Roman" w:eastAsiaTheme="minorEastAsia"/>
          <w:color w:val="auto"/>
          <w:sz w:val="24"/>
          <w:highlight w:val="none"/>
          <w:lang w:val="en-US" w:eastAsia="zh-CN"/>
        </w:rPr>
        <w:t>年</w:t>
      </w:r>
      <w:r>
        <w:rPr>
          <w:rFonts w:hint="eastAsia" w:cs="Times New Roman" w:eastAsiaTheme="minorEastAsia"/>
          <w:color w:val="auto"/>
          <w:sz w:val="24"/>
          <w:highlight w:val="none"/>
          <w:lang w:val="en-US" w:eastAsia="zh-CN"/>
        </w:rPr>
        <w:t>5</w:t>
      </w:r>
      <w:r>
        <w:rPr>
          <w:rFonts w:hint="default" w:cs="Times New Roman" w:eastAsiaTheme="minorEastAsia"/>
          <w:color w:val="auto"/>
          <w:sz w:val="24"/>
          <w:highlight w:val="none"/>
          <w:lang w:val="en-US" w:eastAsia="zh-CN"/>
        </w:rPr>
        <w:t>月向北京慢性病防治与健康教育研究会申请。2024年8月</w:t>
      </w:r>
      <w:r>
        <w:rPr>
          <w:rFonts w:hint="eastAsia" w:cs="Times New Roman" w:eastAsiaTheme="minorEastAsia"/>
          <w:color w:val="auto"/>
          <w:sz w:val="24"/>
          <w:highlight w:val="none"/>
          <w:lang w:val="en-US" w:eastAsia="zh-CN"/>
        </w:rPr>
        <w:t>25日</w:t>
      </w:r>
      <w:r>
        <w:rPr>
          <w:rFonts w:hint="default" w:cs="Times New Roman" w:eastAsiaTheme="minorEastAsia"/>
          <w:color w:val="auto"/>
          <w:sz w:val="24"/>
          <w:highlight w:val="none"/>
          <w:lang w:val="en-US" w:eastAsia="zh-CN"/>
        </w:rPr>
        <w:t>学会发布《</w:t>
      </w:r>
      <w:r>
        <w:rPr>
          <w:rFonts w:hint="eastAsia" w:cs="Times New Roman" w:eastAsiaTheme="minorEastAsia"/>
          <w:color w:val="auto"/>
          <w:sz w:val="24"/>
          <w:highlight w:val="none"/>
          <w:lang w:val="en-US" w:eastAsia="zh-CN"/>
        </w:rPr>
        <w:t>血管衰老中医诊疗专家共识</w:t>
      </w:r>
      <w:r>
        <w:rPr>
          <w:rFonts w:hint="default" w:cs="Times New Roman" w:eastAsiaTheme="minorEastAsia"/>
          <w:color w:val="auto"/>
          <w:sz w:val="24"/>
          <w:highlight w:val="none"/>
          <w:lang w:val="en-US" w:eastAsia="zh-CN"/>
        </w:rPr>
        <w:t>》立项公告。项目成员来自于全国范围内的科研院所和三甲医院，通过负责人召集方式成立项目组，采用面对面沟通或线上沟通的方式开展交流沟通。</w:t>
      </w:r>
    </w:p>
    <w:p w14:paraId="02918181">
      <w:pPr>
        <w:widowControl/>
        <w:spacing w:line="360" w:lineRule="auto"/>
        <w:ind w:firstLine="480"/>
        <w:jc w:val="both"/>
        <w:rPr>
          <w:rFonts w:hint="eastAsia" w:cs="Times New Roman" w:eastAsiaTheme="minorEastAsia"/>
          <w:b/>
          <w:bCs/>
          <w:color w:val="auto"/>
          <w:sz w:val="24"/>
          <w:highlight w:val="none"/>
          <w:lang w:val="en-US" w:eastAsia="zh-CN"/>
        </w:rPr>
      </w:pPr>
      <w:r>
        <w:rPr>
          <w:rFonts w:hint="eastAsia" w:cs="Times New Roman" w:eastAsiaTheme="minorEastAsia"/>
          <w:b/>
          <w:bCs/>
          <w:color w:val="auto"/>
          <w:sz w:val="24"/>
          <w:highlight w:val="none"/>
          <w:lang w:val="en-US" w:eastAsia="zh-CN"/>
        </w:rPr>
        <w:t>（一）立项评审专家意见反馈</w:t>
      </w:r>
    </w:p>
    <w:p w14:paraId="7A6B5941">
      <w:pPr>
        <w:widowControl/>
        <w:spacing w:line="360" w:lineRule="auto"/>
        <w:ind w:firstLine="480"/>
        <w:jc w:val="both"/>
        <w:rPr>
          <w:rFonts w:hint="default" w:cs="Times New Roman" w:eastAsiaTheme="minorEastAsia"/>
          <w:color w:val="auto"/>
          <w:sz w:val="24"/>
          <w:highlight w:val="none"/>
          <w:lang w:val="en-US" w:eastAsia="zh-CN"/>
        </w:rPr>
      </w:pPr>
      <w:r>
        <w:rPr>
          <w:rFonts w:hint="default" w:cs="Times New Roman" w:eastAsiaTheme="minorEastAsia"/>
          <w:color w:val="auto"/>
          <w:sz w:val="24"/>
          <w:highlight w:val="none"/>
          <w:lang w:val="en-US" w:eastAsia="zh-CN"/>
        </w:rPr>
        <w:t>项目组高度重视《血管衰老中医诊疗规范》团体标准立项评审专家意见，将其作为完善标准的核心依据，围绕五大关键维度开展系统性整改，确保所有意见均得到充分回应与落地，有效提升了标准的科学性、规范性与实用性。具体总结如下：</w:t>
      </w:r>
    </w:p>
    <w:p w14:paraId="6F501C2C">
      <w:pPr>
        <w:widowControl/>
        <w:spacing w:line="360" w:lineRule="auto"/>
        <w:ind w:firstLine="480"/>
        <w:jc w:val="both"/>
        <w:rPr>
          <w:rFonts w:hint="eastAsia" w:cs="Times New Roman" w:eastAsiaTheme="minorEastAsia"/>
          <w:color w:val="auto"/>
          <w:sz w:val="24"/>
          <w:highlight w:val="none"/>
          <w:lang w:val="en-US" w:eastAsia="zh-CN"/>
        </w:rPr>
      </w:pPr>
      <w:r>
        <w:rPr>
          <w:rFonts w:hint="eastAsia" w:cs="Times New Roman" w:eastAsiaTheme="minorEastAsia"/>
          <w:b/>
          <w:bCs/>
          <w:color w:val="auto"/>
          <w:sz w:val="24"/>
          <w:highlight w:val="none"/>
          <w:lang w:val="en-US" w:eastAsia="zh-CN"/>
        </w:rPr>
        <w:t>①文件定位与名称明确：</w:t>
      </w:r>
      <w:r>
        <w:rPr>
          <w:rFonts w:hint="eastAsia" w:cs="Times New Roman" w:eastAsiaTheme="minorEastAsia"/>
          <w:color w:val="auto"/>
          <w:sz w:val="24"/>
          <w:highlight w:val="none"/>
          <w:lang w:val="en-US" w:eastAsia="zh-CN"/>
        </w:rPr>
        <w:t>针对“区分团标与专家共识、调整标准名称”的建议，项目组明确文件核心定位为团体标准（非专家共识），结合内容覆盖全链条诊疗、贴合慢性病症特点的考量，保留《血管衰老中医诊疗规范》原名；同时删除“专家共识”相关表述，将潜在共识类内容转化为技术性条款，强化标准技术属性。</w:t>
      </w:r>
    </w:p>
    <w:p w14:paraId="3690AE28">
      <w:pPr>
        <w:widowControl/>
        <w:spacing w:line="360" w:lineRule="auto"/>
        <w:ind w:firstLine="480"/>
        <w:jc w:val="both"/>
        <w:rPr>
          <w:rFonts w:hint="default" w:cs="Times New Roman" w:eastAsiaTheme="minorEastAsia"/>
          <w:color w:val="auto"/>
          <w:sz w:val="24"/>
          <w:highlight w:val="none"/>
          <w:lang w:val="en-US" w:eastAsia="zh-CN"/>
        </w:rPr>
      </w:pPr>
      <w:r>
        <w:rPr>
          <w:rFonts w:hint="eastAsia" w:cs="Times New Roman" w:eastAsiaTheme="minorEastAsia"/>
          <w:b/>
          <w:bCs/>
          <w:color w:val="auto"/>
          <w:sz w:val="24"/>
          <w:highlight w:val="none"/>
          <w:lang w:val="en-US" w:eastAsia="zh-CN"/>
        </w:rPr>
        <w:t>②</w:t>
      </w:r>
      <w:r>
        <w:rPr>
          <w:rFonts w:hint="default" w:cs="Times New Roman" w:eastAsiaTheme="minorEastAsia"/>
          <w:b/>
          <w:bCs/>
          <w:color w:val="auto"/>
          <w:sz w:val="24"/>
          <w:highlight w:val="none"/>
          <w:lang w:val="en-US" w:eastAsia="zh-CN"/>
        </w:rPr>
        <w:t>结构格式标准化整改：</w:t>
      </w:r>
      <w:r>
        <w:rPr>
          <w:rFonts w:hint="default" w:cs="Times New Roman" w:eastAsiaTheme="minorEastAsia"/>
          <w:color w:val="auto"/>
          <w:sz w:val="24"/>
          <w:highlight w:val="none"/>
          <w:lang w:val="en-US" w:eastAsia="zh-CN"/>
        </w:rPr>
        <w:t>对照GB/T1.1—2020要求，重构精简引言（聚焦背景与必要性）、统一文件称谓为“本规范”、调整章节附录（迁移定义条款、列项病因病机、删除悬置段及不当附录）、规范表格与参考文献格式，全面提升标准格式合规性。</w:t>
      </w:r>
    </w:p>
    <w:p w14:paraId="2ADD21D5">
      <w:pPr>
        <w:widowControl/>
        <w:spacing w:line="360" w:lineRule="auto"/>
        <w:ind w:firstLine="480"/>
        <w:jc w:val="both"/>
        <w:rPr>
          <w:rFonts w:hint="default" w:cs="Times New Roman" w:eastAsiaTheme="minorEastAsia"/>
          <w:color w:val="auto"/>
          <w:sz w:val="24"/>
          <w:highlight w:val="none"/>
          <w:lang w:val="en-US" w:eastAsia="zh-CN"/>
        </w:rPr>
      </w:pPr>
      <w:r>
        <w:rPr>
          <w:rFonts w:hint="eastAsia" w:cs="Times New Roman" w:eastAsiaTheme="minorEastAsia"/>
          <w:b/>
          <w:bCs/>
          <w:color w:val="auto"/>
          <w:sz w:val="24"/>
          <w:highlight w:val="none"/>
          <w:lang w:val="en-US" w:eastAsia="zh-CN"/>
        </w:rPr>
        <w:t>③</w:t>
      </w:r>
      <w:r>
        <w:rPr>
          <w:rFonts w:hint="default" w:cs="Times New Roman" w:eastAsiaTheme="minorEastAsia"/>
          <w:b/>
          <w:bCs/>
          <w:color w:val="auto"/>
          <w:sz w:val="24"/>
          <w:highlight w:val="none"/>
          <w:lang w:val="en-US" w:eastAsia="zh-CN"/>
        </w:rPr>
        <w:t>内容合规性与实用性优化：</w:t>
      </w:r>
      <w:r>
        <w:rPr>
          <w:rFonts w:hint="default" w:cs="Times New Roman" w:eastAsiaTheme="minorEastAsia"/>
          <w:color w:val="auto"/>
          <w:sz w:val="24"/>
          <w:highlight w:val="none"/>
          <w:lang w:val="en-US" w:eastAsia="zh-CN"/>
        </w:rPr>
        <w:t>补充标准所涉中医诊疗技术的临床应用信息（范围、实践案例、有效性反馈），强化技术实用性支撑；删除具体药品名称、生产厂商等妨碍市场竞争的内容，仅保留通用名，契合《标准化法》要求。</w:t>
      </w:r>
    </w:p>
    <w:p w14:paraId="42C3E53C">
      <w:pPr>
        <w:widowControl/>
        <w:spacing w:line="360" w:lineRule="auto"/>
        <w:ind w:firstLine="480"/>
        <w:jc w:val="both"/>
        <w:rPr>
          <w:rFonts w:hint="eastAsia" w:cs="Times New Roman" w:eastAsiaTheme="minorEastAsia"/>
          <w:color w:val="auto"/>
          <w:sz w:val="24"/>
          <w:highlight w:val="none"/>
          <w:lang w:val="en-US" w:eastAsia="zh-CN"/>
        </w:rPr>
      </w:pPr>
      <w:r>
        <w:rPr>
          <w:rFonts w:hint="eastAsia" w:cs="Times New Roman" w:eastAsiaTheme="minorEastAsia"/>
          <w:b/>
          <w:bCs/>
          <w:color w:val="auto"/>
          <w:sz w:val="24"/>
          <w:highlight w:val="none"/>
          <w:lang w:val="en-US" w:eastAsia="zh-CN"/>
        </w:rPr>
        <w:t>④适用范围精准界定：</w:t>
      </w:r>
      <w:r>
        <w:rPr>
          <w:rFonts w:hint="eastAsia" w:cs="Times New Roman" w:eastAsiaTheme="minorEastAsia"/>
          <w:color w:val="auto"/>
          <w:sz w:val="24"/>
          <w:highlight w:val="none"/>
          <w:lang w:val="en-US" w:eastAsia="zh-CN"/>
        </w:rPr>
        <w:t>按规范格式修订“适用范围”章节，明确文件规定的核心诊疗内容，清晰界定适用的医疗机构（中医/中西医结合机构、开展中医药服务的综合医院等）与使用人群（相关医师、科研人员、政策制定者等）。</w:t>
      </w:r>
    </w:p>
    <w:p w14:paraId="626D4FB7">
      <w:pPr>
        <w:widowControl/>
        <w:spacing w:line="360" w:lineRule="auto"/>
        <w:ind w:firstLine="480"/>
        <w:jc w:val="both"/>
        <w:rPr>
          <w:rFonts w:hint="eastAsia" w:cs="Times New Roman" w:eastAsiaTheme="minorEastAsia"/>
          <w:b/>
          <w:bCs/>
          <w:color w:val="auto"/>
          <w:sz w:val="24"/>
          <w:highlight w:val="none"/>
          <w:lang w:val="en-US" w:eastAsia="zh-CN"/>
        </w:rPr>
      </w:pPr>
      <w:r>
        <w:rPr>
          <w:rFonts w:hint="eastAsia" w:cs="Times New Roman" w:eastAsiaTheme="minorEastAsia"/>
          <w:b/>
          <w:bCs/>
          <w:color w:val="auto"/>
          <w:sz w:val="24"/>
          <w:highlight w:val="none"/>
          <w:lang w:val="en-US" w:eastAsia="zh-CN"/>
        </w:rPr>
        <w:t>（2）项目起草组组成情况</w:t>
      </w:r>
    </w:p>
    <w:p w14:paraId="5312FB6D">
      <w:pPr>
        <w:widowControl/>
        <w:spacing w:line="360" w:lineRule="auto"/>
        <w:ind w:firstLine="480"/>
        <w:jc w:val="both"/>
        <w:rPr>
          <w:rFonts w:hint="eastAsia" w:cs="Times New Roman" w:eastAsiaTheme="minorEastAsia"/>
          <w:color w:val="auto"/>
          <w:sz w:val="24"/>
          <w:highlight w:val="none"/>
          <w:lang w:val="en-US" w:eastAsia="zh-CN"/>
        </w:rPr>
      </w:pPr>
      <w:r>
        <w:rPr>
          <w:rFonts w:hint="eastAsia" w:cs="Times New Roman" w:eastAsiaTheme="minorEastAsia"/>
          <w:color w:val="auto"/>
          <w:sz w:val="24"/>
          <w:highlight w:val="none"/>
          <w:lang w:val="en-US" w:eastAsia="zh-CN"/>
        </w:rPr>
        <w:t>同上。</w:t>
      </w:r>
    </w:p>
    <w:p w14:paraId="2B273866">
      <w:pPr>
        <w:widowControl/>
        <w:spacing w:line="360" w:lineRule="auto"/>
        <w:ind w:firstLine="480"/>
        <w:jc w:val="both"/>
        <w:rPr>
          <w:rFonts w:hint="eastAsia" w:cs="Times New Roman" w:eastAsiaTheme="minorEastAsia"/>
          <w:b/>
          <w:bCs/>
          <w:color w:val="auto"/>
          <w:sz w:val="24"/>
          <w:highlight w:val="none"/>
          <w:lang w:val="en-US" w:eastAsia="zh-CN"/>
        </w:rPr>
      </w:pPr>
      <w:r>
        <w:rPr>
          <w:rFonts w:hint="eastAsia" w:cs="Times New Roman" w:eastAsiaTheme="minorEastAsia"/>
          <w:b/>
          <w:bCs/>
          <w:color w:val="auto"/>
          <w:sz w:val="24"/>
          <w:highlight w:val="none"/>
          <w:lang w:val="en-US" w:eastAsia="zh-CN"/>
        </w:rPr>
        <w:t>（二）主要起草人分工情况</w:t>
      </w:r>
    </w:p>
    <w:p w14:paraId="745B2764">
      <w:pPr>
        <w:widowControl/>
        <w:spacing w:line="360" w:lineRule="auto"/>
        <w:ind w:firstLine="480"/>
        <w:jc w:val="both"/>
        <w:rPr>
          <w:rFonts w:hint="eastAsia" w:cs="Times New Roman" w:eastAsiaTheme="minorEastAsia"/>
          <w:color w:val="auto"/>
          <w:sz w:val="24"/>
          <w:highlight w:val="none"/>
          <w:lang w:val="en-US" w:eastAsia="zh-CN"/>
        </w:rPr>
      </w:pPr>
      <w:r>
        <w:rPr>
          <w:rFonts w:hint="eastAsia" w:cs="Times New Roman" w:eastAsiaTheme="minorEastAsia"/>
          <w:color w:val="auto"/>
          <w:sz w:val="24"/>
          <w:highlight w:val="none"/>
          <w:lang w:val="en-US" w:eastAsia="zh-CN"/>
        </w:rPr>
        <w:t>《血管衰老中医诊疗规范》团体标准项目起草组成立后，项目组始终将该标准的科学性、规范性、完整性与可操作性作为核心工作准则，高度重视编制全流程的严谨推进。为充分发挥各位起草人的专业特长与资源优势，凝聚团队合力，经项目组多轮专题研讨、集体商议后，正式明确了主要起草人的具体分工，确保各项编制任务责任到人、高效衔接，为标准编制工作规范有序开展、最终形成高质量的团体标准成果提供坚实保障。具体分工如下表1：</w:t>
      </w:r>
    </w:p>
    <w:p w14:paraId="52FBC516">
      <w:pPr>
        <w:pStyle w:val="6"/>
        <w:spacing w:line="360" w:lineRule="auto"/>
        <w:ind w:left="0" w:leftChars="0" w:firstLine="0" w:firstLineChars="0"/>
        <w:jc w:val="both"/>
        <w:rPr>
          <w:rFonts w:hint="eastAsia" w:cs="Times New Roman" w:eastAsiaTheme="minorEastAsia"/>
          <w:color w:val="auto"/>
          <w:sz w:val="24"/>
          <w:highlight w:val="none"/>
          <w:lang w:val="en-US" w:eastAsia="zh-CN"/>
        </w:rPr>
      </w:pPr>
      <w:r>
        <w:rPr>
          <w:rFonts w:hint="eastAsia" w:ascii="Times New Roman Regular" w:hAnsi="Times New Roman Regular" w:cs="Times New Roman Regular" w:eastAsiaTheme="minorEastAsia"/>
          <w:color w:val="auto"/>
          <w:kern w:val="2"/>
          <w:sz w:val="24"/>
          <w:szCs w:val="24"/>
          <w:highlight w:val="none"/>
          <w:lang w:val="en-US" w:eastAsia="zh-CN" w:bidi="ar-SA"/>
        </w:rPr>
        <w:t>表1 主要起草人及其工作内容</w:t>
      </w:r>
    </w:p>
    <w:tbl>
      <w:tblPr>
        <w:tblStyle w:val="3"/>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063"/>
        <w:gridCol w:w="1054"/>
        <w:gridCol w:w="824"/>
        <w:gridCol w:w="1447"/>
        <w:gridCol w:w="3429"/>
      </w:tblGrid>
      <w:tr w14:paraId="6109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06" w:type="dxa"/>
            <w:vAlign w:val="center"/>
          </w:tcPr>
          <w:p w14:paraId="133E2E88">
            <w:pPr>
              <w:pStyle w:val="6"/>
              <w:widowControl w:val="0"/>
              <w:snapToGrid w:val="0"/>
              <w:spacing w:line="240" w:lineRule="auto"/>
              <w:ind w:left="0" w:leftChars="0" w:right="0" w:rightChars="0" w:firstLine="0" w:firstLineChars="0"/>
              <w:jc w:val="both"/>
              <w:rPr>
                <w:rFonts w:hint="default" w:ascii="Times New Roman Regular" w:hAnsi="Times New Roman Regular" w:cs="Times New Roman Regular" w:eastAsiaTheme="minorEastAsia"/>
                <w:b/>
                <w:color w:val="auto"/>
                <w:kern w:val="2"/>
                <w:sz w:val="24"/>
                <w:szCs w:val="24"/>
                <w:highlight w:val="none"/>
                <w:vertAlign w:val="baseline"/>
                <w:lang w:val="en-US" w:eastAsia="zh-CN" w:bidi="ar-SA"/>
              </w:rPr>
            </w:pPr>
            <w:r>
              <w:rPr>
                <w:rFonts w:hint="eastAsia" w:ascii="Times New Roman Regular" w:hAnsi="Times New Roman Regular" w:cs="Times New Roman Regular" w:eastAsiaTheme="minorEastAsia"/>
                <w:b/>
                <w:color w:val="auto"/>
                <w:kern w:val="2"/>
                <w:sz w:val="24"/>
                <w:szCs w:val="24"/>
                <w:highlight w:val="none"/>
                <w:vertAlign w:val="baseline"/>
                <w:lang w:val="en-US" w:eastAsia="zh-CN" w:bidi="ar-SA"/>
              </w:rPr>
              <w:t>序号</w:t>
            </w:r>
          </w:p>
        </w:tc>
        <w:tc>
          <w:tcPr>
            <w:tcW w:w="1063" w:type="dxa"/>
            <w:vAlign w:val="center"/>
          </w:tcPr>
          <w:p w14:paraId="1CC9AC07">
            <w:pPr>
              <w:pStyle w:val="6"/>
              <w:widowControl w:val="0"/>
              <w:snapToGrid w:val="0"/>
              <w:spacing w:line="240" w:lineRule="auto"/>
              <w:ind w:left="0" w:leftChars="0" w:right="0" w:rightChars="0" w:firstLine="0" w:firstLineChars="0"/>
              <w:jc w:val="both"/>
              <w:rPr>
                <w:rFonts w:hint="default" w:ascii="Times New Roman Regular" w:hAnsi="Times New Roman Regular" w:cs="Times New Roman Regular" w:eastAsiaTheme="minorEastAsia"/>
                <w:b/>
                <w:color w:val="auto"/>
                <w:kern w:val="2"/>
                <w:sz w:val="24"/>
                <w:szCs w:val="24"/>
                <w:highlight w:val="none"/>
                <w:vertAlign w:val="baseline"/>
                <w:lang w:val="en-US" w:eastAsia="zh-CN" w:bidi="ar-SA"/>
              </w:rPr>
            </w:pPr>
            <w:r>
              <w:rPr>
                <w:rFonts w:hint="eastAsia" w:ascii="Times New Roman Regular" w:hAnsi="Times New Roman Regular" w:cs="Times New Roman Regular" w:eastAsiaTheme="minorEastAsia"/>
                <w:b/>
                <w:color w:val="auto"/>
                <w:kern w:val="2"/>
                <w:sz w:val="24"/>
                <w:szCs w:val="24"/>
                <w:highlight w:val="none"/>
                <w:vertAlign w:val="baseline"/>
                <w:lang w:val="en-US" w:eastAsia="zh-CN" w:bidi="ar-SA"/>
              </w:rPr>
              <w:t>姓名</w:t>
            </w:r>
          </w:p>
        </w:tc>
        <w:tc>
          <w:tcPr>
            <w:tcW w:w="1054" w:type="dxa"/>
            <w:vAlign w:val="center"/>
          </w:tcPr>
          <w:p w14:paraId="7705B829">
            <w:pPr>
              <w:pStyle w:val="6"/>
              <w:widowControl w:val="0"/>
              <w:snapToGrid w:val="0"/>
              <w:spacing w:line="240" w:lineRule="auto"/>
              <w:ind w:left="0" w:leftChars="0" w:right="0" w:rightChars="0" w:firstLine="0" w:firstLineChars="0"/>
              <w:jc w:val="both"/>
              <w:rPr>
                <w:rFonts w:hint="default" w:ascii="Times New Roman Regular" w:hAnsi="Times New Roman Regular" w:cs="Times New Roman Regular" w:eastAsiaTheme="minorEastAsia"/>
                <w:b/>
                <w:color w:val="auto"/>
                <w:kern w:val="2"/>
                <w:sz w:val="24"/>
                <w:szCs w:val="24"/>
                <w:highlight w:val="none"/>
                <w:vertAlign w:val="baseline"/>
                <w:lang w:val="en-US" w:eastAsia="zh-CN" w:bidi="ar-SA"/>
              </w:rPr>
            </w:pPr>
            <w:r>
              <w:rPr>
                <w:rFonts w:hint="eastAsia" w:ascii="Times New Roman Regular" w:hAnsi="Times New Roman Regular" w:cs="Times New Roman Regular" w:eastAsiaTheme="minorEastAsia"/>
                <w:b/>
                <w:color w:val="auto"/>
                <w:kern w:val="2"/>
                <w:sz w:val="24"/>
                <w:szCs w:val="24"/>
                <w:highlight w:val="none"/>
                <w:vertAlign w:val="baseline"/>
                <w:lang w:val="en-US" w:eastAsia="zh-CN" w:bidi="ar-SA"/>
              </w:rPr>
              <w:t>单位</w:t>
            </w:r>
          </w:p>
        </w:tc>
        <w:tc>
          <w:tcPr>
            <w:tcW w:w="824" w:type="dxa"/>
            <w:vAlign w:val="center"/>
          </w:tcPr>
          <w:p w14:paraId="298222B8">
            <w:pPr>
              <w:pStyle w:val="6"/>
              <w:widowControl w:val="0"/>
              <w:snapToGrid w:val="0"/>
              <w:spacing w:line="240" w:lineRule="auto"/>
              <w:ind w:left="0" w:leftChars="0" w:right="0" w:rightChars="0" w:firstLine="0" w:firstLineChars="0"/>
              <w:jc w:val="both"/>
              <w:rPr>
                <w:rFonts w:hint="default" w:ascii="Times New Roman Regular" w:hAnsi="Times New Roman Regular" w:cs="Times New Roman Regular" w:eastAsiaTheme="minorEastAsia"/>
                <w:b/>
                <w:color w:val="auto"/>
                <w:kern w:val="2"/>
                <w:sz w:val="24"/>
                <w:szCs w:val="24"/>
                <w:highlight w:val="none"/>
                <w:vertAlign w:val="baseline"/>
                <w:lang w:val="en-US" w:eastAsia="zh-CN" w:bidi="ar-SA"/>
              </w:rPr>
            </w:pPr>
            <w:r>
              <w:rPr>
                <w:rFonts w:hint="eastAsia" w:ascii="Times New Roman Regular" w:hAnsi="Times New Roman Regular" w:cs="Times New Roman Regular" w:eastAsiaTheme="minorEastAsia"/>
                <w:b/>
                <w:color w:val="auto"/>
                <w:kern w:val="2"/>
                <w:sz w:val="24"/>
                <w:szCs w:val="24"/>
                <w:highlight w:val="none"/>
                <w:vertAlign w:val="baseline"/>
                <w:lang w:val="en-US" w:eastAsia="zh-CN" w:bidi="ar-SA"/>
              </w:rPr>
              <w:t>学位</w:t>
            </w:r>
          </w:p>
        </w:tc>
        <w:tc>
          <w:tcPr>
            <w:tcW w:w="1447" w:type="dxa"/>
            <w:vAlign w:val="center"/>
          </w:tcPr>
          <w:p w14:paraId="38F6E02D">
            <w:pPr>
              <w:pStyle w:val="6"/>
              <w:widowControl w:val="0"/>
              <w:snapToGrid w:val="0"/>
              <w:spacing w:line="240" w:lineRule="auto"/>
              <w:ind w:left="0" w:leftChars="0" w:right="0" w:rightChars="0" w:firstLine="0" w:firstLineChars="0"/>
              <w:jc w:val="both"/>
              <w:rPr>
                <w:rFonts w:hint="default" w:ascii="Times New Roman Regular" w:hAnsi="Times New Roman Regular" w:cs="Times New Roman Regular" w:eastAsiaTheme="minorEastAsia"/>
                <w:b/>
                <w:color w:val="auto"/>
                <w:kern w:val="2"/>
                <w:sz w:val="24"/>
                <w:szCs w:val="24"/>
                <w:highlight w:val="none"/>
                <w:vertAlign w:val="baseline"/>
                <w:lang w:val="en-US" w:eastAsia="zh-CN" w:bidi="ar-SA"/>
              </w:rPr>
            </w:pPr>
            <w:r>
              <w:rPr>
                <w:rFonts w:hint="eastAsia" w:ascii="Times New Roman Regular" w:hAnsi="Times New Roman Regular" w:cs="Times New Roman Regular" w:eastAsiaTheme="minorEastAsia"/>
                <w:b/>
                <w:color w:val="auto"/>
                <w:kern w:val="2"/>
                <w:sz w:val="24"/>
                <w:szCs w:val="24"/>
                <w:highlight w:val="none"/>
                <w:vertAlign w:val="baseline"/>
                <w:lang w:val="en-US" w:eastAsia="zh-CN" w:bidi="ar-SA"/>
              </w:rPr>
              <w:t>职称</w:t>
            </w:r>
          </w:p>
        </w:tc>
        <w:tc>
          <w:tcPr>
            <w:tcW w:w="3429" w:type="dxa"/>
            <w:vAlign w:val="center"/>
          </w:tcPr>
          <w:p w14:paraId="2C133D4E">
            <w:pPr>
              <w:pStyle w:val="6"/>
              <w:widowControl w:val="0"/>
              <w:snapToGrid w:val="0"/>
              <w:spacing w:line="240" w:lineRule="auto"/>
              <w:ind w:left="0" w:leftChars="0" w:right="0" w:rightChars="0" w:firstLine="0" w:firstLineChars="0"/>
              <w:jc w:val="both"/>
              <w:rPr>
                <w:rFonts w:hint="default" w:ascii="Times New Roman Regular" w:hAnsi="Times New Roman Regular" w:cs="Times New Roman Regular" w:eastAsiaTheme="minorEastAsia"/>
                <w:b/>
                <w:color w:val="auto"/>
                <w:kern w:val="2"/>
                <w:sz w:val="24"/>
                <w:szCs w:val="24"/>
                <w:highlight w:val="none"/>
                <w:vertAlign w:val="baseline"/>
                <w:lang w:val="en-US" w:eastAsia="zh-CN" w:bidi="ar-SA"/>
              </w:rPr>
            </w:pPr>
            <w:r>
              <w:rPr>
                <w:rFonts w:hint="eastAsia" w:ascii="Times New Roman Regular" w:hAnsi="Times New Roman Regular" w:cs="Times New Roman Regular" w:eastAsiaTheme="minorEastAsia"/>
                <w:b/>
                <w:color w:val="auto"/>
                <w:kern w:val="2"/>
                <w:sz w:val="24"/>
                <w:szCs w:val="24"/>
                <w:highlight w:val="none"/>
                <w:vertAlign w:val="baseline"/>
                <w:lang w:val="en-US" w:eastAsia="zh-CN" w:bidi="ar-SA"/>
              </w:rPr>
              <w:t>工作内容</w:t>
            </w:r>
          </w:p>
        </w:tc>
      </w:tr>
      <w:tr w14:paraId="0CF26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14:paraId="4F6D76E8">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1</w:t>
            </w:r>
          </w:p>
        </w:tc>
        <w:tc>
          <w:tcPr>
            <w:tcW w:w="1063" w:type="dxa"/>
            <w:vAlign w:val="center"/>
          </w:tcPr>
          <w:p w14:paraId="56FA86F5">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吕仕超</w:t>
            </w:r>
          </w:p>
        </w:tc>
        <w:tc>
          <w:tcPr>
            <w:tcW w:w="1054" w:type="dxa"/>
            <w:vAlign w:val="center"/>
          </w:tcPr>
          <w:p w14:paraId="1BC6B12B">
            <w:pPr>
              <w:pStyle w:val="6"/>
              <w:widowControl w:val="0"/>
              <w:snapToGrid w:val="0"/>
              <w:spacing w:line="240" w:lineRule="auto"/>
              <w:ind w:left="0" w:leftChars="0" w:right="0" w:rightChars="0" w:firstLine="0" w:firstLineChars="0"/>
              <w:jc w:val="both"/>
              <w:rPr>
                <w:rFonts w:hint="eastAsia"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天津中医药大学</w:t>
            </w:r>
          </w:p>
          <w:p w14:paraId="6A1D57A3">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第一附属医院</w:t>
            </w:r>
          </w:p>
        </w:tc>
        <w:tc>
          <w:tcPr>
            <w:tcW w:w="824" w:type="dxa"/>
            <w:vAlign w:val="center"/>
          </w:tcPr>
          <w:p w14:paraId="4DFE56B0">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博士</w:t>
            </w:r>
          </w:p>
        </w:tc>
        <w:tc>
          <w:tcPr>
            <w:tcW w:w="1447" w:type="dxa"/>
            <w:vAlign w:val="center"/>
          </w:tcPr>
          <w:p w14:paraId="511811A4">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主任医师</w:t>
            </w:r>
          </w:p>
        </w:tc>
        <w:tc>
          <w:tcPr>
            <w:tcW w:w="3429" w:type="dxa"/>
            <w:vAlign w:val="center"/>
          </w:tcPr>
          <w:p w14:paraId="511959B4">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ascii="Segoe UI" w:hAnsi="Segoe UI" w:eastAsia="Segoe UI" w:cs="Segoe UI"/>
                <w:i w:val="0"/>
                <w:iCs w:val="0"/>
                <w:caps w:val="0"/>
                <w:spacing w:val="0"/>
                <w:sz w:val="24"/>
                <w:szCs w:val="24"/>
                <w:shd w:val="clear" w:fill="FFFFFF"/>
              </w:rPr>
              <w:t>标准编制全面统筹与顶层设计，负责核心框架搭建、关键技术内容审定、全流程协调推进；主导临床诊疗体系的整体规划，结合丰富临床经验与学术积淀，为标准的科学性、实用性与规范性提供总领性指导。</w:t>
            </w:r>
          </w:p>
        </w:tc>
      </w:tr>
      <w:tr w14:paraId="2815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14:paraId="0AF7D907">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2</w:t>
            </w:r>
          </w:p>
        </w:tc>
        <w:tc>
          <w:tcPr>
            <w:tcW w:w="1063" w:type="dxa"/>
            <w:vAlign w:val="center"/>
          </w:tcPr>
          <w:p w14:paraId="358691AE">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胡玥</w:t>
            </w:r>
          </w:p>
        </w:tc>
        <w:tc>
          <w:tcPr>
            <w:tcW w:w="1054" w:type="dxa"/>
            <w:vAlign w:val="center"/>
          </w:tcPr>
          <w:p w14:paraId="0AC63C31">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南京中医药大学</w:t>
            </w:r>
          </w:p>
        </w:tc>
        <w:tc>
          <w:tcPr>
            <w:tcW w:w="824" w:type="dxa"/>
            <w:vAlign w:val="center"/>
          </w:tcPr>
          <w:p w14:paraId="69E057D6">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博士</w:t>
            </w:r>
          </w:p>
        </w:tc>
        <w:tc>
          <w:tcPr>
            <w:tcW w:w="1447" w:type="dxa"/>
            <w:vAlign w:val="center"/>
          </w:tcPr>
          <w:p w14:paraId="330F4415">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副教授</w:t>
            </w:r>
          </w:p>
        </w:tc>
        <w:tc>
          <w:tcPr>
            <w:tcW w:w="3429" w:type="dxa"/>
            <w:vAlign w:val="center"/>
          </w:tcPr>
          <w:p w14:paraId="4EA2DEDE">
            <w:pPr>
              <w:pStyle w:val="6"/>
              <w:widowControl w:val="0"/>
              <w:snapToGrid w:val="0"/>
              <w:spacing w:line="240" w:lineRule="auto"/>
              <w:ind w:left="0" w:leftChars="0" w:right="0" w:rightChars="0" w:firstLine="0" w:firstLineChars="0"/>
              <w:jc w:val="both"/>
              <w:rPr>
                <w:rFonts w:hint="eastAsia" w:ascii="Segoe UI" w:hAnsi="Times New Roman Regular" w:eastAsia="Segoe UI" w:cs="Times New Roman Regular"/>
                <w:color w:val="auto"/>
                <w:kern w:val="2"/>
                <w:sz w:val="24"/>
                <w:szCs w:val="24"/>
                <w:highlight w:val="none"/>
                <w:vertAlign w:val="baseline"/>
                <w:lang w:val="en-US" w:eastAsia="zh-CN" w:bidi="ar-SA"/>
              </w:rPr>
            </w:pPr>
            <w:r>
              <w:rPr>
                <w:rFonts w:ascii="Segoe UI" w:hAnsi="Segoe UI" w:eastAsia="Segoe UI" w:cs="Segoe UI"/>
                <w:i w:val="0"/>
                <w:iCs w:val="0"/>
                <w:caps w:val="0"/>
                <w:spacing w:val="0"/>
                <w:sz w:val="24"/>
                <w:szCs w:val="24"/>
                <w:shd w:val="clear" w:fill="FFFFFF"/>
              </w:rPr>
              <w:t>标准顶层设计核心成员，侧重理论体系构建与学术支撑，结合深厚学术造诣为标准提供坚实的理论依据与学术支撑。</w:t>
            </w:r>
          </w:p>
        </w:tc>
      </w:tr>
      <w:tr w14:paraId="3A6F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14:paraId="44CE75A4">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3</w:t>
            </w:r>
          </w:p>
        </w:tc>
        <w:tc>
          <w:tcPr>
            <w:tcW w:w="1063" w:type="dxa"/>
            <w:vAlign w:val="center"/>
          </w:tcPr>
          <w:p w14:paraId="3808601D">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高宇</w:t>
            </w:r>
          </w:p>
        </w:tc>
        <w:tc>
          <w:tcPr>
            <w:tcW w:w="1054" w:type="dxa"/>
            <w:vAlign w:val="center"/>
          </w:tcPr>
          <w:p w14:paraId="109EC89D">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山西省中医院</w:t>
            </w:r>
          </w:p>
        </w:tc>
        <w:tc>
          <w:tcPr>
            <w:tcW w:w="824" w:type="dxa"/>
            <w:vAlign w:val="center"/>
          </w:tcPr>
          <w:p w14:paraId="35715AF7">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博士</w:t>
            </w:r>
          </w:p>
        </w:tc>
        <w:tc>
          <w:tcPr>
            <w:tcW w:w="1447" w:type="dxa"/>
            <w:vAlign w:val="center"/>
          </w:tcPr>
          <w:p w14:paraId="58701C34">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副主任医师</w:t>
            </w:r>
          </w:p>
        </w:tc>
        <w:tc>
          <w:tcPr>
            <w:tcW w:w="3429" w:type="dxa"/>
            <w:vAlign w:val="center"/>
          </w:tcPr>
          <w:p w14:paraId="53A5C776">
            <w:pPr>
              <w:pStyle w:val="6"/>
              <w:widowControl w:val="0"/>
              <w:snapToGrid w:val="0"/>
              <w:spacing w:line="240" w:lineRule="auto"/>
              <w:ind w:left="0" w:leftChars="0" w:right="0" w:rightChars="0" w:firstLine="0" w:firstLineChars="0"/>
              <w:jc w:val="both"/>
              <w:rPr>
                <w:rFonts w:hint="eastAsia" w:ascii="Segoe UI" w:hAnsi="Times New Roman Regular" w:eastAsia="Segoe UI" w:cs="Times New Roman Regular"/>
                <w:color w:val="auto"/>
                <w:kern w:val="2"/>
                <w:sz w:val="24"/>
                <w:szCs w:val="24"/>
                <w:highlight w:val="none"/>
                <w:vertAlign w:val="baseline"/>
                <w:lang w:val="en-US" w:eastAsia="zh-CN" w:bidi="ar-SA"/>
              </w:rPr>
            </w:pPr>
            <w:r>
              <w:rPr>
                <w:rFonts w:ascii="Segoe UI" w:hAnsi="Segoe UI" w:eastAsia="Segoe UI" w:cs="Segoe UI"/>
                <w:i w:val="0"/>
                <w:iCs w:val="0"/>
                <w:caps w:val="0"/>
                <w:spacing w:val="0"/>
                <w:sz w:val="24"/>
                <w:szCs w:val="24"/>
                <w:shd w:val="clear" w:fill="FFFFFF"/>
              </w:rPr>
              <w:t>参与标准顶层设计，聚焦 “理论 - 临床” 转化衔接；基于丰富临床实践经验，优化中医诊疗方案的理论适配性，参与诊断标准、证型规范的临床理论验证，同步提供针对性临床指导与技术支持。</w:t>
            </w:r>
          </w:p>
        </w:tc>
      </w:tr>
      <w:tr w14:paraId="5040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14:paraId="61BDC434">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4</w:t>
            </w:r>
          </w:p>
        </w:tc>
        <w:tc>
          <w:tcPr>
            <w:tcW w:w="1063" w:type="dxa"/>
            <w:vAlign w:val="center"/>
          </w:tcPr>
          <w:p w14:paraId="38E50E9E">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节阳华</w:t>
            </w:r>
          </w:p>
        </w:tc>
        <w:tc>
          <w:tcPr>
            <w:tcW w:w="1054" w:type="dxa"/>
            <w:vAlign w:val="center"/>
          </w:tcPr>
          <w:p w14:paraId="48DC105A">
            <w:pPr>
              <w:pStyle w:val="6"/>
              <w:widowControl w:val="0"/>
              <w:snapToGrid w:val="0"/>
              <w:spacing w:line="240" w:lineRule="auto"/>
              <w:ind w:left="0" w:leftChars="0" w:right="0" w:rightChars="0" w:firstLine="0" w:firstLineChars="0"/>
              <w:jc w:val="both"/>
              <w:rPr>
                <w:rFonts w:hint="eastAsia"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新疆医科大学</w:t>
            </w:r>
          </w:p>
          <w:p w14:paraId="6F809D00">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第四附属医院</w:t>
            </w:r>
          </w:p>
        </w:tc>
        <w:tc>
          <w:tcPr>
            <w:tcW w:w="824" w:type="dxa"/>
            <w:vAlign w:val="center"/>
          </w:tcPr>
          <w:p w14:paraId="57BCB0A7">
            <w:pPr>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博士</w:t>
            </w:r>
          </w:p>
        </w:tc>
        <w:tc>
          <w:tcPr>
            <w:tcW w:w="1447" w:type="dxa"/>
            <w:vAlign w:val="center"/>
          </w:tcPr>
          <w:p w14:paraId="5ADF8CE8">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主任医师</w:t>
            </w:r>
          </w:p>
        </w:tc>
        <w:tc>
          <w:tcPr>
            <w:tcW w:w="3429" w:type="dxa"/>
            <w:vAlign w:val="center"/>
          </w:tcPr>
          <w:p w14:paraId="79F9AAB7">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ascii="Segoe UI" w:hAnsi="Segoe UI" w:eastAsia="Segoe UI" w:cs="Segoe UI"/>
                <w:i w:val="0"/>
                <w:iCs w:val="0"/>
                <w:caps w:val="0"/>
                <w:spacing w:val="0"/>
                <w:sz w:val="24"/>
                <w:szCs w:val="24"/>
                <w:shd w:val="clear" w:fill="FFFFFF"/>
              </w:rPr>
              <w:t>参与标准顶层设计，侧重区域临床经验整合与理论落地；结合多年临床诊疗积累与学术研究成果，负责整合区域特色临床实践数据、验证理论方案的临床适用性，为标准的临床普适性与实操性提供核心支撑，同步提供理论与临床双重指导。</w:t>
            </w:r>
          </w:p>
        </w:tc>
      </w:tr>
      <w:tr w14:paraId="2FFF0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14:paraId="282549EA">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5</w:t>
            </w:r>
          </w:p>
        </w:tc>
        <w:tc>
          <w:tcPr>
            <w:tcW w:w="1063" w:type="dxa"/>
            <w:vAlign w:val="center"/>
          </w:tcPr>
          <w:p w14:paraId="18263ADC">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彭立</w:t>
            </w:r>
          </w:p>
        </w:tc>
        <w:tc>
          <w:tcPr>
            <w:tcW w:w="1054" w:type="dxa"/>
            <w:vAlign w:val="center"/>
          </w:tcPr>
          <w:p w14:paraId="1009E15E">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default" w:ascii="Segoe UI" w:hAnsi="Times New Roman Regular" w:eastAsia="Segoe UI" w:cs="Times New Roman Regular"/>
                <w:color w:val="auto"/>
                <w:kern w:val="2"/>
                <w:sz w:val="24"/>
                <w:szCs w:val="24"/>
                <w:highlight w:val="none"/>
                <w:vertAlign w:val="baseline"/>
                <w:lang w:val="en-US" w:eastAsia="zh-CN" w:bidi="ar-SA"/>
              </w:rPr>
              <w:t>贵州中医药大学</w:t>
            </w:r>
          </w:p>
          <w:p w14:paraId="60642A8A">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default" w:ascii="Segoe UI" w:hAnsi="Times New Roman Regular" w:eastAsia="Segoe UI" w:cs="Times New Roman Regular"/>
                <w:color w:val="auto"/>
                <w:kern w:val="2"/>
                <w:sz w:val="24"/>
                <w:szCs w:val="24"/>
                <w:highlight w:val="none"/>
                <w:vertAlign w:val="baseline"/>
                <w:lang w:val="en-US" w:eastAsia="zh-CN" w:bidi="ar-SA"/>
              </w:rPr>
              <w:t>第二附属医院</w:t>
            </w:r>
          </w:p>
        </w:tc>
        <w:tc>
          <w:tcPr>
            <w:tcW w:w="824" w:type="dxa"/>
            <w:vAlign w:val="center"/>
          </w:tcPr>
          <w:p w14:paraId="742ECB47">
            <w:pPr>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博士</w:t>
            </w:r>
          </w:p>
        </w:tc>
        <w:tc>
          <w:tcPr>
            <w:tcW w:w="1447" w:type="dxa"/>
            <w:vAlign w:val="center"/>
          </w:tcPr>
          <w:p w14:paraId="6C9F4B11">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hint="eastAsia" w:ascii="Segoe UI" w:hAnsi="Times New Roman Regular" w:eastAsia="Segoe UI" w:cs="Times New Roman Regular"/>
                <w:color w:val="auto"/>
                <w:kern w:val="2"/>
                <w:sz w:val="24"/>
                <w:szCs w:val="24"/>
                <w:highlight w:val="none"/>
                <w:vertAlign w:val="baseline"/>
                <w:lang w:val="en-US" w:eastAsia="zh-CN" w:bidi="ar-SA"/>
              </w:rPr>
              <w:t>主任医师</w:t>
            </w:r>
          </w:p>
        </w:tc>
        <w:tc>
          <w:tcPr>
            <w:tcW w:w="3429" w:type="dxa"/>
            <w:vAlign w:val="center"/>
          </w:tcPr>
          <w:p w14:paraId="07926FEF">
            <w:pPr>
              <w:pStyle w:val="6"/>
              <w:widowControl w:val="0"/>
              <w:snapToGrid w:val="0"/>
              <w:spacing w:line="240" w:lineRule="auto"/>
              <w:ind w:left="0" w:leftChars="0" w:right="0" w:rightChars="0" w:firstLine="0" w:firstLineChars="0"/>
              <w:jc w:val="both"/>
              <w:rPr>
                <w:rFonts w:hint="default" w:ascii="Segoe UI" w:hAnsi="Times New Roman Regular" w:eastAsia="Segoe UI" w:cs="Times New Roman Regular"/>
                <w:color w:val="auto"/>
                <w:kern w:val="2"/>
                <w:sz w:val="24"/>
                <w:szCs w:val="24"/>
                <w:highlight w:val="none"/>
                <w:vertAlign w:val="baseline"/>
                <w:lang w:val="en-US" w:eastAsia="zh-CN" w:bidi="ar-SA"/>
              </w:rPr>
            </w:pPr>
            <w:r>
              <w:rPr>
                <w:rFonts w:ascii="Segoe UI" w:hAnsi="Segoe UI" w:eastAsia="Segoe UI" w:cs="Segoe UI"/>
                <w:i w:val="0"/>
                <w:iCs w:val="0"/>
                <w:caps w:val="0"/>
                <w:spacing w:val="0"/>
                <w:sz w:val="24"/>
                <w:szCs w:val="24"/>
                <w:shd w:val="clear" w:fill="FFFFFF"/>
              </w:rPr>
              <w:t>参与标准核心诊疗条款起草，聚焦临床类规范内容的细化与完善；基于深厚临床积淀与学术研究，主导中医治疗操作规范、证型辨证要点、预防调摄实施细则等核心内容的撰写与优化，开展临床诊疗数据验证与条款可行性论证，确保规范中临床相关内容的严谨性、实操性与完整性，为标准核心内容的精准落地提供关键支撑。</w:t>
            </w:r>
          </w:p>
        </w:tc>
      </w:tr>
    </w:tbl>
    <w:p w14:paraId="63DAC905">
      <w:pPr>
        <w:widowControl/>
        <w:spacing w:line="360" w:lineRule="auto"/>
        <w:jc w:val="both"/>
        <w:rPr>
          <w:rFonts w:hint="default" w:cs="Times New Roman" w:eastAsiaTheme="minorEastAsia"/>
          <w:b/>
          <w:bCs/>
          <w:color w:val="auto"/>
          <w:sz w:val="24"/>
          <w:highlight w:val="none"/>
          <w:lang w:val="en-US" w:eastAsia="zh-CN"/>
        </w:rPr>
      </w:pPr>
      <w:r>
        <w:rPr>
          <w:rFonts w:hint="eastAsia" w:cs="Times New Roman" w:eastAsiaTheme="minorEastAsia"/>
          <w:b/>
          <w:bCs/>
          <w:color w:val="auto"/>
          <w:sz w:val="24"/>
          <w:highlight w:val="none"/>
          <w:lang w:val="en-US" w:eastAsia="zh-CN"/>
        </w:rPr>
        <w:t>2.3.2 共识起草阶段</w:t>
      </w:r>
    </w:p>
    <w:p w14:paraId="2D78C792">
      <w:pPr>
        <w:widowControl/>
        <w:spacing w:line="360" w:lineRule="auto"/>
        <w:ind w:firstLine="480"/>
        <w:jc w:val="both"/>
        <w:rPr>
          <w:rFonts w:hint="eastAsia"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2025年9-11月为团体标准起草阶段</w:t>
      </w:r>
      <w:r>
        <w:rPr>
          <w:rFonts w:hint="eastAsia" w:cs="Times New Roman" w:eastAsiaTheme="minorEastAsia"/>
          <w:color w:val="auto"/>
          <w:sz w:val="24"/>
          <w:highlight w:val="none"/>
          <w:lang w:val="en-US" w:eastAsia="zh-CN"/>
        </w:rPr>
        <w:t>，主要起草内容如下：</w:t>
      </w:r>
    </w:p>
    <w:p w14:paraId="668CDE2C">
      <w:pPr>
        <w:widowControl/>
        <w:spacing w:line="360" w:lineRule="auto"/>
        <w:ind w:firstLine="480"/>
        <w:jc w:val="both"/>
        <w:rPr>
          <w:rFonts w:hint="eastAsia" w:cs="Times New Roman" w:eastAsiaTheme="minorEastAsia"/>
          <w:b/>
          <w:bCs/>
          <w:color w:val="auto"/>
          <w:sz w:val="24"/>
          <w:highlight w:val="none"/>
          <w:lang w:val="en-US" w:eastAsia="zh-CN"/>
        </w:rPr>
      </w:pPr>
      <w:r>
        <w:rPr>
          <w:rFonts w:hint="eastAsia" w:cs="Times New Roman" w:eastAsiaTheme="minorEastAsia"/>
          <w:b/>
          <w:bCs/>
          <w:color w:val="auto"/>
          <w:sz w:val="24"/>
          <w:highlight w:val="none"/>
          <w:lang w:val="en-US" w:eastAsia="zh-CN"/>
        </w:rPr>
        <w:t>（一）标准修订计划的制订</w:t>
      </w:r>
    </w:p>
    <w:p w14:paraId="0C6DA01F">
      <w:pPr>
        <w:widowControl/>
        <w:spacing w:line="360" w:lineRule="auto"/>
        <w:ind w:firstLine="480"/>
        <w:jc w:val="both"/>
        <w:rPr>
          <w:rFonts w:hint="default" w:cs="Times New Roman" w:eastAsiaTheme="minorEastAsia"/>
          <w:color w:val="auto"/>
          <w:sz w:val="24"/>
          <w:highlight w:val="none"/>
          <w:lang w:val="en-US" w:eastAsia="zh-CN"/>
        </w:rPr>
      </w:pPr>
      <w:r>
        <w:rPr>
          <w:rFonts w:hint="default" w:cs="Times New Roman" w:eastAsiaTheme="minorEastAsia"/>
          <w:color w:val="auto"/>
          <w:sz w:val="24"/>
          <w:highlight w:val="none"/>
          <w:lang w:val="en-US" w:eastAsia="zh-CN"/>
        </w:rPr>
        <w:t>为保障《血管衰老中医诊疗规范》团体标准编制工作有序、高效推进，项目组高度重视全流程时间统筹与节点管控，以“科学规划、精准落地”为原则，系统性制定标准修订计划。首先，项目组结合主要起草人分工与核心编制任务，明确标准编制各阶段关键时间节点（含核心框架搭建、理论论证、临床验证、条款完善、专家评审、定稿报送等关键环节），形成初步时间规划方案；随后，广泛征求行业内相关领域专家意见，组织召开多轮专家专题讨论会，围绕时间节点合理性、任务衔接顺畅性、资源保障充分性等维度优化完善计划，进一步细化各阶段具体实施步骤、责任主体与交付成果；在此基础上，项目组通过多轮内部研讨达成完全共识，确保计划可操作性与执行性；最后，正式征求标准指导委员会意见，对修订内容、时间节点及实施路径进行最终优化调整，形成定稿后的标准修订计划。标准修订各阶段具体时间节点详见图1。</w:t>
      </w:r>
    </w:p>
    <w:p w14:paraId="2BA8C8D2">
      <w:pPr>
        <w:widowControl/>
        <w:spacing w:line="360" w:lineRule="auto"/>
        <w:ind w:firstLine="480"/>
        <w:jc w:val="center"/>
        <w:rPr>
          <w:rFonts w:hint="default" w:cs="Times New Roman" w:eastAsiaTheme="minorEastAsia"/>
          <w:color w:val="auto"/>
          <w:sz w:val="24"/>
          <w:highlight w:val="none"/>
          <w:lang w:val="en-US" w:eastAsia="zh-CN"/>
        </w:rPr>
      </w:pPr>
      <w:r>
        <w:rPr>
          <w:rFonts w:hint="default" w:cs="Times New Roman" w:eastAsiaTheme="minorEastAsia"/>
          <w:color w:val="auto"/>
          <w:sz w:val="24"/>
          <w:highlight w:val="none"/>
          <w:lang w:val="en-US" w:eastAsia="zh-CN"/>
        </w:rPr>
        <w:t>图1  标准</w:t>
      </w:r>
      <w:r>
        <w:rPr>
          <w:rFonts w:hint="eastAsia" w:cs="Times New Roman" w:eastAsiaTheme="minorEastAsia"/>
          <w:color w:val="auto"/>
          <w:sz w:val="24"/>
          <w:highlight w:val="none"/>
          <w:lang w:val="en-US" w:eastAsia="zh-CN"/>
        </w:rPr>
        <w:t>制定</w:t>
      </w:r>
      <w:r>
        <w:rPr>
          <w:rFonts w:hint="default" w:cs="Times New Roman" w:eastAsiaTheme="minorEastAsia"/>
          <w:color w:val="auto"/>
          <w:sz w:val="24"/>
          <w:highlight w:val="none"/>
          <w:lang w:val="en-US" w:eastAsia="zh-CN"/>
        </w:rPr>
        <w:t>时间节点</w:t>
      </w:r>
      <w:r>
        <w:drawing>
          <wp:anchor distT="0" distB="0" distL="114300" distR="114300" simplePos="0" relativeHeight="251659264" behindDoc="0" locked="0" layoutInCell="1" allowOverlap="1">
            <wp:simplePos x="0" y="0"/>
            <wp:positionH relativeFrom="column">
              <wp:posOffset>79375</wp:posOffset>
            </wp:positionH>
            <wp:positionV relativeFrom="paragraph">
              <wp:posOffset>12700</wp:posOffset>
            </wp:positionV>
            <wp:extent cx="5348605" cy="2569845"/>
            <wp:effectExtent l="0" t="0" r="4445"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348605" cy="2569845"/>
                    </a:xfrm>
                    <a:prstGeom prst="rect">
                      <a:avLst/>
                    </a:prstGeom>
                    <a:noFill/>
                    <a:ln>
                      <a:noFill/>
                    </a:ln>
                  </pic:spPr>
                </pic:pic>
              </a:graphicData>
            </a:graphic>
          </wp:anchor>
        </w:drawing>
      </w:r>
    </w:p>
    <w:p w14:paraId="1E25C411">
      <w:pPr>
        <w:widowControl/>
        <w:spacing w:line="360" w:lineRule="auto"/>
        <w:ind w:firstLine="480"/>
        <w:jc w:val="both"/>
        <w:rPr>
          <w:rFonts w:hint="eastAsia" w:cs="Times New Roman" w:eastAsiaTheme="minorEastAsia"/>
          <w:b/>
          <w:bCs/>
          <w:color w:val="auto"/>
          <w:sz w:val="24"/>
          <w:highlight w:val="none"/>
          <w:lang w:val="en-US" w:eastAsia="zh-CN"/>
        </w:rPr>
      </w:pPr>
      <w:r>
        <w:rPr>
          <w:rFonts w:hint="eastAsia" w:cs="Times New Roman" w:eastAsiaTheme="minorEastAsia"/>
          <w:b/>
          <w:bCs/>
          <w:color w:val="auto"/>
          <w:sz w:val="24"/>
          <w:highlight w:val="none"/>
          <w:lang w:val="en-US" w:eastAsia="zh-CN"/>
        </w:rPr>
        <w:t>（二）文献检索阶段</w:t>
      </w:r>
    </w:p>
    <w:p w14:paraId="159AB5AE">
      <w:pPr>
        <w:keepNext w:val="0"/>
        <w:keepLines w:val="0"/>
        <w:pageBreakBefore w:val="0"/>
        <w:widowControl/>
        <w:kinsoku/>
        <w:wordWrap w:val="0"/>
        <w:overflowPunct/>
        <w:topLinePunct w:val="0"/>
        <w:autoSpaceDE/>
        <w:autoSpaceDN/>
        <w:bidi w:val="0"/>
        <w:adjustRightInd/>
        <w:snapToGrid/>
        <w:spacing w:line="360" w:lineRule="auto"/>
        <w:ind w:firstLine="480"/>
        <w:jc w:val="both"/>
        <w:textAlignment w:val="auto"/>
        <w:rPr>
          <w:rFonts w:hint="default" w:cs="Times New Roman" w:eastAsiaTheme="minorEastAsia"/>
          <w:b/>
          <w:bCs/>
          <w:color w:val="auto"/>
          <w:sz w:val="24"/>
          <w:highlight w:val="none"/>
          <w:lang w:val="en-US" w:eastAsia="zh-CN"/>
        </w:rPr>
      </w:pPr>
      <w:r>
        <w:rPr>
          <w:rFonts w:hint="eastAsia" w:cs="Times New Roman" w:eastAsiaTheme="minorEastAsia"/>
          <w:b/>
          <w:bCs/>
          <w:color w:val="auto"/>
          <w:sz w:val="24"/>
          <w:highlight w:val="none"/>
          <w:lang w:val="en-US" w:eastAsia="zh-CN"/>
        </w:rPr>
        <w:t>（1）</w:t>
      </w:r>
      <w:r>
        <w:rPr>
          <w:rFonts w:hint="default" w:cs="Times New Roman" w:eastAsiaTheme="minorEastAsia"/>
          <w:b/>
          <w:bCs/>
          <w:color w:val="auto"/>
          <w:sz w:val="24"/>
          <w:highlight w:val="none"/>
          <w:lang w:val="en-US" w:eastAsia="zh-CN"/>
        </w:rPr>
        <w:t>根据PICO检索数据库</w:t>
      </w:r>
    </w:p>
    <w:p w14:paraId="0B86FF7F">
      <w:pPr>
        <w:keepNext w:val="0"/>
        <w:keepLines w:val="0"/>
        <w:pageBreakBefore w:val="0"/>
        <w:widowControl/>
        <w:kinsoku/>
        <w:wordWrap w:val="0"/>
        <w:overflowPunct/>
        <w:topLinePunct w:val="0"/>
        <w:autoSpaceDE/>
        <w:autoSpaceDN/>
        <w:bidi w:val="0"/>
        <w:adjustRightInd/>
        <w:snapToGrid/>
        <w:spacing w:line="360" w:lineRule="auto"/>
        <w:ind w:firstLine="480"/>
        <w:jc w:val="both"/>
        <w:textAlignment w:val="auto"/>
        <w:rPr>
          <w:rFonts w:hint="default" w:cs="Times New Roman" w:eastAsiaTheme="minorEastAsia"/>
          <w:color w:val="auto"/>
          <w:sz w:val="24"/>
          <w:highlight w:val="none"/>
          <w:lang w:val="en-US" w:eastAsia="zh-CN"/>
        </w:rPr>
      </w:pPr>
      <w:r>
        <w:rPr>
          <w:rFonts w:hint="default" w:cs="Times New Roman" w:eastAsiaTheme="minorEastAsia"/>
          <w:color w:val="auto"/>
          <w:sz w:val="24"/>
          <w:highlight w:val="none"/>
          <w:lang w:val="en-US" w:eastAsia="zh-CN"/>
        </w:rPr>
        <w:t>检索策略为电子检索：检索内容为国内外原始研究数据库和国内外临床试验注册库以及国内外指南文库。检索全文电子数据库主要包括原始研究数据库:中文数据库:中国知网(CNKI)、中文科技期刊全文数据库(维普)、中国生物医学文献数据库(SinoMed)、万方全文数据库。英文数据库</w:t>
      </w:r>
      <w:r>
        <w:rPr>
          <w:rFonts w:hint="eastAsia" w:cs="Times New Roman" w:eastAsiaTheme="minorEastAsia"/>
          <w:color w:val="auto"/>
          <w:sz w:val="24"/>
          <w:highlight w:val="none"/>
          <w:lang w:val="en-US" w:eastAsia="zh-CN"/>
        </w:rPr>
        <w:t>：</w:t>
      </w:r>
      <w:r>
        <w:rPr>
          <w:rFonts w:hint="default" w:cs="Times New Roman" w:eastAsiaTheme="minorEastAsia"/>
          <w:color w:val="auto"/>
          <w:sz w:val="24"/>
          <w:highlight w:val="none"/>
          <w:lang w:val="en-US" w:eastAsia="zh-CN"/>
        </w:rPr>
        <w:t>Pubmed，EMbase，Cochrane Library，Web of Science。</w:t>
      </w:r>
    </w:p>
    <w:p w14:paraId="08384D77">
      <w:pPr>
        <w:keepNext w:val="0"/>
        <w:keepLines w:val="0"/>
        <w:pageBreakBefore w:val="0"/>
        <w:widowControl/>
        <w:kinsoku/>
        <w:wordWrap w:val="0"/>
        <w:overflowPunct/>
        <w:topLinePunct w:val="0"/>
        <w:autoSpaceDE/>
        <w:autoSpaceDN/>
        <w:bidi w:val="0"/>
        <w:adjustRightInd/>
        <w:snapToGrid/>
        <w:spacing w:line="360" w:lineRule="auto"/>
        <w:ind w:firstLine="480"/>
        <w:jc w:val="both"/>
        <w:textAlignment w:val="auto"/>
        <w:rPr>
          <w:rFonts w:hint="default" w:cs="Times New Roman" w:eastAsiaTheme="minorEastAsia"/>
          <w:b/>
          <w:bCs/>
          <w:color w:val="auto"/>
          <w:sz w:val="24"/>
          <w:highlight w:val="none"/>
          <w:lang w:val="en-US" w:eastAsia="zh-CN"/>
        </w:rPr>
      </w:pPr>
      <w:r>
        <w:rPr>
          <w:rFonts w:hint="eastAsia" w:cs="Times New Roman" w:eastAsiaTheme="minorEastAsia"/>
          <w:b/>
          <w:bCs/>
          <w:color w:val="auto"/>
          <w:sz w:val="24"/>
          <w:highlight w:val="none"/>
          <w:lang w:val="en-US" w:eastAsia="zh-CN"/>
        </w:rPr>
        <w:t>（2）</w:t>
      </w:r>
      <w:r>
        <w:rPr>
          <w:rFonts w:hint="default" w:cs="Times New Roman" w:eastAsiaTheme="minorEastAsia"/>
          <w:b/>
          <w:bCs/>
          <w:color w:val="auto"/>
          <w:sz w:val="24"/>
          <w:highlight w:val="none"/>
          <w:lang w:val="en-US" w:eastAsia="zh-CN"/>
        </w:rPr>
        <w:t>检索式</w:t>
      </w:r>
    </w:p>
    <w:p w14:paraId="561B4748">
      <w:pPr>
        <w:keepNext w:val="0"/>
        <w:keepLines w:val="0"/>
        <w:pageBreakBefore w:val="0"/>
        <w:widowControl/>
        <w:kinsoku/>
        <w:wordWrap w:val="0"/>
        <w:overflowPunct/>
        <w:topLinePunct w:val="0"/>
        <w:autoSpaceDE/>
        <w:autoSpaceDN/>
        <w:bidi w:val="0"/>
        <w:adjustRightInd/>
        <w:snapToGrid/>
        <w:spacing w:line="360" w:lineRule="auto"/>
        <w:ind w:firstLine="480"/>
        <w:jc w:val="both"/>
        <w:textAlignment w:val="auto"/>
        <w:rPr>
          <w:rFonts w:hint="eastAsia" w:cs="Times New Roman" w:eastAsiaTheme="minorEastAsia"/>
          <w:color w:val="auto"/>
          <w:sz w:val="24"/>
          <w:highlight w:val="none"/>
          <w:lang w:val="en-US" w:eastAsia="zh-CN"/>
        </w:rPr>
      </w:pPr>
      <w:r>
        <w:rPr>
          <w:rFonts w:hint="default" w:cs="Times New Roman" w:eastAsiaTheme="minorEastAsia"/>
          <w:color w:val="auto"/>
          <w:sz w:val="24"/>
          <w:highlight w:val="none"/>
          <w:lang w:val="en-US" w:eastAsia="zh-CN"/>
        </w:rPr>
        <w:t>文献检索策略及结果</w:t>
      </w:r>
      <w:r>
        <w:rPr>
          <w:rFonts w:hint="eastAsia" w:cs="Times New Roman" w:eastAsiaTheme="minorEastAsia"/>
          <w:color w:val="auto"/>
          <w:sz w:val="24"/>
          <w:highlight w:val="none"/>
          <w:lang w:val="en-US" w:eastAsia="zh-CN"/>
        </w:rPr>
        <w:t>，见表2。</w:t>
      </w:r>
    </w:p>
    <w:p w14:paraId="5FD74456">
      <w:pPr>
        <w:keepNext w:val="0"/>
        <w:keepLines w:val="0"/>
        <w:pageBreakBefore w:val="0"/>
        <w:widowControl/>
        <w:kinsoku/>
        <w:wordWrap w:val="0"/>
        <w:overflowPunct/>
        <w:topLinePunct w:val="0"/>
        <w:autoSpaceDE/>
        <w:autoSpaceDN/>
        <w:bidi w:val="0"/>
        <w:adjustRightInd/>
        <w:snapToGrid/>
        <w:spacing w:line="360" w:lineRule="auto"/>
        <w:ind w:firstLine="480"/>
        <w:jc w:val="center"/>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 xml:space="preserve">表2 </w:t>
      </w:r>
      <w:r>
        <w:rPr>
          <w:rStyle w:val="7"/>
          <w:rFonts w:hint="eastAsia" w:ascii="宋体" w:hAnsi="宋体" w:eastAsia="宋体" w:cs="宋体"/>
          <w:b w:val="0"/>
          <w:bCs w:val="0"/>
          <w:color w:val="auto"/>
          <w:sz w:val="24"/>
        </w:rPr>
        <w:t>文献检索策略及结果</w:t>
      </w:r>
    </w:p>
    <w:tbl>
      <w:tblPr>
        <w:tblStyle w:val="3"/>
        <w:tblW w:w="9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6405"/>
        <w:gridCol w:w="1092"/>
        <w:gridCol w:w="1160"/>
      </w:tblGrid>
      <w:tr w14:paraId="5F676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022" w:type="dxa"/>
            <w:vAlign w:val="center"/>
          </w:tcPr>
          <w:p w14:paraId="3D99E543">
            <w:pPr>
              <w:keepNext/>
              <w:widowControl/>
              <w:snapToGrid w:val="0"/>
              <w:ind w:left="0" w:leftChars="0" w:right="0" w:rightChars="0" w:firstLine="0" w:firstLineChars="0"/>
              <w:jc w:val="both"/>
              <w:textAlignment w:val="center"/>
              <w:rPr>
                <w:rFonts w:ascii="Times New Roman" w:hAnsi="Times New Roman" w:eastAsia="宋体" w:cs="Times New Roman"/>
                <w:b/>
                <w:bCs/>
                <w:color w:val="auto"/>
                <w:kern w:val="0"/>
                <w:sz w:val="18"/>
                <w:szCs w:val="18"/>
                <w:lang w:bidi="ar"/>
              </w:rPr>
            </w:pPr>
            <w:r>
              <w:rPr>
                <w:rFonts w:hint="eastAsia" w:ascii="Times New Roman" w:hAnsi="Times New Roman" w:eastAsia="宋体" w:cs="Times New Roman"/>
                <w:b/>
                <w:bCs/>
                <w:color w:val="auto"/>
                <w:kern w:val="0"/>
                <w:sz w:val="18"/>
                <w:szCs w:val="18"/>
                <w:lang w:bidi="ar"/>
              </w:rPr>
              <w:t>数据库</w:t>
            </w:r>
          </w:p>
        </w:tc>
        <w:tc>
          <w:tcPr>
            <w:tcW w:w="6405" w:type="dxa"/>
            <w:vAlign w:val="center"/>
          </w:tcPr>
          <w:p w14:paraId="403B55A2">
            <w:pPr>
              <w:keepNext/>
              <w:widowControl/>
              <w:snapToGrid w:val="0"/>
              <w:ind w:left="0" w:leftChars="0" w:right="0" w:rightChars="0" w:firstLine="0" w:firstLineChars="0"/>
              <w:jc w:val="both"/>
              <w:textAlignment w:val="center"/>
              <w:rPr>
                <w:rFonts w:ascii="Times New Roman" w:hAnsi="Times New Roman" w:eastAsia="宋体" w:cs="Times New Roman"/>
                <w:b/>
                <w:bCs/>
                <w:color w:val="auto"/>
                <w:kern w:val="0"/>
                <w:sz w:val="18"/>
                <w:szCs w:val="18"/>
                <w:lang w:bidi="ar"/>
              </w:rPr>
            </w:pPr>
            <w:r>
              <w:rPr>
                <w:rFonts w:hint="eastAsia" w:ascii="Times New Roman" w:hAnsi="Times New Roman" w:eastAsia="宋体" w:cs="Times New Roman"/>
                <w:b/>
                <w:bCs/>
                <w:color w:val="auto"/>
                <w:kern w:val="0"/>
                <w:sz w:val="18"/>
                <w:szCs w:val="18"/>
                <w:lang w:bidi="ar"/>
              </w:rPr>
              <w:t>检索式</w:t>
            </w:r>
          </w:p>
        </w:tc>
        <w:tc>
          <w:tcPr>
            <w:tcW w:w="1092" w:type="dxa"/>
            <w:vAlign w:val="center"/>
          </w:tcPr>
          <w:p w14:paraId="7A41BB16">
            <w:pPr>
              <w:keepNext/>
              <w:widowControl/>
              <w:snapToGrid w:val="0"/>
              <w:ind w:left="0" w:leftChars="0" w:right="0" w:rightChars="0" w:firstLine="0" w:firstLineChars="0"/>
              <w:jc w:val="both"/>
              <w:textAlignment w:val="center"/>
              <w:rPr>
                <w:rFonts w:ascii="Times New Roman" w:hAnsi="Times New Roman" w:eastAsia="宋体" w:cs="Times New Roman"/>
                <w:b/>
                <w:bCs/>
                <w:color w:val="auto"/>
                <w:kern w:val="0"/>
                <w:sz w:val="18"/>
                <w:szCs w:val="18"/>
                <w:lang w:bidi="ar"/>
              </w:rPr>
            </w:pPr>
            <w:r>
              <w:rPr>
                <w:rFonts w:hint="eastAsia" w:ascii="Times New Roman" w:hAnsi="Times New Roman" w:eastAsia="宋体" w:cs="Times New Roman"/>
                <w:b/>
                <w:bCs/>
                <w:color w:val="auto"/>
                <w:kern w:val="0"/>
                <w:sz w:val="18"/>
                <w:szCs w:val="18"/>
                <w:lang w:bidi="ar"/>
              </w:rPr>
              <w:t>时间范围</w:t>
            </w:r>
          </w:p>
        </w:tc>
        <w:tc>
          <w:tcPr>
            <w:tcW w:w="1160" w:type="dxa"/>
            <w:vAlign w:val="center"/>
          </w:tcPr>
          <w:p w14:paraId="24EBA99C">
            <w:pPr>
              <w:keepNext/>
              <w:widowControl/>
              <w:snapToGrid w:val="0"/>
              <w:ind w:left="0" w:leftChars="0" w:right="0" w:rightChars="0" w:firstLine="0" w:firstLineChars="0"/>
              <w:jc w:val="both"/>
              <w:textAlignment w:val="center"/>
              <w:rPr>
                <w:rFonts w:ascii="Times New Roman" w:hAnsi="Times New Roman" w:eastAsia="宋体" w:cs="Times New Roman"/>
                <w:b/>
                <w:bCs/>
                <w:color w:val="auto"/>
                <w:kern w:val="0"/>
                <w:sz w:val="18"/>
                <w:szCs w:val="18"/>
                <w:lang w:bidi="ar"/>
              </w:rPr>
            </w:pPr>
            <w:r>
              <w:rPr>
                <w:rFonts w:hint="eastAsia" w:ascii="Times New Roman" w:hAnsi="Times New Roman" w:eastAsia="宋体" w:cs="Times New Roman"/>
                <w:b/>
                <w:bCs/>
                <w:color w:val="auto"/>
                <w:kern w:val="0"/>
                <w:sz w:val="18"/>
                <w:szCs w:val="18"/>
                <w:lang w:bidi="ar"/>
              </w:rPr>
              <w:t>检索数量</w:t>
            </w:r>
          </w:p>
        </w:tc>
      </w:tr>
      <w:tr w14:paraId="2C768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2" w:type="dxa"/>
            <w:vAlign w:val="center"/>
          </w:tcPr>
          <w:p w14:paraId="5DBB5C87">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知网</w:t>
            </w:r>
          </w:p>
        </w:tc>
        <w:tc>
          <w:tcPr>
            <w:tcW w:w="6405" w:type="dxa"/>
            <w:vAlign w:val="center"/>
          </w:tcPr>
          <w:p w14:paraId="502C7875">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val="en-US" w:eastAsia="zh-CN" w:bidi="ar"/>
              </w:rPr>
              <w:t>专业</w:t>
            </w:r>
            <w:r>
              <w:rPr>
                <w:rFonts w:hint="eastAsia" w:ascii="Times New Roman" w:hAnsi="Times New Roman" w:eastAsia="宋体" w:cs="Times New Roman"/>
                <w:color w:val="000000"/>
                <w:kern w:val="0"/>
                <w:sz w:val="18"/>
                <w:szCs w:val="18"/>
                <w:lang w:bidi="ar"/>
              </w:rPr>
              <w:t>检索</w:t>
            </w:r>
          </w:p>
          <w:p w14:paraId="206914A8">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(SU='血管衰老' OR SU='血管老化' OR SU='老化血管' OR SU='血管年龄' OR SU='动脉硬化' OR SU='血管僵硬度' OR SU='血管内皮功能' OR SU='血管弹性' OR SU='脉搏波速度' OR SU='踝臂指数' OR SU='脉痹' OR SU='脉涩' OR SU='血管重构' OR SU='动脉老化') AND (SU='证型' OR SU='证素' OR SU='证' OR SU='证候' OR SU='证名' OR SU='虚证' OR SU='实证' OR SU='气虚' OR SU='阴虚' OR SU='血虚' OR SU='血热' OR SU='阳虚' OR SU='痰瘀' OR SU='水饮') AND (SU='指南' OR SU='共识' OR SU='随机对照' OR SU='队列研究' OR SU='对照临床试验' OR SU='交叉研究' OR SU='系统综述' OR SU='荟萃分析' OR SU='网络荟萃分析' OR SU='交叉实验' OR SU='随机化' OR SU='双盲研究' OR SU='临床研究' OR SU='系统评价' OR SU='Meta' OR SU='荟萃' OR SU='对照' OR SU='队列' OR SU='单盲' OR SU='盲法'</w:t>
            </w:r>
            <w:r>
              <w:rPr>
                <w:rFonts w:hint="eastAsia" w:ascii="Times New Roman" w:hAnsi="Times New Roman" w:eastAsia="宋体" w:cs="Times New Roman"/>
                <w:color w:val="000000"/>
                <w:kern w:val="0"/>
                <w:sz w:val="18"/>
                <w:szCs w:val="18"/>
                <w:lang w:eastAsia="zh-CN" w:bidi="ar"/>
              </w:rPr>
              <w:t>）</w:t>
            </w:r>
          </w:p>
        </w:tc>
        <w:tc>
          <w:tcPr>
            <w:tcW w:w="1092" w:type="dxa"/>
            <w:vAlign w:val="center"/>
          </w:tcPr>
          <w:p w14:paraId="327DB1D7">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起：2000-01-01</w:t>
            </w:r>
          </w:p>
          <w:p w14:paraId="130E27D3">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val="en-US" w:eastAsia="zh-CN" w:bidi="ar"/>
              </w:rPr>
              <w:t>止：2025-12-01</w:t>
            </w:r>
          </w:p>
        </w:tc>
        <w:tc>
          <w:tcPr>
            <w:tcW w:w="1160" w:type="dxa"/>
            <w:vAlign w:val="center"/>
          </w:tcPr>
          <w:p w14:paraId="75AFCDBF">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4543</w:t>
            </w:r>
          </w:p>
        </w:tc>
      </w:tr>
      <w:tr w14:paraId="59B5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2" w:type="dxa"/>
            <w:vAlign w:val="center"/>
          </w:tcPr>
          <w:p w14:paraId="0E0C78A8">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万方</w:t>
            </w:r>
          </w:p>
        </w:tc>
        <w:tc>
          <w:tcPr>
            <w:tcW w:w="6405" w:type="dxa"/>
            <w:vAlign w:val="center"/>
          </w:tcPr>
          <w:p w14:paraId="787D9B5B">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专业检索</w:t>
            </w:r>
          </w:p>
          <w:p w14:paraId="0AE79DA1">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主题:("血管衰老" OR "血管老化" OR "老化血管" OR "血管年龄" OR "动脉硬化" OR "血管僵硬度" OR "血管内皮功能" OR "血管弹性" OR "脉搏波速度" OR "踝臂指数" OR "脉痹" OR "脉涩" OR "血管重构" OR "动脉老化") AND 主题:("证型" OR "证素" OR "证" OR "证候" OR "证名" OR "虚证" OR "实证" OR "气虚" OR "阴虚" OR "血虚" OR "血热" OR "阳虚" OR "痰瘀" OR "水饮") AND 主题:("指南" OR "共识" OR "随机对照" OR "队列研究" OR "对照临床试验" OR "交叉研究" OR "系统综述" OR "荟萃分析" OR "网络荟萃分析" OR "交叉实验" OR "随机化" OR "双盲研究" OR "临床研究" OR "系统评价" OR "Meta" OR "荟萃" OR "对照" OR "队列" OR "单盲" OR "盲法")</w:t>
            </w:r>
          </w:p>
        </w:tc>
        <w:tc>
          <w:tcPr>
            <w:tcW w:w="1092" w:type="dxa"/>
            <w:vAlign w:val="center"/>
          </w:tcPr>
          <w:p w14:paraId="6FE84EF1">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起：2000-01-01</w:t>
            </w:r>
          </w:p>
          <w:p w14:paraId="5E17DAEB">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val="en-US" w:eastAsia="zh-CN" w:bidi="ar"/>
              </w:rPr>
              <w:t>止：2025-12-01</w:t>
            </w:r>
          </w:p>
        </w:tc>
        <w:tc>
          <w:tcPr>
            <w:tcW w:w="1160" w:type="dxa"/>
            <w:vAlign w:val="center"/>
          </w:tcPr>
          <w:p w14:paraId="75F54263">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7435</w:t>
            </w:r>
          </w:p>
        </w:tc>
      </w:tr>
      <w:tr w14:paraId="2C06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2" w:type="dxa"/>
            <w:vAlign w:val="center"/>
          </w:tcPr>
          <w:p w14:paraId="083AB0EB">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维普</w:t>
            </w:r>
          </w:p>
        </w:tc>
        <w:tc>
          <w:tcPr>
            <w:tcW w:w="6405" w:type="dxa"/>
            <w:vAlign w:val="center"/>
          </w:tcPr>
          <w:p w14:paraId="7B6B74FC">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val="en-US" w:eastAsia="zh-CN" w:bidi="ar"/>
              </w:rPr>
              <w:t>专业</w:t>
            </w:r>
            <w:r>
              <w:rPr>
                <w:rFonts w:hint="eastAsia" w:ascii="Times New Roman" w:hAnsi="Times New Roman" w:eastAsia="宋体" w:cs="Times New Roman"/>
                <w:color w:val="000000"/>
                <w:kern w:val="0"/>
                <w:sz w:val="18"/>
                <w:szCs w:val="18"/>
                <w:lang w:bidi="ar"/>
              </w:rPr>
              <w:t>检索</w:t>
            </w:r>
          </w:p>
          <w:p w14:paraId="4BE5AB86">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(M=(血管衰老 OR 血管老化 OR 老化血管 OR 血管年龄 OR 动脉硬化 OR 血管僵硬度 OR 血管内皮功能 OR 血管弹性 OR 脉搏波速度 OR 踝臂指数 OR 脉痹 OR 脉涩 OR 血管重构 OR 动脉老化)) AND (M=(证型 OR 证素 OR 证 OR 证候 OR 证名 OR 虚证 OR 实证 OR 气虚 OR 阴虚 OR 血虚 OR 血热 OR 阳虚 OR 痰瘀 OR 水饮)) AND (M=(指南 OR 共识 OR 随机对照 OR 队列研究 OR 对照临床试验 OR 交叉研究 OR 系统综述 OR 荟萃分析 OR 网络荟萃分析 OR 交叉实验 OR 随机化 OR 双盲研究 OR 临床研究 OR 系统评价 OR Meta OR 荟萃 OR 对照 OR 队列 OR 单盲 OR 盲法))</w:t>
            </w:r>
          </w:p>
        </w:tc>
        <w:tc>
          <w:tcPr>
            <w:tcW w:w="1092" w:type="dxa"/>
            <w:vAlign w:val="center"/>
          </w:tcPr>
          <w:p w14:paraId="1888B531">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起：2000-01-01</w:t>
            </w:r>
          </w:p>
          <w:p w14:paraId="09ECAA77">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val="en-US" w:eastAsia="zh-CN" w:bidi="ar"/>
              </w:rPr>
              <w:t>止：2025-12-01</w:t>
            </w:r>
          </w:p>
        </w:tc>
        <w:tc>
          <w:tcPr>
            <w:tcW w:w="1160" w:type="dxa"/>
            <w:vAlign w:val="center"/>
          </w:tcPr>
          <w:p w14:paraId="768DF1D1">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val="en-US" w:eastAsia="zh-CN" w:bidi="ar"/>
              </w:rPr>
              <w:t>1002</w:t>
            </w:r>
          </w:p>
        </w:tc>
      </w:tr>
      <w:tr w14:paraId="388E6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2" w:type="dxa"/>
            <w:vAlign w:val="center"/>
          </w:tcPr>
          <w:p w14:paraId="1D5C8B17">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CBM</w:t>
            </w:r>
          </w:p>
        </w:tc>
        <w:tc>
          <w:tcPr>
            <w:tcW w:w="6405" w:type="dxa"/>
            <w:vAlign w:val="center"/>
          </w:tcPr>
          <w:p w14:paraId="5E8C5280">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val="en-US" w:eastAsia="zh-CN" w:bidi="ar"/>
              </w:rPr>
              <w:t>专业</w:t>
            </w:r>
            <w:r>
              <w:rPr>
                <w:rFonts w:hint="eastAsia" w:ascii="Times New Roman" w:hAnsi="Times New Roman" w:eastAsia="宋体" w:cs="Times New Roman"/>
                <w:color w:val="000000"/>
                <w:kern w:val="0"/>
                <w:sz w:val="18"/>
                <w:szCs w:val="18"/>
                <w:lang w:bidi="ar"/>
              </w:rPr>
              <w:t>检索</w:t>
            </w:r>
          </w:p>
          <w:p w14:paraId="1C17643C">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(SU='血管衰老' OR SU='血管老化' OR SU='老化血管' OR SU='血管年龄' OR SU='动脉硬化' OR SU='血管僵硬度' OR SU='血管内皮功能' OR SU='血管弹性' OR SU='脉搏波速度' OR SU='踝臂指数' OR SU='脉痹' OR SU='脉涩' OR SU='血管重构' OR SU='动脉老化') AND (SU='证型' OR SU='证素' OR SU='证' OR SU='证候' OR SU='证名' OR SU='虚证' OR SU='实证' OR SU='气虚' OR SU='阴虚' OR SU='血虚' OR SU='血热' OR SU='阳虚' OR SU='痰瘀' OR SU='水饮') AND (SU='指南' OR SU='共识' OR SU='随机对照' OR SU='队列研究' OR SU='对照临床试验' OR SU='交叉研究' OR SU='系统综述' OR SU='荟萃分析' OR SU='网络荟萃分析' OR SU='交叉实验' OR SU='随机化' OR SU='双盲研究' OR SU='临床研究' OR SU='系统评价' OR SU='Meta' OR SU='荟萃' OR SU='对照' OR SU='队列' OR SU='单盲' OR SU='盲法')</w:t>
            </w:r>
          </w:p>
        </w:tc>
        <w:tc>
          <w:tcPr>
            <w:tcW w:w="1092" w:type="dxa"/>
            <w:vAlign w:val="center"/>
          </w:tcPr>
          <w:p w14:paraId="31B5FD8F">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起：2000-01-01</w:t>
            </w:r>
          </w:p>
          <w:p w14:paraId="61E72C72">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val="en-US" w:eastAsia="zh-CN" w:bidi="ar"/>
              </w:rPr>
              <w:t>止：2025-12-01</w:t>
            </w:r>
          </w:p>
        </w:tc>
        <w:tc>
          <w:tcPr>
            <w:tcW w:w="1160" w:type="dxa"/>
            <w:vAlign w:val="center"/>
          </w:tcPr>
          <w:p w14:paraId="716AB097">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3305</w:t>
            </w:r>
          </w:p>
        </w:tc>
      </w:tr>
      <w:tr w14:paraId="41BEF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2" w:type="dxa"/>
            <w:vAlign w:val="center"/>
          </w:tcPr>
          <w:p w14:paraId="0C259558">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Pubmed</w:t>
            </w:r>
          </w:p>
        </w:tc>
        <w:tc>
          <w:tcPr>
            <w:tcW w:w="6405" w:type="dxa"/>
            <w:vAlign w:val="center"/>
          </w:tcPr>
          <w:p w14:paraId="423A095D">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(("Endothelium, Vascular"[MeSH Terms] OR "Vascular Endothelium"[Title/Abstract] OR "Endotheliums, Vascular"[Title/Abstract] OR "Vascular Endotheliums"[Title/Abstract] OR "Capillary Endothelium"[Title/Abstract] OR "Capillary Endotheliums"[Title/Abstract] OR "Endothelium, Capillary"[Title/Abstract] OR "Endotheliums, Capillary"[Title/Abstract]))AND(("Vascular Remodeling"[MeSH Terms] OR "Remodelings, Vascular"[Title/Abstract] OR "Remodeling, Vascular"[Title/Abstract] OR "Vascular Remodelings"[Title/Abstract]))AND(("Aging"[MeSH Terms] OR "Biological Aging"[Title/Abstract] OR "Aging, Biological"[Title/Abstract] OR "Senescence"[Title/Abstract]))AND(("Blood Vessels"[MeSH Terms] OR "Blood Vessel"[Title/Abstract] OR "Vessel, Blood"[Title/Abstract] OR "Vessels, Blood"[Title/Abstract]))AND(("Vascular Calcification"[MeSH Terms] OR "Calcification, Vascular"[Title/Abstract] OR "Vascular Calcifications"[Title/Abstract] OR "Vascular Calcinosis"[Title/Abstract] OR "Calcinosis, Vascular"[Title/Abstract] OR "Vascular Calcinoses"[Title/Abstract]))AND(("Cellular Senescence"[MeSH Terms] OR "Senescence, Cellular"[Title/Abstract] OR "Cell Senescence"[Title/Abstract] OR "Senescence, Cell"[Title/Abstract] OR "Cell Aging"[Title/Abstract] OR "Cellular Ageing"[Title/Abstract] OR "Ageing, Cellular"[Title/Abstract] OR "Aging, Cell"[Title/Abstract] OR "Cell Ageing"[Title/Abstract] OR "Ageing, Cell"[Title/Abstract] OR "Cellular Aging"[Title/Abstract] OR "Aging, Cellula"[Title/Abstract]))AND(("Medicine, Chinese Traditional"[MeSH Terms] OR "Traditional Medicine, Chinese"[Title/Abstract] OR "Chinese Traditional Medicine"[Title/Abstract] OR "Traditional Chinese Medicine"[Title/Abstract] OR "Chinese Medicine, Traditional"[Title/Abstract]))</w:t>
            </w:r>
          </w:p>
        </w:tc>
        <w:tc>
          <w:tcPr>
            <w:tcW w:w="1092" w:type="dxa"/>
            <w:vAlign w:val="center"/>
          </w:tcPr>
          <w:p w14:paraId="108E90F3">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起：2000-01-01</w:t>
            </w:r>
          </w:p>
          <w:p w14:paraId="467A558E">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val="en-US" w:eastAsia="zh-CN" w:bidi="ar"/>
              </w:rPr>
              <w:t>止：2025-12-01</w:t>
            </w:r>
          </w:p>
        </w:tc>
        <w:tc>
          <w:tcPr>
            <w:tcW w:w="1160" w:type="dxa"/>
            <w:vAlign w:val="center"/>
          </w:tcPr>
          <w:p w14:paraId="5D9F484C">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val="en-US" w:eastAsia="zh-CN" w:bidi="ar"/>
              </w:rPr>
              <w:t>1262</w:t>
            </w:r>
          </w:p>
        </w:tc>
      </w:tr>
      <w:tr w14:paraId="5AAC1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2" w:type="dxa"/>
            <w:vAlign w:val="center"/>
          </w:tcPr>
          <w:p w14:paraId="440C006C">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Web of Science</w:t>
            </w:r>
          </w:p>
        </w:tc>
        <w:tc>
          <w:tcPr>
            <w:tcW w:w="6405" w:type="dxa"/>
            <w:vAlign w:val="center"/>
          </w:tcPr>
          <w:p w14:paraId="3C55DA7A">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(((((((((((((((((((((((((((((((((((((TS=(Endothelium, Vascular)) OR TS=(Vascular Endothelium)) OR TS=(Endotheliums, Vascular)) OR TS=(Vascular Endotheliums)) OR TS=(Capillary Endothelium)) OR TS=(Capillary Endotheliums)) OR TS=(Endothelium, Capillary)) OR TS=(Endotheliums, Capillary)) OR TS=(Vascular Remodeling)) OR TS=(Remodelings, Vascular)) OR TS=(Remodeling, Vascular)) OR TS=(Vascular Remodelings)) OR TS=(Aging)) OR TS=(Biological Aging)) OR TS=(Aging, Biological)) OR TS=(Senescence)) OR TS=(Blood Vessels)) OR TS=(Blood Vessel)) OR TS=(Vessel, Blood)) OR TS=(Vessels, Blood)) OR TS=(Vascular Calcification)) OR TS=(Calcification, Vascular)) OR TS=(Vascular Calcifications)) OR TS=(Vascular Calcinosis)) OR TS=(Calcinosis, Vascular)) OR TS=(Vascular Calcinoses)) OR TS=(Cellular Senescence)) OR TS=(Senescence, Cellular)) OR TS=(Cell Senescence)) OR TS=(Senescence, Cell)) OR TS=(Cell Aging)) OR TS=(Cellular Ageing)) OR TS=(Ageing, Cellular)) OR TS=(Aging, Cell)) OR TS=(Cell Ageing)) OR TS=(Ageing, Cell)) OR TS=(Cellular Aging)) OR TS=(Aging, Cellula)</w:t>
            </w:r>
            <w:r>
              <w:rPr>
                <w:rFonts w:hint="eastAsia" w:ascii="Times New Roman" w:hAnsi="Times New Roman" w:eastAsia="宋体" w:cs="Times New Roman"/>
                <w:color w:val="000000"/>
                <w:kern w:val="0"/>
                <w:sz w:val="18"/>
                <w:szCs w:val="18"/>
                <w:lang w:val="en-US" w:eastAsia="zh-CN" w:bidi="ar"/>
              </w:rPr>
              <w:t>And</w:t>
            </w:r>
            <w:r>
              <w:rPr>
                <w:rFonts w:hint="eastAsia" w:ascii="Times New Roman" w:hAnsi="Times New Roman" w:eastAsia="宋体" w:cs="Times New Roman"/>
                <w:color w:val="000000"/>
                <w:kern w:val="0"/>
                <w:sz w:val="18"/>
                <w:szCs w:val="18"/>
                <w:lang w:bidi="ar"/>
              </w:rPr>
              <w:t>((((TS=(Medicine, Chinese Traditional)) OR TS=(Traditional Medicine, Chinese)) OR TS=(Chinese Traditional Medicine)) OR TS=(Traditional Chinese Medicine)) OR TS=(Chinese Medicine, Traditional)</w:t>
            </w:r>
          </w:p>
        </w:tc>
        <w:tc>
          <w:tcPr>
            <w:tcW w:w="1092" w:type="dxa"/>
            <w:vAlign w:val="center"/>
          </w:tcPr>
          <w:p w14:paraId="1E4F8372">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起：2000-01-01</w:t>
            </w:r>
          </w:p>
          <w:p w14:paraId="05D4AD7C">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val="en-US" w:eastAsia="zh-CN" w:bidi="ar"/>
              </w:rPr>
              <w:t>止：2025-12-01</w:t>
            </w:r>
          </w:p>
        </w:tc>
        <w:tc>
          <w:tcPr>
            <w:tcW w:w="1160" w:type="dxa"/>
            <w:vAlign w:val="center"/>
          </w:tcPr>
          <w:p w14:paraId="64D0C6C3">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val="en-US" w:eastAsia="zh-CN" w:bidi="ar"/>
              </w:rPr>
              <w:t>4516</w:t>
            </w:r>
          </w:p>
        </w:tc>
      </w:tr>
      <w:tr w14:paraId="026B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2" w:type="dxa"/>
            <w:vAlign w:val="center"/>
          </w:tcPr>
          <w:p w14:paraId="505C6480">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Embase</w:t>
            </w:r>
          </w:p>
        </w:tc>
        <w:tc>
          <w:tcPr>
            <w:tcW w:w="6405" w:type="dxa"/>
            <w:vAlign w:val="center"/>
          </w:tcPr>
          <w:p w14:paraId="7E680417">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("vascular endothelium" OR "blood vessel endothelium" OR "endangium" OR "endothelium, blood vessel" OR "endothelium, vascular" OR "endovasculum")AND("vascular remodeling")AND("age induced changes" OR "ageing" OR "aging biology" OR "aging process" OR "aging rate" OR "aging")AND("blood vessel" OR "blood vessels" OR "ramus vascularis" OR "vascular branch" OR "vascular bundle" OR "vessel (artery)" OR "vessel (blood)" OR "vessel (vein)" OR "vessel, blood")AND("calcific vascular disease" OR "calcific vasculopathy" OR "calcified blood vessel" OR "calcified blood vessels" OR "calcified vascular tissue" OR "calcified vascular tissues" OR "calcified vasculature" OR "calcified vessel" OR "calcified vessels" OR "calcifying vascular tissue" OR "calcifying vascular wall" OR "calcifying vasculopathy" OR "vascular calcification" OR "vascular calcinosis" OR "blood vessel calcification")AND("aging, cell" OR "cell age" OR "cell ageing" OR "cell senescence" OR "cellular ageing" OR "cellular aging" OR "cellular senescence" OR "cell aging")AND("Chinese herbal medicine" OR "Chinese traditional medicine" OR "medicine, Chinese traditional" OR "traditional Chinese medicine" OR "Chinese medicine")</w:t>
            </w:r>
          </w:p>
        </w:tc>
        <w:tc>
          <w:tcPr>
            <w:tcW w:w="1092" w:type="dxa"/>
            <w:vAlign w:val="center"/>
          </w:tcPr>
          <w:p w14:paraId="2341EC9A">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起：2000-01-01</w:t>
            </w:r>
          </w:p>
          <w:p w14:paraId="08820BD6">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val="en-US" w:eastAsia="zh-CN" w:bidi="ar"/>
              </w:rPr>
              <w:t>止：2025-12-01</w:t>
            </w:r>
          </w:p>
        </w:tc>
        <w:tc>
          <w:tcPr>
            <w:tcW w:w="1160" w:type="dxa"/>
            <w:vAlign w:val="center"/>
          </w:tcPr>
          <w:p w14:paraId="4EE0AC24">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val="en-US" w:eastAsia="zh-CN" w:bidi="ar"/>
              </w:rPr>
              <w:t>5948</w:t>
            </w:r>
          </w:p>
        </w:tc>
      </w:tr>
      <w:tr w14:paraId="56C3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2" w:type="dxa"/>
            <w:vAlign w:val="center"/>
          </w:tcPr>
          <w:p w14:paraId="63D1DDC8">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Cochrance</w:t>
            </w:r>
          </w:p>
          <w:p w14:paraId="6A199695">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library</w:t>
            </w:r>
          </w:p>
        </w:tc>
        <w:tc>
          <w:tcPr>
            <w:tcW w:w="6405" w:type="dxa"/>
            <w:vAlign w:val="center"/>
          </w:tcPr>
          <w:p w14:paraId="34ACCB2B">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(Endothelium, Vascular OR Endotheliums, Vascular OR Vascular Endothelium OR Vascular Endotheliums OR Capillary Endothelium OR Capillary Endotheliums OR Endotheliums, Capillary OR Endothelium, Capillary)AND(Vascular Remodeling OR Vascular Remodelings OR Remodelings, Vascular OR Remodeling, Vascular OR Remodelings, Pulmonary Arterial OR Pulmonary Arterial Remodelings OR Arterial Remodelings, Pulmonary OR Remodeling, Pulmonary Arterial OR Pulmonary Arterial Remodeling OR Arterial Remodeling, Pulmonary)AND(Aging OR Aging, Biological OR Biological Aging OR Senescence OR Elderly)AND(Blood Vessels OR Vessels, Blood OR Vessel, Blood OR Blood Vessel)AND</w:t>
            </w:r>
          </w:p>
          <w:p w14:paraId="149CD0EF">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(Vascular Calcification OR Vascular Calcinoses OR Vascular Calcifications OR Calcinosis, Vascular OR Calcification, Vascular OR Vascular Calcinosis)AND(Cellular Senescence OR Ageing, Cellular OR Senescence, Replicative OR Replicative Senescence OR Cellular Ageing OR Aging, Cell OR Cell Ageing OR Ageing, Cell OR Cell Aging OR Cellular Aging OR Aging, Cellular OR Senescence, Cell OR Senescence, Cellular OR Cell Senescence)AND(Medicine, Chinese Traditional OR Traditional Medicine, Chinese OR Chinese Traditional Medicine OR Traditional Chinese Medicine OR Chinese Medicine, Traditional)</w:t>
            </w:r>
          </w:p>
        </w:tc>
        <w:tc>
          <w:tcPr>
            <w:tcW w:w="1092" w:type="dxa"/>
            <w:vAlign w:val="center"/>
          </w:tcPr>
          <w:p w14:paraId="24E0F977">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起：2000-01-01</w:t>
            </w:r>
          </w:p>
          <w:p w14:paraId="3D4E0777">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val="en-US" w:eastAsia="zh-CN" w:bidi="ar"/>
              </w:rPr>
              <w:t>止：2025-12-01</w:t>
            </w:r>
          </w:p>
        </w:tc>
        <w:tc>
          <w:tcPr>
            <w:tcW w:w="1160" w:type="dxa"/>
            <w:vAlign w:val="center"/>
          </w:tcPr>
          <w:p w14:paraId="0A080094">
            <w:pPr>
              <w:keepNext/>
              <w:widowControl/>
              <w:snapToGrid w:val="0"/>
              <w:ind w:left="0" w:leftChars="0" w:right="0" w:rightChars="0" w:firstLine="0" w:firstLineChars="0"/>
              <w:jc w:val="both"/>
              <w:textAlignment w:val="center"/>
              <w:rPr>
                <w:rFonts w:hint="eastAsia"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val="en-US" w:eastAsia="zh-CN" w:bidi="ar"/>
              </w:rPr>
              <w:t>532</w:t>
            </w:r>
          </w:p>
        </w:tc>
      </w:tr>
    </w:tbl>
    <w:p w14:paraId="47BD970D">
      <w:pPr>
        <w:keepNext w:val="0"/>
        <w:keepLines w:val="0"/>
        <w:pageBreakBefore w:val="0"/>
        <w:widowControl/>
        <w:kinsoku/>
        <w:wordWrap w:val="0"/>
        <w:overflowPunct/>
        <w:topLinePunct w:val="0"/>
        <w:autoSpaceDE/>
        <w:autoSpaceDN/>
        <w:bidi w:val="0"/>
        <w:adjustRightInd/>
        <w:snapToGrid/>
        <w:spacing w:line="360" w:lineRule="auto"/>
        <w:ind w:firstLine="480"/>
        <w:jc w:val="both"/>
        <w:textAlignment w:val="auto"/>
        <w:rPr>
          <w:rFonts w:hint="eastAsia" w:cs="Times New Roman" w:eastAsiaTheme="minorEastAsia"/>
          <w:b/>
          <w:bCs/>
          <w:color w:val="auto"/>
          <w:sz w:val="24"/>
          <w:highlight w:val="none"/>
          <w:lang w:val="en-US" w:eastAsia="zh-CN"/>
        </w:rPr>
      </w:pPr>
      <w:r>
        <w:rPr>
          <w:rFonts w:hint="eastAsia" w:cs="Times New Roman" w:eastAsiaTheme="minorEastAsia"/>
          <w:b/>
          <w:bCs/>
          <w:color w:val="auto"/>
          <w:sz w:val="24"/>
          <w:highlight w:val="none"/>
          <w:lang w:val="en-US" w:eastAsia="zh-CN"/>
        </w:rPr>
        <w:t>（3）纳排标准</w:t>
      </w:r>
    </w:p>
    <w:p w14:paraId="7A720008">
      <w:pPr>
        <w:keepNext w:val="0"/>
        <w:keepLines w:val="0"/>
        <w:pageBreakBefore w:val="0"/>
        <w:widowControl/>
        <w:kinsoku/>
        <w:wordWrap w:val="0"/>
        <w:overflowPunct/>
        <w:topLinePunct w:val="0"/>
        <w:autoSpaceDE/>
        <w:autoSpaceDN/>
        <w:bidi w:val="0"/>
        <w:adjustRightInd/>
        <w:snapToGrid/>
        <w:spacing w:line="360" w:lineRule="auto"/>
        <w:ind w:firstLine="480"/>
        <w:jc w:val="both"/>
        <w:textAlignment w:val="auto"/>
        <w:rPr>
          <w:rFonts w:hint="default" w:cs="Times New Roman" w:eastAsiaTheme="minorEastAsia"/>
          <w:color w:val="auto"/>
          <w:sz w:val="24"/>
          <w:highlight w:val="none"/>
          <w:lang w:val="en-US" w:eastAsia="zh-CN"/>
        </w:rPr>
      </w:pPr>
      <w:r>
        <w:rPr>
          <w:rFonts w:hint="default" w:cs="Times New Roman" w:eastAsiaTheme="minorEastAsia"/>
          <w:color w:val="auto"/>
          <w:sz w:val="24"/>
          <w:highlight w:val="none"/>
          <w:lang w:val="en-US" w:eastAsia="zh-CN"/>
        </w:rPr>
        <w:t>①中医证型相关文献</w:t>
      </w:r>
    </w:p>
    <w:p w14:paraId="07214AFB">
      <w:pPr>
        <w:keepNext w:val="0"/>
        <w:keepLines w:val="0"/>
        <w:pageBreakBefore w:val="0"/>
        <w:widowControl/>
        <w:kinsoku/>
        <w:wordWrap w:val="0"/>
        <w:overflowPunct/>
        <w:topLinePunct w:val="0"/>
        <w:autoSpaceDE/>
        <w:autoSpaceDN/>
        <w:bidi w:val="0"/>
        <w:adjustRightInd/>
        <w:snapToGrid/>
        <w:spacing w:line="360" w:lineRule="auto"/>
        <w:ind w:firstLine="480"/>
        <w:jc w:val="both"/>
        <w:textAlignment w:val="auto"/>
        <w:rPr>
          <w:rFonts w:hint="default" w:cs="Times New Roman" w:eastAsiaTheme="minorEastAsia"/>
          <w:color w:val="auto"/>
          <w:sz w:val="24"/>
          <w:highlight w:val="none"/>
          <w:lang w:val="en-US" w:eastAsia="zh-CN"/>
        </w:rPr>
      </w:pPr>
      <w:r>
        <w:rPr>
          <w:rFonts w:hint="default" w:cs="Times New Roman" w:eastAsiaTheme="minorEastAsia"/>
          <w:color w:val="auto"/>
          <w:sz w:val="24"/>
          <w:highlight w:val="none"/>
          <w:lang w:val="en-US" w:eastAsia="zh-CN"/>
        </w:rPr>
        <w:t>纳入标准：具有明确血管衰老或其相关疾病（如动脉粥样硬化、高血压、冠心病等与血管衰老密切相关的疾病）诊断；对血管衰老中医证型辨证有明确依据（如符合中医证候诊断标准、辨证要点清晰）；文献中包含血管衰老临床评估指标（如血管弹性、血流动力学、影像学相关评估等）；文献类型为临床研究、病例系列、诊疗规范类等具有数据支撑的文献。</w:t>
      </w:r>
    </w:p>
    <w:p w14:paraId="0607FB13">
      <w:pPr>
        <w:keepNext w:val="0"/>
        <w:keepLines w:val="0"/>
        <w:pageBreakBefore w:val="0"/>
        <w:widowControl/>
        <w:kinsoku/>
        <w:wordWrap w:val="0"/>
        <w:overflowPunct/>
        <w:topLinePunct w:val="0"/>
        <w:autoSpaceDE/>
        <w:autoSpaceDN/>
        <w:bidi w:val="0"/>
        <w:adjustRightInd/>
        <w:snapToGrid/>
        <w:spacing w:line="360" w:lineRule="auto"/>
        <w:ind w:firstLine="480"/>
        <w:jc w:val="both"/>
        <w:textAlignment w:val="auto"/>
        <w:rPr>
          <w:rFonts w:hint="default" w:cs="Times New Roman" w:eastAsiaTheme="minorEastAsia"/>
          <w:color w:val="auto"/>
          <w:sz w:val="24"/>
          <w:highlight w:val="none"/>
          <w:lang w:val="en-US" w:eastAsia="zh-CN"/>
        </w:rPr>
      </w:pPr>
      <w:r>
        <w:rPr>
          <w:rFonts w:hint="default" w:cs="Times New Roman" w:eastAsiaTheme="minorEastAsia"/>
          <w:color w:val="auto"/>
          <w:sz w:val="24"/>
          <w:highlight w:val="none"/>
          <w:lang w:val="en-US" w:eastAsia="zh-CN"/>
        </w:rPr>
        <w:t>排除标准：重复发表或数据高度相似的文章，仅收录最早发表的文章；个人经验总结、个案报道、新闻、广告、报刊短文、征文启事等非研究型文献；未明确中医证型辨证依据或无血管衰老临床评估指标的文献。</w:t>
      </w:r>
    </w:p>
    <w:p w14:paraId="6DB84EFF">
      <w:pPr>
        <w:keepNext w:val="0"/>
        <w:keepLines w:val="0"/>
        <w:pageBreakBefore w:val="0"/>
        <w:widowControl/>
        <w:kinsoku/>
        <w:wordWrap w:val="0"/>
        <w:overflowPunct/>
        <w:topLinePunct w:val="0"/>
        <w:autoSpaceDE/>
        <w:autoSpaceDN/>
        <w:bidi w:val="0"/>
        <w:adjustRightInd/>
        <w:snapToGrid/>
        <w:spacing w:line="360" w:lineRule="auto"/>
        <w:ind w:firstLine="480"/>
        <w:jc w:val="both"/>
        <w:textAlignment w:val="auto"/>
        <w:rPr>
          <w:rFonts w:hint="default" w:cs="Times New Roman" w:eastAsiaTheme="minorEastAsia"/>
          <w:color w:val="auto"/>
          <w:sz w:val="24"/>
          <w:highlight w:val="none"/>
          <w:lang w:val="en-US" w:eastAsia="zh-CN"/>
        </w:rPr>
      </w:pPr>
      <w:r>
        <w:rPr>
          <w:rFonts w:hint="default" w:cs="Times New Roman" w:eastAsiaTheme="minorEastAsia"/>
          <w:color w:val="auto"/>
          <w:sz w:val="24"/>
          <w:highlight w:val="none"/>
          <w:lang w:val="en-US" w:eastAsia="zh-CN"/>
        </w:rPr>
        <w:t>②中医治疗相关文献</w:t>
      </w:r>
    </w:p>
    <w:p w14:paraId="2A82C611">
      <w:pPr>
        <w:keepNext w:val="0"/>
        <w:keepLines w:val="0"/>
        <w:pageBreakBefore w:val="0"/>
        <w:widowControl/>
        <w:kinsoku/>
        <w:wordWrap w:val="0"/>
        <w:overflowPunct/>
        <w:topLinePunct w:val="0"/>
        <w:autoSpaceDE/>
        <w:autoSpaceDN/>
        <w:bidi w:val="0"/>
        <w:adjustRightInd/>
        <w:snapToGrid/>
        <w:spacing w:line="360" w:lineRule="auto"/>
        <w:ind w:firstLine="480"/>
        <w:jc w:val="both"/>
        <w:textAlignment w:val="auto"/>
        <w:rPr>
          <w:rFonts w:hint="default" w:cs="Times New Roman" w:eastAsiaTheme="minorEastAsia"/>
          <w:color w:val="auto"/>
          <w:sz w:val="24"/>
          <w:highlight w:val="none"/>
          <w:lang w:val="en-US" w:eastAsia="zh-CN"/>
        </w:rPr>
      </w:pPr>
      <w:r>
        <w:rPr>
          <w:rFonts w:hint="default" w:cs="Times New Roman" w:eastAsiaTheme="minorEastAsia"/>
          <w:color w:val="auto"/>
          <w:sz w:val="24"/>
          <w:highlight w:val="none"/>
          <w:lang w:val="en-US" w:eastAsia="zh-CN"/>
        </w:rPr>
        <w:t>纳入标准：符合上述 “中医证型相关文献” 纳入标准；文献类型为临床研究类（如随机对照试验、队列研究、病例对照研究、临床观察等）；具有明确的中医治疗方案（如中药方剂、针灸、推拿、中药外治、辨证调护等具体中医干预措施）；明确记载治疗对象、治疗疗程、干预细节等关键信息。</w:t>
      </w:r>
    </w:p>
    <w:p w14:paraId="0F89A7B0">
      <w:pPr>
        <w:keepNext w:val="0"/>
        <w:keepLines w:val="0"/>
        <w:pageBreakBefore w:val="0"/>
        <w:widowControl/>
        <w:kinsoku/>
        <w:wordWrap w:val="0"/>
        <w:overflowPunct/>
        <w:topLinePunct w:val="0"/>
        <w:autoSpaceDE/>
        <w:autoSpaceDN/>
        <w:bidi w:val="0"/>
        <w:adjustRightInd/>
        <w:snapToGrid/>
        <w:spacing w:line="360" w:lineRule="auto"/>
        <w:ind w:firstLine="480"/>
        <w:jc w:val="both"/>
        <w:textAlignment w:val="auto"/>
        <w:rPr>
          <w:rFonts w:hint="default" w:cs="Times New Roman" w:eastAsiaTheme="minorEastAsia"/>
          <w:color w:val="auto"/>
          <w:sz w:val="24"/>
          <w:highlight w:val="none"/>
          <w:lang w:val="en-US" w:eastAsia="zh-CN"/>
        </w:rPr>
      </w:pPr>
      <w:r>
        <w:rPr>
          <w:rFonts w:hint="default" w:cs="Times New Roman" w:eastAsiaTheme="minorEastAsia"/>
          <w:color w:val="auto"/>
          <w:sz w:val="24"/>
          <w:highlight w:val="none"/>
          <w:lang w:val="en-US" w:eastAsia="zh-CN"/>
        </w:rPr>
        <w:t>排除标准：重复发表或数据高度相似的文章，仅收录最早发表的文章；综述、系统评价、Meta 分析、基础实验研究（如细胞实验、动物实验等）；未体现具体中医治疗方案或中医治疗措施描述不明确的文献；个人经验总结、个案报道、新闻、广告、报刊短文、征文启事等非研究型文献。</w:t>
      </w:r>
    </w:p>
    <w:p w14:paraId="2D8292D4">
      <w:pPr>
        <w:keepNext w:val="0"/>
        <w:keepLines w:val="0"/>
        <w:pageBreakBefore w:val="0"/>
        <w:widowControl/>
        <w:kinsoku/>
        <w:wordWrap w:val="0"/>
        <w:overflowPunct/>
        <w:topLinePunct w:val="0"/>
        <w:autoSpaceDE/>
        <w:autoSpaceDN/>
        <w:bidi w:val="0"/>
        <w:adjustRightInd/>
        <w:snapToGrid/>
        <w:spacing w:line="360" w:lineRule="auto"/>
        <w:ind w:firstLine="480"/>
        <w:jc w:val="both"/>
        <w:textAlignment w:val="auto"/>
        <w:rPr>
          <w:rFonts w:hint="eastAsia" w:cs="Times New Roman" w:eastAsiaTheme="minorEastAsia"/>
          <w:b/>
          <w:bCs/>
          <w:color w:val="auto"/>
          <w:sz w:val="24"/>
          <w:highlight w:val="none"/>
          <w:lang w:val="en-US" w:eastAsia="zh-CN"/>
        </w:rPr>
      </w:pPr>
      <w:r>
        <w:rPr>
          <w:rFonts w:hint="eastAsia" w:cs="Times New Roman" w:eastAsiaTheme="minorEastAsia"/>
          <w:b/>
          <w:bCs/>
          <w:color w:val="auto"/>
          <w:sz w:val="24"/>
          <w:highlight w:val="none"/>
          <w:lang w:val="en-US" w:eastAsia="zh-CN"/>
        </w:rPr>
        <w:t>（4）文献筛选及信息提取</w:t>
      </w:r>
    </w:p>
    <w:p w14:paraId="75DAD6C9">
      <w:pPr>
        <w:keepNext w:val="0"/>
        <w:keepLines w:val="0"/>
        <w:pageBreakBefore w:val="0"/>
        <w:widowControl/>
        <w:kinsoku/>
        <w:wordWrap w:val="0"/>
        <w:overflowPunct/>
        <w:topLinePunct w:val="0"/>
        <w:autoSpaceDE/>
        <w:autoSpaceDN/>
        <w:bidi w:val="0"/>
        <w:adjustRightInd/>
        <w:snapToGrid/>
        <w:spacing w:line="360" w:lineRule="auto"/>
        <w:ind w:firstLine="480"/>
        <w:jc w:val="both"/>
        <w:textAlignment w:val="auto"/>
        <w:rPr>
          <w:rFonts w:hint="eastAsia" w:cs="Times New Roman" w:eastAsiaTheme="minorEastAsia"/>
          <w:color w:val="auto"/>
          <w:sz w:val="24"/>
          <w:highlight w:val="none"/>
          <w:lang w:val="en-US" w:eastAsia="zh-CN"/>
        </w:rPr>
      </w:pPr>
      <w:r>
        <w:rPr>
          <w:rFonts w:hint="eastAsia" w:cs="Times New Roman" w:eastAsiaTheme="minorEastAsia"/>
          <w:color w:val="auto"/>
          <w:sz w:val="24"/>
          <w:highlight w:val="none"/>
          <w:lang w:val="en-US" w:eastAsia="zh-CN"/>
        </w:rPr>
        <w:t>根据以上纳排标准进行文献筛选，首先检索知网4543篇、万方7435篇、维普1002篇、CBM3305篇、Pubmed1262篇、Embase5948篇、WOS4516篇、COCHRANE532篇数据库，排除重复文献6521篇后获得初步筛选文献2022篇，接着阅读题目与摘要进行初筛，排除主题不相关及其他不符合要求的文献后剩余2280篇，随后阅读全文进行复筛，其中保留具备明确中医证型记载的文献，最终1215篇文献用于中医证型部分的数据提取及分析，同时从具备中医证型记载的文献中剔除综述、Meta分析等非临床治疗研究类文献，保留以中医治疗为主的临床研究文献292篇用于中医治疗部分的数据提取及分析，最终共筛选出用于本标准编制的文献1507篇，包含中医证型部分1215篇与中医治疗部分292篇。文献筛选流程及结果，见图2。</w:t>
      </w:r>
    </w:p>
    <w:p w14:paraId="1C04F7E1">
      <w:pPr>
        <w:keepNext w:val="0"/>
        <w:keepLines w:val="0"/>
        <w:pageBreakBefore w:val="0"/>
        <w:widowControl/>
        <w:kinsoku/>
        <w:wordWrap w:val="0"/>
        <w:overflowPunct/>
        <w:topLinePunct w:val="0"/>
        <w:autoSpaceDE/>
        <w:autoSpaceDN/>
        <w:bidi w:val="0"/>
        <w:adjustRightInd/>
        <w:snapToGrid/>
        <w:spacing w:line="360" w:lineRule="auto"/>
        <w:ind w:firstLine="480"/>
        <w:jc w:val="both"/>
        <w:textAlignment w:val="auto"/>
        <w:rPr>
          <w:rFonts w:hint="default" w:cs="Times New Roman" w:eastAsiaTheme="minorEastAsia"/>
          <w:color w:val="auto"/>
          <w:sz w:val="24"/>
          <w:highlight w:val="none"/>
          <w:lang w:val="en-US" w:eastAsia="zh-CN"/>
        </w:rPr>
      </w:pPr>
      <w:r>
        <w:drawing>
          <wp:anchor distT="0" distB="0" distL="114300" distR="114300" simplePos="0" relativeHeight="251660288" behindDoc="0" locked="0" layoutInCell="1" allowOverlap="1">
            <wp:simplePos x="0" y="0"/>
            <wp:positionH relativeFrom="column">
              <wp:posOffset>40005</wp:posOffset>
            </wp:positionH>
            <wp:positionV relativeFrom="page">
              <wp:posOffset>1056005</wp:posOffset>
            </wp:positionV>
            <wp:extent cx="5273040" cy="3900805"/>
            <wp:effectExtent l="0" t="0" r="3810" b="444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3040" cy="3900805"/>
                    </a:xfrm>
                    <a:prstGeom prst="rect">
                      <a:avLst/>
                    </a:prstGeom>
                    <a:noFill/>
                    <a:ln>
                      <a:noFill/>
                    </a:ln>
                  </pic:spPr>
                </pic:pic>
              </a:graphicData>
            </a:graphic>
          </wp:anchor>
        </w:drawing>
      </w:r>
      <w:r>
        <w:rPr>
          <w:rFonts w:hint="eastAsia" w:cs="Times New Roman" w:eastAsiaTheme="minorEastAsia"/>
          <w:color w:val="auto"/>
          <w:sz w:val="24"/>
          <w:highlight w:val="none"/>
          <w:lang w:val="en-US" w:eastAsia="zh-CN"/>
        </w:rPr>
        <w:t>图2 文献筛选流程及结果</w:t>
      </w:r>
    </w:p>
    <w:p w14:paraId="55D66839">
      <w:pPr>
        <w:widowControl/>
        <w:spacing w:line="360" w:lineRule="auto"/>
        <w:ind w:firstLine="480"/>
        <w:jc w:val="both"/>
        <w:rPr>
          <w:rFonts w:hint="eastAsia" w:asciiTheme="minorEastAsia" w:hAnsiTheme="minorEastAsia" w:eastAsiaTheme="minorEastAsia" w:cstheme="minorEastAsia"/>
          <w:b/>
          <w:bCs/>
          <w:color w:val="auto"/>
          <w:sz w:val="24"/>
          <w:highlight w:val="none"/>
          <w:lang w:val="en-US" w:eastAsia="zh-CN"/>
        </w:rPr>
      </w:pPr>
      <w:r>
        <w:rPr>
          <w:rFonts w:hint="eastAsia" w:asciiTheme="minorEastAsia" w:hAnsiTheme="minorEastAsia" w:eastAsiaTheme="minorEastAsia" w:cstheme="minorEastAsia"/>
          <w:b/>
          <w:bCs/>
          <w:color w:val="auto"/>
          <w:sz w:val="24"/>
          <w:highlight w:val="none"/>
        </w:rPr>
        <w:t>（</w:t>
      </w:r>
      <w:r>
        <w:rPr>
          <w:rFonts w:hint="eastAsia" w:asciiTheme="minorEastAsia" w:hAnsiTheme="minorEastAsia" w:eastAsiaTheme="minorEastAsia" w:cstheme="minorEastAsia"/>
          <w:b/>
          <w:bCs/>
          <w:color w:val="auto"/>
          <w:sz w:val="24"/>
          <w:highlight w:val="none"/>
          <w:lang w:val="en-US" w:eastAsia="zh-CN"/>
        </w:rPr>
        <w:t>三</w:t>
      </w:r>
      <w:r>
        <w:rPr>
          <w:rFonts w:hint="eastAsia" w:asciiTheme="minorEastAsia" w:hAnsiTheme="minorEastAsia" w:eastAsiaTheme="minorEastAsia" w:cstheme="minorEastAsia"/>
          <w:b/>
          <w:bCs/>
          <w:color w:val="auto"/>
          <w:sz w:val="24"/>
          <w:highlight w:val="none"/>
        </w:rPr>
        <w:t>）</w:t>
      </w:r>
      <w:r>
        <w:rPr>
          <w:rFonts w:hint="eastAsia" w:asciiTheme="minorEastAsia" w:hAnsiTheme="minorEastAsia" w:eastAsiaTheme="minorEastAsia" w:cstheme="minorEastAsia"/>
          <w:b/>
          <w:bCs/>
          <w:color w:val="auto"/>
          <w:sz w:val="24"/>
          <w:highlight w:val="none"/>
          <w:lang w:val="en-US" w:eastAsia="zh-CN"/>
        </w:rPr>
        <w:t>数据处理阶段</w:t>
      </w:r>
    </w:p>
    <w:p w14:paraId="1D62AE25">
      <w:pPr>
        <w:widowControl/>
        <w:spacing w:line="360" w:lineRule="auto"/>
        <w:ind w:firstLine="480"/>
        <w:jc w:val="both"/>
        <w:rPr>
          <w:rFonts w:hint="default" w:asciiTheme="minorEastAsia" w:hAnsiTheme="minorEastAsia" w:eastAsiaTheme="minorEastAsia" w:cstheme="minorEastAsia"/>
          <w:b/>
          <w:bCs/>
          <w:color w:val="auto"/>
          <w:sz w:val="24"/>
          <w:highlight w:val="none"/>
          <w:lang w:val="en-US" w:eastAsia="zh-CN"/>
        </w:rPr>
      </w:pPr>
      <w:r>
        <w:rPr>
          <w:rFonts w:hint="eastAsia" w:asciiTheme="minorEastAsia" w:hAnsiTheme="minorEastAsia" w:eastAsiaTheme="minorEastAsia" w:cstheme="minorEastAsia"/>
          <w:b/>
          <w:bCs/>
          <w:color w:val="auto"/>
          <w:sz w:val="24"/>
          <w:highlight w:val="none"/>
          <w:lang w:val="en-US" w:eastAsia="zh-CN"/>
        </w:rPr>
        <w:t>（1）数据规范化处理</w:t>
      </w:r>
    </w:p>
    <w:p w14:paraId="7A419E82">
      <w:pPr>
        <w:widowControl/>
        <w:spacing w:line="360" w:lineRule="auto"/>
        <w:ind w:firstLine="480"/>
        <w:jc w:val="both"/>
        <w:rPr>
          <w:rFonts w:hint="default" w:ascii="Times New Roman" w:hAnsi="Times New Roman" w:cs="Times New Roman" w:eastAsiaTheme="minorEastAsia"/>
          <w:b w:val="0"/>
          <w:bCs w:val="0"/>
          <w:color w:val="auto"/>
          <w:sz w:val="24"/>
          <w:highlight w:val="none"/>
          <w:lang w:val="en-US" w:eastAsia="zh-CN"/>
        </w:rPr>
      </w:pPr>
      <w:r>
        <w:rPr>
          <w:rFonts w:hint="default" w:ascii="Times New Roman" w:hAnsi="Times New Roman" w:cs="Times New Roman" w:eastAsiaTheme="minorEastAsia"/>
          <w:b w:val="0"/>
          <w:bCs w:val="0"/>
          <w:color w:val="auto"/>
          <w:sz w:val="24"/>
          <w:highlight w:val="none"/>
          <w:lang w:val="en-US" w:eastAsia="zh-CN"/>
        </w:rPr>
        <w:t>完成文献数据提取后，针对提取所得繁杂的证型、证候及四诊条目，项目组依据GB/T16751.1-2023《中医临床诊疗术语第1部分：疾病》、GB/T16751.2-2021《中医临床诊疗术语第2部分：证候》、GB/T16751.3-2023《中医临床诊疗术语第3部分：治法》、GB/T42467.1-2023《中医临床名词术语第1部分：内科学》等规范性文件，开展系统性的数据规范化处理：首先针对血管衰老相关中医证型，从提取数据中初步获得110条证型条目，通过对照上述规范性文件对证型名称进行统一、合并与标准化校准，最终规范形成27条标准中医证型；同时针对提取所得的1009条四诊相关条目，同步参照规范文件进行术语统一、内容合并与表述优化，最终梳理形成129条标准四诊条目，为后续诊疗规范的内容构建提供了标准化的数据基础。</w:t>
      </w:r>
    </w:p>
    <w:p w14:paraId="545A8411">
      <w:pPr>
        <w:widowControl/>
        <w:spacing w:line="360" w:lineRule="auto"/>
        <w:ind w:firstLine="480"/>
        <w:jc w:val="both"/>
        <w:rPr>
          <w:rFonts w:hint="eastAsia" w:asciiTheme="minorEastAsia" w:hAnsiTheme="minorEastAsia" w:eastAsiaTheme="minorEastAsia" w:cstheme="minorEastAsia"/>
          <w:b/>
          <w:bCs/>
          <w:color w:val="auto"/>
          <w:sz w:val="24"/>
          <w:highlight w:val="none"/>
          <w:lang w:eastAsia="zh-CN"/>
        </w:rPr>
      </w:pPr>
      <w:r>
        <w:rPr>
          <w:rFonts w:hint="eastAsia" w:asciiTheme="minorEastAsia" w:hAnsiTheme="minorEastAsia" w:eastAsiaTheme="minorEastAsia" w:cstheme="minorEastAsia"/>
          <w:b/>
          <w:bCs/>
          <w:color w:val="auto"/>
          <w:sz w:val="24"/>
          <w:highlight w:val="none"/>
          <w:lang w:eastAsia="zh-CN"/>
        </w:rPr>
        <w:t>（</w:t>
      </w:r>
      <w:r>
        <w:rPr>
          <w:rFonts w:hint="eastAsia" w:asciiTheme="minorEastAsia" w:hAnsiTheme="minorEastAsia" w:eastAsiaTheme="minorEastAsia" w:cstheme="minorEastAsia"/>
          <w:b/>
          <w:bCs/>
          <w:color w:val="auto"/>
          <w:sz w:val="24"/>
          <w:highlight w:val="none"/>
          <w:lang w:val="en-US" w:eastAsia="zh-CN"/>
        </w:rPr>
        <w:t>2</w:t>
      </w:r>
      <w:r>
        <w:rPr>
          <w:rFonts w:hint="eastAsia" w:asciiTheme="minorEastAsia" w:hAnsiTheme="minorEastAsia" w:eastAsiaTheme="minorEastAsia" w:cstheme="minorEastAsia"/>
          <w:b/>
          <w:bCs/>
          <w:color w:val="auto"/>
          <w:sz w:val="24"/>
          <w:highlight w:val="none"/>
          <w:lang w:eastAsia="zh-CN"/>
        </w:rPr>
        <w:t>）方法学质量评价</w:t>
      </w:r>
    </w:p>
    <w:p w14:paraId="7E266183">
      <w:pPr>
        <w:widowControl/>
        <w:spacing w:line="360" w:lineRule="auto"/>
        <w:ind w:firstLine="480"/>
        <w:jc w:val="both"/>
        <w:rPr>
          <w:rFonts w:hint="default" w:ascii="Times New Roman" w:hAnsi="Times New Roman" w:cs="Times New Roman" w:eastAsiaTheme="minorEastAsia"/>
          <w:b w:val="0"/>
          <w:bCs w:val="0"/>
          <w:color w:val="auto"/>
          <w:sz w:val="24"/>
          <w:highlight w:val="none"/>
          <w:lang w:eastAsia="zh-CN"/>
        </w:rPr>
      </w:pPr>
      <w:r>
        <w:rPr>
          <w:rFonts w:hint="default" w:ascii="Times New Roman" w:hAnsi="Times New Roman" w:cs="Times New Roman" w:eastAsiaTheme="minorEastAsia"/>
          <w:b w:val="0"/>
          <w:bCs w:val="0"/>
          <w:color w:val="auto"/>
          <w:sz w:val="24"/>
          <w:highlight w:val="none"/>
          <w:lang w:eastAsia="zh-CN"/>
        </w:rPr>
        <w:t>对于最终纳入的202篇ＲCT研究，本标准采用Cochrane偏倚风险评价工具进行质量评价，将每个评价条目的分析结果逐一录入Excel表中完成整理汇总。通过分析可知，所纳入的202篇ＲCT中，大部分条目的偏倚风险评价结果为</w:t>
      </w:r>
      <w:r>
        <w:rPr>
          <w:rFonts w:hint="eastAsia" w:ascii="宋体" w:hAnsi="宋体" w:eastAsia="宋体" w:cs="宋体"/>
          <w:b w:val="0"/>
          <w:bCs w:val="0"/>
          <w:color w:val="auto"/>
          <w:sz w:val="24"/>
          <w:highlight w:val="none"/>
          <w:lang w:eastAsia="zh-CN"/>
        </w:rPr>
        <w:t>“风险偏倚不清楚”</w:t>
      </w:r>
      <w:r>
        <w:rPr>
          <w:rFonts w:hint="default" w:ascii="Times New Roman" w:hAnsi="Times New Roman" w:cs="Times New Roman" w:eastAsiaTheme="minorEastAsia"/>
          <w:b w:val="0"/>
          <w:bCs w:val="0"/>
          <w:color w:val="auto"/>
          <w:sz w:val="24"/>
          <w:highlight w:val="none"/>
          <w:lang w:eastAsia="zh-CN"/>
        </w:rPr>
        <w:t>，主要是由于多数研究对相关评价条目内容未提及或交代不够明确，因此无法真实判断其实际的风险偏倚情况；而整体质量评价为低风险偏倚的研究占比较少。</w:t>
      </w:r>
    </w:p>
    <w:p w14:paraId="46184692">
      <w:pPr>
        <w:widowControl/>
        <w:spacing w:line="360" w:lineRule="auto"/>
        <w:ind w:firstLine="480"/>
        <w:jc w:val="both"/>
        <w:rPr>
          <w:rFonts w:hint="eastAsia" w:cs="Times New Roman" w:eastAsiaTheme="minorEastAsia"/>
          <w:b/>
          <w:bCs/>
          <w:color w:val="auto"/>
          <w:sz w:val="24"/>
          <w:highlight w:val="none"/>
          <w:lang w:val="en-US" w:eastAsia="zh-CN"/>
        </w:rPr>
      </w:pPr>
      <w:r>
        <w:rPr>
          <w:rFonts w:hint="eastAsia" w:cs="Times New Roman" w:eastAsiaTheme="minorEastAsia"/>
          <w:b/>
          <w:bCs/>
          <w:color w:val="auto"/>
          <w:sz w:val="24"/>
          <w:highlight w:val="none"/>
          <w:lang w:eastAsia="zh-CN"/>
        </w:rPr>
        <w:t>（</w:t>
      </w:r>
      <w:r>
        <w:rPr>
          <w:rFonts w:hint="eastAsia" w:cs="Times New Roman" w:eastAsiaTheme="minorEastAsia"/>
          <w:b/>
          <w:bCs/>
          <w:color w:val="auto"/>
          <w:sz w:val="24"/>
          <w:highlight w:val="none"/>
          <w:lang w:val="en-US" w:eastAsia="zh-CN"/>
        </w:rPr>
        <w:t>四</w:t>
      </w:r>
      <w:r>
        <w:rPr>
          <w:rFonts w:hint="eastAsia" w:cs="Times New Roman" w:eastAsiaTheme="minorEastAsia"/>
          <w:b/>
          <w:bCs/>
          <w:color w:val="auto"/>
          <w:sz w:val="24"/>
          <w:highlight w:val="none"/>
          <w:lang w:eastAsia="zh-CN"/>
        </w:rPr>
        <w:t>）</w:t>
      </w:r>
      <w:r>
        <w:rPr>
          <w:rFonts w:hint="eastAsia" w:cs="Times New Roman" w:eastAsiaTheme="minorEastAsia"/>
          <w:b/>
          <w:bCs/>
          <w:color w:val="auto"/>
          <w:sz w:val="24"/>
          <w:highlight w:val="none"/>
          <w:lang w:val="en-US" w:eastAsia="zh-CN"/>
        </w:rPr>
        <w:t>专家调研阶段</w:t>
      </w:r>
    </w:p>
    <w:p w14:paraId="7A9DAA40">
      <w:pPr>
        <w:widowControl/>
        <w:spacing w:line="360" w:lineRule="auto"/>
        <w:ind w:firstLine="480"/>
        <w:jc w:val="both"/>
        <w:rPr>
          <w:rFonts w:hint="eastAsia" w:cs="Times New Roman" w:eastAsiaTheme="minorEastAsia"/>
          <w:b/>
          <w:bCs/>
          <w:color w:val="auto"/>
          <w:sz w:val="24"/>
          <w:highlight w:val="none"/>
          <w:lang w:val="en-US" w:eastAsia="zh-CN"/>
        </w:rPr>
      </w:pPr>
      <w:r>
        <w:rPr>
          <w:rFonts w:hint="eastAsia" w:cs="Times New Roman" w:eastAsiaTheme="minorEastAsia"/>
          <w:b/>
          <w:bCs/>
          <w:color w:val="auto"/>
          <w:sz w:val="24"/>
          <w:highlight w:val="none"/>
          <w:lang w:val="en-US" w:eastAsia="zh-CN"/>
        </w:rPr>
        <w:t>（1）调查方法</w:t>
      </w:r>
    </w:p>
    <w:p w14:paraId="4E0091AC">
      <w:pPr>
        <w:widowControl/>
        <w:spacing w:line="360" w:lineRule="auto"/>
        <w:ind w:firstLine="480"/>
        <w:jc w:val="both"/>
        <w:rPr>
          <w:rFonts w:hint="default" w:cs="Times New Roman" w:eastAsiaTheme="minorEastAsia"/>
          <w:b w:val="0"/>
          <w:bCs w:val="0"/>
          <w:color w:val="auto"/>
          <w:sz w:val="24"/>
          <w:highlight w:val="none"/>
          <w:lang w:val="en-US" w:eastAsia="zh-CN"/>
        </w:rPr>
      </w:pPr>
      <w:r>
        <w:rPr>
          <w:rFonts w:hint="default" w:cs="Times New Roman" w:eastAsiaTheme="minorEastAsia"/>
          <w:b w:val="0"/>
          <w:bCs w:val="0"/>
          <w:color w:val="auto"/>
          <w:sz w:val="24"/>
          <w:highlight w:val="none"/>
          <w:lang w:val="en-US" w:eastAsia="zh-CN"/>
        </w:rPr>
        <w:t>本研究遵循科学性与权威性原则，由天津中医药大学第一附属医院牵头、北京慢性病防治与健康教育研究会归口管理，采用德尔菲（Delphi）专家咨询法分两轮进行。在调研启动前，项目组依托古今中医药文献构建了血管衰老中医诊疗数据库，经深度分析与多轮专家研讨，完成了术语规范化梳理及核心证型确立，形成了包含4部分、87条目的《规范》初稿。在此基础上，第一轮咨询侧重于广开言路与条目初筛，邀请专家对初稿的科学性与临床适配性进行全面审阅，重点收集专家对辨证分型、治则治法及代表性方药的修改建议与补充意见，并确保专家意见的真实性与独立性。</w:t>
      </w:r>
    </w:p>
    <w:p w14:paraId="2588046C">
      <w:pPr>
        <w:widowControl/>
        <w:spacing w:line="360" w:lineRule="auto"/>
        <w:ind w:firstLine="480"/>
        <w:jc w:val="both"/>
        <w:rPr>
          <w:rFonts w:hint="eastAsia" w:cs="Times New Roman" w:eastAsiaTheme="minorEastAsia"/>
          <w:b w:val="0"/>
          <w:bCs w:val="0"/>
          <w:color w:val="auto"/>
          <w:sz w:val="24"/>
          <w:highlight w:val="none"/>
          <w:lang w:val="en-US" w:eastAsia="zh-CN"/>
        </w:rPr>
      </w:pPr>
      <w:r>
        <w:rPr>
          <w:rFonts w:hint="default" w:cs="Times New Roman" w:eastAsiaTheme="minorEastAsia"/>
          <w:b w:val="0"/>
          <w:bCs w:val="0"/>
          <w:color w:val="auto"/>
          <w:sz w:val="24"/>
          <w:highlight w:val="none"/>
          <w:lang w:val="en-US" w:eastAsia="zh-CN"/>
        </w:rPr>
        <w:t>第二轮咨询则侧重于共识凝聚与方案优化。项目组对首轮回收问卷进行系统梳理与逐一研判，针对专家反馈集中的问题，对部分诊疗条目表述、辨证分型细节及临床实操建议进行了修订与完善，形成了《诊疗规范》修订稿。随后启动第二轮咨询，恳请专家重点对修订后的条目合理性及首轮已达成共识的内容进行二次确认，旨在进一步收敛意见、消除分歧。全程问卷均采用匿名方式发布与回收，严格保障专家信息与数据的保密性，最终依据两轮咨询结果确定《诊疗规范》的定稿内容。</w:t>
      </w:r>
      <w:r>
        <w:rPr>
          <w:rFonts w:hint="eastAsia" w:cs="Times New Roman" w:eastAsiaTheme="minorEastAsia"/>
          <w:b w:val="0"/>
          <w:bCs w:val="0"/>
          <w:color w:val="auto"/>
          <w:sz w:val="24"/>
          <w:highlight w:val="none"/>
          <w:lang w:val="en-US" w:eastAsia="zh-CN"/>
        </w:rPr>
        <w:t>问卷如下：</w:t>
      </w:r>
    </w:p>
    <w:p w14:paraId="6E83400E">
      <w:pPr>
        <w:keepNext w:val="0"/>
        <w:keepLines w:val="0"/>
        <w:pageBreakBefore w:val="0"/>
        <w:widowControl/>
        <w:kinsoku/>
        <w:wordWrap/>
        <w:overflowPunct/>
        <w:topLinePunct w:val="0"/>
        <w:autoSpaceDE/>
        <w:autoSpaceDN/>
        <w:bidi w:val="0"/>
        <w:adjustRightInd/>
        <w:snapToGrid/>
        <w:spacing w:line="360" w:lineRule="auto"/>
        <w:ind w:left="0" w:leftChars="0" w:firstLine="482" w:firstLineChars="200"/>
        <w:jc w:val="both"/>
        <w:textAlignment w:val="auto"/>
        <w:rPr>
          <w:rFonts w:hint="default" w:cs="Times New Roman" w:eastAsiaTheme="minorEastAsia"/>
          <w:b/>
          <w:bCs/>
          <w:color w:val="auto"/>
          <w:sz w:val="24"/>
          <w:highlight w:val="none"/>
          <w:lang w:val="en-US" w:eastAsia="zh-CN"/>
        </w:rPr>
      </w:pPr>
      <w:r>
        <w:rPr>
          <w:rFonts w:hint="default" w:cs="Times New Roman" w:eastAsiaTheme="minorEastAsia"/>
          <w:b/>
          <w:bCs/>
          <w:color w:val="auto"/>
          <w:kern w:val="0"/>
          <w:sz w:val="24"/>
          <w:highlight w:val="none"/>
          <w:lang w:val="en-US" w:eastAsia="zh-CN"/>
        </w:rPr>
        <w:drawing>
          <wp:anchor distT="0" distB="0" distL="114300" distR="114300" simplePos="0" relativeHeight="251662336" behindDoc="0" locked="0" layoutInCell="1" allowOverlap="1">
            <wp:simplePos x="0" y="0"/>
            <wp:positionH relativeFrom="column">
              <wp:posOffset>2939415</wp:posOffset>
            </wp:positionH>
            <wp:positionV relativeFrom="page">
              <wp:posOffset>1056005</wp:posOffset>
            </wp:positionV>
            <wp:extent cx="2079625" cy="3470910"/>
            <wp:effectExtent l="0" t="0" r="15875" b="15240"/>
            <wp:wrapTopAndBottom/>
            <wp:docPr id="4" name="图片 4" descr="a18be846449086133e0c0e78eb1b7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18be846449086133e0c0e78eb1b760f"/>
                    <pic:cNvPicPr>
                      <a:picLocks noChangeAspect="1"/>
                    </pic:cNvPicPr>
                  </pic:nvPicPr>
                  <pic:blipFill>
                    <a:blip r:embed="rId8"/>
                    <a:stretch>
                      <a:fillRect/>
                    </a:stretch>
                  </pic:blipFill>
                  <pic:spPr>
                    <a:xfrm>
                      <a:off x="0" y="0"/>
                      <a:ext cx="2079625" cy="3470910"/>
                    </a:xfrm>
                    <a:prstGeom prst="rect">
                      <a:avLst/>
                    </a:prstGeom>
                  </pic:spPr>
                </pic:pic>
              </a:graphicData>
            </a:graphic>
          </wp:anchor>
        </w:drawing>
      </w:r>
      <w:r>
        <w:rPr>
          <w:rFonts w:hint="eastAsia" w:ascii="Times New Roman" w:hAnsi="Times New Roman" w:cs="Times New Roman" w:eastAsiaTheme="minorEastAsia"/>
          <w:b/>
          <w:bCs/>
          <w:color w:val="auto"/>
          <w:kern w:val="0"/>
          <w:sz w:val="24"/>
          <w:highlight w:val="none"/>
          <w:lang w:eastAsia="zh-CN"/>
        </w:rPr>
        <w:drawing>
          <wp:anchor distT="0" distB="0" distL="114300" distR="114300" simplePos="0" relativeHeight="251661312" behindDoc="0" locked="0" layoutInCell="1" allowOverlap="1">
            <wp:simplePos x="0" y="0"/>
            <wp:positionH relativeFrom="column">
              <wp:posOffset>156845</wp:posOffset>
            </wp:positionH>
            <wp:positionV relativeFrom="page">
              <wp:posOffset>1063625</wp:posOffset>
            </wp:positionV>
            <wp:extent cx="2071370" cy="3456305"/>
            <wp:effectExtent l="0" t="0" r="5080" b="10795"/>
            <wp:wrapTopAndBottom/>
            <wp:docPr id="3" name="图片 3" descr="3a316bdac28bec2fb95ad7fd56c910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a316bdac28bec2fb95ad7fd56c9102e"/>
                    <pic:cNvPicPr>
                      <a:picLocks noChangeAspect="1"/>
                    </pic:cNvPicPr>
                  </pic:nvPicPr>
                  <pic:blipFill>
                    <a:blip r:embed="rId9"/>
                    <a:stretch>
                      <a:fillRect/>
                    </a:stretch>
                  </pic:blipFill>
                  <pic:spPr>
                    <a:xfrm>
                      <a:off x="0" y="0"/>
                      <a:ext cx="2071370" cy="3456305"/>
                    </a:xfrm>
                    <a:prstGeom prst="rect">
                      <a:avLst/>
                    </a:prstGeom>
                  </pic:spPr>
                </pic:pic>
              </a:graphicData>
            </a:graphic>
          </wp:anchor>
        </w:drawing>
      </w:r>
      <w:r>
        <w:rPr>
          <w:rFonts w:hint="eastAsia" w:cs="Times New Roman" w:eastAsiaTheme="minorEastAsia"/>
          <w:b/>
          <w:bCs/>
          <w:color w:val="auto"/>
          <w:sz w:val="24"/>
          <w:highlight w:val="none"/>
          <w:lang w:val="en-US" w:eastAsia="zh-CN"/>
        </w:rPr>
        <w:t>（2）调查结果</w:t>
      </w:r>
    </w:p>
    <w:p w14:paraId="11D22D99">
      <w:pPr>
        <w:widowControl/>
        <w:spacing w:line="360" w:lineRule="auto"/>
        <w:ind w:firstLine="480"/>
        <w:jc w:val="both"/>
        <w:rPr>
          <w:rFonts w:hint="default" w:cs="Times New Roman" w:eastAsiaTheme="minorEastAsia"/>
          <w:b w:val="0"/>
          <w:bCs w:val="0"/>
          <w:color w:val="auto"/>
          <w:sz w:val="24"/>
          <w:highlight w:val="none"/>
          <w:lang w:val="en-US" w:eastAsia="zh-CN"/>
        </w:rPr>
      </w:pPr>
      <w:r>
        <w:rPr>
          <w:rFonts w:hint="default" w:cs="Times New Roman" w:eastAsiaTheme="minorEastAsia"/>
          <w:b w:val="0"/>
          <w:bCs w:val="0"/>
          <w:color w:val="auto"/>
          <w:sz w:val="24"/>
          <w:highlight w:val="none"/>
          <w:lang w:val="en-US" w:eastAsia="zh-CN"/>
        </w:rPr>
        <w:t>本调查共计开展2轮专家问卷，其中第1轮开放式调查覆盖46名行业专家，包括主任医师15名、副主任医师16名、主治医师13名，职称结构合理、专业积淀深厚，均具备丰富的血管衰老相关疾病中医诊疗实践经验。地域覆盖层面，专家工作单位遍及华北、华东等多个区域的20个省，体现出广泛的地域代表性。参与单位既涵盖中国中医科学院、北京中医药大学东直门医院等国家级科研院所及各省市三级甲等医院，保障了规范制定的专业权威性与学术高度；也吸纳河北迁安市中医医院、内蒙古达拉特旗人民医院等县（区）级基层医疗机构，充分贴合基层临床实际，保障规范在基层场景的实操性；同时特别纳入新疆、内蒙古等少数民族及边疆地区的医疗单位与民族医院，推动中医与民族医药特色互补。本次调查通过“三甲医院与基层医院联动、中医与民族医协同”的参与模式，全面覆盖多等级医疗机构、多地域医疗场景、多民族医药特色，既彰显了广泛的行业参与度，又兼具扎实的专业权威性、全面的地域代表性及贴合临床的实操适配性，为规范的科学性与推广价值奠定了坚实基础。调查问卷共发放46份，回收46份，回收率为100%，说明专家积极性较高，对调查问题较为关注。问卷的专家内容熟悉程度系数（Cs）为0.94，判断依据系数（Ca）为0.89，综合权威系数（Cr）为0.91，均远高于0.7界值，表明专家对调查内容非常熟悉，判断依据充分，整体问卷的专家权威性极高，为调查结果的科学性和可靠性提供了充分保证。问卷的Cronbach'sα系数值为0.978＞0.80，累积方差贡献率为79.40%＞70%，说明问卷的信度效果和结构效度都较好，问卷有较高的可靠性和有效性。按照M≥3.5分，CV＜0.3且K≥70%者为共识条目，M＜3分、CV≥0.4或K＜50%者为未共识条目的划分原则，本轮调查所有条目的均值M均＞4.0分，变异系数CV均＜0.15，绝大部分条目满分频率K值达标，各项数据均符合共识界值要求，表明专家对《诊疗规范》内容的意见高度集中，协调程度极好，各条目设置科学合理，均达到保留标准。</w:t>
      </w:r>
    </w:p>
    <w:p w14:paraId="2DEF2892">
      <w:pPr>
        <w:widowControl/>
        <w:spacing w:line="360" w:lineRule="auto"/>
        <w:ind w:firstLine="480"/>
        <w:jc w:val="both"/>
        <w:rPr>
          <w:rFonts w:hint="eastAsia" w:ascii="Times New Roman" w:hAnsi="Times New Roman" w:cs="Times New Roman" w:eastAsiaTheme="minorEastAsia"/>
          <w:color w:val="auto"/>
          <w:kern w:val="0"/>
          <w:sz w:val="24"/>
          <w:szCs w:val="24"/>
          <w:highlight w:val="none"/>
          <w:lang w:val="en-US" w:eastAsia="zh-CN" w:bidi="ar-SA"/>
        </w:rPr>
      </w:pPr>
      <w:r>
        <w:rPr>
          <w:rFonts w:hint="default" w:cs="Times New Roman" w:eastAsiaTheme="minorEastAsia"/>
          <w:b w:val="0"/>
          <w:bCs w:val="0"/>
          <w:color w:val="auto"/>
          <w:sz w:val="24"/>
          <w:highlight w:val="none"/>
          <w:lang w:val="en-US" w:eastAsia="zh-CN"/>
        </w:rPr>
        <w:t>第2轮调查问卷共咨询专家46名，包括主任医师15名、副主任医师16名、主治医师13名，职称结构合理、专业积淀深厚，均具备丰富的血管衰老相关疾病中医诊疗实践经验。调查问卷共发放46份，回收46份，回收率为100%，说明专家积极性较高，对调查问题较为关注。专家对内容的熟悉程度：Cs值=0.91，说明绝大部分专家对调查内容非常熟悉。专家判断依据得分：Ca值=0.78，说明多数专家以实践经验、理论分析与文献为主要判断依据。专家权威系数：Cr值=0.84，属于德尔菲法高权威范围，说明专家权威性充分，为调查结果的科学性和权威性提供了有效保证。第二轮问卷的专家权威系数（Cr）计算结果显示，专家内容熟悉程度系数Cs为0.91，判断依据系数Ca为0.96，综合权威系数Cr为0.93，均高于通常认可的0.7界值，表明本轮问卷参与专家对相关内容具备较高熟悉度，判断依据充分，权威性极强，为调查结果的科学性和可靠性提供了有力保障。本轮问卷的Cronbach's α系数为0.72＞0.70，累积方差贡献率为100.0%＞70%，说明问卷整体具有较好的信度和结构效度，具备较高的可靠性和有效性。所有条目的均值M平均为4.63，变异系数CV平均为0.15，满分率K值平均为68.0%，各项数据均达到共识条件（M≥3.5，CV＜0.3且K≥70%为强共识条目），显示专家对条目的认可度较高且意见较为集中，各条目设置合理，体现了评审专家的高度一致性和对规范内容的高度认可。</w:t>
      </w:r>
      <w:r>
        <w:rPr>
          <w:rFonts w:hint="eastAsia" w:ascii="Times New Roman" w:hAnsi="Times New Roman" w:cs="Times New Roman" w:eastAsiaTheme="minorEastAsia"/>
          <w:color w:val="auto"/>
          <w:kern w:val="0"/>
          <w:sz w:val="24"/>
          <w:szCs w:val="24"/>
          <w:highlight w:val="none"/>
          <w:lang w:val="en-US" w:eastAsia="zh-CN" w:bidi="ar-SA"/>
        </w:rPr>
        <w:t>项目组对问卷调查结果进行整理和分析，汇总内容见下表3。</w:t>
      </w:r>
    </w:p>
    <w:p w14:paraId="144D2AD1">
      <w:pPr>
        <w:jc w:val="both"/>
        <w:rPr>
          <w:rStyle w:val="7"/>
          <w:rFonts w:hint="eastAsia" w:ascii="宋体" w:hAnsi="宋体" w:eastAsia="宋体" w:cs="宋体"/>
          <w:color w:val="auto"/>
          <w:sz w:val="24"/>
        </w:rPr>
      </w:pPr>
      <w:r>
        <w:rPr>
          <w:rStyle w:val="7"/>
          <w:rFonts w:hint="eastAsia" w:ascii="宋体" w:hAnsi="宋体" w:cs="宋体"/>
          <w:color w:val="auto"/>
          <w:sz w:val="24"/>
          <w:lang w:val="en-US" w:eastAsia="zh-CN"/>
        </w:rPr>
        <w:t xml:space="preserve">表3 </w:t>
      </w:r>
      <w:r>
        <w:rPr>
          <w:rStyle w:val="7"/>
          <w:rFonts w:hint="eastAsia" w:ascii="宋体" w:hAnsi="宋体" w:eastAsia="宋体" w:cs="宋体"/>
          <w:color w:val="auto"/>
          <w:sz w:val="24"/>
        </w:rPr>
        <w:t>专家问卷报告简表</w:t>
      </w:r>
    </w:p>
    <w:tbl>
      <w:tblPr>
        <w:tblStyle w:val="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4745"/>
        <w:gridCol w:w="714"/>
        <w:gridCol w:w="823"/>
        <w:gridCol w:w="864"/>
        <w:gridCol w:w="877"/>
      </w:tblGrid>
      <w:tr w14:paraId="219F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290" w:type="pct"/>
            <w:shd w:val="clear" w:color="auto" w:fill="auto"/>
            <w:vAlign w:val="center"/>
          </w:tcPr>
          <w:p w14:paraId="2DBE93DC">
            <w:pPr>
              <w:keepNext/>
              <w:widowControl/>
              <w:snapToGrid w:val="0"/>
              <w:ind w:left="0" w:leftChars="0" w:right="0" w:rightChars="0" w:firstLine="0" w:firstLineChars="0"/>
              <w:jc w:val="both"/>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类别</w:t>
            </w:r>
          </w:p>
        </w:tc>
        <w:tc>
          <w:tcPr>
            <w:tcW w:w="2784" w:type="pct"/>
            <w:shd w:val="clear" w:color="auto" w:fill="auto"/>
            <w:vAlign w:val="center"/>
          </w:tcPr>
          <w:p w14:paraId="00F0B266">
            <w:pPr>
              <w:keepNext/>
              <w:widowControl/>
              <w:snapToGrid w:val="0"/>
              <w:ind w:left="0" w:leftChars="0" w:right="0" w:rightChars="0" w:firstLine="0" w:firstLineChars="0"/>
              <w:jc w:val="both"/>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条目内容</w:t>
            </w:r>
          </w:p>
        </w:tc>
        <w:tc>
          <w:tcPr>
            <w:tcW w:w="419" w:type="pct"/>
            <w:shd w:val="clear" w:color="auto" w:fill="auto"/>
            <w:vAlign w:val="center"/>
          </w:tcPr>
          <w:p w14:paraId="21DEF254">
            <w:pPr>
              <w:keepNext/>
              <w:widowControl/>
              <w:snapToGrid w:val="0"/>
              <w:ind w:left="0" w:leftChars="0" w:right="0" w:rightChars="0" w:firstLine="0" w:firstLineChars="0"/>
              <w:jc w:val="both"/>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M</w:t>
            </w:r>
          </w:p>
        </w:tc>
        <w:tc>
          <w:tcPr>
            <w:tcW w:w="483" w:type="pct"/>
            <w:shd w:val="clear" w:color="auto" w:fill="auto"/>
            <w:vAlign w:val="center"/>
          </w:tcPr>
          <w:p w14:paraId="799D7E8F">
            <w:pPr>
              <w:keepNext/>
              <w:widowControl/>
              <w:snapToGrid w:val="0"/>
              <w:ind w:left="0" w:leftChars="0" w:right="0" w:rightChars="0" w:firstLine="0" w:firstLineChars="0"/>
              <w:jc w:val="both"/>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CV</w:t>
            </w:r>
          </w:p>
        </w:tc>
        <w:tc>
          <w:tcPr>
            <w:tcW w:w="507" w:type="pct"/>
            <w:shd w:val="clear" w:color="auto" w:fill="auto"/>
            <w:vAlign w:val="center"/>
          </w:tcPr>
          <w:p w14:paraId="51412F70">
            <w:pPr>
              <w:keepNext/>
              <w:widowControl/>
              <w:snapToGrid w:val="0"/>
              <w:ind w:left="0" w:leftChars="0" w:right="0" w:rightChars="0" w:firstLine="0" w:firstLineChars="0"/>
              <w:jc w:val="both"/>
              <w:textAlignment w:val="bottom"/>
              <w:rPr>
                <w:rFonts w:ascii="Times New Roman" w:hAnsi="Times New Roman" w:eastAsia="宋体" w:cs="Times New Roman"/>
                <w:b/>
                <w:bCs/>
                <w:kern w:val="0"/>
                <w:sz w:val="18"/>
                <w:szCs w:val="18"/>
                <w:lang w:bidi="ar"/>
              </w:rPr>
            </w:pPr>
            <w:r>
              <w:rPr>
                <w:rFonts w:ascii="Times New Roman" w:hAnsi="Times New Roman" w:eastAsia="宋体" w:cs="Times New Roman"/>
                <w:b/>
                <w:bCs/>
                <w:kern w:val="0"/>
                <w:sz w:val="18"/>
                <w:szCs w:val="18"/>
                <w:lang w:bidi="ar"/>
              </w:rPr>
              <w:t>K</w:t>
            </w:r>
          </w:p>
        </w:tc>
        <w:tc>
          <w:tcPr>
            <w:tcW w:w="514" w:type="pct"/>
            <w:shd w:val="clear" w:color="auto" w:fill="auto"/>
            <w:vAlign w:val="center"/>
          </w:tcPr>
          <w:p w14:paraId="7435CC34">
            <w:pPr>
              <w:keepNext/>
              <w:widowControl/>
              <w:snapToGrid w:val="0"/>
              <w:ind w:left="0" w:leftChars="0" w:right="0" w:rightChars="0" w:firstLine="0" w:firstLineChars="0"/>
              <w:jc w:val="both"/>
              <w:textAlignment w:val="center"/>
              <w:rPr>
                <w:rFonts w:ascii="Times New Roman" w:hAnsi="Times New Roman" w:eastAsia="宋体" w:cs="Times New Roman"/>
                <w:b/>
                <w:bCs/>
                <w:kern w:val="0"/>
                <w:sz w:val="18"/>
                <w:szCs w:val="18"/>
                <w:lang w:bidi="ar"/>
              </w:rPr>
            </w:pPr>
            <w:r>
              <w:rPr>
                <w:rFonts w:ascii="Times New Roman" w:hAnsi="Times New Roman" w:eastAsia="宋体" w:cs="Times New Roman"/>
                <w:b/>
                <w:bCs/>
                <w:kern w:val="0"/>
                <w:sz w:val="18"/>
                <w:szCs w:val="18"/>
                <w:lang w:bidi="ar"/>
              </w:rPr>
              <w:t>处理意见</w:t>
            </w:r>
          </w:p>
        </w:tc>
      </w:tr>
      <w:tr w14:paraId="0018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restart"/>
            <w:shd w:val="clear" w:color="auto" w:fill="auto"/>
            <w:vAlign w:val="center"/>
          </w:tcPr>
          <w:p w14:paraId="66F52294">
            <w:pPr>
              <w:keepNext/>
              <w:widowControl/>
              <w:snapToGrid w:val="0"/>
              <w:ind w:left="0" w:leftChars="0" w:right="0" w:rightChars="0" w:firstLine="0" w:firstLineChars="0"/>
              <w:jc w:val="both"/>
              <w:textAlignment w:val="center"/>
              <w:rPr>
                <w:rFonts w:hint="default" w:ascii="Times New Roman" w:hAnsi="Times New Roman" w:eastAsia="宋体" w:cs="Times New Roman"/>
                <w:b w:val="0"/>
                <w:bCs w:val="0"/>
                <w:color w:val="000000"/>
                <w:sz w:val="18"/>
                <w:szCs w:val="18"/>
                <w:lang w:val="en-US" w:eastAsia="zh-CN"/>
              </w:rPr>
            </w:pPr>
            <w:r>
              <w:rPr>
                <w:rFonts w:hint="eastAsia" w:ascii="Times New Roman" w:hAnsi="Times New Roman" w:eastAsia="宋体" w:cs="Times New Roman"/>
                <w:b w:val="0"/>
                <w:bCs w:val="0"/>
                <w:color w:val="000000"/>
                <w:sz w:val="18"/>
                <w:szCs w:val="18"/>
                <w:lang w:val="en-US" w:eastAsia="zh-CN"/>
              </w:rPr>
              <w:t>西医诊断</w:t>
            </w:r>
          </w:p>
        </w:tc>
        <w:tc>
          <w:tcPr>
            <w:tcW w:w="2784" w:type="pct"/>
            <w:shd w:val="clear" w:color="auto" w:fill="auto"/>
            <w:vAlign w:val="center"/>
          </w:tcPr>
          <w:p w14:paraId="2BC095DA">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bidi="ar"/>
              </w:rPr>
              <w:t>血管衰老的诊断需要综合临床症状、危险因素、相关疾病及辅助检查结果进行判断</w:t>
            </w:r>
          </w:p>
        </w:tc>
        <w:tc>
          <w:tcPr>
            <w:tcW w:w="419" w:type="pct"/>
            <w:shd w:val="clear" w:color="auto" w:fill="auto"/>
            <w:vAlign w:val="center"/>
          </w:tcPr>
          <w:p w14:paraId="0AB58040">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Times New Roman" w:eastAsia="宋体" w:cs="Times New Roman"/>
                <w:b w:val="0"/>
                <w:bCs w:val="0"/>
                <w:color w:val="000000"/>
                <w:kern w:val="0"/>
                <w:sz w:val="18"/>
                <w:szCs w:val="18"/>
                <w:lang w:bidi="ar"/>
              </w:rPr>
              <w:t>4.86</w:t>
            </w:r>
          </w:p>
        </w:tc>
        <w:tc>
          <w:tcPr>
            <w:tcW w:w="483" w:type="pct"/>
            <w:shd w:val="clear" w:color="auto" w:fill="auto"/>
            <w:vAlign w:val="center"/>
          </w:tcPr>
          <w:p w14:paraId="7777A4C5">
            <w:pPr>
              <w:keepNext/>
              <w:widowControl/>
              <w:snapToGrid w:val="0"/>
              <w:ind w:left="0" w:leftChars="0" w:right="0" w:rightChars="0" w:firstLine="0" w:firstLineChars="0"/>
              <w:jc w:val="both"/>
              <w:textAlignment w:val="center"/>
              <w:rPr>
                <w:rFonts w:hint="default" w:ascii="Times New Roman" w:hAnsi="Times New Roman" w:eastAsia="宋体" w:cs="Times New Roman"/>
                <w:b w:val="0"/>
                <w:bCs w:val="0"/>
                <w:color w:val="000000"/>
                <w:kern w:val="0"/>
                <w:sz w:val="18"/>
                <w:szCs w:val="18"/>
                <w:lang w:val="en-US" w:eastAsia="zh-CN" w:bidi="ar"/>
              </w:rPr>
            </w:pPr>
            <w:r>
              <w:rPr>
                <w:rFonts w:hint="eastAsia" w:ascii="Times New Roman" w:hAnsi="Times New Roman" w:eastAsia="宋体" w:cs="Times New Roman"/>
                <w:b w:val="0"/>
                <w:bCs w:val="0"/>
                <w:color w:val="000000"/>
                <w:kern w:val="0"/>
                <w:sz w:val="18"/>
                <w:szCs w:val="18"/>
                <w:lang w:val="en-US" w:eastAsia="zh-CN" w:bidi="ar"/>
              </w:rPr>
              <w:t>0.071</w:t>
            </w:r>
          </w:p>
        </w:tc>
        <w:tc>
          <w:tcPr>
            <w:tcW w:w="507" w:type="pct"/>
            <w:shd w:val="clear" w:color="auto" w:fill="auto"/>
            <w:vAlign w:val="center"/>
          </w:tcPr>
          <w:p w14:paraId="18517353">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Times New Roman" w:eastAsia="宋体" w:cs="Times New Roman"/>
                <w:b w:val="0"/>
                <w:bCs w:val="0"/>
                <w:color w:val="000000"/>
                <w:kern w:val="0"/>
                <w:sz w:val="18"/>
                <w:szCs w:val="18"/>
                <w:lang w:bidi="ar"/>
              </w:rPr>
              <w:t>86.4%</w:t>
            </w:r>
          </w:p>
        </w:tc>
        <w:tc>
          <w:tcPr>
            <w:tcW w:w="514" w:type="pct"/>
            <w:shd w:val="clear" w:color="auto" w:fill="auto"/>
            <w:vAlign w:val="center"/>
          </w:tcPr>
          <w:p w14:paraId="613FAFED">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color w:val="000000"/>
                <w:kern w:val="0"/>
                <w:sz w:val="18"/>
                <w:szCs w:val="18"/>
                <w:lang w:val="en-US" w:eastAsia="zh-CN" w:bidi="ar"/>
              </w:rPr>
            </w:pPr>
            <w:r>
              <w:rPr>
                <w:rFonts w:hint="eastAsia" w:ascii="Times New Roman" w:hAnsi="Times New Roman" w:eastAsia="宋体" w:cs="Times New Roman"/>
                <w:b w:val="0"/>
                <w:bCs w:val="0"/>
                <w:color w:val="000000"/>
                <w:kern w:val="0"/>
                <w:sz w:val="18"/>
                <w:szCs w:val="18"/>
                <w:lang w:val="en-US" w:eastAsia="zh-CN" w:bidi="ar"/>
              </w:rPr>
              <w:t>保留</w:t>
            </w:r>
          </w:p>
        </w:tc>
      </w:tr>
      <w:tr w14:paraId="73DC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4FCD56CC">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color w:val="000000"/>
                <w:sz w:val="18"/>
                <w:szCs w:val="18"/>
                <w:lang w:val="en-US" w:eastAsia="zh-CN"/>
              </w:rPr>
            </w:pPr>
          </w:p>
        </w:tc>
        <w:tc>
          <w:tcPr>
            <w:tcW w:w="2784" w:type="pct"/>
            <w:shd w:val="clear" w:color="auto" w:fill="auto"/>
            <w:vAlign w:val="center"/>
          </w:tcPr>
          <w:p w14:paraId="35951CA1">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bidi="ar"/>
              </w:rPr>
              <w:t>血管衰老应包含存在与血管功能减退相关的非特异性症状、具有明确的血管衰老危险因素、合并动脉粥样硬化或慢性肾脏病等与血管健康密切相关的疾病</w:t>
            </w:r>
          </w:p>
        </w:tc>
        <w:tc>
          <w:tcPr>
            <w:tcW w:w="419" w:type="pct"/>
            <w:shd w:val="clear" w:color="auto" w:fill="auto"/>
            <w:vAlign w:val="center"/>
          </w:tcPr>
          <w:p w14:paraId="2D1605E8">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Times New Roman" w:eastAsia="宋体" w:cs="Times New Roman"/>
                <w:b w:val="0"/>
                <w:bCs w:val="0"/>
                <w:color w:val="000000"/>
                <w:kern w:val="0"/>
                <w:sz w:val="18"/>
                <w:szCs w:val="18"/>
                <w:lang w:bidi="ar"/>
              </w:rPr>
              <w:t>4.80</w:t>
            </w:r>
          </w:p>
        </w:tc>
        <w:tc>
          <w:tcPr>
            <w:tcW w:w="483" w:type="pct"/>
            <w:shd w:val="clear" w:color="auto" w:fill="auto"/>
            <w:vAlign w:val="center"/>
          </w:tcPr>
          <w:p w14:paraId="388188CD">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Times New Roman" w:eastAsia="宋体" w:cs="Times New Roman"/>
                <w:b w:val="0"/>
                <w:bCs w:val="0"/>
                <w:color w:val="000000"/>
                <w:kern w:val="0"/>
                <w:sz w:val="18"/>
                <w:szCs w:val="18"/>
                <w:lang w:bidi="ar"/>
              </w:rPr>
              <w:t>0.089</w:t>
            </w:r>
          </w:p>
        </w:tc>
        <w:tc>
          <w:tcPr>
            <w:tcW w:w="507" w:type="pct"/>
            <w:shd w:val="clear" w:color="auto" w:fill="auto"/>
            <w:vAlign w:val="center"/>
          </w:tcPr>
          <w:p w14:paraId="73A07A2C">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Times New Roman" w:eastAsia="宋体" w:cs="Times New Roman"/>
                <w:b w:val="0"/>
                <w:bCs w:val="0"/>
                <w:color w:val="000000"/>
                <w:kern w:val="0"/>
                <w:sz w:val="18"/>
                <w:szCs w:val="18"/>
                <w:lang w:bidi="ar"/>
              </w:rPr>
              <w:t>77.3%</w:t>
            </w:r>
          </w:p>
        </w:tc>
        <w:tc>
          <w:tcPr>
            <w:tcW w:w="514" w:type="pct"/>
            <w:shd w:val="clear" w:color="auto" w:fill="auto"/>
            <w:vAlign w:val="center"/>
          </w:tcPr>
          <w:p w14:paraId="698A4B4B">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Times New Roman" w:eastAsia="宋体" w:cs="Times New Roman"/>
                <w:b w:val="0"/>
                <w:bCs w:val="0"/>
                <w:color w:val="000000"/>
                <w:kern w:val="0"/>
                <w:sz w:val="18"/>
                <w:szCs w:val="18"/>
                <w:lang w:bidi="ar"/>
              </w:rPr>
              <w:t>保留</w:t>
            </w:r>
          </w:p>
        </w:tc>
      </w:tr>
      <w:tr w14:paraId="3196A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5268B840">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color w:val="000000"/>
                <w:sz w:val="18"/>
                <w:szCs w:val="18"/>
                <w:lang w:val="en-US" w:eastAsia="zh-CN"/>
              </w:rPr>
            </w:pPr>
          </w:p>
        </w:tc>
        <w:tc>
          <w:tcPr>
            <w:tcW w:w="2784" w:type="pct"/>
            <w:shd w:val="clear" w:color="auto" w:fill="auto"/>
            <w:vAlign w:val="center"/>
          </w:tcPr>
          <w:p w14:paraId="4121246E">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bidi="ar"/>
              </w:rPr>
              <w:t>血管功能学检查（PWV 增快、FMD 减弱、RHI 降低）作为血管衰老的功能学评估指标具有合理性</w:t>
            </w:r>
          </w:p>
        </w:tc>
        <w:tc>
          <w:tcPr>
            <w:tcW w:w="419" w:type="pct"/>
            <w:shd w:val="clear" w:color="auto" w:fill="auto"/>
            <w:vAlign w:val="center"/>
          </w:tcPr>
          <w:p w14:paraId="1477652A">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bidi="ar"/>
              </w:rPr>
              <w:t>4.66</w:t>
            </w:r>
          </w:p>
        </w:tc>
        <w:tc>
          <w:tcPr>
            <w:tcW w:w="483" w:type="pct"/>
            <w:shd w:val="clear" w:color="auto" w:fill="auto"/>
            <w:vAlign w:val="center"/>
          </w:tcPr>
          <w:p w14:paraId="0EB7C1F5">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Times New Roman" w:eastAsia="宋体" w:cs="Times New Roman"/>
                <w:b w:val="0"/>
                <w:bCs w:val="0"/>
                <w:color w:val="000000"/>
                <w:kern w:val="0"/>
                <w:sz w:val="18"/>
                <w:szCs w:val="18"/>
                <w:lang w:bidi="ar"/>
              </w:rPr>
              <w:t>0.102</w:t>
            </w:r>
          </w:p>
        </w:tc>
        <w:tc>
          <w:tcPr>
            <w:tcW w:w="507" w:type="pct"/>
            <w:shd w:val="clear" w:color="auto" w:fill="auto"/>
            <w:vAlign w:val="center"/>
          </w:tcPr>
          <w:p w14:paraId="3EADDEFE">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Times New Roman" w:eastAsia="宋体" w:cs="Times New Roman"/>
                <w:b w:val="0"/>
                <w:bCs w:val="0"/>
                <w:color w:val="000000"/>
                <w:kern w:val="0"/>
                <w:sz w:val="18"/>
                <w:szCs w:val="18"/>
                <w:lang w:bidi="ar"/>
              </w:rPr>
              <w:t>65.9%</w:t>
            </w:r>
          </w:p>
        </w:tc>
        <w:tc>
          <w:tcPr>
            <w:tcW w:w="514" w:type="pct"/>
            <w:shd w:val="clear" w:color="auto" w:fill="auto"/>
            <w:vAlign w:val="center"/>
          </w:tcPr>
          <w:p w14:paraId="39D799AF">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color w:val="000000"/>
                <w:kern w:val="0"/>
                <w:sz w:val="18"/>
                <w:szCs w:val="18"/>
                <w:lang w:val="en-US" w:eastAsia="zh-CN" w:bidi="ar"/>
              </w:rPr>
            </w:pPr>
            <w:r>
              <w:rPr>
                <w:rFonts w:hint="eastAsia" w:ascii="Times New Roman" w:hAnsi="Times New Roman" w:eastAsia="宋体" w:cs="Times New Roman"/>
                <w:b w:val="0"/>
                <w:bCs w:val="0"/>
                <w:color w:val="000000"/>
                <w:kern w:val="0"/>
                <w:sz w:val="18"/>
                <w:szCs w:val="18"/>
                <w:lang w:val="en-US" w:eastAsia="zh-CN" w:bidi="ar"/>
              </w:rPr>
              <w:t>保留</w:t>
            </w:r>
          </w:p>
        </w:tc>
      </w:tr>
      <w:tr w14:paraId="3EA3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37B59A70">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color w:val="000000"/>
                <w:sz w:val="18"/>
                <w:szCs w:val="18"/>
                <w:lang w:val="en-US" w:eastAsia="zh-CN"/>
              </w:rPr>
            </w:pPr>
          </w:p>
        </w:tc>
        <w:tc>
          <w:tcPr>
            <w:tcW w:w="2784" w:type="pct"/>
            <w:shd w:val="clear" w:color="auto" w:fill="auto"/>
            <w:vAlign w:val="center"/>
          </w:tcPr>
          <w:p w14:paraId="04D2EBF0">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bidi="ar"/>
              </w:rPr>
              <w:t>血管形态学检查（cIMT 增加、血管管腔狭窄或血管斑块形成）作为血管衰老的形态学评估指标具有合理性</w:t>
            </w:r>
          </w:p>
        </w:tc>
        <w:tc>
          <w:tcPr>
            <w:tcW w:w="419" w:type="pct"/>
            <w:shd w:val="clear" w:color="auto" w:fill="auto"/>
            <w:vAlign w:val="center"/>
          </w:tcPr>
          <w:p w14:paraId="4FC98426">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Times New Roman" w:eastAsia="宋体" w:cs="Times New Roman"/>
                <w:b w:val="0"/>
                <w:bCs w:val="0"/>
                <w:color w:val="000000"/>
                <w:kern w:val="0"/>
                <w:sz w:val="18"/>
                <w:szCs w:val="18"/>
                <w:lang w:bidi="ar"/>
              </w:rPr>
              <w:t>4.75</w:t>
            </w:r>
          </w:p>
        </w:tc>
        <w:tc>
          <w:tcPr>
            <w:tcW w:w="483" w:type="pct"/>
            <w:shd w:val="clear" w:color="auto" w:fill="auto"/>
            <w:vAlign w:val="center"/>
          </w:tcPr>
          <w:p w14:paraId="04E8B130">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Times New Roman" w:eastAsia="宋体" w:cs="Times New Roman"/>
                <w:b w:val="0"/>
                <w:bCs w:val="0"/>
                <w:color w:val="000000"/>
                <w:kern w:val="0"/>
                <w:sz w:val="18"/>
                <w:szCs w:val="18"/>
                <w:lang w:bidi="ar"/>
              </w:rPr>
              <w:t>0.091</w:t>
            </w:r>
          </w:p>
        </w:tc>
        <w:tc>
          <w:tcPr>
            <w:tcW w:w="507" w:type="pct"/>
            <w:shd w:val="clear" w:color="auto" w:fill="auto"/>
            <w:vAlign w:val="center"/>
          </w:tcPr>
          <w:p w14:paraId="366E9870">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Times New Roman" w:eastAsia="宋体" w:cs="Times New Roman"/>
                <w:b w:val="0"/>
                <w:bCs w:val="0"/>
                <w:color w:val="000000"/>
                <w:kern w:val="0"/>
                <w:sz w:val="18"/>
                <w:szCs w:val="18"/>
                <w:lang w:bidi="ar"/>
              </w:rPr>
              <w:t>75.0%</w:t>
            </w:r>
          </w:p>
        </w:tc>
        <w:tc>
          <w:tcPr>
            <w:tcW w:w="514" w:type="pct"/>
            <w:shd w:val="clear" w:color="auto" w:fill="auto"/>
            <w:vAlign w:val="center"/>
          </w:tcPr>
          <w:p w14:paraId="500F2F8C">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color w:val="000000"/>
                <w:kern w:val="0"/>
                <w:sz w:val="18"/>
                <w:szCs w:val="18"/>
                <w:lang w:val="en-US" w:eastAsia="zh-CN" w:bidi="ar"/>
              </w:rPr>
            </w:pPr>
            <w:r>
              <w:rPr>
                <w:rFonts w:hint="eastAsia" w:ascii="Times New Roman" w:hAnsi="Times New Roman" w:eastAsia="宋体" w:cs="Times New Roman"/>
                <w:b w:val="0"/>
                <w:bCs w:val="0"/>
                <w:color w:val="000000"/>
                <w:kern w:val="0"/>
                <w:sz w:val="18"/>
                <w:szCs w:val="18"/>
                <w:lang w:val="en-US" w:eastAsia="zh-CN" w:bidi="ar"/>
              </w:rPr>
              <w:t>保留</w:t>
            </w:r>
          </w:p>
        </w:tc>
      </w:tr>
      <w:tr w14:paraId="05C1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743CDBF2">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color w:val="000000"/>
                <w:sz w:val="18"/>
                <w:szCs w:val="18"/>
                <w:lang w:val="en-US" w:eastAsia="zh-CN"/>
              </w:rPr>
            </w:pPr>
          </w:p>
        </w:tc>
        <w:tc>
          <w:tcPr>
            <w:tcW w:w="2784" w:type="pct"/>
            <w:shd w:val="clear" w:color="auto" w:fill="auto"/>
            <w:vAlign w:val="center"/>
          </w:tcPr>
          <w:p w14:paraId="553F643E">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bidi="ar"/>
              </w:rPr>
              <w:t>生物标志物检测（内皮微颗粒、内皮祖细胞）作为血管衰老的生物标志物评估指标具有合理性</w:t>
            </w:r>
          </w:p>
        </w:tc>
        <w:tc>
          <w:tcPr>
            <w:tcW w:w="419" w:type="pct"/>
            <w:shd w:val="clear" w:color="auto" w:fill="auto"/>
            <w:vAlign w:val="center"/>
          </w:tcPr>
          <w:p w14:paraId="6494C9B4">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Times New Roman" w:eastAsia="宋体" w:cs="Times New Roman"/>
                <w:b w:val="0"/>
                <w:bCs w:val="0"/>
                <w:color w:val="000000"/>
                <w:kern w:val="0"/>
                <w:sz w:val="18"/>
                <w:szCs w:val="18"/>
                <w:lang w:bidi="ar"/>
              </w:rPr>
              <w:t>4.45</w:t>
            </w:r>
          </w:p>
        </w:tc>
        <w:tc>
          <w:tcPr>
            <w:tcW w:w="483" w:type="pct"/>
            <w:shd w:val="clear" w:color="auto" w:fill="auto"/>
            <w:vAlign w:val="center"/>
          </w:tcPr>
          <w:p w14:paraId="3B2F7D5C">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Times New Roman" w:eastAsia="宋体" w:cs="Times New Roman"/>
                <w:b w:val="0"/>
                <w:bCs w:val="0"/>
                <w:color w:val="000000"/>
                <w:kern w:val="0"/>
                <w:sz w:val="18"/>
                <w:szCs w:val="18"/>
                <w:lang w:bidi="ar"/>
              </w:rPr>
              <w:t>0.131</w:t>
            </w:r>
          </w:p>
        </w:tc>
        <w:tc>
          <w:tcPr>
            <w:tcW w:w="507" w:type="pct"/>
            <w:shd w:val="clear" w:color="auto" w:fill="auto"/>
            <w:vAlign w:val="center"/>
          </w:tcPr>
          <w:p w14:paraId="0444AF28">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Times New Roman" w:eastAsia="宋体" w:cs="Times New Roman"/>
                <w:b w:val="0"/>
                <w:bCs w:val="0"/>
                <w:color w:val="000000"/>
                <w:kern w:val="0"/>
                <w:sz w:val="18"/>
                <w:szCs w:val="18"/>
                <w:lang w:bidi="ar"/>
              </w:rPr>
              <w:t>50.0%</w:t>
            </w:r>
          </w:p>
        </w:tc>
        <w:tc>
          <w:tcPr>
            <w:tcW w:w="514" w:type="pct"/>
            <w:shd w:val="clear" w:color="auto" w:fill="auto"/>
            <w:vAlign w:val="center"/>
          </w:tcPr>
          <w:p w14:paraId="09C36E6C">
            <w:pPr>
              <w:keepNext/>
              <w:widowControl/>
              <w:snapToGrid w:val="0"/>
              <w:ind w:left="0" w:leftChars="0" w:right="0" w:rightChars="0" w:firstLine="0" w:firstLineChars="0"/>
              <w:jc w:val="both"/>
              <w:textAlignment w:val="center"/>
              <w:rPr>
                <w:rFonts w:hint="default" w:ascii="Times New Roman" w:hAnsi="Times New Roman" w:eastAsia="宋体" w:cs="Times New Roman"/>
                <w:b w:val="0"/>
                <w:bCs w:val="0"/>
                <w:color w:val="000000"/>
                <w:kern w:val="0"/>
                <w:sz w:val="18"/>
                <w:szCs w:val="18"/>
                <w:lang w:val="en-US" w:eastAsia="zh-CN" w:bidi="ar"/>
              </w:rPr>
            </w:pPr>
            <w:r>
              <w:rPr>
                <w:rFonts w:hint="eastAsia" w:ascii="Times New Roman" w:hAnsi="Times New Roman" w:eastAsia="宋体" w:cs="Times New Roman"/>
                <w:b w:val="0"/>
                <w:bCs w:val="0"/>
                <w:color w:val="000000"/>
                <w:kern w:val="0"/>
                <w:sz w:val="18"/>
                <w:szCs w:val="18"/>
                <w:lang w:val="en-US" w:eastAsia="zh-CN" w:bidi="ar"/>
              </w:rPr>
              <w:t>待共识</w:t>
            </w:r>
          </w:p>
        </w:tc>
      </w:tr>
      <w:tr w14:paraId="2A39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shd w:val="clear" w:color="auto" w:fill="auto"/>
            <w:vAlign w:val="center"/>
          </w:tcPr>
          <w:p w14:paraId="16CC89B4">
            <w:pPr>
              <w:keepNext/>
              <w:widowControl/>
              <w:snapToGrid w:val="0"/>
              <w:ind w:left="0" w:leftChars="0" w:right="0" w:rightChars="0" w:firstLine="0" w:firstLineChars="0"/>
              <w:jc w:val="both"/>
              <w:textAlignment w:val="center"/>
              <w:rPr>
                <w:rFonts w:hint="default" w:ascii="Times New Roman" w:hAnsi="Times New Roman" w:eastAsia="宋体" w:cs="Times New Roman"/>
                <w:b w:val="0"/>
                <w:bCs w:val="0"/>
                <w:color w:val="000000"/>
                <w:sz w:val="18"/>
                <w:szCs w:val="18"/>
                <w:lang w:val="en-US" w:eastAsia="zh-CN"/>
              </w:rPr>
            </w:pPr>
            <w:r>
              <w:rPr>
                <w:rFonts w:hint="eastAsia" w:ascii="Times New Roman" w:hAnsi="Times New Roman" w:eastAsia="宋体" w:cs="Times New Roman"/>
                <w:b w:val="0"/>
                <w:bCs w:val="0"/>
                <w:color w:val="000000"/>
                <w:sz w:val="18"/>
                <w:szCs w:val="18"/>
                <w:lang w:val="en-US" w:eastAsia="zh-CN"/>
              </w:rPr>
              <w:t>证候分类</w:t>
            </w:r>
          </w:p>
        </w:tc>
        <w:tc>
          <w:tcPr>
            <w:tcW w:w="2784" w:type="pct"/>
            <w:shd w:val="clear" w:color="auto" w:fill="auto"/>
            <w:vAlign w:val="center"/>
          </w:tcPr>
          <w:p w14:paraId="68F82FE4">
            <w:pPr>
              <w:keepNext/>
              <w:widowControl/>
              <w:snapToGrid w:val="0"/>
              <w:ind w:left="0" w:leftChars="0" w:right="0" w:rightChars="0" w:firstLine="0" w:firstLineChars="0"/>
              <w:jc w:val="both"/>
              <w:textAlignment w:val="center"/>
              <w:rPr>
                <w:rFonts w:hint="default" w:ascii="Times New Roman" w:hAnsi="Times New Roman" w:eastAsia="宋体" w:cs="Times New Roman"/>
                <w:b w:val="0"/>
                <w:bCs w:val="0"/>
                <w:color w:val="000000"/>
                <w:sz w:val="18"/>
                <w:szCs w:val="18"/>
                <w:lang w:val="en-US" w:eastAsia="zh-CN"/>
              </w:rPr>
            </w:pPr>
            <w:r>
              <w:rPr>
                <w:rFonts w:ascii="Times New Roman" w:hAnsi="Times New Roman" w:eastAsia="宋体" w:cs="Times New Roman"/>
                <w:b w:val="0"/>
                <w:bCs w:val="0"/>
                <w:color w:val="000000"/>
                <w:kern w:val="0"/>
                <w:sz w:val="18"/>
                <w:szCs w:val="18"/>
                <w:lang w:bidi="ar"/>
              </w:rPr>
              <w:t>增加</w:t>
            </w:r>
            <w:r>
              <w:rPr>
                <w:rFonts w:hint="eastAsia" w:ascii="Times New Roman" w:hAnsi="Times New Roman" w:eastAsia="宋体" w:cs="Times New Roman"/>
                <w:b w:val="0"/>
                <w:bCs w:val="0"/>
                <w:color w:val="000000"/>
                <w:kern w:val="0"/>
                <w:sz w:val="18"/>
                <w:szCs w:val="18"/>
                <w:lang w:val="en-US" w:eastAsia="zh-CN" w:bidi="ar"/>
              </w:rPr>
              <w:t>脾肾亏虚证</w:t>
            </w:r>
          </w:p>
        </w:tc>
        <w:tc>
          <w:tcPr>
            <w:tcW w:w="419" w:type="pct"/>
            <w:shd w:val="clear" w:color="auto" w:fill="auto"/>
            <w:vAlign w:val="center"/>
          </w:tcPr>
          <w:p w14:paraId="4EC0166B">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4.63</w:t>
            </w:r>
          </w:p>
        </w:tc>
        <w:tc>
          <w:tcPr>
            <w:tcW w:w="483" w:type="pct"/>
            <w:shd w:val="clear" w:color="auto" w:fill="auto"/>
            <w:vAlign w:val="center"/>
          </w:tcPr>
          <w:p w14:paraId="7AA56387">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0.154</w:t>
            </w:r>
            <w:r>
              <w:rPr>
                <w:rFonts w:ascii="Times New Roman" w:hAnsi="Times New Roman" w:eastAsia="宋体" w:cs="Times New Roman"/>
                <w:b w:val="0"/>
                <w:bCs w:val="0"/>
                <w:color w:val="000000"/>
                <w:kern w:val="0"/>
                <w:sz w:val="18"/>
                <w:szCs w:val="18"/>
                <w:lang w:bidi="ar"/>
              </w:rPr>
              <w:t xml:space="preserve"> </w:t>
            </w:r>
          </w:p>
        </w:tc>
        <w:tc>
          <w:tcPr>
            <w:tcW w:w="507" w:type="pct"/>
            <w:shd w:val="clear" w:color="auto" w:fill="auto"/>
            <w:vAlign w:val="center"/>
          </w:tcPr>
          <w:p w14:paraId="705E7FB3">
            <w:pPr>
              <w:keepNext/>
              <w:widowControl/>
              <w:snapToGrid w:val="0"/>
              <w:ind w:left="0" w:leftChars="0" w:right="0" w:rightChars="0" w:firstLine="0" w:firstLineChars="0"/>
              <w:jc w:val="both"/>
              <w:textAlignment w:val="bottom"/>
              <w:rPr>
                <w:rFonts w:ascii="Times New Roman" w:hAnsi="Times New Roman" w:eastAsia="宋体" w:cs="Times New Roman"/>
                <w:b w:val="0"/>
                <w:bCs w:val="0"/>
                <w:kern w:val="0"/>
                <w:sz w:val="18"/>
                <w:szCs w:val="18"/>
                <w:lang w:bidi="ar"/>
              </w:rPr>
            </w:pPr>
            <w:r>
              <w:rPr>
                <w:rFonts w:ascii="Times New Roman" w:hAnsi="Segoe UI" w:eastAsia="宋体" w:cs="Segoe UI"/>
                <w:b w:val="0"/>
                <w:bCs w:val="0"/>
                <w:i w:val="0"/>
                <w:iCs w:val="0"/>
                <w:caps w:val="0"/>
                <w:spacing w:val="0"/>
                <w:sz w:val="18"/>
                <w:szCs w:val="21"/>
                <w:shd w:val="clear" w:fill="FFFFFF"/>
              </w:rPr>
              <w:t>69.6%</w:t>
            </w:r>
          </w:p>
        </w:tc>
        <w:tc>
          <w:tcPr>
            <w:tcW w:w="514" w:type="pct"/>
            <w:shd w:val="clear" w:color="auto" w:fill="auto"/>
            <w:vAlign w:val="center"/>
          </w:tcPr>
          <w:p w14:paraId="10A5AB41">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kern w:val="0"/>
                <w:sz w:val="18"/>
                <w:szCs w:val="18"/>
                <w:lang w:val="en-US" w:eastAsia="zh-CN" w:bidi="ar"/>
              </w:rPr>
            </w:pPr>
            <w:r>
              <w:rPr>
                <w:rFonts w:hint="eastAsia" w:ascii="Times New Roman" w:hAnsi="Times New Roman" w:eastAsia="宋体" w:cs="Times New Roman"/>
                <w:b w:val="0"/>
                <w:bCs w:val="0"/>
                <w:kern w:val="0"/>
                <w:sz w:val="18"/>
                <w:szCs w:val="18"/>
                <w:lang w:val="en-US" w:eastAsia="zh-CN" w:bidi="ar"/>
              </w:rPr>
              <w:t>保留</w:t>
            </w:r>
          </w:p>
        </w:tc>
      </w:tr>
      <w:tr w14:paraId="6349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restart"/>
            <w:shd w:val="clear" w:color="auto" w:fill="auto"/>
            <w:vAlign w:val="center"/>
          </w:tcPr>
          <w:p w14:paraId="500ECA91">
            <w:pPr>
              <w:keepNext/>
              <w:widowControl/>
              <w:snapToGrid w:val="0"/>
              <w:ind w:left="0" w:leftChars="0" w:right="0" w:rightChars="0" w:firstLine="0" w:firstLineChars="0"/>
              <w:jc w:val="both"/>
              <w:textAlignment w:val="center"/>
              <w:rPr>
                <w:rFonts w:hint="default" w:ascii="Times New Roman" w:hAnsi="Times New Roman" w:eastAsia="宋体" w:cs="Times New Roman"/>
                <w:b w:val="0"/>
                <w:bCs w:val="0"/>
                <w:color w:val="000000"/>
                <w:sz w:val="18"/>
                <w:szCs w:val="18"/>
                <w:lang w:val="en-US" w:eastAsia="zh-CN"/>
              </w:rPr>
            </w:pPr>
            <w:r>
              <w:rPr>
                <w:rFonts w:hint="eastAsia" w:ascii="Times New Roman" w:hAnsi="Times New Roman" w:eastAsia="宋体" w:cs="Times New Roman"/>
                <w:b w:val="0"/>
                <w:bCs w:val="0"/>
                <w:color w:val="000000"/>
                <w:sz w:val="18"/>
                <w:szCs w:val="18"/>
                <w:lang w:val="en-US" w:eastAsia="zh-CN"/>
              </w:rPr>
              <w:t>脾肾亏虚证</w:t>
            </w:r>
          </w:p>
        </w:tc>
        <w:tc>
          <w:tcPr>
            <w:tcW w:w="2784" w:type="pct"/>
            <w:shd w:val="clear" w:color="auto" w:fill="auto"/>
            <w:vAlign w:val="center"/>
          </w:tcPr>
          <w:p w14:paraId="53BFACD7">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hint="eastAsia" w:ascii="Times New Roman" w:hAnsi="Times New Roman" w:eastAsia="宋体" w:cs="Times New Roman"/>
                <w:b w:val="0"/>
                <w:bCs w:val="0"/>
                <w:color w:val="000000"/>
                <w:sz w:val="18"/>
                <w:szCs w:val="18"/>
              </w:rPr>
              <w:t>主症：神疲乏力，少气懒言，面色萎黄，腰膝酸软，畏寒肢冷</w:t>
            </w:r>
          </w:p>
        </w:tc>
        <w:tc>
          <w:tcPr>
            <w:tcW w:w="419" w:type="pct"/>
            <w:shd w:val="clear" w:color="auto" w:fill="auto"/>
            <w:vAlign w:val="center"/>
          </w:tcPr>
          <w:p w14:paraId="60EB72F4">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4.72</w:t>
            </w:r>
          </w:p>
        </w:tc>
        <w:tc>
          <w:tcPr>
            <w:tcW w:w="483" w:type="pct"/>
            <w:shd w:val="clear" w:color="auto" w:fill="auto"/>
            <w:vAlign w:val="center"/>
          </w:tcPr>
          <w:p w14:paraId="6D6D60B3">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0.095</w:t>
            </w:r>
            <w:r>
              <w:rPr>
                <w:rFonts w:ascii="Times New Roman" w:hAnsi="Times New Roman" w:eastAsia="宋体" w:cs="Times New Roman"/>
                <w:b w:val="0"/>
                <w:bCs w:val="0"/>
                <w:color w:val="000000"/>
                <w:kern w:val="0"/>
                <w:sz w:val="18"/>
                <w:szCs w:val="18"/>
                <w:lang w:bidi="ar"/>
              </w:rPr>
              <w:t xml:space="preserve"> </w:t>
            </w:r>
          </w:p>
        </w:tc>
        <w:tc>
          <w:tcPr>
            <w:tcW w:w="507" w:type="pct"/>
            <w:shd w:val="clear" w:color="auto" w:fill="auto"/>
            <w:vAlign w:val="center"/>
          </w:tcPr>
          <w:p w14:paraId="35D663AE">
            <w:pPr>
              <w:keepNext/>
              <w:widowControl/>
              <w:snapToGrid w:val="0"/>
              <w:ind w:left="0" w:leftChars="0" w:right="0" w:rightChars="0" w:firstLine="0" w:firstLineChars="0"/>
              <w:jc w:val="both"/>
              <w:textAlignment w:val="bottom"/>
              <w:rPr>
                <w:rFonts w:ascii="Times New Roman" w:hAnsi="Times New Roman" w:eastAsia="宋体" w:cs="Times New Roman"/>
                <w:b w:val="0"/>
                <w:bCs w:val="0"/>
                <w:kern w:val="0"/>
                <w:sz w:val="18"/>
                <w:szCs w:val="18"/>
                <w:lang w:bidi="ar"/>
              </w:rPr>
            </w:pPr>
            <w:r>
              <w:rPr>
                <w:rFonts w:ascii="Times New Roman" w:hAnsi="Segoe UI" w:eastAsia="宋体" w:cs="Segoe UI"/>
                <w:b w:val="0"/>
                <w:bCs w:val="0"/>
                <w:i w:val="0"/>
                <w:iCs w:val="0"/>
                <w:caps w:val="0"/>
                <w:spacing w:val="0"/>
                <w:sz w:val="18"/>
                <w:szCs w:val="21"/>
                <w:shd w:val="clear" w:fill="FFFFFF"/>
              </w:rPr>
              <w:t>71.7%</w:t>
            </w:r>
          </w:p>
        </w:tc>
        <w:tc>
          <w:tcPr>
            <w:tcW w:w="514" w:type="pct"/>
            <w:shd w:val="clear" w:color="auto" w:fill="auto"/>
            <w:vAlign w:val="center"/>
          </w:tcPr>
          <w:p w14:paraId="5D37492E">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kern w:val="0"/>
                <w:sz w:val="18"/>
                <w:szCs w:val="18"/>
                <w:lang w:eastAsia="zh-CN" w:bidi="ar"/>
              </w:rPr>
            </w:pPr>
            <w:r>
              <w:rPr>
                <w:rFonts w:hint="eastAsia" w:ascii="Times New Roman" w:hAnsi="Times New Roman" w:eastAsia="宋体" w:cs="Times New Roman"/>
                <w:b w:val="0"/>
                <w:bCs w:val="0"/>
                <w:kern w:val="0"/>
                <w:sz w:val="18"/>
                <w:szCs w:val="18"/>
                <w:lang w:val="en-US" w:eastAsia="zh-CN" w:bidi="ar"/>
              </w:rPr>
              <w:t>保留</w:t>
            </w:r>
          </w:p>
        </w:tc>
      </w:tr>
      <w:tr w14:paraId="2ECA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21AC15EF">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5BE59396">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hint="eastAsia" w:ascii="Times New Roman" w:hAnsi="Times New Roman" w:eastAsia="宋体" w:cs="Times New Roman"/>
                <w:b w:val="0"/>
                <w:bCs w:val="0"/>
                <w:color w:val="000000"/>
                <w:sz w:val="18"/>
                <w:szCs w:val="18"/>
                <w:lang w:val="en-US" w:eastAsia="zh-CN"/>
              </w:rPr>
              <w:t>次症：</w:t>
            </w:r>
            <w:r>
              <w:rPr>
                <w:rFonts w:hint="eastAsia" w:ascii="Times New Roman" w:hAnsi="Times New Roman" w:eastAsia="宋体" w:cs="Times New Roman"/>
                <w:b w:val="0"/>
                <w:bCs w:val="0"/>
                <w:color w:val="000000"/>
                <w:sz w:val="18"/>
                <w:szCs w:val="18"/>
              </w:rPr>
              <w:t>眩晕，耳鸣，健忘，失眠，脘腹胀满，身体困重，四肢倦怠，自汗，纳呆，便溏，夜尿频多</w:t>
            </w:r>
          </w:p>
        </w:tc>
        <w:tc>
          <w:tcPr>
            <w:tcW w:w="419" w:type="pct"/>
            <w:shd w:val="clear" w:color="auto" w:fill="auto"/>
            <w:vAlign w:val="center"/>
          </w:tcPr>
          <w:p w14:paraId="3C920301">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4.65</w:t>
            </w:r>
          </w:p>
        </w:tc>
        <w:tc>
          <w:tcPr>
            <w:tcW w:w="483" w:type="pct"/>
            <w:shd w:val="clear" w:color="auto" w:fill="auto"/>
            <w:vAlign w:val="center"/>
          </w:tcPr>
          <w:p w14:paraId="1983D20B">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0.112</w:t>
            </w:r>
          </w:p>
        </w:tc>
        <w:tc>
          <w:tcPr>
            <w:tcW w:w="507" w:type="pct"/>
            <w:shd w:val="clear" w:color="auto" w:fill="auto"/>
            <w:vAlign w:val="center"/>
          </w:tcPr>
          <w:p w14:paraId="13FC465E">
            <w:pPr>
              <w:keepNext/>
              <w:widowControl/>
              <w:snapToGrid w:val="0"/>
              <w:ind w:left="0" w:leftChars="0" w:right="0" w:rightChars="0" w:firstLine="0" w:firstLineChars="0"/>
              <w:jc w:val="both"/>
              <w:textAlignment w:val="bottom"/>
              <w:rPr>
                <w:rFonts w:ascii="Times New Roman" w:hAnsi="Times New Roman" w:eastAsia="宋体" w:cs="Times New Roman"/>
                <w:b w:val="0"/>
                <w:bCs w:val="0"/>
                <w:kern w:val="0"/>
                <w:sz w:val="18"/>
                <w:szCs w:val="18"/>
                <w:lang w:bidi="ar"/>
              </w:rPr>
            </w:pPr>
            <w:r>
              <w:rPr>
                <w:rFonts w:ascii="Times New Roman" w:hAnsi="Segoe UI" w:eastAsia="宋体" w:cs="Segoe UI"/>
                <w:b w:val="0"/>
                <w:bCs w:val="0"/>
                <w:i w:val="0"/>
                <w:iCs w:val="0"/>
                <w:caps w:val="0"/>
                <w:spacing w:val="0"/>
                <w:sz w:val="18"/>
                <w:szCs w:val="21"/>
                <w:shd w:val="clear" w:fill="FFFFFF"/>
              </w:rPr>
              <w:t>67.4%</w:t>
            </w:r>
          </w:p>
        </w:tc>
        <w:tc>
          <w:tcPr>
            <w:tcW w:w="514" w:type="pct"/>
            <w:shd w:val="clear" w:color="auto" w:fill="auto"/>
            <w:vAlign w:val="center"/>
          </w:tcPr>
          <w:p w14:paraId="21EFD83C">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kern w:val="0"/>
                <w:sz w:val="18"/>
                <w:szCs w:val="18"/>
                <w:lang w:eastAsia="zh-CN" w:bidi="ar"/>
              </w:rPr>
            </w:pPr>
            <w:r>
              <w:rPr>
                <w:rFonts w:hint="eastAsia" w:ascii="Times New Roman" w:hAnsi="Times New Roman" w:eastAsia="宋体" w:cs="Times New Roman"/>
                <w:b w:val="0"/>
                <w:bCs w:val="0"/>
                <w:kern w:val="0"/>
                <w:sz w:val="18"/>
                <w:szCs w:val="18"/>
                <w:lang w:val="en-US" w:eastAsia="zh-CN" w:bidi="ar"/>
              </w:rPr>
              <w:t>保留</w:t>
            </w:r>
          </w:p>
        </w:tc>
      </w:tr>
      <w:tr w14:paraId="0DDF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7796AAAA">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19410693">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hint="eastAsia" w:ascii="Times New Roman" w:hAnsi="Times New Roman" w:eastAsia="宋体" w:cs="Times New Roman"/>
                <w:b w:val="0"/>
                <w:bCs w:val="0"/>
                <w:color w:val="000000"/>
                <w:sz w:val="18"/>
                <w:szCs w:val="18"/>
              </w:rPr>
              <w:t>舌象：舌质淡，舌体胖大、边有齿痕，舌苔白腻</w:t>
            </w:r>
          </w:p>
        </w:tc>
        <w:tc>
          <w:tcPr>
            <w:tcW w:w="419" w:type="pct"/>
            <w:shd w:val="clear" w:color="auto" w:fill="auto"/>
            <w:vAlign w:val="center"/>
          </w:tcPr>
          <w:p w14:paraId="66752A6E">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4.72</w:t>
            </w:r>
          </w:p>
        </w:tc>
        <w:tc>
          <w:tcPr>
            <w:tcW w:w="483" w:type="pct"/>
            <w:shd w:val="clear" w:color="auto" w:fill="auto"/>
            <w:vAlign w:val="center"/>
          </w:tcPr>
          <w:p w14:paraId="406D6549">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0.095</w:t>
            </w:r>
          </w:p>
        </w:tc>
        <w:tc>
          <w:tcPr>
            <w:tcW w:w="507" w:type="pct"/>
            <w:shd w:val="clear" w:color="auto" w:fill="auto"/>
            <w:vAlign w:val="center"/>
          </w:tcPr>
          <w:p w14:paraId="1DEF405F">
            <w:pPr>
              <w:keepNext/>
              <w:widowControl/>
              <w:snapToGrid w:val="0"/>
              <w:ind w:left="0" w:leftChars="0" w:right="0" w:rightChars="0" w:firstLine="0" w:firstLineChars="0"/>
              <w:jc w:val="both"/>
              <w:textAlignment w:val="bottom"/>
              <w:rPr>
                <w:rFonts w:ascii="Times New Roman" w:hAnsi="Times New Roman" w:eastAsia="宋体" w:cs="Times New Roman"/>
                <w:b w:val="0"/>
                <w:bCs w:val="0"/>
                <w:kern w:val="0"/>
                <w:sz w:val="18"/>
                <w:szCs w:val="18"/>
                <w:lang w:bidi="ar"/>
              </w:rPr>
            </w:pPr>
            <w:r>
              <w:rPr>
                <w:rFonts w:ascii="Times New Roman" w:hAnsi="Segoe UI" w:eastAsia="宋体" w:cs="Segoe UI"/>
                <w:b w:val="0"/>
                <w:bCs w:val="0"/>
                <w:i w:val="0"/>
                <w:iCs w:val="0"/>
                <w:caps w:val="0"/>
                <w:spacing w:val="0"/>
                <w:sz w:val="18"/>
                <w:szCs w:val="21"/>
                <w:shd w:val="clear" w:fill="FFFFFF"/>
              </w:rPr>
              <w:t>71.7%</w:t>
            </w:r>
          </w:p>
        </w:tc>
        <w:tc>
          <w:tcPr>
            <w:tcW w:w="514" w:type="pct"/>
            <w:shd w:val="clear" w:color="auto" w:fill="auto"/>
            <w:vAlign w:val="center"/>
          </w:tcPr>
          <w:p w14:paraId="50CE0D63">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kern w:val="0"/>
                <w:sz w:val="18"/>
                <w:szCs w:val="18"/>
                <w:lang w:eastAsia="zh-CN" w:bidi="ar"/>
              </w:rPr>
            </w:pPr>
            <w:r>
              <w:rPr>
                <w:rFonts w:hint="eastAsia" w:ascii="Times New Roman" w:hAnsi="Times New Roman" w:eastAsia="宋体" w:cs="Times New Roman"/>
                <w:b w:val="0"/>
                <w:bCs w:val="0"/>
                <w:kern w:val="0"/>
                <w:sz w:val="18"/>
                <w:szCs w:val="18"/>
                <w:lang w:val="en-US" w:eastAsia="zh-CN" w:bidi="ar"/>
              </w:rPr>
              <w:t>保留</w:t>
            </w:r>
          </w:p>
        </w:tc>
      </w:tr>
      <w:tr w14:paraId="0825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1F68B8CD">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1E6E80BA">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hint="eastAsia" w:ascii="Times New Roman" w:hAnsi="Times New Roman" w:eastAsia="宋体" w:cs="Times New Roman"/>
                <w:b w:val="0"/>
                <w:bCs w:val="0"/>
                <w:color w:val="000000"/>
                <w:sz w:val="18"/>
                <w:szCs w:val="18"/>
              </w:rPr>
              <w:t>脉象：脉沉细或沉细无力</w:t>
            </w:r>
          </w:p>
        </w:tc>
        <w:tc>
          <w:tcPr>
            <w:tcW w:w="419" w:type="pct"/>
            <w:shd w:val="clear" w:color="auto" w:fill="auto"/>
            <w:vAlign w:val="center"/>
          </w:tcPr>
          <w:p w14:paraId="495DDFCC">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4.72</w:t>
            </w:r>
          </w:p>
        </w:tc>
        <w:tc>
          <w:tcPr>
            <w:tcW w:w="483" w:type="pct"/>
            <w:shd w:val="clear" w:color="auto" w:fill="auto"/>
            <w:vAlign w:val="center"/>
          </w:tcPr>
          <w:p w14:paraId="607FCB5D">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0.095</w:t>
            </w:r>
          </w:p>
        </w:tc>
        <w:tc>
          <w:tcPr>
            <w:tcW w:w="507" w:type="pct"/>
            <w:shd w:val="clear" w:color="auto" w:fill="auto"/>
            <w:vAlign w:val="center"/>
          </w:tcPr>
          <w:p w14:paraId="119F4C0F">
            <w:pPr>
              <w:keepNext/>
              <w:widowControl/>
              <w:snapToGrid w:val="0"/>
              <w:ind w:left="0" w:leftChars="0" w:right="0" w:rightChars="0" w:firstLine="0" w:firstLineChars="0"/>
              <w:jc w:val="both"/>
              <w:textAlignment w:val="bottom"/>
              <w:rPr>
                <w:rFonts w:ascii="Times New Roman" w:hAnsi="Times New Roman" w:eastAsia="宋体" w:cs="Times New Roman"/>
                <w:b w:val="0"/>
                <w:bCs w:val="0"/>
                <w:kern w:val="0"/>
                <w:sz w:val="18"/>
                <w:szCs w:val="18"/>
                <w:lang w:bidi="ar"/>
              </w:rPr>
            </w:pPr>
            <w:r>
              <w:rPr>
                <w:rFonts w:ascii="Times New Roman" w:hAnsi="Segoe UI" w:eastAsia="宋体" w:cs="Segoe UI"/>
                <w:b w:val="0"/>
                <w:bCs w:val="0"/>
                <w:i w:val="0"/>
                <w:iCs w:val="0"/>
                <w:caps w:val="0"/>
                <w:spacing w:val="0"/>
                <w:sz w:val="18"/>
                <w:szCs w:val="21"/>
                <w:shd w:val="clear" w:fill="FFFFFF"/>
              </w:rPr>
              <w:t>71.7%</w:t>
            </w:r>
          </w:p>
        </w:tc>
        <w:tc>
          <w:tcPr>
            <w:tcW w:w="514" w:type="pct"/>
            <w:shd w:val="clear" w:color="auto" w:fill="auto"/>
            <w:vAlign w:val="center"/>
          </w:tcPr>
          <w:p w14:paraId="2E732C3D">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kern w:val="0"/>
                <w:sz w:val="18"/>
                <w:szCs w:val="18"/>
                <w:lang w:eastAsia="zh-CN" w:bidi="ar"/>
              </w:rPr>
            </w:pPr>
            <w:r>
              <w:rPr>
                <w:rFonts w:hint="eastAsia" w:ascii="Times New Roman" w:hAnsi="Times New Roman" w:eastAsia="宋体" w:cs="Times New Roman"/>
                <w:b w:val="0"/>
                <w:bCs w:val="0"/>
                <w:kern w:val="0"/>
                <w:sz w:val="18"/>
                <w:szCs w:val="18"/>
                <w:lang w:val="en-US" w:eastAsia="zh-CN" w:bidi="ar"/>
              </w:rPr>
              <w:t>保留</w:t>
            </w:r>
          </w:p>
        </w:tc>
      </w:tr>
      <w:tr w14:paraId="7CA2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restart"/>
            <w:shd w:val="clear" w:color="auto" w:fill="auto"/>
            <w:vAlign w:val="center"/>
          </w:tcPr>
          <w:p w14:paraId="38EF54F0">
            <w:pPr>
              <w:keepNext/>
              <w:widowControl/>
              <w:snapToGrid w:val="0"/>
              <w:ind w:left="0" w:leftChars="0" w:right="0" w:rightChars="0" w:firstLine="0" w:firstLineChars="0"/>
              <w:jc w:val="both"/>
              <w:textAlignment w:val="center"/>
              <w:rPr>
                <w:rFonts w:hint="default" w:ascii="Times New Roman" w:hAnsi="Times New Roman" w:eastAsia="宋体" w:cs="Times New Roman"/>
                <w:b w:val="0"/>
                <w:bCs w:val="0"/>
                <w:color w:val="000000"/>
                <w:sz w:val="18"/>
                <w:szCs w:val="18"/>
                <w:lang w:val="en-US" w:eastAsia="zh-CN"/>
              </w:rPr>
            </w:pPr>
            <w:r>
              <w:rPr>
                <w:rFonts w:hint="eastAsia" w:ascii="Times New Roman" w:hAnsi="Times New Roman" w:eastAsia="宋体" w:cs="Times New Roman"/>
                <w:b w:val="0"/>
                <w:bCs w:val="0"/>
                <w:color w:val="000000"/>
                <w:sz w:val="18"/>
                <w:szCs w:val="18"/>
                <w:lang w:val="en-US" w:eastAsia="zh-CN"/>
              </w:rPr>
              <w:t>气虚血瘀证</w:t>
            </w:r>
          </w:p>
        </w:tc>
        <w:tc>
          <w:tcPr>
            <w:tcW w:w="2784" w:type="pct"/>
            <w:shd w:val="clear" w:color="auto" w:fill="auto"/>
            <w:vAlign w:val="center"/>
          </w:tcPr>
          <w:p w14:paraId="58223179">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hint="eastAsia" w:ascii="Times New Roman" w:eastAsia="宋体"/>
                <w:b w:val="0"/>
                <w:bCs w:val="0"/>
                <w:color w:val="auto"/>
                <w:sz w:val="18"/>
                <w:highlight w:val="none"/>
                <w:lang w:val="en-US" w:eastAsia="zh-CN"/>
              </w:rPr>
              <w:t>主症：神疲乏力，心胸部闷痛，或呈刺痛，痛处固定，动则加重</w:t>
            </w:r>
          </w:p>
        </w:tc>
        <w:tc>
          <w:tcPr>
            <w:tcW w:w="419" w:type="pct"/>
            <w:shd w:val="clear" w:color="auto" w:fill="auto"/>
            <w:vAlign w:val="center"/>
          </w:tcPr>
          <w:p w14:paraId="52AFA027">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4.75</w:t>
            </w:r>
          </w:p>
        </w:tc>
        <w:tc>
          <w:tcPr>
            <w:tcW w:w="483" w:type="pct"/>
            <w:shd w:val="clear" w:color="auto" w:fill="auto"/>
            <w:vAlign w:val="center"/>
          </w:tcPr>
          <w:p w14:paraId="0F5A29E0">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0.102</w:t>
            </w:r>
          </w:p>
        </w:tc>
        <w:tc>
          <w:tcPr>
            <w:tcW w:w="507" w:type="pct"/>
            <w:shd w:val="clear" w:color="auto" w:fill="auto"/>
            <w:vAlign w:val="center"/>
          </w:tcPr>
          <w:p w14:paraId="0F96CBD2">
            <w:pPr>
              <w:keepNext/>
              <w:widowControl/>
              <w:snapToGrid w:val="0"/>
              <w:ind w:left="0" w:leftChars="0" w:right="0" w:rightChars="0" w:firstLine="0" w:firstLineChars="0"/>
              <w:jc w:val="both"/>
              <w:textAlignment w:val="bottom"/>
              <w:rPr>
                <w:rFonts w:ascii="Times New Roman" w:hAnsi="Times New Roman" w:eastAsia="宋体" w:cs="Times New Roman"/>
                <w:b w:val="0"/>
                <w:bCs w:val="0"/>
                <w:kern w:val="0"/>
                <w:sz w:val="18"/>
                <w:szCs w:val="18"/>
                <w:lang w:bidi="ar"/>
              </w:rPr>
            </w:pPr>
            <w:r>
              <w:rPr>
                <w:rFonts w:ascii="Times New Roman" w:hAnsi="Segoe UI" w:eastAsia="宋体" w:cs="Segoe UI"/>
                <w:b w:val="0"/>
                <w:bCs w:val="0"/>
                <w:i w:val="0"/>
                <w:iCs w:val="0"/>
                <w:caps w:val="0"/>
                <w:spacing w:val="0"/>
                <w:sz w:val="18"/>
                <w:szCs w:val="21"/>
                <w:shd w:val="clear" w:fill="FFFFFF"/>
              </w:rPr>
              <w:t>77.3%</w:t>
            </w:r>
          </w:p>
        </w:tc>
        <w:tc>
          <w:tcPr>
            <w:tcW w:w="514" w:type="pct"/>
            <w:shd w:val="clear" w:color="auto" w:fill="auto"/>
            <w:vAlign w:val="center"/>
          </w:tcPr>
          <w:p w14:paraId="4B7A3319">
            <w:pPr>
              <w:keepNext/>
              <w:widowControl/>
              <w:snapToGrid w:val="0"/>
              <w:ind w:left="0" w:leftChars="0" w:right="0" w:rightChars="0" w:firstLine="0" w:firstLineChars="0"/>
              <w:jc w:val="both"/>
              <w:textAlignment w:val="center"/>
              <w:rPr>
                <w:rFonts w:ascii="Times New Roman" w:hAnsi="Times New Roman" w:eastAsia="宋体" w:cs="Times New Roman"/>
                <w:b w:val="0"/>
                <w:bCs w:val="0"/>
                <w:kern w:val="0"/>
                <w:sz w:val="18"/>
                <w:szCs w:val="18"/>
                <w:lang w:bidi="ar"/>
              </w:rPr>
            </w:pPr>
          </w:p>
        </w:tc>
      </w:tr>
      <w:tr w14:paraId="034F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3F74269F">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42E85C4E">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hint="eastAsia" w:ascii="Times New Roman" w:eastAsia="宋体"/>
                <w:b w:val="0"/>
                <w:bCs w:val="0"/>
                <w:color w:val="auto"/>
                <w:sz w:val="18"/>
                <w:highlight w:val="none"/>
                <w:lang w:val="en-US" w:eastAsia="zh-CN"/>
              </w:rPr>
              <w:t>次症：眩晕，面色晦暗或淡白，气短，心悸，自汗</w:t>
            </w:r>
          </w:p>
        </w:tc>
        <w:tc>
          <w:tcPr>
            <w:tcW w:w="419" w:type="pct"/>
            <w:shd w:val="clear" w:color="auto" w:fill="auto"/>
            <w:vAlign w:val="center"/>
          </w:tcPr>
          <w:p w14:paraId="1CC187AF">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4.57</w:t>
            </w:r>
          </w:p>
        </w:tc>
        <w:tc>
          <w:tcPr>
            <w:tcW w:w="483" w:type="pct"/>
            <w:shd w:val="clear" w:color="auto" w:fill="auto"/>
            <w:vAlign w:val="center"/>
          </w:tcPr>
          <w:p w14:paraId="30BB3EDE">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0.109</w:t>
            </w:r>
          </w:p>
        </w:tc>
        <w:tc>
          <w:tcPr>
            <w:tcW w:w="507" w:type="pct"/>
            <w:shd w:val="clear" w:color="auto" w:fill="auto"/>
            <w:vAlign w:val="center"/>
          </w:tcPr>
          <w:p w14:paraId="5A6C3BCB">
            <w:pPr>
              <w:keepNext/>
              <w:widowControl/>
              <w:snapToGrid w:val="0"/>
              <w:ind w:left="0" w:leftChars="0" w:right="0" w:rightChars="0" w:firstLine="0" w:firstLineChars="0"/>
              <w:jc w:val="both"/>
              <w:textAlignment w:val="bottom"/>
              <w:rPr>
                <w:rFonts w:ascii="Times New Roman" w:hAnsi="Times New Roman" w:eastAsia="宋体" w:cs="Times New Roman"/>
                <w:b w:val="0"/>
                <w:bCs w:val="0"/>
                <w:kern w:val="0"/>
                <w:sz w:val="18"/>
                <w:szCs w:val="18"/>
                <w:lang w:bidi="ar"/>
              </w:rPr>
            </w:pPr>
            <w:r>
              <w:rPr>
                <w:rFonts w:ascii="Times New Roman" w:hAnsi="Segoe UI" w:eastAsia="宋体" w:cs="Segoe UI"/>
                <w:b w:val="0"/>
                <w:bCs w:val="0"/>
                <w:i w:val="0"/>
                <w:iCs w:val="0"/>
                <w:caps w:val="0"/>
                <w:spacing w:val="0"/>
                <w:sz w:val="18"/>
                <w:szCs w:val="21"/>
                <w:shd w:val="clear" w:fill="FFFFFF"/>
              </w:rPr>
              <w:t>56.5%</w:t>
            </w:r>
          </w:p>
        </w:tc>
        <w:tc>
          <w:tcPr>
            <w:tcW w:w="514" w:type="pct"/>
            <w:shd w:val="clear" w:color="auto" w:fill="auto"/>
            <w:vAlign w:val="center"/>
          </w:tcPr>
          <w:p w14:paraId="3FE891BC">
            <w:pPr>
              <w:keepNext/>
              <w:widowControl/>
              <w:snapToGrid w:val="0"/>
              <w:ind w:left="0" w:leftChars="0" w:right="0" w:rightChars="0" w:firstLine="0" w:firstLineChars="0"/>
              <w:jc w:val="both"/>
              <w:textAlignment w:val="center"/>
              <w:rPr>
                <w:rFonts w:ascii="Times New Roman" w:hAnsi="Times New Roman" w:eastAsia="宋体" w:cs="Times New Roman"/>
                <w:b w:val="0"/>
                <w:bCs w:val="0"/>
                <w:kern w:val="0"/>
                <w:sz w:val="18"/>
                <w:szCs w:val="18"/>
                <w:lang w:bidi="ar"/>
              </w:rPr>
            </w:pPr>
            <w:r>
              <w:rPr>
                <w:rFonts w:hint="eastAsia" w:ascii="Times New Roman" w:hAnsi="Times New Roman" w:eastAsia="宋体" w:cs="Times New Roman"/>
                <w:b w:val="0"/>
                <w:bCs w:val="0"/>
                <w:kern w:val="0"/>
                <w:sz w:val="18"/>
                <w:szCs w:val="18"/>
                <w:lang w:val="en-US" w:eastAsia="zh-CN" w:bidi="ar"/>
              </w:rPr>
              <w:t>保留</w:t>
            </w:r>
          </w:p>
        </w:tc>
      </w:tr>
      <w:tr w14:paraId="5F84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0D30756F">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11BDCF1E">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hint="eastAsia" w:ascii="Times New Roman" w:eastAsia="宋体"/>
                <w:b w:val="0"/>
                <w:bCs w:val="0"/>
                <w:color w:val="auto"/>
                <w:sz w:val="18"/>
                <w:highlight w:val="none"/>
                <w:lang w:val="en-US" w:eastAsia="zh-CN"/>
              </w:rPr>
              <w:t>舌象：舌质淡暗，舌体胖大，苔薄白或白滑</w:t>
            </w:r>
          </w:p>
        </w:tc>
        <w:tc>
          <w:tcPr>
            <w:tcW w:w="419" w:type="pct"/>
            <w:shd w:val="clear" w:color="auto" w:fill="auto"/>
            <w:vAlign w:val="center"/>
          </w:tcPr>
          <w:p w14:paraId="776605AC">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4.75</w:t>
            </w:r>
          </w:p>
        </w:tc>
        <w:tc>
          <w:tcPr>
            <w:tcW w:w="483" w:type="pct"/>
            <w:shd w:val="clear" w:color="auto" w:fill="auto"/>
            <w:vAlign w:val="center"/>
          </w:tcPr>
          <w:p w14:paraId="09BE7AFE">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0.102</w:t>
            </w:r>
          </w:p>
        </w:tc>
        <w:tc>
          <w:tcPr>
            <w:tcW w:w="507" w:type="pct"/>
            <w:shd w:val="clear" w:color="auto" w:fill="auto"/>
            <w:vAlign w:val="center"/>
          </w:tcPr>
          <w:p w14:paraId="3BFC96C5">
            <w:pPr>
              <w:keepNext/>
              <w:widowControl/>
              <w:snapToGrid w:val="0"/>
              <w:ind w:left="0" w:leftChars="0" w:right="0" w:rightChars="0" w:firstLine="0" w:firstLineChars="0"/>
              <w:jc w:val="both"/>
              <w:textAlignment w:val="bottom"/>
              <w:rPr>
                <w:rFonts w:ascii="Times New Roman" w:hAnsi="Times New Roman" w:eastAsia="宋体" w:cs="Times New Roman"/>
                <w:b w:val="0"/>
                <w:bCs w:val="0"/>
                <w:kern w:val="0"/>
                <w:sz w:val="18"/>
                <w:szCs w:val="18"/>
                <w:lang w:bidi="ar"/>
              </w:rPr>
            </w:pPr>
            <w:r>
              <w:rPr>
                <w:rFonts w:ascii="Times New Roman" w:hAnsi="Segoe UI" w:eastAsia="宋体" w:cs="Segoe UI"/>
                <w:b w:val="0"/>
                <w:bCs w:val="0"/>
                <w:i w:val="0"/>
                <w:iCs w:val="0"/>
                <w:caps w:val="0"/>
                <w:spacing w:val="0"/>
                <w:sz w:val="18"/>
                <w:szCs w:val="21"/>
                <w:shd w:val="clear" w:fill="FFFFFF"/>
              </w:rPr>
              <w:t>77.3%</w:t>
            </w:r>
          </w:p>
        </w:tc>
        <w:tc>
          <w:tcPr>
            <w:tcW w:w="514" w:type="pct"/>
            <w:shd w:val="clear" w:color="auto" w:fill="auto"/>
            <w:vAlign w:val="center"/>
          </w:tcPr>
          <w:p w14:paraId="328261A8">
            <w:pPr>
              <w:keepNext/>
              <w:widowControl/>
              <w:snapToGrid w:val="0"/>
              <w:ind w:left="0" w:leftChars="0" w:right="0" w:rightChars="0" w:firstLine="0" w:firstLineChars="0"/>
              <w:jc w:val="both"/>
              <w:textAlignment w:val="center"/>
              <w:rPr>
                <w:rFonts w:ascii="Times New Roman" w:hAnsi="Times New Roman" w:eastAsia="宋体" w:cs="Times New Roman"/>
                <w:b w:val="0"/>
                <w:bCs w:val="0"/>
                <w:kern w:val="0"/>
                <w:sz w:val="18"/>
                <w:szCs w:val="18"/>
                <w:lang w:bidi="ar"/>
              </w:rPr>
            </w:pPr>
            <w:r>
              <w:rPr>
                <w:rFonts w:hint="eastAsia" w:ascii="Times New Roman" w:hAnsi="Times New Roman" w:eastAsia="宋体" w:cs="Times New Roman"/>
                <w:b w:val="0"/>
                <w:bCs w:val="0"/>
                <w:kern w:val="0"/>
                <w:sz w:val="18"/>
                <w:szCs w:val="18"/>
                <w:lang w:val="en-US" w:eastAsia="zh-CN" w:bidi="ar"/>
              </w:rPr>
              <w:t>保留</w:t>
            </w:r>
          </w:p>
        </w:tc>
      </w:tr>
      <w:tr w14:paraId="5359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2F4F7686">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1E63C746">
            <w:pPr>
              <w:keepNext/>
              <w:widowControl/>
              <w:snapToGrid w:val="0"/>
              <w:ind w:left="0" w:leftChars="0" w:right="0" w:rightChars="0" w:firstLine="0" w:firstLineChars="0"/>
              <w:jc w:val="both"/>
              <w:textAlignment w:val="center"/>
              <w:rPr>
                <w:rFonts w:hint="eastAsia" w:ascii="Times New Roman" w:eastAsia="宋体"/>
                <w:b w:val="0"/>
                <w:bCs w:val="0"/>
                <w:color w:val="auto"/>
                <w:sz w:val="18"/>
                <w:highlight w:val="none"/>
                <w:lang w:val="en-US" w:eastAsia="zh-CN"/>
              </w:rPr>
            </w:pPr>
            <w:r>
              <w:rPr>
                <w:rFonts w:hint="eastAsia" w:ascii="Times New Roman" w:eastAsia="宋体"/>
                <w:b w:val="0"/>
                <w:bCs w:val="0"/>
                <w:color w:val="auto"/>
                <w:sz w:val="18"/>
                <w:highlight w:val="none"/>
                <w:lang w:val="en-US" w:eastAsia="zh-CN"/>
              </w:rPr>
              <w:t>脉象：脉沉细，或细涩，或沉弦</w:t>
            </w:r>
          </w:p>
        </w:tc>
        <w:tc>
          <w:tcPr>
            <w:tcW w:w="419" w:type="pct"/>
            <w:shd w:val="clear" w:color="auto" w:fill="auto"/>
            <w:vAlign w:val="center"/>
          </w:tcPr>
          <w:p w14:paraId="589DFCF4">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4.46</w:t>
            </w:r>
          </w:p>
        </w:tc>
        <w:tc>
          <w:tcPr>
            <w:tcW w:w="483" w:type="pct"/>
            <w:shd w:val="clear" w:color="auto" w:fill="auto"/>
            <w:vAlign w:val="center"/>
          </w:tcPr>
          <w:p w14:paraId="57FD4EFC">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0.162</w:t>
            </w:r>
          </w:p>
        </w:tc>
        <w:tc>
          <w:tcPr>
            <w:tcW w:w="507" w:type="pct"/>
            <w:shd w:val="clear" w:color="auto" w:fill="auto"/>
            <w:vAlign w:val="center"/>
          </w:tcPr>
          <w:p w14:paraId="4F3E2073">
            <w:pPr>
              <w:keepNext/>
              <w:widowControl/>
              <w:snapToGrid w:val="0"/>
              <w:ind w:left="0" w:leftChars="0" w:right="0" w:rightChars="0" w:firstLine="0" w:firstLineChars="0"/>
              <w:jc w:val="both"/>
              <w:textAlignment w:val="bottom"/>
              <w:rPr>
                <w:rFonts w:ascii="Times New Roman" w:hAnsi="Times New Roman" w:eastAsia="宋体" w:cs="Times New Roman"/>
                <w:b w:val="0"/>
                <w:bCs w:val="0"/>
                <w:kern w:val="0"/>
                <w:sz w:val="18"/>
                <w:szCs w:val="18"/>
                <w:lang w:bidi="ar"/>
              </w:rPr>
            </w:pPr>
            <w:r>
              <w:rPr>
                <w:rFonts w:ascii="Times New Roman" w:hAnsi="Segoe UI" w:eastAsia="宋体" w:cs="Segoe UI"/>
                <w:b w:val="0"/>
                <w:bCs w:val="0"/>
                <w:i w:val="0"/>
                <w:iCs w:val="0"/>
                <w:caps w:val="0"/>
                <w:spacing w:val="0"/>
                <w:sz w:val="18"/>
                <w:szCs w:val="21"/>
                <w:shd w:val="clear" w:fill="FFFFFF"/>
              </w:rPr>
              <w:t>56.5%</w:t>
            </w:r>
          </w:p>
        </w:tc>
        <w:tc>
          <w:tcPr>
            <w:tcW w:w="514" w:type="pct"/>
            <w:shd w:val="clear" w:color="auto" w:fill="auto"/>
            <w:vAlign w:val="center"/>
          </w:tcPr>
          <w:p w14:paraId="36B18937">
            <w:pPr>
              <w:keepNext/>
              <w:widowControl/>
              <w:snapToGrid w:val="0"/>
              <w:ind w:left="0" w:leftChars="0" w:right="0" w:rightChars="0" w:firstLine="0" w:firstLineChars="0"/>
              <w:jc w:val="both"/>
              <w:textAlignment w:val="center"/>
              <w:rPr>
                <w:rFonts w:ascii="Times New Roman" w:hAnsi="Times New Roman" w:eastAsia="宋体" w:cs="Times New Roman"/>
                <w:b w:val="0"/>
                <w:bCs w:val="0"/>
                <w:kern w:val="0"/>
                <w:sz w:val="18"/>
                <w:szCs w:val="18"/>
                <w:lang w:bidi="ar"/>
              </w:rPr>
            </w:pPr>
            <w:r>
              <w:rPr>
                <w:rFonts w:hint="eastAsia" w:ascii="Times New Roman" w:hAnsi="Times New Roman" w:eastAsia="宋体" w:cs="Times New Roman"/>
                <w:b w:val="0"/>
                <w:bCs w:val="0"/>
                <w:kern w:val="0"/>
                <w:sz w:val="18"/>
                <w:szCs w:val="18"/>
                <w:lang w:val="en-US" w:eastAsia="zh-CN" w:bidi="ar"/>
              </w:rPr>
              <w:t>保留</w:t>
            </w:r>
          </w:p>
        </w:tc>
      </w:tr>
      <w:tr w14:paraId="0F34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restart"/>
            <w:shd w:val="clear" w:color="auto" w:fill="auto"/>
            <w:vAlign w:val="center"/>
          </w:tcPr>
          <w:p w14:paraId="2A081D15">
            <w:pPr>
              <w:keepNext/>
              <w:widowControl/>
              <w:snapToGrid w:val="0"/>
              <w:ind w:left="0" w:leftChars="0" w:right="0" w:rightChars="0" w:firstLine="0" w:firstLineChars="0"/>
              <w:jc w:val="both"/>
              <w:textAlignment w:val="center"/>
              <w:rPr>
                <w:rFonts w:hint="default" w:ascii="Times New Roman" w:hAnsi="Times New Roman" w:eastAsia="宋体" w:cs="Times New Roman"/>
                <w:b w:val="0"/>
                <w:bCs w:val="0"/>
                <w:color w:val="000000"/>
                <w:sz w:val="18"/>
                <w:szCs w:val="18"/>
                <w:lang w:val="en-US" w:eastAsia="zh-CN"/>
              </w:rPr>
            </w:pPr>
            <w:r>
              <w:rPr>
                <w:rFonts w:hint="eastAsia" w:ascii="Times New Roman" w:hAnsi="Times New Roman" w:eastAsia="宋体" w:cs="Times New Roman"/>
                <w:b w:val="0"/>
                <w:bCs w:val="0"/>
                <w:color w:val="000000"/>
                <w:sz w:val="18"/>
                <w:szCs w:val="18"/>
                <w:lang w:val="en-US" w:eastAsia="zh-CN"/>
              </w:rPr>
              <w:t>气阴两虚证</w:t>
            </w:r>
          </w:p>
        </w:tc>
        <w:tc>
          <w:tcPr>
            <w:tcW w:w="2784" w:type="pct"/>
            <w:shd w:val="clear" w:color="auto" w:fill="auto"/>
            <w:vAlign w:val="center"/>
          </w:tcPr>
          <w:p w14:paraId="7189A86D">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宋体" w:eastAsia="宋体" w:cs="Cambria Math"/>
                <w:b w:val="0"/>
                <w:bCs w:val="0"/>
                <w:color w:val="auto"/>
                <w:sz w:val="18"/>
                <w:highlight w:val="none"/>
              </w:rPr>
              <w:t>主</w:t>
            </w:r>
            <w:r>
              <w:rPr>
                <w:rFonts w:hint="eastAsia" w:ascii="Times New Roman" w:hAnsi="宋体" w:eastAsia="宋体" w:cs="Cambria Math"/>
                <w:b w:val="0"/>
                <w:bCs w:val="0"/>
                <w:color w:val="auto"/>
                <w:sz w:val="18"/>
                <w:highlight w:val="none"/>
              </w:rPr>
              <w:t>症</w:t>
            </w:r>
            <w:r>
              <w:rPr>
                <w:rFonts w:ascii="Times New Roman" w:hAnsi="宋体" w:eastAsia="宋体" w:cs="Cambria Math"/>
                <w:b w:val="0"/>
                <w:bCs w:val="0"/>
                <w:color w:val="auto"/>
                <w:sz w:val="18"/>
                <w:highlight w:val="none"/>
              </w:rPr>
              <w:t>：</w:t>
            </w:r>
            <w:r>
              <w:rPr>
                <w:rFonts w:hint="eastAsia" w:ascii="Times New Roman" w:hAnsi="宋体" w:eastAsia="宋体" w:cs="Cambria Math"/>
                <w:b w:val="0"/>
                <w:bCs w:val="0"/>
                <w:color w:val="auto"/>
                <w:sz w:val="18"/>
                <w:highlight w:val="none"/>
              </w:rPr>
              <w:t>心悸，气短喘息，神疲乏力，口干，五心烦热</w:t>
            </w:r>
          </w:p>
        </w:tc>
        <w:tc>
          <w:tcPr>
            <w:tcW w:w="419" w:type="pct"/>
            <w:shd w:val="clear" w:color="auto" w:fill="auto"/>
            <w:vAlign w:val="center"/>
          </w:tcPr>
          <w:p w14:paraId="056CC896">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4.64</w:t>
            </w:r>
          </w:p>
        </w:tc>
        <w:tc>
          <w:tcPr>
            <w:tcW w:w="483" w:type="pct"/>
            <w:shd w:val="clear" w:color="auto" w:fill="auto"/>
            <w:vAlign w:val="center"/>
          </w:tcPr>
          <w:p w14:paraId="423D1B82">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0.104</w:t>
            </w:r>
          </w:p>
        </w:tc>
        <w:tc>
          <w:tcPr>
            <w:tcW w:w="507" w:type="pct"/>
            <w:shd w:val="clear" w:color="auto" w:fill="auto"/>
            <w:vAlign w:val="center"/>
          </w:tcPr>
          <w:p w14:paraId="6E5C7070">
            <w:pPr>
              <w:keepNext/>
              <w:widowControl/>
              <w:snapToGrid w:val="0"/>
              <w:ind w:left="0" w:leftChars="0" w:right="0" w:rightChars="0" w:firstLine="0" w:firstLineChars="0"/>
              <w:jc w:val="both"/>
              <w:textAlignment w:val="bottom"/>
              <w:rPr>
                <w:rFonts w:ascii="Times New Roman" w:hAnsi="Times New Roman" w:eastAsia="宋体" w:cs="Times New Roman"/>
                <w:b w:val="0"/>
                <w:bCs w:val="0"/>
                <w:kern w:val="0"/>
                <w:sz w:val="18"/>
                <w:szCs w:val="18"/>
                <w:lang w:bidi="ar"/>
              </w:rPr>
            </w:pPr>
            <w:r>
              <w:rPr>
                <w:rFonts w:ascii="Times New Roman" w:hAnsi="Segoe UI" w:eastAsia="宋体" w:cs="Segoe UI"/>
                <w:b w:val="0"/>
                <w:bCs w:val="0"/>
                <w:i w:val="0"/>
                <w:iCs w:val="0"/>
                <w:caps w:val="0"/>
                <w:spacing w:val="0"/>
                <w:sz w:val="18"/>
                <w:szCs w:val="21"/>
                <w:shd w:val="clear" w:fill="FFFFFF"/>
              </w:rPr>
              <w:t>63.6%</w:t>
            </w:r>
          </w:p>
        </w:tc>
        <w:tc>
          <w:tcPr>
            <w:tcW w:w="514" w:type="pct"/>
            <w:shd w:val="clear" w:color="auto" w:fill="auto"/>
            <w:vAlign w:val="center"/>
          </w:tcPr>
          <w:p w14:paraId="17928238">
            <w:pPr>
              <w:keepNext/>
              <w:widowControl/>
              <w:snapToGrid w:val="0"/>
              <w:ind w:left="0" w:leftChars="0" w:right="0" w:rightChars="0" w:firstLine="0" w:firstLineChars="0"/>
              <w:jc w:val="both"/>
              <w:textAlignment w:val="center"/>
              <w:rPr>
                <w:rFonts w:ascii="Times New Roman" w:hAnsi="Times New Roman" w:eastAsia="宋体" w:cs="Times New Roman"/>
                <w:b w:val="0"/>
                <w:bCs w:val="0"/>
                <w:kern w:val="0"/>
                <w:sz w:val="18"/>
                <w:szCs w:val="18"/>
                <w:lang w:bidi="ar"/>
              </w:rPr>
            </w:pPr>
            <w:r>
              <w:rPr>
                <w:rFonts w:hint="eastAsia" w:ascii="Times New Roman" w:hAnsi="Times New Roman" w:eastAsia="宋体" w:cs="Times New Roman"/>
                <w:b w:val="0"/>
                <w:bCs w:val="0"/>
                <w:kern w:val="0"/>
                <w:sz w:val="18"/>
                <w:szCs w:val="18"/>
                <w:lang w:val="en-US" w:eastAsia="zh-CN" w:bidi="ar"/>
              </w:rPr>
              <w:t>保留</w:t>
            </w:r>
          </w:p>
        </w:tc>
      </w:tr>
      <w:tr w14:paraId="726A7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7A1F061D">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2301C7B5">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hint="eastAsia" w:ascii="Times New Roman" w:hAnsi="宋体" w:eastAsia="宋体" w:cs="Cambria Math"/>
                <w:b w:val="0"/>
                <w:bCs w:val="0"/>
                <w:color w:val="auto"/>
                <w:sz w:val="18"/>
                <w:highlight w:val="none"/>
              </w:rPr>
              <w:t>次症</w:t>
            </w:r>
            <w:r>
              <w:rPr>
                <w:rFonts w:ascii="Times New Roman" w:hAnsi="宋体" w:eastAsia="宋体" w:cs="Cambria Math"/>
                <w:b w:val="0"/>
                <w:bCs w:val="0"/>
                <w:color w:val="auto"/>
                <w:sz w:val="18"/>
                <w:highlight w:val="none"/>
              </w:rPr>
              <w:t>：</w:t>
            </w:r>
            <w:r>
              <w:rPr>
                <w:rFonts w:hint="eastAsia" w:ascii="Times New Roman" w:hAnsi="宋体" w:eastAsia="宋体" w:cs="Cambria Math"/>
                <w:b w:val="0"/>
                <w:bCs w:val="0"/>
                <w:color w:val="auto"/>
                <w:sz w:val="18"/>
                <w:highlight w:val="none"/>
              </w:rPr>
              <w:t>眩晕，胸闷，少气懒言，自汗</w:t>
            </w:r>
            <w:r>
              <w:rPr>
                <w:rFonts w:hint="eastAsia" w:ascii="Times New Roman" w:hAnsi="宋体" w:eastAsia="宋体" w:cs="Cambria Math"/>
                <w:b w:val="0"/>
                <w:bCs w:val="0"/>
                <w:color w:val="auto"/>
                <w:sz w:val="18"/>
                <w:highlight w:val="none"/>
                <w:lang w:eastAsia="zh-CN"/>
              </w:rPr>
              <w:t>，</w:t>
            </w:r>
            <w:r>
              <w:rPr>
                <w:rFonts w:hint="eastAsia" w:ascii="Times New Roman" w:hAnsi="宋体" w:eastAsia="宋体" w:cs="Cambria Math"/>
                <w:b w:val="0"/>
                <w:bCs w:val="0"/>
                <w:color w:val="auto"/>
                <w:sz w:val="18"/>
                <w:highlight w:val="none"/>
              </w:rPr>
              <w:t>盗汗，腰膝酸软，失眠，肢体麻木伴无力。</w:t>
            </w:r>
          </w:p>
        </w:tc>
        <w:tc>
          <w:tcPr>
            <w:tcW w:w="419" w:type="pct"/>
            <w:shd w:val="clear" w:color="auto" w:fill="auto"/>
            <w:vAlign w:val="center"/>
          </w:tcPr>
          <w:p w14:paraId="43425991">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4.77</w:t>
            </w:r>
          </w:p>
        </w:tc>
        <w:tc>
          <w:tcPr>
            <w:tcW w:w="483" w:type="pct"/>
            <w:shd w:val="clear" w:color="auto" w:fill="auto"/>
            <w:vAlign w:val="center"/>
          </w:tcPr>
          <w:p w14:paraId="2C5EA216">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0.088</w:t>
            </w:r>
          </w:p>
        </w:tc>
        <w:tc>
          <w:tcPr>
            <w:tcW w:w="507" w:type="pct"/>
            <w:shd w:val="clear" w:color="auto" w:fill="auto"/>
            <w:vAlign w:val="center"/>
          </w:tcPr>
          <w:p w14:paraId="03C5A444">
            <w:pPr>
              <w:keepNext/>
              <w:widowControl/>
              <w:snapToGrid w:val="0"/>
              <w:ind w:left="0" w:leftChars="0" w:right="0" w:rightChars="0" w:firstLine="0" w:firstLineChars="0"/>
              <w:jc w:val="both"/>
              <w:textAlignment w:val="bottom"/>
              <w:rPr>
                <w:rFonts w:ascii="Times New Roman" w:hAnsi="Times New Roman" w:eastAsia="宋体" w:cs="Times New Roman"/>
                <w:b w:val="0"/>
                <w:bCs w:val="0"/>
                <w:kern w:val="0"/>
                <w:sz w:val="18"/>
                <w:szCs w:val="18"/>
                <w:lang w:bidi="ar"/>
              </w:rPr>
            </w:pPr>
            <w:r>
              <w:rPr>
                <w:rFonts w:ascii="Times New Roman" w:hAnsi="Segoe UI" w:eastAsia="宋体" w:cs="Segoe UI"/>
                <w:b w:val="0"/>
                <w:bCs w:val="0"/>
                <w:i w:val="0"/>
                <w:iCs w:val="0"/>
                <w:caps w:val="0"/>
                <w:spacing w:val="0"/>
                <w:sz w:val="18"/>
                <w:szCs w:val="21"/>
                <w:shd w:val="clear" w:fill="FFFFFF"/>
              </w:rPr>
              <w:t>77.3%</w:t>
            </w:r>
          </w:p>
        </w:tc>
        <w:tc>
          <w:tcPr>
            <w:tcW w:w="514" w:type="pct"/>
            <w:shd w:val="clear" w:color="auto" w:fill="auto"/>
            <w:vAlign w:val="center"/>
          </w:tcPr>
          <w:p w14:paraId="23D8B68F">
            <w:pPr>
              <w:keepNext/>
              <w:widowControl/>
              <w:snapToGrid w:val="0"/>
              <w:ind w:left="0" w:leftChars="0" w:right="0" w:rightChars="0" w:firstLine="0" w:firstLineChars="0"/>
              <w:jc w:val="both"/>
              <w:textAlignment w:val="center"/>
              <w:rPr>
                <w:rFonts w:ascii="Times New Roman" w:hAnsi="Times New Roman" w:eastAsia="宋体" w:cs="Times New Roman"/>
                <w:b w:val="0"/>
                <w:bCs w:val="0"/>
                <w:kern w:val="0"/>
                <w:sz w:val="18"/>
                <w:szCs w:val="18"/>
                <w:lang w:bidi="ar"/>
              </w:rPr>
            </w:pPr>
            <w:r>
              <w:rPr>
                <w:rFonts w:hint="eastAsia" w:ascii="Times New Roman" w:hAnsi="Times New Roman" w:eastAsia="宋体" w:cs="Times New Roman"/>
                <w:b w:val="0"/>
                <w:bCs w:val="0"/>
                <w:kern w:val="0"/>
                <w:sz w:val="18"/>
                <w:szCs w:val="18"/>
                <w:lang w:val="en-US" w:eastAsia="zh-CN" w:bidi="ar"/>
              </w:rPr>
              <w:t>保留</w:t>
            </w:r>
          </w:p>
        </w:tc>
      </w:tr>
      <w:tr w14:paraId="287C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4F4CEE89">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70CE3351">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hint="eastAsia" w:ascii="Times New Roman" w:hAnsi="宋体" w:eastAsia="宋体" w:cs="Cambria Math"/>
                <w:b w:val="0"/>
                <w:bCs w:val="0"/>
                <w:color w:val="auto"/>
                <w:sz w:val="18"/>
                <w:highlight w:val="none"/>
              </w:rPr>
              <w:t>舌</w:t>
            </w:r>
            <w:r>
              <w:rPr>
                <w:rFonts w:hint="eastAsia" w:ascii="Times New Roman" w:hAnsi="宋体" w:eastAsia="宋体" w:cs="Cambria Math"/>
                <w:b w:val="0"/>
                <w:bCs w:val="0"/>
                <w:color w:val="auto"/>
                <w:sz w:val="18"/>
                <w:highlight w:val="none"/>
                <w:lang w:val="en-US" w:eastAsia="zh-CN"/>
              </w:rPr>
              <w:t>象</w:t>
            </w:r>
            <w:r>
              <w:rPr>
                <w:rFonts w:hint="eastAsia" w:ascii="Times New Roman" w:hAnsi="宋体" w:eastAsia="宋体" w:cs="Cambria Math"/>
                <w:b w:val="0"/>
                <w:bCs w:val="0"/>
                <w:color w:val="auto"/>
                <w:sz w:val="18"/>
                <w:highlight w:val="none"/>
              </w:rPr>
              <w:t>：舌质红或红绛，少津，苔薄白或少苔。</w:t>
            </w:r>
          </w:p>
        </w:tc>
        <w:tc>
          <w:tcPr>
            <w:tcW w:w="419" w:type="pct"/>
            <w:shd w:val="clear" w:color="auto" w:fill="auto"/>
            <w:vAlign w:val="center"/>
          </w:tcPr>
          <w:p w14:paraId="79A1A373">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4.41</w:t>
            </w:r>
          </w:p>
        </w:tc>
        <w:tc>
          <w:tcPr>
            <w:tcW w:w="483" w:type="pct"/>
            <w:shd w:val="clear" w:color="auto" w:fill="auto"/>
            <w:vAlign w:val="center"/>
          </w:tcPr>
          <w:p w14:paraId="62C74F74">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0.161</w:t>
            </w:r>
          </w:p>
        </w:tc>
        <w:tc>
          <w:tcPr>
            <w:tcW w:w="507" w:type="pct"/>
            <w:shd w:val="clear" w:color="auto" w:fill="auto"/>
            <w:vAlign w:val="center"/>
          </w:tcPr>
          <w:p w14:paraId="15D3D808">
            <w:pPr>
              <w:keepNext/>
              <w:widowControl/>
              <w:snapToGrid w:val="0"/>
              <w:ind w:left="0" w:leftChars="0" w:right="0" w:rightChars="0" w:firstLine="0" w:firstLineChars="0"/>
              <w:jc w:val="both"/>
              <w:textAlignment w:val="bottom"/>
              <w:rPr>
                <w:rFonts w:ascii="Times New Roman" w:hAnsi="Times New Roman" w:eastAsia="宋体" w:cs="Times New Roman"/>
                <w:b w:val="0"/>
                <w:bCs w:val="0"/>
                <w:kern w:val="0"/>
                <w:sz w:val="18"/>
                <w:szCs w:val="18"/>
                <w:lang w:bidi="ar"/>
              </w:rPr>
            </w:pPr>
            <w:r>
              <w:rPr>
                <w:rFonts w:ascii="Times New Roman" w:hAnsi="Segoe UI" w:eastAsia="宋体" w:cs="Segoe UI"/>
                <w:b w:val="0"/>
                <w:bCs w:val="0"/>
                <w:i w:val="0"/>
                <w:iCs w:val="0"/>
                <w:caps w:val="0"/>
                <w:spacing w:val="0"/>
                <w:sz w:val="18"/>
                <w:szCs w:val="21"/>
                <w:shd w:val="clear" w:fill="FFFFFF"/>
              </w:rPr>
              <w:t>52.2%</w:t>
            </w:r>
          </w:p>
        </w:tc>
        <w:tc>
          <w:tcPr>
            <w:tcW w:w="514" w:type="pct"/>
            <w:shd w:val="clear" w:color="auto" w:fill="auto"/>
            <w:vAlign w:val="center"/>
          </w:tcPr>
          <w:p w14:paraId="2195521C">
            <w:pPr>
              <w:keepNext/>
              <w:widowControl/>
              <w:snapToGrid w:val="0"/>
              <w:ind w:left="0" w:leftChars="0" w:right="0" w:rightChars="0" w:firstLine="0" w:firstLineChars="0"/>
              <w:jc w:val="both"/>
              <w:textAlignment w:val="center"/>
              <w:rPr>
                <w:rFonts w:ascii="Times New Roman" w:hAnsi="Times New Roman" w:eastAsia="宋体" w:cs="Times New Roman"/>
                <w:b w:val="0"/>
                <w:bCs w:val="0"/>
                <w:kern w:val="0"/>
                <w:sz w:val="18"/>
                <w:szCs w:val="18"/>
                <w:lang w:bidi="ar"/>
              </w:rPr>
            </w:pPr>
            <w:r>
              <w:rPr>
                <w:rFonts w:hint="eastAsia" w:ascii="Times New Roman" w:hAnsi="Times New Roman" w:eastAsia="宋体" w:cs="Times New Roman"/>
                <w:b w:val="0"/>
                <w:bCs w:val="0"/>
                <w:kern w:val="0"/>
                <w:sz w:val="18"/>
                <w:szCs w:val="18"/>
                <w:lang w:val="en-US" w:eastAsia="zh-CN" w:bidi="ar"/>
              </w:rPr>
              <w:t>保留</w:t>
            </w:r>
          </w:p>
        </w:tc>
      </w:tr>
      <w:tr w14:paraId="018D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41CB1BF1">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65D443E8">
            <w:pPr>
              <w:keepNext/>
              <w:widowControl/>
              <w:snapToGrid w:val="0"/>
              <w:ind w:left="0" w:leftChars="0" w:right="0" w:rightChars="0" w:firstLine="0" w:firstLineChars="0"/>
              <w:jc w:val="both"/>
              <w:textAlignment w:val="center"/>
              <w:rPr>
                <w:rFonts w:hint="eastAsia" w:ascii="Times New Roman" w:hAnsi="宋体" w:eastAsia="宋体" w:cs="Cambria Math"/>
                <w:b w:val="0"/>
                <w:bCs w:val="0"/>
                <w:color w:val="auto"/>
                <w:sz w:val="18"/>
                <w:highlight w:val="none"/>
              </w:rPr>
            </w:pPr>
            <w:r>
              <w:rPr>
                <w:rFonts w:hint="eastAsia" w:ascii="Times New Roman" w:hAnsi="宋体" w:eastAsia="宋体" w:cs="Cambria Math"/>
                <w:b w:val="0"/>
                <w:bCs w:val="0"/>
                <w:color w:val="auto"/>
                <w:sz w:val="18"/>
                <w:highlight w:val="none"/>
                <w:lang w:val="en-US" w:eastAsia="zh-CN"/>
              </w:rPr>
              <w:t>脉象：</w:t>
            </w:r>
            <w:r>
              <w:rPr>
                <w:rFonts w:hint="eastAsia" w:ascii="Times New Roman" w:hAnsi="宋体" w:eastAsia="宋体" w:cs="Cambria Math"/>
                <w:b w:val="0"/>
                <w:bCs w:val="0"/>
                <w:color w:val="auto"/>
                <w:sz w:val="18"/>
                <w:highlight w:val="none"/>
              </w:rPr>
              <w:t>脉沉细，或细数无力</w:t>
            </w:r>
            <w:r>
              <w:rPr>
                <w:rFonts w:hint="eastAsia" w:ascii="Times New Roman" w:hAnsi="宋体" w:eastAsia="宋体" w:cs="Cambria Math"/>
                <w:b w:val="0"/>
                <w:bCs w:val="0"/>
                <w:color w:val="auto"/>
                <w:sz w:val="18"/>
                <w:highlight w:val="none"/>
                <w:lang w:eastAsia="zh-CN"/>
              </w:rPr>
              <w:t>。</w:t>
            </w:r>
          </w:p>
        </w:tc>
        <w:tc>
          <w:tcPr>
            <w:tcW w:w="419" w:type="pct"/>
            <w:shd w:val="clear" w:color="auto" w:fill="auto"/>
            <w:vAlign w:val="center"/>
          </w:tcPr>
          <w:p w14:paraId="039CECFE">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4.41</w:t>
            </w:r>
          </w:p>
        </w:tc>
        <w:tc>
          <w:tcPr>
            <w:tcW w:w="483" w:type="pct"/>
            <w:shd w:val="clear" w:color="auto" w:fill="auto"/>
            <w:vAlign w:val="center"/>
          </w:tcPr>
          <w:p w14:paraId="1DDCA50C">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0.138</w:t>
            </w:r>
          </w:p>
        </w:tc>
        <w:tc>
          <w:tcPr>
            <w:tcW w:w="507" w:type="pct"/>
            <w:shd w:val="clear" w:color="auto" w:fill="auto"/>
            <w:vAlign w:val="center"/>
          </w:tcPr>
          <w:p w14:paraId="7FF99685">
            <w:pPr>
              <w:keepNext/>
              <w:widowControl/>
              <w:snapToGrid w:val="0"/>
              <w:ind w:left="0" w:leftChars="0" w:right="0" w:rightChars="0" w:firstLine="0" w:firstLineChars="0"/>
              <w:jc w:val="both"/>
              <w:textAlignment w:val="bottom"/>
              <w:rPr>
                <w:rFonts w:ascii="Times New Roman" w:hAnsi="Times New Roman" w:eastAsia="宋体" w:cs="Times New Roman"/>
                <w:b w:val="0"/>
                <w:bCs w:val="0"/>
                <w:kern w:val="0"/>
                <w:sz w:val="18"/>
                <w:szCs w:val="18"/>
                <w:lang w:bidi="ar"/>
              </w:rPr>
            </w:pPr>
            <w:r>
              <w:rPr>
                <w:rFonts w:ascii="Times New Roman" w:hAnsi="Segoe UI" w:eastAsia="宋体" w:cs="Segoe UI"/>
                <w:b w:val="0"/>
                <w:bCs w:val="0"/>
                <w:i w:val="0"/>
                <w:iCs w:val="0"/>
                <w:caps w:val="0"/>
                <w:spacing w:val="0"/>
                <w:sz w:val="18"/>
                <w:szCs w:val="21"/>
                <w:shd w:val="clear" w:fill="FFFFFF"/>
              </w:rPr>
              <w:t>43.5%</w:t>
            </w:r>
          </w:p>
        </w:tc>
        <w:tc>
          <w:tcPr>
            <w:tcW w:w="514" w:type="pct"/>
            <w:shd w:val="clear" w:color="auto" w:fill="auto"/>
            <w:vAlign w:val="center"/>
          </w:tcPr>
          <w:p w14:paraId="2C9F8261">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kern w:val="0"/>
                <w:sz w:val="18"/>
                <w:szCs w:val="18"/>
                <w:lang w:val="en-US" w:eastAsia="zh-CN" w:bidi="ar"/>
              </w:rPr>
            </w:pPr>
            <w:r>
              <w:rPr>
                <w:rFonts w:hint="eastAsia" w:ascii="Times New Roman" w:hAnsi="Times New Roman" w:eastAsia="宋体" w:cs="Times New Roman"/>
                <w:b w:val="0"/>
                <w:bCs w:val="0"/>
                <w:kern w:val="0"/>
                <w:sz w:val="18"/>
                <w:szCs w:val="18"/>
                <w:lang w:val="en-US" w:eastAsia="zh-CN" w:bidi="ar"/>
              </w:rPr>
              <w:t>待共识</w:t>
            </w:r>
          </w:p>
        </w:tc>
      </w:tr>
      <w:tr w14:paraId="2630A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restart"/>
            <w:shd w:val="clear" w:color="auto" w:fill="auto"/>
            <w:vAlign w:val="center"/>
          </w:tcPr>
          <w:p w14:paraId="0DD432E4">
            <w:pPr>
              <w:keepNext/>
              <w:widowControl/>
              <w:snapToGrid w:val="0"/>
              <w:ind w:left="0" w:leftChars="0" w:right="0" w:rightChars="0" w:firstLine="0" w:firstLineChars="0"/>
              <w:jc w:val="both"/>
              <w:textAlignment w:val="center"/>
              <w:rPr>
                <w:rFonts w:hint="default" w:ascii="Times New Roman" w:hAnsi="Times New Roman" w:eastAsia="宋体" w:cs="Times New Roman"/>
                <w:b w:val="0"/>
                <w:bCs w:val="0"/>
                <w:color w:val="000000"/>
                <w:sz w:val="18"/>
                <w:szCs w:val="18"/>
                <w:lang w:val="en-US" w:eastAsia="zh-CN"/>
              </w:rPr>
            </w:pPr>
            <w:r>
              <w:rPr>
                <w:rFonts w:hint="eastAsia" w:ascii="Times New Roman" w:hAnsi="Times New Roman" w:eastAsia="宋体" w:cs="Times New Roman"/>
                <w:b w:val="0"/>
                <w:bCs w:val="0"/>
                <w:color w:val="000000"/>
                <w:sz w:val="18"/>
                <w:szCs w:val="18"/>
                <w:lang w:val="en-US" w:eastAsia="zh-CN"/>
              </w:rPr>
              <w:t>阴虚阳亢证</w:t>
            </w:r>
          </w:p>
        </w:tc>
        <w:tc>
          <w:tcPr>
            <w:tcW w:w="2784" w:type="pct"/>
            <w:shd w:val="clear" w:color="auto" w:fill="auto"/>
            <w:vAlign w:val="center"/>
          </w:tcPr>
          <w:p w14:paraId="35678A14">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宋体" w:eastAsia="宋体" w:cs="Cambria Math"/>
                <w:b w:val="0"/>
                <w:bCs w:val="0"/>
                <w:color w:val="auto"/>
                <w:sz w:val="18"/>
                <w:highlight w:val="none"/>
              </w:rPr>
              <w:t>主</w:t>
            </w:r>
            <w:r>
              <w:rPr>
                <w:rFonts w:hint="eastAsia" w:ascii="Times New Roman" w:hAnsi="宋体" w:eastAsia="宋体" w:cs="Cambria Math"/>
                <w:b w:val="0"/>
                <w:bCs w:val="0"/>
                <w:color w:val="auto"/>
                <w:sz w:val="18"/>
                <w:highlight w:val="none"/>
              </w:rPr>
              <w:t>症</w:t>
            </w:r>
            <w:r>
              <w:rPr>
                <w:rFonts w:ascii="Times New Roman" w:hAnsi="宋体" w:eastAsia="宋体" w:cs="Cambria Math"/>
                <w:b w:val="0"/>
                <w:bCs w:val="0"/>
                <w:color w:val="auto"/>
                <w:sz w:val="18"/>
                <w:highlight w:val="none"/>
              </w:rPr>
              <w:t>：</w:t>
            </w:r>
            <w:r>
              <w:rPr>
                <w:rFonts w:hint="eastAsia" w:ascii="Times New Roman" w:hAnsi="宋体" w:eastAsia="宋体" w:cs="Cambria Math"/>
                <w:b w:val="0"/>
                <w:bCs w:val="0"/>
                <w:color w:val="auto"/>
                <w:sz w:val="18"/>
                <w:highlight w:val="none"/>
              </w:rPr>
              <w:t>头目胀痛</w:t>
            </w:r>
            <w:r>
              <w:rPr>
                <w:rFonts w:hint="eastAsia" w:ascii="Times New Roman" w:hAnsi="宋体" w:eastAsia="宋体" w:cs="Cambria Math"/>
                <w:b w:val="0"/>
                <w:bCs w:val="0"/>
                <w:color w:val="auto"/>
                <w:sz w:val="18"/>
                <w:highlight w:val="none"/>
                <w:lang w:eastAsia="zh-CN"/>
              </w:rPr>
              <w:t>，</w:t>
            </w:r>
            <w:r>
              <w:rPr>
                <w:rFonts w:hint="eastAsia" w:ascii="Times New Roman" w:hAnsi="宋体" w:eastAsia="宋体" w:cs="Cambria Math"/>
                <w:b w:val="0"/>
                <w:bCs w:val="0"/>
                <w:color w:val="auto"/>
                <w:sz w:val="18"/>
                <w:highlight w:val="none"/>
              </w:rPr>
              <w:t>眩晕，急躁易怒，颜面潮红</w:t>
            </w:r>
          </w:p>
        </w:tc>
        <w:tc>
          <w:tcPr>
            <w:tcW w:w="419" w:type="pct"/>
            <w:shd w:val="clear" w:color="auto" w:fill="auto"/>
            <w:vAlign w:val="center"/>
          </w:tcPr>
          <w:p w14:paraId="62884070">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4.80</w:t>
            </w:r>
          </w:p>
        </w:tc>
        <w:tc>
          <w:tcPr>
            <w:tcW w:w="483" w:type="pct"/>
            <w:shd w:val="clear" w:color="auto" w:fill="auto"/>
            <w:vAlign w:val="center"/>
          </w:tcPr>
          <w:p w14:paraId="49E2BD6D">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0.094</w:t>
            </w:r>
          </w:p>
        </w:tc>
        <w:tc>
          <w:tcPr>
            <w:tcW w:w="507" w:type="pct"/>
            <w:shd w:val="clear" w:color="auto" w:fill="auto"/>
            <w:vAlign w:val="center"/>
          </w:tcPr>
          <w:p w14:paraId="01A40108">
            <w:pPr>
              <w:keepNext/>
              <w:widowControl/>
              <w:snapToGrid w:val="0"/>
              <w:ind w:left="0" w:leftChars="0" w:right="0" w:rightChars="0" w:firstLine="0" w:firstLineChars="0"/>
              <w:jc w:val="both"/>
              <w:textAlignment w:val="bottom"/>
              <w:rPr>
                <w:rFonts w:ascii="Times New Roman" w:hAnsi="Times New Roman" w:eastAsia="宋体" w:cs="Times New Roman"/>
                <w:b w:val="0"/>
                <w:bCs w:val="0"/>
                <w:kern w:val="0"/>
                <w:sz w:val="18"/>
                <w:szCs w:val="18"/>
                <w:lang w:bidi="ar"/>
              </w:rPr>
            </w:pPr>
            <w:r>
              <w:rPr>
                <w:rFonts w:ascii="Times New Roman" w:hAnsi="Segoe UI" w:eastAsia="宋体" w:cs="Segoe UI"/>
                <w:b w:val="0"/>
                <w:bCs w:val="0"/>
                <w:i w:val="0"/>
                <w:iCs w:val="0"/>
                <w:caps w:val="0"/>
                <w:spacing w:val="0"/>
                <w:sz w:val="18"/>
                <w:szCs w:val="21"/>
                <w:shd w:val="clear" w:fill="FFFFFF"/>
              </w:rPr>
              <w:t>72.7%</w:t>
            </w:r>
          </w:p>
        </w:tc>
        <w:tc>
          <w:tcPr>
            <w:tcW w:w="514" w:type="pct"/>
            <w:shd w:val="clear" w:color="auto" w:fill="auto"/>
            <w:vAlign w:val="center"/>
          </w:tcPr>
          <w:p w14:paraId="69AEB99D">
            <w:pPr>
              <w:keepNext/>
              <w:widowControl/>
              <w:snapToGrid w:val="0"/>
              <w:ind w:left="0" w:leftChars="0" w:right="0" w:rightChars="0" w:firstLine="0" w:firstLineChars="0"/>
              <w:jc w:val="both"/>
              <w:textAlignment w:val="center"/>
              <w:rPr>
                <w:rFonts w:ascii="Times New Roman" w:hAnsi="Times New Roman" w:eastAsia="宋体" w:cs="Times New Roman"/>
                <w:b w:val="0"/>
                <w:bCs w:val="0"/>
                <w:kern w:val="0"/>
                <w:sz w:val="18"/>
                <w:szCs w:val="18"/>
                <w:lang w:bidi="ar"/>
              </w:rPr>
            </w:pPr>
            <w:r>
              <w:rPr>
                <w:rFonts w:hint="eastAsia" w:ascii="Times New Roman" w:hAnsi="Times New Roman" w:eastAsia="宋体" w:cs="Times New Roman"/>
                <w:b w:val="0"/>
                <w:bCs w:val="0"/>
                <w:kern w:val="0"/>
                <w:sz w:val="18"/>
                <w:szCs w:val="18"/>
                <w:lang w:val="en-US" w:eastAsia="zh-CN" w:bidi="ar"/>
              </w:rPr>
              <w:t>保留</w:t>
            </w:r>
          </w:p>
        </w:tc>
      </w:tr>
      <w:tr w14:paraId="3231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36BA7D87">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44B44061">
            <w:pPr>
              <w:pStyle w:val="6"/>
              <w:keepNext w:val="0"/>
              <w:keepLines w:val="0"/>
              <w:pageBreakBefore w:val="0"/>
              <w:widowControl/>
              <w:tabs>
                <w:tab w:val="center" w:pos="4201"/>
                <w:tab w:val="right" w:leader="dot" w:pos="9298"/>
              </w:tabs>
              <w:kinsoku/>
              <w:wordWrap w:val="0"/>
              <w:overflowPunct/>
              <w:topLinePunct w:val="0"/>
              <w:autoSpaceDE w:val="0"/>
              <w:autoSpaceDN w:val="0"/>
              <w:bidi w:val="0"/>
              <w:adjustRightInd/>
              <w:snapToGrid w:val="0"/>
              <w:spacing w:line="240" w:lineRule="auto"/>
              <w:ind w:left="0" w:leftChars="0" w:right="0" w:rightChars="0" w:firstLine="0" w:firstLineChars="0"/>
              <w:jc w:val="both"/>
              <w:textAlignment w:val="auto"/>
              <w:rPr>
                <w:rFonts w:ascii="Times New Roman" w:hAnsi="Times New Roman" w:eastAsia="宋体" w:cs="Times New Roman"/>
                <w:b w:val="0"/>
                <w:bCs w:val="0"/>
                <w:color w:val="000000"/>
                <w:sz w:val="18"/>
                <w:szCs w:val="18"/>
              </w:rPr>
            </w:pPr>
            <w:r>
              <w:rPr>
                <w:rFonts w:hint="eastAsia" w:ascii="Times New Roman" w:hAnsi="宋体" w:eastAsia="宋体" w:cs="Cambria Math"/>
                <w:b w:val="0"/>
                <w:bCs w:val="0"/>
                <w:color w:val="auto"/>
                <w:sz w:val="18"/>
                <w:highlight w:val="none"/>
              </w:rPr>
              <w:t>次症</w:t>
            </w:r>
            <w:r>
              <w:rPr>
                <w:rFonts w:ascii="Times New Roman" w:hAnsi="宋体" w:eastAsia="宋体" w:cs="Cambria Math"/>
                <w:b w:val="0"/>
                <w:bCs w:val="0"/>
                <w:color w:val="auto"/>
                <w:sz w:val="18"/>
                <w:highlight w:val="none"/>
              </w:rPr>
              <w:t>：</w:t>
            </w:r>
            <w:r>
              <w:rPr>
                <w:rFonts w:hint="eastAsia" w:ascii="Times New Roman" w:hAnsi="宋体" w:eastAsia="宋体" w:cs="Cambria Math"/>
                <w:b w:val="0"/>
                <w:bCs w:val="0"/>
                <w:color w:val="auto"/>
                <w:sz w:val="18"/>
                <w:highlight w:val="none"/>
              </w:rPr>
              <w:t>耳鸣，口燥咽干，失眠多梦，健忘</w:t>
            </w:r>
            <w:r>
              <w:rPr>
                <w:rFonts w:hint="eastAsia" w:ascii="Times New Roman" w:hAnsi="宋体" w:eastAsia="宋体" w:cs="Cambria Math"/>
                <w:b w:val="0"/>
                <w:bCs w:val="0"/>
                <w:color w:val="auto"/>
                <w:sz w:val="18"/>
                <w:highlight w:val="none"/>
                <w:lang w:eastAsia="zh-CN"/>
              </w:rPr>
              <w:t>，</w:t>
            </w:r>
            <w:r>
              <w:rPr>
                <w:rFonts w:hint="eastAsia" w:ascii="Times New Roman" w:hAnsi="宋体" w:eastAsia="宋体" w:cs="Cambria Math"/>
                <w:b w:val="0"/>
                <w:bCs w:val="0"/>
                <w:color w:val="auto"/>
                <w:sz w:val="18"/>
                <w:highlight w:val="none"/>
              </w:rPr>
              <w:t>五心烦热，腰膝酸软</w:t>
            </w:r>
            <w:r>
              <w:rPr>
                <w:rFonts w:hint="eastAsia" w:ascii="Times New Roman" w:hAnsi="宋体" w:eastAsia="宋体" w:cs="Cambria Math"/>
                <w:b w:val="0"/>
                <w:bCs w:val="0"/>
                <w:color w:val="auto"/>
                <w:sz w:val="18"/>
                <w:highlight w:val="none"/>
                <w:lang w:eastAsia="zh-CN"/>
              </w:rPr>
              <w:t>，</w:t>
            </w:r>
            <w:r>
              <w:rPr>
                <w:rFonts w:hint="eastAsia" w:ascii="Times New Roman" w:hAnsi="宋体" w:eastAsia="宋体" w:cs="Cambria Math"/>
                <w:b w:val="0"/>
                <w:bCs w:val="0"/>
                <w:color w:val="auto"/>
                <w:sz w:val="18"/>
                <w:highlight w:val="none"/>
              </w:rPr>
              <w:t>小便短赤，大便干结</w:t>
            </w:r>
          </w:p>
        </w:tc>
        <w:tc>
          <w:tcPr>
            <w:tcW w:w="419" w:type="pct"/>
            <w:shd w:val="clear" w:color="auto" w:fill="auto"/>
            <w:vAlign w:val="center"/>
          </w:tcPr>
          <w:p w14:paraId="18406897">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4.77</w:t>
            </w:r>
          </w:p>
        </w:tc>
        <w:tc>
          <w:tcPr>
            <w:tcW w:w="483" w:type="pct"/>
            <w:shd w:val="clear" w:color="auto" w:fill="auto"/>
            <w:vAlign w:val="center"/>
          </w:tcPr>
          <w:p w14:paraId="5B4DFBCF">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0.111</w:t>
            </w:r>
          </w:p>
        </w:tc>
        <w:tc>
          <w:tcPr>
            <w:tcW w:w="507" w:type="pct"/>
            <w:shd w:val="clear" w:color="auto" w:fill="auto"/>
            <w:vAlign w:val="center"/>
          </w:tcPr>
          <w:p w14:paraId="14E6BEAE">
            <w:pPr>
              <w:keepNext/>
              <w:widowControl/>
              <w:snapToGrid w:val="0"/>
              <w:ind w:left="0" w:leftChars="0" w:right="0" w:rightChars="0" w:firstLine="0" w:firstLineChars="0"/>
              <w:jc w:val="both"/>
              <w:textAlignment w:val="bottom"/>
              <w:rPr>
                <w:rFonts w:ascii="Times New Roman" w:hAnsi="Times New Roman" w:eastAsia="宋体" w:cs="Times New Roman"/>
                <w:b w:val="0"/>
                <w:bCs w:val="0"/>
                <w:kern w:val="0"/>
                <w:sz w:val="18"/>
                <w:szCs w:val="18"/>
                <w:lang w:bidi="ar"/>
              </w:rPr>
            </w:pPr>
            <w:r>
              <w:rPr>
                <w:rFonts w:ascii="Times New Roman" w:hAnsi="Segoe UI" w:eastAsia="宋体" w:cs="Segoe UI"/>
                <w:b w:val="0"/>
                <w:bCs w:val="0"/>
                <w:i w:val="0"/>
                <w:iCs w:val="0"/>
                <w:caps w:val="0"/>
                <w:spacing w:val="0"/>
                <w:sz w:val="18"/>
                <w:szCs w:val="21"/>
                <w:shd w:val="clear" w:fill="FFFFFF"/>
              </w:rPr>
              <w:t>68.2%</w:t>
            </w:r>
          </w:p>
        </w:tc>
        <w:tc>
          <w:tcPr>
            <w:tcW w:w="514" w:type="pct"/>
            <w:shd w:val="clear" w:color="auto" w:fill="auto"/>
            <w:vAlign w:val="center"/>
          </w:tcPr>
          <w:p w14:paraId="057187D2">
            <w:pPr>
              <w:keepNext/>
              <w:widowControl/>
              <w:snapToGrid w:val="0"/>
              <w:ind w:left="0" w:leftChars="0" w:right="0" w:rightChars="0" w:firstLine="0" w:firstLineChars="0"/>
              <w:jc w:val="both"/>
              <w:textAlignment w:val="center"/>
              <w:rPr>
                <w:rFonts w:ascii="Times New Roman" w:hAnsi="Times New Roman" w:eastAsia="宋体" w:cs="Times New Roman"/>
                <w:b w:val="0"/>
                <w:bCs w:val="0"/>
                <w:kern w:val="0"/>
                <w:sz w:val="18"/>
                <w:szCs w:val="18"/>
                <w:lang w:bidi="ar"/>
              </w:rPr>
            </w:pPr>
            <w:r>
              <w:rPr>
                <w:rFonts w:hint="eastAsia" w:ascii="Times New Roman" w:hAnsi="Times New Roman" w:eastAsia="宋体" w:cs="Times New Roman"/>
                <w:b w:val="0"/>
                <w:bCs w:val="0"/>
                <w:kern w:val="0"/>
                <w:sz w:val="18"/>
                <w:szCs w:val="18"/>
                <w:lang w:val="en-US" w:eastAsia="zh-CN" w:bidi="ar"/>
              </w:rPr>
              <w:t>保留</w:t>
            </w:r>
          </w:p>
        </w:tc>
      </w:tr>
      <w:tr w14:paraId="365CA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45A88554">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55A5925D">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hint="eastAsia" w:ascii="Times New Roman" w:hAnsi="宋体" w:eastAsia="宋体" w:cs="Cambria Math"/>
                <w:b w:val="0"/>
                <w:bCs w:val="0"/>
                <w:color w:val="auto"/>
                <w:sz w:val="18"/>
                <w:highlight w:val="none"/>
              </w:rPr>
              <w:t>舌</w:t>
            </w:r>
            <w:r>
              <w:rPr>
                <w:rFonts w:hint="eastAsia" w:ascii="Times New Roman" w:hAnsi="宋体" w:eastAsia="宋体" w:cs="Cambria Math"/>
                <w:b w:val="0"/>
                <w:bCs w:val="0"/>
                <w:color w:val="auto"/>
                <w:sz w:val="18"/>
                <w:highlight w:val="none"/>
                <w:lang w:val="en-US" w:eastAsia="zh-CN"/>
              </w:rPr>
              <w:t>象</w:t>
            </w:r>
            <w:r>
              <w:rPr>
                <w:rFonts w:hint="eastAsia" w:ascii="Times New Roman" w:hAnsi="宋体" w:eastAsia="宋体" w:cs="Cambria Math"/>
                <w:b w:val="0"/>
                <w:bCs w:val="0"/>
                <w:color w:val="auto"/>
                <w:sz w:val="18"/>
                <w:highlight w:val="none"/>
              </w:rPr>
              <w:t>：舌红少津</w:t>
            </w:r>
            <w:r>
              <w:rPr>
                <w:rFonts w:hint="eastAsia" w:ascii="Times New Roman" w:hAnsi="宋体" w:eastAsia="宋体" w:cs="Cambria Math"/>
                <w:b w:val="0"/>
                <w:bCs w:val="0"/>
                <w:color w:val="auto"/>
                <w:sz w:val="18"/>
                <w:highlight w:val="none"/>
                <w:lang w:eastAsia="zh-CN"/>
              </w:rPr>
              <w:t>，</w:t>
            </w:r>
            <w:r>
              <w:rPr>
                <w:rFonts w:hint="eastAsia" w:ascii="Times New Roman" w:hAnsi="宋体" w:eastAsia="宋体" w:cs="Cambria Math"/>
                <w:b w:val="0"/>
                <w:bCs w:val="0"/>
                <w:color w:val="auto"/>
                <w:sz w:val="18"/>
                <w:highlight w:val="none"/>
              </w:rPr>
              <w:t>舌苔薄黄</w:t>
            </w:r>
          </w:p>
        </w:tc>
        <w:tc>
          <w:tcPr>
            <w:tcW w:w="419" w:type="pct"/>
            <w:shd w:val="clear" w:color="auto" w:fill="auto"/>
            <w:vAlign w:val="center"/>
          </w:tcPr>
          <w:p w14:paraId="04998C87">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4.77</w:t>
            </w:r>
          </w:p>
        </w:tc>
        <w:tc>
          <w:tcPr>
            <w:tcW w:w="483" w:type="pct"/>
            <w:shd w:val="clear" w:color="auto" w:fill="auto"/>
            <w:vAlign w:val="center"/>
          </w:tcPr>
          <w:p w14:paraId="451A2738">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0.101</w:t>
            </w:r>
          </w:p>
        </w:tc>
        <w:tc>
          <w:tcPr>
            <w:tcW w:w="507" w:type="pct"/>
            <w:shd w:val="clear" w:color="auto" w:fill="auto"/>
            <w:vAlign w:val="center"/>
          </w:tcPr>
          <w:p w14:paraId="25A5781F">
            <w:pPr>
              <w:keepNext/>
              <w:widowControl/>
              <w:snapToGrid w:val="0"/>
              <w:ind w:left="0" w:leftChars="0" w:right="0" w:rightChars="0" w:firstLine="0" w:firstLineChars="0"/>
              <w:jc w:val="both"/>
              <w:textAlignment w:val="bottom"/>
              <w:rPr>
                <w:rFonts w:ascii="Times New Roman" w:hAnsi="Times New Roman" w:eastAsia="宋体" w:cs="Times New Roman"/>
                <w:b w:val="0"/>
                <w:bCs w:val="0"/>
                <w:kern w:val="0"/>
                <w:sz w:val="18"/>
                <w:szCs w:val="18"/>
                <w:lang w:bidi="ar"/>
              </w:rPr>
            </w:pPr>
            <w:r>
              <w:rPr>
                <w:rFonts w:ascii="Times New Roman" w:hAnsi="Segoe UI" w:eastAsia="宋体" w:cs="Segoe UI"/>
                <w:b w:val="0"/>
                <w:bCs w:val="0"/>
                <w:i w:val="0"/>
                <w:iCs w:val="0"/>
                <w:caps w:val="0"/>
                <w:spacing w:val="0"/>
                <w:sz w:val="18"/>
                <w:szCs w:val="21"/>
                <w:shd w:val="clear" w:fill="FFFFFF"/>
              </w:rPr>
              <w:t>77.3%</w:t>
            </w:r>
          </w:p>
        </w:tc>
        <w:tc>
          <w:tcPr>
            <w:tcW w:w="514" w:type="pct"/>
            <w:shd w:val="clear" w:color="auto" w:fill="auto"/>
            <w:vAlign w:val="center"/>
          </w:tcPr>
          <w:p w14:paraId="7E1E04F7">
            <w:pPr>
              <w:keepNext/>
              <w:widowControl/>
              <w:snapToGrid w:val="0"/>
              <w:ind w:left="0" w:leftChars="0" w:right="0" w:rightChars="0" w:firstLine="0" w:firstLineChars="0"/>
              <w:jc w:val="both"/>
              <w:textAlignment w:val="center"/>
              <w:rPr>
                <w:rFonts w:ascii="Times New Roman" w:hAnsi="Times New Roman" w:eastAsia="宋体" w:cs="Times New Roman"/>
                <w:b w:val="0"/>
                <w:bCs w:val="0"/>
                <w:kern w:val="0"/>
                <w:sz w:val="18"/>
                <w:szCs w:val="18"/>
                <w:lang w:bidi="ar"/>
              </w:rPr>
            </w:pPr>
            <w:r>
              <w:rPr>
                <w:rFonts w:hint="eastAsia" w:ascii="Times New Roman" w:hAnsi="Times New Roman" w:eastAsia="宋体" w:cs="Times New Roman"/>
                <w:b w:val="0"/>
                <w:bCs w:val="0"/>
                <w:kern w:val="0"/>
                <w:sz w:val="18"/>
                <w:szCs w:val="18"/>
                <w:lang w:val="en-US" w:eastAsia="zh-CN" w:bidi="ar"/>
              </w:rPr>
              <w:t>保留</w:t>
            </w:r>
          </w:p>
        </w:tc>
      </w:tr>
      <w:tr w14:paraId="0CE6D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6477E084">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75965D99">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宋体" w:eastAsia="宋体" w:cs="Cambria Math"/>
                <w:b w:val="0"/>
                <w:bCs w:val="0"/>
                <w:color w:val="auto"/>
                <w:sz w:val="18"/>
                <w:highlight w:val="none"/>
                <w:lang w:val="en-US" w:eastAsia="zh-CN"/>
              </w:rPr>
              <w:t>脉象：</w:t>
            </w:r>
            <w:r>
              <w:rPr>
                <w:rFonts w:hint="eastAsia" w:ascii="Times New Roman" w:hAnsi="宋体" w:eastAsia="宋体" w:cs="Cambria Math"/>
                <w:b w:val="0"/>
                <w:bCs w:val="0"/>
                <w:color w:val="auto"/>
                <w:sz w:val="18"/>
                <w:highlight w:val="none"/>
              </w:rPr>
              <w:t>脉弦细数，或弦紧有力。</w:t>
            </w:r>
          </w:p>
        </w:tc>
        <w:tc>
          <w:tcPr>
            <w:tcW w:w="419" w:type="pct"/>
            <w:shd w:val="clear" w:color="auto" w:fill="auto"/>
            <w:vAlign w:val="center"/>
          </w:tcPr>
          <w:p w14:paraId="4DF61A36">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4.73</w:t>
            </w:r>
          </w:p>
        </w:tc>
        <w:tc>
          <w:tcPr>
            <w:tcW w:w="483" w:type="pct"/>
            <w:shd w:val="clear" w:color="auto" w:fill="auto"/>
            <w:vAlign w:val="center"/>
          </w:tcPr>
          <w:p w14:paraId="370767D5">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0.104</w:t>
            </w:r>
          </w:p>
        </w:tc>
        <w:tc>
          <w:tcPr>
            <w:tcW w:w="507" w:type="pct"/>
            <w:shd w:val="clear" w:color="auto" w:fill="auto"/>
            <w:vAlign w:val="center"/>
          </w:tcPr>
          <w:p w14:paraId="4EA89821">
            <w:pPr>
              <w:keepNext/>
              <w:widowControl/>
              <w:snapToGrid w:val="0"/>
              <w:ind w:left="0" w:leftChars="0" w:right="0" w:rightChars="0" w:firstLine="0" w:firstLineChars="0"/>
              <w:jc w:val="both"/>
              <w:textAlignment w:val="bottom"/>
              <w:rPr>
                <w:rFonts w:ascii="Times New Roman" w:hAnsi="Times New Roman" w:eastAsia="宋体" w:cs="Times New Roman"/>
                <w:b w:val="0"/>
                <w:bCs w:val="0"/>
                <w:kern w:val="0"/>
                <w:sz w:val="18"/>
                <w:szCs w:val="18"/>
                <w:lang w:bidi="ar"/>
              </w:rPr>
            </w:pPr>
            <w:r>
              <w:rPr>
                <w:rFonts w:ascii="Times New Roman" w:hAnsi="Segoe UI" w:eastAsia="宋体" w:cs="Segoe UI"/>
                <w:b w:val="0"/>
                <w:bCs w:val="0"/>
                <w:i w:val="0"/>
                <w:iCs w:val="0"/>
                <w:caps w:val="0"/>
                <w:spacing w:val="0"/>
                <w:sz w:val="18"/>
                <w:szCs w:val="21"/>
                <w:shd w:val="clear" w:fill="FFFFFF"/>
              </w:rPr>
              <w:t>75.0%</w:t>
            </w:r>
          </w:p>
        </w:tc>
        <w:tc>
          <w:tcPr>
            <w:tcW w:w="514" w:type="pct"/>
            <w:shd w:val="clear" w:color="auto" w:fill="auto"/>
            <w:vAlign w:val="center"/>
          </w:tcPr>
          <w:p w14:paraId="23307381">
            <w:pPr>
              <w:keepNext/>
              <w:widowControl/>
              <w:snapToGrid w:val="0"/>
              <w:ind w:left="0" w:leftChars="0" w:right="0" w:rightChars="0" w:firstLine="0" w:firstLineChars="0"/>
              <w:jc w:val="both"/>
              <w:textAlignment w:val="center"/>
              <w:rPr>
                <w:rFonts w:ascii="Times New Roman" w:hAnsi="Times New Roman" w:eastAsia="宋体" w:cs="Times New Roman"/>
                <w:b w:val="0"/>
                <w:bCs w:val="0"/>
                <w:kern w:val="0"/>
                <w:sz w:val="18"/>
                <w:szCs w:val="18"/>
                <w:lang w:bidi="ar"/>
              </w:rPr>
            </w:pPr>
            <w:r>
              <w:rPr>
                <w:rFonts w:hint="eastAsia" w:ascii="Times New Roman" w:hAnsi="Times New Roman" w:eastAsia="宋体" w:cs="Times New Roman"/>
                <w:b w:val="0"/>
                <w:bCs w:val="0"/>
                <w:kern w:val="0"/>
                <w:sz w:val="18"/>
                <w:szCs w:val="18"/>
                <w:lang w:val="en-US" w:eastAsia="zh-CN" w:bidi="ar"/>
              </w:rPr>
              <w:t>保留</w:t>
            </w:r>
          </w:p>
        </w:tc>
      </w:tr>
      <w:tr w14:paraId="048A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restart"/>
            <w:shd w:val="clear" w:color="auto" w:fill="auto"/>
            <w:vAlign w:val="center"/>
          </w:tcPr>
          <w:p w14:paraId="0335748E">
            <w:pPr>
              <w:keepNext/>
              <w:widowControl/>
              <w:snapToGrid w:val="0"/>
              <w:ind w:left="0" w:leftChars="0" w:right="0" w:rightChars="0" w:firstLine="0" w:firstLineChars="0"/>
              <w:jc w:val="both"/>
              <w:textAlignment w:val="center"/>
              <w:rPr>
                <w:rFonts w:hint="default" w:ascii="Times New Roman" w:hAnsi="Times New Roman" w:eastAsia="宋体" w:cs="Times New Roman"/>
                <w:b w:val="0"/>
                <w:bCs w:val="0"/>
                <w:color w:val="000000"/>
                <w:sz w:val="18"/>
                <w:szCs w:val="18"/>
                <w:lang w:val="en-US" w:eastAsia="zh-CN"/>
              </w:rPr>
            </w:pPr>
            <w:r>
              <w:rPr>
                <w:rFonts w:hint="eastAsia" w:ascii="Times New Roman" w:hAnsi="Times New Roman" w:eastAsia="宋体" w:cs="Times New Roman"/>
                <w:b w:val="0"/>
                <w:bCs w:val="0"/>
                <w:color w:val="000000"/>
                <w:sz w:val="18"/>
                <w:szCs w:val="18"/>
                <w:lang w:val="en-US" w:eastAsia="zh-CN"/>
              </w:rPr>
              <w:t>痰瘀互结证</w:t>
            </w:r>
          </w:p>
        </w:tc>
        <w:tc>
          <w:tcPr>
            <w:tcW w:w="2784" w:type="pct"/>
            <w:shd w:val="clear" w:color="auto" w:fill="auto"/>
            <w:vAlign w:val="center"/>
          </w:tcPr>
          <w:p w14:paraId="249D869C">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eastAsia="宋体"/>
                <w:b w:val="0"/>
                <w:bCs w:val="0"/>
                <w:color w:val="auto"/>
                <w:sz w:val="18"/>
                <w:highlight w:val="none"/>
              </w:rPr>
              <w:t>主</w:t>
            </w:r>
            <w:r>
              <w:rPr>
                <w:rFonts w:hint="eastAsia" w:ascii="Times New Roman" w:eastAsia="宋体"/>
                <w:b w:val="0"/>
                <w:bCs w:val="0"/>
                <w:color w:val="auto"/>
                <w:sz w:val="18"/>
                <w:highlight w:val="none"/>
              </w:rPr>
              <w:t>症</w:t>
            </w:r>
            <w:r>
              <w:rPr>
                <w:rFonts w:ascii="Times New Roman" w:eastAsia="宋体"/>
                <w:b w:val="0"/>
                <w:bCs w:val="0"/>
                <w:color w:val="auto"/>
                <w:sz w:val="18"/>
                <w:highlight w:val="none"/>
              </w:rPr>
              <w:t>：</w:t>
            </w:r>
            <w:r>
              <w:rPr>
                <w:rFonts w:hint="eastAsia" w:ascii="Times New Roman" w:hAnsi="宋体" w:eastAsia="宋体" w:cs="宋体"/>
                <w:b w:val="0"/>
                <w:bCs w:val="0"/>
                <w:i w:val="0"/>
                <w:iCs w:val="0"/>
                <w:caps w:val="0"/>
                <w:color w:val="auto"/>
                <w:spacing w:val="0"/>
                <w:sz w:val="18"/>
                <w:szCs w:val="21"/>
                <w:highlight w:val="none"/>
                <w:shd w:val="clear" w:fill="FFFFFF"/>
              </w:rPr>
              <w:t>眩晕</w:t>
            </w:r>
            <w:r>
              <w:rPr>
                <w:rFonts w:hint="eastAsia" w:ascii="Times New Roman" w:hAnsi="宋体" w:eastAsia="宋体" w:cs="宋体"/>
                <w:b w:val="0"/>
                <w:bCs w:val="0"/>
                <w:i w:val="0"/>
                <w:iCs w:val="0"/>
                <w:caps w:val="0"/>
                <w:color w:val="auto"/>
                <w:spacing w:val="0"/>
                <w:sz w:val="18"/>
                <w:szCs w:val="21"/>
                <w:highlight w:val="none"/>
                <w:shd w:val="clear" w:fill="FFFFFF"/>
                <w:lang w:eastAsia="zh-CN"/>
              </w:rPr>
              <w:t>，</w:t>
            </w:r>
            <w:r>
              <w:rPr>
                <w:rFonts w:hint="eastAsia" w:ascii="Times New Roman" w:hAnsi="宋体" w:eastAsia="宋体" w:cs="宋体"/>
                <w:b w:val="0"/>
                <w:bCs w:val="0"/>
                <w:i w:val="0"/>
                <w:iCs w:val="0"/>
                <w:caps w:val="0"/>
                <w:color w:val="auto"/>
                <w:spacing w:val="0"/>
                <w:sz w:val="18"/>
                <w:szCs w:val="21"/>
                <w:highlight w:val="none"/>
                <w:shd w:val="clear" w:fill="FFFFFF"/>
              </w:rPr>
              <w:t>头重如裹，视物模糊，胸闷心悸</w:t>
            </w:r>
            <w:r>
              <w:rPr>
                <w:rFonts w:hint="eastAsia" w:ascii="Times New Roman" w:hAnsi="宋体" w:eastAsia="宋体" w:cs="宋体"/>
                <w:b w:val="0"/>
                <w:bCs w:val="0"/>
                <w:i w:val="0"/>
                <w:iCs w:val="0"/>
                <w:caps w:val="0"/>
                <w:color w:val="auto"/>
                <w:spacing w:val="0"/>
                <w:sz w:val="18"/>
                <w:szCs w:val="21"/>
                <w:highlight w:val="none"/>
                <w:shd w:val="clear" w:fill="FFFFFF"/>
                <w:lang w:val="en-US" w:eastAsia="zh-CN"/>
              </w:rPr>
              <w:t>，肢体麻木</w:t>
            </w:r>
          </w:p>
        </w:tc>
        <w:tc>
          <w:tcPr>
            <w:tcW w:w="419" w:type="pct"/>
            <w:shd w:val="clear" w:color="auto" w:fill="auto"/>
            <w:vAlign w:val="center"/>
          </w:tcPr>
          <w:p w14:paraId="2864CA2A">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4.75</w:t>
            </w:r>
          </w:p>
        </w:tc>
        <w:tc>
          <w:tcPr>
            <w:tcW w:w="483" w:type="pct"/>
            <w:shd w:val="clear" w:color="auto" w:fill="auto"/>
            <w:vAlign w:val="center"/>
          </w:tcPr>
          <w:p w14:paraId="4FA0C5DA">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0.120</w:t>
            </w:r>
          </w:p>
        </w:tc>
        <w:tc>
          <w:tcPr>
            <w:tcW w:w="507" w:type="pct"/>
            <w:shd w:val="clear" w:color="auto" w:fill="auto"/>
            <w:vAlign w:val="center"/>
          </w:tcPr>
          <w:p w14:paraId="7B0490CA">
            <w:pPr>
              <w:keepNext/>
              <w:widowControl/>
              <w:snapToGrid w:val="0"/>
              <w:ind w:left="0" w:leftChars="0" w:right="0" w:rightChars="0" w:firstLine="0" w:firstLineChars="0"/>
              <w:jc w:val="both"/>
              <w:textAlignment w:val="bottom"/>
              <w:rPr>
                <w:rFonts w:ascii="Times New Roman" w:hAnsi="Times New Roman" w:eastAsia="宋体" w:cs="Times New Roman"/>
                <w:b w:val="0"/>
                <w:bCs w:val="0"/>
                <w:kern w:val="0"/>
                <w:sz w:val="18"/>
                <w:szCs w:val="18"/>
                <w:lang w:bidi="ar"/>
              </w:rPr>
            </w:pPr>
            <w:r>
              <w:rPr>
                <w:rFonts w:ascii="Times New Roman" w:hAnsi="Segoe UI" w:eastAsia="宋体" w:cs="Segoe UI"/>
                <w:b w:val="0"/>
                <w:bCs w:val="0"/>
                <w:i w:val="0"/>
                <w:iCs w:val="0"/>
                <w:caps w:val="0"/>
                <w:spacing w:val="0"/>
                <w:sz w:val="18"/>
                <w:szCs w:val="21"/>
                <w:shd w:val="clear" w:fill="FFFFFF"/>
              </w:rPr>
              <w:t>59.1%</w:t>
            </w:r>
          </w:p>
        </w:tc>
        <w:tc>
          <w:tcPr>
            <w:tcW w:w="514" w:type="pct"/>
            <w:shd w:val="clear" w:color="auto" w:fill="auto"/>
            <w:vAlign w:val="center"/>
          </w:tcPr>
          <w:p w14:paraId="3EAD1FB1">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kern w:val="0"/>
                <w:sz w:val="18"/>
                <w:szCs w:val="18"/>
                <w:lang w:val="en-US" w:eastAsia="zh-CN" w:bidi="ar"/>
              </w:rPr>
            </w:pPr>
            <w:r>
              <w:rPr>
                <w:rFonts w:hint="eastAsia" w:ascii="Times New Roman" w:hAnsi="Times New Roman" w:eastAsia="宋体" w:cs="Times New Roman"/>
                <w:b w:val="0"/>
                <w:bCs w:val="0"/>
                <w:kern w:val="0"/>
                <w:sz w:val="18"/>
                <w:szCs w:val="18"/>
                <w:lang w:val="en-US" w:eastAsia="zh-CN" w:bidi="ar"/>
              </w:rPr>
              <w:t>保留</w:t>
            </w:r>
          </w:p>
        </w:tc>
      </w:tr>
      <w:tr w14:paraId="4D7F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07E6AF58">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20C316C7">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hint="eastAsia" w:ascii="Times New Roman" w:eastAsia="宋体"/>
                <w:b w:val="0"/>
                <w:bCs w:val="0"/>
                <w:color w:val="auto"/>
                <w:sz w:val="18"/>
                <w:highlight w:val="none"/>
              </w:rPr>
              <w:t>次症</w:t>
            </w:r>
            <w:r>
              <w:rPr>
                <w:rFonts w:ascii="Times New Roman" w:eastAsia="宋体"/>
                <w:b w:val="0"/>
                <w:bCs w:val="0"/>
                <w:color w:val="auto"/>
                <w:sz w:val="18"/>
                <w:highlight w:val="none"/>
              </w:rPr>
              <w:t>：</w:t>
            </w:r>
            <w:r>
              <w:rPr>
                <w:rFonts w:hint="eastAsia" w:ascii="Times New Roman" w:hAnsi="宋体" w:eastAsia="宋体" w:cs="宋体"/>
                <w:b w:val="0"/>
                <w:bCs w:val="0"/>
                <w:i w:val="0"/>
                <w:iCs w:val="0"/>
                <w:caps w:val="0"/>
                <w:color w:val="auto"/>
                <w:spacing w:val="0"/>
                <w:sz w:val="18"/>
                <w:szCs w:val="21"/>
                <w:highlight w:val="none"/>
                <w:shd w:val="clear" w:fill="FFFFFF"/>
              </w:rPr>
              <w:t>形体肥胖</w:t>
            </w:r>
            <w:r>
              <w:rPr>
                <w:rFonts w:hint="eastAsia" w:ascii="Times New Roman" w:hAnsi="宋体" w:eastAsia="宋体" w:cs="宋体"/>
                <w:b w:val="0"/>
                <w:bCs w:val="0"/>
                <w:i w:val="0"/>
                <w:iCs w:val="0"/>
                <w:caps w:val="0"/>
                <w:color w:val="auto"/>
                <w:spacing w:val="0"/>
                <w:sz w:val="18"/>
                <w:szCs w:val="21"/>
                <w:highlight w:val="none"/>
                <w:shd w:val="clear" w:fill="FFFFFF"/>
                <w:lang w:val="en-US" w:eastAsia="zh-CN"/>
              </w:rPr>
              <w:t>，</w:t>
            </w:r>
            <w:r>
              <w:rPr>
                <w:rFonts w:hint="eastAsia" w:ascii="Times New Roman" w:hAnsi="宋体" w:eastAsia="宋体" w:cs="宋体"/>
                <w:b w:val="0"/>
                <w:bCs w:val="0"/>
                <w:i w:val="0"/>
                <w:iCs w:val="0"/>
                <w:caps w:val="0"/>
                <w:color w:val="auto"/>
                <w:spacing w:val="0"/>
                <w:sz w:val="18"/>
                <w:szCs w:val="21"/>
                <w:highlight w:val="none"/>
                <w:shd w:val="clear" w:fill="FFFFFF"/>
              </w:rPr>
              <w:t>面色晦暗，口唇紫暗，</w:t>
            </w:r>
            <w:r>
              <w:rPr>
                <w:rFonts w:hint="eastAsia" w:ascii="Times New Roman" w:hAnsi="宋体" w:eastAsia="宋体" w:cs="宋体"/>
                <w:b w:val="0"/>
                <w:bCs w:val="0"/>
                <w:i w:val="0"/>
                <w:iCs w:val="0"/>
                <w:caps w:val="0"/>
                <w:color w:val="auto"/>
                <w:spacing w:val="0"/>
                <w:sz w:val="18"/>
                <w:szCs w:val="21"/>
                <w:highlight w:val="none"/>
                <w:shd w:val="clear" w:fill="FFFFFF"/>
                <w:lang w:val="en-US" w:eastAsia="zh-CN"/>
              </w:rPr>
              <w:t>身体困重</w:t>
            </w:r>
            <w:r>
              <w:rPr>
                <w:rFonts w:hint="eastAsia" w:ascii="Times New Roman" w:hAnsi="宋体" w:eastAsia="宋体" w:cs="宋体"/>
                <w:b w:val="0"/>
                <w:bCs w:val="0"/>
                <w:i w:val="0"/>
                <w:iCs w:val="0"/>
                <w:caps w:val="0"/>
                <w:color w:val="auto"/>
                <w:spacing w:val="0"/>
                <w:sz w:val="18"/>
                <w:szCs w:val="21"/>
                <w:highlight w:val="none"/>
                <w:shd w:val="clear" w:fill="FFFFFF"/>
                <w:lang w:eastAsia="zh-CN"/>
              </w:rPr>
              <w:t>。</w:t>
            </w:r>
          </w:p>
        </w:tc>
        <w:tc>
          <w:tcPr>
            <w:tcW w:w="419" w:type="pct"/>
            <w:shd w:val="clear" w:color="auto" w:fill="auto"/>
            <w:vAlign w:val="center"/>
          </w:tcPr>
          <w:p w14:paraId="143ECD46">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4.66</w:t>
            </w:r>
          </w:p>
        </w:tc>
        <w:tc>
          <w:tcPr>
            <w:tcW w:w="483" w:type="pct"/>
            <w:shd w:val="clear" w:color="auto" w:fill="auto"/>
            <w:vAlign w:val="center"/>
          </w:tcPr>
          <w:p w14:paraId="3B31C7E3">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0.106</w:t>
            </w:r>
          </w:p>
        </w:tc>
        <w:tc>
          <w:tcPr>
            <w:tcW w:w="507" w:type="pct"/>
            <w:shd w:val="clear" w:color="auto" w:fill="auto"/>
            <w:vAlign w:val="center"/>
          </w:tcPr>
          <w:p w14:paraId="6703B287">
            <w:pPr>
              <w:keepNext/>
              <w:widowControl/>
              <w:snapToGrid w:val="0"/>
              <w:ind w:left="0" w:leftChars="0" w:right="0" w:rightChars="0" w:firstLine="0" w:firstLineChars="0"/>
              <w:jc w:val="both"/>
              <w:textAlignment w:val="bottom"/>
              <w:rPr>
                <w:rFonts w:ascii="Times New Roman" w:hAnsi="Times New Roman" w:eastAsia="宋体" w:cs="Times New Roman"/>
                <w:b w:val="0"/>
                <w:bCs w:val="0"/>
                <w:kern w:val="0"/>
                <w:sz w:val="18"/>
                <w:szCs w:val="18"/>
                <w:lang w:bidi="ar"/>
              </w:rPr>
            </w:pPr>
            <w:r>
              <w:rPr>
                <w:rFonts w:ascii="Times New Roman" w:hAnsi="Segoe UI" w:eastAsia="宋体" w:cs="Segoe UI"/>
                <w:b w:val="0"/>
                <w:bCs w:val="0"/>
                <w:i w:val="0"/>
                <w:iCs w:val="0"/>
                <w:caps w:val="0"/>
                <w:spacing w:val="0"/>
                <w:sz w:val="18"/>
                <w:szCs w:val="21"/>
                <w:shd w:val="clear" w:fill="FFFFFF"/>
              </w:rPr>
              <w:t>61.4%</w:t>
            </w:r>
          </w:p>
        </w:tc>
        <w:tc>
          <w:tcPr>
            <w:tcW w:w="514" w:type="pct"/>
            <w:shd w:val="clear" w:color="auto" w:fill="auto"/>
            <w:vAlign w:val="center"/>
          </w:tcPr>
          <w:p w14:paraId="125EFEED">
            <w:pPr>
              <w:keepNext/>
              <w:widowControl/>
              <w:snapToGrid w:val="0"/>
              <w:ind w:left="0" w:leftChars="0" w:right="0" w:rightChars="0" w:firstLine="0" w:firstLineChars="0"/>
              <w:jc w:val="both"/>
              <w:textAlignment w:val="center"/>
              <w:rPr>
                <w:rFonts w:ascii="Times New Roman" w:hAnsi="Times New Roman" w:eastAsia="宋体" w:cs="Times New Roman"/>
                <w:b w:val="0"/>
                <w:bCs w:val="0"/>
                <w:kern w:val="0"/>
                <w:sz w:val="18"/>
                <w:szCs w:val="18"/>
                <w:lang w:bidi="ar"/>
              </w:rPr>
            </w:pPr>
            <w:r>
              <w:rPr>
                <w:rFonts w:hint="eastAsia" w:ascii="Times New Roman" w:hAnsi="Times New Roman" w:eastAsia="宋体" w:cs="Times New Roman"/>
                <w:b w:val="0"/>
                <w:bCs w:val="0"/>
                <w:kern w:val="0"/>
                <w:sz w:val="18"/>
                <w:szCs w:val="18"/>
                <w:lang w:val="en-US" w:eastAsia="zh-CN" w:bidi="ar"/>
              </w:rPr>
              <w:t>保留</w:t>
            </w:r>
          </w:p>
        </w:tc>
      </w:tr>
      <w:tr w14:paraId="7D06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687D12FA">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4B0E0327">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hint="eastAsia" w:ascii="Times New Roman" w:eastAsia="宋体"/>
                <w:b w:val="0"/>
                <w:bCs w:val="0"/>
                <w:color w:val="auto"/>
                <w:sz w:val="18"/>
                <w:highlight w:val="none"/>
              </w:rPr>
              <w:t>舌</w:t>
            </w:r>
            <w:r>
              <w:rPr>
                <w:rFonts w:hint="eastAsia" w:ascii="Times New Roman" w:eastAsia="宋体"/>
                <w:b w:val="0"/>
                <w:bCs w:val="0"/>
                <w:color w:val="auto"/>
                <w:sz w:val="18"/>
                <w:highlight w:val="none"/>
                <w:lang w:val="en-US" w:eastAsia="zh-CN"/>
              </w:rPr>
              <w:t>象</w:t>
            </w:r>
            <w:r>
              <w:rPr>
                <w:rFonts w:hint="eastAsia" w:ascii="Times New Roman" w:eastAsia="宋体"/>
                <w:b w:val="0"/>
                <w:bCs w:val="0"/>
                <w:color w:val="auto"/>
                <w:sz w:val="18"/>
                <w:highlight w:val="none"/>
              </w:rPr>
              <w:t>：</w:t>
            </w:r>
            <w:r>
              <w:rPr>
                <w:rFonts w:hint="eastAsia" w:ascii="Times New Roman" w:hAnsi="宋体" w:eastAsia="宋体" w:cs="宋体"/>
                <w:b w:val="0"/>
                <w:bCs w:val="0"/>
                <w:i w:val="0"/>
                <w:iCs w:val="0"/>
                <w:caps w:val="0"/>
                <w:color w:val="auto"/>
                <w:spacing w:val="0"/>
                <w:sz w:val="18"/>
                <w:szCs w:val="21"/>
                <w:highlight w:val="none"/>
                <w:shd w:val="clear" w:fill="FFFFFF"/>
              </w:rPr>
              <w:t>舌质紫暗，舌下络脉迂曲，苔白腻或滑</w:t>
            </w:r>
            <w:r>
              <w:rPr>
                <w:rFonts w:hint="eastAsia" w:ascii="Times New Roman" w:hAnsi="宋体" w:eastAsia="宋体" w:cs="宋体"/>
                <w:b w:val="0"/>
                <w:bCs w:val="0"/>
                <w:i w:val="0"/>
                <w:iCs w:val="0"/>
                <w:caps w:val="0"/>
                <w:color w:val="auto"/>
                <w:spacing w:val="0"/>
                <w:sz w:val="18"/>
                <w:szCs w:val="21"/>
                <w:highlight w:val="none"/>
                <w:shd w:val="clear" w:fill="FFFFFF"/>
                <w:lang w:eastAsia="zh-CN"/>
              </w:rPr>
              <w:t>。</w:t>
            </w:r>
          </w:p>
        </w:tc>
        <w:tc>
          <w:tcPr>
            <w:tcW w:w="419" w:type="pct"/>
            <w:shd w:val="clear" w:color="auto" w:fill="auto"/>
            <w:vAlign w:val="center"/>
          </w:tcPr>
          <w:p w14:paraId="54F106EF">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4.77</w:t>
            </w:r>
          </w:p>
        </w:tc>
        <w:tc>
          <w:tcPr>
            <w:tcW w:w="483" w:type="pct"/>
            <w:shd w:val="clear" w:color="auto" w:fill="auto"/>
            <w:vAlign w:val="center"/>
          </w:tcPr>
          <w:p w14:paraId="3BFCF99B">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0.099</w:t>
            </w:r>
          </w:p>
        </w:tc>
        <w:tc>
          <w:tcPr>
            <w:tcW w:w="507" w:type="pct"/>
            <w:shd w:val="clear" w:color="auto" w:fill="auto"/>
            <w:vAlign w:val="center"/>
          </w:tcPr>
          <w:p w14:paraId="067AEE02">
            <w:pPr>
              <w:keepNext/>
              <w:widowControl/>
              <w:snapToGrid w:val="0"/>
              <w:ind w:left="0" w:leftChars="0" w:right="0" w:rightChars="0" w:firstLine="0" w:firstLineChars="0"/>
              <w:jc w:val="both"/>
              <w:textAlignment w:val="bottom"/>
              <w:rPr>
                <w:rFonts w:ascii="Times New Roman" w:hAnsi="Times New Roman" w:eastAsia="宋体" w:cs="Times New Roman"/>
                <w:b w:val="0"/>
                <w:bCs w:val="0"/>
                <w:kern w:val="0"/>
                <w:sz w:val="18"/>
                <w:szCs w:val="18"/>
                <w:lang w:bidi="ar"/>
              </w:rPr>
            </w:pPr>
            <w:r>
              <w:rPr>
                <w:rFonts w:ascii="Times New Roman" w:hAnsi="Segoe UI" w:eastAsia="宋体" w:cs="Segoe UI"/>
                <w:b w:val="0"/>
                <w:bCs w:val="0"/>
                <w:i w:val="0"/>
                <w:iCs w:val="0"/>
                <w:caps w:val="0"/>
                <w:spacing w:val="0"/>
                <w:sz w:val="18"/>
                <w:szCs w:val="21"/>
                <w:shd w:val="clear" w:fill="FFFFFF"/>
              </w:rPr>
              <w:t>68.2%</w:t>
            </w:r>
          </w:p>
        </w:tc>
        <w:tc>
          <w:tcPr>
            <w:tcW w:w="514" w:type="pct"/>
            <w:shd w:val="clear" w:color="auto" w:fill="auto"/>
            <w:vAlign w:val="center"/>
          </w:tcPr>
          <w:p w14:paraId="6F125757">
            <w:pPr>
              <w:keepNext/>
              <w:widowControl/>
              <w:snapToGrid w:val="0"/>
              <w:ind w:left="0" w:leftChars="0" w:right="0" w:rightChars="0" w:firstLine="0" w:firstLineChars="0"/>
              <w:jc w:val="both"/>
              <w:textAlignment w:val="center"/>
              <w:rPr>
                <w:rFonts w:ascii="Times New Roman" w:hAnsi="Times New Roman" w:eastAsia="宋体" w:cs="Times New Roman"/>
                <w:b w:val="0"/>
                <w:bCs w:val="0"/>
                <w:kern w:val="0"/>
                <w:sz w:val="18"/>
                <w:szCs w:val="18"/>
                <w:lang w:bidi="ar"/>
              </w:rPr>
            </w:pPr>
            <w:r>
              <w:rPr>
                <w:rFonts w:hint="eastAsia" w:ascii="Times New Roman" w:hAnsi="Times New Roman" w:eastAsia="宋体" w:cs="Times New Roman"/>
                <w:b w:val="0"/>
                <w:bCs w:val="0"/>
                <w:kern w:val="0"/>
                <w:sz w:val="18"/>
                <w:szCs w:val="18"/>
                <w:lang w:val="en-US" w:eastAsia="zh-CN" w:bidi="ar"/>
              </w:rPr>
              <w:t>保留</w:t>
            </w:r>
          </w:p>
        </w:tc>
      </w:tr>
      <w:tr w14:paraId="7E75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6E0FA998">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28D584E6">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hint="eastAsia" w:ascii="Times New Roman" w:eastAsia="宋体"/>
                <w:b w:val="0"/>
                <w:bCs w:val="0"/>
                <w:color w:val="auto"/>
                <w:sz w:val="18"/>
                <w:highlight w:val="none"/>
                <w:lang w:val="en-US" w:eastAsia="zh-CN"/>
              </w:rPr>
              <w:t>脉象：</w:t>
            </w:r>
            <w:r>
              <w:rPr>
                <w:rFonts w:hint="eastAsia" w:ascii="Times New Roman" w:hAnsi="宋体" w:eastAsia="宋体" w:cs="宋体"/>
                <w:b w:val="0"/>
                <w:bCs w:val="0"/>
                <w:i w:val="0"/>
                <w:iCs w:val="0"/>
                <w:caps w:val="0"/>
                <w:color w:val="auto"/>
                <w:spacing w:val="0"/>
                <w:sz w:val="18"/>
                <w:szCs w:val="21"/>
                <w:highlight w:val="none"/>
                <w:shd w:val="clear" w:fill="FFFFFF"/>
              </w:rPr>
              <w:t>脉弦滑，或弦涩。</w:t>
            </w:r>
          </w:p>
        </w:tc>
        <w:tc>
          <w:tcPr>
            <w:tcW w:w="419" w:type="pct"/>
            <w:shd w:val="clear" w:color="auto" w:fill="auto"/>
            <w:vAlign w:val="center"/>
          </w:tcPr>
          <w:p w14:paraId="05889248">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4.82</w:t>
            </w:r>
          </w:p>
        </w:tc>
        <w:tc>
          <w:tcPr>
            <w:tcW w:w="483" w:type="pct"/>
            <w:shd w:val="clear" w:color="auto" w:fill="auto"/>
            <w:vAlign w:val="center"/>
          </w:tcPr>
          <w:p w14:paraId="1FBD19BD">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0.080</w:t>
            </w:r>
          </w:p>
        </w:tc>
        <w:tc>
          <w:tcPr>
            <w:tcW w:w="507" w:type="pct"/>
            <w:shd w:val="clear" w:color="auto" w:fill="auto"/>
            <w:vAlign w:val="center"/>
          </w:tcPr>
          <w:p w14:paraId="009D1DCC">
            <w:pPr>
              <w:keepNext/>
              <w:widowControl/>
              <w:snapToGrid w:val="0"/>
              <w:ind w:left="0" w:leftChars="0" w:right="0" w:rightChars="0" w:firstLine="0" w:firstLineChars="0"/>
              <w:jc w:val="both"/>
              <w:textAlignment w:val="bottom"/>
              <w:rPr>
                <w:rFonts w:ascii="Times New Roman" w:hAnsi="Times New Roman" w:eastAsia="宋体" w:cs="Times New Roman"/>
                <w:b w:val="0"/>
                <w:bCs w:val="0"/>
                <w:kern w:val="0"/>
                <w:sz w:val="18"/>
                <w:szCs w:val="18"/>
                <w:lang w:bidi="ar"/>
              </w:rPr>
            </w:pPr>
            <w:r>
              <w:rPr>
                <w:rFonts w:ascii="Times New Roman" w:hAnsi="Segoe UI" w:eastAsia="宋体" w:cs="Segoe UI"/>
                <w:b w:val="0"/>
                <w:bCs w:val="0"/>
                <w:i w:val="0"/>
                <w:iCs w:val="0"/>
                <w:caps w:val="0"/>
                <w:spacing w:val="0"/>
                <w:sz w:val="18"/>
                <w:szCs w:val="21"/>
                <w:shd w:val="clear" w:fill="FFFFFF"/>
              </w:rPr>
              <w:t>81.8%</w:t>
            </w:r>
          </w:p>
        </w:tc>
        <w:tc>
          <w:tcPr>
            <w:tcW w:w="514" w:type="pct"/>
            <w:shd w:val="clear" w:color="auto" w:fill="auto"/>
            <w:vAlign w:val="center"/>
          </w:tcPr>
          <w:p w14:paraId="203AD47C">
            <w:pPr>
              <w:keepNext/>
              <w:widowControl/>
              <w:snapToGrid w:val="0"/>
              <w:ind w:left="0" w:leftChars="0" w:right="0" w:rightChars="0" w:firstLine="0" w:firstLineChars="0"/>
              <w:jc w:val="both"/>
              <w:textAlignment w:val="center"/>
              <w:rPr>
                <w:rFonts w:ascii="Times New Roman" w:hAnsi="Times New Roman" w:eastAsia="宋体" w:cs="Times New Roman"/>
                <w:b w:val="0"/>
                <w:bCs w:val="0"/>
                <w:kern w:val="0"/>
                <w:sz w:val="18"/>
                <w:szCs w:val="18"/>
                <w:lang w:bidi="ar"/>
              </w:rPr>
            </w:pPr>
            <w:r>
              <w:rPr>
                <w:rFonts w:hint="eastAsia" w:ascii="Times New Roman" w:hAnsi="Times New Roman" w:eastAsia="宋体" w:cs="Times New Roman"/>
                <w:b w:val="0"/>
                <w:bCs w:val="0"/>
                <w:kern w:val="0"/>
                <w:sz w:val="18"/>
                <w:szCs w:val="18"/>
                <w:lang w:val="en-US" w:eastAsia="zh-CN" w:bidi="ar"/>
              </w:rPr>
              <w:t>保留</w:t>
            </w:r>
          </w:p>
        </w:tc>
      </w:tr>
      <w:tr w14:paraId="0941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restart"/>
            <w:shd w:val="clear" w:color="auto" w:fill="auto"/>
            <w:vAlign w:val="center"/>
          </w:tcPr>
          <w:p w14:paraId="251D2333">
            <w:pPr>
              <w:keepNext/>
              <w:widowControl/>
              <w:snapToGrid w:val="0"/>
              <w:ind w:left="0" w:leftChars="0" w:right="0" w:rightChars="0" w:firstLine="0" w:firstLineChars="0"/>
              <w:jc w:val="both"/>
              <w:textAlignment w:val="center"/>
              <w:rPr>
                <w:rFonts w:hint="default" w:ascii="Times New Roman" w:hAnsi="Times New Roman" w:eastAsia="宋体" w:cs="Times New Roman"/>
                <w:b w:val="0"/>
                <w:bCs w:val="0"/>
                <w:color w:val="000000"/>
                <w:sz w:val="18"/>
                <w:szCs w:val="18"/>
                <w:lang w:val="en-US" w:eastAsia="zh-CN"/>
              </w:rPr>
            </w:pPr>
            <w:r>
              <w:rPr>
                <w:rFonts w:hint="eastAsia" w:ascii="Times New Roman" w:hAnsi="Times New Roman" w:eastAsia="宋体" w:cs="Times New Roman"/>
                <w:b w:val="0"/>
                <w:bCs w:val="0"/>
                <w:color w:val="000000"/>
                <w:sz w:val="18"/>
                <w:szCs w:val="18"/>
                <w:lang w:val="en-US" w:eastAsia="zh-CN"/>
              </w:rPr>
              <w:t>瘀毒化热证</w:t>
            </w:r>
          </w:p>
        </w:tc>
        <w:tc>
          <w:tcPr>
            <w:tcW w:w="2784" w:type="pct"/>
            <w:shd w:val="clear" w:color="auto" w:fill="auto"/>
            <w:vAlign w:val="center"/>
          </w:tcPr>
          <w:p w14:paraId="54D4A52B">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宋体" w:eastAsia="宋体" w:cs="Cambria Math"/>
                <w:b w:val="0"/>
                <w:bCs w:val="0"/>
                <w:color w:val="auto"/>
                <w:sz w:val="18"/>
                <w:highlight w:val="none"/>
              </w:rPr>
              <w:t>主</w:t>
            </w:r>
            <w:r>
              <w:rPr>
                <w:rFonts w:hint="eastAsia" w:ascii="Times New Roman" w:hAnsi="宋体" w:eastAsia="宋体" w:cs="Cambria Math"/>
                <w:b w:val="0"/>
                <w:bCs w:val="0"/>
                <w:color w:val="auto"/>
                <w:sz w:val="18"/>
                <w:highlight w:val="none"/>
              </w:rPr>
              <w:t>症</w:t>
            </w:r>
            <w:r>
              <w:rPr>
                <w:rFonts w:ascii="Times New Roman" w:hAnsi="宋体" w:eastAsia="宋体" w:cs="Cambria Math"/>
                <w:b w:val="0"/>
                <w:bCs w:val="0"/>
                <w:color w:val="auto"/>
                <w:sz w:val="18"/>
                <w:highlight w:val="none"/>
              </w:rPr>
              <w:t>：</w:t>
            </w:r>
            <w:r>
              <w:rPr>
                <w:rFonts w:hint="eastAsia" w:ascii="Times New Roman" w:hAnsi="宋体" w:eastAsia="宋体" w:cs="宋体"/>
                <w:b w:val="0"/>
                <w:bCs w:val="0"/>
                <w:i w:val="0"/>
                <w:iCs w:val="0"/>
                <w:caps w:val="0"/>
                <w:color w:val="auto"/>
                <w:spacing w:val="0"/>
                <w:sz w:val="18"/>
                <w:szCs w:val="21"/>
                <w:highlight w:val="none"/>
                <w:shd w:val="clear" w:fill="FFFFFF"/>
              </w:rPr>
              <w:t>间歇性跛行，肢体疼痛，或肢端麻木、疼痛，小便短赤</w:t>
            </w:r>
            <w:r>
              <w:rPr>
                <w:rFonts w:hint="eastAsia" w:ascii="Times New Roman" w:hAnsi="宋体" w:eastAsia="宋体" w:cs="宋体"/>
                <w:b w:val="0"/>
                <w:bCs w:val="0"/>
                <w:i w:val="0"/>
                <w:iCs w:val="0"/>
                <w:caps w:val="0"/>
                <w:color w:val="auto"/>
                <w:spacing w:val="0"/>
                <w:sz w:val="18"/>
                <w:szCs w:val="21"/>
                <w:highlight w:val="none"/>
                <w:shd w:val="clear" w:fill="FFFFFF"/>
                <w:lang w:eastAsia="zh-CN"/>
              </w:rPr>
              <w:t>，</w:t>
            </w:r>
            <w:r>
              <w:rPr>
                <w:rFonts w:hint="eastAsia" w:ascii="Times New Roman" w:hAnsi="宋体" w:eastAsia="宋体" w:cs="宋体"/>
                <w:b w:val="0"/>
                <w:bCs w:val="0"/>
                <w:i w:val="0"/>
                <w:iCs w:val="0"/>
                <w:caps w:val="0"/>
                <w:color w:val="auto"/>
                <w:spacing w:val="0"/>
                <w:sz w:val="18"/>
                <w:szCs w:val="21"/>
                <w:highlight w:val="none"/>
                <w:shd w:val="clear" w:fill="FFFFFF"/>
                <w:lang w:val="en-US" w:eastAsia="zh-CN"/>
              </w:rPr>
              <w:t>大便秘结</w:t>
            </w:r>
          </w:p>
        </w:tc>
        <w:tc>
          <w:tcPr>
            <w:tcW w:w="419" w:type="pct"/>
            <w:shd w:val="clear" w:color="auto" w:fill="auto"/>
            <w:vAlign w:val="center"/>
          </w:tcPr>
          <w:p w14:paraId="1C5DDB3B">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4.52</w:t>
            </w:r>
          </w:p>
        </w:tc>
        <w:tc>
          <w:tcPr>
            <w:tcW w:w="483" w:type="pct"/>
            <w:shd w:val="clear" w:color="auto" w:fill="auto"/>
            <w:vAlign w:val="center"/>
          </w:tcPr>
          <w:p w14:paraId="1B0BDEC7">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0.127</w:t>
            </w:r>
          </w:p>
        </w:tc>
        <w:tc>
          <w:tcPr>
            <w:tcW w:w="507" w:type="pct"/>
            <w:shd w:val="clear" w:color="auto" w:fill="auto"/>
            <w:vAlign w:val="center"/>
          </w:tcPr>
          <w:p w14:paraId="2A15C558">
            <w:pPr>
              <w:keepNext/>
              <w:widowControl/>
              <w:snapToGrid w:val="0"/>
              <w:ind w:left="0" w:leftChars="0" w:right="0" w:rightChars="0" w:firstLine="0" w:firstLineChars="0"/>
              <w:jc w:val="both"/>
              <w:textAlignment w:val="bottom"/>
              <w:rPr>
                <w:rFonts w:ascii="Times New Roman" w:hAnsi="Times New Roman" w:eastAsia="宋体" w:cs="Times New Roman"/>
                <w:b w:val="0"/>
                <w:bCs w:val="0"/>
                <w:kern w:val="0"/>
                <w:sz w:val="18"/>
                <w:szCs w:val="18"/>
                <w:lang w:bidi="ar"/>
              </w:rPr>
            </w:pPr>
            <w:r>
              <w:rPr>
                <w:rFonts w:ascii="Times New Roman" w:hAnsi="Segoe UI" w:eastAsia="宋体" w:cs="Segoe UI"/>
                <w:b w:val="0"/>
                <w:bCs w:val="0"/>
                <w:i w:val="0"/>
                <w:iCs w:val="0"/>
                <w:caps w:val="0"/>
                <w:spacing w:val="0"/>
                <w:sz w:val="18"/>
                <w:szCs w:val="21"/>
                <w:shd w:val="clear" w:fill="FFFFFF"/>
              </w:rPr>
              <w:t>65.9%</w:t>
            </w:r>
          </w:p>
        </w:tc>
        <w:tc>
          <w:tcPr>
            <w:tcW w:w="514" w:type="pct"/>
            <w:shd w:val="clear" w:color="auto" w:fill="auto"/>
            <w:vAlign w:val="center"/>
          </w:tcPr>
          <w:p w14:paraId="15DD3E79">
            <w:pPr>
              <w:keepNext/>
              <w:widowControl/>
              <w:snapToGrid w:val="0"/>
              <w:ind w:left="0" w:leftChars="0" w:right="0" w:rightChars="0" w:firstLine="0" w:firstLineChars="0"/>
              <w:jc w:val="both"/>
              <w:textAlignment w:val="center"/>
              <w:rPr>
                <w:rFonts w:ascii="Times New Roman" w:hAnsi="Times New Roman" w:eastAsia="宋体" w:cs="Times New Roman"/>
                <w:b w:val="0"/>
                <w:bCs w:val="0"/>
                <w:kern w:val="0"/>
                <w:sz w:val="18"/>
                <w:szCs w:val="18"/>
                <w:lang w:bidi="ar"/>
              </w:rPr>
            </w:pPr>
            <w:r>
              <w:rPr>
                <w:rFonts w:hint="eastAsia" w:ascii="Times New Roman" w:hAnsi="Times New Roman" w:eastAsia="宋体" w:cs="Times New Roman"/>
                <w:b w:val="0"/>
                <w:bCs w:val="0"/>
                <w:kern w:val="0"/>
                <w:sz w:val="18"/>
                <w:szCs w:val="18"/>
                <w:lang w:val="en-US" w:eastAsia="zh-CN" w:bidi="ar"/>
              </w:rPr>
              <w:t>保留</w:t>
            </w:r>
          </w:p>
        </w:tc>
      </w:tr>
      <w:tr w14:paraId="226F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49266909">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30AB7A0A">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hint="eastAsia" w:ascii="Times New Roman" w:hAnsi="宋体" w:eastAsia="宋体" w:cs="Cambria Math"/>
                <w:b w:val="0"/>
                <w:bCs w:val="0"/>
                <w:color w:val="auto"/>
                <w:sz w:val="18"/>
                <w:highlight w:val="none"/>
              </w:rPr>
              <w:t>次症</w:t>
            </w:r>
            <w:r>
              <w:rPr>
                <w:rFonts w:ascii="Times New Roman" w:hAnsi="宋体" w:eastAsia="宋体" w:cs="Cambria Math"/>
                <w:b w:val="0"/>
                <w:bCs w:val="0"/>
                <w:color w:val="auto"/>
                <w:sz w:val="18"/>
                <w:highlight w:val="none"/>
              </w:rPr>
              <w:t>：</w:t>
            </w:r>
            <w:r>
              <w:rPr>
                <w:rFonts w:hint="eastAsia" w:ascii="Times New Roman" w:hAnsi="宋体" w:eastAsia="宋体" w:cs="Cambria Math"/>
                <w:b w:val="0"/>
                <w:bCs w:val="0"/>
                <w:color w:val="auto"/>
                <w:sz w:val="18"/>
                <w:highlight w:val="none"/>
                <w:lang w:val="en-US" w:eastAsia="zh-CN"/>
              </w:rPr>
              <w:t>口干，口苦，心烦燥热，失眠多梦，患处肤色暗红或肤温升高，疼痛入夜尤甚</w:t>
            </w:r>
          </w:p>
        </w:tc>
        <w:tc>
          <w:tcPr>
            <w:tcW w:w="419" w:type="pct"/>
            <w:shd w:val="clear" w:color="auto" w:fill="auto"/>
            <w:vAlign w:val="center"/>
          </w:tcPr>
          <w:p w14:paraId="682CE7AA">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4.55</w:t>
            </w:r>
          </w:p>
        </w:tc>
        <w:tc>
          <w:tcPr>
            <w:tcW w:w="483" w:type="pct"/>
            <w:shd w:val="clear" w:color="auto" w:fill="auto"/>
            <w:vAlign w:val="center"/>
          </w:tcPr>
          <w:p w14:paraId="19C6CBC2">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sz w:val="18"/>
                <w:szCs w:val="18"/>
              </w:rPr>
            </w:pPr>
            <w:r>
              <w:rPr>
                <w:rFonts w:ascii="Times New Roman" w:hAnsi="Segoe UI" w:eastAsia="宋体" w:cs="Segoe UI"/>
                <w:b w:val="0"/>
                <w:bCs w:val="0"/>
                <w:i w:val="0"/>
                <w:iCs w:val="0"/>
                <w:caps w:val="0"/>
                <w:spacing w:val="0"/>
                <w:sz w:val="18"/>
                <w:szCs w:val="21"/>
                <w:shd w:val="clear" w:fill="FFFFFF"/>
              </w:rPr>
              <w:t>0.109</w:t>
            </w:r>
          </w:p>
        </w:tc>
        <w:tc>
          <w:tcPr>
            <w:tcW w:w="507" w:type="pct"/>
            <w:shd w:val="clear" w:color="auto" w:fill="auto"/>
            <w:vAlign w:val="center"/>
          </w:tcPr>
          <w:p w14:paraId="55321DD6">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54.5%</w:t>
            </w:r>
          </w:p>
        </w:tc>
        <w:tc>
          <w:tcPr>
            <w:tcW w:w="514" w:type="pct"/>
            <w:shd w:val="clear" w:color="auto" w:fill="auto"/>
            <w:vAlign w:val="center"/>
          </w:tcPr>
          <w:p w14:paraId="43248404">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kern w:val="0"/>
                <w:sz w:val="18"/>
                <w:szCs w:val="18"/>
                <w:lang w:val="en-US" w:eastAsia="zh-CN" w:bidi="ar"/>
              </w:rPr>
              <w:t>保留</w:t>
            </w:r>
          </w:p>
        </w:tc>
      </w:tr>
      <w:tr w14:paraId="18DF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01E09E8C">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06FDF826">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宋体" w:eastAsia="宋体" w:cs="Cambria Math"/>
                <w:b w:val="0"/>
                <w:bCs w:val="0"/>
                <w:color w:val="auto"/>
                <w:sz w:val="18"/>
                <w:highlight w:val="none"/>
              </w:rPr>
              <w:t>舌</w:t>
            </w:r>
            <w:r>
              <w:rPr>
                <w:rFonts w:hint="eastAsia" w:ascii="Times New Roman" w:hAnsi="宋体" w:eastAsia="宋体" w:cs="Cambria Math"/>
                <w:b w:val="0"/>
                <w:bCs w:val="0"/>
                <w:color w:val="auto"/>
                <w:sz w:val="18"/>
                <w:highlight w:val="none"/>
                <w:lang w:val="en-US" w:eastAsia="zh-CN"/>
              </w:rPr>
              <w:t>象</w:t>
            </w:r>
            <w:r>
              <w:rPr>
                <w:rFonts w:hint="eastAsia" w:ascii="Times New Roman" w:hAnsi="宋体" w:eastAsia="宋体" w:cs="Cambria Math"/>
                <w:b w:val="0"/>
                <w:bCs w:val="0"/>
                <w:color w:val="auto"/>
                <w:sz w:val="18"/>
                <w:highlight w:val="none"/>
              </w:rPr>
              <w:t>：舌质暗红，</w:t>
            </w:r>
            <w:r>
              <w:rPr>
                <w:rFonts w:hint="eastAsia" w:ascii="Times New Roman" w:hAnsi="宋体" w:eastAsia="宋体" w:cs="Cambria Math"/>
                <w:b w:val="0"/>
                <w:bCs w:val="0"/>
                <w:color w:val="auto"/>
                <w:sz w:val="18"/>
                <w:highlight w:val="none"/>
                <w:lang w:val="en-US" w:eastAsia="zh-CN"/>
              </w:rPr>
              <w:t>见</w:t>
            </w:r>
            <w:r>
              <w:rPr>
                <w:rFonts w:hint="eastAsia" w:ascii="Times New Roman" w:hAnsi="宋体" w:eastAsia="宋体" w:cs="Cambria Math"/>
                <w:b w:val="0"/>
                <w:bCs w:val="0"/>
                <w:color w:val="auto"/>
                <w:sz w:val="18"/>
                <w:highlight w:val="none"/>
              </w:rPr>
              <w:t>瘀点、瘀斑</w:t>
            </w:r>
            <w:r>
              <w:rPr>
                <w:rFonts w:hint="eastAsia" w:ascii="Times New Roman" w:hAnsi="宋体" w:eastAsia="宋体" w:cs="Cambria Math"/>
                <w:b w:val="0"/>
                <w:bCs w:val="0"/>
                <w:color w:val="auto"/>
                <w:sz w:val="18"/>
                <w:highlight w:val="none"/>
                <w:lang w:eastAsia="zh-CN"/>
              </w:rPr>
              <w:t>，</w:t>
            </w:r>
            <w:r>
              <w:rPr>
                <w:rFonts w:hint="eastAsia" w:ascii="Times New Roman" w:hAnsi="宋体" w:eastAsia="宋体" w:cs="Cambria Math"/>
                <w:b w:val="0"/>
                <w:bCs w:val="0"/>
                <w:color w:val="auto"/>
                <w:sz w:val="18"/>
                <w:highlight w:val="none"/>
              </w:rPr>
              <w:t>苔黄腻或黄燥</w:t>
            </w:r>
          </w:p>
        </w:tc>
        <w:tc>
          <w:tcPr>
            <w:tcW w:w="419" w:type="pct"/>
            <w:shd w:val="clear" w:color="auto" w:fill="auto"/>
            <w:vAlign w:val="center"/>
          </w:tcPr>
          <w:p w14:paraId="0F2749A9">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4.84</w:t>
            </w:r>
          </w:p>
        </w:tc>
        <w:tc>
          <w:tcPr>
            <w:tcW w:w="483" w:type="pct"/>
            <w:shd w:val="clear" w:color="auto" w:fill="auto"/>
            <w:vAlign w:val="center"/>
          </w:tcPr>
          <w:p w14:paraId="1A546D34">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0.080</w:t>
            </w:r>
          </w:p>
        </w:tc>
        <w:tc>
          <w:tcPr>
            <w:tcW w:w="507" w:type="pct"/>
            <w:shd w:val="clear" w:color="auto" w:fill="auto"/>
            <w:vAlign w:val="center"/>
          </w:tcPr>
          <w:p w14:paraId="1BEA6823">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81.8%</w:t>
            </w:r>
          </w:p>
        </w:tc>
        <w:tc>
          <w:tcPr>
            <w:tcW w:w="514" w:type="pct"/>
            <w:shd w:val="clear" w:color="auto" w:fill="auto"/>
            <w:vAlign w:val="center"/>
          </w:tcPr>
          <w:p w14:paraId="60477852">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kern w:val="0"/>
                <w:sz w:val="18"/>
                <w:szCs w:val="18"/>
                <w:lang w:val="en-US" w:eastAsia="zh-CN" w:bidi="ar"/>
              </w:rPr>
              <w:t>保留</w:t>
            </w:r>
          </w:p>
        </w:tc>
      </w:tr>
      <w:tr w14:paraId="32361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666A7A68">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539308BA">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宋体" w:eastAsia="宋体" w:cs="Cambria Math"/>
                <w:b w:val="0"/>
                <w:bCs w:val="0"/>
                <w:color w:val="auto"/>
                <w:sz w:val="18"/>
                <w:highlight w:val="none"/>
                <w:lang w:val="en-US" w:eastAsia="zh-CN"/>
              </w:rPr>
              <w:t>脉象：</w:t>
            </w:r>
            <w:r>
              <w:rPr>
                <w:rFonts w:hint="eastAsia" w:ascii="Times New Roman" w:hAnsi="宋体" w:eastAsia="宋体" w:cs="Cambria Math"/>
                <w:b w:val="0"/>
                <w:bCs w:val="0"/>
                <w:color w:val="auto"/>
                <w:sz w:val="18"/>
                <w:highlight w:val="none"/>
              </w:rPr>
              <w:t>脉滑数或洪数</w:t>
            </w:r>
          </w:p>
        </w:tc>
        <w:tc>
          <w:tcPr>
            <w:tcW w:w="419" w:type="pct"/>
            <w:shd w:val="clear" w:color="auto" w:fill="auto"/>
            <w:vAlign w:val="center"/>
          </w:tcPr>
          <w:p w14:paraId="614DE3AA">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4.77</w:t>
            </w:r>
          </w:p>
        </w:tc>
        <w:tc>
          <w:tcPr>
            <w:tcW w:w="483" w:type="pct"/>
            <w:shd w:val="clear" w:color="auto" w:fill="auto"/>
            <w:vAlign w:val="center"/>
          </w:tcPr>
          <w:p w14:paraId="6DCEE638">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0.097</w:t>
            </w:r>
          </w:p>
        </w:tc>
        <w:tc>
          <w:tcPr>
            <w:tcW w:w="507" w:type="pct"/>
            <w:shd w:val="clear" w:color="auto" w:fill="auto"/>
            <w:vAlign w:val="center"/>
          </w:tcPr>
          <w:p w14:paraId="74B5F745">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70.5%</w:t>
            </w:r>
          </w:p>
        </w:tc>
        <w:tc>
          <w:tcPr>
            <w:tcW w:w="514" w:type="pct"/>
            <w:shd w:val="clear" w:color="auto" w:fill="auto"/>
            <w:vAlign w:val="center"/>
          </w:tcPr>
          <w:p w14:paraId="08726FC9">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kern w:val="0"/>
                <w:sz w:val="18"/>
                <w:szCs w:val="18"/>
                <w:lang w:val="en-US" w:eastAsia="zh-CN" w:bidi="ar"/>
              </w:rPr>
              <w:t>保留</w:t>
            </w:r>
          </w:p>
        </w:tc>
      </w:tr>
      <w:tr w14:paraId="0321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shd w:val="clear" w:color="auto" w:fill="auto"/>
            <w:vAlign w:val="center"/>
          </w:tcPr>
          <w:p w14:paraId="36656157">
            <w:pPr>
              <w:keepNext/>
              <w:snapToGrid w:val="0"/>
              <w:ind w:left="0" w:leftChars="0" w:right="0" w:rightChars="0" w:firstLine="0" w:firstLineChars="0"/>
              <w:jc w:val="both"/>
              <w:rPr>
                <w:rFonts w:hint="eastAsia" w:ascii="Times New Roman" w:hAnsi="Times New Roman" w:eastAsia="宋体" w:cs="Times New Roman"/>
                <w:b w:val="0"/>
                <w:bCs w:val="0"/>
                <w:color w:val="000000"/>
                <w:sz w:val="18"/>
                <w:szCs w:val="18"/>
                <w:lang w:val="en-US" w:eastAsia="zh-CN"/>
              </w:rPr>
            </w:pPr>
            <w:r>
              <w:rPr>
                <w:rFonts w:hint="eastAsia" w:ascii="Times New Roman" w:hAnsi="Times New Roman" w:eastAsia="宋体" w:cs="Times New Roman"/>
                <w:b w:val="0"/>
                <w:bCs w:val="0"/>
                <w:color w:val="000000"/>
                <w:sz w:val="18"/>
                <w:szCs w:val="18"/>
                <w:lang w:val="en-US" w:eastAsia="zh-CN"/>
              </w:rPr>
              <w:t>中医治疗</w:t>
            </w:r>
          </w:p>
        </w:tc>
        <w:tc>
          <w:tcPr>
            <w:tcW w:w="2784" w:type="pct"/>
            <w:shd w:val="clear" w:color="auto" w:fill="auto"/>
            <w:vAlign w:val="center"/>
          </w:tcPr>
          <w:p w14:paraId="0B563E79">
            <w:pPr>
              <w:keepNext/>
              <w:widowControl/>
              <w:snapToGrid w:val="0"/>
              <w:ind w:left="0" w:leftChars="0" w:right="0" w:rightChars="0" w:firstLine="0" w:firstLineChars="0"/>
              <w:jc w:val="both"/>
              <w:textAlignment w:val="center"/>
              <w:rPr>
                <w:rFonts w:hint="default" w:ascii="Times New Roman" w:hAnsi="Times New Roman" w:eastAsia="宋体" w:cs="Times New Roman"/>
                <w:b w:val="0"/>
                <w:bCs w:val="0"/>
                <w:color w:val="000000"/>
                <w:kern w:val="0"/>
                <w:sz w:val="18"/>
                <w:szCs w:val="18"/>
                <w:lang w:val="en-US" w:eastAsia="zh-CN" w:bidi="ar"/>
              </w:rPr>
            </w:pPr>
            <w:r>
              <w:rPr>
                <w:rFonts w:hint="eastAsia" w:ascii="Times New Roman" w:hAnsi="Times New Roman" w:eastAsia="宋体" w:cs="Times New Roman"/>
                <w:b w:val="0"/>
                <w:bCs w:val="0"/>
                <w:color w:val="000000"/>
                <w:kern w:val="0"/>
                <w:sz w:val="18"/>
                <w:szCs w:val="18"/>
                <w:lang w:val="en-US" w:eastAsia="zh-CN" w:bidi="ar"/>
              </w:rPr>
              <w:t>增加脾肾亏虚证中医治疗条目</w:t>
            </w:r>
          </w:p>
        </w:tc>
        <w:tc>
          <w:tcPr>
            <w:tcW w:w="419" w:type="pct"/>
            <w:shd w:val="clear" w:color="auto" w:fill="auto"/>
            <w:vAlign w:val="center"/>
          </w:tcPr>
          <w:p w14:paraId="7F994A34">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2"/>
                <w:sz w:val="18"/>
                <w:szCs w:val="18"/>
                <w:lang w:val="en-US" w:eastAsia="zh-CN" w:bidi="ar-SA"/>
              </w:rPr>
            </w:pPr>
            <w:r>
              <w:rPr>
                <w:rFonts w:ascii="Times New Roman" w:hAnsi="Segoe UI" w:eastAsia="宋体" w:cs="Segoe UI"/>
                <w:b w:val="0"/>
                <w:bCs w:val="0"/>
                <w:i w:val="0"/>
                <w:iCs w:val="0"/>
                <w:caps w:val="0"/>
                <w:spacing w:val="0"/>
                <w:sz w:val="18"/>
                <w:szCs w:val="21"/>
                <w:shd w:val="clear" w:fill="FFFFFF"/>
              </w:rPr>
              <w:t>4.63</w:t>
            </w:r>
          </w:p>
        </w:tc>
        <w:tc>
          <w:tcPr>
            <w:tcW w:w="483" w:type="pct"/>
            <w:shd w:val="clear" w:color="auto" w:fill="auto"/>
            <w:vAlign w:val="center"/>
          </w:tcPr>
          <w:p w14:paraId="5DCC306E">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2"/>
                <w:sz w:val="18"/>
                <w:szCs w:val="18"/>
                <w:lang w:val="en-US" w:eastAsia="zh-CN" w:bidi="ar-SA"/>
              </w:rPr>
            </w:pPr>
            <w:r>
              <w:rPr>
                <w:rFonts w:ascii="Times New Roman" w:hAnsi="Segoe UI" w:eastAsia="宋体" w:cs="Segoe UI"/>
                <w:b w:val="0"/>
                <w:bCs w:val="0"/>
                <w:i w:val="0"/>
                <w:iCs w:val="0"/>
                <w:caps w:val="0"/>
                <w:spacing w:val="0"/>
                <w:sz w:val="18"/>
                <w:szCs w:val="21"/>
                <w:shd w:val="clear" w:fill="FFFFFF"/>
              </w:rPr>
              <w:t>0.154</w:t>
            </w:r>
            <w:r>
              <w:rPr>
                <w:rFonts w:ascii="Times New Roman" w:hAnsi="Times New Roman" w:eastAsia="宋体" w:cs="Times New Roman"/>
                <w:b w:val="0"/>
                <w:bCs w:val="0"/>
                <w:color w:val="000000"/>
                <w:kern w:val="0"/>
                <w:sz w:val="18"/>
                <w:szCs w:val="18"/>
                <w:lang w:bidi="ar"/>
              </w:rPr>
              <w:t xml:space="preserve"> </w:t>
            </w:r>
          </w:p>
        </w:tc>
        <w:tc>
          <w:tcPr>
            <w:tcW w:w="507" w:type="pct"/>
            <w:shd w:val="clear" w:color="auto" w:fill="auto"/>
            <w:vAlign w:val="center"/>
          </w:tcPr>
          <w:p w14:paraId="6F4EC935">
            <w:pPr>
              <w:keepNext/>
              <w:widowControl/>
              <w:snapToGrid w:val="0"/>
              <w:ind w:left="0" w:leftChars="0" w:right="0" w:rightChars="0" w:firstLine="0" w:firstLineChars="0"/>
              <w:jc w:val="both"/>
              <w:textAlignment w:val="bottom"/>
              <w:rPr>
                <w:rFonts w:ascii="Times New Roman" w:hAnsi="Times New Roman" w:eastAsia="宋体" w:cs="Times New Roman"/>
                <w:b w:val="0"/>
                <w:bCs w:val="0"/>
                <w:kern w:val="0"/>
                <w:sz w:val="18"/>
                <w:szCs w:val="18"/>
                <w:lang w:val="en-US" w:eastAsia="zh-CN" w:bidi="ar"/>
              </w:rPr>
            </w:pPr>
            <w:r>
              <w:rPr>
                <w:rFonts w:ascii="Times New Roman" w:hAnsi="Segoe UI" w:eastAsia="宋体" w:cs="Segoe UI"/>
                <w:b w:val="0"/>
                <w:bCs w:val="0"/>
                <w:i w:val="0"/>
                <w:iCs w:val="0"/>
                <w:caps w:val="0"/>
                <w:spacing w:val="0"/>
                <w:sz w:val="18"/>
                <w:szCs w:val="21"/>
                <w:shd w:val="clear" w:fill="FFFFFF"/>
              </w:rPr>
              <w:t>69.6%</w:t>
            </w:r>
          </w:p>
        </w:tc>
        <w:tc>
          <w:tcPr>
            <w:tcW w:w="514" w:type="pct"/>
            <w:shd w:val="clear" w:color="auto" w:fill="auto"/>
            <w:vAlign w:val="center"/>
          </w:tcPr>
          <w:p w14:paraId="53DB00EB">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kern w:val="0"/>
                <w:sz w:val="18"/>
                <w:szCs w:val="18"/>
                <w:lang w:val="en-US" w:eastAsia="zh-CN" w:bidi="ar"/>
              </w:rPr>
            </w:pPr>
            <w:r>
              <w:rPr>
                <w:rFonts w:hint="eastAsia" w:ascii="Times New Roman" w:hAnsi="Times New Roman" w:eastAsia="宋体" w:cs="Times New Roman"/>
                <w:b w:val="0"/>
                <w:bCs w:val="0"/>
                <w:kern w:val="0"/>
                <w:sz w:val="18"/>
                <w:szCs w:val="18"/>
                <w:lang w:val="en-US" w:eastAsia="zh-CN" w:bidi="ar"/>
              </w:rPr>
              <w:t>保留</w:t>
            </w:r>
          </w:p>
        </w:tc>
      </w:tr>
      <w:tr w14:paraId="05CA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restart"/>
            <w:shd w:val="clear" w:color="auto" w:fill="auto"/>
            <w:vAlign w:val="center"/>
          </w:tcPr>
          <w:p w14:paraId="23B5D96B">
            <w:pPr>
              <w:keepNext/>
              <w:snapToGrid w:val="0"/>
              <w:ind w:left="0" w:leftChars="0" w:right="0" w:rightChars="0" w:firstLine="0" w:firstLineChars="0"/>
              <w:jc w:val="both"/>
              <w:rPr>
                <w:rFonts w:hint="default" w:ascii="Times New Roman" w:hAnsi="Times New Roman" w:eastAsia="宋体" w:cs="Times New Roman"/>
                <w:b w:val="0"/>
                <w:bCs w:val="0"/>
                <w:color w:val="000000"/>
                <w:sz w:val="18"/>
                <w:szCs w:val="18"/>
                <w:lang w:val="en-US" w:eastAsia="zh-CN"/>
              </w:rPr>
            </w:pPr>
            <w:r>
              <w:rPr>
                <w:rFonts w:hint="eastAsia" w:ascii="Times New Roman" w:hAnsi="Times New Roman" w:eastAsia="宋体" w:cs="Times New Roman"/>
                <w:b w:val="0"/>
                <w:bCs w:val="0"/>
                <w:color w:val="000000"/>
                <w:sz w:val="18"/>
                <w:szCs w:val="18"/>
                <w:lang w:val="en-US" w:eastAsia="zh-CN"/>
              </w:rPr>
              <w:t>脾肾亏虚证</w:t>
            </w:r>
          </w:p>
        </w:tc>
        <w:tc>
          <w:tcPr>
            <w:tcW w:w="2784" w:type="pct"/>
            <w:shd w:val="clear" w:color="auto" w:fill="auto"/>
            <w:vAlign w:val="center"/>
          </w:tcPr>
          <w:p w14:paraId="3FA4EE73">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color w:val="auto"/>
                <w:sz w:val="18"/>
                <w:szCs w:val="21"/>
                <w:lang w:val="en-US" w:eastAsia="zh-CN"/>
              </w:rPr>
            </w:pPr>
            <w:r>
              <w:rPr>
                <w:rFonts w:hint="eastAsia" w:ascii="Times New Roman" w:hAnsi="Times New Roman" w:eastAsia="宋体" w:cs="Times New Roman"/>
                <w:b w:val="0"/>
                <w:bCs w:val="0"/>
                <w:color w:val="auto"/>
                <w:sz w:val="18"/>
                <w:szCs w:val="21"/>
                <w:lang w:val="en-US" w:eastAsia="zh-CN"/>
              </w:rPr>
              <w:t>病机：脾肾亏虚，脉道失养</w:t>
            </w:r>
          </w:p>
          <w:p w14:paraId="64938845">
            <w:pPr>
              <w:keepNext/>
              <w:widowControl/>
              <w:snapToGrid w:val="0"/>
              <w:ind w:left="0" w:leftChars="0" w:right="0" w:rightChars="0" w:firstLine="0" w:firstLineChars="0"/>
              <w:jc w:val="both"/>
              <w:textAlignment w:val="center"/>
              <w:rPr>
                <w:rFonts w:hint="default" w:ascii="Times New Roman" w:hAnsi="Times New Roman" w:eastAsia="宋体" w:cs="Times New Roman"/>
                <w:b w:val="0"/>
                <w:bCs w:val="0"/>
                <w:color w:val="auto"/>
                <w:sz w:val="18"/>
                <w:szCs w:val="21"/>
                <w:lang w:val="en-US" w:eastAsia="zh-CN"/>
              </w:rPr>
            </w:pPr>
            <w:r>
              <w:rPr>
                <w:rFonts w:hint="eastAsia" w:ascii="Times New Roman" w:hAnsi="Times New Roman" w:eastAsia="宋体" w:cs="Times New Roman"/>
                <w:b w:val="0"/>
                <w:bCs w:val="0"/>
                <w:color w:val="auto"/>
                <w:sz w:val="18"/>
                <w:szCs w:val="21"/>
                <w:lang w:val="en-US" w:eastAsia="zh-CN"/>
              </w:rPr>
              <w:t>治法：益肾健脾，濡脉和络</w:t>
            </w:r>
          </w:p>
        </w:tc>
        <w:tc>
          <w:tcPr>
            <w:tcW w:w="419" w:type="pct"/>
            <w:shd w:val="clear" w:color="auto" w:fill="auto"/>
            <w:vAlign w:val="center"/>
          </w:tcPr>
          <w:p w14:paraId="4148E6F3">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4.65</w:t>
            </w:r>
          </w:p>
        </w:tc>
        <w:tc>
          <w:tcPr>
            <w:tcW w:w="483" w:type="pct"/>
            <w:shd w:val="clear" w:color="auto" w:fill="auto"/>
            <w:vAlign w:val="center"/>
          </w:tcPr>
          <w:p w14:paraId="60BC9B85">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0.102</w:t>
            </w:r>
          </w:p>
        </w:tc>
        <w:tc>
          <w:tcPr>
            <w:tcW w:w="507" w:type="pct"/>
            <w:shd w:val="clear" w:color="auto" w:fill="auto"/>
            <w:vAlign w:val="center"/>
          </w:tcPr>
          <w:p w14:paraId="5DCCBB26">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65.2%</w:t>
            </w:r>
          </w:p>
        </w:tc>
        <w:tc>
          <w:tcPr>
            <w:tcW w:w="514" w:type="pct"/>
            <w:shd w:val="clear" w:color="auto" w:fill="auto"/>
            <w:vAlign w:val="center"/>
          </w:tcPr>
          <w:p w14:paraId="4506A1E6">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kern w:val="0"/>
                <w:sz w:val="18"/>
                <w:szCs w:val="18"/>
                <w:lang w:val="en-US" w:eastAsia="zh-CN" w:bidi="ar"/>
              </w:rPr>
              <w:t>保留</w:t>
            </w:r>
          </w:p>
        </w:tc>
      </w:tr>
      <w:tr w14:paraId="1B0E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259B3A5E">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1A264781">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bidi="ar"/>
              </w:rPr>
              <w:t>推荐方药：还少丹（《杨氏家藏方》）</w:t>
            </w:r>
          </w:p>
        </w:tc>
        <w:tc>
          <w:tcPr>
            <w:tcW w:w="419" w:type="pct"/>
            <w:shd w:val="clear" w:color="auto" w:fill="auto"/>
            <w:vAlign w:val="center"/>
          </w:tcPr>
          <w:p w14:paraId="47312CF4">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4.61</w:t>
            </w:r>
          </w:p>
        </w:tc>
        <w:tc>
          <w:tcPr>
            <w:tcW w:w="483" w:type="pct"/>
            <w:shd w:val="clear" w:color="auto" w:fill="auto"/>
            <w:vAlign w:val="center"/>
          </w:tcPr>
          <w:p w14:paraId="56CE2E7B">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0.114</w:t>
            </w:r>
          </w:p>
        </w:tc>
        <w:tc>
          <w:tcPr>
            <w:tcW w:w="507" w:type="pct"/>
            <w:shd w:val="clear" w:color="auto" w:fill="auto"/>
            <w:vAlign w:val="center"/>
          </w:tcPr>
          <w:p w14:paraId="0A201DF1">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43.5%</w:t>
            </w:r>
          </w:p>
        </w:tc>
        <w:tc>
          <w:tcPr>
            <w:tcW w:w="514" w:type="pct"/>
            <w:shd w:val="clear" w:color="auto" w:fill="auto"/>
            <w:vAlign w:val="center"/>
          </w:tcPr>
          <w:p w14:paraId="00B97BA8">
            <w:pPr>
              <w:keepNext/>
              <w:widowControl/>
              <w:snapToGrid w:val="0"/>
              <w:ind w:left="0" w:leftChars="0" w:right="0" w:rightChars="0" w:firstLine="0" w:firstLineChars="0"/>
              <w:jc w:val="both"/>
              <w:textAlignment w:val="center"/>
              <w:rPr>
                <w:rFonts w:hint="default" w:ascii="Times New Roman" w:hAnsi="Times New Roman" w:eastAsia="宋体" w:cs="Times New Roman"/>
                <w:b w:val="0"/>
                <w:bCs w:val="0"/>
                <w:color w:val="000000"/>
                <w:kern w:val="0"/>
                <w:sz w:val="18"/>
                <w:szCs w:val="18"/>
                <w:lang w:val="en-US" w:eastAsia="zh-CN" w:bidi="ar"/>
              </w:rPr>
            </w:pPr>
            <w:r>
              <w:rPr>
                <w:rFonts w:hint="eastAsia" w:ascii="Times New Roman" w:hAnsi="Times New Roman" w:eastAsia="宋体" w:cs="Times New Roman"/>
                <w:b w:val="0"/>
                <w:bCs w:val="0"/>
                <w:color w:val="000000"/>
                <w:kern w:val="0"/>
                <w:sz w:val="18"/>
                <w:szCs w:val="18"/>
                <w:lang w:val="en-US" w:eastAsia="zh-CN" w:bidi="ar"/>
              </w:rPr>
              <w:t>待共识</w:t>
            </w:r>
          </w:p>
        </w:tc>
      </w:tr>
      <w:tr w14:paraId="477F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5B926E09">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6F4994DD">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bidi="ar"/>
              </w:rPr>
              <w:t>口服中成药：健脾益肾颗粒，人参养荣丸，补肾抗衰片</w:t>
            </w:r>
          </w:p>
        </w:tc>
        <w:tc>
          <w:tcPr>
            <w:tcW w:w="419" w:type="pct"/>
            <w:shd w:val="clear" w:color="auto" w:fill="auto"/>
            <w:vAlign w:val="center"/>
          </w:tcPr>
          <w:p w14:paraId="230A6560">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4.65</w:t>
            </w:r>
          </w:p>
        </w:tc>
        <w:tc>
          <w:tcPr>
            <w:tcW w:w="483" w:type="pct"/>
            <w:shd w:val="clear" w:color="auto" w:fill="auto"/>
            <w:vAlign w:val="center"/>
          </w:tcPr>
          <w:p w14:paraId="03E36899">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0.102</w:t>
            </w:r>
          </w:p>
        </w:tc>
        <w:tc>
          <w:tcPr>
            <w:tcW w:w="507" w:type="pct"/>
            <w:shd w:val="clear" w:color="auto" w:fill="auto"/>
            <w:vAlign w:val="center"/>
          </w:tcPr>
          <w:p w14:paraId="3CD6B667">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65.2%</w:t>
            </w:r>
          </w:p>
        </w:tc>
        <w:tc>
          <w:tcPr>
            <w:tcW w:w="514" w:type="pct"/>
            <w:shd w:val="clear" w:color="auto" w:fill="auto"/>
            <w:vAlign w:val="center"/>
          </w:tcPr>
          <w:p w14:paraId="6CF627C1">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color w:val="000000"/>
                <w:kern w:val="0"/>
                <w:sz w:val="18"/>
                <w:szCs w:val="18"/>
                <w:lang w:val="en-US" w:eastAsia="zh-CN" w:bidi="ar"/>
              </w:rPr>
            </w:pPr>
            <w:r>
              <w:rPr>
                <w:rFonts w:hint="eastAsia" w:ascii="Times New Roman" w:hAnsi="Times New Roman" w:eastAsia="宋体" w:cs="Times New Roman"/>
                <w:b w:val="0"/>
                <w:bCs w:val="0"/>
                <w:color w:val="000000"/>
                <w:kern w:val="0"/>
                <w:sz w:val="18"/>
                <w:szCs w:val="18"/>
                <w:lang w:val="en-US" w:eastAsia="zh-CN" w:bidi="ar"/>
              </w:rPr>
              <w:t>保留</w:t>
            </w:r>
          </w:p>
        </w:tc>
      </w:tr>
      <w:tr w14:paraId="3EC38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restart"/>
            <w:shd w:val="clear" w:color="auto" w:fill="auto"/>
            <w:vAlign w:val="center"/>
          </w:tcPr>
          <w:p w14:paraId="65A4C594">
            <w:pPr>
              <w:keepNext/>
              <w:snapToGrid w:val="0"/>
              <w:ind w:left="0" w:leftChars="0" w:right="0" w:rightChars="0" w:firstLine="0" w:firstLineChars="0"/>
              <w:jc w:val="both"/>
              <w:rPr>
                <w:rFonts w:hint="default" w:ascii="Times New Roman" w:hAnsi="Times New Roman" w:eastAsia="宋体" w:cs="Times New Roman"/>
                <w:b w:val="0"/>
                <w:bCs w:val="0"/>
                <w:color w:val="000000"/>
                <w:sz w:val="18"/>
                <w:szCs w:val="18"/>
                <w:lang w:val="en-US" w:eastAsia="zh-CN"/>
              </w:rPr>
            </w:pPr>
            <w:r>
              <w:rPr>
                <w:rFonts w:hint="eastAsia" w:ascii="Times New Roman" w:hAnsi="Times New Roman" w:eastAsia="宋体" w:cs="Times New Roman"/>
                <w:b w:val="0"/>
                <w:bCs w:val="0"/>
                <w:color w:val="000000"/>
                <w:sz w:val="18"/>
                <w:szCs w:val="18"/>
                <w:lang w:val="en-US" w:eastAsia="zh-CN"/>
              </w:rPr>
              <w:t>气虚血瘀证</w:t>
            </w:r>
          </w:p>
        </w:tc>
        <w:tc>
          <w:tcPr>
            <w:tcW w:w="2784" w:type="pct"/>
            <w:shd w:val="clear" w:color="auto" w:fill="auto"/>
            <w:vAlign w:val="center"/>
          </w:tcPr>
          <w:p w14:paraId="7E01452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rPr>
                <w:rFonts w:hint="eastAsia" w:ascii="Times New Roman" w:hAnsi="Times New Roman" w:eastAsia="宋体" w:cs="Times New Roman"/>
                <w:b w:val="0"/>
                <w:bCs w:val="0"/>
                <w:color w:val="auto"/>
                <w:sz w:val="18"/>
                <w:szCs w:val="21"/>
                <w:lang w:val="en-US" w:eastAsia="zh-CN"/>
              </w:rPr>
            </w:pPr>
            <w:r>
              <w:rPr>
                <w:rFonts w:hint="eastAsia" w:ascii="Times New Roman" w:hAnsi="Times New Roman" w:eastAsia="宋体" w:cs="Times New Roman"/>
                <w:b w:val="0"/>
                <w:bCs w:val="0"/>
                <w:color w:val="auto"/>
                <w:sz w:val="18"/>
                <w:szCs w:val="21"/>
                <w:lang w:val="en-US" w:eastAsia="zh-CN"/>
              </w:rPr>
              <w:t>病机：气虚失运，血瘀络滞</w:t>
            </w:r>
          </w:p>
          <w:p w14:paraId="296FE9A8">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auto"/>
                <w:sz w:val="18"/>
                <w:szCs w:val="21"/>
                <w:lang w:val="en-US" w:eastAsia="zh-CN"/>
              </w:rPr>
              <w:t>治法：益气扶正，祛瘀通脉</w:t>
            </w:r>
          </w:p>
        </w:tc>
        <w:tc>
          <w:tcPr>
            <w:tcW w:w="419" w:type="pct"/>
            <w:shd w:val="clear" w:color="auto" w:fill="auto"/>
            <w:vAlign w:val="center"/>
          </w:tcPr>
          <w:p w14:paraId="459C1D72">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4.89</w:t>
            </w:r>
          </w:p>
        </w:tc>
        <w:tc>
          <w:tcPr>
            <w:tcW w:w="483" w:type="pct"/>
            <w:shd w:val="clear" w:color="auto" w:fill="auto"/>
            <w:vAlign w:val="center"/>
          </w:tcPr>
          <w:p w14:paraId="39F1A207">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0.059</w:t>
            </w:r>
          </w:p>
        </w:tc>
        <w:tc>
          <w:tcPr>
            <w:tcW w:w="507" w:type="pct"/>
            <w:shd w:val="clear" w:color="auto" w:fill="auto"/>
            <w:vAlign w:val="center"/>
          </w:tcPr>
          <w:p w14:paraId="6A8ECD7B">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88.6%</w:t>
            </w:r>
          </w:p>
        </w:tc>
        <w:tc>
          <w:tcPr>
            <w:tcW w:w="514" w:type="pct"/>
            <w:shd w:val="clear" w:color="auto" w:fill="auto"/>
            <w:vAlign w:val="center"/>
          </w:tcPr>
          <w:p w14:paraId="59E836F4">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val="en-US" w:eastAsia="zh-CN" w:bidi="ar"/>
              </w:rPr>
              <w:t>保留</w:t>
            </w:r>
          </w:p>
        </w:tc>
      </w:tr>
      <w:tr w14:paraId="63AD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4A7F3022">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28953174">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val="en-US" w:eastAsia="zh-CN" w:bidi="ar"/>
              </w:rPr>
              <w:t>推荐方药：</w:t>
            </w:r>
            <w:r>
              <w:rPr>
                <w:rFonts w:hint="eastAsia" w:ascii="Times New Roman" w:hAnsi="Times New Roman" w:eastAsia="宋体" w:cs="Times New Roman"/>
                <w:b w:val="0"/>
                <w:bCs w:val="0"/>
                <w:color w:val="000000"/>
                <w:kern w:val="0"/>
                <w:sz w:val="18"/>
                <w:szCs w:val="18"/>
                <w:lang w:bidi="ar"/>
              </w:rPr>
              <w:t>补阳还五汤（《医林改错》）</w:t>
            </w:r>
          </w:p>
        </w:tc>
        <w:tc>
          <w:tcPr>
            <w:tcW w:w="419" w:type="pct"/>
            <w:shd w:val="clear" w:color="auto" w:fill="auto"/>
            <w:vAlign w:val="center"/>
          </w:tcPr>
          <w:p w14:paraId="658CF01F">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4.80</w:t>
            </w:r>
          </w:p>
        </w:tc>
        <w:tc>
          <w:tcPr>
            <w:tcW w:w="483" w:type="pct"/>
            <w:shd w:val="clear" w:color="auto" w:fill="auto"/>
            <w:vAlign w:val="center"/>
          </w:tcPr>
          <w:p w14:paraId="50F04C95">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0.088</w:t>
            </w:r>
          </w:p>
        </w:tc>
        <w:tc>
          <w:tcPr>
            <w:tcW w:w="507" w:type="pct"/>
            <w:shd w:val="clear" w:color="auto" w:fill="auto"/>
            <w:vAlign w:val="center"/>
          </w:tcPr>
          <w:p w14:paraId="5B8AC793">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77.3%</w:t>
            </w:r>
          </w:p>
        </w:tc>
        <w:tc>
          <w:tcPr>
            <w:tcW w:w="514" w:type="pct"/>
            <w:shd w:val="clear" w:color="auto" w:fill="auto"/>
            <w:vAlign w:val="center"/>
          </w:tcPr>
          <w:p w14:paraId="6322EE7D">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val="en-US" w:eastAsia="zh-CN" w:bidi="ar"/>
              </w:rPr>
              <w:t>保留</w:t>
            </w:r>
          </w:p>
        </w:tc>
      </w:tr>
      <w:tr w14:paraId="113D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4F586E65">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308AFC9F">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bidi="ar"/>
              </w:rPr>
              <w:t>口服中成药：芪参益气滴丸，麝香通心滴丸，复方丹参滴丸，参芍片，脑心通胶囊，通心络胶囊</w:t>
            </w:r>
          </w:p>
        </w:tc>
        <w:tc>
          <w:tcPr>
            <w:tcW w:w="419" w:type="pct"/>
            <w:shd w:val="clear" w:color="auto" w:fill="auto"/>
            <w:vAlign w:val="center"/>
          </w:tcPr>
          <w:p w14:paraId="065221E8">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val="en-US" w:eastAsia="zh-CN" w:bidi="ar"/>
              </w:rPr>
            </w:pPr>
            <w:r>
              <w:rPr>
                <w:rFonts w:ascii="Times New Roman" w:hAnsi="Segoe UI" w:eastAsia="宋体" w:cs="Segoe UI"/>
                <w:b w:val="0"/>
                <w:bCs w:val="0"/>
                <w:i w:val="0"/>
                <w:iCs w:val="0"/>
                <w:caps w:val="0"/>
                <w:spacing w:val="0"/>
                <w:sz w:val="18"/>
                <w:szCs w:val="21"/>
                <w:shd w:val="clear" w:fill="FFFFFF"/>
              </w:rPr>
              <w:t>4.64</w:t>
            </w:r>
          </w:p>
        </w:tc>
        <w:tc>
          <w:tcPr>
            <w:tcW w:w="483" w:type="pct"/>
            <w:shd w:val="clear" w:color="auto" w:fill="auto"/>
            <w:vAlign w:val="center"/>
          </w:tcPr>
          <w:p w14:paraId="25637E78">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val="en-US" w:eastAsia="zh-CN" w:bidi="ar"/>
              </w:rPr>
            </w:pPr>
            <w:r>
              <w:rPr>
                <w:rFonts w:ascii="Times New Roman" w:hAnsi="Segoe UI" w:eastAsia="宋体" w:cs="Segoe UI"/>
                <w:b w:val="0"/>
                <w:bCs w:val="0"/>
                <w:i w:val="0"/>
                <w:iCs w:val="0"/>
                <w:caps w:val="0"/>
                <w:spacing w:val="0"/>
                <w:sz w:val="18"/>
                <w:szCs w:val="21"/>
                <w:shd w:val="clear" w:fill="FFFFFF"/>
              </w:rPr>
              <w:t>0.104</w:t>
            </w:r>
          </w:p>
        </w:tc>
        <w:tc>
          <w:tcPr>
            <w:tcW w:w="507" w:type="pct"/>
            <w:shd w:val="clear" w:color="auto" w:fill="auto"/>
            <w:vAlign w:val="center"/>
          </w:tcPr>
          <w:p w14:paraId="290A7D09">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val="en-US" w:eastAsia="zh-CN" w:bidi="ar"/>
              </w:rPr>
            </w:pPr>
            <w:r>
              <w:rPr>
                <w:rFonts w:ascii="Times New Roman" w:hAnsi="Segoe UI" w:eastAsia="宋体" w:cs="Segoe UI"/>
                <w:b w:val="0"/>
                <w:bCs w:val="0"/>
                <w:i w:val="0"/>
                <w:iCs w:val="0"/>
                <w:caps w:val="0"/>
                <w:spacing w:val="0"/>
                <w:sz w:val="18"/>
                <w:szCs w:val="21"/>
                <w:shd w:val="clear" w:fill="FFFFFF"/>
              </w:rPr>
              <w:t>63.6%</w:t>
            </w:r>
          </w:p>
        </w:tc>
        <w:tc>
          <w:tcPr>
            <w:tcW w:w="514" w:type="pct"/>
            <w:shd w:val="clear" w:color="auto" w:fill="auto"/>
            <w:vAlign w:val="center"/>
          </w:tcPr>
          <w:p w14:paraId="31464904">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val="en-US" w:eastAsia="zh-CN" w:bidi="ar"/>
              </w:rPr>
              <w:t>保留</w:t>
            </w:r>
          </w:p>
        </w:tc>
      </w:tr>
      <w:tr w14:paraId="220F9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6ED5186B">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67E86416">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bidi="ar"/>
              </w:rPr>
              <w:t>中药静脉制剂：丹红注射液，银杏叶提取物注射液，大株红景天注射液</w:t>
            </w:r>
          </w:p>
        </w:tc>
        <w:tc>
          <w:tcPr>
            <w:tcW w:w="419" w:type="pct"/>
            <w:shd w:val="clear" w:color="auto" w:fill="auto"/>
            <w:vAlign w:val="center"/>
          </w:tcPr>
          <w:p w14:paraId="25D337C0">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val="en-US" w:eastAsia="zh-CN" w:bidi="ar"/>
              </w:rPr>
            </w:pPr>
            <w:r>
              <w:rPr>
                <w:rFonts w:ascii="Times New Roman" w:hAnsi="Segoe UI" w:eastAsia="宋体" w:cs="Segoe UI"/>
                <w:b w:val="0"/>
                <w:bCs w:val="0"/>
                <w:i w:val="0"/>
                <w:iCs w:val="0"/>
                <w:caps w:val="0"/>
                <w:spacing w:val="0"/>
                <w:sz w:val="18"/>
                <w:szCs w:val="21"/>
                <w:shd w:val="clear" w:fill="FFFFFF"/>
              </w:rPr>
              <w:t>4.39</w:t>
            </w:r>
          </w:p>
        </w:tc>
        <w:tc>
          <w:tcPr>
            <w:tcW w:w="483" w:type="pct"/>
            <w:shd w:val="clear" w:color="auto" w:fill="auto"/>
            <w:vAlign w:val="center"/>
          </w:tcPr>
          <w:p w14:paraId="7580623D">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val="en-US" w:eastAsia="zh-CN" w:bidi="ar"/>
              </w:rPr>
            </w:pPr>
            <w:r>
              <w:rPr>
                <w:rFonts w:ascii="Times New Roman" w:hAnsi="Segoe UI" w:eastAsia="宋体" w:cs="Segoe UI"/>
                <w:b w:val="0"/>
                <w:bCs w:val="0"/>
                <w:i w:val="0"/>
                <w:iCs w:val="0"/>
                <w:caps w:val="0"/>
                <w:spacing w:val="0"/>
                <w:sz w:val="18"/>
                <w:szCs w:val="21"/>
                <w:shd w:val="clear" w:fill="FFFFFF"/>
              </w:rPr>
              <w:t>0.146</w:t>
            </w:r>
          </w:p>
        </w:tc>
        <w:tc>
          <w:tcPr>
            <w:tcW w:w="507" w:type="pct"/>
            <w:shd w:val="clear" w:color="auto" w:fill="auto"/>
            <w:vAlign w:val="center"/>
          </w:tcPr>
          <w:p w14:paraId="0366BA91">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val="en-US" w:eastAsia="zh-CN" w:bidi="ar"/>
              </w:rPr>
            </w:pPr>
            <w:r>
              <w:rPr>
                <w:rFonts w:ascii="Times New Roman" w:hAnsi="Segoe UI" w:eastAsia="宋体" w:cs="Segoe UI"/>
                <w:b w:val="0"/>
                <w:bCs w:val="0"/>
                <w:i w:val="0"/>
                <w:iCs w:val="0"/>
                <w:caps w:val="0"/>
                <w:spacing w:val="0"/>
                <w:sz w:val="18"/>
                <w:szCs w:val="21"/>
                <w:shd w:val="clear" w:fill="FFFFFF"/>
              </w:rPr>
              <w:t>47.8%</w:t>
            </w:r>
          </w:p>
        </w:tc>
        <w:tc>
          <w:tcPr>
            <w:tcW w:w="514" w:type="pct"/>
            <w:shd w:val="clear" w:color="auto" w:fill="auto"/>
            <w:vAlign w:val="center"/>
          </w:tcPr>
          <w:p w14:paraId="28473CC8">
            <w:pPr>
              <w:keepNext/>
              <w:widowControl/>
              <w:snapToGrid w:val="0"/>
              <w:ind w:left="0" w:leftChars="0" w:right="0" w:rightChars="0" w:firstLine="0" w:firstLineChars="0"/>
              <w:jc w:val="both"/>
              <w:textAlignment w:val="center"/>
              <w:rPr>
                <w:rFonts w:hint="default" w:ascii="Times New Roman" w:hAnsi="Times New Roman" w:eastAsia="宋体" w:cs="Times New Roman"/>
                <w:b w:val="0"/>
                <w:bCs w:val="0"/>
                <w:color w:val="000000"/>
                <w:kern w:val="0"/>
                <w:sz w:val="18"/>
                <w:szCs w:val="18"/>
                <w:lang w:val="en-US" w:eastAsia="zh-CN" w:bidi="ar"/>
              </w:rPr>
            </w:pPr>
            <w:r>
              <w:rPr>
                <w:rFonts w:hint="eastAsia" w:ascii="Times New Roman" w:hAnsi="Times New Roman" w:eastAsia="宋体" w:cs="Times New Roman"/>
                <w:b w:val="0"/>
                <w:bCs w:val="0"/>
                <w:color w:val="000000"/>
                <w:kern w:val="0"/>
                <w:sz w:val="18"/>
                <w:szCs w:val="18"/>
                <w:lang w:val="en-US" w:eastAsia="zh-CN" w:bidi="ar"/>
              </w:rPr>
              <w:t>待共识</w:t>
            </w:r>
          </w:p>
        </w:tc>
      </w:tr>
      <w:tr w14:paraId="259A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restart"/>
            <w:shd w:val="clear" w:color="auto" w:fill="auto"/>
            <w:vAlign w:val="center"/>
          </w:tcPr>
          <w:p w14:paraId="7E1D1BCD">
            <w:pPr>
              <w:keepNext/>
              <w:snapToGrid w:val="0"/>
              <w:ind w:left="0" w:leftChars="0" w:right="0" w:rightChars="0" w:firstLine="0" w:firstLineChars="0"/>
              <w:jc w:val="both"/>
              <w:rPr>
                <w:rFonts w:hint="default" w:ascii="Times New Roman" w:hAnsi="Times New Roman" w:eastAsia="宋体" w:cs="Times New Roman"/>
                <w:b w:val="0"/>
                <w:bCs w:val="0"/>
                <w:color w:val="000000"/>
                <w:sz w:val="18"/>
                <w:szCs w:val="18"/>
                <w:lang w:val="en-US" w:eastAsia="zh-CN"/>
              </w:rPr>
            </w:pPr>
            <w:r>
              <w:rPr>
                <w:rFonts w:hint="eastAsia" w:ascii="Times New Roman" w:hAnsi="Times New Roman" w:eastAsia="宋体" w:cs="Times New Roman"/>
                <w:b w:val="0"/>
                <w:bCs w:val="0"/>
                <w:color w:val="000000"/>
                <w:sz w:val="18"/>
                <w:szCs w:val="18"/>
                <w:lang w:val="en-US" w:eastAsia="zh-CN"/>
              </w:rPr>
              <w:t>气阴两虚证</w:t>
            </w:r>
          </w:p>
        </w:tc>
        <w:tc>
          <w:tcPr>
            <w:tcW w:w="2784" w:type="pct"/>
            <w:shd w:val="clear" w:color="auto" w:fill="auto"/>
            <w:vAlign w:val="center"/>
          </w:tcPr>
          <w:p w14:paraId="218A9B0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rPr>
                <w:rFonts w:hint="eastAsia" w:ascii="Times New Roman" w:hAnsi="Times New Roman" w:eastAsia="宋体" w:cs="Times New Roman"/>
                <w:b w:val="0"/>
                <w:bCs w:val="0"/>
                <w:color w:val="auto"/>
                <w:sz w:val="18"/>
                <w:szCs w:val="21"/>
                <w:lang w:val="en-US" w:eastAsia="zh-CN"/>
              </w:rPr>
            </w:pPr>
            <w:r>
              <w:rPr>
                <w:rFonts w:hint="eastAsia" w:ascii="Times New Roman" w:hAnsi="Times New Roman" w:eastAsia="宋体" w:cs="Times New Roman"/>
                <w:b w:val="0"/>
                <w:bCs w:val="0"/>
                <w:color w:val="auto"/>
                <w:sz w:val="18"/>
                <w:szCs w:val="21"/>
                <w:lang w:val="en-US" w:eastAsia="zh-CN"/>
              </w:rPr>
              <w:t>病机：气阴亏虚，脉道失养</w:t>
            </w:r>
          </w:p>
          <w:p w14:paraId="3CB4D07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auto"/>
                <w:sz w:val="18"/>
                <w:szCs w:val="21"/>
                <w:lang w:val="en-US" w:eastAsia="zh-CN"/>
              </w:rPr>
              <w:t>治法：益气养阴，润脉和络</w:t>
            </w:r>
          </w:p>
        </w:tc>
        <w:tc>
          <w:tcPr>
            <w:tcW w:w="419" w:type="pct"/>
            <w:shd w:val="clear" w:color="auto" w:fill="auto"/>
            <w:vAlign w:val="center"/>
          </w:tcPr>
          <w:p w14:paraId="27FEF280">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4.82</w:t>
            </w:r>
          </w:p>
        </w:tc>
        <w:tc>
          <w:tcPr>
            <w:tcW w:w="483" w:type="pct"/>
            <w:shd w:val="clear" w:color="auto" w:fill="auto"/>
            <w:vAlign w:val="center"/>
          </w:tcPr>
          <w:p w14:paraId="393F2A7D">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0.080</w:t>
            </w:r>
          </w:p>
        </w:tc>
        <w:tc>
          <w:tcPr>
            <w:tcW w:w="507" w:type="pct"/>
            <w:shd w:val="clear" w:color="auto" w:fill="auto"/>
            <w:vAlign w:val="center"/>
          </w:tcPr>
          <w:p w14:paraId="48AC0D10">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81.8%</w:t>
            </w:r>
          </w:p>
        </w:tc>
        <w:tc>
          <w:tcPr>
            <w:tcW w:w="514" w:type="pct"/>
            <w:shd w:val="clear" w:color="auto" w:fill="auto"/>
            <w:vAlign w:val="center"/>
          </w:tcPr>
          <w:p w14:paraId="4673F828">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val="en-US" w:eastAsia="zh-CN" w:bidi="ar"/>
              </w:rPr>
              <w:t>保留</w:t>
            </w:r>
          </w:p>
        </w:tc>
      </w:tr>
      <w:tr w14:paraId="7FB9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50778134">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514A8178">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val="en-US" w:eastAsia="zh-CN" w:bidi="ar"/>
              </w:rPr>
              <w:t>推荐方药：</w:t>
            </w:r>
            <w:r>
              <w:rPr>
                <w:rFonts w:hint="eastAsia" w:ascii="Times New Roman" w:hAnsi="Times New Roman" w:eastAsia="宋体" w:cs="Times New Roman"/>
                <w:b w:val="0"/>
                <w:bCs w:val="0"/>
                <w:color w:val="000000"/>
                <w:kern w:val="0"/>
                <w:sz w:val="18"/>
                <w:szCs w:val="18"/>
                <w:lang w:bidi="ar"/>
              </w:rPr>
              <w:t>生脉散（《医学启源》）</w:t>
            </w:r>
          </w:p>
        </w:tc>
        <w:tc>
          <w:tcPr>
            <w:tcW w:w="419" w:type="pct"/>
            <w:shd w:val="clear" w:color="auto" w:fill="auto"/>
            <w:vAlign w:val="center"/>
          </w:tcPr>
          <w:p w14:paraId="35214C0A">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4.68</w:t>
            </w:r>
          </w:p>
        </w:tc>
        <w:tc>
          <w:tcPr>
            <w:tcW w:w="483" w:type="pct"/>
            <w:shd w:val="clear" w:color="auto" w:fill="auto"/>
            <w:vAlign w:val="center"/>
          </w:tcPr>
          <w:p w14:paraId="2748A9FC">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0.119</w:t>
            </w:r>
          </w:p>
        </w:tc>
        <w:tc>
          <w:tcPr>
            <w:tcW w:w="507" w:type="pct"/>
            <w:shd w:val="clear" w:color="auto" w:fill="auto"/>
            <w:vAlign w:val="center"/>
          </w:tcPr>
          <w:p w14:paraId="4621D073">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72.7%</w:t>
            </w:r>
          </w:p>
        </w:tc>
        <w:tc>
          <w:tcPr>
            <w:tcW w:w="514" w:type="pct"/>
            <w:shd w:val="clear" w:color="auto" w:fill="auto"/>
            <w:vAlign w:val="center"/>
          </w:tcPr>
          <w:p w14:paraId="48E0A982">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val="en-US" w:eastAsia="zh-CN" w:bidi="ar"/>
              </w:rPr>
              <w:t>保留</w:t>
            </w:r>
          </w:p>
        </w:tc>
      </w:tr>
      <w:tr w14:paraId="1D1C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3EBC9F78">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1B12439B">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bidi="ar"/>
              </w:rPr>
              <w:t>口服中成药：参松养心胶囊，通脉养心丸，稳心颗粒</w:t>
            </w:r>
          </w:p>
        </w:tc>
        <w:tc>
          <w:tcPr>
            <w:tcW w:w="419" w:type="pct"/>
            <w:shd w:val="clear" w:color="auto" w:fill="auto"/>
            <w:vAlign w:val="center"/>
          </w:tcPr>
          <w:p w14:paraId="0A84ED2B">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4.75</w:t>
            </w:r>
          </w:p>
        </w:tc>
        <w:tc>
          <w:tcPr>
            <w:tcW w:w="483" w:type="pct"/>
            <w:shd w:val="clear" w:color="auto" w:fill="auto"/>
            <w:vAlign w:val="center"/>
          </w:tcPr>
          <w:p w14:paraId="6219135D">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0.118</w:t>
            </w:r>
          </w:p>
        </w:tc>
        <w:tc>
          <w:tcPr>
            <w:tcW w:w="507" w:type="pct"/>
            <w:shd w:val="clear" w:color="auto" w:fill="auto"/>
            <w:vAlign w:val="center"/>
          </w:tcPr>
          <w:p w14:paraId="5601D292">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61.4%</w:t>
            </w:r>
          </w:p>
        </w:tc>
        <w:tc>
          <w:tcPr>
            <w:tcW w:w="514" w:type="pct"/>
            <w:shd w:val="clear" w:color="auto" w:fill="auto"/>
            <w:vAlign w:val="center"/>
          </w:tcPr>
          <w:p w14:paraId="57B5FCE9">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val="en-US" w:eastAsia="zh-CN" w:bidi="ar"/>
              </w:rPr>
              <w:t>保留</w:t>
            </w:r>
          </w:p>
        </w:tc>
      </w:tr>
      <w:tr w14:paraId="42CC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0A17F6F1">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497CEA28">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bidi="ar"/>
              </w:rPr>
              <w:t>中药静脉制剂：参麦注射液，注射用益气复脉（冻干）</w:t>
            </w:r>
          </w:p>
        </w:tc>
        <w:tc>
          <w:tcPr>
            <w:tcW w:w="419" w:type="pct"/>
            <w:shd w:val="clear" w:color="auto" w:fill="auto"/>
            <w:vAlign w:val="center"/>
          </w:tcPr>
          <w:p w14:paraId="2B80E8FA">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4.61</w:t>
            </w:r>
          </w:p>
        </w:tc>
        <w:tc>
          <w:tcPr>
            <w:tcW w:w="483" w:type="pct"/>
            <w:shd w:val="clear" w:color="auto" w:fill="auto"/>
            <w:vAlign w:val="center"/>
          </w:tcPr>
          <w:p w14:paraId="37DAE303">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0.116</w:t>
            </w:r>
          </w:p>
        </w:tc>
        <w:tc>
          <w:tcPr>
            <w:tcW w:w="507" w:type="pct"/>
            <w:shd w:val="clear" w:color="auto" w:fill="auto"/>
            <w:vAlign w:val="center"/>
          </w:tcPr>
          <w:p w14:paraId="67D0F07D">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61.4%</w:t>
            </w:r>
          </w:p>
        </w:tc>
        <w:tc>
          <w:tcPr>
            <w:tcW w:w="514" w:type="pct"/>
            <w:shd w:val="clear" w:color="auto" w:fill="auto"/>
            <w:vAlign w:val="center"/>
          </w:tcPr>
          <w:p w14:paraId="24F757D3">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val="en-US" w:eastAsia="zh-CN" w:bidi="ar"/>
              </w:rPr>
              <w:t>保留</w:t>
            </w:r>
          </w:p>
        </w:tc>
      </w:tr>
      <w:tr w14:paraId="6017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restart"/>
            <w:shd w:val="clear" w:color="auto" w:fill="auto"/>
            <w:vAlign w:val="center"/>
          </w:tcPr>
          <w:p w14:paraId="7D3824C9">
            <w:pPr>
              <w:keepNext/>
              <w:snapToGrid w:val="0"/>
              <w:ind w:left="0" w:leftChars="0" w:right="0" w:rightChars="0" w:firstLine="0" w:firstLineChars="0"/>
              <w:jc w:val="both"/>
              <w:rPr>
                <w:rFonts w:hint="default" w:ascii="Times New Roman" w:hAnsi="Times New Roman" w:eastAsia="宋体" w:cs="Times New Roman"/>
                <w:b w:val="0"/>
                <w:bCs w:val="0"/>
                <w:color w:val="000000"/>
                <w:sz w:val="18"/>
                <w:szCs w:val="18"/>
                <w:lang w:val="en-US" w:eastAsia="zh-CN"/>
              </w:rPr>
            </w:pPr>
            <w:r>
              <w:rPr>
                <w:rFonts w:hint="eastAsia" w:ascii="Times New Roman" w:hAnsi="Times New Roman" w:eastAsia="宋体" w:cs="Times New Roman"/>
                <w:b w:val="0"/>
                <w:bCs w:val="0"/>
                <w:color w:val="000000"/>
                <w:sz w:val="18"/>
                <w:szCs w:val="18"/>
                <w:lang w:val="en-US" w:eastAsia="zh-CN"/>
              </w:rPr>
              <w:t>阴虚阳亢证</w:t>
            </w:r>
          </w:p>
        </w:tc>
        <w:tc>
          <w:tcPr>
            <w:tcW w:w="2784" w:type="pct"/>
            <w:shd w:val="clear" w:color="auto" w:fill="auto"/>
            <w:vAlign w:val="center"/>
          </w:tcPr>
          <w:p w14:paraId="7169D73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rPr>
                <w:rFonts w:hint="eastAsia" w:ascii="Times New Roman" w:hAnsi="Times New Roman" w:eastAsia="宋体" w:cs="Times New Roman"/>
                <w:b w:val="0"/>
                <w:bCs w:val="0"/>
                <w:color w:val="auto"/>
                <w:sz w:val="18"/>
                <w:szCs w:val="21"/>
                <w:lang w:val="en-US" w:eastAsia="zh-CN"/>
              </w:rPr>
            </w:pPr>
            <w:r>
              <w:rPr>
                <w:rFonts w:hint="eastAsia" w:ascii="Times New Roman" w:hAnsi="Times New Roman" w:eastAsia="宋体" w:cs="Times New Roman"/>
                <w:b w:val="0"/>
                <w:bCs w:val="0"/>
                <w:color w:val="auto"/>
                <w:sz w:val="18"/>
                <w:szCs w:val="21"/>
                <w:lang w:val="en-US" w:eastAsia="zh-CN"/>
              </w:rPr>
              <w:t>病机：阴虚失制，阳亢上扰</w:t>
            </w:r>
          </w:p>
          <w:p w14:paraId="618F232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auto"/>
                <w:sz w:val="18"/>
                <w:szCs w:val="21"/>
                <w:lang w:val="en-US" w:eastAsia="zh-CN"/>
              </w:rPr>
              <w:t>治法：滋阴潜阳，和脉宁络</w:t>
            </w:r>
          </w:p>
        </w:tc>
        <w:tc>
          <w:tcPr>
            <w:tcW w:w="419" w:type="pct"/>
            <w:shd w:val="clear" w:color="auto" w:fill="auto"/>
            <w:vAlign w:val="center"/>
          </w:tcPr>
          <w:p w14:paraId="6B395B2D">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4.84</w:t>
            </w:r>
          </w:p>
        </w:tc>
        <w:tc>
          <w:tcPr>
            <w:tcW w:w="483" w:type="pct"/>
            <w:shd w:val="clear" w:color="auto" w:fill="auto"/>
            <w:vAlign w:val="center"/>
          </w:tcPr>
          <w:p w14:paraId="3D357901">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0.076</w:t>
            </w:r>
          </w:p>
        </w:tc>
        <w:tc>
          <w:tcPr>
            <w:tcW w:w="507" w:type="pct"/>
            <w:shd w:val="clear" w:color="auto" w:fill="auto"/>
            <w:vAlign w:val="center"/>
          </w:tcPr>
          <w:p w14:paraId="1D55963A">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84.1%</w:t>
            </w:r>
          </w:p>
        </w:tc>
        <w:tc>
          <w:tcPr>
            <w:tcW w:w="514" w:type="pct"/>
            <w:shd w:val="clear" w:color="auto" w:fill="auto"/>
            <w:vAlign w:val="center"/>
          </w:tcPr>
          <w:p w14:paraId="1159EDCD">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val="en-US" w:eastAsia="zh-CN" w:bidi="ar"/>
              </w:rPr>
              <w:t>保留</w:t>
            </w:r>
          </w:p>
        </w:tc>
      </w:tr>
      <w:tr w14:paraId="65DC5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12C477EE">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6E0E39B2">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bidi="ar"/>
              </w:rPr>
              <w:t>推荐方药：天麻钩藤饮（《中医内科杂病证治新义》）</w:t>
            </w:r>
          </w:p>
        </w:tc>
        <w:tc>
          <w:tcPr>
            <w:tcW w:w="419" w:type="pct"/>
            <w:shd w:val="clear" w:color="auto" w:fill="auto"/>
            <w:vAlign w:val="center"/>
          </w:tcPr>
          <w:p w14:paraId="1E168139">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4.70</w:t>
            </w:r>
          </w:p>
        </w:tc>
        <w:tc>
          <w:tcPr>
            <w:tcW w:w="483" w:type="pct"/>
            <w:shd w:val="clear" w:color="auto" w:fill="auto"/>
            <w:vAlign w:val="center"/>
          </w:tcPr>
          <w:p w14:paraId="059AE798">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0.109</w:t>
            </w:r>
          </w:p>
        </w:tc>
        <w:tc>
          <w:tcPr>
            <w:tcW w:w="507" w:type="pct"/>
            <w:shd w:val="clear" w:color="auto" w:fill="auto"/>
            <w:vAlign w:val="center"/>
          </w:tcPr>
          <w:p w14:paraId="5E1AA80B">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72.1%</w:t>
            </w:r>
          </w:p>
        </w:tc>
        <w:tc>
          <w:tcPr>
            <w:tcW w:w="514" w:type="pct"/>
            <w:shd w:val="clear" w:color="auto" w:fill="auto"/>
            <w:vAlign w:val="center"/>
          </w:tcPr>
          <w:p w14:paraId="52F465AA">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val="en-US" w:eastAsia="zh-CN" w:bidi="ar"/>
              </w:rPr>
              <w:t>保留</w:t>
            </w:r>
          </w:p>
        </w:tc>
      </w:tr>
      <w:tr w14:paraId="7B28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682984A0">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1AA80E5F">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bidi="ar"/>
              </w:rPr>
              <w:t>口服中成药：天麻钩藤颗粒，养血清脑颗粒，松龄血脉康胶囊</w:t>
            </w:r>
          </w:p>
        </w:tc>
        <w:tc>
          <w:tcPr>
            <w:tcW w:w="419" w:type="pct"/>
            <w:shd w:val="clear" w:color="auto" w:fill="auto"/>
            <w:vAlign w:val="center"/>
          </w:tcPr>
          <w:p w14:paraId="6C1FA211">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4.39</w:t>
            </w:r>
          </w:p>
        </w:tc>
        <w:tc>
          <w:tcPr>
            <w:tcW w:w="483" w:type="pct"/>
            <w:shd w:val="clear" w:color="auto" w:fill="auto"/>
            <w:vAlign w:val="center"/>
          </w:tcPr>
          <w:p w14:paraId="6575E20E">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0.120</w:t>
            </w:r>
          </w:p>
        </w:tc>
        <w:tc>
          <w:tcPr>
            <w:tcW w:w="507" w:type="pct"/>
            <w:shd w:val="clear" w:color="auto" w:fill="auto"/>
            <w:vAlign w:val="center"/>
          </w:tcPr>
          <w:p w14:paraId="07879036">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39.1%</w:t>
            </w:r>
          </w:p>
        </w:tc>
        <w:tc>
          <w:tcPr>
            <w:tcW w:w="514" w:type="pct"/>
            <w:shd w:val="clear" w:color="auto" w:fill="auto"/>
            <w:vAlign w:val="center"/>
          </w:tcPr>
          <w:p w14:paraId="51F28DD1">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color w:val="000000"/>
                <w:kern w:val="0"/>
                <w:sz w:val="18"/>
                <w:szCs w:val="18"/>
                <w:lang w:val="en-US" w:eastAsia="zh-CN" w:bidi="ar"/>
              </w:rPr>
            </w:pPr>
            <w:r>
              <w:rPr>
                <w:rFonts w:hint="eastAsia" w:ascii="Times New Roman" w:hAnsi="Times New Roman" w:eastAsia="宋体" w:cs="Times New Roman"/>
                <w:b w:val="0"/>
                <w:bCs w:val="0"/>
                <w:color w:val="000000"/>
                <w:kern w:val="0"/>
                <w:sz w:val="18"/>
                <w:szCs w:val="18"/>
                <w:lang w:val="en-US" w:eastAsia="zh-CN" w:bidi="ar"/>
              </w:rPr>
              <w:t>待共识</w:t>
            </w:r>
          </w:p>
        </w:tc>
      </w:tr>
      <w:tr w14:paraId="2D07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693FCFE4">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773BA5A7">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bidi="ar"/>
              </w:rPr>
              <w:t>中药静脉制剂：刺五加注射液</w:t>
            </w:r>
            <w:bookmarkStart w:id="0" w:name="_GoBack"/>
            <w:bookmarkEnd w:id="0"/>
          </w:p>
        </w:tc>
        <w:tc>
          <w:tcPr>
            <w:tcW w:w="419" w:type="pct"/>
            <w:shd w:val="clear" w:color="auto" w:fill="auto"/>
            <w:vAlign w:val="center"/>
          </w:tcPr>
          <w:p w14:paraId="5249E96F">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4.50</w:t>
            </w:r>
          </w:p>
        </w:tc>
        <w:tc>
          <w:tcPr>
            <w:tcW w:w="483" w:type="pct"/>
            <w:shd w:val="clear" w:color="auto" w:fill="auto"/>
            <w:vAlign w:val="center"/>
          </w:tcPr>
          <w:p w14:paraId="1D50A848">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0.140</w:t>
            </w:r>
          </w:p>
        </w:tc>
        <w:tc>
          <w:tcPr>
            <w:tcW w:w="507" w:type="pct"/>
            <w:shd w:val="clear" w:color="auto" w:fill="auto"/>
            <w:vAlign w:val="center"/>
          </w:tcPr>
          <w:p w14:paraId="16A3DE5E">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56.8%</w:t>
            </w:r>
          </w:p>
        </w:tc>
        <w:tc>
          <w:tcPr>
            <w:tcW w:w="514" w:type="pct"/>
            <w:shd w:val="clear" w:color="auto" w:fill="auto"/>
            <w:vAlign w:val="center"/>
          </w:tcPr>
          <w:p w14:paraId="6369AF9B">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val="en-US" w:eastAsia="zh-CN" w:bidi="ar"/>
              </w:rPr>
              <w:t>保留</w:t>
            </w:r>
          </w:p>
        </w:tc>
      </w:tr>
      <w:tr w14:paraId="31D9C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restart"/>
            <w:shd w:val="clear" w:color="auto" w:fill="auto"/>
            <w:vAlign w:val="center"/>
          </w:tcPr>
          <w:p w14:paraId="63C83376">
            <w:pPr>
              <w:keepNext/>
              <w:snapToGrid w:val="0"/>
              <w:ind w:left="0" w:leftChars="0" w:right="0" w:rightChars="0" w:firstLine="0" w:firstLineChars="0"/>
              <w:jc w:val="both"/>
              <w:rPr>
                <w:rFonts w:hint="default" w:ascii="Times New Roman" w:hAnsi="Times New Roman" w:eastAsia="宋体" w:cs="Times New Roman"/>
                <w:b w:val="0"/>
                <w:bCs w:val="0"/>
                <w:color w:val="000000"/>
                <w:sz w:val="18"/>
                <w:szCs w:val="18"/>
                <w:lang w:val="en-US" w:eastAsia="zh-CN"/>
              </w:rPr>
            </w:pPr>
            <w:r>
              <w:rPr>
                <w:rFonts w:hint="eastAsia" w:ascii="Times New Roman" w:hAnsi="Times New Roman" w:eastAsia="宋体" w:cs="Times New Roman"/>
                <w:b w:val="0"/>
                <w:bCs w:val="0"/>
                <w:color w:val="000000"/>
                <w:sz w:val="18"/>
                <w:szCs w:val="18"/>
                <w:lang w:val="en-US" w:eastAsia="zh-CN"/>
              </w:rPr>
              <w:t>痰瘀互结证</w:t>
            </w:r>
          </w:p>
        </w:tc>
        <w:tc>
          <w:tcPr>
            <w:tcW w:w="2784" w:type="pct"/>
            <w:shd w:val="clear" w:color="auto" w:fill="auto"/>
            <w:vAlign w:val="center"/>
          </w:tcPr>
          <w:p w14:paraId="5F972EA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2"/>
              <w:rPr>
                <w:rFonts w:hint="eastAsia" w:ascii="Times New Roman" w:hAnsi="宋体" w:eastAsia="宋体" w:cs="宋体"/>
                <w:b w:val="0"/>
                <w:bCs w:val="0"/>
                <w:color w:val="auto"/>
                <w:sz w:val="18"/>
                <w:szCs w:val="21"/>
                <w:lang w:val="en-US" w:eastAsia="zh-CN"/>
              </w:rPr>
            </w:pPr>
            <w:r>
              <w:rPr>
                <w:rFonts w:hint="eastAsia" w:ascii="Times New Roman" w:hAnsi="宋体" w:eastAsia="宋体" w:cs="宋体"/>
                <w:b w:val="0"/>
                <w:bCs w:val="0"/>
                <w:color w:val="auto"/>
                <w:sz w:val="18"/>
                <w:szCs w:val="21"/>
                <w:lang w:val="en-US" w:eastAsia="zh-CN"/>
              </w:rPr>
              <w:t>病机：痰瘀互结，脉道涩滞</w:t>
            </w:r>
          </w:p>
          <w:p w14:paraId="4158534F">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宋体" w:eastAsia="宋体" w:cs="宋体"/>
                <w:b w:val="0"/>
                <w:bCs w:val="0"/>
                <w:color w:val="auto"/>
                <w:sz w:val="18"/>
                <w:szCs w:val="21"/>
                <w:lang w:val="en-US" w:eastAsia="zh-CN"/>
              </w:rPr>
              <w:t>治法：</w:t>
            </w:r>
            <w:r>
              <w:rPr>
                <w:rFonts w:hint="eastAsia" w:ascii="Times New Roman" w:hAnsi="宋体" w:eastAsia="宋体" w:cs="宋体"/>
                <w:b w:val="0"/>
                <w:bCs w:val="0"/>
                <w:i w:val="0"/>
                <w:iCs w:val="0"/>
                <w:caps w:val="0"/>
                <w:color w:val="auto"/>
                <w:spacing w:val="0"/>
                <w:sz w:val="18"/>
                <w:szCs w:val="21"/>
              </w:rPr>
              <w:t>祛瘀化痰，活血通脉</w:t>
            </w:r>
          </w:p>
        </w:tc>
        <w:tc>
          <w:tcPr>
            <w:tcW w:w="419" w:type="pct"/>
            <w:shd w:val="clear" w:color="auto" w:fill="auto"/>
            <w:vAlign w:val="center"/>
          </w:tcPr>
          <w:p w14:paraId="5C49253D">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4.84</w:t>
            </w:r>
          </w:p>
        </w:tc>
        <w:tc>
          <w:tcPr>
            <w:tcW w:w="483" w:type="pct"/>
            <w:shd w:val="clear" w:color="auto" w:fill="auto"/>
            <w:vAlign w:val="center"/>
          </w:tcPr>
          <w:p w14:paraId="3AFB4924">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0.071</w:t>
            </w:r>
          </w:p>
        </w:tc>
        <w:tc>
          <w:tcPr>
            <w:tcW w:w="507" w:type="pct"/>
            <w:shd w:val="clear" w:color="auto" w:fill="auto"/>
            <w:vAlign w:val="center"/>
          </w:tcPr>
          <w:p w14:paraId="18035673">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86.4%</w:t>
            </w:r>
          </w:p>
        </w:tc>
        <w:tc>
          <w:tcPr>
            <w:tcW w:w="514" w:type="pct"/>
            <w:shd w:val="clear" w:color="auto" w:fill="auto"/>
            <w:vAlign w:val="center"/>
          </w:tcPr>
          <w:p w14:paraId="78C53DE2">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val="en-US" w:eastAsia="zh-CN" w:bidi="ar"/>
              </w:rPr>
              <w:t>保留</w:t>
            </w:r>
          </w:p>
        </w:tc>
      </w:tr>
      <w:tr w14:paraId="6D49F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126AFE69">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0D3E2A82">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bidi="ar"/>
              </w:rPr>
              <w:t>推荐方药：涤痰汤（《奇效良方》）合血府逐瘀汤（《医林改错》）</w:t>
            </w:r>
          </w:p>
        </w:tc>
        <w:tc>
          <w:tcPr>
            <w:tcW w:w="419" w:type="pct"/>
            <w:shd w:val="clear" w:color="auto" w:fill="auto"/>
            <w:vAlign w:val="center"/>
          </w:tcPr>
          <w:p w14:paraId="5D2C075D">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4.73</w:t>
            </w:r>
          </w:p>
        </w:tc>
        <w:tc>
          <w:tcPr>
            <w:tcW w:w="483" w:type="pct"/>
            <w:shd w:val="clear" w:color="auto" w:fill="auto"/>
            <w:vAlign w:val="center"/>
          </w:tcPr>
          <w:p w14:paraId="5F4FC11F">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0.099</w:t>
            </w:r>
          </w:p>
        </w:tc>
        <w:tc>
          <w:tcPr>
            <w:tcW w:w="507" w:type="pct"/>
            <w:shd w:val="clear" w:color="auto" w:fill="auto"/>
            <w:vAlign w:val="center"/>
          </w:tcPr>
          <w:p w14:paraId="454EC267">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68.2%</w:t>
            </w:r>
          </w:p>
        </w:tc>
        <w:tc>
          <w:tcPr>
            <w:tcW w:w="514" w:type="pct"/>
            <w:shd w:val="clear" w:color="auto" w:fill="auto"/>
            <w:vAlign w:val="center"/>
          </w:tcPr>
          <w:p w14:paraId="012158B4">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color w:val="000000"/>
                <w:kern w:val="0"/>
                <w:sz w:val="18"/>
                <w:szCs w:val="18"/>
                <w:lang w:val="en-US" w:eastAsia="zh-CN" w:bidi="ar"/>
              </w:rPr>
            </w:pPr>
            <w:r>
              <w:rPr>
                <w:rFonts w:hint="eastAsia" w:ascii="Times New Roman" w:hAnsi="Times New Roman" w:eastAsia="宋体" w:cs="Times New Roman"/>
                <w:b w:val="0"/>
                <w:bCs w:val="0"/>
                <w:color w:val="000000"/>
                <w:kern w:val="0"/>
                <w:sz w:val="18"/>
                <w:szCs w:val="18"/>
                <w:lang w:val="en-US" w:eastAsia="zh-CN" w:bidi="ar"/>
              </w:rPr>
              <w:t>保留</w:t>
            </w:r>
          </w:p>
        </w:tc>
      </w:tr>
      <w:tr w14:paraId="0F4E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722D40C7">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18D3A990">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bidi="ar"/>
              </w:rPr>
              <w:t>口服中成药：丹蒌片，血脂康胶囊，银杏叶片，降脂软脉片</w:t>
            </w:r>
          </w:p>
        </w:tc>
        <w:tc>
          <w:tcPr>
            <w:tcW w:w="419" w:type="pct"/>
            <w:shd w:val="clear" w:color="auto" w:fill="auto"/>
            <w:vAlign w:val="center"/>
          </w:tcPr>
          <w:p w14:paraId="6324B149">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4.59</w:t>
            </w:r>
          </w:p>
        </w:tc>
        <w:tc>
          <w:tcPr>
            <w:tcW w:w="483" w:type="pct"/>
            <w:shd w:val="clear" w:color="auto" w:fill="auto"/>
            <w:vAlign w:val="center"/>
          </w:tcPr>
          <w:p w14:paraId="4195DA9A">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0.107</w:t>
            </w:r>
          </w:p>
        </w:tc>
        <w:tc>
          <w:tcPr>
            <w:tcW w:w="507" w:type="pct"/>
            <w:shd w:val="clear" w:color="auto" w:fill="auto"/>
            <w:vAlign w:val="center"/>
          </w:tcPr>
          <w:p w14:paraId="34E6F84E">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59.1%</w:t>
            </w:r>
          </w:p>
        </w:tc>
        <w:tc>
          <w:tcPr>
            <w:tcW w:w="514" w:type="pct"/>
            <w:shd w:val="clear" w:color="auto" w:fill="auto"/>
            <w:vAlign w:val="center"/>
          </w:tcPr>
          <w:p w14:paraId="6B8979F6">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color w:val="000000"/>
                <w:kern w:val="0"/>
                <w:sz w:val="18"/>
                <w:szCs w:val="18"/>
                <w:lang w:val="en-US" w:eastAsia="zh-CN" w:bidi="ar"/>
              </w:rPr>
            </w:pPr>
            <w:r>
              <w:rPr>
                <w:rFonts w:hint="eastAsia" w:ascii="Times New Roman" w:hAnsi="Times New Roman" w:eastAsia="宋体" w:cs="Times New Roman"/>
                <w:b w:val="0"/>
                <w:bCs w:val="0"/>
                <w:color w:val="000000"/>
                <w:kern w:val="0"/>
                <w:sz w:val="18"/>
                <w:szCs w:val="18"/>
                <w:lang w:val="en-US" w:eastAsia="zh-CN" w:bidi="ar"/>
              </w:rPr>
              <w:t>保留</w:t>
            </w:r>
          </w:p>
        </w:tc>
      </w:tr>
      <w:tr w14:paraId="29293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41618EA5">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7AF0237E">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bidi="ar"/>
              </w:rPr>
              <w:t>中药静脉制剂：瓜蒌皮注射液，冠心宁注射液，注射用丹参多酚酸</w:t>
            </w:r>
          </w:p>
        </w:tc>
        <w:tc>
          <w:tcPr>
            <w:tcW w:w="419" w:type="pct"/>
            <w:shd w:val="clear" w:color="auto" w:fill="auto"/>
            <w:vAlign w:val="center"/>
          </w:tcPr>
          <w:p w14:paraId="48E3BB21">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4.50</w:t>
            </w:r>
          </w:p>
        </w:tc>
        <w:tc>
          <w:tcPr>
            <w:tcW w:w="483" w:type="pct"/>
            <w:shd w:val="clear" w:color="auto" w:fill="auto"/>
            <w:vAlign w:val="center"/>
          </w:tcPr>
          <w:p w14:paraId="11548FE0">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0.121</w:t>
            </w:r>
          </w:p>
        </w:tc>
        <w:tc>
          <w:tcPr>
            <w:tcW w:w="507" w:type="pct"/>
            <w:shd w:val="clear" w:color="auto" w:fill="auto"/>
            <w:vAlign w:val="center"/>
          </w:tcPr>
          <w:p w14:paraId="460DCED6">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54.5%</w:t>
            </w:r>
          </w:p>
        </w:tc>
        <w:tc>
          <w:tcPr>
            <w:tcW w:w="514" w:type="pct"/>
            <w:shd w:val="clear" w:color="auto" w:fill="auto"/>
            <w:vAlign w:val="center"/>
          </w:tcPr>
          <w:p w14:paraId="5975507B">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Style w:val="5"/>
                <w:rFonts w:ascii="Times New Roman" w:hAnsi="Segoe UI" w:eastAsia="宋体" w:cs="Segoe UI"/>
                <w:b w:val="0"/>
                <w:bCs w:val="0"/>
                <w:i w:val="0"/>
                <w:iCs w:val="0"/>
                <w:caps w:val="0"/>
                <w:spacing w:val="0"/>
                <w:sz w:val="18"/>
                <w:szCs w:val="21"/>
                <w:shd w:val="clear" w:fill="FFFFFF"/>
              </w:rPr>
              <w:t>保留</w:t>
            </w:r>
          </w:p>
        </w:tc>
      </w:tr>
      <w:tr w14:paraId="6FE5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restart"/>
            <w:shd w:val="clear" w:color="auto" w:fill="auto"/>
            <w:vAlign w:val="center"/>
          </w:tcPr>
          <w:p w14:paraId="753B5967">
            <w:pPr>
              <w:keepNext/>
              <w:snapToGrid w:val="0"/>
              <w:ind w:left="0" w:leftChars="0" w:right="0" w:rightChars="0" w:firstLine="0" w:firstLineChars="0"/>
              <w:jc w:val="both"/>
              <w:rPr>
                <w:rFonts w:hint="default" w:ascii="Times New Roman" w:hAnsi="Times New Roman" w:eastAsia="宋体" w:cs="Times New Roman"/>
                <w:b w:val="0"/>
                <w:bCs w:val="0"/>
                <w:color w:val="000000"/>
                <w:sz w:val="18"/>
                <w:szCs w:val="18"/>
                <w:lang w:val="en-US" w:eastAsia="zh-CN"/>
              </w:rPr>
            </w:pPr>
            <w:r>
              <w:rPr>
                <w:rFonts w:hint="eastAsia" w:ascii="Times New Roman" w:hAnsi="Times New Roman" w:eastAsia="宋体" w:cs="Times New Roman"/>
                <w:b w:val="0"/>
                <w:bCs w:val="0"/>
                <w:color w:val="000000"/>
                <w:sz w:val="18"/>
                <w:szCs w:val="18"/>
                <w:lang w:val="en-US" w:eastAsia="zh-CN"/>
              </w:rPr>
              <w:t>瘀毒化热证</w:t>
            </w:r>
          </w:p>
        </w:tc>
        <w:tc>
          <w:tcPr>
            <w:tcW w:w="2784" w:type="pct"/>
            <w:shd w:val="clear" w:color="auto" w:fill="auto"/>
            <w:vAlign w:val="center"/>
          </w:tcPr>
          <w:p w14:paraId="1308F77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rPr>
                <w:rFonts w:hint="eastAsia" w:ascii="Times New Roman" w:hAnsi="Times New Roman" w:eastAsia="宋体" w:cs="Times New Roman"/>
                <w:b w:val="0"/>
                <w:bCs w:val="0"/>
                <w:color w:val="auto"/>
                <w:sz w:val="18"/>
                <w:szCs w:val="21"/>
                <w:lang w:val="en-US" w:eastAsia="zh-CN"/>
              </w:rPr>
            </w:pPr>
            <w:r>
              <w:rPr>
                <w:rFonts w:hint="eastAsia" w:ascii="Times New Roman" w:hAnsi="Times New Roman" w:eastAsia="宋体" w:cs="Times New Roman"/>
                <w:b w:val="0"/>
                <w:bCs w:val="0"/>
                <w:color w:val="auto"/>
                <w:sz w:val="18"/>
                <w:szCs w:val="21"/>
                <w:lang w:val="en-US" w:eastAsia="zh-CN"/>
              </w:rPr>
              <w:t>病机：热毒内蕴，血瘀络滞</w:t>
            </w:r>
          </w:p>
          <w:p w14:paraId="4D76596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auto"/>
                <w:sz w:val="18"/>
                <w:szCs w:val="21"/>
                <w:lang w:val="en-US" w:eastAsia="zh-CN"/>
              </w:rPr>
              <w:t>治法：清热解毒，祛瘀通脉</w:t>
            </w:r>
          </w:p>
        </w:tc>
        <w:tc>
          <w:tcPr>
            <w:tcW w:w="419" w:type="pct"/>
            <w:shd w:val="clear" w:color="auto" w:fill="auto"/>
            <w:vAlign w:val="center"/>
          </w:tcPr>
          <w:p w14:paraId="224D354E">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4.84</w:t>
            </w:r>
          </w:p>
        </w:tc>
        <w:tc>
          <w:tcPr>
            <w:tcW w:w="483" w:type="pct"/>
            <w:shd w:val="clear" w:color="auto" w:fill="auto"/>
            <w:vAlign w:val="center"/>
          </w:tcPr>
          <w:p w14:paraId="13F3B65E">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0.076</w:t>
            </w:r>
          </w:p>
        </w:tc>
        <w:tc>
          <w:tcPr>
            <w:tcW w:w="507" w:type="pct"/>
            <w:shd w:val="clear" w:color="auto" w:fill="auto"/>
            <w:vAlign w:val="center"/>
          </w:tcPr>
          <w:p w14:paraId="23499739">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84.1%</w:t>
            </w:r>
          </w:p>
        </w:tc>
        <w:tc>
          <w:tcPr>
            <w:tcW w:w="514" w:type="pct"/>
            <w:shd w:val="clear" w:color="auto" w:fill="auto"/>
            <w:vAlign w:val="center"/>
          </w:tcPr>
          <w:p w14:paraId="148474C3">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color w:val="000000"/>
                <w:kern w:val="0"/>
                <w:sz w:val="18"/>
                <w:szCs w:val="18"/>
                <w:lang w:val="en-US" w:eastAsia="zh-CN" w:bidi="ar"/>
              </w:rPr>
            </w:pPr>
            <w:r>
              <w:rPr>
                <w:rFonts w:hint="eastAsia" w:ascii="Times New Roman" w:hAnsi="Times New Roman" w:eastAsia="宋体" w:cs="Times New Roman"/>
                <w:b w:val="0"/>
                <w:bCs w:val="0"/>
                <w:color w:val="000000"/>
                <w:kern w:val="0"/>
                <w:sz w:val="18"/>
                <w:szCs w:val="18"/>
                <w:lang w:val="en-US" w:eastAsia="zh-CN" w:bidi="ar"/>
              </w:rPr>
              <w:t>保留</w:t>
            </w:r>
          </w:p>
        </w:tc>
      </w:tr>
      <w:tr w14:paraId="4B2B7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58B8007F">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11296AAF">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bidi="ar"/>
              </w:rPr>
              <w:t>推荐方药：四妙勇安汤（《验方新编》）合黄连解毒汤（《外台秘要》）</w:t>
            </w:r>
          </w:p>
        </w:tc>
        <w:tc>
          <w:tcPr>
            <w:tcW w:w="419" w:type="pct"/>
            <w:shd w:val="clear" w:color="auto" w:fill="auto"/>
            <w:vAlign w:val="center"/>
          </w:tcPr>
          <w:p w14:paraId="7F7FADEC">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4.77</w:t>
            </w:r>
          </w:p>
        </w:tc>
        <w:tc>
          <w:tcPr>
            <w:tcW w:w="483" w:type="pct"/>
            <w:shd w:val="clear" w:color="auto" w:fill="auto"/>
            <w:vAlign w:val="center"/>
          </w:tcPr>
          <w:p w14:paraId="6D42223A">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0.089</w:t>
            </w:r>
          </w:p>
        </w:tc>
        <w:tc>
          <w:tcPr>
            <w:tcW w:w="507" w:type="pct"/>
            <w:shd w:val="clear" w:color="auto" w:fill="auto"/>
            <w:vAlign w:val="center"/>
          </w:tcPr>
          <w:p w14:paraId="12032380">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77.3%</w:t>
            </w:r>
          </w:p>
        </w:tc>
        <w:tc>
          <w:tcPr>
            <w:tcW w:w="514" w:type="pct"/>
            <w:shd w:val="clear" w:color="auto" w:fill="auto"/>
            <w:vAlign w:val="center"/>
          </w:tcPr>
          <w:p w14:paraId="7B41F829">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color w:val="000000"/>
                <w:kern w:val="0"/>
                <w:sz w:val="18"/>
                <w:szCs w:val="18"/>
                <w:lang w:val="en-US" w:eastAsia="zh-CN" w:bidi="ar"/>
              </w:rPr>
            </w:pPr>
            <w:r>
              <w:rPr>
                <w:rFonts w:hint="eastAsia" w:ascii="Times New Roman" w:hAnsi="Times New Roman" w:eastAsia="宋体" w:cs="Times New Roman"/>
                <w:b w:val="0"/>
                <w:bCs w:val="0"/>
                <w:color w:val="000000"/>
                <w:kern w:val="0"/>
                <w:sz w:val="18"/>
                <w:szCs w:val="18"/>
                <w:lang w:val="en-US" w:eastAsia="zh-CN" w:bidi="ar"/>
              </w:rPr>
              <w:t>保留</w:t>
            </w:r>
          </w:p>
        </w:tc>
      </w:tr>
      <w:tr w14:paraId="6093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5A8B3256">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4DF4C604">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bidi="ar"/>
              </w:rPr>
              <w:t>口服中成药：脉络舒通丸</w:t>
            </w:r>
          </w:p>
        </w:tc>
        <w:tc>
          <w:tcPr>
            <w:tcW w:w="419" w:type="pct"/>
            <w:shd w:val="clear" w:color="auto" w:fill="auto"/>
            <w:vAlign w:val="center"/>
          </w:tcPr>
          <w:p w14:paraId="304CE04B">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4.59</w:t>
            </w:r>
          </w:p>
        </w:tc>
        <w:tc>
          <w:tcPr>
            <w:tcW w:w="483" w:type="pct"/>
            <w:shd w:val="clear" w:color="auto" w:fill="auto"/>
            <w:vAlign w:val="center"/>
          </w:tcPr>
          <w:p w14:paraId="09CC5828">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0.108</w:t>
            </w:r>
          </w:p>
        </w:tc>
        <w:tc>
          <w:tcPr>
            <w:tcW w:w="507" w:type="pct"/>
            <w:shd w:val="clear" w:color="auto" w:fill="auto"/>
            <w:vAlign w:val="center"/>
          </w:tcPr>
          <w:p w14:paraId="26E14812">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56.8%</w:t>
            </w:r>
          </w:p>
        </w:tc>
        <w:tc>
          <w:tcPr>
            <w:tcW w:w="514" w:type="pct"/>
            <w:shd w:val="clear" w:color="auto" w:fill="auto"/>
            <w:vAlign w:val="center"/>
          </w:tcPr>
          <w:p w14:paraId="421E94BC">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color w:val="000000"/>
                <w:kern w:val="0"/>
                <w:sz w:val="18"/>
                <w:szCs w:val="18"/>
                <w:lang w:val="en-US" w:eastAsia="zh-CN" w:bidi="ar"/>
              </w:rPr>
            </w:pPr>
            <w:r>
              <w:rPr>
                <w:rFonts w:hint="eastAsia" w:ascii="Times New Roman" w:hAnsi="Times New Roman" w:eastAsia="宋体" w:cs="Times New Roman"/>
                <w:b w:val="0"/>
                <w:bCs w:val="0"/>
                <w:color w:val="000000"/>
                <w:kern w:val="0"/>
                <w:sz w:val="18"/>
                <w:szCs w:val="18"/>
                <w:lang w:val="en-US" w:eastAsia="zh-CN" w:bidi="ar"/>
              </w:rPr>
              <w:t>保留</w:t>
            </w:r>
          </w:p>
        </w:tc>
      </w:tr>
      <w:tr w14:paraId="6C9A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restart"/>
            <w:shd w:val="clear" w:color="auto" w:fill="auto"/>
            <w:vAlign w:val="center"/>
          </w:tcPr>
          <w:p w14:paraId="2A9BC533">
            <w:pPr>
              <w:keepNext/>
              <w:snapToGrid w:val="0"/>
              <w:ind w:left="0" w:leftChars="0" w:right="0" w:rightChars="0" w:firstLine="0" w:firstLineChars="0"/>
              <w:jc w:val="both"/>
              <w:rPr>
                <w:rFonts w:hint="default" w:ascii="Times New Roman" w:hAnsi="Times New Roman" w:eastAsia="宋体" w:cs="Times New Roman"/>
                <w:b w:val="0"/>
                <w:bCs w:val="0"/>
                <w:color w:val="000000"/>
                <w:sz w:val="18"/>
                <w:szCs w:val="18"/>
                <w:lang w:val="en-US" w:eastAsia="zh-CN"/>
              </w:rPr>
            </w:pPr>
            <w:r>
              <w:rPr>
                <w:rFonts w:hint="eastAsia" w:ascii="Times New Roman" w:hAnsi="Times New Roman" w:eastAsia="宋体" w:cs="Times New Roman"/>
                <w:b w:val="0"/>
                <w:bCs w:val="0"/>
                <w:color w:val="000000"/>
                <w:sz w:val="18"/>
                <w:szCs w:val="18"/>
                <w:lang w:val="en-US" w:eastAsia="zh-CN"/>
              </w:rPr>
              <w:t>预防调摄</w:t>
            </w:r>
          </w:p>
        </w:tc>
        <w:tc>
          <w:tcPr>
            <w:tcW w:w="2784" w:type="pct"/>
            <w:shd w:val="clear" w:color="auto" w:fill="auto"/>
            <w:vAlign w:val="center"/>
          </w:tcPr>
          <w:p w14:paraId="58A5511E">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bidi="ar"/>
              </w:rPr>
              <w:t>血管衰老预防调摄的生活方式建议为：应积极规范管控高血压、糖尿病、高脂血症等与血管衰老相关的基础疾病，同时做到戒烟限酒及调节饮食，注意气候变化，调摄情志、保持心情舒畅，起居规律、劳逸结合，适度开展散步、太极拳等中医传统有氧运动，以改善血管弹性、延缓血管功能减退。</w:t>
            </w:r>
          </w:p>
        </w:tc>
        <w:tc>
          <w:tcPr>
            <w:tcW w:w="419" w:type="pct"/>
            <w:shd w:val="clear" w:color="auto" w:fill="auto"/>
            <w:vAlign w:val="center"/>
          </w:tcPr>
          <w:p w14:paraId="1DA08C4F">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4.54</w:t>
            </w:r>
          </w:p>
        </w:tc>
        <w:tc>
          <w:tcPr>
            <w:tcW w:w="483" w:type="pct"/>
            <w:shd w:val="clear" w:color="auto" w:fill="auto"/>
            <w:vAlign w:val="center"/>
          </w:tcPr>
          <w:p w14:paraId="0483271C">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0.109</w:t>
            </w:r>
          </w:p>
        </w:tc>
        <w:tc>
          <w:tcPr>
            <w:tcW w:w="507" w:type="pct"/>
            <w:shd w:val="clear" w:color="auto" w:fill="auto"/>
            <w:vAlign w:val="center"/>
          </w:tcPr>
          <w:p w14:paraId="5E78AB13">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56.5%</w:t>
            </w:r>
          </w:p>
        </w:tc>
        <w:tc>
          <w:tcPr>
            <w:tcW w:w="514" w:type="pct"/>
            <w:shd w:val="clear" w:color="auto" w:fill="auto"/>
            <w:vAlign w:val="center"/>
          </w:tcPr>
          <w:p w14:paraId="156036CA">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Style w:val="5"/>
                <w:rFonts w:ascii="Times New Roman" w:hAnsi="Segoe UI" w:eastAsia="宋体" w:cs="Segoe UI"/>
                <w:b w:val="0"/>
                <w:bCs w:val="0"/>
                <w:i w:val="0"/>
                <w:iCs w:val="0"/>
                <w:caps w:val="0"/>
                <w:spacing w:val="0"/>
                <w:sz w:val="18"/>
                <w:szCs w:val="21"/>
                <w:shd w:val="clear" w:fill="FFFFFF"/>
              </w:rPr>
              <w:t>保留</w:t>
            </w:r>
          </w:p>
        </w:tc>
      </w:tr>
      <w:tr w14:paraId="427BD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Merge w:val="continue"/>
            <w:shd w:val="clear" w:color="auto" w:fill="auto"/>
            <w:vAlign w:val="center"/>
          </w:tcPr>
          <w:p w14:paraId="244B410A">
            <w:pPr>
              <w:keepNext/>
              <w:snapToGrid w:val="0"/>
              <w:ind w:left="0" w:leftChars="0" w:right="0" w:rightChars="0" w:firstLine="0" w:firstLineChars="0"/>
              <w:jc w:val="both"/>
              <w:rPr>
                <w:rFonts w:ascii="Times New Roman" w:hAnsi="Times New Roman" w:eastAsia="宋体" w:cs="Times New Roman"/>
                <w:b w:val="0"/>
                <w:bCs w:val="0"/>
                <w:color w:val="000000"/>
                <w:sz w:val="18"/>
                <w:szCs w:val="18"/>
              </w:rPr>
            </w:pPr>
          </w:p>
        </w:tc>
        <w:tc>
          <w:tcPr>
            <w:tcW w:w="2784" w:type="pct"/>
            <w:shd w:val="clear" w:color="auto" w:fill="auto"/>
            <w:vAlign w:val="center"/>
          </w:tcPr>
          <w:p w14:paraId="72FAE311">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hint="eastAsia" w:ascii="Times New Roman" w:hAnsi="Times New Roman" w:eastAsia="宋体" w:cs="Times New Roman"/>
                <w:b w:val="0"/>
                <w:bCs w:val="0"/>
                <w:color w:val="000000"/>
                <w:kern w:val="0"/>
                <w:sz w:val="18"/>
                <w:szCs w:val="18"/>
                <w:lang w:bidi="ar"/>
              </w:rPr>
              <w:t>血管衰老预防调摄的定期检查建议为：40岁以上高危人群建议每年至少进行1次血管相关检查（如PWV、cIMT等），以早期发现并干预血管衰老迹象；对于年龄≥60岁的，或存在≥2项危险因素，或合并糖尿病、高血压、高脂血症等基础疾病的高危人群，建议每年至少进行2次血管相关检查，强化监测频率。</w:t>
            </w:r>
          </w:p>
        </w:tc>
        <w:tc>
          <w:tcPr>
            <w:tcW w:w="419" w:type="pct"/>
            <w:shd w:val="clear" w:color="auto" w:fill="auto"/>
            <w:vAlign w:val="center"/>
          </w:tcPr>
          <w:p w14:paraId="57643DB6">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4.59</w:t>
            </w:r>
          </w:p>
        </w:tc>
        <w:tc>
          <w:tcPr>
            <w:tcW w:w="483" w:type="pct"/>
            <w:shd w:val="clear" w:color="auto" w:fill="auto"/>
            <w:vAlign w:val="center"/>
          </w:tcPr>
          <w:p w14:paraId="566782B1">
            <w:pPr>
              <w:keepNext/>
              <w:widowControl/>
              <w:snapToGrid w:val="0"/>
              <w:ind w:left="0" w:leftChars="0" w:right="0" w:rightChars="0" w:firstLine="0" w:firstLineChars="0"/>
              <w:jc w:val="both"/>
              <w:textAlignment w:val="center"/>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0.107</w:t>
            </w:r>
          </w:p>
        </w:tc>
        <w:tc>
          <w:tcPr>
            <w:tcW w:w="507" w:type="pct"/>
            <w:shd w:val="clear" w:color="auto" w:fill="auto"/>
            <w:vAlign w:val="center"/>
          </w:tcPr>
          <w:p w14:paraId="41976838">
            <w:pPr>
              <w:keepNext/>
              <w:widowControl/>
              <w:snapToGrid w:val="0"/>
              <w:ind w:left="0" w:leftChars="0" w:right="0" w:rightChars="0" w:firstLine="0" w:firstLineChars="0"/>
              <w:jc w:val="both"/>
              <w:textAlignment w:val="bottom"/>
              <w:rPr>
                <w:rFonts w:ascii="Times New Roman" w:hAnsi="Times New Roman" w:eastAsia="宋体" w:cs="Times New Roman"/>
                <w:b w:val="0"/>
                <w:bCs w:val="0"/>
                <w:color w:val="000000"/>
                <w:kern w:val="0"/>
                <w:sz w:val="18"/>
                <w:szCs w:val="18"/>
                <w:lang w:bidi="ar"/>
              </w:rPr>
            </w:pPr>
            <w:r>
              <w:rPr>
                <w:rFonts w:ascii="Times New Roman" w:hAnsi="Segoe UI" w:eastAsia="宋体" w:cs="Segoe UI"/>
                <w:b w:val="0"/>
                <w:bCs w:val="0"/>
                <w:i w:val="0"/>
                <w:iCs w:val="0"/>
                <w:caps w:val="0"/>
                <w:spacing w:val="0"/>
                <w:sz w:val="18"/>
                <w:szCs w:val="21"/>
                <w:shd w:val="clear" w:fill="FFFFFF"/>
              </w:rPr>
              <w:t>58.7%</w:t>
            </w:r>
          </w:p>
        </w:tc>
        <w:tc>
          <w:tcPr>
            <w:tcW w:w="514" w:type="pct"/>
            <w:shd w:val="clear" w:color="auto" w:fill="auto"/>
            <w:vAlign w:val="center"/>
          </w:tcPr>
          <w:p w14:paraId="051ABF96">
            <w:pPr>
              <w:keepNext/>
              <w:widowControl/>
              <w:snapToGrid w:val="0"/>
              <w:ind w:left="0" w:leftChars="0" w:right="0" w:rightChars="0" w:firstLine="0" w:firstLineChars="0"/>
              <w:jc w:val="both"/>
              <w:textAlignment w:val="center"/>
              <w:rPr>
                <w:rFonts w:hint="eastAsia" w:ascii="Times New Roman" w:hAnsi="Times New Roman" w:eastAsia="宋体" w:cs="Times New Roman"/>
                <w:b w:val="0"/>
                <w:bCs w:val="0"/>
                <w:color w:val="000000"/>
                <w:kern w:val="0"/>
                <w:sz w:val="18"/>
                <w:szCs w:val="18"/>
                <w:lang w:val="en-US" w:eastAsia="zh-CN" w:bidi="ar"/>
              </w:rPr>
            </w:pPr>
            <w:r>
              <w:rPr>
                <w:rFonts w:hint="eastAsia" w:ascii="Times New Roman" w:hAnsi="Times New Roman" w:eastAsia="宋体" w:cs="Times New Roman"/>
                <w:b w:val="0"/>
                <w:bCs w:val="0"/>
                <w:color w:val="000000"/>
                <w:kern w:val="0"/>
                <w:sz w:val="18"/>
                <w:szCs w:val="18"/>
                <w:lang w:val="en-US" w:eastAsia="zh-CN" w:bidi="ar"/>
              </w:rPr>
              <w:t>保留</w:t>
            </w:r>
          </w:p>
        </w:tc>
      </w:tr>
    </w:tbl>
    <w:p w14:paraId="46B6B678">
      <w:pPr>
        <w:widowControl/>
        <w:spacing w:line="360" w:lineRule="auto"/>
        <w:ind w:firstLine="480"/>
        <w:jc w:val="both"/>
        <w:rPr>
          <w:rFonts w:hint="eastAsia" w:cs="Times New Roman" w:eastAsiaTheme="minorEastAsia"/>
          <w:b/>
          <w:bCs/>
          <w:color w:val="auto"/>
          <w:sz w:val="24"/>
          <w:highlight w:val="none"/>
          <w:lang w:val="en-US" w:eastAsia="zh-CN"/>
        </w:rPr>
      </w:pPr>
      <w:r>
        <w:rPr>
          <w:rFonts w:hint="eastAsia" w:cs="Times New Roman" w:eastAsiaTheme="minorEastAsia"/>
          <w:b/>
          <w:bCs/>
          <w:color w:val="auto"/>
          <w:sz w:val="24"/>
          <w:highlight w:val="none"/>
          <w:lang w:val="en-US" w:eastAsia="zh-CN"/>
        </w:rPr>
        <w:t>（五）专家组会议</w:t>
      </w:r>
    </w:p>
    <w:p w14:paraId="327306D2">
      <w:pPr>
        <w:widowControl/>
        <w:spacing w:line="360" w:lineRule="auto"/>
        <w:ind w:firstLine="480"/>
        <w:jc w:val="both"/>
        <w:rPr>
          <w:rFonts w:hint="default" w:cs="Times New Roman" w:eastAsiaTheme="minorEastAsia"/>
          <w:b w:val="0"/>
          <w:bCs w:val="0"/>
          <w:color w:val="auto"/>
          <w:sz w:val="24"/>
          <w:highlight w:val="none"/>
          <w:lang w:val="en-US" w:eastAsia="zh-CN"/>
        </w:rPr>
      </w:pPr>
      <w:r>
        <w:rPr>
          <w:rFonts w:hint="default" w:cs="Times New Roman" w:eastAsiaTheme="minorEastAsia"/>
          <w:b w:val="0"/>
          <w:bCs w:val="0"/>
          <w:color w:val="auto"/>
          <w:sz w:val="24"/>
          <w:highlight w:val="none"/>
          <w:lang w:val="en-US" w:eastAsia="zh-CN"/>
        </w:rPr>
        <w:t>2025年12月24日，项目组就待共识内容与</w:t>
      </w:r>
      <w:r>
        <w:rPr>
          <w:rFonts w:hint="eastAsia" w:cs="Times New Roman" w:eastAsiaTheme="minorEastAsia"/>
          <w:b w:val="0"/>
          <w:bCs w:val="0"/>
          <w:color w:val="auto"/>
          <w:sz w:val="24"/>
          <w:highlight w:val="none"/>
          <w:lang w:val="en-US" w:eastAsia="zh-CN"/>
        </w:rPr>
        <w:t>第1、2轮咨询问卷</w:t>
      </w:r>
      <w:r>
        <w:rPr>
          <w:rFonts w:hint="default" w:cs="Times New Roman" w:eastAsiaTheme="minorEastAsia"/>
          <w:b w:val="0"/>
          <w:bCs w:val="0"/>
          <w:color w:val="auto"/>
          <w:sz w:val="24"/>
          <w:highlight w:val="none"/>
          <w:lang w:val="en-US" w:eastAsia="zh-CN"/>
        </w:rPr>
        <w:t>7个部分共32项核心条目内容召开专家论证会，共45名专家参会，专家与会上积极讨论，并提出</w:t>
      </w:r>
      <w:r>
        <w:rPr>
          <w:rFonts w:hint="eastAsia" w:ascii="宋体" w:hAnsi="宋体" w:eastAsia="宋体" w:cs="宋体"/>
          <w:b w:val="0"/>
          <w:bCs w:val="0"/>
          <w:color w:val="auto"/>
          <w:sz w:val="24"/>
          <w:highlight w:val="none"/>
          <w:lang w:val="en-US" w:eastAsia="zh-CN"/>
        </w:rPr>
        <w:t>“阴虚阳亢的舌象，极有可能出现伤阴、阴亏的表现，如出现裂纹舌、绛红舌”“气阴两虚证的次症建议去掉情志抑郁或烦躁”</w:t>
      </w:r>
      <w:r>
        <w:rPr>
          <w:rFonts w:hint="default" w:cs="Times New Roman" w:eastAsiaTheme="minorEastAsia"/>
          <w:b w:val="0"/>
          <w:bCs w:val="0"/>
          <w:color w:val="auto"/>
          <w:sz w:val="24"/>
          <w:highlight w:val="none"/>
          <w:lang w:val="en-US" w:eastAsia="zh-CN"/>
        </w:rPr>
        <w:t>等修改建议。</w:t>
      </w:r>
      <w:r>
        <w:rPr>
          <w:rFonts w:hint="eastAsia" w:cs="Times New Roman" w:eastAsiaTheme="minorEastAsia"/>
          <w:b w:val="0"/>
          <w:bCs w:val="0"/>
          <w:color w:val="auto"/>
          <w:sz w:val="24"/>
          <w:highlight w:val="none"/>
          <w:lang w:val="en-US" w:eastAsia="zh-CN"/>
        </w:rPr>
        <w:t>最终，</w:t>
      </w:r>
      <w:r>
        <w:rPr>
          <w:rFonts w:hint="default" w:cs="Times New Roman" w:eastAsiaTheme="minorEastAsia"/>
          <w:b w:val="0"/>
          <w:bCs w:val="0"/>
          <w:color w:val="auto"/>
          <w:sz w:val="24"/>
          <w:highlight w:val="none"/>
          <w:lang w:val="en-US" w:eastAsia="zh-CN"/>
        </w:rPr>
        <w:t>经参会专家充分交流论证，《血管衰老中医诊疗规范》初稿16个部分共计56条核心条目均达成完全共识，无争议性条目遗留；并与会后形成征求意见稿。汇总内容见表</w:t>
      </w:r>
      <w:r>
        <w:rPr>
          <w:rFonts w:hint="eastAsia" w:cs="Times New Roman" w:eastAsiaTheme="minorEastAsia"/>
          <w:b w:val="0"/>
          <w:bCs w:val="0"/>
          <w:color w:val="auto"/>
          <w:sz w:val="24"/>
          <w:highlight w:val="none"/>
          <w:lang w:val="en-US" w:eastAsia="zh-CN"/>
        </w:rPr>
        <w:t>4</w:t>
      </w:r>
      <w:r>
        <w:rPr>
          <w:rFonts w:hint="default" w:cs="Times New Roman" w:eastAsiaTheme="minorEastAsia"/>
          <w:b w:val="0"/>
          <w:bCs w:val="0"/>
          <w:color w:val="auto"/>
          <w:sz w:val="24"/>
          <w:highlight w:val="none"/>
          <w:lang w:val="en-US" w:eastAsia="zh-CN"/>
        </w:rPr>
        <w:t>。</w:t>
      </w:r>
    </w:p>
    <w:p w14:paraId="3EB935E1">
      <w:pPr>
        <w:widowControl/>
        <w:spacing w:line="360" w:lineRule="auto"/>
        <w:ind w:left="0" w:leftChars="0" w:firstLine="0" w:firstLineChars="0"/>
        <w:jc w:val="both"/>
        <w:rPr>
          <w:rFonts w:hint="default" w:cs="Times New Roman" w:eastAsiaTheme="minorEastAsia"/>
          <w:b w:val="0"/>
          <w:bCs w:val="0"/>
          <w:color w:val="auto"/>
          <w:sz w:val="24"/>
          <w:highlight w:val="none"/>
          <w:lang w:val="en-US" w:eastAsia="zh-CN"/>
        </w:rPr>
      </w:pPr>
      <w:r>
        <w:rPr>
          <w:rFonts w:hint="default" w:asciiTheme="minorEastAsia" w:hAnsiTheme="minorEastAsia" w:eastAsiaTheme="minorEastAsia" w:cstheme="minorEastAsia"/>
          <w:color w:val="auto"/>
          <w:kern w:val="0"/>
          <w:sz w:val="24"/>
          <w:highlight w:val="none"/>
          <w:lang w:val="en-US" w:eastAsia="zh-CN"/>
        </w:rPr>
        <w:drawing>
          <wp:anchor distT="0" distB="0" distL="114300" distR="114300" simplePos="0" relativeHeight="251665408" behindDoc="0" locked="0" layoutInCell="1" allowOverlap="1">
            <wp:simplePos x="0" y="0"/>
            <wp:positionH relativeFrom="column">
              <wp:posOffset>4399280</wp:posOffset>
            </wp:positionH>
            <wp:positionV relativeFrom="page">
              <wp:posOffset>1558290</wp:posOffset>
            </wp:positionV>
            <wp:extent cx="1367790" cy="2961640"/>
            <wp:effectExtent l="0" t="0" r="3810" b="10160"/>
            <wp:wrapTopAndBottom/>
            <wp:docPr id="7" name="图片 7" descr="023df26d1585aa07136e40eb495207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23df26d1585aa07136e40eb495207bb"/>
                    <pic:cNvPicPr>
                      <a:picLocks noChangeAspect="1"/>
                    </pic:cNvPicPr>
                  </pic:nvPicPr>
                  <pic:blipFill>
                    <a:blip r:embed="rId10"/>
                    <a:stretch>
                      <a:fillRect/>
                    </a:stretch>
                  </pic:blipFill>
                  <pic:spPr>
                    <a:xfrm>
                      <a:off x="0" y="0"/>
                      <a:ext cx="1367790" cy="2961640"/>
                    </a:xfrm>
                    <a:prstGeom prst="rect">
                      <a:avLst/>
                    </a:prstGeom>
                  </pic:spPr>
                </pic:pic>
              </a:graphicData>
            </a:graphic>
          </wp:anchor>
        </w:drawing>
      </w:r>
      <w:r>
        <w:rPr>
          <w:rFonts w:hint="default" w:asciiTheme="minorEastAsia" w:hAnsiTheme="minorEastAsia" w:eastAsiaTheme="minorEastAsia" w:cstheme="minorEastAsia"/>
          <w:color w:val="auto"/>
          <w:kern w:val="0"/>
          <w:sz w:val="24"/>
          <w:highlight w:val="none"/>
          <w:lang w:val="en-US" w:eastAsia="zh-CN"/>
        </w:rPr>
        <w:drawing>
          <wp:anchor distT="0" distB="0" distL="114300" distR="114300" simplePos="0" relativeHeight="251663360" behindDoc="0" locked="0" layoutInCell="1" allowOverlap="1">
            <wp:simplePos x="0" y="0"/>
            <wp:positionH relativeFrom="column">
              <wp:posOffset>3003550</wp:posOffset>
            </wp:positionH>
            <wp:positionV relativeFrom="page">
              <wp:posOffset>1561465</wp:posOffset>
            </wp:positionV>
            <wp:extent cx="1371600" cy="2972435"/>
            <wp:effectExtent l="0" t="0" r="0" b="18415"/>
            <wp:wrapSquare wrapText="bothSides"/>
            <wp:docPr id="6" name="图片 6" descr="f69a09d3afabff2f84b82606bcadd7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69a09d3afabff2f84b82606bcadd7bf"/>
                    <pic:cNvPicPr>
                      <a:picLocks noChangeAspect="1"/>
                    </pic:cNvPicPr>
                  </pic:nvPicPr>
                  <pic:blipFill>
                    <a:blip r:embed="rId11"/>
                    <a:stretch>
                      <a:fillRect/>
                    </a:stretch>
                  </pic:blipFill>
                  <pic:spPr>
                    <a:xfrm>
                      <a:off x="0" y="0"/>
                      <a:ext cx="1371600" cy="2972435"/>
                    </a:xfrm>
                    <a:prstGeom prst="rect">
                      <a:avLst/>
                    </a:prstGeom>
                  </pic:spPr>
                </pic:pic>
              </a:graphicData>
            </a:graphic>
          </wp:anchor>
        </w:drawing>
      </w:r>
      <w:r>
        <w:rPr>
          <w:rFonts w:hint="default" w:asciiTheme="minorEastAsia" w:hAnsiTheme="minorEastAsia" w:eastAsiaTheme="minorEastAsia" w:cstheme="minorEastAsia"/>
          <w:color w:val="auto"/>
          <w:kern w:val="0"/>
          <w:sz w:val="24"/>
          <w:highlight w:val="none"/>
          <w:lang w:val="en-US" w:eastAsia="zh-CN"/>
        </w:rPr>
        <w:drawing>
          <wp:anchor distT="0" distB="0" distL="114300" distR="114300" simplePos="0" relativeHeight="251664384" behindDoc="0" locked="0" layoutInCell="1" allowOverlap="1">
            <wp:simplePos x="0" y="0"/>
            <wp:positionH relativeFrom="column">
              <wp:posOffset>19050</wp:posOffset>
            </wp:positionH>
            <wp:positionV relativeFrom="page">
              <wp:posOffset>1550670</wp:posOffset>
            </wp:positionV>
            <wp:extent cx="2981960" cy="2990215"/>
            <wp:effectExtent l="0" t="0" r="8890" b="635"/>
            <wp:wrapTopAndBottom/>
            <wp:docPr id="5" name="图片 5" descr="c6a05c150f0cd98d9cf15a93f8904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6a05c150f0cd98d9cf15a93f8904e44"/>
                    <pic:cNvPicPr>
                      <a:picLocks noChangeAspect="1"/>
                    </pic:cNvPicPr>
                  </pic:nvPicPr>
                  <pic:blipFill>
                    <a:blip r:embed="rId12"/>
                    <a:stretch>
                      <a:fillRect/>
                    </a:stretch>
                  </pic:blipFill>
                  <pic:spPr>
                    <a:xfrm>
                      <a:off x="0" y="0"/>
                      <a:ext cx="2981960" cy="2990215"/>
                    </a:xfrm>
                    <a:prstGeom prst="rect">
                      <a:avLst/>
                    </a:prstGeom>
                  </pic:spPr>
                </pic:pic>
              </a:graphicData>
            </a:graphic>
          </wp:anchor>
        </w:drawing>
      </w:r>
    </w:p>
    <w:p w14:paraId="728D0ACF">
      <w:pPr>
        <w:widowControl/>
        <w:spacing w:line="360" w:lineRule="auto"/>
        <w:ind w:firstLine="480"/>
        <w:jc w:val="both"/>
        <w:rPr>
          <w:rFonts w:hint="default" w:cs="Times New Roman" w:eastAsiaTheme="minorEastAsia"/>
          <w:b w:val="0"/>
          <w:bCs w:val="0"/>
          <w:color w:val="auto"/>
          <w:sz w:val="24"/>
          <w:highlight w:val="none"/>
          <w:lang w:val="en-US" w:eastAsia="zh-CN"/>
        </w:rPr>
      </w:pPr>
      <w:r>
        <w:rPr>
          <w:rFonts w:hint="eastAsia" w:cs="Times New Roman" w:eastAsiaTheme="minorEastAsia"/>
          <w:b w:val="0"/>
          <w:bCs w:val="0"/>
          <w:color w:val="auto"/>
          <w:sz w:val="24"/>
          <w:highlight w:val="none"/>
          <w:lang w:val="en-US" w:eastAsia="zh-CN"/>
        </w:rPr>
        <w:t>表4 《血管衰老中医诊疗规范》核心要素及专家共识度</w:t>
      </w:r>
    </w:p>
    <w:tbl>
      <w:tblPr>
        <w:tblStyle w:val="9"/>
        <w:tblW w:w="10038"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90"/>
        <w:gridCol w:w="3216"/>
        <w:gridCol w:w="1176"/>
        <w:gridCol w:w="3123"/>
        <w:gridCol w:w="1133"/>
      </w:tblGrid>
      <w:tr w14:paraId="6F9867F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1390" w:type="dxa"/>
            <w:tcBorders>
              <w:top w:val="single" w:color="auto" w:sz="12" w:space="0"/>
              <w:left w:val="nil"/>
              <w:bottom w:val="single" w:color="auto" w:sz="6" w:space="0"/>
              <w:right w:val="nil"/>
              <w:insideH w:val="single" w:sz="6" w:space="0"/>
              <w:insideV w:val="nil"/>
              <w:tl2br w:val="nil"/>
              <w:tr2bl w:val="nil"/>
            </w:tcBorders>
            <w:vAlign w:val="center"/>
          </w:tcPr>
          <w:p w14:paraId="7D79E77A">
            <w:pPr>
              <w:pStyle w:val="6"/>
              <w:tabs>
                <w:tab w:val="center" w:pos="4201"/>
                <w:tab w:val="right" w:leader="dot" w:pos="9298"/>
              </w:tabs>
              <w:wordWrap w:val="0"/>
              <w:snapToGrid w:val="0"/>
              <w:spacing w:before="240" w:beforeLines="100" w:after="240" w:afterLines="100" w:line="240" w:lineRule="auto"/>
              <w:ind w:left="0" w:leftChars="0" w:right="0" w:rightChars="0" w:firstLine="0" w:firstLineChars="0"/>
              <w:jc w:val="both"/>
              <w:rPr>
                <w:rFonts w:hint="eastAsia" w:ascii="黑体" w:hAnsi="黑体" w:eastAsia="黑体" w:cs="黑体"/>
                <w:b/>
                <w:bCs/>
                <w:color w:val="auto"/>
                <w:sz w:val="21"/>
                <w:szCs w:val="21"/>
              </w:rPr>
            </w:pPr>
            <w:r>
              <w:rPr>
                <w:rFonts w:hint="eastAsia" w:ascii="黑体" w:hAnsi="黑体" w:eastAsia="黑体" w:cs="黑体"/>
                <w:b/>
                <w:bCs/>
                <w:color w:val="auto"/>
                <w:sz w:val="21"/>
                <w:szCs w:val="21"/>
              </w:rPr>
              <w:t>证型</w:t>
            </w:r>
          </w:p>
        </w:tc>
        <w:tc>
          <w:tcPr>
            <w:tcW w:w="3216" w:type="dxa"/>
            <w:tcBorders>
              <w:top w:val="single" w:color="auto" w:sz="12" w:space="0"/>
              <w:bottom w:val="single" w:color="auto" w:sz="6" w:space="0"/>
              <w:right w:val="nil"/>
              <w:insideH w:val="single" w:sz="6" w:space="0"/>
              <w:insideV w:val="nil"/>
              <w:tl2br w:val="nil"/>
              <w:tr2bl w:val="nil"/>
            </w:tcBorders>
            <w:vAlign w:val="center"/>
          </w:tcPr>
          <w:p w14:paraId="30E7797E">
            <w:pPr>
              <w:pStyle w:val="6"/>
              <w:tabs>
                <w:tab w:val="center" w:pos="4201"/>
                <w:tab w:val="right" w:leader="dot" w:pos="9298"/>
              </w:tabs>
              <w:wordWrap w:val="0"/>
              <w:snapToGrid w:val="0"/>
              <w:spacing w:before="240" w:beforeLines="100" w:after="240" w:afterLines="100" w:line="240" w:lineRule="auto"/>
              <w:ind w:left="0" w:leftChars="0" w:right="0" w:rightChars="0" w:firstLine="0" w:firstLineChars="0"/>
              <w:jc w:val="both"/>
              <w:rPr>
                <w:rFonts w:hint="eastAsia" w:ascii="黑体" w:hAnsi="黑体" w:eastAsia="黑体" w:cs="黑体"/>
                <w:b/>
                <w:bCs/>
                <w:color w:val="auto"/>
                <w:szCs w:val="21"/>
              </w:rPr>
            </w:pPr>
            <w:r>
              <w:rPr>
                <w:rFonts w:hint="eastAsia" w:ascii="黑体" w:hAnsi="黑体" w:eastAsia="黑体" w:cs="黑体"/>
                <w:b/>
                <w:bCs/>
                <w:color w:val="auto"/>
                <w:szCs w:val="21"/>
              </w:rPr>
              <w:t>症候</w:t>
            </w:r>
          </w:p>
        </w:tc>
        <w:tc>
          <w:tcPr>
            <w:tcW w:w="1176" w:type="dxa"/>
            <w:tcBorders>
              <w:top w:val="single" w:color="auto" w:sz="12" w:space="0"/>
              <w:bottom w:val="single" w:color="auto" w:sz="6" w:space="0"/>
              <w:right w:val="nil"/>
              <w:insideH w:val="single" w:sz="6" w:space="0"/>
              <w:insideV w:val="nil"/>
              <w:tl2br w:val="nil"/>
              <w:tr2bl w:val="nil"/>
            </w:tcBorders>
            <w:vAlign w:val="center"/>
          </w:tcPr>
          <w:p w14:paraId="2EA7BB9A">
            <w:pPr>
              <w:pStyle w:val="6"/>
              <w:tabs>
                <w:tab w:val="center" w:pos="4201"/>
                <w:tab w:val="right" w:leader="dot" w:pos="9298"/>
              </w:tabs>
              <w:wordWrap w:val="0"/>
              <w:snapToGrid w:val="0"/>
              <w:spacing w:before="240" w:beforeLines="100" w:after="240" w:afterLines="100" w:line="240" w:lineRule="auto"/>
              <w:ind w:left="0" w:leftChars="0" w:right="0" w:rightChars="0" w:firstLine="0" w:firstLineChars="0"/>
              <w:jc w:val="both"/>
              <w:rPr>
                <w:rFonts w:hint="eastAsia" w:ascii="黑体" w:hAnsi="黑体" w:eastAsia="黑体" w:cs="黑体"/>
                <w:b/>
                <w:bCs/>
                <w:color w:val="auto"/>
                <w:szCs w:val="21"/>
              </w:rPr>
            </w:pPr>
            <w:r>
              <w:rPr>
                <w:rFonts w:hint="eastAsia" w:ascii="黑体" w:hAnsi="黑体" w:eastAsia="黑体" w:cs="黑体"/>
                <w:b/>
                <w:bCs/>
                <w:color w:val="auto"/>
                <w:szCs w:val="21"/>
              </w:rPr>
              <w:t>治法</w:t>
            </w:r>
          </w:p>
        </w:tc>
        <w:tc>
          <w:tcPr>
            <w:tcW w:w="3123" w:type="dxa"/>
            <w:tcBorders>
              <w:top w:val="single" w:color="auto" w:sz="12" w:space="0"/>
              <w:bottom w:val="single" w:color="auto" w:sz="6" w:space="0"/>
              <w:right w:val="nil"/>
              <w:insideH w:val="single" w:sz="6" w:space="0"/>
              <w:insideV w:val="nil"/>
              <w:tl2br w:val="nil"/>
              <w:tr2bl w:val="nil"/>
            </w:tcBorders>
            <w:vAlign w:val="center"/>
          </w:tcPr>
          <w:p w14:paraId="7DA59988">
            <w:pPr>
              <w:pStyle w:val="6"/>
              <w:tabs>
                <w:tab w:val="center" w:pos="4201"/>
                <w:tab w:val="right" w:leader="dot" w:pos="9298"/>
              </w:tabs>
              <w:wordWrap w:val="0"/>
              <w:snapToGrid w:val="0"/>
              <w:spacing w:before="240" w:beforeLines="100" w:after="240" w:afterLines="100" w:line="240" w:lineRule="auto"/>
              <w:ind w:left="0" w:leftChars="0" w:right="0" w:rightChars="0" w:firstLine="0" w:firstLineChars="0"/>
              <w:jc w:val="both"/>
              <w:rPr>
                <w:rFonts w:hint="eastAsia" w:ascii="黑体" w:hAnsi="黑体" w:eastAsia="黑体" w:cs="黑体"/>
                <w:b/>
                <w:bCs/>
                <w:color w:val="auto"/>
                <w:szCs w:val="21"/>
              </w:rPr>
            </w:pPr>
            <w:r>
              <w:rPr>
                <w:rFonts w:hint="eastAsia" w:ascii="黑体" w:hAnsi="黑体" w:eastAsia="黑体" w:cs="黑体"/>
                <w:b/>
                <w:bCs/>
                <w:color w:val="auto"/>
                <w:szCs w:val="21"/>
              </w:rPr>
              <w:t>方药</w:t>
            </w:r>
          </w:p>
        </w:tc>
        <w:tc>
          <w:tcPr>
            <w:tcW w:w="1132" w:type="dxa"/>
            <w:tcBorders>
              <w:top w:val="single" w:color="auto" w:sz="12" w:space="0"/>
              <w:bottom w:val="single" w:color="auto" w:sz="6" w:space="0"/>
              <w:right w:val="nil"/>
              <w:insideH w:val="single" w:sz="6" w:space="0"/>
              <w:insideV w:val="nil"/>
              <w:tl2br w:val="nil"/>
              <w:tr2bl w:val="nil"/>
            </w:tcBorders>
            <w:vAlign w:val="center"/>
          </w:tcPr>
          <w:p w14:paraId="394EA15C">
            <w:pPr>
              <w:pStyle w:val="6"/>
              <w:tabs>
                <w:tab w:val="center" w:pos="4201"/>
                <w:tab w:val="right" w:leader="dot" w:pos="9298"/>
              </w:tabs>
              <w:wordWrap w:val="0"/>
              <w:snapToGrid w:val="0"/>
              <w:spacing w:before="240" w:beforeLines="100" w:after="240" w:afterLines="100" w:line="240" w:lineRule="auto"/>
              <w:ind w:left="0" w:leftChars="0" w:right="0" w:rightChars="0" w:firstLine="0" w:firstLineChars="0"/>
              <w:jc w:val="both"/>
              <w:rPr>
                <w:rFonts w:hint="default" w:ascii="黑体" w:hAnsi="黑体" w:eastAsia="黑体" w:cs="黑体"/>
                <w:b/>
                <w:bCs/>
                <w:color w:val="auto"/>
                <w:szCs w:val="21"/>
                <w:lang w:val="en-US" w:eastAsia="zh-CN"/>
              </w:rPr>
            </w:pPr>
            <w:r>
              <w:rPr>
                <w:rFonts w:hint="eastAsia" w:ascii="黑体" w:hAnsi="黑体" w:eastAsia="黑体" w:cs="黑体"/>
                <w:b/>
                <w:bCs/>
                <w:color w:val="auto"/>
                <w:szCs w:val="21"/>
                <w:lang w:val="en-US" w:eastAsia="zh-CN"/>
              </w:rPr>
              <w:t>专家审定共识度</w:t>
            </w:r>
          </w:p>
        </w:tc>
      </w:tr>
      <w:tr w14:paraId="330B65C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90" w:type="dxa"/>
            <w:vAlign w:val="center"/>
          </w:tcPr>
          <w:p w14:paraId="373BE0D8">
            <w:pPr>
              <w:pStyle w:val="6"/>
              <w:tabs>
                <w:tab w:val="center" w:pos="4201"/>
                <w:tab w:val="right" w:leader="dot" w:pos="9298"/>
              </w:tabs>
              <w:wordWrap w:val="0"/>
              <w:snapToGrid w:val="0"/>
              <w:spacing w:line="240" w:lineRule="auto"/>
              <w:ind w:left="0" w:leftChars="0" w:right="0" w:rightChars="0" w:firstLine="0" w:firstLineChars="0"/>
              <w:jc w:val="both"/>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脾肾亏虚证</w:t>
            </w:r>
          </w:p>
        </w:tc>
        <w:tc>
          <w:tcPr>
            <w:tcW w:w="3216" w:type="dxa"/>
            <w:vAlign w:val="center"/>
          </w:tcPr>
          <w:p w14:paraId="7FCD051B">
            <w:pPr>
              <w:pStyle w:val="6"/>
              <w:keepNext w:val="0"/>
              <w:keepLines w:val="0"/>
              <w:pageBreakBefore w:val="0"/>
              <w:widowControl/>
              <w:tabs>
                <w:tab w:val="center" w:pos="4201"/>
                <w:tab w:val="right" w:leader="dot" w:pos="9298"/>
              </w:tabs>
              <w:kinsoku/>
              <w:wordWrap w:val="0"/>
              <w:overflowPunct/>
              <w:topLinePunct w:val="0"/>
              <w:autoSpaceDE w:val="0"/>
              <w:autoSpaceDN w:val="0"/>
              <w:bidi w:val="0"/>
              <w:adjustRightInd/>
              <w:snapToGrid w:val="0"/>
              <w:spacing w:line="240" w:lineRule="auto"/>
              <w:ind w:left="0" w:leftChars="0" w:right="0" w:rightChars="0" w:firstLine="0" w:firstLineChars="0"/>
              <w:jc w:val="both"/>
              <w:textAlignment w:val="auto"/>
              <w:rPr>
                <w:rFonts w:hint="default" w:ascii="宋体" w:eastAsia="宋体"/>
                <w:color w:val="auto"/>
                <w:sz w:val="21"/>
                <w:highlight w:val="none"/>
                <w:lang w:val="en-US" w:eastAsia="zh-CN"/>
              </w:rPr>
            </w:pPr>
            <w:r>
              <w:rPr>
                <w:rFonts w:hint="eastAsia" w:ascii="宋体" w:eastAsia="宋体"/>
                <w:color w:val="auto"/>
                <w:sz w:val="21"/>
                <w:highlight w:val="none"/>
                <w:lang w:val="en-US" w:eastAsia="zh-CN"/>
              </w:rPr>
              <w:t>①</w:t>
            </w:r>
            <w:r>
              <w:rPr>
                <w:rFonts w:hint="default" w:ascii="宋体" w:eastAsia="宋体"/>
                <w:color w:val="auto"/>
                <w:sz w:val="21"/>
                <w:highlight w:val="none"/>
                <w:lang w:val="en-US" w:eastAsia="zh-CN"/>
              </w:rPr>
              <w:t>主症：神疲乏力，少气懒言，面色萎黄，腰膝酸软，畏寒肢冷。</w:t>
            </w:r>
          </w:p>
          <w:p w14:paraId="5ACB8424">
            <w:pPr>
              <w:pStyle w:val="6"/>
              <w:keepNext w:val="0"/>
              <w:keepLines w:val="0"/>
              <w:pageBreakBefore w:val="0"/>
              <w:widowControl/>
              <w:tabs>
                <w:tab w:val="center" w:pos="4201"/>
                <w:tab w:val="right" w:leader="dot" w:pos="9298"/>
              </w:tabs>
              <w:kinsoku/>
              <w:wordWrap w:val="0"/>
              <w:overflowPunct/>
              <w:topLinePunct w:val="0"/>
              <w:autoSpaceDE w:val="0"/>
              <w:autoSpaceDN w:val="0"/>
              <w:bidi w:val="0"/>
              <w:adjustRightInd/>
              <w:snapToGrid w:val="0"/>
              <w:spacing w:line="240" w:lineRule="auto"/>
              <w:ind w:left="0" w:leftChars="0" w:right="0" w:rightChars="0" w:firstLine="0" w:firstLineChars="0"/>
              <w:jc w:val="both"/>
              <w:textAlignment w:val="auto"/>
              <w:rPr>
                <w:rFonts w:hint="default" w:ascii="宋体" w:eastAsia="宋体"/>
                <w:color w:val="auto"/>
                <w:sz w:val="21"/>
                <w:highlight w:val="none"/>
                <w:lang w:val="en-US" w:eastAsia="zh-CN"/>
              </w:rPr>
            </w:pPr>
            <w:r>
              <w:rPr>
                <w:rFonts w:hint="eastAsia" w:ascii="宋体" w:eastAsia="宋体"/>
                <w:color w:val="auto"/>
                <w:sz w:val="21"/>
                <w:highlight w:val="none"/>
                <w:lang w:val="en-US" w:eastAsia="zh-CN"/>
              </w:rPr>
              <w:t>②</w:t>
            </w:r>
            <w:r>
              <w:rPr>
                <w:rFonts w:hint="default" w:ascii="宋体" w:eastAsia="宋体"/>
                <w:color w:val="auto"/>
                <w:sz w:val="21"/>
                <w:highlight w:val="none"/>
                <w:lang w:val="en-US" w:eastAsia="zh-CN"/>
              </w:rPr>
              <w:t>次症：眩晕，耳鸣，健忘，失眠，脘腹胀满，身体困重，四肢倦怠，自汗，纳呆，便溏，夜尿频多。</w:t>
            </w:r>
          </w:p>
          <w:p w14:paraId="5530D5A2">
            <w:pPr>
              <w:pStyle w:val="6"/>
              <w:keepNext w:val="0"/>
              <w:keepLines w:val="0"/>
              <w:pageBreakBefore w:val="0"/>
              <w:widowControl/>
              <w:tabs>
                <w:tab w:val="center" w:pos="4201"/>
                <w:tab w:val="right" w:leader="dot" w:pos="9298"/>
              </w:tabs>
              <w:kinsoku/>
              <w:wordWrap w:val="0"/>
              <w:overflowPunct/>
              <w:topLinePunct w:val="0"/>
              <w:autoSpaceDE w:val="0"/>
              <w:autoSpaceDN w:val="0"/>
              <w:bidi w:val="0"/>
              <w:adjustRightInd/>
              <w:snapToGrid w:val="0"/>
              <w:spacing w:line="240" w:lineRule="auto"/>
              <w:ind w:left="0" w:leftChars="0" w:right="0" w:rightChars="0" w:firstLine="0" w:firstLineChars="0"/>
              <w:jc w:val="both"/>
              <w:textAlignment w:val="auto"/>
              <w:rPr>
                <w:rFonts w:hint="default" w:ascii="宋体" w:eastAsia="宋体"/>
                <w:color w:val="auto"/>
                <w:sz w:val="21"/>
                <w:highlight w:val="none"/>
                <w:lang w:val="en-US" w:eastAsia="zh-CN"/>
              </w:rPr>
            </w:pPr>
            <w:r>
              <w:rPr>
                <w:rFonts w:hint="eastAsia" w:ascii="宋体" w:eastAsia="宋体"/>
                <w:color w:val="auto"/>
                <w:sz w:val="21"/>
                <w:highlight w:val="none"/>
                <w:lang w:val="en-US" w:eastAsia="zh-CN"/>
              </w:rPr>
              <w:t>③</w:t>
            </w:r>
            <w:r>
              <w:rPr>
                <w:rFonts w:hint="default" w:ascii="宋体" w:eastAsia="宋体"/>
                <w:color w:val="auto"/>
                <w:sz w:val="21"/>
                <w:highlight w:val="none"/>
                <w:lang w:val="en-US" w:eastAsia="zh-CN"/>
              </w:rPr>
              <w:t>舌象：舌质淡，舌体胖大、边有齿痕，舌苔白腻。</w:t>
            </w:r>
          </w:p>
          <w:p w14:paraId="3D415628">
            <w:pPr>
              <w:pStyle w:val="6"/>
              <w:keepNext w:val="0"/>
              <w:keepLines w:val="0"/>
              <w:pageBreakBefore w:val="0"/>
              <w:widowControl/>
              <w:tabs>
                <w:tab w:val="center" w:pos="4201"/>
                <w:tab w:val="right" w:leader="dot" w:pos="9298"/>
              </w:tabs>
              <w:kinsoku/>
              <w:wordWrap w:val="0"/>
              <w:overflowPunct/>
              <w:topLinePunct w:val="0"/>
              <w:autoSpaceDE w:val="0"/>
              <w:autoSpaceDN w:val="0"/>
              <w:bidi w:val="0"/>
              <w:adjustRightInd/>
              <w:snapToGrid w:val="0"/>
              <w:spacing w:line="240" w:lineRule="auto"/>
              <w:ind w:left="0" w:leftChars="0" w:right="0" w:rightChars="0" w:firstLine="0" w:firstLineChars="0"/>
              <w:jc w:val="both"/>
              <w:textAlignment w:val="auto"/>
              <w:rPr>
                <w:rFonts w:hint="eastAsia" w:ascii="宋体" w:eastAsia="宋体"/>
                <w:color w:val="auto"/>
                <w:sz w:val="21"/>
                <w:highlight w:val="none"/>
                <w:lang w:val="en-US" w:eastAsia="zh-CN"/>
              </w:rPr>
            </w:pPr>
            <w:r>
              <w:rPr>
                <w:rFonts w:hint="eastAsia" w:ascii="宋体" w:eastAsia="宋体"/>
                <w:color w:val="auto"/>
                <w:sz w:val="21"/>
                <w:highlight w:val="none"/>
                <w:lang w:val="en-US" w:eastAsia="zh-CN"/>
              </w:rPr>
              <w:t>④</w:t>
            </w:r>
            <w:r>
              <w:rPr>
                <w:rFonts w:hint="default" w:ascii="宋体" w:eastAsia="宋体"/>
                <w:color w:val="auto"/>
                <w:sz w:val="21"/>
                <w:highlight w:val="none"/>
                <w:lang w:val="en-US" w:eastAsia="zh-CN"/>
              </w:rPr>
              <w:t>脉象：脉沉细或沉细无力。</w:t>
            </w:r>
          </w:p>
        </w:tc>
        <w:tc>
          <w:tcPr>
            <w:tcW w:w="1176" w:type="dxa"/>
            <w:vAlign w:val="center"/>
          </w:tcPr>
          <w:p w14:paraId="13E326F8">
            <w:pPr>
              <w:pStyle w:val="6"/>
              <w:tabs>
                <w:tab w:val="center" w:pos="4201"/>
                <w:tab w:val="right" w:leader="dot" w:pos="9298"/>
              </w:tabs>
              <w:snapToGrid w:val="0"/>
              <w:spacing w:line="240" w:lineRule="auto"/>
              <w:ind w:left="0" w:leftChars="0" w:right="0" w:rightChars="0" w:firstLine="0" w:firstLineChars="0"/>
              <w:jc w:val="both"/>
              <w:rPr>
                <w:rFonts w:hint="eastAsia" w:ascii="宋体" w:hAnsi="Times New Roman" w:eastAsia="宋体" w:cs="Times New Roman"/>
                <w:b w:val="0"/>
                <w:bCs w:val="0"/>
                <w:color w:val="auto"/>
                <w:sz w:val="21"/>
                <w:szCs w:val="21"/>
                <w:lang w:val="en-US" w:eastAsia="zh-CN"/>
              </w:rPr>
            </w:pPr>
            <w:r>
              <w:rPr>
                <w:rFonts w:hint="eastAsia" w:ascii="宋体" w:hAnsi="Times New Roman" w:eastAsia="宋体" w:cs="Times New Roman"/>
                <w:b w:val="0"/>
                <w:bCs w:val="0"/>
                <w:color w:val="auto"/>
                <w:sz w:val="21"/>
                <w:szCs w:val="21"/>
                <w:lang w:val="en-US" w:eastAsia="zh-CN"/>
              </w:rPr>
              <w:t>益肾健脾</w:t>
            </w:r>
          </w:p>
          <w:p w14:paraId="61BB04F1">
            <w:pPr>
              <w:pStyle w:val="6"/>
              <w:tabs>
                <w:tab w:val="center" w:pos="4201"/>
                <w:tab w:val="right" w:leader="dot" w:pos="9298"/>
              </w:tabs>
              <w:snapToGrid w:val="0"/>
              <w:spacing w:line="240" w:lineRule="auto"/>
              <w:ind w:left="0" w:leftChars="0" w:right="0" w:rightChars="0" w:firstLine="0" w:firstLineChars="0"/>
              <w:jc w:val="both"/>
              <w:rPr>
                <w:rFonts w:hint="eastAsia" w:ascii="宋体" w:hAnsi="宋体" w:eastAsia="宋体" w:cs="宋体"/>
                <w:i w:val="0"/>
                <w:iCs w:val="0"/>
                <w:caps w:val="0"/>
                <w:color w:val="auto"/>
                <w:spacing w:val="0"/>
                <w:sz w:val="21"/>
                <w:szCs w:val="21"/>
              </w:rPr>
            </w:pPr>
            <w:r>
              <w:rPr>
                <w:rFonts w:hint="eastAsia" w:ascii="宋体" w:hAnsi="Times New Roman" w:eastAsia="宋体" w:cs="Times New Roman"/>
                <w:b w:val="0"/>
                <w:bCs w:val="0"/>
                <w:color w:val="auto"/>
                <w:sz w:val="21"/>
                <w:szCs w:val="21"/>
                <w:lang w:val="en-US" w:eastAsia="zh-CN"/>
              </w:rPr>
              <w:t>濡脉和络</w:t>
            </w:r>
          </w:p>
        </w:tc>
        <w:tc>
          <w:tcPr>
            <w:tcW w:w="3123" w:type="dxa"/>
            <w:vAlign w:val="center"/>
          </w:tcPr>
          <w:p w14:paraId="58885782">
            <w:pPr>
              <w:pStyle w:val="6"/>
              <w:tabs>
                <w:tab w:val="center" w:pos="4201"/>
                <w:tab w:val="right" w:leader="dot" w:pos="9298"/>
              </w:tabs>
              <w:wordWrap w:val="0"/>
              <w:snapToGrid w:val="0"/>
              <w:spacing w:line="240" w:lineRule="auto"/>
              <w:ind w:left="0" w:leftChars="0" w:right="0" w:righ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推荐方药：还少丹</w:t>
            </w:r>
          </w:p>
          <w:p w14:paraId="2895ED27">
            <w:pPr>
              <w:pStyle w:val="6"/>
              <w:tabs>
                <w:tab w:val="center" w:pos="4201"/>
                <w:tab w:val="right" w:leader="dot" w:pos="9298"/>
              </w:tabs>
              <w:wordWrap w:val="0"/>
              <w:snapToGrid w:val="0"/>
              <w:spacing w:line="240" w:lineRule="auto"/>
              <w:ind w:left="0" w:leftChars="0" w:right="0" w:rightChars="0" w:firstLine="0" w:firstLineChars="0"/>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口服中成药：健脾益肾颗粒，人参养荣丸，补肾抗衰片</w:t>
            </w:r>
          </w:p>
        </w:tc>
        <w:tc>
          <w:tcPr>
            <w:tcW w:w="1132" w:type="dxa"/>
            <w:vAlign w:val="center"/>
          </w:tcPr>
          <w:p w14:paraId="3AB8EB37">
            <w:pPr>
              <w:pStyle w:val="6"/>
              <w:tabs>
                <w:tab w:val="center" w:pos="4201"/>
                <w:tab w:val="right" w:leader="dot" w:pos="9298"/>
              </w:tabs>
              <w:wordWrap w:val="0"/>
              <w:snapToGrid w:val="0"/>
              <w:spacing w:line="240" w:lineRule="auto"/>
              <w:ind w:left="0" w:leftChars="0" w:right="0" w:rightChars="0" w:firstLine="0" w:firstLineChars="0"/>
              <w:jc w:val="both"/>
              <w:rPr>
                <w:rFonts w:hint="default" w:ascii="宋体" w:hAnsi="宋体" w:eastAsia="宋体" w:cs="宋体"/>
                <w:color w:val="auto"/>
                <w:sz w:val="21"/>
                <w:szCs w:val="21"/>
                <w:lang w:val="en-US" w:eastAsia="zh-CN"/>
              </w:rPr>
            </w:pPr>
            <w:r>
              <w:rPr>
                <w:rFonts w:hint="eastAsia" w:hAnsi="宋体" w:cs="宋体"/>
                <w:color w:val="auto"/>
                <w:sz w:val="21"/>
                <w:szCs w:val="21"/>
                <w:lang w:val="en-US" w:eastAsia="zh-CN"/>
              </w:rPr>
              <w:t>95.6％</w:t>
            </w:r>
          </w:p>
        </w:tc>
      </w:tr>
      <w:tr w14:paraId="27897A4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90" w:type="dxa"/>
            <w:vAlign w:val="center"/>
          </w:tcPr>
          <w:p w14:paraId="553B00E0">
            <w:pPr>
              <w:pStyle w:val="6"/>
              <w:tabs>
                <w:tab w:val="center" w:pos="4201"/>
                <w:tab w:val="right" w:leader="dot" w:pos="9298"/>
              </w:tabs>
              <w:wordWrap w:val="0"/>
              <w:snapToGrid w:val="0"/>
              <w:spacing w:line="240" w:lineRule="auto"/>
              <w:ind w:left="0" w:leftChars="0" w:right="0" w:rightChars="0" w:firstLine="0" w:firstLineChars="0"/>
              <w:jc w:val="both"/>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气虚血瘀证</w:t>
            </w:r>
          </w:p>
        </w:tc>
        <w:tc>
          <w:tcPr>
            <w:tcW w:w="3216" w:type="dxa"/>
            <w:vAlign w:val="center"/>
          </w:tcPr>
          <w:p w14:paraId="1B918FFA">
            <w:pPr>
              <w:pStyle w:val="6"/>
              <w:keepNext w:val="0"/>
              <w:keepLines w:val="0"/>
              <w:pageBreakBefore w:val="0"/>
              <w:widowControl/>
              <w:tabs>
                <w:tab w:val="center" w:pos="4201"/>
                <w:tab w:val="right" w:leader="dot" w:pos="9298"/>
              </w:tabs>
              <w:kinsoku/>
              <w:wordWrap/>
              <w:overflowPunct/>
              <w:topLinePunct w:val="0"/>
              <w:autoSpaceDE w:val="0"/>
              <w:autoSpaceDN w:val="0"/>
              <w:bidi w:val="0"/>
              <w:adjustRightInd/>
              <w:snapToGrid w:val="0"/>
              <w:spacing w:line="240" w:lineRule="auto"/>
              <w:ind w:left="0" w:leftChars="0" w:right="0" w:rightChars="0" w:firstLine="0" w:firstLineChars="0"/>
              <w:jc w:val="both"/>
              <w:textAlignment w:val="auto"/>
              <w:outlineLvl w:val="3"/>
              <w:rPr>
                <w:rFonts w:hint="eastAsia" w:ascii="宋体" w:eastAsia="宋体"/>
                <w:color w:val="auto"/>
                <w:sz w:val="21"/>
                <w:highlight w:val="none"/>
                <w:lang w:val="en-US" w:eastAsia="zh-CN"/>
              </w:rPr>
            </w:pPr>
            <w:r>
              <w:rPr>
                <w:rFonts w:hint="eastAsia" w:ascii="宋体" w:eastAsia="宋体"/>
                <w:color w:val="auto"/>
                <w:sz w:val="21"/>
                <w:highlight w:val="none"/>
                <w:lang w:val="en-US" w:eastAsia="zh-CN"/>
              </w:rPr>
              <w:t>①主症：神疲乏力，心胸部闷痛，或呈刺痛，痛处固定，动则加重。</w:t>
            </w:r>
          </w:p>
          <w:p w14:paraId="2AE8DE5B">
            <w:pPr>
              <w:pStyle w:val="6"/>
              <w:keepNext w:val="0"/>
              <w:keepLines w:val="0"/>
              <w:pageBreakBefore w:val="0"/>
              <w:widowControl/>
              <w:tabs>
                <w:tab w:val="center" w:pos="4201"/>
                <w:tab w:val="right" w:leader="dot" w:pos="9298"/>
              </w:tabs>
              <w:kinsoku/>
              <w:wordWrap/>
              <w:overflowPunct/>
              <w:topLinePunct w:val="0"/>
              <w:autoSpaceDE w:val="0"/>
              <w:autoSpaceDN w:val="0"/>
              <w:bidi w:val="0"/>
              <w:adjustRightInd/>
              <w:snapToGrid w:val="0"/>
              <w:spacing w:line="240" w:lineRule="auto"/>
              <w:ind w:left="0" w:leftChars="0" w:right="0" w:rightChars="0" w:firstLine="0" w:firstLineChars="0"/>
              <w:jc w:val="both"/>
              <w:textAlignment w:val="auto"/>
              <w:outlineLvl w:val="3"/>
              <w:rPr>
                <w:rFonts w:hint="eastAsia" w:ascii="宋体" w:eastAsia="宋体"/>
                <w:color w:val="auto"/>
                <w:sz w:val="21"/>
                <w:highlight w:val="none"/>
                <w:lang w:val="en-US" w:eastAsia="zh-CN"/>
              </w:rPr>
            </w:pPr>
            <w:r>
              <w:rPr>
                <w:rFonts w:hint="eastAsia" w:ascii="宋体" w:eastAsia="宋体"/>
                <w:color w:val="auto"/>
                <w:sz w:val="21"/>
                <w:highlight w:val="none"/>
                <w:lang w:val="en-US" w:eastAsia="zh-CN"/>
              </w:rPr>
              <w:t>②次症：眩晕，面色晦暗或淡白，气短，心悸，自汗。</w:t>
            </w:r>
          </w:p>
          <w:p w14:paraId="2E2DD4AC">
            <w:pPr>
              <w:pStyle w:val="6"/>
              <w:keepNext w:val="0"/>
              <w:keepLines w:val="0"/>
              <w:pageBreakBefore w:val="0"/>
              <w:widowControl/>
              <w:tabs>
                <w:tab w:val="center" w:pos="4201"/>
                <w:tab w:val="right" w:leader="dot" w:pos="9298"/>
              </w:tabs>
              <w:kinsoku/>
              <w:wordWrap/>
              <w:overflowPunct/>
              <w:topLinePunct w:val="0"/>
              <w:autoSpaceDE w:val="0"/>
              <w:autoSpaceDN w:val="0"/>
              <w:bidi w:val="0"/>
              <w:adjustRightInd/>
              <w:snapToGrid w:val="0"/>
              <w:spacing w:line="240" w:lineRule="auto"/>
              <w:ind w:left="0" w:leftChars="0" w:right="0" w:rightChars="0" w:firstLine="0" w:firstLineChars="0"/>
              <w:jc w:val="both"/>
              <w:textAlignment w:val="auto"/>
              <w:outlineLvl w:val="3"/>
              <w:rPr>
                <w:rFonts w:hint="eastAsia" w:ascii="宋体" w:eastAsia="宋体"/>
                <w:color w:val="auto"/>
                <w:sz w:val="21"/>
                <w:highlight w:val="none"/>
                <w:lang w:val="en-US" w:eastAsia="zh-CN"/>
              </w:rPr>
            </w:pPr>
            <w:r>
              <w:rPr>
                <w:rFonts w:hint="eastAsia" w:ascii="宋体" w:eastAsia="宋体"/>
                <w:color w:val="auto"/>
                <w:sz w:val="21"/>
                <w:highlight w:val="none"/>
                <w:lang w:val="en-US" w:eastAsia="zh-CN"/>
              </w:rPr>
              <w:t>③舌象：舌质淡暗，舌体胖大，苔薄白或白滑。</w:t>
            </w:r>
          </w:p>
          <w:p w14:paraId="520566FE">
            <w:pPr>
              <w:pStyle w:val="6"/>
              <w:keepNext w:val="0"/>
              <w:keepLines w:val="0"/>
              <w:pageBreakBefore w:val="0"/>
              <w:widowControl/>
              <w:tabs>
                <w:tab w:val="center" w:pos="4201"/>
                <w:tab w:val="right" w:leader="dot" w:pos="9298"/>
              </w:tabs>
              <w:kinsoku/>
              <w:wordWrap/>
              <w:overflowPunct/>
              <w:topLinePunct w:val="0"/>
              <w:autoSpaceDE w:val="0"/>
              <w:autoSpaceDN w:val="0"/>
              <w:bidi w:val="0"/>
              <w:adjustRightInd/>
              <w:snapToGrid w:val="0"/>
              <w:spacing w:line="240" w:lineRule="auto"/>
              <w:ind w:left="0" w:leftChars="0" w:right="0" w:rightChars="0" w:firstLine="0" w:firstLineChars="0"/>
              <w:jc w:val="both"/>
              <w:textAlignment w:val="auto"/>
              <w:outlineLvl w:val="3"/>
              <w:rPr>
                <w:rFonts w:hint="eastAsia" w:ascii="宋体" w:eastAsia="宋体"/>
                <w:color w:val="auto"/>
                <w:sz w:val="21"/>
                <w:highlight w:val="none"/>
                <w:lang w:val="en-US" w:eastAsia="zh-CN"/>
              </w:rPr>
            </w:pPr>
            <w:r>
              <w:rPr>
                <w:rFonts w:hint="eastAsia" w:ascii="宋体" w:eastAsia="宋体"/>
                <w:color w:val="auto"/>
                <w:sz w:val="21"/>
                <w:highlight w:val="none"/>
                <w:lang w:val="en-US" w:eastAsia="zh-CN"/>
              </w:rPr>
              <w:t>④脉象：脉沉细，或细涩，或沉弦。</w:t>
            </w:r>
          </w:p>
        </w:tc>
        <w:tc>
          <w:tcPr>
            <w:tcW w:w="1176" w:type="dxa"/>
            <w:vAlign w:val="center"/>
          </w:tcPr>
          <w:p w14:paraId="0A133275">
            <w:pPr>
              <w:pStyle w:val="6"/>
              <w:tabs>
                <w:tab w:val="center" w:pos="4201"/>
                <w:tab w:val="right" w:leader="dot" w:pos="9298"/>
              </w:tabs>
              <w:snapToGrid w:val="0"/>
              <w:spacing w:line="240" w:lineRule="auto"/>
              <w:ind w:left="0" w:leftChars="0" w:right="0" w:rightChars="0" w:firstLine="0" w:firstLineChars="0"/>
              <w:jc w:val="both"/>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益气扶正</w:t>
            </w:r>
          </w:p>
          <w:p w14:paraId="6CA1A21A">
            <w:pPr>
              <w:pStyle w:val="6"/>
              <w:tabs>
                <w:tab w:val="center" w:pos="4201"/>
                <w:tab w:val="right" w:leader="dot" w:pos="9298"/>
              </w:tabs>
              <w:snapToGrid w:val="0"/>
              <w:spacing w:line="240" w:lineRule="auto"/>
              <w:ind w:left="0" w:leftChars="0" w:right="0" w:rightChars="0" w:firstLine="0" w:firstLineChars="0"/>
              <w:jc w:val="both"/>
              <w:rPr>
                <w:rFonts w:hint="eastAsia" w:ascii="宋体" w:hAnsi="宋体" w:eastAsia="宋体" w:cs="宋体"/>
                <w:i w:val="0"/>
                <w:iCs w:val="0"/>
                <w:caps w:val="0"/>
                <w:color w:val="auto"/>
                <w:spacing w:val="0"/>
                <w:sz w:val="21"/>
                <w:szCs w:val="21"/>
              </w:rPr>
            </w:pPr>
            <w:r>
              <w:rPr>
                <w:rFonts w:hint="eastAsia" w:ascii="宋体" w:hAnsi="宋体" w:eastAsia="宋体" w:cs="宋体"/>
                <w:b w:val="0"/>
                <w:bCs w:val="0"/>
                <w:color w:val="auto"/>
                <w:sz w:val="21"/>
                <w:szCs w:val="21"/>
                <w:lang w:val="en-US" w:eastAsia="zh-CN"/>
              </w:rPr>
              <w:t>祛瘀通脉</w:t>
            </w:r>
          </w:p>
        </w:tc>
        <w:tc>
          <w:tcPr>
            <w:tcW w:w="3123" w:type="dxa"/>
            <w:vAlign w:val="center"/>
          </w:tcPr>
          <w:p w14:paraId="73AFDE25">
            <w:pPr>
              <w:pStyle w:val="6"/>
              <w:tabs>
                <w:tab w:val="center" w:pos="4201"/>
                <w:tab w:val="right" w:leader="dot" w:pos="9298"/>
              </w:tabs>
              <w:wordWrap w:val="0"/>
              <w:snapToGrid w:val="0"/>
              <w:spacing w:line="240" w:lineRule="auto"/>
              <w:ind w:left="0" w:leftChars="0" w:right="0" w:rightChars="0" w:firstLine="0" w:firstLineChars="0"/>
              <w:jc w:val="both"/>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推荐方药</w:t>
            </w:r>
            <w:r>
              <w:rPr>
                <w:rFonts w:hint="eastAsia" w:ascii="宋体" w:hAnsi="宋体" w:eastAsia="宋体" w:cs="宋体"/>
                <w:color w:val="auto"/>
                <w:sz w:val="21"/>
                <w:szCs w:val="21"/>
                <w:highlight w:val="none"/>
              </w:rPr>
              <w:t>：</w:t>
            </w:r>
            <w:r>
              <w:rPr>
                <w:rFonts w:hint="eastAsia" w:ascii="宋体" w:hAnsi="宋体" w:eastAsia="宋体" w:cs="宋体"/>
                <w:b w:val="0"/>
                <w:bCs w:val="0"/>
                <w:color w:val="auto"/>
                <w:sz w:val="21"/>
                <w:szCs w:val="21"/>
                <w:highlight w:val="none"/>
                <w:lang w:val="en-US" w:eastAsia="zh-CN"/>
              </w:rPr>
              <w:t>补阳还五汤</w:t>
            </w:r>
          </w:p>
          <w:p w14:paraId="14DC5F78">
            <w:pPr>
              <w:pStyle w:val="6"/>
              <w:tabs>
                <w:tab w:val="center" w:pos="4201"/>
                <w:tab w:val="right" w:leader="dot" w:pos="9298"/>
              </w:tabs>
              <w:wordWrap w:val="0"/>
              <w:snapToGrid w:val="0"/>
              <w:spacing w:line="240" w:lineRule="auto"/>
              <w:ind w:left="0" w:leftChars="0" w:right="0" w:rightChars="0" w:firstLine="0" w:firstLineChars="0"/>
              <w:jc w:val="both"/>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口服</w:t>
            </w:r>
            <w:r>
              <w:rPr>
                <w:rFonts w:hint="eastAsia" w:ascii="宋体" w:hAnsi="宋体" w:eastAsia="宋体" w:cs="宋体"/>
                <w:color w:val="auto"/>
                <w:sz w:val="21"/>
                <w:szCs w:val="21"/>
                <w:highlight w:val="none"/>
              </w:rPr>
              <w:t>中成药：</w:t>
            </w:r>
            <w:r>
              <w:rPr>
                <w:rFonts w:hint="eastAsia" w:ascii="宋体" w:hAnsi="宋体" w:eastAsia="宋体" w:cs="宋体"/>
                <w:b w:val="0"/>
                <w:bCs w:val="0"/>
                <w:color w:val="auto"/>
                <w:sz w:val="21"/>
                <w:szCs w:val="21"/>
                <w:highlight w:val="none"/>
                <w:lang w:val="en-US" w:eastAsia="zh-CN"/>
              </w:rPr>
              <w:t>芪参益气滴丸</w:t>
            </w:r>
            <w:r>
              <w:rPr>
                <w:rFonts w:hint="eastAsia" w:ascii="宋体" w:hAnsi="宋体" w:eastAsia="宋体" w:cs="宋体"/>
                <w:color w:val="auto"/>
                <w:sz w:val="21"/>
                <w:szCs w:val="21"/>
                <w:highlight w:val="none"/>
              </w:rPr>
              <w:t>，</w:t>
            </w:r>
            <w:r>
              <w:rPr>
                <w:rFonts w:hint="eastAsia" w:ascii="宋体" w:hAnsi="宋体" w:eastAsia="宋体" w:cs="宋体"/>
                <w:b w:val="0"/>
                <w:bCs w:val="0"/>
                <w:color w:val="auto"/>
                <w:sz w:val="21"/>
                <w:szCs w:val="21"/>
                <w:highlight w:val="none"/>
                <w:lang w:val="en-US" w:eastAsia="zh-CN"/>
              </w:rPr>
              <w:t>麝香通心滴丸，复方丹参滴丸，参芍片，脑心通胶囊，通心络胶囊</w:t>
            </w:r>
          </w:p>
          <w:p w14:paraId="5A9C9261">
            <w:pPr>
              <w:pStyle w:val="6"/>
              <w:tabs>
                <w:tab w:val="center" w:pos="4201"/>
                <w:tab w:val="right" w:leader="dot" w:pos="9298"/>
              </w:tabs>
              <w:wordWrap w:val="0"/>
              <w:snapToGrid w:val="0"/>
              <w:spacing w:line="240" w:lineRule="auto"/>
              <w:ind w:left="0" w:leftChars="0" w:right="0" w:rightChars="0" w:firstLine="0" w:firstLineChars="0"/>
              <w:jc w:val="both"/>
              <w:rPr>
                <w:rFonts w:hint="default" w:ascii="宋体" w:hAnsi="宋体" w:eastAsia="宋体" w:cs="宋体"/>
                <w:color w:val="auto"/>
                <w:sz w:val="21"/>
                <w:szCs w:val="21"/>
                <w:lang w:val="en-US" w:eastAsia="zh-CN"/>
              </w:rPr>
            </w:pPr>
            <w:r>
              <w:rPr>
                <w:rFonts w:hint="eastAsia" w:ascii="宋体" w:hAnsi="宋体" w:eastAsia="宋体" w:cs="宋体"/>
                <w:b w:val="0"/>
                <w:bCs w:val="0"/>
                <w:color w:val="auto"/>
                <w:sz w:val="21"/>
                <w:szCs w:val="21"/>
                <w:highlight w:val="none"/>
                <w:lang w:val="en-US" w:eastAsia="zh-CN"/>
              </w:rPr>
              <w:t>中药静脉制剂：丹红注射液，银杏叶提取物注射液，</w:t>
            </w:r>
            <w:r>
              <w:rPr>
                <w:rFonts w:hint="eastAsia" w:ascii="宋体" w:hAnsi="Times New Roman" w:eastAsia="宋体" w:cs="Times New Roman"/>
                <w:b w:val="0"/>
                <w:bCs w:val="0"/>
                <w:color w:val="auto"/>
                <w:sz w:val="21"/>
                <w:szCs w:val="21"/>
                <w:highlight w:val="none"/>
                <w:lang w:val="en-US" w:eastAsia="zh-CN"/>
              </w:rPr>
              <w:t>大株红景天注射液</w:t>
            </w:r>
          </w:p>
        </w:tc>
        <w:tc>
          <w:tcPr>
            <w:tcW w:w="1132" w:type="dxa"/>
            <w:vAlign w:val="center"/>
          </w:tcPr>
          <w:p w14:paraId="306D5B95">
            <w:pPr>
              <w:pStyle w:val="6"/>
              <w:tabs>
                <w:tab w:val="center" w:pos="4201"/>
                <w:tab w:val="right" w:leader="dot" w:pos="9298"/>
              </w:tabs>
              <w:wordWrap w:val="0"/>
              <w:snapToGrid w:val="0"/>
              <w:spacing w:line="240" w:lineRule="auto"/>
              <w:ind w:left="0" w:leftChars="0" w:right="0" w:rightChars="0" w:firstLine="0" w:firstLineChars="0"/>
              <w:jc w:val="both"/>
              <w:rPr>
                <w:rFonts w:hint="default" w:ascii="宋体" w:hAnsi="宋体" w:eastAsia="宋体" w:cs="宋体"/>
                <w:b w:val="0"/>
                <w:bCs w:val="0"/>
                <w:color w:val="auto"/>
                <w:sz w:val="21"/>
                <w:szCs w:val="21"/>
                <w:highlight w:val="none"/>
                <w:lang w:val="en-US" w:eastAsia="zh-CN"/>
              </w:rPr>
            </w:pPr>
            <w:r>
              <w:rPr>
                <w:rFonts w:hint="eastAsia" w:hAnsi="宋体" w:cs="宋体"/>
                <w:b w:val="0"/>
                <w:bCs w:val="0"/>
                <w:color w:val="auto"/>
                <w:sz w:val="21"/>
                <w:szCs w:val="21"/>
                <w:highlight w:val="none"/>
                <w:lang w:val="en-US" w:eastAsia="zh-CN"/>
              </w:rPr>
              <w:t>97.8％</w:t>
            </w:r>
          </w:p>
        </w:tc>
      </w:tr>
      <w:tr w14:paraId="1C11256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90" w:type="dxa"/>
            <w:shd w:val="clear" w:color="auto" w:fill="auto"/>
            <w:vAlign w:val="center"/>
          </w:tcPr>
          <w:p w14:paraId="370003CC">
            <w:pPr>
              <w:pStyle w:val="6"/>
              <w:tabs>
                <w:tab w:val="center" w:pos="4201"/>
                <w:tab w:val="right" w:leader="dot" w:pos="9298"/>
              </w:tabs>
              <w:wordWrap w:val="0"/>
              <w:snapToGrid w:val="0"/>
              <w:spacing w:line="240" w:lineRule="auto"/>
              <w:ind w:left="0" w:leftChars="0" w:right="0" w:rightChars="0" w:firstLine="0" w:firstLineChars="0"/>
              <w:jc w:val="both"/>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sz w:val="21"/>
                <w:szCs w:val="21"/>
                <w:lang w:val="en-US" w:eastAsia="zh-CN"/>
              </w:rPr>
              <w:t>气阴两虚</w:t>
            </w:r>
            <w:r>
              <w:rPr>
                <w:rFonts w:hint="eastAsia" w:ascii="宋体" w:hAnsi="宋体" w:eastAsia="宋体" w:cs="宋体"/>
                <w:b/>
                <w:bCs/>
                <w:color w:val="auto"/>
                <w:sz w:val="21"/>
                <w:szCs w:val="21"/>
              </w:rPr>
              <w:t>证</w:t>
            </w:r>
          </w:p>
        </w:tc>
        <w:tc>
          <w:tcPr>
            <w:tcW w:w="3216" w:type="dxa"/>
            <w:shd w:val="clear" w:color="auto" w:fill="auto"/>
            <w:vAlign w:val="center"/>
          </w:tcPr>
          <w:p w14:paraId="48A38F3E">
            <w:pPr>
              <w:pStyle w:val="6"/>
              <w:keepNext w:val="0"/>
              <w:keepLines w:val="0"/>
              <w:pageBreakBefore w:val="0"/>
              <w:widowControl/>
              <w:tabs>
                <w:tab w:val="center" w:pos="4201"/>
                <w:tab w:val="right" w:leader="dot" w:pos="9298"/>
              </w:tabs>
              <w:kinsoku/>
              <w:wordWrap w:val="0"/>
              <w:overflowPunct/>
              <w:topLinePunct w:val="0"/>
              <w:autoSpaceDE w:val="0"/>
              <w:autoSpaceDN w:val="0"/>
              <w:bidi w:val="0"/>
              <w:adjustRightInd/>
              <w:snapToGrid w:val="0"/>
              <w:spacing w:line="240" w:lineRule="auto"/>
              <w:ind w:left="0" w:leftChars="0" w:right="0" w:rightChars="0" w:firstLine="0" w:firstLineChars="0"/>
              <w:jc w:val="both"/>
              <w:textAlignment w:val="auto"/>
              <w:rPr>
                <w:rFonts w:ascii="宋体" w:hAnsi="宋体" w:eastAsia="宋体" w:cs="Cambria Math"/>
                <w:color w:val="auto"/>
                <w:sz w:val="21"/>
                <w:highlight w:val="none"/>
              </w:rPr>
            </w:pPr>
            <w:r>
              <w:rPr>
                <w:rFonts w:hint="eastAsia" w:ascii="宋体" w:hAnsi="宋体" w:eastAsia="宋体" w:cs="Cambria Math"/>
                <w:color w:val="auto"/>
                <w:sz w:val="21"/>
                <w:highlight w:val="none"/>
                <w:lang w:val="en-US" w:eastAsia="zh-CN"/>
              </w:rPr>
              <w:t>①</w:t>
            </w:r>
            <w:r>
              <w:rPr>
                <w:rFonts w:ascii="宋体" w:hAnsi="宋体" w:eastAsia="宋体" w:cs="Cambria Math"/>
                <w:color w:val="auto"/>
                <w:sz w:val="21"/>
                <w:highlight w:val="none"/>
              </w:rPr>
              <w:t>主</w:t>
            </w:r>
            <w:r>
              <w:rPr>
                <w:rFonts w:hint="eastAsia" w:ascii="宋体" w:hAnsi="宋体" w:eastAsia="宋体" w:cs="Cambria Math"/>
                <w:color w:val="auto"/>
                <w:sz w:val="21"/>
                <w:highlight w:val="none"/>
              </w:rPr>
              <w:t>症</w:t>
            </w:r>
            <w:r>
              <w:rPr>
                <w:rFonts w:ascii="宋体" w:hAnsi="宋体" w:eastAsia="宋体" w:cs="Cambria Math"/>
                <w:color w:val="auto"/>
                <w:sz w:val="21"/>
                <w:highlight w:val="none"/>
              </w:rPr>
              <w:t>：</w:t>
            </w:r>
            <w:r>
              <w:rPr>
                <w:rFonts w:hint="eastAsia" w:ascii="宋体" w:hAnsi="宋体" w:eastAsia="宋体" w:cs="Cambria Math"/>
                <w:color w:val="auto"/>
                <w:sz w:val="21"/>
                <w:highlight w:val="none"/>
              </w:rPr>
              <w:t>心悸，气短喘息，神疲乏力，口干，五心烦热。</w:t>
            </w:r>
          </w:p>
          <w:p w14:paraId="092FD619">
            <w:pPr>
              <w:pStyle w:val="6"/>
              <w:keepNext w:val="0"/>
              <w:keepLines w:val="0"/>
              <w:pageBreakBefore w:val="0"/>
              <w:widowControl/>
              <w:tabs>
                <w:tab w:val="center" w:pos="4201"/>
                <w:tab w:val="right" w:leader="dot" w:pos="9298"/>
              </w:tabs>
              <w:kinsoku/>
              <w:wordWrap w:val="0"/>
              <w:overflowPunct/>
              <w:topLinePunct w:val="0"/>
              <w:autoSpaceDE w:val="0"/>
              <w:autoSpaceDN w:val="0"/>
              <w:bidi w:val="0"/>
              <w:adjustRightInd/>
              <w:snapToGrid w:val="0"/>
              <w:spacing w:line="240" w:lineRule="auto"/>
              <w:ind w:left="0" w:leftChars="0" w:right="0" w:rightChars="0" w:firstLine="0" w:firstLineChars="0"/>
              <w:jc w:val="both"/>
              <w:textAlignment w:val="auto"/>
              <w:rPr>
                <w:rFonts w:ascii="宋体" w:hAnsi="宋体" w:eastAsia="宋体" w:cs="Cambria Math"/>
                <w:color w:val="auto"/>
                <w:sz w:val="21"/>
                <w:highlight w:val="none"/>
              </w:rPr>
            </w:pPr>
            <w:r>
              <w:rPr>
                <w:rFonts w:hint="eastAsia" w:ascii="宋体" w:hAnsi="宋体" w:eastAsia="宋体" w:cs="Cambria Math"/>
                <w:color w:val="auto"/>
                <w:sz w:val="21"/>
                <w:highlight w:val="none"/>
                <w:lang w:val="en-US" w:eastAsia="zh-CN"/>
              </w:rPr>
              <w:t>②</w:t>
            </w:r>
            <w:r>
              <w:rPr>
                <w:rFonts w:hint="eastAsia" w:ascii="宋体" w:hAnsi="宋体" w:eastAsia="宋体" w:cs="Cambria Math"/>
                <w:color w:val="auto"/>
                <w:sz w:val="21"/>
                <w:highlight w:val="none"/>
              </w:rPr>
              <w:t>次症</w:t>
            </w:r>
            <w:r>
              <w:rPr>
                <w:rFonts w:ascii="宋体" w:hAnsi="宋体" w:eastAsia="宋体" w:cs="Cambria Math"/>
                <w:color w:val="auto"/>
                <w:sz w:val="21"/>
                <w:highlight w:val="none"/>
              </w:rPr>
              <w:t>：</w:t>
            </w:r>
            <w:r>
              <w:rPr>
                <w:rFonts w:hint="eastAsia" w:ascii="宋体" w:hAnsi="宋体" w:eastAsia="宋体" w:cs="Cambria Math"/>
                <w:color w:val="auto"/>
                <w:sz w:val="21"/>
                <w:highlight w:val="none"/>
              </w:rPr>
              <w:t>眩晕，胸闷，少气懒言，自汗</w:t>
            </w:r>
            <w:r>
              <w:rPr>
                <w:rFonts w:hint="eastAsia" w:ascii="宋体" w:hAnsi="宋体" w:eastAsia="宋体" w:cs="Cambria Math"/>
                <w:color w:val="auto"/>
                <w:sz w:val="21"/>
                <w:highlight w:val="none"/>
                <w:lang w:eastAsia="zh-CN"/>
              </w:rPr>
              <w:t>，</w:t>
            </w:r>
            <w:r>
              <w:rPr>
                <w:rFonts w:hint="eastAsia" w:ascii="宋体" w:hAnsi="宋体" w:eastAsia="宋体" w:cs="Cambria Math"/>
                <w:color w:val="auto"/>
                <w:sz w:val="21"/>
                <w:highlight w:val="none"/>
              </w:rPr>
              <w:t>盗汗，腰膝酸软，失眠，肢体麻木伴无力。</w:t>
            </w:r>
          </w:p>
          <w:p w14:paraId="627A4E6C">
            <w:pPr>
              <w:pStyle w:val="10"/>
              <w:keepNext w:val="0"/>
              <w:keepLines w:val="0"/>
              <w:pageBreakBefore w:val="0"/>
              <w:widowControl w:val="0"/>
              <w:numPr>
                <w:ilvl w:val="0"/>
                <w:numId w:val="0"/>
              </w:numPr>
              <w:tabs>
                <w:tab w:val="left" w:pos="0"/>
              </w:tabs>
              <w:kinsoku/>
              <w:wordWrap w:val="0"/>
              <w:overflowPunct/>
              <w:topLinePunct w:val="0"/>
              <w:autoSpaceDE/>
              <w:autoSpaceDN/>
              <w:bidi w:val="0"/>
              <w:adjustRightInd/>
              <w:snapToGrid w:val="0"/>
              <w:spacing w:line="240" w:lineRule="auto"/>
              <w:ind w:left="0" w:leftChars="0" w:right="0" w:rightChars="0" w:firstLine="0" w:firstLineChars="0"/>
              <w:jc w:val="both"/>
              <w:textAlignment w:val="auto"/>
              <w:rPr>
                <w:rFonts w:ascii="宋体" w:hAnsi="宋体" w:eastAsia="宋体" w:cs="Cambria Math"/>
                <w:color w:val="auto"/>
                <w:sz w:val="21"/>
                <w:highlight w:val="none"/>
              </w:rPr>
            </w:pPr>
            <w:r>
              <w:rPr>
                <w:rFonts w:hint="eastAsia" w:ascii="宋体" w:hAnsi="宋体" w:eastAsia="宋体" w:cs="Cambria Math"/>
                <w:color w:val="auto"/>
                <w:sz w:val="21"/>
                <w:highlight w:val="none"/>
                <w:lang w:val="en-US" w:eastAsia="zh-CN"/>
              </w:rPr>
              <w:t>③</w:t>
            </w:r>
            <w:r>
              <w:rPr>
                <w:rFonts w:hint="eastAsia" w:ascii="宋体" w:hAnsi="宋体" w:eastAsia="宋体" w:cs="Cambria Math"/>
                <w:color w:val="auto"/>
                <w:sz w:val="21"/>
                <w:highlight w:val="none"/>
              </w:rPr>
              <w:t>舌</w:t>
            </w:r>
            <w:r>
              <w:rPr>
                <w:rFonts w:hint="eastAsia" w:ascii="宋体" w:hAnsi="宋体" w:eastAsia="宋体" w:cs="Cambria Math"/>
                <w:color w:val="auto"/>
                <w:sz w:val="21"/>
                <w:highlight w:val="none"/>
                <w:lang w:val="en-US" w:eastAsia="zh-CN"/>
              </w:rPr>
              <w:t>象</w:t>
            </w:r>
            <w:r>
              <w:rPr>
                <w:rFonts w:hint="eastAsia" w:ascii="宋体" w:hAnsi="宋体" w:eastAsia="宋体" w:cs="Cambria Math"/>
                <w:color w:val="auto"/>
                <w:sz w:val="21"/>
                <w:highlight w:val="none"/>
              </w:rPr>
              <w:t>：</w:t>
            </w:r>
            <w:r>
              <w:rPr>
                <w:rFonts w:hint="eastAsia" w:ascii="宋体" w:hAnsi="Times New Roman" w:eastAsia="宋体" w:cs="Times New Roman"/>
                <w:color w:val="000000" w:themeColor="text1"/>
                <w:sz w:val="21"/>
                <w:szCs w:val="21"/>
                <w:lang w:val="en-US" w:eastAsia="zh-CN"/>
                <w14:textFill>
                  <w14:solidFill>
                    <w14:schemeClr w14:val="tx1"/>
                  </w14:solidFill>
                </w14:textFill>
              </w:rPr>
              <w:t>舌质红或红绛，少津，苔薄白或少苔</w:t>
            </w:r>
            <w:r>
              <w:rPr>
                <w:rFonts w:hint="eastAsia" w:ascii="宋体" w:hAnsi="宋体" w:eastAsia="宋体" w:cs="Cambria Math"/>
                <w:color w:val="auto"/>
                <w:sz w:val="21"/>
                <w:highlight w:val="none"/>
              </w:rPr>
              <w:t>。</w:t>
            </w:r>
          </w:p>
          <w:p w14:paraId="1D17ECE7">
            <w:pPr>
              <w:pStyle w:val="6"/>
              <w:keepNext w:val="0"/>
              <w:keepLines w:val="0"/>
              <w:pageBreakBefore w:val="0"/>
              <w:widowControl/>
              <w:tabs>
                <w:tab w:val="center" w:pos="4201"/>
                <w:tab w:val="right" w:leader="dot" w:pos="9298"/>
              </w:tabs>
              <w:kinsoku/>
              <w:wordWrap w:val="0"/>
              <w:overflowPunct/>
              <w:topLinePunct w:val="0"/>
              <w:autoSpaceDE w:val="0"/>
              <w:autoSpaceDN w:val="0"/>
              <w:bidi w:val="0"/>
              <w:adjustRightInd/>
              <w:snapToGrid w:val="0"/>
              <w:spacing w:line="240" w:lineRule="auto"/>
              <w:ind w:left="0" w:leftChars="0" w:right="0" w:rightChars="0"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Cambria Math"/>
                <w:color w:val="auto"/>
                <w:sz w:val="21"/>
                <w:highlight w:val="none"/>
                <w:lang w:val="en-US" w:eastAsia="zh-CN"/>
              </w:rPr>
              <w:t>④脉象：</w:t>
            </w:r>
            <w:r>
              <w:rPr>
                <w:rFonts w:hint="eastAsia" w:ascii="宋体" w:hAnsi="宋体" w:eastAsia="宋体" w:cs="Cambria Math"/>
                <w:color w:val="auto"/>
                <w:sz w:val="21"/>
                <w:highlight w:val="none"/>
              </w:rPr>
              <w:t>脉</w:t>
            </w:r>
            <w:r>
              <w:rPr>
                <w:rFonts w:hint="eastAsia" w:ascii="宋体" w:hAnsi="宋体" w:eastAsia="宋体" w:cs="Cambria Math"/>
                <w:color w:val="auto"/>
                <w:sz w:val="21"/>
                <w:highlight w:val="none"/>
                <w:lang w:val="en-US" w:eastAsia="zh-CN"/>
              </w:rPr>
              <w:t>沉细</w:t>
            </w:r>
            <w:r>
              <w:rPr>
                <w:rFonts w:hint="eastAsia" w:ascii="宋体" w:hAnsi="宋体" w:eastAsia="宋体" w:cs="Cambria Math"/>
                <w:color w:val="auto"/>
                <w:sz w:val="21"/>
                <w:highlight w:val="none"/>
              </w:rPr>
              <w:t>，或细数无力</w:t>
            </w:r>
            <w:r>
              <w:rPr>
                <w:rFonts w:hint="eastAsia" w:ascii="宋体" w:hAnsi="宋体" w:eastAsia="宋体" w:cs="Cambria Math"/>
                <w:color w:val="auto"/>
                <w:sz w:val="21"/>
                <w:highlight w:val="none"/>
                <w:lang w:eastAsia="zh-CN"/>
              </w:rPr>
              <w:t>。</w:t>
            </w:r>
          </w:p>
        </w:tc>
        <w:tc>
          <w:tcPr>
            <w:tcW w:w="1176" w:type="dxa"/>
            <w:shd w:val="clear" w:color="auto" w:fill="auto"/>
            <w:vAlign w:val="center"/>
          </w:tcPr>
          <w:p w14:paraId="0783522D">
            <w:pPr>
              <w:pStyle w:val="6"/>
              <w:tabs>
                <w:tab w:val="center" w:pos="4201"/>
                <w:tab w:val="right" w:leader="dot" w:pos="9298"/>
              </w:tabs>
              <w:wordWrap w:val="0"/>
              <w:snapToGrid w:val="0"/>
              <w:spacing w:line="240" w:lineRule="auto"/>
              <w:ind w:left="0" w:leftChars="0" w:right="0" w:rightChars="0" w:firstLine="0" w:firstLineChars="0"/>
              <w:jc w:val="both"/>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益气养阴</w:t>
            </w:r>
          </w:p>
          <w:p w14:paraId="4BCFFEBD">
            <w:pPr>
              <w:pStyle w:val="6"/>
              <w:tabs>
                <w:tab w:val="center" w:pos="4201"/>
                <w:tab w:val="right" w:leader="dot" w:pos="9298"/>
              </w:tabs>
              <w:wordWrap w:val="0"/>
              <w:snapToGrid w:val="0"/>
              <w:spacing w:line="240" w:lineRule="auto"/>
              <w:ind w:left="0" w:leftChars="0" w:right="0" w:rightChars="0" w:firstLine="0" w:firstLineChars="0"/>
              <w:jc w:val="both"/>
              <w:rPr>
                <w:rFonts w:hint="eastAsia" w:ascii="宋体" w:hAnsi="宋体" w:eastAsia="宋体" w:cs="宋体"/>
                <w:color w:val="auto"/>
                <w:kern w:val="0"/>
                <w:sz w:val="21"/>
                <w:szCs w:val="21"/>
                <w:lang w:val="en-US" w:eastAsia="zh-CN" w:bidi="ar-SA"/>
              </w:rPr>
            </w:pPr>
            <w:r>
              <w:rPr>
                <w:rFonts w:hint="eastAsia" w:ascii="宋体" w:hAnsi="宋体" w:eastAsia="宋体" w:cs="宋体"/>
                <w:b w:val="0"/>
                <w:bCs w:val="0"/>
                <w:color w:val="auto"/>
                <w:sz w:val="21"/>
                <w:szCs w:val="21"/>
                <w:lang w:val="en-US" w:eastAsia="zh-CN"/>
              </w:rPr>
              <w:t>润脉和络</w:t>
            </w:r>
          </w:p>
        </w:tc>
        <w:tc>
          <w:tcPr>
            <w:tcW w:w="3123" w:type="dxa"/>
            <w:shd w:val="clear" w:color="auto" w:fill="auto"/>
            <w:vAlign w:val="center"/>
          </w:tcPr>
          <w:p w14:paraId="383B7798">
            <w:pPr>
              <w:pStyle w:val="6"/>
              <w:tabs>
                <w:tab w:val="center" w:pos="4201"/>
                <w:tab w:val="right" w:leader="dot" w:pos="9298"/>
              </w:tabs>
              <w:wordWrap w:val="0"/>
              <w:snapToGrid w:val="0"/>
              <w:spacing w:line="240" w:lineRule="auto"/>
              <w:ind w:left="0" w:leftChars="0" w:right="0" w:rightChars="0" w:firstLine="0" w:firstLineChars="0"/>
              <w:jc w:val="both"/>
              <w:rPr>
                <w:rFonts w:hint="eastAsia" w:ascii="宋体" w:hAnsi="宋体" w:eastAsia="宋体" w:cs="宋体"/>
                <w:b w:val="0"/>
                <w:bCs w:val="0"/>
                <w:color w:val="auto"/>
                <w:sz w:val="21"/>
                <w:szCs w:val="21"/>
                <w:lang w:val="en-US" w:eastAsia="zh-CN"/>
              </w:rPr>
            </w:pPr>
            <w:r>
              <w:rPr>
                <w:rFonts w:hint="eastAsia" w:ascii="宋体" w:hAnsi="宋体" w:eastAsia="宋体" w:cs="宋体"/>
                <w:color w:val="auto"/>
                <w:sz w:val="21"/>
                <w:szCs w:val="21"/>
                <w:lang w:val="en-US" w:eastAsia="zh-CN"/>
              </w:rPr>
              <w:t>推荐方药</w:t>
            </w:r>
            <w:r>
              <w:rPr>
                <w:rFonts w:hint="eastAsia" w:ascii="宋体" w:hAnsi="宋体" w:eastAsia="宋体" w:cs="宋体"/>
                <w:color w:val="auto"/>
                <w:sz w:val="21"/>
                <w:szCs w:val="21"/>
              </w:rPr>
              <w:t>：</w:t>
            </w:r>
            <w:r>
              <w:rPr>
                <w:rFonts w:hint="eastAsia" w:ascii="宋体" w:hAnsi="宋体" w:eastAsia="宋体" w:cs="宋体"/>
                <w:b w:val="0"/>
                <w:bCs w:val="0"/>
                <w:color w:val="auto"/>
                <w:sz w:val="21"/>
                <w:szCs w:val="21"/>
                <w:lang w:val="en-US" w:eastAsia="zh-CN"/>
              </w:rPr>
              <w:t>生脉散</w:t>
            </w:r>
          </w:p>
          <w:p w14:paraId="459A9864">
            <w:pPr>
              <w:pStyle w:val="6"/>
              <w:tabs>
                <w:tab w:val="center" w:pos="4201"/>
                <w:tab w:val="right" w:leader="dot" w:pos="9298"/>
              </w:tabs>
              <w:wordWrap w:val="0"/>
              <w:snapToGrid w:val="0"/>
              <w:spacing w:line="240" w:lineRule="auto"/>
              <w:ind w:left="0" w:leftChars="0" w:right="0" w:rightChars="0" w:firstLine="0" w:firstLineChars="0"/>
              <w:jc w:val="both"/>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lang w:val="en-US" w:eastAsia="zh-CN"/>
              </w:rPr>
              <w:t>口服</w:t>
            </w:r>
            <w:r>
              <w:rPr>
                <w:rFonts w:hint="eastAsia" w:ascii="宋体" w:hAnsi="宋体" w:eastAsia="宋体" w:cs="宋体"/>
                <w:color w:val="auto"/>
                <w:sz w:val="21"/>
                <w:szCs w:val="21"/>
              </w:rPr>
              <w:t>中成药：</w:t>
            </w:r>
            <w:r>
              <w:rPr>
                <w:rFonts w:hint="eastAsia" w:ascii="宋体" w:hAnsi="宋体" w:eastAsia="宋体" w:cs="宋体"/>
                <w:b w:val="0"/>
                <w:bCs w:val="0"/>
                <w:color w:val="auto"/>
                <w:sz w:val="21"/>
                <w:szCs w:val="21"/>
                <w:highlight w:val="none"/>
                <w:lang w:val="en-US" w:eastAsia="zh-CN"/>
              </w:rPr>
              <w:t>参松养心胶囊，通脉养心丸，稳心颗粒</w:t>
            </w:r>
          </w:p>
          <w:p w14:paraId="43C1A550">
            <w:pPr>
              <w:pStyle w:val="6"/>
              <w:tabs>
                <w:tab w:val="center" w:pos="4201"/>
                <w:tab w:val="right" w:leader="dot" w:pos="9298"/>
              </w:tabs>
              <w:wordWrap w:val="0"/>
              <w:snapToGrid w:val="0"/>
              <w:spacing w:line="240" w:lineRule="auto"/>
              <w:ind w:left="0" w:leftChars="0" w:right="0" w:rightChars="0" w:firstLine="0" w:firstLineChars="0"/>
              <w:jc w:val="both"/>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sz w:val="21"/>
                <w:szCs w:val="21"/>
                <w:highlight w:val="none"/>
                <w:lang w:val="en-US" w:eastAsia="zh-CN"/>
              </w:rPr>
              <w:t>中药静脉制剂：参麦注射液，注射用益气复脉（冻干）</w:t>
            </w:r>
          </w:p>
        </w:tc>
        <w:tc>
          <w:tcPr>
            <w:tcW w:w="1132" w:type="dxa"/>
            <w:shd w:val="clear" w:color="auto" w:fill="auto"/>
            <w:vAlign w:val="center"/>
          </w:tcPr>
          <w:p w14:paraId="295BD8BE">
            <w:pPr>
              <w:pStyle w:val="6"/>
              <w:tabs>
                <w:tab w:val="center" w:pos="4201"/>
                <w:tab w:val="right" w:leader="dot" w:pos="9298"/>
              </w:tabs>
              <w:wordWrap w:val="0"/>
              <w:snapToGrid w:val="0"/>
              <w:spacing w:line="240" w:lineRule="auto"/>
              <w:ind w:left="0" w:leftChars="0" w:right="0" w:rightChars="0" w:firstLine="0" w:firstLineChars="0"/>
              <w:jc w:val="both"/>
              <w:rPr>
                <w:rFonts w:hint="default" w:ascii="宋体" w:hAnsi="宋体" w:eastAsia="宋体" w:cs="宋体"/>
                <w:b w:val="0"/>
                <w:bCs w:val="0"/>
                <w:color w:val="auto"/>
                <w:sz w:val="21"/>
                <w:szCs w:val="21"/>
                <w:highlight w:val="none"/>
                <w:lang w:val="en-US" w:eastAsia="zh-CN"/>
              </w:rPr>
            </w:pPr>
            <w:r>
              <w:rPr>
                <w:rFonts w:hint="eastAsia" w:hAnsi="宋体" w:cs="宋体"/>
                <w:b w:val="0"/>
                <w:bCs w:val="0"/>
                <w:color w:val="auto"/>
                <w:sz w:val="21"/>
                <w:szCs w:val="21"/>
                <w:highlight w:val="none"/>
                <w:lang w:val="en-US" w:eastAsia="zh-CN"/>
              </w:rPr>
              <w:t>95.6％</w:t>
            </w:r>
          </w:p>
        </w:tc>
      </w:tr>
      <w:tr w14:paraId="00FE393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90" w:type="dxa"/>
            <w:shd w:val="clear" w:color="auto" w:fill="auto"/>
            <w:vAlign w:val="center"/>
          </w:tcPr>
          <w:p w14:paraId="6B40A6A5">
            <w:pPr>
              <w:pStyle w:val="6"/>
              <w:tabs>
                <w:tab w:val="center" w:pos="4201"/>
                <w:tab w:val="right" w:leader="dot" w:pos="9298"/>
              </w:tabs>
              <w:wordWrap w:val="0"/>
              <w:snapToGrid w:val="0"/>
              <w:spacing w:line="240" w:lineRule="auto"/>
              <w:ind w:left="0" w:leftChars="0" w:right="0" w:rightChars="0" w:firstLine="0" w:firstLineChars="0"/>
              <w:jc w:val="both"/>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sz w:val="21"/>
                <w:szCs w:val="21"/>
                <w:lang w:val="en-US" w:eastAsia="zh-CN"/>
              </w:rPr>
              <w:t>阴虚阳亢证</w:t>
            </w:r>
          </w:p>
        </w:tc>
        <w:tc>
          <w:tcPr>
            <w:tcW w:w="3216" w:type="dxa"/>
            <w:shd w:val="clear" w:color="auto" w:fill="auto"/>
            <w:vAlign w:val="center"/>
          </w:tcPr>
          <w:p w14:paraId="12F2A53F">
            <w:pPr>
              <w:pStyle w:val="6"/>
              <w:keepNext w:val="0"/>
              <w:keepLines w:val="0"/>
              <w:pageBreakBefore w:val="0"/>
              <w:widowControl/>
              <w:tabs>
                <w:tab w:val="center" w:pos="4201"/>
                <w:tab w:val="right" w:leader="dot" w:pos="9298"/>
              </w:tabs>
              <w:kinsoku/>
              <w:wordWrap w:val="0"/>
              <w:overflowPunct/>
              <w:topLinePunct w:val="0"/>
              <w:autoSpaceDE w:val="0"/>
              <w:autoSpaceDN w:val="0"/>
              <w:bidi w:val="0"/>
              <w:adjustRightInd/>
              <w:snapToGrid w:val="0"/>
              <w:spacing w:line="240" w:lineRule="auto"/>
              <w:ind w:left="0" w:leftChars="0" w:right="0" w:rightChars="0" w:firstLine="0" w:firstLineChars="0"/>
              <w:jc w:val="both"/>
              <w:textAlignment w:val="auto"/>
              <w:rPr>
                <w:rFonts w:ascii="宋体" w:hAnsi="宋体" w:eastAsia="宋体" w:cs="Cambria Math"/>
                <w:color w:val="auto"/>
                <w:sz w:val="21"/>
                <w:highlight w:val="none"/>
              </w:rPr>
            </w:pPr>
            <w:r>
              <w:rPr>
                <w:rFonts w:hint="eastAsia" w:ascii="宋体" w:hAnsi="宋体" w:eastAsia="宋体" w:cs="Cambria Math"/>
                <w:color w:val="auto"/>
                <w:sz w:val="21"/>
                <w:highlight w:val="none"/>
                <w:lang w:val="en-US" w:eastAsia="zh-CN"/>
              </w:rPr>
              <w:t>①</w:t>
            </w:r>
            <w:r>
              <w:rPr>
                <w:rFonts w:ascii="宋体" w:hAnsi="宋体" w:eastAsia="宋体" w:cs="Cambria Math"/>
                <w:color w:val="auto"/>
                <w:sz w:val="21"/>
                <w:highlight w:val="none"/>
              </w:rPr>
              <w:t>主</w:t>
            </w:r>
            <w:r>
              <w:rPr>
                <w:rFonts w:hint="eastAsia" w:ascii="宋体" w:hAnsi="宋体" w:eastAsia="宋体" w:cs="Cambria Math"/>
                <w:color w:val="auto"/>
                <w:sz w:val="21"/>
                <w:highlight w:val="none"/>
              </w:rPr>
              <w:t>症</w:t>
            </w:r>
            <w:r>
              <w:rPr>
                <w:rFonts w:ascii="宋体" w:hAnsi="宋体" w:eastAsia="宋体" w:cs="Cambria Math"/>
                <w:color w:val="auto"/>
                <w:sz w:val="21"/>
                <w:highlight w:val="none"/>
              </w:rPr>
              <w:t>：</w:t>
            </w:r>
            <w:r>
              <w:rPr>
                <w:rFonts w:hint="eastAsia" w:ascii="宋体" w:hAnsi="宋体" w:eastAsia="宋体" w:cs="Cambria Math"/>
                <w:color w:val="auto"/>
                <w:sz w:val="21"/>
                <w:highlight w:val="none"/>
              </w:rPr>
              <w:t>眩晕，头目胀痛，急躁易怒，颜面潮红。</w:t>
            </w:r>
          </w:p>
          <w:p w14:paraId="5D434BB3">
            <w:pPr>
              <w:pStyle w:val="6"/>
              <w:keepNext w:val="0"/>
              <w:keepLines w:val="0"/>
              <w:pageBreakBefore w:val="0"/>
              <w:widowControl/>
              <w:tabs>
                <w:tab w:val="center" w:pos="4201"/>
                <w:tab w:val="right" w:leader="dot" w:pos="9298"/>
              </w:tabs>
              <w:kinsoku/>
              <w:wordWrap w:val="0"/>
              <w:overflowPunct/>
              <w:topLinePunct w:val="0"/>
              <w:autoSpaceDE w:val="0"/>
              <w:autoSpaceDN w:val="0"/>
              <w:bidi w:val="0"/>
              <w:adjustRightInd/>
              <w:snapToGrid w:val="0"/>
              <w:spacing w:line="240" w:lineRule="auto"/>
              <w:ind w:left="0" w:leftChars="0" w:right="0" w:rightChars="0" w:firstLine="0" w:firstLineChars="0"/>
              <w:jc w:val="both"/>
              <w:textAlignment w:val="auto"/>
              <w:rPr>
                <w:rFonts w:hint="eastAsia" w:ascii="宋体" w:hAnsi="宋体" w:eastAsia="宋体" w:cs="Cambria Math"/>
                <w:color w:val="auto"/>
                <w:sz w:val="21"/>
                <w:highlight w:val="none"/>
              </w:rPr>
            </w:pPr>
            <w:r>
              <w:rPr>
                <w:rFonts w:hint="eastAsia" w:ascii="宋体" w:hAnsi="宋体" w:eastAsia="宋体" w:cs="Cambria Math"/>
                <w:color w:val="auto"/>
                <w:sz w:val="21"/>
                <w:highlight w:val="none"/>
                <w:lang w:val="en-US" w:eastAsia="zh-CN"/>
              </w:rPr>
              <w:t>②</w:t>
            </w:r>
            <w:r>
              <w:rPr>
                <w:rFonts w:hint="eastAsia" w:ascii="宋体" w:hAnsi="宋体" w:eastAsia="宋体" w:cs="Cambria Math"/>
                <w:color w:val="auto"/>
                <w:sz w:val="21"/>
                <w:highlight w:val="none"/>
              </w:rPr>
              <w:t>次症</w:t>
            </w:r>
            <w:r>
              <w:rPr>
                <w:rFonts w:ascii="宋体" w:hAnsi="宋体" w:eastAsia="宋体" w:cs="Cambria Math"/>
                <w:color w:val="auto"/>
                <w:sz w:val="21"/>
                <w:highlight w:val="none"/>
              </w:rPr>
              <w:t>：</w:t>
            </w:r>
            <w:r>
              <w:rPr>
                <w:rFonts w:hint="eastAsia" w:ascii="宋体" w:hAnsi="宋体" w:eastAsia="宋体" w:cs="Cambria Math"/>
                <w:color w:val="auto"/>
                <w:sz w:val="21"/>
                <w:highlight w:val="none"/>
              </w:rPr>
              <w:t>耳鸣，口燥咽干，失眠多梦，健忘</w:t>
            </w:r>
            <w:r>
              <w:rPr>
                <w:rFonts w:hint="eastAsia" w:ascii="宋体" w:hAnsi="宋体" w:eastAsia="宋体" w:cs="Cambria Math"/>
                <w:color w:val="auto"/>
                <w:sz w:val="21"/>
                <w:highlight w:val="none"/>
                <w:lang w:eastAsia="zh-CN"/>
              </w:rPr>
              <w:t>，</w:t>
            </w:r>
            <w:r>
              <w:rPr>
                <w:rFonts w:hint="eastAsia" w:ascii="宋体" w:hAnsi="宋体" w:eastAsia="宋体" w:cs="Cambria Math"/>
                <w:color w:val="auto"/>
                <w:sz w:val="21"/>
                <w:highlight w:val="none"/>
              </w:rPr>
              <w:t>五心烦热，腰膝酸软</w:t>
            </w:r>
            <w:r>
              <w:rPr>
                <w:rFonts w:hint="eastAsia" w:ascii="宋体" w:hAnsi="宋体" w:eastAsia="宋体" w:cs="Cambria Math"/>
                <w:color w:val="auto"/>
                <w:sz w:val="21"/>
                <w:highlight w:val="none"/>
                <w:lang w:eastAsia="zh-CN"/>
              </w:rPr>
              <w:t>，</w:t>
            </w:r>
            <w:r>
              <w:rPr>
                <w:rFonts w:hint="eastAsia" w:ascii="宋体" w:hAnsi="宋体" w:eastAsia="宋体" w:cs="Cambria Math"/>
                <w:color w:val="auto"/>
                <w:sz w:val="21"/>
                <w:highlight w:val="none"/>
              </w:rPr>
              <w:t>小便短赤，大便干结。</w:t>
            </w:r>
          </w:p>
          <w:p w14:paraId="3C622070">
            <w:pPr>
              <w:pStyle w:val="6"/>
              <w:keepNext w:val="0"/>
              <w:keepLines w:val="0"/>
              <w:pageBreakBefore w:val="0"/>
              <w:widowControl/>
              <w:tabs>
                <w:tab w:val="center" w:pos="4201"/>
                <w:tab w:val="right" w:leader="dot" w:pos="9298"/>
              </w:tabs>
              <w:kinsoku/>
              <w:wordWrap w:val="0"/>
              <w:overflowPunct/>
              <w:topLinePunct w:val="0"/>
              <w:autoSpaceDE w:val="0"/>
              <w:autoSpaceDN w:val="0"/>
              <w:bidi w:val="0"/>
              <w:adjustRightInd/>
              <w:snapToGrid w:val="0"/>
              <w:spacing w:line="240" w:lineRule="auto"/>
              <w:ind w:left="0" w:leftChars="0" w:right="0" w:rightChars="0" w:firstLine="0" w:firstLineChars="0"/>
              <w:jc w:val="both"/>
              <w:textAlignment w:val="auto"/>
              <w:rPr>
                <w:rFonts w:hint="eastAsia" w:ascii="宋体" w:hAnsi="宋体" w:eastAsia="宋体" w:cs="Cambria Math"/>
                <w:color w:val="auto"/>
                <w:sz w:val="21"/>
                <w:highlight w:val="none"/>
                <w:lang w:eastAsia="zh-CN"/>
              </w:rPr>
            </w:pPr>
            <w:r>
              <w:rPr>
                <w:rFonts w:hint="eastAsia" w:ascii="宋体" w:hAnsi="宋体" w:eastAsia="宋体" w:cs="Cambria Math"/>
                <w:color w:val="auto"/>
                <w:sz w:val="21"/>
                <w:highlight w:val="none"/>
                <w:lang w:val="en-US" w:eastAsia="zh-CN"/>
              </w:rPr>
              <w:t>③</w:t>
            </w:r>
            <w:r>
              <w:rPr>
                <w:rFonts w:hint="eastAsia" w:ascii="宋体" w:hAnsi="宋体" w:eastAsia="宋体" w:cs="Cambria Math"/>
                <w:color w:val="auto"/>
                <w:sz w:val="21"/>
                <w:highlight w:val="none"/>
              </w:rPr>
              <w:t>舌</w:t>
            </w:r>
            <w:r>
              <w:rPr>
                <w:rFonts w:hint="eastAsia" w:ascii="宋体" w:hAnsi="宋体" w:eastAsia="宋体" w:cs="Cambria Math"/>
                <w:color w:val="auto"/>
                <w:sz w:val="21"/>
                <w:highlight w:val="none"/>
                <w:lang w:val="en-US" w:eastAsia="zh-CN"/>
              </w:rPr>
              <w:t>象</w:t>
            </w:r>
            <w:r>
              <w:rPr>
                <w:rFonts w:hint="eastAsia" w:ascii="宋体" w:hAnsi="宋体" w:eastAsia="宋体" w:cs="Cambria Math"/>
                <w:color w:val="auto"/>
                <w:sz w:val="21"/>
                <w:highlight w:val="none"/>
              </w:rPr>
              <w:t>：舌红少津</w:t>
            </w:r>
            <w:r>
              <w:rPr>
                <w:rFonts w:hint="eastAsia" w:ascii="宋体" w:hAnsi="宋体" w:eastAsia="宋体" w:cs="Cambria Math"/>
                <w:color w:val="auto"/>
                <w:sz w:val="21"/>
                <w:highlight w:val="none"/>
                <w:lang w:eastAsia="zh-CN"/>
              </w:rPr>
              <w:t>，</w:t>
            </w:r>
            <w:r>
              <w:rPr>
                <w:rFonts w:hint="eastAsia" w:ascii="宋体" w:hAnsi="宋体" w:eastAsia="宋体" w:cs="Cambria Math"/>
                <w:color w:val="auto"/>
                <w:sz w:val="21"/>
                <w:highlight w:val="none"/>
              </w:rPr>
              <w:t>舌苔薄黄</w:t>
            </w:r>
            <w:r>
              <w:rPr>
                <w:rFonts w:hint="eastAsia" w:ascii="宋体" w:hAnsi="宋体" w:eastAsia="宋体" w:cs="Cambria Math"/>
                <w:color w:val="auto"/>
                <w:sz w:val="21"/>
                <w:highlight w:val="none"/>
                <w:lang w:eastAsia="zh-CN"/>
              </w:rPr>
              <w:t>。</w:t>
            </w:r>
          </w:p>
          <w:p w14:paraId="0E345CF3">
            <w:pPr>
              <w:pStyle w:val="6"/>
              <w:keepNext w:val="0"/>
              <w:keepLines w:val="0"/>
              <w:pageBreakBefore w:val="0"/>
              <w:widowControl/>
              <w:tabs>
                <w:tab w:val="center" w:pos="4201"/>
                <w:tab w:val="right" w:leader="dot" w:pos="9298"/>
              </w:tabs>
              <w:kinsoku/>
              <w:wordWrap w:val="0"/>
              <w:overflowPunct/>
              <w:topLinePunct w:val="0"/>
              <w:autoSpaceDE w:val="0"/>
              <w:autoSpaceDN w:val="0"/>
              <w:bidi w:val="0"/>
              <w:adjustRightInd/>
              <w:snapToGrid w:val="0"/>
              <w:spacing w:line="240" w:lineRule="auto"/>
              <w:ind w:left="0" w:leftChars="0" w:right="0" w:rightChars="0"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Cambria Math"/>
                <w:color w:val="auto"/>
                <w:sz w:val="21"/>
                <w:highlight w:val="none"/>
                <w:lang w:val="en-US" w:eastAsia="zh-CN"/>
              </w:rPr>
              <w:t>④脉象：</w:t>
            </w:r>
            <w:r>
              <w:rPr>
                <w:rFonts w:hint="eastAsia" w:ascii="宋体" w:hAnsi="宋体" w:eastAsia="宋体" w:cs="Cambria Math"/>
                <w:color w:val="auto"/>
                <w:sz w:val="21"/>
                <w:highlight w:val="none"/>
              </w:rPr>
              <w:t>脉弦细数，或弦紧有力。</w:t>
            </w:r>
          </w:p>
        </w:tc>
        <w:tc>
          <w:tcPr>
            <w:tcW w:w="1176" w:type="dxa"/>
            <w:shd w:val="clear" w:color="auto" w:fill="auto"/>
            <w:vAlign w:val="center"/>
          </w:tcPr>
          <w:p w14:paraId="0ED768F2">
            <w:pPr>
              <w:pStyle w:val="6"/>
              <w:tabs>
                <w:tab w:val="center" w:pos="4201"/>
                <w:tab w:val="right" w:leader="dot" w:pos="9298"/>
              </w:tabs>
              <w:wordWrap w:val="0"/>
              <w:snapToGrid w:val="0"/>
              <w:spacing w:line="240" w:lineRule="auto"/>
              <w:ind w:left="0" w:leftChars="0" w:right="0" w:rightChars="0" w:firstLine="0" w:firstLineChars="0"/>
              <w:jc w:val="both"/>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滋阴潜阳</w:t>
            </w:r>
          </w:p>
          <w:p w14:paraId="31008E93">
            <w:pPr>
              <w:pStyle w:val="6"/>
              <w:tabs>
                <w:tab w:val="center" w:pos="4201"/>
                <w:tab w:val="right" w:leader="dot" w:pos="9298"/>
              </w:tabs>
              <w:wordWrap w:val="0"/>
              <w:snapToGrid w:val="0"/>
              <w:spacing w:line="240" w:lineRule="auto"/>
              <w:ind w:left="0" w:leftChars="0" w:right="0" w:rightChars="0" w:firstLine="0" w:firstLineChars="0"/>
              <w:jc w:val="both"/>
              <w:rPr>
                <w:rFonts w:hint="eastAsia" w:ascii="宋体" w:hAnsi="宋体" w:eastAsia="宋体" w:cs="宋体"/>
                <w:strike/>
                <w:color w:val="auto"/>
                <w:kern w:val="0"/>
                <w:sz w:val="21"/>
                <w:szCs w:val="21"/>
                <w:lang w:val="en-US" w:eastAsia="zh-CN" w:bidi="ar-SA"/>
              </w:rPr>
            </w:pPr>
            <w:r>
              <w:rPr>
                <w:rFonts w:hint="eastAsia" w:ascii="宋体" w:hAnsi="宋体" w:eastAsia="宋体" w:cs="宋体"/>
                <w:b w:val="0"/>
                <w:bCs w:val="0"/>
                <w:color w:val="auto"/>
                <w:sz w:val="21"/>
                <w:szCs w:val="21"/>
                <w:lang w:val="en-US" w:eastAsia="zh-CN"/>
              </w:rPr>
              <w:t>清泄虚火</w:t>
            </w:r>
          </w:p>
        </w:tc>
        <w:tc>
          <w:tcPr>
            <w:tcW w:w="3123" w:type="dxa"/>
            <w:shd w:val="clear" w:color="auto" w:fill="auto"/>
            <w:vAlign w:val="center"/>
          </w:tcPr>
          <w:p w14:paraId="49AC3ABF">
            <w:pPr>
              <w:pStyle w:val="6"/>
              <w:tabs>
                <w:tab w:val="center" w:pos="4201"/>
                <w:tab w:val="right" w:leader="dot" w:pos="9298"/>
              </w:tabs>
              <w:wordWrap w:val="0"/>
              <w:snapToGrid w:val="0"/>
              <w:spacing w:line="240" w:lineRule="auto"/>
              <w:ind w:left="0" w:leftChars="0" w:right="0" w:rightChars="0" w:firstLine="0" w:firstLineChars="0"/>
              <w:jc w:val="both"/>
              <w:rPr>
                <w:rFonts w:hint="eastAsia" w:ascii="宋体" w:hAnsi="宋体" w:eastAsia="宋体" w:cs="宋体"/>
                <w:b w:val="0"/>
                <w:bCs w:val="0"/>
                <w:color w:val="auto"/>
                <w:sz w:val="21"/>
                <w:szCs w:val="21"/>
                <w:lang w:val="en-US" w:eastAsia="zh-CN"/>
              </w:rPr>
            </w:pPr>
            <w:r>
              <w:rPr>
                <w:rFonts w:hint="eastAsia" w:ascii="宋体" w:hAnsi="宋体" w:eastAsia="宋体" w:cs="宋体"/>
                <w:color w:val="auto"/>
                <w:sz w:val="21"/>
                <w:szCs w:val="21"/>
                <w:lang w:val="en-US" w:eastAsia="zh-CN"/>
              </w:rPr>
              <w:t>推荐方药</w:t>
            </w:r>
            <w:r>
              <w:rPr>
                <w:rFonts w:hint="eastAsia" w:ascii="宋体" w:hAnsi="宋体" w:eastAsia="宋体" w:cs="宋体"/>
                <w:color w:val="auto"/>
                <w:sz w:val="21"/>
                <w:szCs w:val="21"/>
              </w:rPr>
              <w:t>：</w:t>
            </w:r>
            <w:r>
              <w:rPr>
                <w:rFonts w:hint="eastAsia" w:ascii="宋体" w:hAnsi="宋体" w:eastAsia="宋体" w:cs="宋体"/>
                <w:b w:val="0"/>
                <w:bCs w:val="0"/>
                <w:color w:val="auto"/>
                <w:sz w:val="21"/>
                <w:szCs w:val="21"/>
                <w:lang w:val="en-US" w:eastAsia="zh-CN"/>
              </w:rPr>
              <w:t>天麻钩藤饮</w:t>
            </w:r>
          </w:p>
          <w:p w14:paraId="0F067992">
            <w:pPr>
              <w:pStyle w:val="6"/>
              <w:tabs>
                <w:tab w:val="center" w:pos="4201"/>
                <w:tab w:val="right" w:leader="dot" w:pos="9298"/>
              </w:tabs>
              <w:wordWrap w:val="0"/>
              <w:snapToGrid w:val="0"/>
              <w:spacing w:line="240" w:lineRule="auto"/>
              <w:ind w:left="0" w:leftChars="0" w:right="0" w:rightChars="0" w:firstLine="0" w:firstLineChars="0"/>
              <w:jc w:val="both"/>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lang w:val="en-US" w:eastAsia="zh-CN"/>
              </w:rPr>
              <w:t>口服</w:t>
            </w:r>
            <w:r>
              <w:rPr>
                <w:rFonts w:hint="eastAsia" w:ascii="宋体" w:hAnsi="宋体" w:eastAsia="宋体" w:cs="宋体"/>
                <w:color w:val="auto"/>
                <w:sz w:val="21"/>
                <w:szCs w:val="21"/>
              </w:rPr>
              <w:t>中成药：</w:t>
            </w:r>
            <w:r>
              <w:rPr>
                <w:rFonts w:hint="eastAsia" w:ascii="宋体" w:hAnsi="宋体" w:eastAsia="宋体" w:cs="宋体"/>
                <w:b w:val="0"/>
                <w:bCs w:val="0"/>
                <w:color w:val="auto"/>
                <w:sz w:val="21"/>
                <w:szCs w:val="21"/>
                <w:lang w:val="en-US" w:eastAsia="zh-CN"/>
              </w:rPr>
              <w:t>天麻钩藤颗粒，养血清脑颗粒，</w:t>
            </w:r>
            <w:r>
              <w:rPr>
                <w:rFonts w:hint="eastAsia" w:ascii="宋体" w:hAnsi="宋体" w:eastAsia="宋体" w:cs="宋体"/>
                <w:b w:val="0"/>
                <w:bCs w:val="0"/>
                <w:color w:val="auto"/>
                <w:sz w:val="21"/>
                <w:szCs w:val="21"/>
                <w:highlight w:val="none"/>
                <w:lang w:val="en-US" w:eastAsia="zh-CN"/>
              </w:rPr>
              <w:t>松龄血脉康胶囊</w:t>
            </w:r>
          </w:p>
          <w:p w14:paraId="2E9162A4">
            <w:pPr>
              <w:pStyle w:val="6"/>
              <w:tabs>
                <w:tab w:val="center" w:pos="4201"/>
                <w:tab w:val="right" w:leader="dot" w:pos="9298"/>
              </w:tabs>
              <w:wordWrap w:val="0"/>
              <w:snapToGrid w:val="0"/>
              <w:spacing w:line="240" w:lineRule="auto"/>
              <w:ind w:left="0" w:leftChars="0" w:right="0" w:rightChars="0" w:firstLine="0" w:firstLineChars="0"/>
              <w:jc w:val="both"/>
              <w:rPr>
                <w:rFonts w:hint="eastAsia" w:ascii="宋体" w:hAnsi="宋体" w:eastAsia="宋体" w:cs="宋体"/>
                <w:color w:val="auto"/>
                <w:kern w:val="0"/>
                <w:sz w:val="21"/>
                <w:szCs w:val="21"/>
                <w:highlight w:val="yellow"/>
                <w:lang w:val="en-US" w:eastAsia="zh-CN" w:bidi="ar-SA"/>
              </w:rPr>
            </w:pPr>
            <w:r>
              <w:rPr>
                <w:rFonts w:hint="eastAsia" w:ascii="宋体" w:hAnsi="宋体" w:eastAsia="宋体" w:cs="宋体"/>
                <w:color w:val="auto"/>
                <w:sz w:val="21"/>
                <w:szCs w:val="21"/>
                <w:highlight w:val="none"/>
                <w:lang w:val="en-US" w:eastAsia="zh-CN"/>
              </w:rPr>
              <w:t>中药静脉制剂：刺五加注射液</w:t>
            </w:r>
          </w:p>
        </w:tc>
        <w:tc>
          <w:tcPr>
            <w:tcW w:w="1132" w:type="dxa"/>
            <w:shd w:val="clear" w:color="auto" w:fill="auto"/>
            <w:vAlign w:val="center"/>
          </w:tcPr>
          <w:p w14:paraId="7D6DABE6">
            <w:pPr>
              <w:pStyle w:val="6"/>
              <w:tabs>
                <w:tab w:val="center" w:pos="4201"/>
                <w:tab w:val="right" w:leader="dot" w:pos="9298"/>
              </w:tabs>
              <w:wordWrap w:val="0"/>
              <w:snapToGrid w:val="0"/>
              <w:spacing w:line="240" w:lineRule="auto"/>
              <w:ind w:left="0" w:leftChars="0" w:right="0" w:rightChars="0" w:firstLine="0" w:firstLineChars="0"/>
              <w:jc w:val="both"/>
              <w:rPr>
                <w:rFonts w:hint="default" w:ascii="宋体"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100％</w:t>
            </w:r>
          </w:p>
        </w:tc>
      </w:tr>
      <w:tr w14:paraId="14F9646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90" w:type="dxa"/>
            <w:shd w:val="clear" w:color="auto" w:fill="auto"/>
            <w:vAlign w:val="center"/>
          </w:tcPr>
          <w:p w14:paraId="45499722">
            <w:pPr>
              <w:pStyle w:val="6"/>
              <w:tabs>
                <w:tab w:val="center" w:pos="4201"/>
                <w:tab w:val="right" w:leader="dot" w:pos="9298"/>
              </w:tabs>
              <w:wordWrap w:val="0"/>
              <w:snapToGrid w:val="0"/>
              <w:spacing w:line="240" w:lineRule="auto"/>
              <w:ind w:left="0" w:leftChars="0" w:right="0" w:rightChars="0" w:firstLine="0" w:firstLineChars="0"/>
              <w:jc w:val="both"/>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sz w:val="21"/>
                <w:szCs w:val="21"/>
                <w:lang w:val="en-US" w:eastAsia="zh-CN"/>
              </w:rPr>
              <w:t>痰瘀互结证</w:t>
            </w:r>
          </w:p>
        </w:tc>
        <w:tc>
          <w:tcPr>
            <w:tcW w:w="3216" w:type="dxa"/>
            <w:shd w:val="clear" w:color="auto" w:fill="auto"/>
            <w:vAlign w:val="center"/>
          </w:tcPr>
          <w:p w14:paraId="4E7037FE">
            <w:pPr>
              <w:pStyle w:val="6"/>
              <w:keepNext w:val="0"/>
              <w:keepLines w:val="0"/>
              <w:pageBreakBefore w:val="0"/>
              <w:widowControl/>
              <w:tabs>
                <w:tab w:val="center" w:pos="4201"/>
                <w:tab w:val="right" w:leader="dot" w:pos="9298"/>
              </w:tabs>
              <w:kinsoku/>
              <w:wordWrap w:val="0"/>
              <w:overflowPunct/>
              <w:topLinePunct w:val="0"/>
              <w:autoSpaceDE w:val="0"/>
              <w:autoSpaceDN w:val="0"/>
              <w:bidi w:val="0"/>
              <w:adjustRightInd/>
              <w:snapToGrid w:val="0"/>
              <w:spacing w:line="240" w:lineRule="auto"/>
              <w:ind w:left="0" w:leftChars="0" w:right="0" w:rightChars="0" w:firstLine="0" w:firstLineChars="0"/>
              <w:jc w:val="both"/>
              <w:textAlignment w:val="auto"/>
              <w:rPr>
                <w:rFonts w:ascii="宋体" w:eastAsia="宋体"/>
                <w:color w:val="auto"/>
                <w:sz w:val="21"/>
                <w:highlight w:val="none"/>
              </w:rPr>
            </w:pPr>
            <w:r>
              <w:rPr>
                <w:rFonts w:hint="eastAsia" w:ascii="宋体" w:eastAsia="宋体"/>
                <w:color w:val="auto"/>
                <w:sz w:val="21"/>
                <w:highlight w:val="none"/>
                <w:lang w:val="en-US" w:eastAsia="zh-CN"/>
              </w:rPr>
              <w:t>①</w:t>
            </w:r>
            <w:r>
              <w:rPr>
                <w:rFonts w:ascii="宋体" w:eastAsia="宋体"/>
                <w:color w:val="auto"/>
                <w:sz w:val="21"/>
                <w:highlight w:val="none"/>
              </w:rPr>
              <w:t>主</w:t>
            </w:r>
            <w:r>
              <w:rPr>
                <w:rFonts w:hint="eastAsia" w:ascii="宋体" w:eastAsia="宋体"/>
                <w:color w:val="auto"/>
                <w:sz w:val="21"/>
                <w:highlight w:val="none"/>
              </w:rPr>
              <w:t>症</w:t>
            </w:r>
            <w:r>
              <w:rPr>
                <w:rFonts w:ascii="宋体" w:eastAsia="宋体"/>
                <w:color w:val="auto"/>
                <w:sz w:val="21"/>
                <w:highlight w:val="none"/>
              </w:rPr>
              <w:t>：</w:t>
            </w:r>
            <w:r>
              <w:rPr>
                <w:rFonts w:hint="eastAsia" w:ascii="宋体" w:hAnsi="宋体" w:eastAsia="宋体" w:cs="宋体"/>
                <w:i w:val="0"/>
                <w:iCs w:val="0"/>
                <w:caps w:val="0"/>
                <w:color w:val="auto"/>
                <w:spacing w:val="0"/>
                <w:sz w:val="21"/>
                <w:szCs w:val="21"/>
                <w:highlight w:val="none"/>
                <w:shd w:val="clear" w:fill="FFFFFF"/>
              </w:rPr>
              <w:t>眩晕</w:t>
            </w:r>
            <w:r>
              <w:rPr>
                <w:rFonts w:hint="eastAsia" w:ascii="宋体" w:hAnsi="宋体" w:eastAsia="宋体" w:cs="宋体"/>
                <w:i w:val="0"/>
                <w:iCs w:val="0"/>
                <w:caps w:val="0"/>
                <w:color w:val="auto"/>
                <w:spacing w:val="0"/>
                <w:sz w:val="21"/>
                <w:szCs w:val="21"/>
                <w:highlight w:val="none"/>
                <w:shd w:val="clear" w:fill="FFFFFF"/>
                <w:lang w:eastAsia="zh-CN"/>
              </w:rPr>
              <w:t>，</w:t>
            </w:r>
            <w:r>
              <w:rPr>
                <w:rFonts w:hint="eastAsia" w:ascii="宋体" w:hAnsi="宋体" w:eastAsia="宋体" w:cs="宋体"/>
                <w:i w:val="0"/>
                <w:iCs w:val="0"/>
                <w:caps w:val="0"/>
                <w:color w:val="auto"/>
                <w:spacing w:val="0"/>
                <w:sz w:val="21"/>
                <w:szCs w:val="21"/>
                <w:highlight w:val="none"/>
                <w:shd w:val="clear" w:fill="FFFFFF"/>
              </w:rPr>
              <w:t>头重如裹，视物模糊，胸闷心悸</w:t>
            </w:r>
            <w:r>
              <w:rPr>
                <w:rFonts w:hint="eastAsia" w:ascii="宋体" w:hAnsi="宋体" w:eastAsia="宋体" w:cs="宋体"/>
                <w:i w:val="0"/>
                <w:iCs w:val="0"/>
                <w:caps w:val="0"/>
                <w:color w:val="auto"/>
                <w:spacing w:val="0"/>
                <w:sz w:val="21"/>
                <w:szCs w:val="21"/>
                <w:highlight w:val="none"/>
                <w:shd w:val="clear" w:fill="FFFFFF"/>
                <w:lang w:val="en-US" w:eastAsia="zh-CN"/>
              </w:rPr>
              <w:t>，肢体麻木</w:t>
            </w:r>
            <w:r>
              <w:rPr>
                <w:rFonts w:hint="eastAsia" w:ascii="宋体" w:hAnsi="宋体" w:eastAsia="宋体" w:cs="宋体"/>
                <w:i w:val="0"/>
                <w:iCs w:val="0"/>
                <w:caps w:val="0"/>
                <w:color w:val="auto"/>
                <w:spacing w:val="0"/>
                <w:sz w:val="21"/>
                <w:szCs w:val="21"/>
                <w:highlight w:val="none"/>
                <w:shd w:val="clear" w:fill="FFFFFF"/>
              </w:rPr>
              <w:t>。</w:t>
            </w:r>
          </w:p>
          <w:p w14:paraId="04507308">
            <w:pPr>
              <w:pStyle w:val="6"/>
              <w:keepNext w:val="0"/>
              <w:keepLines w:val="0"/>
              <w:pageBreakBefore w:val="0"/>
              <w:widowControl/>
              <w:tabs>
                <w:tab w:val="center" w:pos="4201"/>
                <w:tab w:val="right" w:leader="dot" w:pos="9298"/>
              </w:tabs>
              <w:kinsoku/>
              <w:wordWrap w:val="0"/>
              <w:overflowPunct/>
              <w:topLinePunct w:val="0"/>
              <w:autoSpaceDE w:val="0"/>
              <w:autoSpaceDN w:val="0"/>
              <w:bidi w:val="0"/>
              <w:adjustRightInd/>
              <w:snapToGrid w:val="0"/>
              <w:spacing w:line="240" w:lineRule="auto"/>
              <w:ind w:left="0" w:leftChars="0" w:right="0" w:rightChars="0" w:firstLine="0" w:firstLineChars="0"/>
              <w:jc w:val="both"/>
              <w:textAlignment w:val="auto"/>
              <w:rPr>
                <w:rFonts w:ascii="宋体" w:hAnsi="Segoe UI" w:eastAsia="宋体" w:cs="Segoe UI"/>
                <w:i w:val="0"/>
                <w:iCs w:val="0"/>
                <w:caps w:val="0"/>
                <w:color w:val="auto"/>
                <w:spacing w:val="0"/>
                <w:sz w:val="21"/>
                <w:szCs w:val="24"/>
                <w:highlight w:val="none"/>
                <w:shd w:val="clear" w:fill="FFFFFF"/>
              </w:rPr>
            </w:pPr>
            <w:r>
              <w:rPr>
                <w:rFonts w:hint="eastAsia" w:ascii="宋体" w:eastAsia="宋体"/>
                <w:color w:val="auto"/>
                <w:sz w:val="21"/>
                <w:highlight w:val="none"/>
                <w:lang w:val="en-US" w:eastAsia="zh-CN"/>
              </w:rPr>
              <w:t>②</w:t>
            </w:r>
            <w:r>
              <w:rPr>
                <w:rFonts w:hint="eastAsia" w:ascii="宋体" w:eastAsia="宋体"/>
                <w:color w:val="auto"/>
                <w:sz w:val="21"/>
                <w:highlight w:val="none"/>
              </w:rPr>
              <w:t>次症</w:t>
            </w:r>
            <w:r>
              <w:rPr>
                <w:rFonts w:ascii="宋体" w:eastAsia="宋体"/>
                <w:color w:val="auto"/>
                <w:sz w:val="21"/>
                <w:highlight w:val="none"/>
              </w:rPr>
              <w:t>：</w:t>
            </w:r>
            <w:r>
              <w:rPr>
                <w:rFonts w:hint="eastAsia" w:ascii="宋体" w:hAnsi="宋体" w:eastAsia="宋体" w:cs="宋体"/>
                <w:i w:val="0"/>
                <w:iCs w:val="0"/>
                <w:caps w:val="0"/>
                <w:color w:val="auto"/>
                <w:spacing w:val="0"/>
                <w:sz w:val="21"/>
                <w:szCs w:val="21"/>
                <w:highlight w:val="none"/>
                <w:shd w:val="clear" w:fill="FFFFFF"/>
              </w:rPr>
              <w:t>形体肥胖，面色晦暗，</w:t>
            </w:r>
            <w:r>
              <w:rPr>
                <w:rFonts w:hint="eastAsia" w:ascii="宋体" w:hAnsi="宋体" w:eastAsia="宋体" w:cs="宋体"/>
                <w:i w:val="0"/>
                <w:iCs w:val="0"/>
                <w:caps w:val="0"/>
                <w:color w:val="auto"/>
                <w:spacing w:val="0"/>
                <w:sz w:val="21"/>
                <w:szCs w:val="21"/>
                <w:highlight w:val="none"/>
                <w:shd w:val="clear" w:fill="FFFFFF"/>
                <w:lang w:val="en-US" w:eastAsia="zh-CN"/>
              </w:rPr>
              <w:t>身体困重，</w:t>
            </w:r>
            <w:r>
              <w:rPr>
                <w:rFonts w:hint="eastAsia" w:ascii="宋体" w:hAnsi="宋体" w:eastAsia="宋体" w:cs="宋体"/>
                <w:i w:val="0"/>
                <w:iCs w:val="0"/>
                <w:caps w:val="0"/>
                <w:color w:val="auto"/>
                <w:spacing w:val="0"/>
                <w:sz w:val="21"/>
                <w:szCs w:val="21"/>
                <w:highlight w:val="none"/>
                <w:shd w:val="clear" w:fill="FFFFFF"/>
              </w:rPr>
              <w:t>口唇紫暗</w:t>
            </w:r>
            <w:r>
              <w:rPr>
                <w:rFonts w:hint="eastAsia" w:ascii="宋体" w:hAnsi="宋体" w:eastAsia="宋体" w:cs="宋体"/>
                <w:i w:val="0"/>
                <w:iCs w:val="0"/>
                <w:caps w:val="0"/>
                <w:color w:val="auto"/>
                <w:spacing w:val="0"/>
                <w:sz w:val="21"/>
                <w:szCs w:val="21"/>
                <w:highlight w:val="none"/>
                <w:shd w:val="clear" w:fill="FFFFFF"/>
                <w:lang w:eastAsia="zh-CN"/>
              </w:rPr>
              <w:t>。</w:t>
            </w:r>
          </w:p>
          <w:p w14:paraId="7032542B">
            <w:pPr>
              <w:pStyle w:val="6"/>
              <w:keepNext w:val="0"/>
              <w:keepLines w:val="0"/>
              <w:pageBreakBefore w:val="0"/>
              <w:widowControl/>
              <w:tabs>
                <w:tab w:val="center" w:pos="4201"/>
                <w:tab w:val="right" w:leader="dot" w:pos="9298"/>
              </w:tabs>
              <w:kinsoku/>
              <w:wordWrap w:val="0"/>
              <w:overflowPunct/>
              <w:topLinePunct w:val="0"/>
              <w:autoSpaceDE w:val="0"/>
              <w:autoSpaceDN w:val="0"/>
              <w:bidi w:val="0"/>
              <w:adjustRightInd/>
              <w:snapToGrid w:val="0"/>
              <w:spacing w:line="240" w:lineRule="auto"/>
              <w:ind w:left="0" w:leftChars="0" w:right="0" w:rightChars="0" w:firstLine="0" w:firstLineChars="0"/>
              <w:jc w:val="both"/>
              <w:textAlignment w:val="auto"/>
              <w:rPr>
                <w:rFonts w:hint="eastAsia" w:ascii="宋体" w:hAnsi="宋体" w:eastAsia="宋体" w:cs="宋体"/>
                <w:i w:val="0"/>
                <w:iCs w:val="0"/>
                <w:caps w:val="0"/>
                <w:color w:val="auto"/>
                <w:spacing w:val="0"/>
                <w:sz w:val="21"/>
                <w:szCs w:val="21"/>
                <w:highlight w:val="none"/>
                <w:shd w:val="clear" w:fill="FFFFFF"/>
                <w:lang w:eastAsia="zh-CN"/>
              </w:rPr>
            </w:pPr>
            <w:r>
              <w:rPr>
                <w:rFonts w:hint="eastAsia" w:ascii="宋体" w:eastAsia="宋体"/>
                <w:color w:val="auto"/>
                <w:sz w:val="21"/>
                <w:highlight w:val="none"/>
                <w:lang w:val="en-US" w:eastAsia="zh-CN"/>
              </w:rPr>
              <w:t>③</w:t>
            </w:r>
            <w:r>
              <w:rPr>
                <w:rFonts w:hint="eastAsia" w:ascii="宋体" w:eastAsia="宋体"/>
                <w:color w:val="auto"/>
                <w:sz w:val="21"/>
                <w:highlight w:val="none"/>
              </w:rPr>
              <w:t>舌</w:t>
            </w:r>
            <w:r>
              <w:rPr>
                <w:rFonts w:hint="eastAsia" w:ascii="宋体" w:eastAsia="宋体"/>
                <w:color w:val="auto"/>
                <w:sz w:val="21"/>
                <w:highlight w:val="none"/>
                <w:lang w:val="en-US" w:eastAsia="zh-CN"/>
              </w:rPr>
              <w:t>象</w:t>
            </w:r>
            <w:r>
              <w:rPr>
                <w:rFonts w:hint="eastAsia" w:ascii="宋体" w:eastAsia="宋体"/>
                <w:color w:val="auto"/>
                <w:sz w:val="21"/>
                <w:highlight w:val="none"/>
              </w:rPr>
              <w:t>：</w:t>
            </w:r>
            <w:r>
              <w:rPr>
                <w:rFonts w:hint="eastAsia" w:ascii="宋体" w:hAnsi="宋体" w:eastAsia="宋体" w:cs="宋体"/>
                <w:i w:val="0"/>
                <w:iCs w:val="0"/>
                <w:caps w:val="0"/>
                <w:color w:val="auto"/>
                <w:spacing w:val="0"/>
                <w:sz w:val="21"/>
                <w:szCs w:val="21"/>
                <w:highlight w:val="none"/>
                <w:shd w:val="clear" w:fill="FFFFFF"/>
              </w:rPr>
              <w:t>舌质紫暗，舌下络脉迂曲，苔白腻或滑</w:t>
            </w:r>
            <w:r>
              <w:rPr>
                <w:rFonts w:hint="eastAsia" w:ascii="宋体" w:hAnsi="宋体" w:eastAsia="宋体" w:cs="宋体"/>
                <w:i w:val="0"/>
                <w:iCs w:val="0"/>
                <w:caps w:val="0"/>
                <w:color w:val="auto"/>
                <w:spacing w:val="0"/>
                <w:sz w:val="21"/>
                <w:szCs w:val="21"/>
                <w:highlight w:val="none"/>
                <w:shd w:val="clear" w:fill="FFFFFF"/>
                <w:lang w:eastAsia="zh-CN"/>
              </w:rPr>
              <w:t>。</w:t>
            </w:r>
          </w:p>
          <w:p w14:paraId="1CB4D84F">
            <w:pPr>
              <w:pStyle w:val="6"/>
              <w:keepNext w:val="0"/>
              <w:keepLines w:val="0"/>
              <w:pageBreakBefore w:val="0"/>
              <w:widowControl/>
              <w:tabs>
                <w:tab w:val="center" w:pos="4201"/>
                <w:tab w:val="right" w:leader="dot" w:pos="9298"/>
              </w:tabs>
              <w:kinsoku/>
              <w:wordWrap w:val="0"/>
              <w:overflowPunct/>
              <w:topLinePunct w:val="0"/>
              <w:autoSpaceDE w:val="0"/>
              <w:autoSpaceDN w:val="0"/>
              <w:bidi w:val="0"/>
              <w:adjustRightInd/>
              <w:snapToGrid w:val="0"/>
              <w:spacing w:line="240" w:lineRule="auto"/>
              <w:ind w:left="0" w:leftChars="0" w:right="0" w:rightChars="0"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eastAsia="宋体"/>
                <w:color w:val="auto"/>
                <w:sz w:val="21"/>
                <w:highlight w:val="none"/>
                <w:lang w:val="en-US" w:eastAsia="zh-CN"/>
              </w:rPr>
              <w:t>④脉象：</w:t>
            </w:r>
            <w:r>
              <w:rPr>
                <w:rFonts w:hint="eastAsia" w:ascii="宋体" w:hAnsi="宋体" w:eastAsia="宋体" w:cs="宋体"/>
                <w:i w:val="0"/>
                <w:iCs w:val="0"/>
                <w:caps w:val="0"/>
                <w:color w:val="auto"/>
                <w:spacing w:val="0"/>
                <w:sz w:val="21"/>
                <w:szCs w:val="21"/>
                <w:highlight w:val="none"/>
                <w:shd w:val="clear" w:fill="FFFFFF"/>
              </w:rPr>
              <w:t>脉弦滑，或弦涩。</w:t>
            </w:r>
          </w:p>
        </w:tc>
        <w:tc>
          <w:tcPr>
            <w:tcW w:w="1176" w:type="dxa"/>
            <w:shd w:val="clear" w:color="auto" w:fill="auto"/>
            <w:vAlign w:val="center"/>
          </w:tcPr>
          <w:p w14:paraId="61752A5D">
            <w:pPr>
              <w:pStyle w:val="6"/>
              <w:tabs>
                <w:tab w:val="center" w:pos="4201"/>
                <w:tab w:val="right" w:leader="dot" w:pos="9298"/>
              </w:tabs>
              <w:snapToGrid w:val="0"/>
              <w:spacing w:line="240" w:lineRule="auto"/>
              <w:ind w:left="0" w:leftChars="0" w:right="0" w:rightChars="0" w:firstLine="0" w:firstLineChars="0"/>
              <w:jc w:val="both"/>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rPr>
              <w:t>祛瘀化痰</w:t>
            </w:r>
          </w:p>
          <w:p w14:paraId="5AA1E700">
            <w:pPr>
              <w:pStyle w:val="6"/>
              <w:tabs>
                <w:tab w:val="center" w:pos="4201"/>
                <w:tab w:val="right" w:leader="dot" w:pos="9298"/>
              </w:tabs>
              <w:snapToGrid w:val="0"/>
              <w:spacing w:line="240" w:lineRule="auto"/>
              <w:ind w:left="0" w:leftChars="0" w:right="0" w:rightChars="0" w:firstLine="0" w:firstLineChars="0"/>
              <w:jc w:val="both"/>
              <w:rPr>
                <w:rFonts w:hint="eastAsia" w:ascii="宋体" w:hAnsi="宋体" w:eastAsia="宋体" w:cs="宋体"/>
                <w:strike/>
                <w:color w:val="auto"/>
                <w:kern w:val="0"/>
                <w:sz w:val="21"/>
                <w:szCs w:val="21"/>
                <w:lang w:val="en-US" w:eastAsia="zh-CN" w:bidi="ar-SA"/>
              </w:rPr>
            </w:pPr>
            <w:r>
              <w:rPr>
                <w:rFonts w:hint="eastAsia" w:ascii="宋体" w:hAnsi="宋体" w:eastAsia="宋体" w:cs="宋体"/>
                <w:i w:val="0"/>
                <w:iCs w:val="0"/>
                <w:caps w:val="0"/>
                <w:color w:val="auto"/>
                <w:spacing w:val="0"/>
                <w:sz w:val="21"/>
                <w:szCs w:val="21"/>
              </w:rPr>
              <w:t>活血通脉</w:t>
            </w:r>
          </w:p>
        </w:tc>
        <w:tc>
          <w:tcPr>
            <w:tcW w:w="3123" w:type="dxa"/>
            <w:shd w:val="clear" w:color="auto" w:fill="auto"/>
            <w:vAlign w:val="center"/>
          </w:tcPr>
          <w:p w14:paraId="0C72E41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rPr>
                <w:rFonts w:hint="eastAsia" w:ascii="宋体" w:hAnsi="宋体" w:eastAsia="宋体" w:cs="宋体"/>
                <w:color w:val="auto"/>
                <w:sz w:val="21"/>
                <w:szCs w:val="21"/>
                <w:lang w:val="en-US"/>
              </w:rPr>
            </w:pPr>
            <w:r>
              <w:rPr>
                <w:rFonts w:hint="eastAsia" w:ascii="宋体" w:hAnsi="宋体" w:eastAsia="宋体" w:cs="宋体"/>
                <w:b w:val="0"/>
                <w:bCs w:val="0"/>
                <w:color w:val="auto"/>
                <w:sz w:val="21"/>
                <w:szCs w:val="21"/>
                <w:lang w:val="en-US" w:eastAsia="zh-CN"/>
              </w:rPr>
              <w:t>推荐方药：</w:t>
            </w:r>
            <w:r>
              <w:rPr>
                <w:rFonts w:hint="eastAsia" w:ascii="宋体" w:hAnsi="宋体" w:eastAsia="宋体" w:cs="宋体"/>
                <w:color w:val="auto"/>
                <w:sz w:val="21"/>
                <w:szCs w:val="21"/>
                <w:lang w:val="en-US" w:eastAsia="zh-CN"/>
              </w:rPr>
              <w:t>涤痰汤合血府逐瘀汤</w:t>
            </w:r>
          </w:p>
          <w:p w14:paraId="64E181A8">
            <w:pPr>
              <w:pStyle w:val="6"/>
              <w:tabs>
                <w:tab w:val="center" w:pos="4201"/>
                <w:tab w:val="right" w:leader="dot" w:pos="9298"/>
              </w:tabs>
              <w:wordWrap w:val="0"/>
              <w:snapToGrid w:val="0"/>
              <w:spacing w:line="240" w:lineRule="auto"/>
              <w:ind w:left="0" w:leftChars="0" w:right="0" w:rightChars="0" w:firstLine="0" w:firstLineChars="0"/>
              <w:jc w:val="both"/>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口服</w:t>
            </w:r>
            <w:r>
              <w:rPr>
                <w:rFonts w:hint="eastAsia" w:ascii="宋体" w:hAnsi="宋体" w:eastAsia="宋体" w:cs="宋体"/>
                <w:color w:val="auto"/>
                <w:sz w:val="21"/>
                <w:szCs w:val="21"/>
              </w:rPr>
              <w:t>中成药：</w:t>
            </w:r>
            <w:r>
              <w:rPr>
                <w:rFonts w:hint="eastAsia" w:ascii="宋体" w:hAnsi="宋体" w:eastAsia="宋体" w:cs="宋体"/>
                <w:b w:val="0"/>
                <w:bCs w:val="0"/>
                <w:i w:val="0"/>
                <w:iCs w:val="0"/>
                <w:caps w:val="0"/>
                <w:color w:val="auto"/>
                <w:spacing w:val="0"/>
                <w:sz w:val="21"/>
                <w:szCs w:val="21"/>
                <w:shd w:val="clear" w:fill="FFFFFF"/>
                <w:lang w:val="en-US" w:eastAsia="zh-CN"/>
              </w:rPr>
              <w:t>丹蒌片</w:t>
            </w:r>
            <w:r>
              <w:rPr>
                <w:rFonts w:hint="eastAsia" w:ascii="宋体" w:hAnsi="宋体" w:eastAsia="宋体" w:cs="宋体"/>
                <w:color w:val="auto"/>
                <w:sz w:val="21"/>
                <w:szCs w:val="21"/>
              </w:rPr>
              <w:t>，</w:t>
            </w:r>
            <w:r>
              <w:rPr>
                <w:rFonts w:hint="eastAsia" w:ascii="宋体" w:hAnsi="宋体" w:eastAsia="宋体" w:cs="宋体"/>
                <w:b w:val="0"/>
                <w:bCs w:val="0"/>
                <w:color w:val="auto"/>
                <w:sz w:val="21"/>
                <w:szCs w:val="21"/>
                <w:lang w:val="en-US" w:eastAsia="zh-CN"/>
              </w:rPr>
              <w:t>血脂康胶囊，银杏叶片，降脂软脉片</w:t>
            </w:r>
          </w:p>
          <w:p w14:paraId="4FE44CDF">
            <w:pPr>
              <w:pStyle w:val="6"/>
              <w:tabs>
                <w:tab w:val="center" w:pos="4201"/>
                <w:tab w:val="right" w:leader="dot" w:pos="9298"/>
              </w:tabs>
              <w:wordWrap w:val="0"/>
              <w:snapToGrid w:val="0"/>
              <w:spacing w:line="240" w:lineRule="auto"/>
              <w:ind w:left="0" w:leftChars="0" w:right="0" w:rightChars="0" w:firstLine="0" w:firstLineChars="0"/>
              <w:jc w:val="both"/>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val="en-US" w:eastAsia="zh-CN"/>
              </w:rPr>
              <w:t>中药静脉制剂：</w:t>
            </w:r>
            <w:r>
              <w:rPr>
                <w:rFonts w:hint="eastAsia" w:ascii="宋体" w:hAnsi="宋体" w:eastAsia="宋体" w:cs="宋体"/>
                <w:b w:val="0"/>
                <w:bCs w:val="0"/>
                <w:color w:val="auto"/>
                <w:sz w:val="21"/>
                <w:szCs w:val="21"/>
                <w:lang w:val="en-US" w:eastAsia="zh-CN"/>
              </w:rPr>
              <w:t>瓜蒌皮注射液，冠心宁注射液，注射用丹参多酚酸</w:t>
            </w:r>
          </w:p>
        </w:tc>
        <w:tc>
          <w:tcPr>
            <w:tcW w:w="1132" w:type="dxa"/>
            <w:shd w:val="clear" w:color="auto" w:fill="auto"/>
            <w:vAlign w:val="center"/>
          </w:tcPr>
          <w:p w14:paraId="4636E157">
            <w:pPr>
              <w:pStyle w:val="6"/>
              <w:tabs>
                <w:tab w:val="center" w:pos="4201"/>
                <w:tab w:val="right" w:leader="dot" w:pos="9298"/>
              </w:tabs>
              <w:wordWrap w:val="0"/>
              <w:snapToGrid w:val="0"/>
              <w:spacing w:line="240" w:lineRule="auto"/>
              <w:ind w:left="0" w:leftChars="0" w:right="0" w:rightChars="0" w:firstLine="0" w:firstLineChars="0"/>
              <w:jc w:val="both"/>
              <w:rPr>
                <w:rFonts w:hint="default" w:ascii="宋体" w:hAnsi="宋体" w:eastAsia="宋体" w:cs="宋体"/>
                <w:color w:val="auto"/>
                <w:sz w:val="21"/>
                <w:szCs w:val="21"/>
                <w:lang w:val="en-US" w:eastAsia="zh-CN"/>
              </w:rPr>
            </w:pPr>
            <w:r>
              <w:rPr>
                <w:rFonts w:hint="eastAsia" w:hAnsi="宋体" w:cs="宋体"/>
                <w:color w:val="auto"/>
                <w:sz w:val="21"/>
                <w:szCs w:val="21"/>
                <w:lang w:val="en-US" w:eastAsia="zh-CN"/>
              </w:rPr>
              <w:t>100％</w:t>
            </w:r>
          </w:p>
        </w:tc>
      </w:tr>
      <w:tr w14:paraId="4242A51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90" w:type="dxa"/>
            <w:shd w:val="clear" w:color="auto" w:fill="auto"/>
            <w:vAlign w:val="center"/>
          </w:tcPr>
          <w:p w14:paraId="605C4D9A">
            <w:pPr>
              <w:pStyle w:val="6"/>
              <w:tabs>
                <w:tab w:val="center" w:pos="4201"/>
                <w:tab w:val="right" w:leader="dot" w:pos="9298"/>
              </w:tabs>
              <w:wordWrap w:val="0"/>
              <w:snapToGrid w:val="0"/>
              <w:spacing w:line="240" w:lineRule="auto"/>
              <w:ind w:left="0" w:leftChars="0" w:right="0" w:rightChars="0" w:firstLine="0" w:firstLineChars="0"/>
              <w:jc w:val="both"/>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sz w:val="21"/>
                <w:szCs w:val="21"/>
                <w:lang w:val="en-US" w:eastAsia="zh-CN"/>
              </w:rPr>
              <w:t>瘀毒化热证</w:t>
            </w:r>
          </w:p>
        </w:tc>
        <w:tc>
          <w:tcPr>
            <w:tcW w:w="3216" w:type="dxa"/>
            <w:shd w:val="clear" w:color="auto" w:fill="auto"/>
            <w:vAlign w:val="center"/>
          </w:tcPr>
          <w:p w14:paraId="6F61B338">
            <w:pPr>
              <w:pStyle w:val="6"/>
              <w:keepNext w:val="0"/>
              <w:keepLines w:val="0"/>
              <w:pageBreakBefore w:val="0"/>
              <w:widowControl/>
              <w:tabs>
                <w:tab w:val="center" w:pos="4201"/>
                <w:tab w:val="right" w:leader="dot" w:pos="9298"/>
              </w:tabs>
              <w:kinsoku/>
              <w:wordWrap w:val="0"/>
              <w:overflowPunct/>
              <w:topLinePunct w:val="0"/>
              <w:autoSpaceDE w:val="0"/>
              <w:autoSpaceDN w:val="0"/>
              <w:bidi w:val="0"/>
              <w:adjustRightInd/>
              <w:snapToGrid w:val="0"/>
              <w:spacing w:line="240" w:lineRule="auto"/>
              <w:ind w:left="0" w:leftChars="0" w:right="0" w:rightChars="0" w:firstLine="0" w:firstLineChars="0"/>
              <w:jc w:val="both"/>
              <w:textAlignment w:val="auto"/>
              <w:rPr>
                <w:rFonts w:ascii="宋体" w:hAnsi="宋体" w:eastAsia="宋体" w:cs="Cambria Math"/>
                <w:color w:val="auto"/>
                <w:sz w:val="21"/>
                <w:highlight w:val="none"/>
              </w:rPr>
            </w:pPr>
            <w:r>
              <w:rPr>
                <w:rFonts w:hint="eastAsia" w:ascii="宋体" w:hAnsi="宋体" w:eastAsia="宋体" w:cs="Cambria Math"/>
                <w:color w:val="auto"/>
                <w:sz w:val="21"/>
                <w:highlight w:val="none"/>
                <w:lang w:val="en-US" w:eastAsia="zh-CN"/>
              </w:rPr>
              <w:t>①</w:t>
            </w:r>
            <w:r>
              <w:rPr>
                <w:rFonts w:ascii="宋体" w:hAnsi="宋体" w:eastAsia="宋体" w:cs="Cambria Math"/>
                <w:color w:val="auto"/>
                <w:sz w:val="21"/>
                <w:highlight w:val="none"/>
              </w:rPr>
              <w:t>主</w:t>
            </w:r>
            <w:r>
              <w:rPr>
                <w:rFonts w:hint="eastAsia" w:ascii="宋体" w:hAnsi="宋体" w:eastAsia="宋体" w:cs="Cambria Math"/>
                <w:color w:val="auto"/>
                <w:sz w:val="21"/>
                <w:highlight w:val="none"/>
              </w:rPr>
              <w:t>症</w:t>
            </w:r>
            <w:r>
              <w:rPr>
                <w:rFonts w:ascii="宋体" w:hAnsi="宋体" w:eastAsia="宋体" w:cs="Cambria Math"/>
                <w:color w:val="auto"/>
                <w:sz w:val="21"/>
                <w:highlight w:val="none"/>
              </w:rPr>
              <w:t>：</w:t>
            </w:r>
            <w:r>
              <w:rPr>
                <w:rFonts w:hint="eastAsia" w:ascii="宋体" w:hAnsi="宋体" w:eastAsia="宋体" w:cs="宋体"/>
                <w:i w:val="0"/>
                <w:iCs w:val="0"/>
                <w:caps w:val="0"/>
                <w:color w:val="auto"/>
                <w:spacing w:val="0"/>
                <w:sz w:val="21"/>
                <w:szCs w:val="21"/>
                <w:highlight w:val="none"/>
                <w:shd w:val="clear" w:fill="FFFFFF"/>
              </w:rPr>
              <w:t>间歇性跛行，肢体疼痛，或肢端麻木、疼痛，小便短赤</w:t>
            </w:r>
            <w:r>
              <w:rPr>
                <w:rFonts w:hint="eastAsia" w:ascii="宋体" w:hAnsi="宋体" w:eastAsia="宋体" w:cs="宋体"/>
                <w:i w:val="0"/>
                <w:iCs w:val="0"/>
                <w:caps w:val="0"/>
                <w:color w:val="auto"/>
                <w:spacing w:val="0"/>
                <w:sz w:val="21"/>
                <w:szCs w:val="21"/>
                <w:highlight w:val="none"/>
                <w:shd w:val="clear" w:fill="FFFFFF"/>
                <w:lang w:eastAsia="zh-CN"/>
              </w:rPr>
              <w:t>，</w:t>
            </w:r>
            <w:r>
              <w:rPr>
                <w:rFonts w:hint="eastAsia" w:ascii="宋体" w:hAnsi="宋体" w:eastAsia="宋体" w:cs="宋体"/>
                <w:i w:val="0"/>
                <w:iCs w:val="0"/>
                <w:caps w:val="0"/>
                <w:color w:val="auto"/>
                <w:spacing w:val="0"/>
                <w:sz w:val="21"/>
                <w:szCs w:val="21"/>
                <w:highlight w:val="none"/>
                <w:shd w:val="clear" w:fill="FFFFFF"/>
                <w:lang w:val="en-US" w:eastAsia="zh-CN"/>
              </w:rPr>
              <w:t>大便秘结</w:t>
            </w:r>
            <w:r>
              <w:rPr>
                <w:rFonts w:hint="eastAsia" w:ascii="宋体" w:hAnsi="宋体" w:eastAsia="宋体" w:cs="宋体"/>
                <w:i w:val="0"/>
                <w:iCs w:val="0"/>
                <w:caps w:val="0"/>
                <w:color w:val="auto"/>
                <w:spacing w:val="0"/>
                <w:sz w:val="21"/>
                <w:szCs w:val="21"/>
                <w:highlight w:val="none"/>
                <w:shd w:val="clear" w:fill="FFFFFF"/>
              </w:rPr>
              <w:t>。</w:t>
            </w:r>
          </w:p>
          <w:p w14:paraId="1FFD99F2">
            <w:pPr>
              <w:pStyle w:val="6"/>
              <w:keepNext w:val="0"/>
              <w:keepLines w:val="0"/>
              <w:pageBreakBefore w:val="0"/>
              <w:widowControl/>
              <w:tabs>
                <w:tab w:val="center" w:pos="4201"/>
                <w:tab w:val="right" w:leader="dot" w:pos="9298"/>
              </w:tabs>
              <w:kinsoku/>
              <w:wordWrap w:val="0"/>
              <w:overflowPunct/>
              <w:topLinePunct w:val="0"/>
              <w:autoSpaceDE w:val="0"/>
              <w:autoSpaceDN w:val="0"/>
              <w:bidi w:val="0"/>
              <w:adjustRightInd/>
              <w:snapToGrid w:val="0"/>
              <w:spacing w:line="240" w:lineRule="auto"/>
              <w:ind w:left="0" w:leftChars="0" w:right="0" w:rightChars="0" w:firstLine="0" w:firstLineChars="0"/>
              <w:jc w:val="both"/>
              <w:textAlignment w:val="auto"/>
              <w:rPr>
                <w:rFonts w:hint="eastAsia" w:ascii="宋体" w:hAnsi="宋体" w:eastAsia="宋体" w:cs="Cambria Math"/>
                <w:color w:val="auto"/>
                <w:sz w:val="21"/>
                <w:highlight w:val="none"/>
                <w:lang w:val="en-US" w:eastAsia="zh-CN"/>
              </w:rPr>
            </w:pPr>
            <w:r>
              <w:rPr>
                <w:rFonts w:hint="eastAsia" w:ascii="宋体" w:hAnsi="宋体" w:eastAsia="宋体" w:cs="Cambria Math"/>
                <w:color w:val="auto"/>
                <w:sz w:val="21"/>
                <w:highlight w:val="none"/>
                <w:lang w:val="en-US" w:eastAsia="zh-CN"/>
              </w:rPr>
              <w:t>②</w:t>
            </w:r>
            <w:r>
              <w:rPr>
                <w:rFonts w:hint="eastAsia" w:ascii="宋体" w:hAnsi="宋体" w:eastAsia="宋体" w:cs="Cambria Math"/>
                <w:color w:val="auto"/>
                <w:sz w:val="21"/>
                <w:highlight w:val="none"/>
              </w:rPr>
              <w:t>次症</w:t>
            </w:r>
            <w:r>
              <w:rPr>
                <w:rFonts w:ascii="宋体" w:hAnsi="宋体" w:eastAsia="宋体" w:cs="Cambria Math"/>
                <w:color w:val="auto"/>
                <w:sz w:val="21"/>
                <w:highlight w:val="none"/>
              </w:rPr>
              <w:t>：</w:t>
            </w:r>
            <w:r>
              <w:rPr>
                <w:rFonts w:hint="eastAsia" w:ascii="宋体" w:hAnsi="宋体" w:eastAsia="宋体" w:cs="Cambria Math"/>
                <w:color w:val="auto"/>
                <w:sz w:val="21"/>
                <w:highlight w:val="none"/>
                <w:lang w:val="en-US" w:eastAsia="zh-CN"/>
              </w:rPr>
              <w:t>口干，口苦，心烦燥热，失眠多梦，患处肤色暗红或肤温升高，疼痛入夜尤甚。</w:t>
            </w:r>
          </w:p>
          <w:p w14:paraId="1D0AECD2">
            <w:pPr>
              <w:pStyle w:val="6"/>
              <w:keepNext w:val="0"/>
              <w:keepLines w:val="0"/>
              <w:pageBreakBefore w:val="0"/>
              <w:widowControl/>
              <w:tabs>
                <w:tab w:val="center" w:pos="4201"/>
                <w:tab w:val="right" w:leader="dot" w:pos="9298"/>
              </w:tabs>
              <w:kinsoku/>
              <w:wordWrap w:val="0"/>
              <w:overflowPunct/>
              <w:topLinePunct w:val="0"/>
              <w:autoSpaceDE w:val="0"/>
              <w:autoSpaceDN w:val="0"/>
              <w:bidi w:val="0"/>
              <w:adjustRightInd/>
              <w:snapToGrid w:val="0"/>
              <w:spacing w:line="240" w:lineRule="auto"/>
              <w:ind w:left="0" w:leftChars="0" w:right="0" w:rightChars="0" w:firstLine="0" w:firstLineChars="0"/>
              <w:jc w:val="both"/>
              <w:textAlignment w:val="auto"/>
              <w:rPr>
                <w:rFonts w:hint="eastAsia" w:ascii="宋体" w:hAnsi="宋体" w:eastAsia="宋体" w:cs="Cambria Math"/>
                <w:color w:val="auto"/>
                <w:sz w:val="21"/>
                <w:highlight w:val="none"/>
                <w:lang w:eastAsia="zh-CN"/>
              </w:rPr>
            </w:pPr>
            <w:r>
              <w:rPr>
                <w:rFonts w:hint="eastAsia" w:ascii="宋体" w:hAnsi="宋体" w:eastAsia="宋体" w:cs="Cambria Math"/>
                <w:color w:val="auto"/>
                <w:sz w:val="21"/>
                <w:highlight w:val="none"/>
                <w:lang w:val="en-US" w:eastAsia="zh-CN"/>
              </w:rPr>
              <w:t>③</w:t>
            </w:r>
            <w:r>
              <w:rPr>
                <w:rFonts w:hint="eastAsia" w:ascii="宋体" w:hAnsi="宋体" w:eastAsia="宋体" w:cs="Cambria Math"/>
                <w:color w:val="auto"/>
                <w:sz w:val="21"/>
                <w:highlight w:val="none"/>
              </w:rPr>
              <w:t>舌</w:t>
            </w:r>
            <w:r>
              <w:rPr>
                <w:rFonts w:hint="eastAsia" w:ascii="宋体" w:hAnsi="宋体" w:eastAsia="宋体" w:cs="Cambria Math"/>
                <w:color w:val="auto"/>
                <w:sz w:val="21"/>
                <w:highlight w:val="none"/>
                <w:lang w:val="en-US" w:eastAsia="zh-CN"/>
              </w:rPr>
              <w:t>象</w:t>
            </w:r>
            <w:r>
              <w:rPr>
                <w:rFonts w:hint="eastAsia" w:ascii="宋体" w:hAnsi="宋体" w:eastAsia="宋体" w:cs="Cambria Math"/>
                <w:color w:val="auto"/>
                <w:sz w:val="21"/>
                <w:highlight w:val="none"/>
              </w:rPr>
              <w:t>：舌质暗红，</w:t>
            </w:r>
            <w:r>
              <w:rPr>
                <w:rFonts w:hint="eastAsia" w:ascii="宋体" w:hAnsi="宋体" w:eastAsia="宋体" w:cs="Cambria Math"/>
                <w:color w:val="auto"/>
                <w:sz w:val="21"/>
                <w:highlight w:val="none"/>
                <w:lang w:val="en-US" w:eastAsia="zh-CN"/>
              </w:rPr>
              <w:t>见</w:t>
            </w:r>
            <w:r>
              <w:rPr>
                <w:rFonts w:hint="eastAsia" w:ascii="宋体" w:hAnsi="宋体" w:eastAsia="宋体" w:cs="Cambria Math"/>
                <w:color w:val="auto"/>
                <w:sz w:val="21"/>
                <w:highlight w:val="none"/>
              </w:rPr>
              <w:t>瘀点、瘀斑</w:t>
            </w:r>
            <w:r>
              <w:rPr>
                <w:rFonts w:hint="eastAsia" w:ascii="宋体" w:hAnsi="宋体" w:eastAsia="宋体" w:cs="Cambria Math"/>
                <w:color w:val="auto"/>
                <w:sz w:val="21"/>
                <w:highlight w:val="none"/>
                <w:lang w:eastAsia="zh-CN"/>
              </w:rPr>
              <w:t>，</w:t>
            </w:r>
            <w:r>
              <w:rPr>
                <w:rFonts w:hint="eastAsia" w:ascii="宋体" w:hAnsi="宋体" w:eastAsia="宋体" w:cs="Cambria Math"/>
                <w:color w:val="auto"/>
                <w:sz w:val="21"/>
                <w:highlight w:val="none"/>
              </w:rPr>
              <w:t>苔黄腻或黄燥</w:t>
            </w:r>
            <w:r>
              <w:rPr>
                <w:rFonts w:hint="eastAsia" w:ascii="宋体" w:hAnsi="宋体" w:eastAsia="宋体" w:cs="Cambria Math"/>
                <w:color w:val="auto"/>
                <w:sz w:val="21"/>
                <w:highlight w:val="none"/>
                <w:lang w:eastAsia="zh-CN"/>
              </w:rPr>
              <w:t>。</w:t>
            </w:r>
          </w:p>
          <w:p w14:paraId="58C906FF">
            <w:pPr>
              <w:pStyle w:val="6"/>
              <w:keepNext w:val="0"/>
              <w:keepLines w:val="0"/>
              <w:pageBreakBefore w:val="0"/>
              <w:widowControl/>
              <w:tabs>
                <w:tab w:val="center" w:pos="4201"/>
                <w:tab w:val="right" w:leader="dot" w:pos="9298"/>
              </w:tabs>
              <w:kinsoku/>
              <w:wordWrap w:val="0"/>
              <w:overflowPunct/>
              <w:topLinePunct w:val="0"/>
              <w:autoSpaceDE w:val="0"/>
              <w:autoSpaceDN w:val="0"/>
              <w:bidi w:val="0"/>
              <w:adjustRightInd/>
              <w:snapToGrid w:val="0"/>
              <w:spacing w:line="240" w:lineRule="auto"/>
              <w:ind w:left="0" w:leftChars="0" w:right="0" w:rightChars="0"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Cambria Math"/>
                <w:color w:val="auto"/>
                <w:sz w:val="21"/>
                <w:highlight w:val="none"/>
                <w:lang w:val="en-US" w:eastAsia="zh-CN"/>
              </w:rPr>
              <w:t>④脉象：</w:t>
            </w:r>
            <w:r>
              <w:rPr>
                <w:rFonts w:hint="eastAsia" w:ascii="宋体" w:hAnsi="宋体" w:eastAsia="宋体" w:cs="Cambria Math"/>
                <w:color w:val="auto"/>
                <w:sz w:val="21"/>
                <w:highlight w:val="none"/>
              </w:rPr>
              <w:t>脉滑数或洪数。</w:t>
            </w:r>
          </w:p>
        </w:tc>
        <w:tc>
          <w:tcPr>
            <w:tcW w:w="1176" w:type="dxa"/>
            <w:shd w:val="clear" w:color="auto" w:fill="auto"/>
            <w:vAlign w:val="center"/>
          </w:tcPr>
          <w:p w14:paraId="025EDE6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清热解毒</w:t>
            </w:r>
          </w:p>
          <w:p w14:paraId="05DD3CC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rPr>
                <w:rFonts w:hint="eastAsia" w:ascii="宋体" w:hAnsi="宋体" w:eastAsia="宋体" w:cs="宋体"/>
                <w:strike/>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祛瘀通脉</w:t>
            </w:r>
          </w:p>
        </w:tc>
        <w:tc>
          <w:tcPr>
            <w:tcW w:w="3123" w:type="dxa"/>
            <w:shd w:val="clear" w:color="auto" w:fill="auto"/>
            <w:vAlign w:val="center"/>
          </w:tcPr>
          <w:p w14:paraId="2339988C">
            <w:pPr>
              <w:pStyle w:val="6"/>
              <w:tabs>
                <w:tab w:val="center" w:pos="4201"/>
                <w:tab w:val="right" w:leader="dot" w:pos="9298"/>
              </w:tabs>
              <w:wordWrap w:val="0"/>
              <w:snapToGrid w:val="0"/>
              <w:spacing w:line="240" w:lineRule="auto"/>
              <w:ind w:left="0" w:leftChars="0" w:right="0" w:rightChars="0" w:firstLine="0" w:firstLineChars="0"/>
              <w:jc w:val="both"/>
              <w:rPr>
                <w:rFonts w:hint="default" w:ascii="宋体" w:hAnsi="宋体" w:eastAsia="宋体" w:cs="宋体"/>
                <w:color w:val="auto"/>
                <w:sz w:val="21"/>
                <w:szCs w:val="21"/>
                <w:lang w:val="en-US"/>
              </w:rPr>
            </w:pPr>
            <w:r>
              <w:rPr>
                <w:rFonts w:hint="eastAsia" w:ascii="宋体" w:hAnsi="宋体" w:eastAsia="宋体" w:cs="宋体"/>
                <w:color w:val="auto"/>
                <w:sz w:val="21"/>
                <w:szCs w:val="21"/>
                <w:lang w:val="en-US" w:eastAsia="zh-CN"/>
              </w:rPr>
              <w:t>推荐方药</w:t>
            </w:r>
            <w:r>
              <w:rPr>
                <w:rFonts w:hint="eastAsia" w:ascii="宋体" w:hAnsi="宋体" w:eastAsia="宋体" w:cs="宋体"/>
                <w:color w:val="auto"/>
                <w:sz w:val="21"/>
                <w:szCs w:val="21"/>
              </w:rPr>
              <w:t>：</w:t>
            </w:r>
            <w:r>
              <w:rPr>
                <w:rFonts w:hint="eastAsia" w:ascii="宋体" w:hAnsi="宋体" w:eastAsia="宋体" w:cs="宋体"/>
                <w:b w:val="0"/>
                <w:bCs w:val="0"/>
                <w:color w:val="auto"/>
                <w:sz w:val="21"/>
                <w:szCs w:val="21"/>
                <w:lang w:val="en-US" w:eastAsia="zh-CN"/>
              </w:rPr>
              <w:t>四妙勇安汤合黄连解毒汤</w:t>
            </w:r>
          </w:p>
          <w:p w14:paraId="2145ECD5">
            <w:pPr>
              <w:pStyle w:val="6"/>
              <w:tabs>
                <w:tab w:val="center" w:pos="4201"/>
                <w:tab w:val="right" w:leader="dot" w:pos="9298"/>
              </w:tabs>
              <w:wordWrap w:val="0"/>
              <w:snapToGrid w:val="0"/>
              <w:spacing w:line="240" w:lineRule="auto"/>
              <w:ind w:left="0" w:leftChars="0" w:right="0" w:rightChars="0" w:firstLine="0" w:firstLineChars="0"/>
              <w:jc w:val="both"/>
              <w:rPr>
                <w:rFonts w:hint="eastAsia" w:ascii="宋体" w:hAnsi="宋体" w:eastAsia="宋体" w:cs="宋体"/>
                <w:strike/>
                <w:color w:val="auto"/>
                <w:kern w:val="0"/>
                <w:sz w:val="21"/>
                <w:szCs w:val="21"/>
                <w:lang w:val="en-US" w:eastAsia="zh-CN" w:bidi="ar-SA"/>
              </w:rPr>
            </w:pPr>
            <w:r>
              <w:rPr>
                <w:rFonts w:hint="eastAsia" w:ascii="宋体" w:hAnsi="宋体" w:eastAsia="宋体" w:cs="宋体"/>
                <w:color w:val="auto"/>
                <w:sz w:val="21"/>
                <w:szCs w:val="21"/>
                <w:lang w:val="en-US" w:eastAsia="zh-CN"/>
              </w:rPr>
              <w:t>口服</w:t>
            </w:r>
            <w:r>
              <w:rPr>
                <w:rFonts w:hint="eastAsia" w:ascii="宋体" w:hAnsi="宋体" w:eastAsia="宋体" w:cs="宋体"/>
                <w:color w:val="auto"/>
                <w:sz w:val="21"/>
                <w:szCs w:val="21"/>
              </w:rPr>
              <w:t>中成药：</w:t>
            </w:r>
            <w:r>
              <w:rPr>
                <w:rFonts w:hint="eastAsia" w:ascii="宋体" w:hAnsi="宋体" w:eastAsia="宋体" w:cs="宋体"/>
                <w:b w:val="0"/>
                <w:bCs w:val="0"/>
                <w:color w:val="auto"/>
                <w:sz w:val="21"/>
                <w:szCs w:val="21"/>
                <w:lang w:val="en-US" w:eastAsia="zh-CN"/>
              </w:rPr>
              <w:t>脉络舒通丸</w:t>
            </w:r>
          </w:p>
        </w:tc>
        <w:tc>
          <w:tcPr>
            <w:tcW w:w="1132" w:type="dxa"/>
            <w:shd w:val="clear" w:color="auto" w:fill="auto"/>
            <w:vAlign w:val="center"/>
          </w:tcPr>
          <w:p w14:paraId="55A02A9B">
            <w:pPr>
              <w:pStyle w:val="6"/>
              <w:tabs>
                <w:tab w:val="center" w:pos="4201"/>
                <w:tab w:val="right" w:leader="dot" w:pos="9298"/>
              </w:tabs>
              <w:wordWrap w:val="0"/>
              <w:snapToGrid w:val="0"/>
              <w:spacing w:line="240" w:lineRule="auto"/>
              <w:ind w:left="0" w:leftChars="0" w:right="0" w:rightChars="0" w:firstLine="0" w:firstLineChars="0"/>
              <w:jc w:val="both"/>
              <w:rPr>
                <w:rFonts w:hint="default" w:ascii="宋体" w:hAnsi="宋体" w:eastAsia="宋体" w:cs="宋体"/>
                <w:color w:val="auto"/>
                <w:sz w:val="21"/>
                <w:szCs w:val="21"/>
                <w:lang w:val="en-US" w:eastAsia="zh-CN"/>
              </w:rPr>
            </w:pPr>
            <w:r>
              <w:rPr>
                <w:rFonts w:hint="eastAsia" w:hAnsi="宋体" w:cs="宋体"/>
                <w:color w:val="auto"/>
                <w:sz w:val="21"/>
                <w:szCs w:val="21"/>
                <w:lang w:val="en-US" w:eastAsia="zh-CN"/>
              </w:rPr>
              <w:t>97.8％</w:t>
            </w:r>
          </w:p>
        </w:tc>
      </w:tr>
    </w:tbl>
    <w:p w14:paraId="341C7D9C">
      <w:pPr>
        <w:widowControl/>
        <w:spacing w:line="360" w:lineRule="auto"/>
        <w:ind w:firstLine="480"/>
        <w:jc w:val="both"/>
        <w:rPr>
          <w:rFonts w:hint="eastAsia" w:cs="Times New Roman" w:eastAsiaTheme="minorEastAsia"/>
          <w:b/>
          <w:bCs/>
          <w:color w:val="auto"/>
          <w:sz w:val="24"/>
          <w:highlight w:val="none"/>
          <w:lang w:val="en-US" w:eastAsia="zh-CN"/>
        </w:rPr>
      </w:pPr>
      <w:r>
        <w:rPr>
          <w:rFonts w:hint="eastAsia" w:cs="Times New Roman" w:eastAsiaTheme="minorEastAsia"/>
          <w:b/>
          <w:bCs/>
          <w:color w:val="auto"/>
          <w:sz w:val="24"/>
          <w:highlight w:val="none"/>
          <w:lang w:val="en-US" w:eastAsia="zh-CN"/>
        </w:rPr>
        <w:t>2.3.3形成征求意见稿</w:t>
      </w:r>
    </w:p>
    <w:p w14:paraId="0B2313AC">
      <w:pPr>
        <w:widowControl/>
        <w:spacing w:line="360" w:lineRule="auto"/>
        <w:ind w:firstLine="480"/>
        <w:jc w:val="both"/>
        <w:rPr>
          <w:rFonts w:hint="eastAsia" w:asciiTheme="minorEastAsia" w:hAnsiTheme="minorEastAsia" w:eastAsiaTheme="minorEastAsia" w:cstheme="minorEastAsia"/>
          <w:b/>
          <w:bCs/>
          <w:color w:val="auto"/>
          <w:sz w:val="24"/>
          <w:highlight w:val="none"/>
        </w:rPr>
      </w:pPr>
      <w:r>
        <w:rPr>
          <w:rFonts w:hint="default" w:cs="Times New Roman" w:eastAsiaTheme="minorEastAsia"/>
          <w:b w:val="0"/>
          <w:bCs w:val="0"/>
          <w:color w:val="auto"/>
          <w:sz w:val="24"/>
          <w:highlight w:val="none"/>
          <w:lang w:val="en-US" w:eastAsia="zh-CN"/>
        </w:rPr>
        <w:t>在《血管衰老中医诊疗规范》编制过程中，项目组系统开展专家问卷调查与专家组专题会议，广泛征集行业内权威专家对规范核心内容的意见建议。随后，项目组全面吸纳整合专家反馈的建设性意见，与组内专家进行多轮研讨论证，对规范核心条目从术语表述、逻辑架构、技术参数、临床适配性等方面进行系统性规范优化；同时严格参照 GB/T 1.1-2020《标准化工作导则 第 1 部分：标准化文件的结构和起草规则》等相关规范性文件要求，组织专人开展全流程组内审核，确保文件格式合规、内容严谨、实操性强，最终形成《血管衰老中医诊疗规范》征求意见稿。</w:t>
      </w:r>
    </w:p>
    <w:p w14:paraId="799A1C49">
      <w:pPr>
        <w:widowControl/>
        <w:spacing w:line="360" w:lineRule="auto"/>
        <w:ind w:firstLine="480"/>
        <w:jc w:val="both"/>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三、标准编制原则</w:t>
      </w:r>
    </w:p>
    <w:p w14:paraId="73198F6D">
      <w:pPr>
        <w:widowControl/>
        <w:spacing w:line="360" w:lineRule="auto"/>
        <w:ind w:firstLine="480"/>
        <w:jc w:val="both"/>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本标准严格依据GB/T 1.1—2020《标准化工作导则第1部分：标准化文件的结构和起草规则》规定起草，核心遵循以下原则：</w:t>
      </w:r>
    </w:p>
    <w:p w14:paraId="3CEBDE65">
      <w:pPr>
        <w:widowControl/>
        <w:spacing w:line="360" w:lineRule="auto"/>
        <w:ind w:firstLine="480"/>
        <w:jc w:val="both"/>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lang w:val="en-US" w:eastAsia="zh-CN"/>
        </w:rPr>
        <w:t xml:space="preserve">3.1 </w:t>
      </w:r>
      <w:r>
        <w:rPr>
          <w:rFonts w:hint="default" w:ascii="Times New Roman" w:hAnsi="Times New Roman" w:cs="Times New Roman" w:eastAsiaTheme="minorEastAsia"/>
          <w:b/>
          <w:bCs/>
          <w:color w:val="auto"/>
          <w:sz w:val="24"/>
          <w:highlight w:val="none"/>
        </w:rPr>
        <w:t>科学性</w:t>
      </w:r>
    </w:p>
    <w:p w14:paraId="724477F0">
      <w:pPr>
        <w:widowControl/>
        <w:spacing w:line="360" w:lineRule="auto"/>
        <w:ind w:firstLine="480"/>
        <w:jc w:val="both"/>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科学性是本标准编制的核心准则。制定过程中全程遵循国际国内标准化制定的科学流程，确保诊断依据、证候分类、治则治法等所有核心内容均有坚实支撑。方法学层面，在方法学专家指导下明确文献检索策略与筛选流程，采用Cochrane偏倚风险评估工具开展系统文献质量评价，夯实循证基础。专家共识层面，通过两轮德尔菲法专家问卷调查广泛征求各领域意见，运用均值（M）、变异系数（CV）、满分频率（K值）等统计学指标量化评价条目合理性，保障建议的权威性与可靠性。数据分析层面，在统计学专家指导下对调研数据进行科学分析与解读，为诊疗内容的合理性提供数据支撑。同时，整合中医、老年医学、心血管病学等多学科专家资源，充分融合中西医优势，进一步筑牢本标准的科学性根基。</w:t>
      </w:r>
    </w:p>
    <w:p w14:paraId="47307498">
      <w:pPr>
        <w:widowControl/>
        <w:spacing w:line="360" w:lineRule="auto"/>
        <w:ind w:firstLine="480"/>
        <w:jc w:val="both"/>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lang w:val="en-US" w:eastAsia="zh-CN"/>
        </w:rPr>
        <w:t>3.2</w:t>
      </w:r>
      <w:r>
        <w:rPr>
          <w:rFonts w:hint="eastAsia" w:cs="Times New Roman" w:eastAsiaTheme="minorEastAsia"/>
          <w:b/>
          <w:bCs/>
          <w:color w:val="auto"/>
          <w:sz w:val="24"/>
          <w:highlight w:val="none"/>
          <w:lang w:val="en-US" w:eastAsia="zh-CN"/>
        </w:rPr>
        <w:t xml:space="preserve"> </w:t>
      </w:r>
      <w:r>
        <w:rPr>
          <w:rFonts w:hint="default" w:ascii="Times New Roman" w:hAnsi="Times New Roman" w:cs="Times New Roman" w:eastAsiaTheme="minorEastAsia"/>
          <w:b/>
          <w:bCs/>
          <w:color w:val="auto"/>
          <w:sz w:val="24"/>
          <w:highlight w:val="none"/>
        </w:rPr>
        <w:t>先进性</w:t>
      </w:r>
    </w:p>
    <w:p w14:paraId="6450BDE8">
      <w:pPr>
        <w:widowControl/>
        <w:spacing w:line="360" w:lineRule="auto"/>
        <w:ind w:firstLine="480"/>
        <w:jc w:val="both"/>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先进性是本标准编制的重要导向。制定过程中深度研读中医药标准制修订的科学方法与理论，紧密衔接血管衰老领域现代医学最新研究进展（如2024版血管衰老临床评估与干预专家共识）与中医理论创新成果（如</w:t>
      </w:r>
      <w:r>
        <w:rPr>
          <w:rFonts w:hint="eastAsia" w:ascii="宋体" w:hAnsi="宋体" w:eastAsia="宋体" w:cs="宋体"/>
          <w:color w:val="auto"/>
          <w:sz w:val="24"/>
          <w:highlight w:val="none"/>
        </w:rPr>
        <w:t>“虚—瘀—痰—毒”</w:t>
      </w:r>
      <w:r>
        <w:rPr>
          <w:rFonts w:hint="default" w:ascii="Times New Roman" w:hAnsi="Times New Roman" w:cs="Times New Roman" w:eastAsiaTheme="minorEastAsia"/>
          <w:color w:val="auto"/>
          <w:sz w:val="24"/>
          <w:highlight w:val="none"/>
        </w:rPr>
        <w:t>复合病机理论），精准契合未来老龄化社会的健康需求与临床发展趋势。内容上构建了涵盖中医病因病机、辨证分型、诊断标准、治疗原则、预防调摄的完整诊疗体系，充分彰显中医整体观念与辨证论治特色；形式上创新融合血管衰老相关现代医学检测指标（如PWV、cIMT、FMD等）与中医证候诊断，凸显中西医协同优势，兼具前瞻性与行业引导性，填补了血管衰老领域中医诊疗无统一规范的空白。</w:t>
      </w:r>
    </w:p>
    <w:p w14:paraId="6ED5AD43">
      <w:pPr>
        <w:widowControl/>
        <w:spacing w:line="360" w:lineRule="auto"/>
        <w:ind w:firstLine="480"/>
        <w:jc w:val="both"/>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lang w:val="en-US" w:eastAsia="zh-CN"/>
        </w:rPr>
        <w:t>3.3</w:t>
      </w:r>
      <w:r>
        <w:rPr>
          <w:rFonts w:hint="eastAsia" w:cs="Times New Roman" w:eastAsiaTheme="minorEastAsia"/>
          <w:b/>
          <w:bCs/>
          <w:color w:val="auto"/>
          <w:sz w:val="24"/>
          <w:highlight w:val="none"/>
          <w:lang w:val="en-US" w:eastAsia="zh-CN"/>
        </w:rPr>
        <w:t xml:space="preserve"> </w:t>
      </w:r>
      <w:r>
        <w:rPr>
          <w:rFonts w:hint="default" w:ascii="Times New Roman" w:hAnsi="Times New Roman" w:cs="Times New Roman" w:eastAsiaTheme="minorEastAsia"/>
          <w:b/>
          <w:bCs/>
          <w:color w:val="auto"/>
          <w:sz w:val="24"/>
          <w:highlight w:val="none"/>
        </w:rPr>
        <w:t>可操作性</w:t>
      </w:r>
    </w:p>
    <w:p w14:paraId="4DB2ED8E">
      <w:pPr>
        <w:widowControl/>
        <w:spacing w:line="360" w:lineRule="auto"/>
        <w:ind w:firstLine="480"/>
        <w:jc w:val="both"/>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可操作性是本标准落地应用的关键保障。制定过程中全面兼顾各级医疗机构临床实操需求，确保内容简洁明确、便于执行。其一，明确诊断依据，详细列出血管衰老的主要症状、次要症状，以及相关实验室检查、影像学检查（如 PWV 检测、颈动脉超声等）的具体判定标准，助力临床医生精准诊断。其二，规范证候分类，对</w:t>
      </w:r>
      <w:r>
        <w:rPr>
          <w:rFonts w:hint="default" w:ascii="Times New Roman" w:hAnsi="Times New Roman" w:cs="Times New Roman" w:eastAsiaTheme="minorEastAsia"/>
          <w:color w:val="auto"/>
          <w:sz w:val="24"/>
          <w:highlight w:val="none"/>
          <w:lang w:val="en-US" w:eastAsia="zh-CN"/>
        </w:rPr>
        <w:t>脾肾亏虚证，气虚血瘀证，</w:t>
      </w:r>
      <w:r>
        <w:rPr>
          <w:rFonts w:hint="default" w:ascii="Times New Roman" w:hAnsi="Times New Roman" w:cs="Times New Roman" w:eastAsiaTheme="minorEastAsia"/>
          <w:color w:val="auto"/>
          <w:sz w:val="24"/>
          <w:highlight w:val="none"/>
        </w:rPr>
        <w:t>气阴两虚证、</w:t>
      </w:r>
      <w:r>
        <w:rPr>
          <w:rFonts w:hint="default" w:ascii="Times New Roman" w:hAnsi="Times New Roman" w:cs="Times New Roman" w:eastAsiaTheme="minorEastAsia"/>
          <w:color w:val="auto"/>
          <w:sz w:val="24"/>
          <w:highlight w:val="none"/>
          <w:lang w:val="en-US" w:eastAsia="zh-CN"/>
        </w:rPr>
        <w:t>阴虚阳亢证、痰瘀互结证、瘀毒化热证</w:t>
      </w:r>
      <w:r>
        <w:rPr>
          <w:rFonts w:hint="default" w:ascii="Times New Roman" w:hAnsi="Times New Roman" w:cs="Times New Roman" w:eastAsiaTheme="minorEastAsia"/>
          <w:color w:val="auto"/>
          <w:sz w:val="24"/>
          <w:highlight w:val="none"/>
        </w:rPr>
        <w:t>6类核心证型明确划分主症与次症，以通俗易懂的语言清晰描述各证型的临床表现、舌象及脉象特征，明确辨证要点，降低辨证难度。其三，完善实操指引，量化推荐方药的组成、服法与疗程，明确口服中成药及静脉制剂的具体用法用量，细化预防调摄中的生活方式干预、分层检查频率等要求，为临床应用与疗效评估提供清晰可操作的标准。</w:t>
      </w:r>
    </w:p>
    <w:p w14:paraId="3249558C">
      <w:pPr>
        <w:widowControl/>
        <w:spacing w:line="360" w:lineRule="auto"/>
        <w:ind w:firstLine="480"/>
        <w:jc w:val="both"/>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四、标准主要条文或技术内容的依据；专利情况说明；修订标准应说明新旧标准水平的对比情况。</w:t>
      </w:r>
    </w:p>
    <w:p w14:paraId="37FED548">
      <w:pPr>
        <w:widowControl/>
        <w:spacing w:line="360" w:lineRule="auto"/>
        <w:ind w:firstLine="480"/>
        <w:jc w:val="both"/>
        <w:rPr>
          <w:rFonts w:hint="default" w:ascii="Times New Roman" w:hAnsi="Times New Roman" w:cs="Times New Roman" w:eastAsiaTheme="minorEastAsia"/>
          <w:b/>
          <w:bCs/>
          <w:color w:val="auto"/>
          <w:sz w:val="24"/>
          <w:highlight w:val="none"/>
          <w:lang w:eastAsia="zh-CN"/>
        </w:rPr>
      </w:pPr>
      <w:r>
        <w:rPr>
          <w:rFonts w:hint="eastAsia" w:cs="Times New Roman" w:eastAsiaTheme="minorEastAsia"/>
          <w:b/>
          <w:bCs/>
          <w:color w:val="auto"/>
          <w:sz w:val="24"/>
          <w:highlight w:val="none"/>
          <w:lang w:val="en-US" w:eastAsia="zh-CN"/>
        </w:rPr>
        <w:t xml:space="preserve">4.1 </w:t>
      </w:r>
      <w:r>
        <w:rPr>
          <w:rFonts w:hint="default" w:ascii="Times New Roman" w:hAnsi="Times New Roman" w:cs="Times New Roman" w:eastAsiaTheme="minorEastAsia"/>
          <w:b/>
          <w:bCs/>
          <w:color w:val="auto"/>
          <w:sz w:val="24"/>
          <w:highlight w:val="none"/>
          <w:lang w:eastAsia="zh-CN"/>
        </w:rPr>
        <w:t>标准主要条文或技术内容的依据</w:t>
      </w:r>
    </w:p>
    <w:p w14:paraId="713A0B9A">
      <w:pPr>
        <w:widowControl/>
        <w:spacing w:line="360" w:lineRule="auto"/>
        <w:ind w:firstLine="480"/>
        <w:jc w:val="both"/>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本规范主要条文及技术内容的制定严格遵循科学性、规范性、实用性原则，结合行业共识、文献证据、专家论证及临床实践经验，分三部分明确依据如下：</w:t>
      </w:r>
    </w:p>
    <w:p w14:paraId="214A54B6">
      <w:pPr>
        <w:widowControl/>
        <w:spacing w:line="360" w:lineRule="auto"/>
        <w:ind w:firstLine="480"/>
        <w:jc w:val="both"/>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lang w:eastAsia="zh-CN"/>
        </w:rPr>
        <w:t>（</w:t>
      </w:r>
      <w:r>
        <w:rPr>
          <w:rFonts w:hint="eastAsia" w:cs="Times New Roman" w:eastAsiaTheme="minorEastAsia"/>
          <w:color w:val="auto"/>
          <w:sz w:val="24"/>
          <w:highlight w:val="none"/>
          <w:lang w:val="en-US" w:eastAsia="zh-CN"/>
        </w:rPr>
        <w:t>一</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rPr>
        <w:t>中医病名与西医病名部分</w:t>
      </w:r>
    </w:p>
    <w:p w14:paraId="06878E18">
      <w:pPr>
        <w:widowControl/>
        <w:spacing w:line="360" w:lineRule="auto"/>
        <w:ind w:firstLine="480"/>
        <w:jc w:val="both"/>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本部分为非主要技术内容，核心依据行业内权威专家共识与临床指南编制而成，具体参照T/CITS562-2025《血管衰老标志物临床应用指南》、《血管衰老临床评估与干预中国专家共识(2024版)》、《血管源性轻度认知障碍中医诊疗指南》、《延缓衰老药物干预研究中国老年医学专家共识(2024)》、《中国衰老与抗衰老专家共识（2019年）》等文件，确保病名界定与临床认知、行业共识保持一致。</w:t>
      </w:r>
    </w:p>
    <w:p w14:paraId="5AD808D3">
      <w:pPr>
        <w:widowControl/>
        <w:spacing w:line="360" w:lineRule="auto"/>
        <w:ind w:firstLine="480"/>
        <w:jc w:val="both"/>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lang w:eastAsia="zh-CN"/>
        </w:rPr>
        <w:t>（</w:t>
      </w:r>
      <w:r>
        <w:rPr>
          <w:rFonts w:hint="eastAsia" w:cs="Times New Roman" w:eastAsiaTheme="minorEastAsia"/>
          <w:color w:val="auto"/>
          <w:sz w:val="24"/>
          <w:highlight w:val="none"/>
          <w:lang w:val="en-US" w:eastAsia="zh-CN"/>
        </w:rPr>
        <w:t>二</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rPr>
        <w:t>中医证型部分</w:t>
      </w:r>
    </w:p>
    <w:p w14:paraId="66750742">
      <w:pPr>
        <w:widowControl/>
        <w:spacing w:line="360" w:lineRule="auto"/>
        <w:ind w:firstLine="480"/>
        <w:jc w:val="both"/>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本部分以系统文献分析为基础，整合多维度证据形成核心内容，具体制定依据如下：一是文献研究层面，系统梳理血管衰老相关临床文献，同时参照《颈动脉狭窄中医诊疗指南》等血管衰老相关疾病指南，提炼证型相关核心数据；二是专家论证层面，经多轮德尔菲法专家咨询与论证，优化证型分类及表述；三是规范适配层面，严格遵循GB/T16751.1-2023《中医临床诊疗术语第1部分：疾病》、GB/T16751.2-2021《中医临床诊疗术语第2部分：证候》、GB/T16751.3-2023《中医临床诊疗术语第3部分：治法》、GB/T42467.1-2023《中医临床名词术语第1部分：内科学》等国家规范性文件，实现证型术语、分类逻辑的全面标准化</w:t>
      </w:r>
    </w:p>
    <w:p w14:paraId="6AFBDCFD">
      <w:pPr>
        <w:widowControl/>
        <w:spacing w:line="360" w:lineRule="auto"/>
        <w:ind w:firstLine="480"/>
        <w:jc w:val="both"/>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lang w:eastAsia="zh-CN"/>
        </w:rPr>
        <w:t>（</w:t>
      </w:r>
      <w:r>
        <w:rPr>
          <w:rFonts w:hint="eastAsia" w:cs="Times New Roman" w:eastAsiaTheme="minorEastAsia"/>
          <w:color w:val="auto"/>
          <w:sz w:val="24"/>
          <w:highlight w:val="none"/>
          <w:lang w:val="en-US" w:eastAsia="zh-CN"/>
        </w:rPr>
        <w:t>三</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rPr>
        <w:t>中医治疗部分</w:t>
      </w:r>
    </w:p>
    <w:p w14:paraId="28BABCF6">
      <w:pPr>
        <w:widowControl/>
        <w:spacing w:line="360" w:lineRule="auto"/>
        <w:ind w:firstLine="480"/>
        <w:jc w:val="both"/>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本部分基于多源证据整合与严格规范校验形成，具体制定依据如下：一是基础证据层面，在系统文献研究的基础上，参照《延缓衰老药物干预研究中国老年医学专家共识(2024)》等相关指南，结合临床实践经验提炼治疗核心内容；二是专家论证层面，经多轮德尔菲法专家咨询与论证，优化治疗方案的临床适配性与实操性；三是规范与合规层面，按不同药物类型分别依据对应权威文件编制，实现药物名称、适用范围、安全性要求及用法用量的规范化表述，具体分类如下：</w:t>
      </w:r>
    </w:p>
    <w:p w14:paraId="3C728F39">
      <w:pPr>
        <w:widowControl/>
        <w:spacing w:line="360" w:lineRule="auto"/>
        <w:ind w:firstLine="480"/>
        <w:jc w:val="both"/>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lang w:val="en-US" w:eastAsia="zh-CN"/>
        </w:rPr>
        <w:t>①方药</w:t>
      </w:r>
      <w:r>
        <w:rPr>
          <w:rFonts w:hint="default" w:ascii="Times New Roman" w:hAnsi="Times New Roman" w:cs="Times New Roman" w:eastAsiaTheme="minorEastAsia"/>
          <w:color w:val="auto"/>
          <w:sz w:val="24"/>
          <w:highlight w:val="none"/>
        </w:rPr>
        <w:t>：主要参考《中国医典》，并严格遵循T/CACM1362—2021《中药饮片临床应用规范》，对中药饮片的选用、配伍原则、用法用量及安全性注意事项等进行规范化表述；</w:t>
      </w:r>
    </w:p>
    <w:p w14:paraId="03423312">
      <w:pPr>
        <w:widowControl/>
        <w:spacing w:line="360" w:lineRule="auto"/>
        <w:ind w:firstLine="480"/>
        <w:jc w:val="both"/>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lang w:val="en-US" w:eastAsia="zh-CN"/>
        </w:rPr>
        <w:t>②口服</w:t>
      </w:r>
      <w:r>
        <w:rPr>
          <w:rFonts w:hint="default" w:ascii="Times New Roman" w:hAnsi="Times New Roman" w:cs="Times New Roman" w:eastAsiaTheme="minorEastAsia"/>
          <w:color w:val="auto"/>
          <w:sz w:val="24"/>
          <w:highlight w:val="none"/>
        </w:rPr>
        <w:t>中成药：主要参照《中华人民共和国药典2025》及《国家基本医疗保险、生育保险和工伤保险药品目录（2025年）》，明确中成药的适用证、用法用量、禁忌、不良反应等核心内容，确保选用的中成药合规且临床适配；</w:t>
      </w:r>
    </w:p>
    <w:p w14:paraId="4B0CFBCC">
      <w:pPr>
        <w:widowControl/>
        <w:spacing w:line="360" w:lineRule="auto"/>
        <w:ind w:firstLine="480"/>
        <w:jc w:val="both"/>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lang w:val="en-US" w:eastAsia="zh-CN"/>
        </w:rPr>
        <w:t>③</w:t>
      </w:r>
      <w:r>
        <w:rPr>
          <w:rFonts w:hint="default" w:ascii="Times New Roman" w:hAnsi="Times New Roman" w:cs="Times New Roman" w:eastAsiaTheme="minorEastAsia"/>
          <w:color w:val="auto"/>
          <w:sz w:val="24"/>
          <w:highlight w:val="none"/>
        </w:rPr>
        <w:t>中药静脉制剂：主要参照《国家基本医疗保险、生育保险和工伤保险药品目录（2025年）》，重点规范中药静脉制剂的适用范围、用法用量、给药途径、安全性监测要求等，保障临床使用的安全性与规范性。</w:t>
      </w:r>
    </w:p>
    <w:p w14:paraId="6C0018D8">
      <w:pPr>
        <w:widowControl/>
        <w:spacing w:line="360" w:lineRule="auto"/>
        <w:ind w:firstLine="480"/>
        <w:jc w:val="both"/>
        <w:rPr>
          <w:rFonts w:hint="eastAsia" w:asciiTheme="minorEastAsia" w:hAnsiTheme="minorEastAsia" w:eastAsiaTheme="minorEastAsia" w:cstheme="minorEastAsia"/>
          <w:b/>
          <w:bCs/>
          <w:color w:val="auto"/>
          <w:sz w:val="24"/>
          <w:highlight w:val="none"/>
        </w:rPr>
      </w:pPr>
      <w:r>
        <w:rPr>
          <w:rFonts w:hint="eastAsia" w:cs="Times New Roman" w:eastAsiaTheme="minorEastAsia"/>
          <w:b/>
          <w:bCs/>
          <w:color w:val="auto"/>
          <w:sz w:val="24"/>
          <w:highlight w:val="none"/>
          <w:lang w:val="en-US" w:eastAsia="zh-CN"/>
        </w:rPr>
        <w:t xml:space="preserve">4.2 </w:t>
      </w:r>
      <w:r>
        <w:rPr>
          <w:rFonts w:hint="eastAsia" w:asciiTheme="minorEastAsia" w:hAnsiTheme="minorEastAsia" w:eastAsiaTheme="minorEastAsia" w:cstheme="minorEastAsia"/>
          <w:b/>
          <w:bCs/>
          <w:color w:val="auto"/>
          <w:sz w:val="24"/>
          <w:highlight w:val="none"/>
        </w:rPr>
        <w:t>专利情况说明</w:t>
      </w:r>
    </w:p>
    <w:p w14:paraId="7812CF20">
      <w:pPr>
        <w:widowControl/>
        <w:spacing w:line="360" w:lineRule="auto"/>
        <w:ind w:firstLine="480"/>
        <w:jc w:val="both"/>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eastAsia="zh-CN"/>
        </w:rPr>
        <w:t>经</w:t>
      </w:r>
      <w:r>
        <w:rPr>
          <w:rFonts w:hint="eastAsia" w:asciiTheme="minorEastAsia" w:hAnsiTheme="minorEastAsia" w:eastAsiaTheme="minorEastAsia" w:cstheme="minorEastAsia"/>
          <w:color w:val="auto"/>
          <w:sz w:val="24"/>
          <w:highlight w:val="none"/>
          <w:lang w:val="en-US" w:eastAsia="zh-CN"/>
        </w:rPr>
        <w:t>项目组</w:t>
      </w:r>
      <w:r>
        <w:rPr>
          <w:rFonts w:hint="eastAsia" w:asciiTheme="minorEastAsia" w:hAnsiTheme="minorEastAsia" w:eastAsiaTheme="minorEastAsia" w:cstheme="minorEastAsia"/>
          <w:color w:val="auto"/>
          <w:sz w:val="24"/>
          <w:highlight w:val="none"/>
          <w:lang w:eastAsia="zh-CN"/>
        </w:rPr>
        <w:t>核查与确认，本</w:t>
      </w:r>
      <w:r>
        <w:rPr>
          <w:rFonts w:hint="eastAsia" w:asciiTheme="minorEastAsia" w:hAnsiTheme="minorEastAsia" w:eastAsiaTheme="minorEastAsia" w:cstheme="minorEastAsia"/>
          <w:color w:val="auto"/>
          <w:sz w:val="24"/>
          <w:highlight w:val="none"/>
          <w:lang w:val="en-US" w:eastAsia="zh-CN"/>
        </w:rPr>
        <w:t>规范</w:t>
      </w:r>
      <w:r>
        <w:rPr>
          <w:rFonts w:hint="eastAsia" w:asciiTheme="minorEastAsia" w:hAnsiTheme="minorEastAsia" w:eastAsiaTheme="minorEastAsia" w:cstheme="minorEastAsia"/>
          <w:color w:val="auto"/>
          <w:sz w:val="24"/>
          <w:highlight w:val="none"/>
          <w:lang w:eastAsia="zh-CN"/>
        </w:rPr>
        <w:t>所</w:t>
      </w:r>
      <w:r>
        <w:rPr>
          <w:rFonts w:hint="eastAsia" w:asciiTheme="minorEastAsia" w:hAnsiTheme="minorEastAsia" w:eastAsiaTheme="minorEastAsia" w:cstheme="minorEastAsia"/>
          <w:color w:val="auto"/>
          <w:sz w:val="24"/>
          <w:highlight w:val="none"/>
          <w:lang w:val="en-US" w:eastAsia="zh-CN"/>
        </w:rPr>
        <w:t>制定</w:t>
      </w:r>
      <w:r>
        <w:rPr>
          <w:rFonts w:hint="eastAsia" w:asciiTheme="minorEastAsia" w:hAnsiTheme="minorEastAsia" w:eastAsiaTheme="minorEastAsia" w:cstheme="minorEastAsia"/>
          <w:color w:val="auto"/>
          <w:sz w:val="24"/>
          <w:highlight w:val="none"/>
          <w:lang w:eastAsia="zh-CN"/>
        </w:rPr>
        <w:t>的经典名方、经验方、中成药及其常规临床应用方案，均不涉及任何需要授权使用的专利技术。所有内容均为公开的医药学知识、临床实践经验或已上市药品的说明书信息，可供使用者自由参考与应用。</w:t>
      </w:r>
    </w:p>
    <w:p w14:paraId="2AB72B7F">
      <w:pPr>
        <w:widowControl/>
        <w:spacing w:line="360" w:lineRule="auto"/>
        <w:ind w:firstLine="480"/>
        <w:jc w:val="both"/>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lang w:val="en-US" w:eastAsia="zh-CN"/>
        </w:rPr>
        <w:t xml:space="preserve">4.3 </w:t>
      </w:r>
      <w:r>
        <w:rPr>
          <w:rFonts w:hint="eastAsia" w:asciiTheme="minorEastAsia" w:hAnsiTheme="minorEastAsia" w:eastAsiaTheme="minorEastAsia" w:cstheme="minorEastAsia"/>
          <w:b/>
          <w:bCs/>
          <w:color w:val="auto"/>
          <w:sz w:val="24"/>
          <w:highlight w:val="none"/>
        </w:rPr>
        <w:t>修订标准应说明新旧标准水平的对比情况</w:t>
      </w:r>
    </w:p>
    <w:p w14:paraId="70A4624E">
      <w:pPr>
        <w:widowControl/>
        <w:spacing w:line="360" w:lineRule="auto"/>
        <w:ind w:firstLine="480"/>
        <w:jc w:val="both"/>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eastAsia="zh-CN"/>
        </w:rPr>
        <w:t>本标准为首次制定，不涉及废止或代替现有标准。</w:t>
      </w:r>
    </w:p>
    <w:p w14:paraId="0FEDFD76">
      <w:pPr>
        <w:widowControl/>
        <w:spacing w:line="360" w:lineRule="auto"/>
        <w:ind w:firstLine="480"/>
        <w:jc w:val="both"/>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五、主要试验、验证及试行结果</w:t>
      </w:r>
    </w:p>
    <w:p w14:paraId="17F8995C">
      <w:pPr>
        <w:widowControl/>
        <w:spacing w:line="360" w:lineRule="auto"/>
        <w:ind w:firstLine="480"/>
        <w:jc w:val="both"/>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本规范所制定的相关药物临床应用效果，基于多中心临床验证、临床试行实践及专家丰富诊疗经验形成。规范推荐的中药复方（如</w:t>
      </w:r>
      <w:r>
        <w:rPr>
          <w:rFonts w:hint="eastAsia" w:asciiTheme="minorEastAsia" w:hAnsiTheme="minorEastAsia" w:eastAsiaTheme="minorEastAsia" w:cstheme="minorEastAsia"/>
          <w:color w:val="auto"/>
          <w:sz w:val="24"/>
          <w:highlight w:val="none"/>
          <w:lang w:val="en-US" w:eastAsia="zh-CN"/>
        </w:rPr>
        <w:t>生脉散</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补阳还五汤</w:t>
      </w:r>
      <w:r>
        <w:rPr>
          <w:rFonts w:hint="eastAsia" w:asciiTheme="minorEastAsia" w:hAnsiTheme="minorEastAsia" w:eastAsiaTheme="minorEastAsia" w:cstheme="minorEastAsia"/>
          <w:color w:val="auto"/>
          <w:sz w:val="24"/>
          <w:highlight w:val="none"/>
        </w:rPr>
        <w:t>等）、中成药（如</w:t>
      </w:r>
      <w:r>
        <w:rPr>
          <w:rFonts w:hint="eastAsia" w:asciiTheme="minorEastAsia" w:hAnsiTheme="minorEastAsia" w:eastAsiaTheme="minorEastAsia" w:cstheme="minorEastAsia"/>
          <w:color w:val="auto"/>
          <w:sz w:val="24"/>
          <w:highlight w:val="none"/>
          <w:lang w:val="en-US" w:eastAsia="zh-CN"/>
        </w:rPr>
        <w:t>丹蒌片</w:t>
      </w:r>
      <w:r>
        <w:rPr>
          <w:rFonts w:hint="eastAsia" w:asciiTheme="minorEastAsia" w:hAnsiTheme="minorEastAsia" w:eastAsiaTheme="minorEastAsia" w:cstheme="minorEastAsia"/>
          <w:color w:val="auto"/>
          <w:sz w:val="24"/>
          <w:highlight w:val="none"/>
        </w:rPr>
        <w:t>、芪参益气滴丸等）</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lang w:val="en-US" w:eastAsia="zh-CN"/>
        </w:rPr>
        <w:t>中药静脉制剂（银杏叶提取物注射液，注射用益气复脉等）</w:t>
      </w:r>
      <w:r>
        <w:rPr>
          <w:rFonts w:hint="eastAsia" w:asciiTheme="minorEastAsia" w:hAnsiTheme="minorEastAsia" w:eastAsiaTheme="minorEastAsia" w:cstheme="minorEastAsia"/>
          <w:color w:val="auto"/>
          <w:sz w:val="24"/>
          <w:highlight w:val="none"/>
        </w:rPr>
        <w:t>已在多家医疗机构开展临床试行与验证，显示出明显疗效，可有效改善血管衰老患者头晕、乏力、肢体麻木等临床症状；同时，相关临床验证结果表明，上述药物对血管衰老相关指标存在明确影响，可改善血管弹性、调节血流动力学参数、降低血管炎症相关因子水平。此外，</w:t>
      </w:r>
      <w:r>
        <w:rPr>
          <w:rFonts w:hint="eastAsia" w:asciiTheme="minorEastAsia" w:hAnsiTheme="minorEastAsia" w:eastAsiaTheme="minorEastAsia" w:cstheme="minorEastAsia"/>
          <w:color w:val="auto"/>
          <w:sz w:val="24"/>
          <w:highlight w:val="none"/>
          <w:lang w:val="en-US" w:eastAsia="zh-CN"/>
        </w:rPr>
        <w:t>制定的</w:t>
      </w:r>
      <w:r>
        <w:rPr>
          <w:rFonts w:hint="eastAsia" w:asciiTheme="minorEastAsia" w:hAnsiTheme="minorEastAsia" w:eastAsiaTheme="minorEastAsia" w:cstheme="minorEastAsia"/>
          <w:color w:val="auto"/>
          <w:sz w:val="24"/>
          <w:highlight w:val="none"/>
        </w:rPr>
        <w:t>中药静脉制剂在缺血性血管疾病合并血管衰老患者中的临床应用，已有相关临床研究数据支持其有效性与安全性，为规范内容的临床落地提供了坚实依据。</w:t>
      </w:r>
    </w:p>
    <w:p w14:paraId="1F2104C7">
      <w:pPr>
        <w:widowControl/>
        <w:spacing w:line="360" w:lineRule="auto"/>
        <w:ind w:firstLine="480"/>
        <w:jc w:val="both"/>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六、采用国际标准或国外先进标准的情况</w:t>
      </w:r>
    </w:p>
    <w:p w14:paraId="317255AD">
      <w:pPr>
        <w:widowControl/>
        <w:spacing w:line="360" w:lineRule="auto"/>
        <w:ind w:firstLine="480"/>
        <w:jc w:val="both"/>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本规范在制定过程中，注重借鉴国际先进研究成果以提升内容的科学性与国际兼容性，其中部分内容参照了中国衰老标志物研究联合体发布的国际共识文件《A framework of biomarkers for vascular aging: a consensus statement by the Aging Biomarker Consortium》。项目组重点参考该文件中关于血管衰老生物标志物的框架体系与核心界定标准，结合中医诊疗特色与国内临床实践实际，对血管衰老相关评估指标的筛选与界定进行优化完善，确保规范中相关内容既契合国际前沿研究方向，又符合我国中医临床应用需求。</w:t>
      </w:r>
    </w:p>
    <w:p w14:paraId="46233F02">
      <w:pPr>
        <w:widowControl/>
        <w:spacing w:line="360" w:lineRule="auto"/>
        <w:ind w:firstLine="480"/>
        <w:jc w:val="both"/>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七、与现行法律法规、强制性标准和其他有关标准的关系（推荐性国家标准、推荐性行业标准、团体标准、国际标准和国外先进标准等）。</w:t>
      </w:r>
    </w:p>
    <w:p w14:paraId="40DC9D75">
      <w:pPr>
        <w:widowControl/>
        <w:spacing w:line="360" w:lineRule="auto"/>
        <w:ind w:firstLine="480"/>
        <w:jc w:val="both"/>
        <w:rPr>
          <w:rFonts w:hint="default" w:ascii="Times New Roman" w:hAnsi="Times New Roman" w:cs="Times New Roman" w:eastAsiaTheme="minorEastAsia"/>
          <w:b w:val="0"/>
          <w:bCs w:val="0"/>
          <w:color w:val="auto"/>
          <w:sz w:val="24"/>
          <w:highlight w:val="none"/>
        </w:rPr>
      </w:pPr>
      <w:r>
        <w:rPr>
          <w:rFonts w:hint="default" w:ascii="Times New Roman" w:hAnsi="Times New Roman" w:cs="Times New Roman" w:eastAsiaTheme="minorEastAsia"/>
          <w:b w:val="0"/>
          <w:bCs w:val="0"/>
          <w:color w:val="auto"/>
          <w:sz w:val="24"/>
          <w:highlight w:val="none"/>
        </w:rPr>
        <w:t>本规范的制定全程严格遵循现行法律法规要求，与强制性标准保持一致，同时主动衔接各类推荐性国家标准、行业标准、团体标准及相关国际与国外先进标准，不存在冲突情形。具体而言，编制过程中严格遵循GB/T1.1—2020《标准化工作导则第1部分：标准化文件的结构和起草规则》的通用要求，确保文件结构与起草逻辑合规；核心内容均依照T/CITS562-2025《血管衰老标志物临床应用指南》、GB/T16751.1-2023《中医临床诊疗术语第1部分：疾病》、GB/T16751.2-2021《中医临床诊疗术语第2部分：证候》、GB/T16751.3-2023《中医临床诊疗术语第3部分：治法》、GB/T42467.1-2023《中医临床名词术语第1部分：内科学》、《中国医典》、T/CACM1362—2021《中药饮片临床应用规范》、《中华人民共和国药典2025》及《国家基本医疗保险、生育保险和工伤保险药品目录（2025年）》等相关标准与权威文件的要求进行制定，实现了与现有相关标准的协调统一，未与其他国家标准存在冲突。</w:t>
      </w:r>
    </w:p>
    <w:p w14:paraId="5B34FCE1">
      <w:pPr>
        <w:widowControl/>
        <w:spacing w:line="360" w:lineRule="auto"/>
        <w:ind w:firstLine="480"/>
        <w:jc w:val="both"/>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八、重大分歧或重难点的处理经过和依据</w:t>
      </w:r>
    </w:p>
    <w:p w14:paraId="75732A3A">
      <w:pPr>
        <w:widowControl/>
        <w:spacing w:line="360" w:lineRule="auto"/>
        <w:ind w:firstLine="480"/>
        <w:jc w:val="both"/>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本共识在编制过程中，无重大分歧意见。</w:t>
      </w:r>
    </w:p>
    <w:p w14:paraId="2E418FC2">
      <w:pPr>
        <w:widowControl/>
        <w:spacing w:line="360" w:lineRule="auto"/>
        <w:ind w:firstLine="480"/>
        <w:jc w:val="both"/>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九、作为强制性标准或推荐性标准的建议</w:t>
      </w:r>
    </w:p>
    <w:p w14:paraId="038E2182">
      <w:pPr>
        <w:widowControl/>
        <w:spacing w:line="360" w:lineRule="auto"/>
        <w:ind w:firstLine="480"/>
        <w:jc w:val="both"/>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sz w:val="24"/>
          <w:highlight w:val="none"/>
        </w:rPr>
        <w:t>建议作为团体标准，供各级、中西医结合医疗机构参考使用。</w:t>
      </w:r>
    </w:p>
    <w:p w14:paraId="46578E93">
      <w:pPr>
        <w:widowControl/>
        <w:spacing w:line="360" w:lineRule="auto"/>
        <w:ind w:firstLine="480"/>
        <w:jc w:val="both"/>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十、贯彻该标准的要求、措施建议及预期效果</w:t>
      </w:r>
    </w:p>
    <w:p w14:paraId="42DB4BD5">
      <w:pPr>
        <w:widowControl/>
        <w:spacing w:line="360" w:lineRule="auto"/>
        <w:ind w:firstLine="480"/>
        <w:jc w:val="both"/>
        <w:rPr>
          <w:rFonts w:hint="eastAsia" w:asciiTheme="minorEastAsia" w:hAnsiTheme="minorEastAsia" w:eastAsiaTheme="minorEastAsia" w:cstheme="minorEastAsia"/>
          <w:b/>
          <w:bCs/>
          <w:color w:val="auto"/>
          <w:sz w:val="24"/>
          <w:highlight w:val="none"/>
          <w:lang w:val="en-US" w:eastAsia="zh-CN"/>
        </w:rPr>
      </w:pPr>
      <w:r>
        <w:rPr>
          <w:rFonts w:hint="eastAsia" w:asciiTheme="minorEastAsia" w:hAnsiTheme="minorEastAsia" w:eastAsiaTheme="minorEastAsia" w:cstheme="minorEastAsia"/>
          <w:b/>
          <w:bCs/>
          <w:color w:val="auto"/>
          <w:sz w:val="24"/>
          <w:highlight w:val="none"/>
          <w:lang w:val="en-US" w:eastAsia="zh-CN"/>
        </w:rPr>
        <w:t>10.1 贯彻落实方面</w:t>
      </w:r>
    </w:p>
    <w:p w14:paraId="10CF4993">
      <w:pPr>
        <w:widowControl/>
        <w:spacing w:line="360" w:lineRule="auto"/>
        <w:ind w:firstLine="480"/>
        <w:jc w:val="both"/>
        <w:rPr>
          <w:rFonts w:hint="eastAsia" w:ascii="Times New Roman" w:hAnsi="Times New Roman" w:cs="Times New Roman" w:eastAsiaTheme="minorEastAsia"/>
          <w:b w:val="0"/>
          <w:bCs w:val="0"/>
          <w:color w:val="auto"/>
          <w:sz w:val="24"/>
          <w:highlight w:val="none"/>
          <w:lang w:val="en-US" w:eastAsia="zh-CN"/>
        </w:rPr>
      </w:pPr>
      <w:r>
        <w:rPr>
          <w:rFonts w:hint="eastAsia" w:ascii="Times New Roman" w:hAnsi="Times New Roman" w:cs="Times New Roman" w:eastAsiaTheme="minorEastAsia"/>
          <w:b w:val="0"/>
          <w:bCs w:val="0"/>
          <w:color w:val="auto"/>
          <w:sz w:val="24"/>
          <w:highlight w:val="none"/>
          <w:lang w:val="en-US" w:eastAsia="zh-CN"/>
        </w:rPr>
        <w:t>推动各级中医、中西医结合医疗机构及相关科研单位将本标准纳入日常诊疗与研究工作核心范畴；开展分层分类专项培训，针对不同岗位医务人员精准解读标准核心内容、实操要求及应用要点，确保全员熟练掌握；建立长效实施反馈机制，常态化收集临床应用中的问题、优化建议及实践案例，为标准后续修订完善提供实践依据。</w:t>
      </w:r>
    </w:p>
    <w:p w14:paraId="09112C4A">
      <w:pPr>
        <w:widowControl/>
        <w:spacing w:line="360" w:lineRule="auto"/>
        <w:ind w:firstLine="480"/>
        <w:jc w:val="both"/>
        <w:rPr>
          <w:rFonts w:hint="eastAsia" w:asciiTheme="minorEastAsia" w:hAnsiTheme="minorEastAsia" w:eastAsiaTheme="minorEastAsia" w:cstheme="minorEastAsia"/>
          <w:b/>
          <w:bCs/>
          <w:color w:val="auto"/>
          <w:sz w:val="24"/>
          <w:highlight w:val="none"/>
          <w:lang w:val="en-US" w:eastAsia="zh-CN"/>
        </w:rPr>
      </w:pPr>
      <w:r>
        <w:rPr>
          <w:rFonts w:hint="eastAsia" w:asciiTheme="minorEastAsia" w:hAnsiTheme="minorEastAsia" w:eastAsiaTheme="minorEastAsia" w:cstheme="minorEastAsia"/>
          <w:b/>
          <w:bCs/>
          <w:color w:val="auto"/>
          <w:sz w:val="24"/>
          <w:highlight w:val="none"/>
          <w:lang w:val="en-US" w:eastAsia="zh-CN"/>
        </w:rPr>
        <w:t>10.2 宣传推广方面</w:t>
      </w:r>
    </w:p>
    <w:p w14:paraId="61648131">
      <w:pPr>
        <w:widowControl/>
        <w:spacing w:line="360" w:lineRule="auto"/>
        <w:ind w:firstLine="480"/>
        <w:jc w:val="both"/>
        <w:rPr>
          <w:rFonts w:hint="default" w:ascii="Times New Roman" w:hAnsi="Times New Roman" w:cs="Times New Roman" w:eastAsiaTheme="minorEastAsia"/>
          <w:b w:val="0"/>
          <w:bCs w:val="0"/>
          <w:color w:val="auto"/>
          <w:sz w:val="24"/>
          <w:highlight w:val="none"/>
          <w:lang w:val="en-US" w:eastAsia="zh-CN"/>
        </w:rPr>
      </w:pPr>
      <w:r>
        <w:rPr>
          <w:rFonts w:hint="default" w:ascii="Times New Roman" w:hAnsi="Times New Roman" w:cs="Times New Roman" w:eastAsiaTheme="minorEastAsia"/>
          <w:b w:val="0"/>
          <w:bCs w:val="0"/>
          <w:color w:val="auto"/>
          <w:sz w:val="24"/>
          <w:highlight w:val="none"/>
          <w:lang w:val="en-US" w:eastAsia="zh-CN"/>
        </w:rPr>
        <w:t>采用</w:t>
      </w:r>
      <w:r>
        <w:rPr>
          <w:rFonts w:hint="eastAsia" w:ascii="宋体" w:hAnsi="宋体" w:eastAsia="宋体" w:cs="宋体"/>
          <w:b w:val="0"/>
          <w:bCs w:val="0"/>
          <w:color w:val="auto"/>
          <w:sz w:val="24"/>
          <w:highlight w:val="none"/>
          <w:lang w:val="en-US" w:eastAsia="zh-CN"/>
        </w:rPr>
        <w:t>“传统媒体+新型媒体”</w:t>
      </w:r>
      <w:r>
        <w:rPr>
          <w:rFonts w:hint="default" w:ascii="Times New Roman" w:hAnsi="Times New Roman" w:cs="Times New Roman" w:eastAsiaTheme="minorEastAsia"/>
          <w:b w:val="0"/>
          <w:bCs w:val="0"/>
          <w:color w:val="auto"/>
          <w:sz w:val="24"/>
          <w:highlight w:val="none"/>
          <w:lang w:val="en-US" w:eastAsia="zh-CN"/>
        </w:rPr>
        <w:t>融合传播模式扩大标准影响力。传统纸质媒体层面，编制标准解读手册、实操指南等资料，通过行业核心学术期刊刊发标准全文及解读文章，面向医疗机构、行业协会、科研院校等单位定向派发；新型媒体层面，依托行业官方微信公众号、视频号、专业医学平台等渠道，发布标准全文、解读视频、专家讲座直播、临床应用案例等内容，提升传播效率与覆盖面。</w:t>
      </w:r>
    </w:p>
    <w:p w14:paraId="4811A137">
      <w:pPr>
        <w:widowControl/>
        <w:spacing w:line="360" w:lineRule="auto"/>
        <w:ind w:firstLine="480"/>
        <w:jc w:val="both"/>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十一、废止或代替现行相关标准的建议。</w:t>
      </w:r>
    </w:p>
    <w:p w14:paraId="5322C636">
      <w:pPr>
        <w:widowControl/>
        <w:spacing w:line="360" w:lineRule="auto"/>
        <w:ind w:firstLine="480"/>
        <w:jc w:val="both"/>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本标准为首次制定，不涉及废止或代替现有标准。</w:t>
      </w:r>
    </w:p>
    <w:p w14:paraId="2C749490">
      <w:pPr>
        <w:widowControl/>
        <w:spacing w:line="360" w:lineRule="auto"/>
        <w:ind w:firstLine="480"/>
        <w:jc w:val="both"/>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十二、其他应予说明的事项。</w:t>
      </w:r>
    </w:p>
    <w:p w14:paraId="2C7D19E1">
      <w:pPr>
        <w:widowControl/>
        <w:spacing w:line="360" w:lineRule="auto"/>
        <w:ind w:firstLine="480"/>
        <w:jc w:val="both"/>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无</w:t>
      </w:r>
    </w:p>
    <w:p w14:paraId="180848BF">
      <w:pPr>
        <w:widowControl/>
        <w:ind w:left="0" w:leftChars="0" w:firstLine="0" w:firstLineChars="0"/>
        <w:jc w:val="both"/>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00"/>
      </w:pPr>
      <w:r>
        <w:separator/>
      </w:r>
    </w:p>
  </w:endnote>
  <w:endnote w:type="continuationSeparator" w:id="1">
    <w:p>
      <w:pPr>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imes New Roman Regular">
    <w:altName w:val="Times New Roman"/>
    <w:panose1 w:val="02020503050405090304"/>
    <w:charset w:val="00"/>
    <w:family w:val="auto"/>
    <w:pitch w:val="default"/>
    <w:sig w:usb0="00000000" w:usb1="00000000" w:usb2="00000001" w:usb3="00000000" w:csb0="400001BF" w:csb1="DFF70000"/>
  </w:font>
  <w:font w:name="Segoe UI">
    <w:panose1 w:val="020B0502040204020203"/>
    <w:charset w:val="00"/>
    <w:family w:val="auto"/>
    <w:pitch w:val="default"/>
    <w:sig w:usb0="E4002EFF" w:usb1="C000E47F"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00"/>
      </w:pPr>
      <w:r>
        <w:separator/>
      </w:r>
    </w:p>
  </w:footnote>
  <w:footnote w:type="continuationSeparator" w:id="1">
    <w:p>
      <w:pPr>
        <w:ind w:firstLine="60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5ZDQzMmM1NGQ5NTBjMjE5MWVkZjVmNTQ4MWU2MjkifQ=="/>
  </w:docVars>
  <w:rsids>
    <w:rsidRoot w:val="76F57A64"/>
    <w:rsid w:val="00252514"/>
    <w:rsid w:val="03FB485E"/>
    <w:rsid w:val="04A06B5A"/>
    <w:rsid w:val="0A050D79"/>
    <w:rsid w:val="0B353632"/>
    <w:rsid w:val="0D273A5A"/>
    <w:rsid w:val="116A0A75"/>
    <w:rsid w:val="11A01F9C"/>
    <w:rsid w:val="13460BA8"/>
    <w:rsid w:val="186F5C99"/>
    <w:rsid w:val="1A4E2D5C"/>
    <w:rsid w:val="1D94745E"/>
    <w:rsid w:val="1EB07464"/>
    <w:rsid w:val="1FD06747"/>
    <w:rsid w:val="227930C6"/>
    <w:rsid w:val="22F15352"/>
    <w:rsid w:val="25916A1D"/>
    <w:rsid w:val="25CA72B2"/>
    <w:rsid w:val="291467E9"/>
    <w:rsid w:val="294750DB"/>
    <w:rsid w:val="2B4D2931"/>
    <w:rsid w:val="2D2643A2"/>
    <w:rsid w:val="2DD119F9"/>
    <w:rsid w:val="2FF77A2F"/>
    <w:rsid w:val="34FE071B"/>
    <w:rsid w:val="35AC13C4"/>
    <w:rsid w:val="373D5526"/>
    <w:rsid w:val="38A53668"/>
    <w:rsid w:val="393A6A5F"/>
    <w:rsid w:val="3C037482"/>
    <w:rsid w:val="3CF764F2"/>
    <w:rsid w:val="42616C1E"/>
    <w:rsid w:val="481608EC"/>
    <w:rsid w:val="4A623F3E"/>
    <w:rsid w:val="4BC1231F"/>
    <w:rsid w:val="4C2B6930"/>
    <w:rsid w:val="4E802F63"/>
    <w:rsid w:val="52584ECC"/>
    <w:rsid w:val="541C54BE"/>
    <w:rsid w:val="5503669C"/>
    <w:rsid w:val="5A20321E"/>
    <w:rsid w:val="5CF3727D"/>
    <w:rsid w:val="60944CF0"/>
    <w:rsid w:val="61D513C0"/>
    <w:rsid w:val="6A9A31A7"/>
    <w:rsid w:val="71186201"/>
    <w:rsid w:val="71E33685"/>
    <w:rsid w:val="75A4312B"/>
    <w:rsid w:val="75E672A0"/>
    <w:rsid w:val="76F57A64"/>
    <w:rsid w:val="77173EC8"/>
    <w:rsid w:val="78EB2CFA"/>
    <w:rsid w:val="792C5912"/>
    <w:rsid w:val="7A0110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880" w:firstLineChars="200"/>
      <w:jc w:val="both"/>
    </w:pPr>
    <w:rPr>
      <w:rFonts w:ascii="Times New Roman" w:hAnsi="Times New Roman" w:eastAsia="宋体" w:cstheme="minorBidi"/>
      <w:kern w:val="2"/>
      <w:sz w:val="30"/>
      <w:szCs w:val="24"/>
      <w:lang w:val="en-US" w:eastAsia="zh-CN" w:bidi="ar-SA"/>
    </w:rPr>
  </w:style>
  <w:style w:type="character" w:default="1" w:styleId="4">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Strong"/>
    <w:basedOn w:val="4"/>
    <w:qFormat/>
    <w:uiPriority w:val="22"/>
    <w:rPr>
      <w:b/>
    </w:rPr>
  </w:style>
  <w:style w:type="paragraph" w:customStyle="1" w:styleId="6">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character" w:customStyle="1" w:styleId="7">
    <w:name w:val="fontstyle01"/>
    <w:qFormat/>
    <w:uiPriority w:val="0"/>
    <w:rPr>
      <w:rFonts w:hint="eastAsia" w:ascii="仿宋" w:hAnsi="仿宋" w:eastAsia="仿宋"/>
      <w:color w:val="000000"/>
      <w:sz w:val="30"/>
      <w:szCs w:val="30"/>
    </w:rPr>
  </w:style>
  <w:style w:type="paragraph" w:customStyle="1" w:styleId="8">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table" w:customStyle="1" w:styleId="9">
    <w:name w:val="三线表"/>
    <w:basedOn w:val="2"/>
    <w:qFormat/>
    <w:uiPriority w:val="99"/>
    <w:tblPr>
      <w:tblBorders>
        <w:top w:val="single" w:color="auto" w:sz="12" w:space="0"/>
        <w:bottom w:val="single" w:color="auto" w:sz="12" w:space="0"/>
      </w:tblBorders>
    </w:tblPr>
    <w:tblStylePr w:type="firstRow">
      <w:pPr>
        <w:wordWrap/>
        <w:spacing w:line="360" w:lineRule="exact"/>
        <w:jc w:val="center"/>
      </w:pPr>
      <w:rPr>
        <w:rFonts w:ascii="Times New Roman" w:hAnsi="Times New Roman" w:eastAsia="宋体"/>
      </w:rPr>
      <w:tcPr>
        <w:tcBorders>
          <w:top w:val="single" w:color="auto" w:sz="12" w:space="0"/>
          <w:left w:val="nil"/>
          <w:bottom w:val="single" w:color="auto" w:sz="6" w:space="0"/>
          <w:right w:val="nil"/>
          <w:insideH w:val="nil"/>
          <w:insideV w:val="nil"/>
          <w:tl2br w:val="nil"/>
          <w:tr2bl w:val="nil"/>
        </w:tcBorders>
      </w:tcPr>
    </w:tblStylePr>
  </w:style>
  <w:style w:type="paragraph" w:styleId="10">
    <w:name w:val="List Paragraph"/>
    <w:basedOn w:val="1"/>
    <w:unhideWhenUsed/>
    <w:qFormat/>
    <w:uiPriority w:val="99"/>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2168</Words>
  <Characters>2222</Characters>
  <Lines>0</Lines>
  <Paragraphs>0</Paragraphs>
  <TotalTime>0</TotalTime>
  <ScaleCrop>false</ScaleCrop>
  <LinksUpToDate>false</LinksUpToDate>
  <CharactersWithSpaces>2235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2024-10-28T07:06:00Z</dcterms:created>
  <dc:creator>W HY</dc:creator>
  <cp:lastModifiedBy>南风北雨</cp:lastModifiedBy>
  <dcterms:modified xsi:type="dcterms:W3CDTF">2025-12-30T11:19:53Z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F05E2660A992450CB2ED2F764C3F11BA_13</vt:lpwstr>
  </property>
  <property fmtid="{D5CDD505-2E9C-101B-9397-08002B2CF9AE}" pid="4" name="KSOTemplateDocerSaveRecord">
    <vt:lpwstr>eyJoZGlkIjoiYTE0YTk4MzI0MmY3YzEzYWZiZTgwZDNjNWVkNGQ0ZjMiLCJ1c2VySWQiOiI2ODU3NzAzMjYifQ==</vt:lpwstr>
  </property>
</Properties>
</file>