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86CE36">
      <w:pPr>
        <w:autoSpaceDE w:val="0"/>
        <w:autoSpaceDN w:val="0"/>
        <w:adjustRightInd w:val="0"/>
        <w:spacing w:line="360" w:lineRule="auto"/>
        <w:jc w:val="center"/>
        <w:rPr>
          <w:rFonts w:hint="default" w:ascii="Times New Roman" w:hAnsi="Times New Roman" w:eastAsia="宋体" w:cs="Times New Roman"/>
          <w:b/>
          <w:bCs/>
          <w:sz w:val="32"/>
          <w:szCs w:val="32"/>
          <w:lang w:val="fr-FR"/>
        </w:rPr>
      </w:pPr>
      <w:r>
        <w:rPr>
          <w:rFonts w:hint="default" w:ascii="Times New Roman" w:hAnsi="Times New Roman" w:eastAsia="宋体" w:cs="Times New Roman"/>
          <w:b/>
          <w:bCs/>
          <w:sz w:val="32"/>
          <w:szCs w:val="32"/>
        </w:rPr>
        <w:t>《</w:t>
      </w:r>
      <w:bookmarkStart w:id="0" w:name="OLE_LINK2"/>
      <w:r>
        <w:rPr>
          <w:rFonts w:hint="default" w:ascii="Times New Roman" w:hAnsi="Times New Roman" w:eastAsia="宋体" w:cs="Times New Roman"/>
          <w:b/>
          <w:bCs/>
          <w:sz w:val="32"/>
          <w:szCs w:val="32"/>
        </w:rPr>
        <w:t>牙科手术显微镜全生命周期管理规范</w:t>
      </w:r>
      <w:bookmarkEnd w:id="0"/>
      <w:r>
        <w:rPr>
          <w:rFonts w:hint="default" w:ascii="Times New Roman" w:hAnsi="Times New Roman" w:eastAsia="宋体" w:cs="Times New Roman"/>
          <w:b/>
          <w:bCs/>
          <w:sz w:val="32"/>
          <w:szCs w:val="32"/>
        </w:rPr>
        <w:t>》编制说明</w:t>
      </w:r>
    </w:p>
    <w:p w14:paraId="0056B242">
      <w:pPr>
        <w:autoSpaceDE w:val="0"/>
        <w:autoSpaceDN w:val="0"/>
        <w:adjustRightInd w:val="0"/>
        <w:spacing w:line="36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（征求意见稿）</w:t>
      </w:r>
    </w:p>
    <w:p w14:paraId="59865A73">
      <w:pPr>
        <w:autoSpaceDE w:val="0"/>
        <w:autoSpaceDN w:val="0"/>
        <w:adjustRightInd w:val="0"/>
        <w:spacing w:line="360" w:lineRule="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一、工作简况（规范性）</w:t>
      </w:r>
    </w:p>
    <w:p w14:paraId="5203CF95">
      <w:pPr>
        <w:autoSpaceDE w:val="0"/>
        <w:autoSpaceDN w:val="0"/>
        <w:adjustRightInd w:val="0"/>
        <w:spacing w:line="360" w:lineRule="auto"/>
        <w:ind w:firstLine="420" w:firstLineChars="0"/>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 任务来源</w:t>
      </w:r>
    </w:p>
    <w:p w14:paraId="3A439D41">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本项目是根据中国产学研合作促进会“关于征集2025年团体标准制定项目的通知”（产学研函字</w:t>
      </w:r>
      <w:r>
        <w:rPr>
          <w:rFonts w:hint="default" w:ascii="Times New Roman" w:hAnsi="Times New Roman" w:eastAsia="宋体" w:cs="Times New Roman"/>
          <w:sz w:val="24"/>
          <w:szCs w:val="24"/>
          <w:lang w:eastAsia="zh-CN"/>
        </w:rPr>
        <w:t>〔2025〕5号</w:t>
      </w:r>
      <w:r>
        <w:rPr>
          <w:rFonts w:hint="default" w:ascii="Times New Roman" w:hAnsi="Times New Roman" w:eastAsia="宋体" w:cs="Times New Roman"/>
          <w:sz w:val="24"/>
          <w:szCs w:val="24"/>
        </w:rPr>
        <w:t>）进行制定，项目名称“牙科手术显微镜全生命周期管理规范”，本标准由四川大学华西口腔医院提出，中国产学研合作促进会归口，起草牵头单位</w:t>
      </w:r>
      <w:r>
        <w:rPr>
          <w:rFonts w:hint="default" w:ascii="Times New Roman" w:hAnsi="Times New Roman" w:cs="Times New Roman"/>
          <w:sz w:val="24"/>
          <w:szCs w:val="24"/>
          <w:lang w:val="en-US" w:eastAsia="zh-CN"/>
        </w:rPr>
        <w:t>为</w:t>
      </w:r>
      <w:r>
        <w:rPr>
          <w:rFonts w:hint="default" w:ascii="Times New Roman" w:hAnsi="Times New Roman" w:eastAsia="宋体" w:cs="Times New Roman"/>
          <w:sz w:val="24"/>
          <w:szCs w:val="24"/>
        </w:rPr>
        <w:t>四川大学华西口腔医院，计划完成时间为</w:t>
      </w:r>
      <w:r>
        <w:rPr>
          <w:rFonts w:hint="default" w:ascii="Times New Roman" w:hAnsi="Times New Roman" w:eastAsia="宋体" w:cs="Times New Roman"/>
          <w:sz w:val="24"/>
          <w:szCs w:val="24"/>
          <w:lang w:val="en-US" w:eastAsia="zh-CN"/>
        </w:rPr>
        <w:t>2026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月。</w:t>
      </w:r>
    </w:p>
    <w:p w14:paraId="04753D69">
      <w:pPr>
        <w:autoSpaceDE w:val="0"/>
        <w:autoSpaceDN w:val="0"/>
        <w:adjustRightInd w:val="0"/>
        <w:spacing w:line="360" w:lineRule="auto"/>
        <w:ind w:firstLine="420" w:firstLineChars="0"/>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rPr>
        <w:t xml:space="preserve"> </w:t>
      </w:r>
      <w:r>
        <w:rPr>
          <w:rFonts w:hint="default" w:ascii="Times New Roman" w:hAnsi="Times New Roman" w:eastAsia="宋体" w:cs="Times New Roman"/>
          <w:b/>
          <w:bCs/>
          <w:sz w:val="24"/>
          <w:szCs w:val="24"/>
          <w:lang w:val="en-US" w:eastAsia="zh-CN"/>
        </w:rPr>
        <w:t>立项背景</w:t>
      </w:r>
    </w:p>
    <w:p w14:paraId="6617AAF5">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牙科手术显微镜作为口腔精准医疗的核心设备，其价值贯穿于整个医疗服务的全</w:t>
      </w:r>
      <w:r>
        <w:rPr>
          <w:rFonts w:hint="default" w:ascii="Times New Roman" w:hAnsi="Times New Roman" w:eastAsia="宋体" w:cs="Times New Roman"/>
          <w:sz w:val="24"/>
          <w:szCs w:val="24"/>
          <w:lang w:eastAsia="zh-CN"/>
        </w:rPr>
        <w:t>过程。</w:t>
      </w:r>
      <w:r>
        <w:rPr>
          <w:rFonts w:hint="default" w:ascii="Times New Roman" w:hAnsi="Times New Roman" w:cs="Times New Roman"/>
          <w:sz w:val="24"/>
          <w:szCs w:val="24"/>
          <w:lang w:eastAsia="zh-CN"/>
        </w:rPr>
        <w:t>近年来，随着《“健康中国2030”规划纲要》</w:t>
      </w:r>
      <w:r>
        <w:rPr>
          <w:rFonts w:hint="default" w:ascii="Times New Roman" w:hAnsi="Times New Roman" w:eastAsia="宋体" w:cs="Times New Roman"/>
          <w:kern w:val="2"/>
          <w:sz w:val="24"/>
          <w:szCs w:val="24"/>
          <w:lang w:val="en-US" w:eastAsia="zh-CN" w:bidi="ar-SA"/>
        </w:rPr>
        <w:t>的</w:t>
      </w:r>
      <w:r>
        <w:rPr>
          <w:rFonts w:hint="default" w:ascii="Times New Roman" w:hAnsi="Times New Roman" w:cs="Times New Roman"/>
          <w:sz w:val="24"/>
          <w:szCs w:val="24"/>
          <w:lang w:eastAsia="zh-CN"/>
        </w:rPr>
        <w:t>深入推进</w:t>
      </w:r>
      <w:r>
        <w:rPr>
          <w:rFonts w:hint="default" w:ascii="Times New Roman" w:hAnsi="Times New Roman" w:eastAsia="宋体" w:cs="Times New Roman"/>
          <w:kern w:val="2"/>
          <w:sz w:val="24"/>
          <w:szCs w:val="24"/>
          <w:lang w:val="en-US" w:eastAsia="zh-CN" w:bidi="ar-SA"/>
        </w:rPr>
        <w:t>，</w:t>
      </w:r>
      <w:r>
        <w:rPr>
          <w:rFonts w:hint="default" w:ascii="Times New Roman" w:hAnsi="Times New Roman" w:cs="Times New Roman"/>
          <w:sz w:val="24"/>
          <w:szCs w:val="24"/>
          <w:lang w:eastAsia="zh-CN"/>
        </w:rPr>
        <w:t>以及口腔诊疗朝着“精准化、微创化、数字化”方向发展</w:t>
      </w:r>
      <w:r>
        <w:rPr>
          <w:rFonts w:hint="default" w:ascii="Times New Roman" w:hAnsi="Times New Roman" w:eastAsia="宋体" w:cs="Times New Roman"/>
          <w:sz w:val="24"/>
          <w:szCs w:val="24"/>
        </w:rPr>
        <w:t>，牙科手术显微镜已从牙体牙髓科</w:t>
      </w:r>
      <w:r>
        <w:rPr>
          <w:rFonts w:hint="default" w:ascii="Times New Roman" w:hAnsi="Times New Roman" w:eastAsia="宋体" w:cs="Times New Roman"/>
          <w:sz w:val="24"/>
          <w:szCs w:val="24"/>
          <w:lang w:eastAsia="zh-CN"/>
        </w:rPr>
        <w:t>拓展</w:t>
      </w:r>
      <w:r>
        <w:rPr>
          <w:rFonts w:hint="default" w:ascii="Times New Roman" w:hAnsi="Times New Roman" w:eastAsia="宋体" w:cs="Times New Roman"/>
          <w:sz w:val="24"/>
          <w:szCs w:val="24"/>
        </w:rPr>
        <w:t>至牙周、修复、种植、口腔外科等几乎所有口腔临床专科</w:t>
      </w:r>
      <w:r>
        <w:rPr>
          <w:rFonts w:hint="default" w:ascii="Times New Roman" w:hAnsi="Times New Roman" w:eastAsia="宋体" w:cs="Times New Roman"/>
          <w:kern w:val="2"/>
          <w:sz w:val="24"/>
          <w:szCs w:val="24"/>
          <w:lang w:val="en-US" w:eastAsia="zh-CN" w:bidi="ar-SA"/>
        </w:rPr>
        <w:t>领域</w:t>
      </w:r>
      <w:r>
        <w:rPr>
          <w:rFonts w:hint="default" w:ascii="Times New Roman" w:hAnsi="Times New Roman" w:eastAsia="宋体" w:cs="Times New Roman"/>
          <w:sz w:val="24"/>
          <w:szCs w:val="24"/>
        </w:rPr>
        <w:t>，成为提升医疗质量的关键基础设施。为贯彻《医疗器械监督管理条例》及《医疗器械使用质量监督管理办法》的要求，</w:t>
      </w:r>
      <w:r>
        <w:rPr>
          <w:rFonts w:hint="default" w:ascii="Times New Roman" w:hAnsi="Times New Roman" w:cs="Times New Roman"/>
          <w:sz w:val="24"/>
          <w:szCs w:val="24"/>
          <w:lang w:eastAsia="zh-CN"/>
        </w:rPr>
        <w:t>特制定《牙科手术显微镜全生命周期管理规范》团体标准。该标准从规划采购、安装验收、培训使用、维护保障直至报废处置</w:t>
      </w:r>
      <w:r>
        <w:rPr>
          <w:rFonts w:hint="default" w:ascii="Times New Roman" w:hAnsi="Times New Roman" w:eastAsia="宋体" w:cs="Times New Roman"/>
          <w:kern w:val="2"/>
          <w:sz w:val="24"/>
          <w:szCs w:val="24"/>
          <w:lang w:val="en-US" w:eastAsia="zh-CN" w:bidi="ar-SA"/>
        </w:rPr>
        <w:t>等环节</w:t>
      </w:r>
      <w:r>
        <w:rPr>
          <w:rFonts w:hint="default" w:ascii="Times New Roman" w:hAnsi="Times New Roman" w:cs="Times New Roman"/>
          <w:sz w:val="24"/>
          <w:szCs w:val="24"/>
          <w:lang w:eastAsia="zh-CN"/>
        </w:rPr>
        <w:t>进行系统性规范</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提升</w:t>
      </w:r>
      <w:r>
        <w:rPr>
          <w:rFonts w:hint="default" w:ascii="Times New Roman" w:hAnsi="Times New Roman" w:eastAsia="宋体" w:cs="Times New Roman"/>
          <w:sz w:val="24"/>
          <w:szCs w:val="24"/>
        </w:rPr>
        <w:t>设备在整个生命周期内</w:t>
      </w:r>
      <w:r>
        <w:rPr>
          <w:rFonts w:hint="eastAsia" w:ascii="Times New Roman" w:hAnsi="Times New Roman" w:cs="Times New Roman"/>
          <w:sz w:val="24"/>
          <w:szCs w:val="24"/>
          <w:lang w:val="en-US" w:eastAsia="zh-CN"/>
        </w:rPr>
        <w:t>的</w:t>
      </w:r>
      <w:r>
        <w:rPr>
          <w:rFonts w:hint="default" w:ascii="Times New Roman" w:hAnsi="Times New Roman" w:eastAsia="宋体" w:cs="Times New Roman"/>
          <w:sz w:val="24"/>
          <w:szCs w:val="24"/>
        </w:rPr>
        <w:t>性能，实现“安全、有效、精准、经济”的运行目标。</w:t>
      </w:r>
      <w:bookmarkStart w:id="1" w:name="_GoBack"/>
      <w:bookmarkEnd w:id="1"/>
    </w:p>
    <w:p w14:paraId="5A92FBDB">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全生命周期管理作为一种在国际医疗设备管理领域被广泛认可的先进管理理念，其重要性在于保障医疗设备性能稳定、有效控制成本支出、提升医疗服务质量，并确保符合法规与行业标准要求。</w:t>
      </w:r>
      <w:r>
        <w:rPr>
          <w:rFonts w:hint="default" w:ascii="Times New Roman" w:hAnsi="Times New Roman" w:eastAsia="宋体" w:cs="Times New Roman"/>
          <w:sz w:val="24"/>
          <w:szCs w:val="24"/>
        </w:rPr>
        <w:t>它通过对设备从“选型”到“报废”的全过程进行系统性、标准化的统筹优化，实现对设备状态、成本、风险的持续监控与把控。</w:t>
      </w:r>
      <w:r>
        <w:rPr>
          <w:rFonts w:hint="default" w:ascii="Times New Roman" w:hAnsi="Times New Roman" w:cs="Times New Roman"/>
          <w:sz w:val="24"/>
          <w:szCs w:val="24"/>
          <w:lang w:eastAsia="zh-CN"/>
        </w:rPr>
        <w:t>制定本规范的目的在于建立统一、覆盖全周期的管理技术依据，为医疗机构提供科学的管理工具，助力其提升设备使用效率、降低全周期成本、控制医疗风险，最大程度延长设备使用寿命。</w:t>
      </w:r>
    </w:p>
    <w:p w14:paraId="125C2D93">
      <w:pPr>
        <w:autoSpaceDE w:val="0"/>
        <w:autoSpaceDN w:val="0"/>
        <w:adjustRightInd w:val="0"/>
        <w:spacing w:line="360" w:lineRule="auto"/>
        <w:ind w:firstLine="480" w:firstLineChars="200"/>
        <w:rPr>
          <w:rFonts w:hint="default" w:ascii="Times New Roman" w:hAnsi="Times New Roman" w:eastAsia="宋体" w:cs="Times New Roman"/>
          <w:b/>
          <w:bCs/>
          <w:sz w:val="24"/>
          <w:szCs w:val="24"/>
          <w:lang w:eastAsia="zh-CN"/>
        </w:rPr>
      </w:pPr>
      <w:r>
        <w:rPr>
          <w:rFonts w:hint="default" w:ascii="Times New Roman" w:hAnsi="Times New Roman" w:cs="Times New Roman"/>
          <w:sz w:val="24"/>
          <w:szCs w:val="24"/>
          <w:lang w:eastAsia="zh-CN"/>
        </w:rPr>
        <w:t>为应对当前牙科手术显微镜市场存在的“设备操作门槛高”“产品品质参差不齐”以及医疗机构“重采购、轻管理”等行业痛点，</w:t>
      </w:r>
      <w:r>
        <w:rPr>
          <w:rFonts w:hint="default" w:ascii="Times New Roman" w:hAnsi="Times New Roman" w:eastAsia="宋体" w:cs="Times New Roman"/>
          <w:kern w:val="2"/>
          <w:sz w:val="24"/>
          <w:szCs w:val="24"/>
          <w:lang w:val="en-US" w:eastAsia="zh-CN" w:bidi="ar-SA"/>
        </w:rPr>
        <w:t>本标准</w:t>
      </w:r>
      <w:r>
        <w:rPr>
          <w:rFonts w:hint="default" w:ascii="Times New Roman" w:hAnsi="Times New Roman" w:cs="Times New Roman"/>
          <w:sz w:val="24"/>
          <w:szCs w:val="24"/>
          <w:lang w:eastAsia="zh-CN"/>
        </w:rPr>
        <w:t>基于全生命周期管理方法制定。通过充分发挥标准在医疗机构内部管理中的规范、基础和引领作用，增加高质量医疗设备的有效供给，引导医疗器械合理配置与规范使用，全面提升医疗设备管理效能和医疗服务质量安全。</w:t>
      </w:r>
    </w:p>
    <w:p w14:paraId="0AA9A3A7">
      <w:pPr>
        <w:numPr>
          <w:ilvl w:val="0"/>
          <w:numId w:val="0"/>
        </w:numPr>
        <w:autoSpaceDE w:val="0"/>
        <w:autoSpaceDN w:val="0"/>
        <w:adjustRightInd w:val="0"/>
        <w:spacing w:line="360" w:lineRule="auto"/>
        <w:ind w:firstLine="420" w:firstLineChars="0"/>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rPr>
        <w:t xml:space="preserve"> 主要工作过程</w:t>
      </w:r>
    </w:p>
    <w:p w14:paraId="7DFE867F">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起草阶段：2025年5月，四川大学华西口腔医院联合苏州速迈医学科技股份有限公司、贵州大学口腔医院、兰州大学口腔医院、重庆医科大学附属口腔医院、温州医科大学附属口腔医院、首都医科大学附属口腔医院以及四川口腔医院，共同成立团体标准《牙科手术显微镜全生命周期管理规范》制定工作组。在</w:t>
      </w:r>
      <w:r>
        <w:rPr>
          <w:rFonts w:hint="default" w:ascii="Times New Roman" w:hAnsi="Times New Roman" w:eastAsia="宋体" w:cs="Times New Roman"/>
          <w:kern w:val="2"/>
          <w:sz w:val="24"/>
          <w:szCs w:val="24"/>
          <w:lang w:val="en-US" w:eastAsia="zh-CN" w:bidi="ar-SA"/>
        </w:rPr>
        <w:t>进行</w:t>
      </w:r>
      <w:r>
        <w:rPr>
          <w:rFonts w:hint="default" w:ascii="Times New Roman" w:hAnsi="Times New Roman" w:cs="Times New Roman"/>
          <w:sz w:val="24"/>
          <w:szCs w:val="24"/>
          <w:lang w:eastAsia="zh-CN"/>
        </w:rPr>
        <w:t>全面系统研究后，于2025年9月完成该团体标准的初稿。2025年10月11日至10月12日，四川大学华西口腔医院组织召开了团体标准《牙科手术显微镜全生命周期管理规范》研讨会。根据会议意见对标准进行修改完善后，经中国产学研合作促进会审核，于2025年11月形成了该团体标准的征求意见稿及编制说明。</w:t>
      </w:r>
    </w:p>
    <w:p w14:paraId="45E5DB2B">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征求意见阶段：</w:t>
      </w:r>
    </w:p>
    <w:p w14:paraId="080FFAFD">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审查阶段：</w:t>
      </w:r>
    </w:p>
    <w:p w14:paraId="2D4F37A2">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报批阶段：</w:t>
      </w:r>
    </w:p>
    <w:p w14:paraId="00106C79">
      <w:pPr>
        <w:numPr>
          <w:ilvl w:val="0"/>
          <w:numId w:val="0"/>
        </w:numPr>
        <w:autoSpaceDE w:val="0"/>
        <w:autoSpaceDN w:val="0"/>
        <w:adjustRightInd w:val="0"/>
        <w:spacing w:line="360" w:lineRule="auto"/>
        <w:ind w:firstLine="420" w:firstLineChars="0"/>
        <w:outlineLvl w:val="1"/>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4. 主要参加单位和工作组成员所做的工作等</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3242"/>
        <w:gridCol w:w="2412"/>
        <w:gridCol w:w="2712"/>
      </w:tblGrid>
      <w:tr w14:paraId="0289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53" w:type="dxa"/>
            <w:noWrap w:val="0"/>
            <w:vAlign w:val="center"/>
          </w:tcPr>
          <w:p w14:paraId="79659358">
            <w:pPr>
              <w:autoSpaceDE w:val="0"/>
              <w:autoSpaceDN w:val="0"/>
              <w:adjustRightInd w:val="0"/>
              <w:spacing w:line="240" w:lineRule="auto"/>
              <w:jc w:val="center"/>
              <w:rPr>
                <w:rFonts w:hint="default" w:ascii="Times New Roman" w:hAnsi="Times New Roman" w:eastAsia="宋体" w:cs="Times New Roman"/>
                <w:b/>
                <w:bCs/>
                <w:sz w:val="20"/>
                <w:szCs w:val="20"/>
                <w:vertAlign w:val="baseline"/>
                <w:lang w:val="en-US" w:eastAsia="zh-CN"/>
              </w:rPr>
            </w:pPr>
            <w:r>
              <w:rPr>
                <w:rFonts w:hint="default" w:ascii="Times New Roman" w:hAnsi="Times New Roman" w:eastAsia="宋体" w:cs="Times New Roman"/>
                <w:b/>
                <w:bCs/>
                <w:sz w:val="20"/>
                <w:szCs w:val="20"/>
                <w:vertAlign w:val="baseline"/>
                <w:lang w:val="en-US" w:eastAsia="zh-CN"/>
              </w:rPr>
              <w:t>序号</w:t>
            </w:r>
          </w:p>
        </w:tc>
        <w:tc>
          <w:tcPr>
            <w:tcW w:w="3242" w:type="dxa"/>
            <w:noWrap w:val="0"/>
            <w:vAlign w:val="center"/>
          </w:tcPr>
          <w:p w14:paraId="3CA3B0CA">
            <w:pPr>
              <w:autoSpaceDE w:val="0"/>
              <w:autoSpaceDN w:val="0"/>
              <w:adjustRightInd w:val="0"/>
              <w:spacing w:line="240" w:lineRule="auto"/>
              <w:jc w:val="center"/>
              <w:rPr>
                <w:rFonts w:hint="default" w:ascii="Times New Roman" w:hAnsi="Times New Roman" w:eastAsia="宋体" w:cs="Times New Roman"/>
                <w:b/>
                <w:bCs/>
                <w:sz w:val="20"/>
                <w:szCs w:val="20"/>
                <w:vertAlign w:val="baseline"/>
                <w:lang w:val="en-US" w:eastAsia="zh-CN"/>
              </w:rPr>
            </w:pPr>
            <w:r>
              <w:rPr>
                <w:rFonts w:hint="default" w:ascii="Times New Roman" w:hAnsi="Times New Roman" w:eastAsia="宋体" w:cs="Times New Roman"/>
                <w:b/>
                <w:bCs/>
                <w:sz w:val="20"/>
                <w:szCs w:val="20"/>
                <w:vertAlign w:val="baseline"/>
                <w:lang w:val="en-US" w:eastAsia="zh-CN"/>
              </w:rPr>
              <w:t>单位名称</w:t>
            </w:r>
          </w:p>
        </w:tc>
        <w:tc>
          <w:tcPr>
            <w:tcW w:w="2412" w:type="dxa"/>
            <w:noWrap w:val="0"/>
            <w:vAlign w:val="center"/>
          </w:tcPr>
          <w:p w14:paraId="780E0420">
            <w:pPr>
              <w:autoSpaceDE w:val="0"/>
              <w:autoSpaceDN w:val="0"/>
              <w:adjustRightInd w:val="0"/>
              <w:spacing w:line="240" w:lineRule="auto"/>
              <w:jc w:val="center"/>
              <w:rPr>
                <w:rFonts w:hint="default" w:ascii="Times New Roman" w:hAnsi="Times New Roman" w:eastAsia="宋体" w:cs="Times New Roman"/>
                <w:b/>
                <w:bCs/>
                <w:sz w:val="20"/>
                <w:szCs w:val="20"/>
                <w:vertAlign w:val="baseline"/>
                <w:lang w:val="en-US" w:eastAsia="zh-CN"/>
              </w:rPr>
            </w:pPr>
            <w:r>
              <w:rPr>
                <w:rFonts w:hint="default" w:ascii="Times New Roman" w:hAnsi="Times New Roman" w:eastAsia="宋体" w:cs="Times New Roman"/>
                <w:b/>
                <w:bCs/>
                <w:sz w:val="20"/>
                <w:szCs w:val="20"/>
                <w:vertAlign w:val="baseline"/>
                <w:lang w:val="en-US" w:eastAsia="zh-CN"/>
              </w:rPr>
              <w:t>参编人员</w:t>
            </w:r>
          </w:p>
        </w:tc>
        <w:tc>
          <w:tcPr>
            <w:tcW w:w="2712" w:type="dxa"/>
            <w:noWrap w:val="0"/>
            <w:vAlign w:val="center"/>
          </w:tcPr>
          <w:p w14:paraId="2BA1BD1E">
            <w:pPr>
              <w:autoSpaceDE w:val="0"/>
              <w:autoSpaceDN w:val="0"/>
              <w:adjustRightInd w:val="0"/>
              <w:spacing w:line="240" w:lineRule="auto"/>
              <w:jc w:val="center"/>
              <w:rPr>
                <w:rFonts w:hint="default" w:ascii="Times New Roman" w:hAnsi="Times New Roman" w:eastAsia="宋体" w:cs="Times New Roman"/>
                <w:b/>
                <w:bCs/>
                <w:sz w:val="20"/>
                <w:szCs w:val="20"/>
                <w:vertAlign w:val="baseline"/>
                <w:lang w:val="en-US" w:eastAsia="zh-CN"/>
              </w:rPr>
            </w:pPr>
            <w:r>
              <w:rPr>
                <w:rFonts w:hint="default" w:ascii="Times New Roman" w:hAnsi="Times New Roman" w:eastAsia="宋体" w:cs="Times New Roman"/>
                <w:b/>
                <w:bCs/>
                <w:sz w:val="20"/>
                <w:szCs w:val="20"/>
                <w:vertAlign w:val="baseline"/>
                <w:lang w:val="en-US" w:eastAsia="zh-CN"/>
              </w:rPr>
              <w:t>主要工作内容</w:t>
            </w:r>
          </w:p>
        </w:tc>
      </w:tr>
      <w:tr w14:paraId="4079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53" w:type="dxa"/>
            <w:noWrap w:val="0"/>
            <w:vAlign w:val="center"/>
          </w:tcPr>
          <w:p w14:paraId="5A2912BD">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1</w:t>
            </w:r>
          </w:p>
        </w:tc>
        <w:tc>
          <w:tcPr>
            <w:tcW w:w="3242" w:type="dxa"/>
            <w:noWrap w:val="0"/>
            <w:vAlign w:val="center"/>
          </w:tcPr>
          <w:p w14:paraId="4F0C58DF">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四川大学华西口腔医院</w:t>
            </w:r>
          </w:p>
        </w:tc>
        <w:tc>
          <w:tcPr>
            <w:tcW w:w="2412" w:type="dxa"/>
            <w:noWrap w:val="0"/>
            <w:vAlign w:val="center"/>
          </w:tcPr>
          <w:p w14:paraId="4C8839BF">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高波、张宏润、王人可、徐欣、张玲</w:t>
            </w:r>
          </w:p>
        </w:tc>
        <w:tc>
          <w:tcPr>
            <w:tcW w:w="2712" w:type="dxa"/>
            <w:noWrap w:val="0"/>
            <w:vAlign w:val="center"/>
          </w:tcPr>
          <w:p w14:paraId="3F19340A">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标准草案编制、统筹协调等</w:t>
            </w:r>
          </w:p>
        </w:tc>
      </w:tr>
      <w:tr w14:paraId="5EFF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53" w:type="dxa"/>
            <w:noWrap w:val="0"/>
            <w:vAlign w:val="center"/>
          </w:tcPr>
          <w:p w14:paraId="0C83941B">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2</w:t>
            </w:r>
          </w:p>
        </w:tc>
        <w:tc>
          <w:tcPr>
            <w:tcW w:w="3242" w:type="dxa"/>
            <w:noWrap w:val="0"/>
            <w:vAlign w:val="center"/>
          </w:tcPr>
          <w:p w14:paraId="5F708DEF">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苏州速迈医学科技股份有限公司</w:t>
            </w:r>
          </w:p>
        </w:tc>
        <w:tc>
          <w:tcPr>
            <w:tcW w:w="2412" w:type="dxa"/>
            <w:noWrap w:val="0"/>
            <w:vAlign w:val="center"/>
          </w:tcPr>
          <w:p w14:paraId="50C8D1F5">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李向东、周晓峰、黄彬</w:t>
            </w:r>
          </w:p>
        </w:tc>
        <w:tc>
          <w:tcPr>
            <w:tcW w:w="2712" w:type="dxa"/>
            <w:noWrap w:val="0"/>
            <w:vAlign w:val="center"/>
          </w:tcPr>
          <w:p w14:paraId="569BFA79">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技术合作、标准修改等</w:t>
            </w:r>
          </w:p>
        </w:tc>
      </w:tr>
      <w:tr w14:paraId="6E5F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noWrap w:val="0"/>
            <w:vAlign w:val="center"/>
          </w:tcPr>
          <w:p w14:paraId="43E20292">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3</w:t>
            </w:r>
          </w:p>
        </w:tc>
        <w:tc>
          <w:tcPr>
            <w:tcW w:w="3242" w:type="dxa"/>
            <w:noWrap w:val="0"/>
            <w:vAlign w:val="center"/>
          </w:tcPr>
          <w:p w14:paraId="6CF96497">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贵州大学口腔医院</w:t>
            </w:r>
          </w:p>
        </w:tc>
        <w:tc>
          <w:tcPr>
            <w:tcW w:w="2412" w:type="dxa"/>
            <w:noWrap w:val="0"/>
            <w:vAlign w:val="center"/>
          </w:tcPr>
          <w:p w14:paraId="4C42EDEE">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陈筑</w:t>
            </w:r>
          </w:p>
        </w:tc>
        <w:tc>
          <w:tcPr>
            <w:tcW w:w="2712" w:type="dxa"/>
            <w:noWrap w:val="0"/>
            <w:vAlign w:val="center"/>
          </w:tcPr>
          <w:p w14:paraId="3EA4FFD9">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编制修改、技术合作等</w:t>
            </w:r>
          </w:p>
        </w:tc>
      </w:tr>
      <w:tr w14:paraId="3B8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noWrap w:val="0"/>
            <w:vAlign w:val="center"/>
          </w:tcPr>
          <w:p w14:paraId="1A7E4E54">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4</w:t>
            </w:r>
          </w:p>
        </w:tc>
        <w:tc>
          <w:tcPr>
            <w:tcW w:w="3242" w:type="dxa"/>
            <w:noWrap w:val="0"/>
            <w:vAlign w:val="center"/>
          </w:tcPr>
          <w:p w14:paraId="5C057502">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兰州大学口腔医院</w:t>
            </w:r>
          </w:p>
        </w:tc>
        <w:tc>
          <w:tcPr>
            <w:tcW w:w="2412" w:type="dxa"/>
            <w:noWrap w:val="0"/>
            <w:vAlign w:val="center"/>
          </w:tcPr>
          <w:p w14:paraId="23536DFB">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赵媛</w:t>
            </w:r>
          </w:p>
        </w:tc>
        <w:tc>
          <w:tcPr>
            <w:tcW w:w="2712" w:type="dxa"/>
            <w:noWrap w:val="0"/>
            <w:vAlign w:val="center"/>
          </w:tcPr>
          <w:p w14:paraId="1C76E8A3">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编制修改、技术合作等</w:t>
            </w:r>
          </w:p>
        </w:tc>
      </w:tr>
      <w:tr w14:paraId="477A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noWrap w:val="0"/>
            <w:vAlign w:val="center"/>
          </w:tcPr>
          <w:p w14:paraId="360258A6">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5</w:t>
            </w:r>
          </w:p>
        </w:tc>
        <w:tc>
          <w:tcPr>
            <w:tcW w:w="3242" w:type="dxa"/>
            <w:noWrap w:val="0"/>
            <w:vAlign w:val="center"/>
          </w:tcPr>
          <w:p w14:paraId="73F6FE8E">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重庆医科大学附属口腔医院</w:t>
            </w:r>
          </w:p>
        </w:tc>
        <w:tc>
          <w:tcPr>
            <w:tcW w:w="2412" w:type="dxa"/>
            <w:noWrap w:val="0"/>
            <w:vAlign w:val="center"/>
          </w:tcPr>
          <w:p w14:paraId="676C0596">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罗俊</w:t>
            </w:r>
          </w:p>
        </w:tc>
        <w:tc>
          <w:tcPr>
            <w:tcW w:w="2712" w:type="dxa"/>
            <w:noWrap w:val="0"/>
            <w:vAlign w:val="center"/>
          </w:tcPr>
          <w:p w14:paraId="72AE2DA1">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资料查询、技术合作等</w:t>
            </w:r>
          </w:p>
        </w:tc>
      </w:tr>
      <w:tr w14:paraId="0463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noWrap w:val="0"/>
            <w:vAlign w:val="center"/>
          </w:tcPr>
          <w:p w14:paraId="26FCFEF1">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6</w:t>
            </w:r>
          </w:p>
        </w:tc>
        <w:tc>
          <w:tcPr>
            <w:tcW w:w="3242" w:type="dxa"/>
            <w:noWrap w:val="0"/>
            <w:vAlign w:val="center"/>
          </w:tcPr>
          <w:p w14:paraId="659E5B79">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温州医科大学附属口腔医院 </w:t>
            </w:r>
          </w:p>
        </w:tc>
        <w:tc>
          <w:tcPr>
            <w:tcW w:w="2412" w:type="dxa"/>
            <w:noWrap w:val="0"/>
            <w:vAlign w:val="center"/>
          </w:tcPr>
          <w:p w14:paraId="64BF433F">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邓振南</w:t>
            </w:r>
          </w:p>
        </w:tc>
        <w:tc>
          <w:tcPr>
            <w:tcW w:w="2712" w:type="dxa"/>
            <w:noWrap w:val="0"/>
            <w:vAlign w:val="center"/>
          </w:tcPr>
          <w:p w14:paraId="350265A0">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资料查询、技术合作等</w:t>
            </w:r>
          </w:p>
        </w:tc>
      </w:tr>
      <w:tr w14:paraId="527C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noWrap w:val="0"/>
            <w:vAlign w:val="center"/>
          </w:tcPr>
          <w:p w14:paraId="585D6D58">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7</w:t>
            </w:r>
          </w:p>
        </w:tc>
        <w:tc>
          <w:tcPr>
            <w:tcW w:w="3242" w:type="dxa"/>
            <w:noWrap w:val="0"/>
            <w:vAlign w:val="center"/>
          </w:tcPr>
          <w:p w14:paraId="6548C482">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首都医科大学附属口腔医院</w:t>
            </w:r>
          </w:p>
        </w:tc>
        <w:tc>
          <w:tcPr>
            <w:tcW w:w="2412" w:type="dxa"/>
            <w:noWrap w:val="0"/>
            <w:vAlign w:val="center"/>
          </w:tcPr>
          <w:p w14:paraId="5CE939E7">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王玥</w:t>
            </w:r>
          </w:p>
        </w:tc>
        <w:tc>
          <w:tcPr>
            <w:tcW w:w="2712" w:type="dxa"/>
            <w:noWrap w:val="0"/>
            <w:vAlign w:val="center"/>
          </w:tcPr>
          <w:p w14:paraId="0517016F">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资料查询、技术合作等</w:t>
            </w:r>
          </w:p>
        </w:tc>
      </w:tr>
      <w:tr w14:paraId="63DF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noWrap w:val="0"/>
            <w:vAlign w:val="center"/>
          </w:tcPr>
          <w:p w14:paraId="43685BA2">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8</w:t>
            </w:r>
          </w:p>
        </w:tc>
        <w:tc>
          <w:tcPr>
            <w:tcW w:w="3242" w:type="dxa"/>
            <w:noWrap w:val="0"/>
            <w:vAlign w:val="center"/>
          </w:tcPr>
          <w:p w14:paraId="66A56238">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四川口腔医院</w:t>
            </w:r>
          </w:p>
        </w:tc>
        <w:tc>
          <w:tcPr>
            <w:tcW w:w="2412" w:type="dxa"/>
            <w:noWrap w:val="0"/>
            <w:vAlign w:val="center"/>
          </w:tcPr>
          <w:p w14:paraId="02581225">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蒋薇</w:t>
            </w:r>
          </w:p>
        </w:tc>
        <w:tc>
          <w:tcPr>
            <w:tcW w:w="2712" w:type="dxa"/>
            <w:noWrap w:val="0"/>
            <w:vAlign w:val="center"/>
          </w:tcPr>
          <w:p w14:paraId="7164D42C">
            <w:pPr>
              <w:autoSpaceDE w:val="0"/>
              <w:autoSpaceDN w:val="0"/>
              <w:adjustRightInd w:val="0"/>
              <w:spacing w:line="240" w:lineRule="auto"/>
              <w:jc w:val="center"/>
              <w:rPr>
                <w:rFonts w:hint="default"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eastAsia="zh-CN"/>
              </w:rPr>
              <w:t>资料查询、标准修改等</w:t>
            </w:r>
          </w:p>
        </w:tc>
      </w:tr>
    </w:tbl>
    <w:p w14:paraId="26D69631">
      <w:pPr>
        <w:autoSpaceDE w:val="0"/>
        <w:autoSpaceDN w:val="0"/>
        <w:adjustRightInd w:val="0"/>
        <w:spacing w:line="360" w:lineRule="auto"/>
        <w:outlineLvl w:val="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rPr>
        <w:t>二、标准编制原则、主要内容和解决的主要问题（科学性：指标、方法）</w:t>
      </w:r>
    </w:p>
    <w:p w14:paraId="4009DEF4">
      <w:pPr>
        <w:autoSpaceDE w:val="0"/>
        <w:autoSpaceDN w:val="0"/>
        <w:adjustRightInd w:val="0"/>
        <w:spacing w:line="360" w:lineRule="auto"/>
        <w:ind w:firstLine="420" w:firstLineChars="0"/>
        <w:outlineLvl w:val="1"/>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 标准编制的原则</w:t>
      </w:r>
    </w:p>
    <w:p w14:paraId="281D4EB3">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本标准编制主要依据以下</w:t>
      </w:r>
      <w:r>
        <w:rPr>
          <w:rFonts w:hint="default" w:ascii="Times New Roman" w:hAnsi="Times New Roman" w:eastAsia="宋体" w:cs="Times New Roman"/>
          <w:sz w:val="24"/>
          <w:szCs w:val="24"/>
          <w:lang w:eastAsia="zh-CN"/>
        </w:rPr>
        <w:t>四条</w:t>
      </w:r>
      <w:r>
        <w:rPr>
          <w:rFonts w:hint="default" w:ascii="Times New Roman" w:hAnsi="Times New Roman" w:eastAsia="宋体" w:cs="Times New Roman"/>
          <w:sz w:val="24"/>
          <w:szCs w:val="24"/>
        </w:rPr>
        <w:t>原则：</w:t>
      </w:r>
    </w:p>
    <w:p w14:paraId="4A1D28C4">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a）规范性原则：依据GB/T 1.</w:t>
      </w:r>
      <w:r>
        <w:rPr>
          <w:rFonts w:hint="default" w:ascii="Times New Roman" w:hAnsi="Times New Roman" w:eastAsia="宋体" w:cs="Times New Roman"/>
          <w:sz w:val="24"/>
          <w:szCs w:val="24"/>
          <w:lang w:eastAsia="zh-CN"/>
        </w:rPr>
        <w:t>1 - 2020《标准化工作导则 第1部分：标准化文件的结构和起草规则》编写，确保结构清晰、格式规范。</w:t>
      </w:r>
    </w:p>
    <w:p w14:paraId="21872040">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b）全生命周期覆盖原则：从产品生命周期的角度，对牙科手术显微镜产品规范性做出详细规定。</w:t>
      </w:r>
      <w:r>
        <w:rPr>
          <w:rFonts w:hint="default" w:ascii="Times New Roman" w:hAnsi="Times New Roman" w:cs="Times New Roman"/>
          <w:sz w:val="24"/>
          <w:szCs w:val="24"/>
          <w:lang w:eastAsia="zh-CN"/>
        </w:rPr>
        <w:t>每个阶段都涉及不同的产品生命周期管理活动，从规划采购、安装验收、培训使用、检查维护、不良事件监管到报废处置。</w:t>
      </w:r>
      <w:r>
        <w:rPr>
          <w:rFonts w:hint="default" w:ascii="Times New Roman" w:hAnsi="Times New Roman" w:eastAsia="宋体" w:cs="Times New Roman"/>
          <w:sz w:val="24"/>
          <w:szCs w:val="24"/>
        </w:rPr>
        <w:t>本标准在满足指标评价体系要求的基础上，采用生命周期评价方法，开展生命周期清单分析，以体现标准的系统性、科学性和</w:t>
      </w:r>
      <w:r>
        <w:rPr>
          <w:rFonts w:hint="default" w:ascii="Times New Roman" w:hAnsi="Times New Roman" w:eastAsia="宋体" w:cs="Times New Roman"/>
          <w:sz w:val="24"/>
          <w:szCs w:val="24"/>
          <w:lang w:eastAsia="zh-CN"/>
        </w:rPr>
        <w:t>适用性</w:t>
      </w:r>
      <w:r>
        <w:rPr>
          <w:rFonts w:hint="default" w:ascii="Times New Roman" w:hAnsi="Times New Roman" w:eastAsia="宋体" w:cs="Times New Roman"/>
          <w:sz w:val="24"/>
          <w:szCs w:val="24"/>
        </w:rPr>
        <w:t>。</w:t>
      </w:r>
    </w:p>
    <w:p w14:paraId="35417940">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c）风险控制原则：</w:t>
      </w:r>
      <w:r>
        <w:rPr>
          <w:rFonts w:hint="default" w:ascii="Times New Roman" w:hAnsi="Times New Roman" w:cs="Times New Roman"/>
          <w:sz w:val="24"/>
          <w:szCs w:val="24"/>
          <w:lang w:eastAsia="zh-CN"/>
        </w:rPr>
        <w:t>依据GB/T 42062</w:t>
      </w: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cs="Times New Roman"/>
          <w:sz w:val="24"/>
          <w:szCs w:val="24"/>
          <w:lang w:eastAsia="zh-CN"/>
        </w:rPr>
        <w:t>-</w:t>
      </w: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cs="Times New Roman"/>
          <w:sz w:val="24"/>
          <w:szCs w:val="24"/>
          <w:lang w:eastAsia="zh-CN"/>
        </w:rPr>
        <w:t>2022《医疗器械风险管理对医疗器械的应用》标准，建立全周期风险评价与管理体系，确保牙科手术显微镜产品在全生命周期中始终保持安全与有效。</w:t>
      </w:r>
    </w:p>
    <w:p w14:paraId="71CFAC41">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d）适用性与可操作性原则：结合医疗机构实际状况，针对规划采购、安装验收、培训使用、检查维护、不良事件监管直至报废处置的各个环节，均提出具体、可执行的管理要求与方法。</w:t>
      </w:r>
    </w:p>
    <w:p w14:paraId="6F73A967">
      <w:pPr>
        <w:autoSpaceDE w:val="0"/>
        <w:autoSpaceDN w:val="0"/>
        <w:adjustRightInd w:val="0"/>
        <w:spacing w:line="360" w:lineRule="auto"/>
        <w:ind w:firstLine="420" w:firstLineChars="0"/>
        <w:outlineLvl w:val="1"/>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 标准主要内容</w:t>
      </w:r>
    </w:p>
    <w:p w14:paraId="013C2AA8">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本文件构建了一个完整的牙科手术显微镜管理体系，其核心内容与行业需求的对应关系如下：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35"/>
        <w:gridCol w:w="4013"/>
      </w:tblGrid>
      <w:tr w14:paraId="2843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5855640E">
            <w:pPr>
              <w:autoSpaceDE w:val="0"/>
              <w:autoSpaceDN w:val="0"/>
              <w:adjustRightInd w:val="0"/>
              <w:spacing w:line="360"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生命周期阶段</w:t>
            </w:r>
          </w:p>
        </w:tc>
        <w:tc>
          <w:tcPr>
            <w:tcW w:w="2835" w:type="dxa"/>
            <w:noWrap w:val="0"/>
            <w:vAlign w:val="center"/>
          </w:tcPr>
          <w:p w14:paraId="6110A5A3">
            <w:pPr>
              <w:autoSpaceDE w:val="0"/>
              <w:autoSpaceDN w:val="0"/>
              <w:adjustRightInd w:val="0"/>
              <w:spacing w:line="360" w:lineRule="auto"/>
              <w:ind w:firstLine="402" w:firstLineChars="200"/>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标准核心内容</w:t>
            </w:r>
          </w:p>
        </w:tc>
        <w:tc>
          <w:tcPr>
            <w:tcW w:w="4013" w:type="dxa"/>
            <w:noWrap w:val="0"/>
            <w:vAlign w:val="center"/>
          </w:tcPr>
          <w:p w14:paraId="73CE3BE7">
            <w:pPr>
              <w:autoSpaceDE w:val="0"/>
              <w:autoSpaceDN w:val="0"/>
              <w:adjustRightInd w:val="0"/>
              <w:spacing w:line="360" w:lineRule="auto"/>
              <w:ind w:firstLine="402" w:firstLineChars="200"/>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解决的行业问题</w:t>
            </w:r>
          </w:p>
        </w:tc>
      </w:tr>
      <w:tr w14:paraId="1140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2AC26F4F">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规划采购</w:t>
            </w:r>
          </w:p>
        </w:tc>
        <w:tc>
          <w:tcPr>
            <w:tcW w:w="2835" w:type="dxa"/>
            <w:noWrap w:val="0"/>
            <w:vAlign w:val="center"/>
          </w:tcPr>
          <w:p w14:paraId="653D72E8">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明确遴选原则、技术参数、供应商资质与合同条款（如保修期≥3年）。</w:t>
            </w:r>
          </w:p>
        </w:tc>
        <w:tc>
          <w:tcPr>
            <w:tcW w:w="4013" w:type="dxa"/>
            <w:noWrap w:val="0"/>
            <w:vAlign w:val="center"/>
          </w:tcPr>
          <w:p w14:paraId="0C8CE382">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应对市场品牌众多、品质混乱的现状。引导机构优先选择具有完善的教育培训/技术服务能力的国产品牌，推动国产替代。</w:t>
            </w:r>
          </w:p>
        </w:tc>
      </w:tr>
      <w:tr w14:paraId="2C51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3AB11ACE">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安装验收</w:t>
            </w:r>
          </w:p>
        </w:tc>
        <w:tc>
          <w:tcPr>
            <w:tcW w:w="2835" w:type="dxa"/>
            <w:noWrap w:val="0"/>
            <w:vAlign w:val="center"/>
          </w:tcPr>
          <w:p w14:paraId="43E175BF">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规定场地与电气要求，并依据GB 11239.1</w:t>
            </w:r>
            <w:r>
              <w:rPr>
                <w:rFonts w:hint="default" w:ascii="Times New Roman" w:hAnsi="Times New Roman" w:cs="Times New Roman"/>
                <w:sz w:val="20"/>
                <w:szCs w:val="20"/>
                <w:lang w:eastAsia="zh-CN"/>
              </w:rPr>
              <w:t>—</w:t>
            </w:r>
            <w:r>
              <w:rPr>
                <w:rFonts w:hint="default" w:ascii="Times New Roman" w:hAnsi="Times New Roman" w:eastAsia="宋体" w:cs="Times New Roman"/>
                <w:sz w:val="20"/>
                <w:szCs w:val="20"/>
              </w:rPr>
              <w:t>2005对光学性能、机械性能进行技术验收。</w:t>
            </w:r>
          </w:p>
        </w:tc>
        <w:tc>
          <w:tcPr>
            <w:tcW w:w="4013" w:type="dxa"/>
            <w:noWrap w:val="0"/>
            <w:vAlign w:val="center"/>
          </w:tcPr>
          <w:p w14:paraId="2D2D76D6">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确保设备初始状态符合标准，避免因安装环境不达标影响后续使用效果，是发挥其提高治疗精准度优势的基础。</w:t>
            </w:r>
          </w:p>
        </w:tc>
      </w:tr>
      <w:tr w14:paraId="6FC3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1519AFCA">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培训使用</w:t>
            </w:r>
          </w:p>
        </w:tc>
        <w:tc>
          <w:tcPr>
            <w:tcW w:w="2835" w:type="dxa"/>
            <w:noWrap w:val="0"/>
            <w:vAlign w:val="center"/>
          </w:tcPr>
          <w:p w14:paraId="58706589">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提出系统化培训与考核要求，细化使用前、中、后的检查清单与操作规范。</w:t>
            </w:r>
          </w:p>
        </w:tc>
        <w:tc>
          <w:tcPr>
            <w:tcW w:w="4013" w:type="dxa"/>
            <w:noWrap w:val="0"/>
            <w:vAlign w:val="center"/>
          </w:tcPr>
          <w:p w14:paraId="0A258EF5">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针对设备操作门槛高，专业人员供不应求的痛点。将行业共识转化为可执行的标准条款，规范操作行为。</w:t>
            </w:r>
          </w:p>
        </w:tc>
      </w:tr>
      <w:tr w14:paraId="7D2E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3AB75DD1">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检查维护</w:t>
            </w:r>
          </w:p>
        </w:tc>
        <w:tc>
          <w:tcPr>
            <w:tcW w:w="2835" w:type="dxa"/>
            <w:noWrap w:val="0"/>
            <w:vAlign w:val="center"/>
          </w:tcPr>
          <w:p w14:paraId="7E755375">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建立分级、周期的预防性维护体系，明确各周期重点检查项目与性能指标（如每两年检查光源照度）。</w:t>
            </w:r>
          </w:p>
        </w:tc>
        <w:tc>
          <w:tcPr>
            <w:tcW w:w="4013" w:type="dxa"/>
            <w:noWrap w:val="0"/>
            <w:vAlign w:val="center"/>
          </w:tcPr>
          <w:p w14:paraId="5484E5C7">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通过预防性维护，降低因设备性能衰减（如光源照度下降）导致的诊疗质量下降风险，延长设备使用寿命，应对设备单价较高，市场化普及难度较大</w:t>
            </w:r>
          </w:p>
        </w:tc>
      </w:tr>
      <w:tr w14:paraId="65B2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312066F0">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不良事件监管</w:t>
            </w:r>
          </w:p>
        </w:tc>
        <w:tc>
          <w:tcPr>
            <w:tcW w:w="2835" w:type="dxa"/>
            <w:noWrap w:val="0"/>
            <w:vAlign w:val="center"/>
          </w:tcPr>
          <w:p w14:paraId="7776CE5E">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建立“可疑即报”的监测与报告制度。</w:t>
            </w:r>
          </w:p>
        </w:tc>
        <w:tc>
          <w:tcPr>
            <w:tcW w:w="4013" w:type="dxa"/>
            <w:noWrap w:val="0"/>
            <w:vAlign w:val="center"/>
          </w:tcPr>
          <w:p w14:paraId="3D6A7322">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依据《医疗器械不良事件监测和再评价管理办法》及GB/T 42062-2022，构建闭环风险管理，保障患者安全。</w:t>
            </w:r>
          </w:p>
        </w:tc>
      </w:tr>
      <w:tr w14:paraId="46DA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26DEF716">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报废处置</w:t>
            </w:r>
          </w:p>
        </w:tc>
        <w:tc>
          <w:tcPr>
            <w:tcW w:w="2835" w:type="dxa"/>
            <w:noWrap w:val="0"/>
            <w:vAlign w:val="center"/>
          </w:tcPr>
          <w:p w14:paraId="425717F5">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规定技术性、经济性及安全性报废准则。</w:t>
            </w:r>
          </w:p>
        </w:tc>
        <w:tc>
          <w:tcPr>
            <w:tcW w:w="4013" w:type="dxa"/>
            <w:noWrap w:val="0"/>
            <w:vAlign w:val="center"/>
          </w:tcPr>
          <w:p w14:paraId="611D1B50">
            <w:pPr>
              <w:autoSpaceDE w:val="0"/>
              <w:autoSpaceDN w:val="0"/>
              <w:adjustRightInd w:val="0"/>
              <w:spacing w:line="360" w:lineRule="auto"/>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确保设备在无法满足临床要求或存在安全隐患时得到合规处置，防止超期或不达标设备被滥用。</w:t>
            </w:r>
          </w:p>
        </w:tc>
      </w:tr>
    </w:tbl>
    <w:p w14:paraId="00CE48D9">
      <w:pPr>
        <w:autoSpaceDE w:val="0"/>
        <w:autoSpaceDN w:val="0"/>
        <w:adjustRightInd w:val="0"/>
        <w:spacing w:line="360" w:lineRule="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三、</w:t>
      </w:r>
      <w:r>
        <w:rPr>
          <w:rFonts w:hint="default" w:ascii="Times New Roman" w:hAnsi="Times New Roman" w:eastAsia="宋体" w:cs="Times New Roman"/>
          <w:b/>
          <w:bCs/>
          <w:sz w:val="24"/>
          <w:szCs w:val="24"/>
        </w:rPr>
        <w:t>是否有对应的国家标准或行业标准</w:t>
      </w:r>
    </w:p>
    <w:p w14:paraId="229DDDCF">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本标准没有对应的国家标准或行业标准。</w:t>
      </w:r>
    </w:p>
    <w:p w14:paraId="5A80A28E">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本标准在编制过程中参考了ANSI/AAMI EQ56:2013《医疗设备维护管理指南》等国外先进标准的理念。</w:t>
      </w:r>
    </w:p>
    <w:p w14:paraId="01641E9C">
      <w:pPr>
        <w:autoSpaceDE w:val="0"/>
        <w:autoSpaceDN w:val="0"/>
        <w:adjustRightInd w:val="0"/>
        <w:spacing w:line="360" w:lineRule="auto"/>
        <w:outlineLvl w:val="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四、标准中主要技术内容确定的依据</w:t>
      </w:r>
    </w:p>
    <w:p w14:paraId="444FB1A5">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本标准的技术条款紧密围绕牙科手术显微镜的技术特性与临床需求制定，其依据充分参考了行业报告、临床研究及技术标准。</w:t>
      </w:r>
    </w:p>
    <w:tbl>
      <w:tblPr>
        <w:tblStyle w:val="15"/>
        <w:tblpPr w:leftFromText="180" w:rightFromText="180" w:vertAnchor="text" w:horzAnchor="page" w:tblpX="1904" w:tblpY="2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9"/>
        <w:gridCol w:w="5120"/>
      </w:tblGrid>
      <w:tr w14:paraId="1A20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noWrap w:val="0"/>
            <w:vAlign w:val="top"/>
          </w:tcPr>
          <w:p w14:paraId="20684303">
            <w:pPr>
              <w:autoSpaceDE w:val="0"/>
              <w:autoSpaceDN w:val="0"/>
              <w:adjustRightInd w:val="0"/>
              <w:spacing w:line="360"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标准核心条款</w:t>
            </w:r>
          </w:p>
        </w:tc>
        <w:tc>
          <w:tcPr>
            <w:tcW w:w="5120" w:type="dxa"/>
            <w:noWrap w:val="0"/>
            <w:vAlign w:val="top"/>
          </w:tcPr>
          <w:p w14:paraId="08D92707">
            <w:pPr>
              <w:autoSpaceDE w:val="0"/>
              <w:autoSpaceDN w:val="0"/>
              <w:adjustRightInd w:val="0"/>
              <w:spacing w:line="360"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技术依据</w:t>
            </w:r>
          </w:p>
        </w:tc>
      </w:tr>
      <w:tr w14:paraId="03FC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noWrap w:val="0"/>
            <w:vAlign w:val="top"/>
          </w:tcPr>
          <w:p w14:paraId="18068151">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5.2 安装验收（光学性能）</w:t>
            </w:r>
          </w:p>
        </w:tc>
        <w:tc>
          <w:tcPr>
            <w:tcW w:w="5120" w:type="dxa"/>
            <w:noWrap w:val="0"/>
            <w:vAlign w:val="top"/>
          </w:tcPr>
          <w:p w14:paraId="1B1C9FE2">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采纳GB 11239.1-2005</w:t>
            </w:r>
          </w:p>
        </w:tc>
      </w:tr>
      <w:tr w14:paraId="6D44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noWrap w:val="0"/>
            <w:vAlign w:val="top"/>
          </w:tcPr>
          <w:p w14:paraId="4024D59E">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5.3 培训与使用（操作规范）</w:t>
            </w:r>
          </w:p>
        </w:tc>
        <w:tc>
          <w:tcPr>
            <w:tcW w:w="5120" w:type="dxa"/>
            <w:noWrap w:val="0"/>
            <w:vAlign w:val="top"/>
          </w:tcPr>
          <w:p w14:paraId="709D7617">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来源于牙科显微镜操作规范的专家共识。</w:t>
            </w:r>
          </w:p>
        </w:tc>
      </w:tr>
      <w:tr w14:paraId="60E6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noWrap w:val="0"/>
            <w:vAlign w:val="top"/>
          </w:tcPr>
          <w:p w14:paraId="113C35F5">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5.4 检查维护（光源照度）</w:t>
            </w:r>
          </w:p>
        </w:tc>
        <w:tc>
          <w:tcPr>
            <w:tcW w:w="5120" w:type="dxa"/>
            <w:noWrap w:val="0"/>
            <w:vAlign w:val="top"/>
          </w:tcPr>
          <w:p w14:paraId="26823833">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“物面中心最大照度不低于标称值的50%”这一关键指标，直接引用自GB 11239.1-2005。</w:t>
            </w:r>
          </w:p>
        </w:tc>
      </w:tr>
      <w:tr w14:paraId="340A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9" w:type="dxa"/>
            <w:noWrap w:val="0"/>
            <w:vAlign w:val="top"/>
          </w:tcPr>
          <w:p w14:paraId="6C5B38D0">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5.4 检查维护（周期与项目）</w:t>
            </w:r>
          </w:p>
        </w:tc>
        <w:tc>
          <w:tcPr>
            <w:tcW w:w="5120" w:type="dxa"/>
            <w:noWrap w:val="0"/>
            <w:vAlign w:val="top"/>
          </w:tcPr>
          <w:p w14:paraId="5E71398C">
            <w:pPr>
              <w:autoSpaceDE w:val="0"/>
              <w:autoSpaceDN w:val="0"/>
              <w:adjustRightInd w:val="0"/>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维护周期的设定参考了ANSI/AAMI EQ56:2013的预防性维护理念，并结合设备机械结构（如支架、关节）的耐用性考虑。</w:t>
            </w:r>
          </w:p>
        </w:tc>
      </w:tr>
    </w:tbl>
    <w:p w14:paraId="7125E088">
      <w:pPr>
        <w:autoSpaceDE w:val="0"/>
        <w:autoSpaceDN w:val="0"/>
        <w:adjustRightInd w:val="0"/>
        <w:spacing w:line="360" w:lineRule="auto"/>
        <w:outlineLvl w:val="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五、标准中涉及专利的情况</w:t>
      </w:r>
    </w:p>
    <w:p w14:paraId="44FA113C">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本标准未涉及任何专利情况。</w:t>
      </w:r>
    </w:p>
    <w:p w14:paraId="32A98DBD">
      <w:pPr>
        <w:autoSpaceDE w:val="0"/>
        <w:autoSpaceDN w:val="0"/>
        <w:adjustRightInd w:val="0"/>
        <w:spacing w:line="360" w:lineRule="auto"/>
        <w:outlineLvl w:val="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六、预期达到的社会效益、对产业发展的作用等情况</w:t>
      </w:r>
    </w:p>
    <w:p w14:paraId="4E8D6F9E">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本标准的制定与实施，预计将在医疗服务、产业经济、行业治理及公共卫生等多个层面带来显著的社会效益，同时积极推动口腔医疗装备产业的发展。</w:t>
      </w:r>
    </w:p>
    <w:p w14:paraId="47B33257">
      <w:pPr>
        <w:autoSpaceDE w:val="0"/>
        <w:autoSpaceDN w:val="0"/>
        <w:adjustRightInd w:val="0"/>
        <w:spacing w:line="360" w:lineRule="auto"/>
        <w:ind w:firstLine="480" w:firstLineChars="200"/>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 保障医疗质量与安全，促进行业规范发展</w:t>
      </w:r>
    </w:p>
    <w:p w14:paraId="74BDB3D9">
      <w:pPr>
        <w:autoSpaceDE w:val="0"/>
        <w:autoSpaceDN w:val="0"/>
        <w:adjustRightIn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通过实施标准化安装验收、周期性性能检查及预防性维护，可确保光学分辨率、照明亮度等关键性能保持稳定，降低因设备问题引发的误诊、漏诊（如遗漏MB2根管）及术中并发症的发生，提升根管治疗、微创修复等精细手术的成功率（研究显示，状态良好的显微镜可有效提高MB2根管的发现率）；同时，规范电气安全、机械稳定性（如支架/关节）的验证流程以及使用后的消毒灭菌流程，能有效防范触电、机械脱落、交叉感染等安全风险，为医患营造更安全的诊疗环境。此外，这能为国产优质品牌提供与进口品牌同台竞技的技术标准，加速国产替代进程，推动技术创新，进而促进产业整体升级。</w:t>
      </w:r>
    </w:p>
    <w:p w14:paraId="3B12573F">
      <w:pPr>
        <w:autoSpaceDE w:val="0"/>
        <w:autoSpaceDN w:val="0"/>
        <w:adjustRightInd w:val="0"/>
        <w:spacing w:line="360" w:lineRule="auto"/>
        <w:ind w:firstLine="480" w:firstLineChars="200"/>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 降低运营成本，强化资源配置与人才培养</w:t>
      </w:r>
    </w:p>
    <w:p w14:paraId="7B8E99D2">
      <w:pPr>
        <w:autoSpaceDE w:val="0"/>
        <w:autoSpaceDN w:val="0"/>
        <w:adjustRightIn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通过系统性开展预防性维护与规范操作，可显著降低设备故障率，延缓性能衰退，延长牙科手术显微镜的有效使用寿命，直接节省设备更新购置费用</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lang w:val="en-US" w:eastAsia="zh-CN"/>
        </w:rPr>
        <w:t>引导医疗机构从“重设备购置”转向“重设备管理”，关注设备从采购到报废的全生命周期成本，通过科学规划维护工作，减少非计划性停机损失，避免“小病不治、大病昂贵”的被动维修情况，实现成本最优化</w:t>
      </w:r>
      <w:r>
        <w:rPr>
          <w:rFonts w:hint="default" w:ascii="Times New Roman" w:hAnsi="Times New Roman" w:eastAsia="宋体" w:cs="Times New Roman"/>
          <w:sz w:val="24"/>
          <w:szCs w:val="24"/>
          <w:lang w:val="en-US" w:eastAsia="zh-CN"/>
        </w:rPr>
        <w:t>。同时，将培训与考核制度化、标准化，缩短医生及维护人员学习曲线，加速显微操作技术普及。</w:t>
      </w:r>
    </w:p>
    <w:p w14:paraId="1C3CB012">
      <w:pPr>
        <w:autoSpaceDE w:val="0"/>
        <w:autoSpaceDN w:val="0"/>
        <w:adjustRightInd w:val="0"/>
        <w:spacing w:line="360" w:lineRule="auto"/>
        <w:ind w:firstLine="480" w:firstLineChars="200"/>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 普及精准医疗，服务健康中国战略</w:t>
      </w:r>
    </w:p>
    <w:p w14:paraId="0F1B189C">
      <w:pPr>
        <w:autoSpaceDE w:val="0"/>
        <w:autoSpaceDN w:val="0"/>
        <w:adjustRightIn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通过规范管理保障设备效能，能让更多医疗机构（尤其是基层和非公立机构）稳定开展高质量的显微治疗，使更广泛的患者享受到精准、微创的口腔医疗服务，进而提升口腔医疗的装备管理水平与技术应用能力</w:t>
      </w:r>
      <w:r>
        <w:rPr>
          <w:rFonts w:hint="default" w:ascii="Times New Roman" w:hAnsi="Times New Roman" w:eastAsia="宋体" w:cs="Times New Roman"/>
          <w:sz w:val="24"/>
          <w:szCs w:val="24"/>
          <w:lang w:val="en-US" w:eastAsia="zh-CN"/>
        </w:rPr>
        <w:t>。</w:t>
      </w:r>
    </w:p>
    <w:p w14:paraId="036AE505">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本标准的制定，不仅是解决当前牙科手术显微镜管理困境的技术性文件，更是引导口腔医疗装备产业升级、提升全民口腔健康保障水平的重要工具</w:t>
      </w:r>
      <w:r>
        <w:rPr>
          <w:rFonts w:hint="default" w:ascii="Times New Roman" w:hAnsi="Times New Roman" w:eastAsia="宋体" w:cs="Times New Roman"/>
          <w:sz w:val="24"/>
          <w:szCs w:val="24"/>
        </w:rPr>
        <w:t>。通过标准的实施，将实现医疗质量提升、产业健康发展、机构成本优化、专业人才涌现的多重目标，产生显著的社会效益和经济效益。</w:t>
      </w:r>
    </w:p>
    <w:p w14:paraId="0B4F0A14">
      <w:pPr>
        <w:autoSpaceDE w:val="0"/>
        <w:autoSpaceDN w:val="0"/>
        <w:adjustRightInd w:val="0"/>
        <w:spacing w:line="360" w:lineRule="auto"/>
        <w:outlineLvl w:val="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七、采用国际标准和国外先进标准情况</w:t>
      </w:r>
    </w:p>
    <w:p w14:paraId="3E4F9097">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本标准没有采用国际标准和国外先进标准。</w:t>
      </w:r>
    </w:p>
    <w:p w14:paraId="2757215B">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本标准在制定过程中未查到同类国际、国外先进标准。</w:t>
      </w:r>
    </w:p>
    <w:p w14:paraId="54923CE7">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在本标准制定过程中，未对国外的样品和样机开展测试。</w:t>
      </w:r>
    </w:p>
    <w:p w14:paraId="5FE06E29">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本标准所达到的技术水平处于国内先进水平。</w:t>
      </w:r>
    </w:p>
    <w:p w14:paraId="4CA3B75B">
      <w:pPr>
        <w:autoSpaceDE w:val="0"/>
        <w:autoSpaceDN w:val="0"/>
        <w:adjustRightInd w:val="0"/>
        <w:spacing w:line="360" w:lineRule="auto"/>
        <w:outlineLvl w:val="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八、与现行相关法律法规、规章及相关标准，特别是强制性标准的协调性</w:t>
      </w:r>
    </w:p>
    <w:p w14:paraId="0FD13684">
      <w:pPr>
        <w:autoSpaceDE w:val="0"/>
        <w:autoSpaceDN w:val="0"/>
        <w:adjustRightIn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本标准属于医疗器械标准体系中的“医用诊察和监护器械”大类，“光学诊察仪器”小类下的“手术显微镜”系列。</w:t>
      </w:r>
    </w:p>
    <w:p w14:paraId="31CD95F0">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本标准与现行相关</w:t>
      </w:r>
      <w:r>
        <w:rPr>
          <w:rFonts w:hint="default" w:ascii="Times New Roman" w:hAnsi="Times New Roman" w:eastAsia="宋体" w:cs="Times New Roman"/>
          <w:sz w:val="24"/>
          <w:szCs w:val="24"/>
          <w:lang w:eastAsia="zh-CN"/>
        </w:rPr>
        <w:t>法律法规</w:t>
      </w:r>
      <w:r>
        <w:rPr>
          <w:rFonts w:hint="default" w:ascii="Times New Roman" w:hAnsi="Times New Roman" w:eastAsia="宋体" w:cs="Times New Roman"/>
          <w:sz w:val="24"/>
          <w:szCs w:val="24"/>
        </w:rPr>
        <w:t>、规章及相关标准协调一致。</w:t>
      </w:r>
    </w:p>
    <w:p w14:paraId="0AD41519">
      <w:pPr>
        <w:autoSpaceDE w:val="0"/>
        <w:autoSpaceDN w:val="0"/>
        <w:adjustRightInd w:val="0"/>
        <w:spacing w:line="360" w:lineRule="auto"/>
        <w:outlineLvl w:val="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九、重大分歧意见的处理经过和依据</w:t>
      </w:r>
    </w:p>
    <w:p w14:paraId="12F0554C">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无重大分歧意见。</w:t>
      </w:r>
    </w:p>
    <w:p w14:paraId="12D5A345">
      <w:pPr>
        <w:autoSpaceDE w:val="0"/>
        <w:autoSpaceDN w:val="0"/>
        <w:adjustRightInd w:val="0"/>
        <w:spacing w:line="360" w:lineRule="auto"/>
        <w:outlineLvl w:val="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十、其他应予说明的事项</w:t>
      </w:r>
    </w:p>
    <w:p w14:paraId="4FCED7C3">
      <w:pPr>
        <w:autoSpaceDE w:val="0"/>
        <w:autoSpaceDN w:val="0"/>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无其他应予说明的事项。</w:t>
      </w:r>
    </w:p>
    <w:p w14:paraId="4DB10229">
      <w:pPr>
        <w:tabs>
          <w:tab w:val="left" w:pos="6315"/>
          <w:tab w:val="right" w:pos="8710"/>
        </w:tabs>
        <w:spacing w:line="380" w:lineRule="exact"/>
        <w:ind w:right="69"/>
        <w:jc w:val="right"/>
        <w:rPr>
          <w:rFonts w:hint="default" w:ascii="Times New Roman" w:hAnsi="Times New Roman" w:cs="Times New Roman"/>
          <w:sz w:val="21"/>
          <w:szCs w:val="21"/>
        </w:rPr>
      </w:pPr>
      <w:r>
        <w:rPr>
          <w:rFonts w:hint="default" w:ascii="Times New Roman" w:hAnsi="Times New Roman" w:cs="Times New Roman"/>
          <w:sz w:val="21"/>
          <w:szCs w:val="21"/>
        </w:rPr>
        <w:t>标准起草工作组</w:t>
      </w:r>
    </w:p>
    <w:p w14:paraId="2178FC9F">
      <w:pPr>
        <w:widowControl/>
        <w:spacing w:line="480" w:lineRule="exact"/>
        <w:jc w:val="right"/>
        <w:rPr>
          <w:rFonts w:hint="default" w:ascii="Times New Roman" w:hAnsi="Times New Roman" w:eastAsia="黑体" w:cs="Times New Roman"/>
          <w:sz w:val="32"/>
          <w:szCs w:val="32"/>
        </w:rPr>
      </w:pPr>
      <w:r>
        <w:rPr>
          <w:rFonts w:hint="default" w:ascii="Times New Roman" w:hAnsi="Times New Roman" w:cs="Times New Roman"/>
          <w:sz w:val="21"/>
          <w:szCs w:val="21"/>
          <w:lang w:val="en-US" w:eastAsia="zh-CN"/>
        </w:rPr>
        <w:t>2025</w:t>
      </w:r>
      <w:r>
        <w:rPr>
          <w:rFonts w:hint="default" w:ascii="Times New Roman" w:hAnsi="Times New Roman" w:cs="Times New Roman"/>
          <w:sz w:val="21"/>
          <w:szCs w:val="21"/>
        </w:rPr>
        <w:t>年</w:t>
      </w:r>
      <w:r>
        <w:rPr>
          <w:rFonts w:hint="default" w:ascii="Times New Roman" w:hAnsi="Times New Roman" w:cs="Times New Roman"/>
          <w:sz w:val="21"/>
          <w:szCs w:val="21"/>
          <w:lang w:val="en-US" w:eastAsia="zh-CN"/>
        </w:rPr>
        <w:t>12</w:t>
      </w:r>
      <w:r>
        <w:rPr>
          <w:rFonts w:hint="default" w:ascii="Times New Roman" w:hAnsi="Times New Roman" w:cs="Times New Roman"/>
          <w:sz w:val="21"/>
          <w:szCs w:val="21"/>
        </w:rPr>
        <w:t>月</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日</w:t>
      </w:r>
    </w:p>
    <w:sectPr>
      <w:footerReference r:id="rId4" w:type="first"/>
      <w:footerReference r:id="rId3" w:type="default"/>
      <w:pgSz w:w="11900" w:h="16840"/>
      <w:pgMar w:top="1302" w:right="1800" w:bottom="1302" w:left="1800"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E79C">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17</w:t>
    </w:r>
    <w:r>
      <w:rPr>
        <w:sz w:val="21"/>
        <w:szCs w:val="21"/>
        <w:lang w:val="zh-CN"/>
      </w:rPr>
      <w:fldChar w:fldCharType="end"/>
    </w:r>
  </w:p>
  <w:p w14:paraId="0079980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A2E7">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p w14:paraId="102C13ED">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OWE0MGY2NWI5Mzc3NDIzM2ZiM2I2M2UzMmIxZDgifQ=="/>
  </w:docVars>
  <w:rsids>
    <w:rsidRoot w:val="00172A27"/>
    <w:rsid w:val="00004E03"/>
    <w:rsid w:val="00005402"/>
    <w:rsid w:val="00010E84"/>
    <w:rsid w:val="000214D8"/>
    <w:rsid w:val="00024E4C"/>
    <w:rsid w:val="00025B34"/>
    <w:rsid w:val="0003296D"/>
    <w:rsid w:val="00035C62"/>
    <w:rsid w:val="0004694D"/>
    <w:rsid w:val="00050DC5"/>
    <w:rsid w:val="00052A18"/>
    <w:rsid w:val="00052D2D"/>
    <w:rsid w:val="00064F24"/>
    <w:rsid w:val="00071BE9"/>
    <w:rsid w:val="00087BE3"/>
    <w:rsid w:val="00091365"/>
    <w:rsid w:val="00094835"/>
    <w:rsid w:val="000A2CEC"/>
    <w:rsid w:val="000A49B1"/>
    <w:rsid w:val="000B1BDC"/>
    <w:rsid w:val="000B3A6C"/>
    <w:rsid w:val="000C42CF"/>
    <w:rsid w:val="000E62C9"/>
    <w:rsid w:val="000F4073"/>
    <w:rsid w:val="00102D32"/>
    <w:rsid w:val="0010404B"/>
    <w:rsid w:val="00137AD8"/>
    <w:rsid w:val="00145FCA"/>
    <w:rsid w:val="001545B4"/>
    <w:rsid w:val="0016687E"/>
    <w:rsid w:val="00170408"/>
    <w:rsid w:val="00181A44"/>
    <w:rsid w:val="001934E4"/>
    <w:rsid w:val="00193A59"/>
    <w:rsid w:val="001A4F41"/>
    <w:rsid w:val="001A7414"/>
    <w:rsid w:val="001B1776"/>
    <w:rsid w:val="001B49E5"/>
    <w:rsid w:val="001C078F"/>
    <w:rsid w:val="001C19A7"/>
    <w:rsid w:val="001C3067"/>
    <w:rsid w:val="001D542C"/>
    <w:rsid w:val="001D59C5"/>
    <w:rsid w:val="001E00E4"/>
    <w:rsid w:val="001E735A"/>
    <w:rsid w:val="001F1267"/>
    <w:rsid w:val="002038FA"/>
    <w:rsid w:val="00212706"/>
    <w:rsid w:val="0021328B"/>
    <w:rsid w:val="002150CA"/>
    <w:rsid w:val="002201C9"/>
    <w:rsid w:val="00222ADE"/>
    <w:rsid w:val="00226A9E"/>
    <w:rsid w:val="00227988"/>
    <w:rsid w:val="00230209"/>
    <w:rsid w:val="00233C64"/>
    <w:rsid w:val="00235980"/>
    <w:rsid w:val="002406BE"/>
    <w:rsid w:val="00251C9E"/>
    <w:rsid w:val="0025280F"/>
    <w:rsid w:val="002554EB"/>
    <w:rsid w:val="002674F0"/>
    <w:rsid w:val="002728E0"/>
    <w:rsid w:val="0027686A"/>
    <w:rsid w:val="002872B9"/>
    <w:rsid w:val="0029216E"/>
    <w:rsid w:val="002943B1"/>
    <w:rsid w:val="00294D84"/>
    <w:rsid w:val="002B0CF0"/>
    <w:rsid w:val="002B16A1"/>
    <w:rsid w:val="002B76A4"/>
    <w:rsid w:val="002C61CD"/>
    <w:rsid w:val="002D2478"/>
    <w:rsid w:val="002D53F1"/>
    <w:rsid w:val="002D6162"/>
    <w:rsid w:val="002E12E7"/>
    <w:rsid w:val="002E5954"/>
    <w:rsid w:val="002F59DD"/>
    <w:rsid w:val="00302825"/>
    <w:rsid w:val="00305475"/>
    <w:rsid w:val="003174FA"/>
    <w:rsid w:val="00320AFD"/>
    <w:rsid w:val="00330D49"/>
    <w:rsid w:val="00334896"/>
    <w:rsid w:val="00336825"/>
    <w:rsid w:val="003378DB"/>
    <w:rsid w:val="003404E1"/>
    <w:rsid w:val="00347393"/>
    <w:rsid w:val="0035149A"/>
    <w:rsid w:val="0036414D"/>
    <w:rsid w:val="003654D9"/>
    <w:rsid w:val="00370ADA"/>
    <w:rsid w:val="00375FB8"/>
    <w:rsid w:val="003803E0"/>
    <w:rsid w:val="00382EE9"/>
    <w:rsid w:val="00384172"/>
    <w:rsid w:val="00387078"/>
    <w:rsid w:val="00390AD5"/>
    <w:rsid w:val="00395353"/>
    <w:rsid w:val="00395BA9"/>
    <w:rsid w:val="00396140"/>
    <w:rsid w:val="003B20BB"/>
    <w:rsid w:val="003B23D6"/>
    <w:rsid w:val="003B4A25"/>
    <w:rsid w:val="003B683A"/>
    <w:rsid w:val="003B6CD7"/>
    <w:rsid w:val="003D374A"/>
    <w:rsid w:val="003D3FB0"/>
    <w:rsid w:val="003E46C9"/>
    <w:rsid w:val="003E79F8"/>
    <w:rsid w:val="003E7D3C"/>
    <w:rsid w:val="003F4B25"/>
    <w:rsid w:val="003F574D"/>
    <w:rsid w:val="003F7A9E"/>
    <w:rsid w:val="00400761"/>
    <w:rsid w:val="00400B8A"/>
    <w:rsid w:val="004016B0"/>
    <w:rsid w:val="004027FE"/>
    <w:rsid w:val="0042167B"/>
    <w:rsid w:val="00421F65"/>
    <w:rsid w:val="00425BEF"/>
    <w:rsid w:val="00430702"/>
    <w:rsid w:val="00430790"/>
    <w:rsid w:val="0045017D"/>
    <w:rsid w:val="00456479"/>
    <w:rsid w:val="00465953"/>
    <w:rsid w:val="00497F57"/>
    <w:rsid w:val="004A168C"/>
    <w:rsid w:val="004B11E7"/>
    <w:rsid w:val="004C4BC8"/>
    <w:rsid w:val="004C6814"/>
    <w:rsid w:val="004C6A5D"/>
    <w:rsid w:val="004D14E0"/>
    <w:rsid w:val="004D6BDC"/>
    <w:rsid w:val="004E07CD"/>
    <w:rsid w:val="004F36DD"/>
    <w:rsid w:val="004F36EF"/>
    <w:rsid w:val="00504561"/>
    <w:rsid w:val="00517EB5"/>
    <w:rsid w:val="005301C1"/>
    <w:rsid w:val="00533619"/>
    <w:rsid w:val="005347C9"/>
    <w:rsid w:val="00540D18"/>
    <w:rsid w:val="00552415"/>
    <w:rsid w:val="00557317"/>
    <w:rsid w:val="00557F2D"/>
    <w:rsid w:val="0057035E"/>
    <w:rsid w:val="005812D9"/>
    <w:rsid w:val="005813B7"/>
    <w:rsid w:val="00585293"/>
    <w:rsid w:val="005914F2"/>
    <w:rsid w:val="005B5D96"/>
    <w:rsid w:val="005C6188"/>
    <w:rsid w:val="005E2DA7"/>
    <w:rsid w:val="005F62EF"/>
    <w:rsid w:val="005F65F1"/>
    <w:rsid w:val="005F6E30"/>
    <w:rsid w:val="00603BE8"/>
    <w:rsid w:val="006040A1"/>
    <w:rsid w:val="00607D07"/>
    <w:rsid w:val="00610E35"/>
    <w:rsid w:val="006150C2"/>
    <w:rsid w:val="00615BC3"/>
    <w:rsid w:val="006203DB"/>
    <w:rsid w:val="006227A3"/>
    <w:rsid w:val="006453C5"/>
    <w:rsid w:val="0064607D"/>
    <w:rsid w:val="00657D46"/>
    <w:rsid w:val="006641B8"/>
    <w:rsid w:val="006649E0"/>
    <w:rsid w:val="006735D1"/>
    <w:rsid w:val="00673BEC"/>
    <w:rsid w:val="0068207D"/>
    <w:rsid w:val="00692B50"/>
    <w:rsid w:val="00696F4E"/>
    <w:rsid w:val="006A739D"/>
    <w:rsid w:val="006B0369"/>
    <w:rsid w:val="006B475B"/>
    <w:rsid w:val="006F5443"/>
    <w:rsid w:val="006F61BB"/>
    <w:rsid w:val="006F7D77"/>
    <w:rsid w:val="007014E0"/>
    <w:rsid w:val="00703281"/>
    <w:rsid w:val="00703B0C"/>
    <w:rsid w:val="0070525A"/>
    <w:rsid w:val="00724AD6"/>
    <w:rsid w:val="00730407"/>
    <w:rsid w:val="0073643D"/>
    <w:rsid w:val="007408E4"/>
    <w:rsid w:val="00741C96"/>
    <w:rsid w:val="007471A2"/>
    <w:rsid w:val="00750EB4"/>
    <w:rsid w:val="00760ADC"/>
    <w:rsid w:val="00761919"/>
    <w:rsid w:val="00770041"/>
    <w:rsid w:val="007757D1"/>
    <w:rsid w:val="00775ADC"/>
    <w:rsid w:val="00783BE5"/>
    <w:rsid w:val="0078422D"/>
    <w:rsid w:val="00787B4E"/>
    <w:rsid w:val="00791FAD"/>
    <w:rsid w:val="00795109"/>
    <w:rsid w:val="007A0BBA"/>
    <w:rsid w:val="007A101A"/>
    <w:rsid w:val="007A3245"/>
    <w:rsid w:val="007A5259"/>
    <w:rsid w:val="007B3406"/>
    <w:rsid w:val="007C7A96"/>
    <w:rsid w:val="007E0E37"/>
    <w:rsid w:val="007E77F0"/>
    <w:rsid w:val="007F0D64"/>
    <w:rsid w:val="007F252E"/>
    <w:rsid w:val="007F2EC5"/>
    <w:rsid w:val="007F7039"/>
    <w:rsid w:val="008001AC"/>
    <w:rsid w:val="00807F88"/>
    <w:rsid w:val="00813621"/>
    <w:rsid w:val="008414F5"/>
    <w:rsid w:val="00851927"/>
    <w:rsid w:val="00856437"/>
    <w:rsid w:val="00862B4D"/>
    <w:rsid w:val="00873E1A"/>
    <w:rsid w:val="008929AF"/>
    <w:rsid w:val="008948E0"/>
    <w:rsid w:val="0089783E"/>
    <w:rsid w:val="008B0CE2"/>
    <w:rsid w:val="008B5270"/>
    <w:rsid w:val="008C000E"/>
    <w:rsid w:val="008C19DC"/>
    <w:rsid w:val="008C1A16"/>
    <w:rsid w:val="008C27E3"/>
    <w:rsid w:val="008C5840"/>
    <w:rsid w:val="008E3BB7"/>
    <w:rsid w:val="008F56D5"/>
    <w:rsid w:val="008F6D7E"/>
    <w:rsid w:val="00901397"/>
    <w:rsid w:val="00905B5F"/>
    <w:rsid w:val="0090634D"/>
    <w:rsid w:val="00916228"/>
    <w:rsid w:val="00930E02"/>
    <w:rsid w:val="00931A77"/>
    <w:rsid w:val="00934287"/>
    <w:rsid w:val="00941E04"/>
    <w:rsid w:val="009448A0"/>
    <w:rsid w:val="00960E86"/>
    <w:rsid w:val="0097120E"/>
    <w:rsid w:val="00973433"/>
    <w:rsid w:val="009917DB"/>
    <w:rsid w:val="009A5CF0"/>
    <w:rsid w:val="009B008C"/>
    <w:rsid w:val="009B2531"/>
    <w:rsid w:val="009B53D8"/>
    <w:rsid w:val="009C050B"/>
    <w:rsid w:val="009C1659"/>
    <w:rsid w:val="009D7A94"/>
    <w:rsid w:val="009E3139"/>
    <w:rsid w:val="009E7720"/>
    <w:rsid w:val="009E7BCE"/>
    <w:rsid w:val="009F4CD9"/>
    <w:rsid w:val="009F55E5"/>
    <w:rsid w:val="00A007BB"/>
    <w:rsid w:val="00A02C36"/>
    <w:rsid w:val="00A06E47"/>
    <w:rsid w:val="00A13AD0"/>
    <w:rsid w:val="00A26B2A"/>
    <w:rsid w:val="00A270CC"/>
    <w:rsid w:val="00A35EFC"/>
    <w:rsid w:val="00A43012"/>
    <w:rsid w:val="00A57492"/>
    <w:rsid w:val="00A57B02"/>
    <w:rsid w:val="00A64716"/>
    <w:rsid w:val="00A651D0"/>
    <w:rsid w:val="00A678F7"/>
    <w:rsid w:val="00A7134D"/>
    <w:rsid w:val="00A82C97"/>
    <w:rsid w:val="00A8403D"/>
    <w:rsid w:val="00A85C42"/>
    <w:rsid w:val="00A94CF8"/>
    <w:rsid w:val="00AA29EF"/>
    <w:rsid w:val="00AB3623"/>
    <w:rsid w:val="00AB3812"/>
    <w:rsid w:val="00AB444E"/>
    <w:rsid w:val="00AB730D"/>
    <w:rsid w:val="00AB75AF"/>
    <w:rsid w:val="00AE0CEB"/>
    <w:rsid w:val="00AE51E1"/>
    <w:rsid w:val="00B04149"/>
    <w:rsid w:val="00B06A88"/>
    <w:rsid w:val="00B101CA"/>
    <w:rsid w:val="00B125A7"/>
    <w:rsid w:val="00B230DB"/>
    <w:rsid w:val="00B2376E"/>
    <w:rsid w:val="00B24287"/>
    <w:rsid w:val="00B25E5F"/>
    <w:rsid w:val="00B31DA0"/>
    <w:rsid w:val="00B32325"/>
    <w:rsid w:val="00B36252"/>
    <w:rsid w:val="00B367C1"/>
    <w:rsid w:val="00B404FB"/>
    <w:rsid w:val="00B438EB"/>
    <w:rsid w:val="00B46248"/>
    <w:rsid w:val="00B47844"/>
    <w:rsid w:val="00B519D8"/>
    <w:rsid w:val="00B51B3F"/>
    <w:rsid w:val="00B55E28"/>
    <w:rsid w:val="00B629DC"/>
    <w:rsid w:val="00B64CBA"/>
    <w:rsid w:val="00B66FB9"/>
    <w:rsid w:val="00B70213"/>
    <w:rsid w:val="00B74E53"/>
    <w:rsid w:val="00B832D6"/>
    <w:rsid w:val="00B867AE"/>
    <w:rsid w:val="00B87EB6"/>
    <w:rsid w:val="00BA1FBF"/>
    <w:rsid w:val="00BA7DD2"/>
    <w:rsid w:val="00BB0844"/>
    <w:rsid w:val="00BC0FBA"/>
    <w:rsid w:val="00BC75E0"/>
    <w:rsid w:val="00BD3E0C"/>
    <w:rsid w:val="00BD5726"/>
    <w:rsid w:val="00BD5A15"/>
    <w:rsid w:val="00BD7B19"/>
    <w:rsid w:val="00BF0921"/>
    <w:rsid w:val="00BF540E"/>
    <w:rsid w:val="00BF58C6"/>
    <w:rsid w:val="00BF665A"/>
    <w:rsid w:val="00C01B2D"/>
    <w:rsid w:val="00C01DF8"/>
    <w:rsid w:val="00C02632"/>
    <w:rsid w:val="00C239C3"/>
    <w:rsid w:val="00C25B2A"/>
    <w:rsid w:val="00C27FC4"/>
    <w:rsid w:val="00C30D58"/>
    <w:rsid w:val="00C32955"/>
    <w:rsid w:val="00C4623C"/>
    <w:rsid w:val="00C65C27"/>
    <w:rsid w:val="00C72BFF"/>
    <w:rsid w:val="00C8721C"/>
    <w:rsid w:val="00C9011B"/>
    <w:rsid w:val="00C90671"/>
    <w:rsid w:val="00C91116"/>
    <w:rsid w:val="00C91715"/>
    <w:rsid w:val="00C929B7"/>
    <w:rsid w:val="00CA0879"/>
    <w:rsid w:val="00CA4514"/>
    <w:rsid w:val="00CA7308"/>
    <w:rsid w:val="00CB4FA9"/>
    <w:rsid w:val="00CC24EA"/>
    <w:rsid w:val="00CC3E97"/>
    <w:rsid w:val="00CC4BBA"/>
    <w:rsid w:val="00CD4DCC"/>
    <w:rsid w:val="00CE4DA2"/>
    <w:rsid w:val="00CE5F3C"/>
    <w:rsid w:val="00CF65FC"/>
    <w:rsid w:val="00CF6BB0"/>
    <w:rsid w:val="00D00442"/>
    <w:rsid w:val="00D11566"/>
    <w:rsid w:val="00D1592A"/>
    <w:rsid w:val="00D16C61"/>
    <w:rsid w:val="00D21741"/>
    <w:rsid w:val="00D249F8"/>
    <w:rsid w:val="00D27566"/>
    <w:rsid w:val="00D43BD3"/>
    <w:rsid w:val="00D46BB2"/>
    <w:rsid w:val="00D539DD"/>
    <w:rsid w:val="00D66BBB"/>
    <w:rsid w:val="00D859A7"/>
    <w:rsid w:val="00D90C17"/>
    <w:rsid w:val="00D92AB2"/>
    <w:rsid w:val="00D97DBA"/>
    <w:rsid w:val="00DA2CAD"/>
    <w:rsid w:val="00DA64A9"/>
    <w:rsid w:val="00DA6534"/>
    <w:rsid w:val="00DB0265"/>
    <w:rsid w:val="00DB1DEC"/>
    <w:rsid w:val="00DB6418"/>
    <w:rsid w:val="00DB6EDE"/>
    <w:rsid w:val="00DB6FAA"/>
    <w:rsid w:val="00DC35BA"/>
    <w:rsid w:val="00DC6B87"/>
    <w:rsid w:val="00DD0111"/>
    <w:rsid w:val="00DD16CD"/>
    <w:rsid w:val="00DD3BF6"/>
    <w:rsid w:val="00DD3DEA"/>
    <w:rsid w:val="00DE767D"/>
    <w:rsid w:val="00DF1EDA"/>
    <w:rsid w:val="00DF6D3E"/>
    <w:rsid w:val="00E03697"/>
    <w:rsid w:val="00E05678"/>
    <w:rsid w:val="00E10FC0"/>
    <w:rsid w:val="00E15399"/>
    <w:rsid w:val="00E167A6"/>
    <w:rsid w:val="00E16AB0"/>
    <w:rsid w:val="00E20B03"/>
    <w:rsid w:val="00E22EB2"/>
    <w:rsid w:val="00E24A38"/>
    <w:rsid w:val="00E26D43"/>
    <w:rsid w:val="00E33E55"/>
    <w:rsid w:val="00E34F39"/>
    <w:rsid w:val="00E41EF5"/>
    <w:rsid w:val="00E5090D"/>
    <w:rsid w:val="00E51381"/>
    <w:rsid w:val="00E55FEA"/>
    <w:rsid w:val="00E63C42"/>
    <w:rsid w:val="00E71117"/>
    <w:rsid w:val="00E75064"/>
    <w:rsid w:val="00E81BC9"/>
    <w:rsid w:val="00E86F69"/>
    <w:rsid w:val="00E921E2"/>
    <w:rsid w:val="00E92B94"/>
    <w:rsid w:val="00EA2D8D"/>
    <w:rsid w:val="00EB2325"/>
    <w:rsid w:val="00EB2DA4"/>
    <w:rsid w:val="00EB3CCB"/>
    <w:rsid w:val="00EB6AD1"/>
    <w:rsid w:val="00EC7324"/>
    <w:rsid w:val="00ED1AAC"/>
    <w:rsid w:val="00ED3575"/>
    <w:rsid w:val="00EE6270"/>
    <w:rsid w:val="00F04409"/>
    <w:rsid w:val="00F1295A"/>
    <w:rsid w:val="00F31642"/>
    <w:rsid w:val="00F3317E"/>
    <w:rsid w:val="00F34597"/>
    <w:rsid w:val="00F43F42"/>
    <w:rsid w:val="00F45518"/>
    <w:rsid w:val="00F45948"/>
    <w:rsid w:val="00F632AC"/>
    <w:rsid w:val="00F67901"/>
    <w:rsid w:val="00F74610"/>
    <w:rsid w:val="00F748FC"/>
    <w:rsid w:val="00F8020F"/>
    <w:rsid w:val="00F9188F"/>
    <w:rsid w:val="00F92A09"/>
    <w:rsid w:val="00F96F9F"/>
    <w:rsid w:val="00F979E3"/>
    <w:rsid w:val="00FB5663"/>
    <w:rsid w:val="00FB654B"/>
    <w:rsid w:val="00FC6915"/>
    <w:rsid w:val="00FE0E48"/>
    <w:rsid w:val="00FE1A7C"/>
    <w:rsid w:val="00FE227D"/>
    <w:rsid w:val="00FE4FE3"/>
    <w:rsid w:val="00FF1705"/>
    <w:rsid w:val="00FF1C02"/>
    <w:rsid w:val="01B80BA0"/>
    <w:rsid w:val="0239746D"/>
    <w:rsid w:val="028314C5"/>
    <w:rsid w:val="02902A6D"/>
    <w:rsid w:val="0313471D"/>
    <w:rsid w:val="03247659"/>
    <w:rsid w:val="03817477"/>
    <w:rsid w:val="03A4745A"/>
    <w:rsid w:val="03EA43FF"/>
    <w:rsid w:val="05BB2EDA"/>
    <w:rsid w:val="063806A6"/>
    <w:rsid w:val="06625BED"/>
    <w:rsid w:val="06816577"/>
    <w:rsid w:val="070F24F4"/>
    <w:rsid w:val="071105A0"/>
    <w:rsid w:val="07922E23"/>
    <w:rsid w:val="08065580"/>
    <w:rsid w:val="080662DB"/>
    <w:rsid w:val="08275C22"/>
    <w:rsid w:val="0888316E"/>
    <w:rsid w:val="088E7A4F"/>
    <w:rsid w:val="09A137B2"/>
    <w:rsid w:val="09A54DE2"/>
    <w:rsid w:val="0B3973F0"/>
    <w:rsid w:val="0BB07D50"/>
    <w:rsid w:val="0D4A3E08"/>
    <w:rsid w:val="0DAC249F"/>
    <w:rsid w:val="0EE3296B"/>
    <w:rsid w:val="0FA70C95"/>
    <w:rsid w:val="0FFC3786"/>
    <w:rsid w:val="1061347E"/>
    <w:rsid w:val="10972F48"/>
    <w:rsid w:val="11555351"/>
    <w:rsid w:val="116679A8"/>
    <w:rsid w:val="11742848"/>
    <w:rsid w:val="117D32B6"/>
    <w:rsid w:val="122F4065"/>
    <w:rsid w:val="12853037"/>
    <w:rsid w:val="12E82452"/>
    <w:rsid w:val="13704A6A"/>
    <w:rsid w:val="13D12EE6"/>
    <w:rsid w:val="145C06AD"/>
    <w:rsid w:val="14C752E5"/>
    <w:rsid w:val="14D007F8"/>
    <w:rsid w:val="14ED01F3"/>
    <w:rsid w:val="15783F61"/>
    <w:rsid w:val="158226E9"/>
    <w:rsid w:val="15883A78"/>
    <w:rsid w:val="15A642EE"/>
    <w:rsid w:val="15C301C0"/>
    <w:rsid w:val="160F2DD2"/>
    <w:rsid w:val="163503F7"/>
    <w:rsid w:val="166D339A"/>
    <w:rsid w:val="16A13043"/>
    <w:rsid w:val="16E457A3"/>
    <w:rsid w:val="175D3355"/>
    <w:rsid w:val="17AB5634"/>
    <w:rsid w:val="1802136D"/>
    <w:rsid w:val="18270B74"/>
    <w:rsid w:val="18564F15"/>
    <w:rsid w:val="189A5F9C"/>
    <w:rsid w:val="192B3098"/>
    <w:rsid w:val="193627AE"/>
    <w:rsid w:val="19625ED7"/>
    <w:rsid w:val="1A622AE9"/>
    <w:rsid w:val="1AE610B2"/>
    <w:rsid w:val="1CFE087B"/>
    <w:rsid w:val="1DA401CB"/>
    <w:rsid w:val="1E8F7C25"/>
    <w:rsid w:val="1FE30229"/>
    <w:rsid w:val="204F3938"/>
    <w:rsid w:val="20752D79"/>
    <w:rsid w:val="208C7916"/>
    <w:rsid w:val="20A26D14"/>
    <w:rsid w:val="21113B3F"/>
    <w:rsid w:val="212449C9"/>
    <w:rsid w:val="21372834"/>
    <w:rsid w:val="224126E1"/>
    <w:rsid w:val="22596373"/>
    <w:rsid w:val="22A719E1"/>
    <w:rsid w:val="22BB4C17"/>
    <w:rsid w:val="23056814"/>
    <w:rsid w:val="23DA5979"/>
    <w:rsid w:val="25056E93"/>
    <w:rsid w:val="25270BB7"/>
    <w:rsid w:val="25743C2D"/>
    <w:rsid w:val="25886E75"/>
    <w:rsid w:val="25995E07"/>
    <w:rsid w:val="26CA05BC"/>
    <w:rsid w:val="273D2914"/>
    <w:rsid w:val="278C73F8"/>
    <w:rsid w:val="27AE736E"/>
    <w:rsid w:val="281E0C37"/>
    <w:rsid w:val="281E4BAD"/>
    <w:rsid w:val="28422C4A"/>
    <w:rsid w:val="288C1C73"/>
    <w:rsid w:val="28A514B7"/>
    <w:rsid w:val="28D2695D"/>
    <w:rsid w:val="28E35212"/>
    <w:rsid w:val="29427C8D"/>
    <w:rsid w:val="295B4EC7"/>
    <w:rsid w:val="298B4180"/>
    <w:rsid w:val="29F941BE"/>
    <w:rsid w:val="2A075C63"/>
    <w:rsid w:val="2A752DA1"/>
    <w:rsid w:val="2A852F4F"/>
    <w:rsid w:val="2ACC0890"/>
    <w:rsid w:val="2B626BAF"/>
    <w:rsid w:val="2B85032A"/>
    <w:rsid w:val="2B907660"/>
    <w:rsid w:val="2BA37429"/>
    <w:rsid w:val="2BB62C95"/>
    <w:rsid w:val="2C2D1DE5"/>
    <w:rsid w:val="2C3B1A0A"/>
    <w:rsid w:val="2CD107CB"/>
    <w:rsid w:val="2D8414E2"/>
    <w:rsid w:val="2E1A3E64"/>
    <w:rsid w:val="2E4C7DC1"/>
    <w:rsid w:val="2EC67DFA"/>
    <w:rsid w:val="2EEA6956"/>
    <w:rsid w:val="2F013FEB"/>
    <w:rsid w:val="2F947791"/>
    <w:rsid w:val="2FB97049"/>
    <w:rsid w:val="301600B1"/>
    <w:rsid w:val="310B12FF"/>
    <w:rsid w:val="31592A40"/>
    <w:rsid w:val="318848C5"/>
    <w:rsid w:val="326E3CBF"/>
    <w:rsid w:val="32822176"/>
    <w:rsid w:val="32A95CA6"/>
    <w:rsid w:val="3352084C"/>
    <w:rsid w:val="337547CA"/>
    <w:rsid w:val="33817DB5"/>
    <w:rsid w:val="33EA4CBF"/>
    <w:rsid w:val="34402B3D"/>
    <w:rsid w:val="35095243"/>
    <w:rsid w:val="357C66D2"/>
    <w:rsid w:val="35D95EFE"/>
    <w:rsid w:val="36D81E9B"/>
    <w:rsid w:val="372C7189"/>
    <w:rsid w:val="377573F3"/>
    <w:rsid w:val="380A54C6"/>
    <w:rsid w:val="38832151"/>
    <w:rsid w:val="394628FF"/>
    <w:rsid w:val="398268AC"/>
    <w:rsid w:val="39A15EE1"/>
    <w:rsid w:val="39AD45D3"/>
    <w:rsid w:val="3A231E3E"/>
    <w:rsid w:val="3A241201"/>
    <w:rsid w:val="3A6840C3"/>
    <w:rsid w:val="3A8F0FAB"/>
    <w:rsid w:val="3AA840F1"/>
    <w:rsid w:val="3AE7497A"/>
    <w:rsid w:val="3B2E0A9A"/>
    <w:rsid w:val="3C415EA5"/>
    <w:rsid w:val="3CA52FDE"/>
    <w:rsid w:val="3CB34081"/>
    <w:rsid w:val="3D10059D"/>
    <w:rsid w:val="3D5F13DF"/>
    <w:rsid w:val="3DF9154E"/>
    <w:rsid w:val="3E5C4E66"/>
    <w:rsid w:val="3F5E1222"/>
    <w:rsid w:val="4181155D"/>
    <w:rsid w:val="41BD1130"/>
    <w:rsid w:val="421410B9"/>
    <w:rsid w:val="421D3616"/>
    <w:rsid w:val="42E958FB"/>
    <w:rsid w:val="4359242C"/>
    <w:rsid w:val="451231DA"/>
    <w:rsid w:val="45813EBC"/>
    <w:rsid w:val="459C04E5"/>
    <w:rsid w:val="45BD577A"/>
    <w:rsid w:val="46512B79"/>
    <w:rsid w:val="478B1022"/>
    <w:rsid w:val="47A250AC"/>
    <w:rsid w:val="47EA3449"/>
    <w:rsid w:val="481061ED"/>
    <w:rsid w:val="481A027A"/>
    <w:rsid w:val="49080B7C"/>
    <w:rsid w:val="493354CD"/>
    <w:rsid w:val="49BB0B18"/>
    <w:rsid w:val="49E875DA"/>
    <w:rsid w:val="4A2C4D3F"/>
    <w:rsid w:val="4A7E09CA"/>
    <w:rsid w:val="4ADE169B"/>
    <w:rsid w:val="4B1A57F7"/>
    <w:rsid w:val="4B500246"/>
    <w:rsid w:val="4C39104D"/>
    <w:rsid w:val="4C8E4DB3"/>
    <w:rsid w:val="4C955DA5"/>
    <w:rsid w:val="4CAA7915"/>
    <w:rsid w:val="4D835465"/>
    <w:rsid w:val="4EA06F2F"/>
    <w:rsid w:val="4EBF585F"/>
    <w:rsid w:val="4F0B44A3"/>
    <w:rsid w:val="500E79CD"/>
    <w:rsid w:val="513A1AEF"/>
    <w:rsid w:val="51825244"/>
    <w:rsid w:val="51861AB2"/>
    <w:rsid w:val="51E761E9"/>
    <w:rsid w:val="520053D0"/>
    <w:rsid w:val="5253273C"/>
    <w:rsid w:val="5298758A"/>
    <w:rsid w:val="55264C1E"/>
    <w:rsid w:val="556D081A"/>
    <w:rsid w:val="55EA7F1F"/>
    <w:rsid w:val="567535C9"/>
    <w:rsid w:val="56E952F2"/>
    <w:rsid w:val="57062473"/>
    <w:rsid w:val="57262C6C"/>
    <w:rsid w:val="57AC301B"/>
    <w:rsid w:val="57D72BFB"/>
    <w:rsid w:val="57EB2654"/>
    <w:rsid w:val="581954F7"/>
    <w:rsid w:val="58315AE5"/>
    <w:rsid w:val="58C95063"/>
    <w:rsid w:val="58E76316"/>
    <w:rsid w:val="59215342"/>
    <w:rsid w:val="597A2DBD"/>
    <w:rsid w:val="59E86CA1"/>
    <w:rsid w:val="5A0802B0"/>
    <w:rsid w:val="5A9A270B"/>
    <w:rsid w:val="5A9D4E9D"/>
    <w:rsid w:val="5AEF682C"/>
    <w:rsid w:val="5B1909C7"/>
    <w:rsid w:val="5B3C2907"/>
    <w:rsid w:val="5B8C57DC"/>
    <w:rsid w:val="5CDA3669"/>
    <w:rsid w:val="5DA163DF"/>
    <w:rsid w:val="5E6F2C02"/>
    <w:rsid w:val="5ED9340D"/>
    <w:rsid w:val="5F1D1196"/>
    <w:rsid w:val="5F3B2886"/>
    <w:rsid w:val="5F6E37B4"/>
    <w:rsid w:val="60B5781A"/>
    <w:rsid w:val="61A4607B"/>
    <w:rsid w:val="61D365BA"/>
    <w:rsid w:val="622808F3"/>
    <w:rsid w:val="623E6232"/>
    <w:rsid w:val="62BB115E"/>
    <w:rsid w:val="62C023E5"/>
    <w:rsid w:val="62C25536"/>
    <w:rsid w:val="631C71B3"/>
    <w:rsid w:val="631F6D97"/>
    <w:rsid w:val="632035B9"/>
    <w:rsid w:val="64EC1EE5"/>
    <w:rsid w:val="650F1FA6"/>
    <w:rsid w:val="65AD4B81"/>
    <w:rsid w:val="65F93D3B"/>
    <w:rsid w:val="6618187B"/>
    <w:rsid w:val="666326BE"/>
    <w:rsid w:val="66801984"/>
    <w:rsid w:val="66A63D9A"/>
    <w:rsid w:val="67255C26"/>
    <w:rsid w:val="672C2C58"/>
    <w:rsid w:val="6737224A"/>
    <w:rsid w:val="677F4A0F"/>
    <w:rsid w:val="67E7278F"/>
    <w:rsid w:val="68532DD5"/>
    <w:rsid w:val="693B1EA0"/>
    <w:rsid w:val="69A07B5E"/>
    <w:rsid w:val="69A10D8D"/>
    <w:rsid w:val="69D00DEB"/>
    <w:rsid w:val="69D56C97"/>
    <w:rsid w:val="69F50851"/>
    <w:rsid w:val="6A1E585A"/>
    <w:rsid w:val="6A2651CB"/>
    <w:rsid w:val="6A4F6BAA"/>
    <w:rsid w:val="6A7259FE"/>
    <w:rsid w:val="6AAD18C2"/>
    <w:rsid w:val="6AD0755A"/>
    <w:rsid w:val="6B587420"/>
    <w:rsid w:val="6B680357"/>
    <w:rsid w:val="6B9C7DC0"/>
    <w:rsid w:val="6C7F4402"/>
    <w:rsid w:val="6D5835D1"/>
    <w:rsid w:val="6DB7220B"/>
    <w:rsid w:val="6E193686"/>
    <w:rsid w:val="6E282E9D"/>
    <w:rsid w:val="6E5A5FDF"/>
    <w:rsid w:val="6F0759B6"/>
    <w:rsid w:val="6F4B5393"/>
    <w:rsid w:val="6F9048E0"/>
    <w:rsid w:val="6F91539E"/>
    <w:rsid w:val="6FB2689C"/>
    <w:rsid w:val="700D7F77"/>
    <w:rsid w:val="70495FDA"/>
    <w:rsid w:val="705037CC"/>
    <w:rsid w:val="70E92792"/>
    <w:rsid w:val="711D6367"/>
    <w:rsid w:val="72575D8A"/>
    <w:rsid w:val="728946C5"/>
    <w:rsid w:val="73591E51"/>
    <w:rsid w:val="73635721"/>
    <w:rsid w:val="73E41535"/>
    <w:rsid w:val="73E51E24"/>
    <w:rsid w:val="745810C1"/>
    <w:rsid w:val="746001B2"/>
    <w:rsid w:val="74C432FA"/>
    <w:rsid w:val="752A3FEA"/>
    <w:rsid w:val="77BB4AEF"/>
    <w:rsid w:val="783441AB"/>
    <w:rsid w:val="783E7D82"/>
    <w:rsid w:val="78E37C3D"/>
    <w:rsid w:val="79B37DE1"/>
    <w:rsid w:val="79E75892"/>
    <w:rsid w:val="7A095133"/>
    <w:rsid w:val="7A37587D"/>
    <w:rsid w:val="7A40386B"/>
    <w:rsid w:val="7C043D14"/>
    <w:rsid w:val="7CEF35A8"/>
    <w:rsid w:val="7CF63561"/>
    <w:rsid w:val="7D6112D1"/>
    <w:rsid w:val="7DF852BA"/>
    <w:rsid w:val="7E327491"/>
    <w:rsid w:val="7E933D3D"/>
    <w:rsid w:val="7E9A4BE5"/>
    <w:rsid w:val="7EA63A70"/>
    <w:rsid w:val="7F216F93"/>
    <w:rsid w:val="7F3A2F0A"/>
    <w:rsid w:val="7F9F11E2"/>
    <w:rsid w:val="7FA041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23"/>
    <w:qFormat/>
    <w:uiPriority w:val="0"/>
    <w:pPr>
      <w:keepNext/>
      <w:keepLines/>
      <w:spacing w:before="340" w:beforeLines="0" w:after="330" w:afterLines="0" w:line="578" w:lineRule="auto"/>
      <w:outlineLvl w:val="0"/>
    </w:pPr>
    <w:rPr>
      <w:rFonts w:ascii="Times New Roman" w:hAnsi="Times New Roman" w:cs="Times New Roman"/>
      <w:b/>
      <w:bCs/>
      <w:kern w:val="44"/>
      <w:sz w:val="44"/>
      <w:szCs w:val="44"/>
    </w:rPr>
  </w:style>
  <w:style w:type="paragraph" w:styleId="3">
    <w:name w:val="heading 2"/>
    <w:basedOn w:val="1"/>
    <w:next w:val="1"/>
    <w:link w:val="24"/>
    <w:qFormat/>
    <w:uiPriority w:val="0"/>
    <w:pPr>
      <w:keepNext/>
      <w:keepLines/>
      <w:spacing w:before="260" w:beforeLines="0" w:after="260" w:afterLines="0" w:line="416" w:lineRule="auto"/>
      <w:outlineLvl w:val="1"/>
    </w:pPr>
    <w:rPr>
      <w:rFonts w:ascii="Calibri Light" w:hAnsi="Calibri Light" w:cs="Times New Roman"/>
      <w:b/>
      <w:bCs/>
      <w:sz w:val="32"/>
      <w:szCs w:val="32"/>
    </w:rPr>
  </w:style>
  <w:style w:type="paragraph" w:styleId="4">
    <w:name w:val="heading 3"/>
    <w:basedOn w:val="1"/>
    <w:next w:val="1"/>
    <w:link w:val="25"/>
    <w:qFormat/>
    <w:uiPriority w:val="0"/>
    <w:pPr>
      <w:keepNext/>
      <w:keepLines/>
      <w:spacing w:before="260" w:beforeLines="0" w:after="260" w:afterLines="0" w:line="416" w:lineRule="auto"/>
      <w:outlineLvl w:val="2"/>
    </w:pPr>
    <w:rPr>
      <w:rFonts w:ascii="Times New Roman" w:hAnsi="Times New Roman" w:cs="Times New Roman"/>
      <w:b/>
      <w:bCs/>
      <w:sz w:val="32"/>
      <w:szCs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link w:val="26"/>
    <w:qFormat/>
    <w:uiPriority w:val="0"/>
    <w:pPr>
      <w:jc w:val="left"/>
    </w:pPr>
    <w:rPr>
      <w:rFonts w:ascii="Times New Roman" w:hAnsi="Times New Roman" w:cs="Times New Roman"/>
    </w:rPr>
  </w:style>
  <w:style w:type="paragraph" w:styleId="6">
    <w:name w:val="toc 3"/>
    <w:basedOn w:val="1"/>
    <w:next w:val="1"/>
    <w:qFormat/>
    <w:uiPriority w:val="0"/>
    <w:pPr>
      <w:widowControl/>
      <w:tabs>
        <w:tab w:val="right" w:leader="dot" w:pos="8296"/>
      </w:tabs>
      <w:spacing w:after="100" w:afterLines="0"/>
      <w:ind w:left="442"/>
      <w:jc w:val="left"/>
    </w:pPr>
    <w:rPr>
      <w:kern w:val="0"/>
      <w:sz w:val="22"/>
    </w:rPr>
  </w:style>
  <w:style w:type="paragraph" w:styleId="7">
    <w:name w:val="Balloon Text"/>
    <w:basedOn w:val="1"/>
    <w:link w:val="27"/>
    <w:qFormat/>
    <w:uiPriority w:val="0"/>
    <w:rPr>
      <w:rFonts w:ascii="Times New Roman" w:hAnsi="Times New Roman" w:cs="Times New Roman"/>
      <w:sz w:val="18"/>
      <w:szCs w:val="18"/>
    </w:rPr>
  </w:style>
  <w:style w:type="paragraph" w:styleId="8">
    <w:name w:val="footer"/>
    <w:basedOn w:val="1"/>
    <w:link w:val="28"/>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1"/>
    <w:next w:val="1"/>
    <w:qFormat/>
    <w:uiPriority w:val="0"/>
    <w:pPr>
      <w:widowControl/>
      <w:spacing w:after="100" w:afterLines="0" w:line="276" w:lineRule="auto"/>
      <w:jc w:val="left"/>
    </w:pPr>
    <w:rPr>
      <w:kern w:val="0"/>
      <w:sz w:val="22"/>
    </w:rPr>
  </w:style>
  <w:style w:type="paragraph" w:styleId="11">
    <w:name w:val="toc 2"/>
    <w:basedOn w:val="1"/>
    <w:next w:val="1"/>
    <w:qFormat/>
    <w:uiPriority w:val="0"/>
    <w:pPr>
      <w:widowControl/>
      <w:tabs>
        <w:tab w:val="right" w:leader="dot" w:pos="8296"/>
      </w:tabs>
      <w:spacing w:after="100" w:afterLines="0"/>
      <w:ind w:left="221"/>
      <w:jc w:val="left"/>
    </w:pPr>
    <w:rPr>
      <w:kern w:val="0"/>
      <w:sz w:val="22"/>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link w:val="30"/>
    <w:qFormat/>
    <w:uiPriority w:val="0"/>
    <w:pPr>
      <w:spacing w:before="240" w:beforeLines="0" w:after="60" w:afterLines="0"/>
      <w:jc w:val="center"/>
      <w:outlineLvl w:val="0"/>
    </w:pPr>
    <w:rPr>
      <w:rFonts w:ascii="Calibri Light" w:hAnsi="Calibri Light" w:cs="Times New Roman"/>
      <w:b/>
      <w:bCs/>
      <w:sz w:val="32"/>
      <w:szCs w:val="32"/>
    </w:rPr>
  </w:style>
  <w:style w:type="paragraph" w:styleId="14">
    <w:name w:val="annotation subject"/>
    <w:basedOn w:val="5"/>
    <w:next w:val="5"/>
    <w:link w:val="31"/>
    <w:qFormat/>
    <w:uiPriority w:val="0"/>
    <w:rPr>
      <w:rFonts w:ascii="Calibri" w:hAnsi="Calibri" w:cs="黑体"/>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uiPriority w:val="0"/>
    <w:rPr>
      <w:color w:val="0563C1"/>
      <w:u w:val="single"/>
    </w:rPr>
  </w:style>
  <w:style w:type="character" w:styleId="20">
    <w:name w:val="HTML Code"/>
    <w:unhideWhenUsed/>
    <w:qFormat/>
    <w:uiPriority w:val="99"/>
    <w:rPr>
      <w:rFonts w:ascii="宋体" w:hAnsi="宋体" w:eastAsia="宋体" w:cs="宋体"/>
      <w:sz w:val="24"/>
      <w:szCs w:val="24"/>
    </w:rPr>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1 字符"/>
    <w:link w:val="2"/>
    <w:qFormat/>
    <w:uiPriority w:val="0"/>
    <w:rPr>
      <w:b/>
      <w:bCs/>
      <w:kern w:val="44"/>
      <w:sz w:val="44"/>
      <w:szCs w:val="44"/>
    </w:rPr>
  </w:style>
  <w:style w:type="character" w:customStyle="1" w:styleId="24">
    <w:name w:val="标题 2 字符"/>
    <w:link w:val="3"/>
    <w:qFormat/>
    <w:uiPriority w:val="0"/>
    <w:rPr>
      <w:rFonts w:ascii="Calibri Light" w:hAnsi="Calibri Light" w:eastAsia="宋体" w:cs="黑体"/>
      <w:b/>
      <w:bCs/>
      <w:kern w:val="2"/>
      <w:sz w:val="32"/>
      <w:szCs w:val="32"/>
    </w:rPr>
  </w:style>
  <w:style w:type="character" w:customStyle="1" w:styleId="25">
    <w:name w:val="标题 3 字符"/>
    <w:link w:val="4"/>
    <w:qFormat/>
    <w:uiPriority w:val="0"/>
    <w:rPr>
      <w:b/>
      <w:bCs/>
      <w:kern w:val="2"/>
      <w:sz w:val="32"/>
      <w:szCs w:val="32"/>
    </w:rPr>
  </w:style>
  <w:style w:type="character" w:customStyle="1" w:styleId="26">
    <w:name w:val="批注文字 字符"/>
    <w:link w:val="5"/>
    <w:qFormat/>
    <w:uiPriority w:val="0"/>
    <w:rPr>
      <w:kern w:val="2"/>
      <w:sz w:val="24"/>
      <w:szCs w:val="24"/>
    </w:rPr>
  </w:style>
  <w:style w:type="character" w:customStyle="1" w:styleId="27">
    <w:name w:val="批注框文本 字符"/>
    <w:link w:val="7"/>
    <w:qFormat/>
    <w:uiPriority w:val="0"/>
    <w:rPr>
      <w:kern w:val="2"/>
      <w:sz w:val="18"/>
      <w:szCs w:val="18"/>
    </w:rPr>
  </w:style>
  <w:style w:type="character" w:customStyle="1" w:styleId="28">
    <w:name w:val="页脚 字符"/>
    <w:link w:val="8"/>
    <w:qFormat/>
    <w:uiPriority w:val="0"/>
    <w:rPr>
      <w:sz w:val="18"/>
      <w:szCs w:val="18"/>
    </w:rPr>
  </w:style>
  <w:style w:type="character" w:customStyle="1" w:styleId="29">
    <w:name w:val="页眉 字符"/>
    <w:link w:val="9"/>
    <w:qFormat/>
    <w:uiPriority w:val="0"/>
    <w:rPr>
      <w:sz w:val="18"/>
      <w:szCs w:val="18"/>
    </w:rPr>
  </w:style>
  <w:style w:type="character" w:customStyle="1" w:styleId="30">
    <w:name w:val="标题 字符"/>
    <w:link w:val="13"/>
    <w:qFormat/>
    <w:uiPriority w:val="0"/>
    <w:rPr>
      <w:rFonts w:ascii="Calibri Light" w:hAnsi="Calibri Light" w:eastAsia="宋体" w:cs="黑体"/>
      <w:b/>
      <w:bCs/>
      <w:kern w:val="2"/>
      <w:sz w:val="32"/>
      <w:szCs w:val="32"/>
    </w:rPr>
  </w:style>
  <w:style w:type="character" w:customStyle="1" w:styleId="31">
    <w:name w:val="批注主题 字符"/>
    <w:link w:val="14"/>
    <w:qFormat/>
    <w:uiPriority w:val="0"/>
    <w:rPr>
      <w:rFonts w:ascii="Calibri" w:hAnsi="Calibri" w:cs="黑体"/>
      <w:b/>
      <w:bCs/>
      <w:kern w:val="2"/>
      <w:sz w:val="24"/>
      <w:szCs w:val="24"/>
    </w:rPr>
  </w:style>
  <w:style w:type="character" w:customStyle="1" w:styleId="32">
    <w:name w:val="fontstyle01"/>
    <w:qFormat/>
    <w:uiPriority w:val="0"/>
    <w:rPr>
      <w:rFonts w:hint="eastAsia" w:ascii="宋体" w:hAnsi="宋体" w:eastAsia="宋体"/>
      <w:color w:val="000000"/>
      <w:sz w:val="22"/>
      <w:szCs w:val="22"/>
    </w:rPr>
  </w:style>
  <w:style w:type="character" w:customStyle="1" w:styleId="33">
    <w:name w:val="apple-converted-space"/>
    <w:qFormat/>
    <w:uiPriority w:val="0"/>
  </w:style>
  <w:style w:type="character" w:customStyle="1" w:styleId="34">
    <w:name w:val="批注主题 Char"/>
    <w:link w:val="35"/>
    <w:qFormat/>
    <w:uiPriority w:val="0"/>
    <w:rPr>
      <w:b/>
      <w:bCs/>
      <w:kern w:val="2"/>
      <w:sz w:val="24"/>
      <w:szCs w:val="24"/>
    </w:rPr>
  </w:style>
  <w:style w:type="paragraph" w:customStyle="1" w:styleId="35">
    <w:name w:val="annotation subject"/>
    <w:basedOn w:val="5"/>
    <w:next w:val="5"/>
    <w:link w:val="34"/>
    <w:qFormat/>
    <w:uiPriority w:val="0"/>
    <w:rPr>
      <w:b/>
      <w:bCs/>
    </w:rPr>
  </w:style>
  <w:style w:type="character" w:customStyle="1" w:styleId="36">
    <w:name w:val="段 Char Char"/>
    <w:link w:val="37"/>
    <w:qFormat/>
    <w:uiPriority w:val="0"/>
    <w:rPr>
      <w:rFonts w:ascii="宋体"/>
      <w:sz w:val="21"/>
      <w:lang w:val="en-US" w:eastAsia="zh-CN" w:bidi="ar-SA"/>
    </w:rPr>
  </w:style>
  <w:style w:type="paragraph" w:customStyle="1" w:styleId="37">
    <w:name w:val="段"/>
    <w:link w:val="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8">
    <w:name w:val="fontstyle21"/>
    <w:qFormat/>
    <w:uiPriority w:val="0"/>
    <w:rPr>
      <w:rFonts w:hint="default" w:ascii="Times New Roman" w:hAnsi="Times New Roman" w:cs="Times New Roman"/>
      <w:color w:val="000000"/>
      <w:sz w:val="22"/>
      <w:szCs w:val="22"/>
    </w:rPr>
  </w:style>
  <w:style w:type="character" w:customStyle="1" w:styleId="39">
    <w:name w:val="annotation reference"/>
    <w:qFormat/>
    <w:uiPriority w:val="0"/>
    <w:rPr>
      <w:sz w:val="21"/>
      <w:szCs w:val="21"/>
    </w:rPr>
  </w:style>
  <w:style w:type="character" w:customStyle="1" w:styleId="40">
    <w:name w:val="HTML 预设格式 Char"/>
    <w:link w:val="41"/>
    <w:qFormat/>
    <w:uiPriority w:val="0"/>
    <w:rPr>
      <w:rFonts w:ascii="Courier New" w:hAnsi="Courier New" w:cs="Courier New"/>
      <w:kern w:val="0"/>
      <w:sz w:val="20"/>
      <w:szCs w:val="20"/>
    </w:rPr>
  </w:style>
  <w:style w:type="paragraph" w:customStyle="1" w:styleId="41">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character" w:customStyle="1" w:styleId="42">
    <w:name w:val="日期 Char"/>
    <w:link w:val="43"/>
    <w:qFormat/>
    <w:uiPriority w:val="0"/>
    <w:rPr>
      <w:kern w:val="2"/>
      <w:sz w:val="24"/>
      <w:szCs w:val="24"/>
    </w:rPr>
  </w:style>
  <w:style w:type="paragraph" w:customStyle="1" w:styleId="43">
    <w:name w:val="Date"/>
    <w:basedOn w:val="1"/>
    <w:next w:val="1"/>
    <w:link w:val="42"/>
    <w:qFormat/>
    <w:uiPriority w:val="0"/>
    <w:pPr>
      <w:ind w:left="100" w:leftChars="2500"/>
    </w:pPr>
    <w:rPr>
      <w:rFonts w:ascii="Times New Roman" w:hAnsi="Times New Roman" w:cs="Times New Roman"/>
    </w:rPr>
  </w:style>
  <w:style w:type="paragraph" w:customStyle="1" w:styleId="44">
    <w:name w:val="表头"/>
    <w:basedOn w:val="1"/>
    <w:qFormat/>
    <w:uiPriority w:val="0"/>
    <w:pPr>
      <w:spacing w:before="120" w:after="78" w:afterLines="25" w:line="340" w:lineRule="exact"/>
      <w:jc w:val="center"/>
    </w:pPr>
    <w:rPr>
      <w:rFonts w:ascii="黑体" w:hAnsi="Times New Roman" w:eastAsia="黑体" w:cs="Times New Roman"/>
      <w:sz w:val="21"/>
      <w:szCs w:val="21"/>
    </w:rPr>
  </w:style>
  <w:style w:type="paragraph" w:customStyle="1" w:styleId="45">
    <w:name w:val="正文表标题"/>
    <w:next w:val="37"/>
    <w:qFormat/>
    <w:uiPriority w:val="0"/>
    <w:pPr>
      <w:tabs>
        <w:tab w:val="left" w:pos="720"/>
      </w:tabs>
      <w:spacing w:before="156" w:beforeLines="50" w:after="156" w:afterLines="50"/>
      <w:ind w:left="720" w:hanging="720"/>
      <w:jc w:val="center"/>
    </w:pPr>
    <w:rPr>
      <w:rFonts w:ascii="黑体" w:hAnsi="Calibri" w:eastAsia="黑体" w:cs="Times New Roman"/>
      <w:sz w:val="21"/>
      <w:lang w:val="en-US" w:eastAsia="zh-CN" w:bidi="ar-SA"/>
    </w:rPr>
  </w:style>
  <w:style w:type="paragraph" w:customStyle="1" w:styleId="4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7">
    <w:name w:val="TOC 标题1"/>
    <w:basedOn w:val="2"/>
    <w:next w:val="1"/>
    <w:qFormat/>
    <w:uiPriority w:val="0"/>
    <w:pPr>
      <w:widowControl/>
      <w:spacing w:before="480" w:beforeLines="0" w:after="0" w:afterLines="0" w:line="276" w:lineRule="auto"/>
      <w:jc w:val="left"/>
      <w:outlineLvl w:val="9"/>
    </w:pPr>
    <w:rPr>
      <w:rFonts w:ascii="Calibri Light" w:hAnsi="Calibri Light" w:eastAsia="宋体" w:cs="黑体"/>
      <w:color w:val="2D73B3"/>
      <w:kern w:val="0"/>
      <w:sz w:val="28"/>
      <w:szCs w:val="28"/>
    </w:rPr>
  </w:style>
  <w:style w:type="paragraph" w:customStyle="1" w:styleId="48">
    <w:name w:val="TOC 标题2"/>
    <w:basedOn w:val="2"/>
    <w:next w:val="1"/>
    <w:qFormat/>
    <w:uiPriority w:val="0"/>
    <w:pPr>
      <w:outlineLvl w:val="9"/>
    </w:pPr>
  </w:style>
  <w:style w:type="paragraph" w:customStyle="1" w:styleId="49">
    <w:name w:val="p0"/>
    <w:basedOn w:val="1"/>
    <w:qFormat/>
    <w:uiPriority w:val="0"/>
    <w:pPr>
      <w:widowControl/>
    </w:pPr>
    <w:rPr>
      <w:rFonts w:ascii="Times New Roman" w:hAnsi="Times New Roman"/>
      <w:kern w:val="0"/>
      <w:sz w:val="21"/>
      <w:szCs w:val="21"/>
    </w:rPr>
  </w:style>
  <w:style w:type="paragraph" w:customStyle="1" w:styleId="50">
    <w:name w:val="p15"/>
    <w:basedOn w:val="1"/>
    <w:qFormat/>
    <w:uiPriority w:val="0"/>
    <w:pPr>
      <w:widowControl/>
      <w:jc w:val="center"/>
    </w:pPr>
    <w:rPr>
      <w:rFonts w:cs="Times New Roman"/>
      <w:spacing w:val="4"/>
      <w:sz w:val="18"/>
      <w:szCs w:val="18"/>
    </w:rPr>
  </w:style>
  <w:style w:type="paragraph" w:customStyle="1" w:styleId="51">
    <w:name w:val="表内文字居中"/>
    <w:basedOn w:val="1"/>
    <w:qFormat/>
    <w:uiPriority w:val="0"/>
    <w:pPr>
      <w:snapToGrid w:val="0"/>
      <w:jc w:val="center"/>
    </w:pPr>
    <w:rPr>
      <w:rFonts w:ascii="Times New Roman" w:hAnsi="Times New Roman" w:eastAsia="方正书宋简体" w:cs="Times New Roman"/>
      <w:spacing w:val="4"/>
      <w:sz w:val="18"/>
      <w:szCs w:val="21"/>
    </w:rPr>
  </w:style>
  <w:style w:type="paragraph" w:customStyle="1" w:styleId="52">
    <w:name w:val="正文缩进1"/>
    <w:basedOn w:val="1"/>
    <w:qFormat/>
    <w:uiPriority w:val="0"/>
    <w:pPr>
      <w:adjustRightInd w:val="0"/>
      <w:spacing w:line="312" w:lineRule="atLeast"/>
      <w:ind w:firstLine="420" w:firstLineChars="200"/>
    </w:pPr>
    <w:rPr>
      <w:rFonts w:ascii="Times New Roman" w:hAnsi="Times New Roman" w:eastAsia="宋体" w:cs="Times New Roman"/>
      <w:kern w:val="0"/>
      <w:sz w:val="21"/>
      <w:szCs w:val="20"/>
    </w:rPr>
  </w:style>
  <w:style w:type="paragraph" w:customStyle="1" w:styleId="53">
    <w:name w:val="修订1"/>
    <w:qFormat/>
    <w:uiPriority w:val="0"/>
    <w:rPr>
      <w:rFonts w:ascii="Calibri" w:hAnsi="Calibri" w:eastAsia="宋体" w:cs="黑体"/>
      <w:kern w:val="2"/>
      <w:sz w:val="24"/>
      <w:szCs w:val="24"/>
      <w:lang w:val="en-US" w:eastAsia="zh-CN" w:bidi="ar-SA"/>
    </w:rPr>
  </w:style>
  <w:style w:type="paragraph" w:customStyle="1" w:styleId="54">
    <w:name w:val="List Paragraph"/>
    <w:basedOn w:val="1"/>
    <w:qFormat/>
    <w:uiPriority w:val="0"/>
    <w:pPr>
      <w:ind w:firstLine="420" w:firstLineChars="200"/>
    </w:pPr>
  </w:style>
  <w:style w:type="paragraph" w:customStyle="1" w:styleId="55">
    <w:name w:val="Normal (Web)"/>
    <w:basedOn w:val="1"/>
    <w:qFormat/>
    <w:uiPriority w:val="0"/>
    <w:pPr>
      <w:widowControl/>
      <w:spacing w:before="100" w:beforeLines="0" w:beforeAutospacing="1" w:after="100" w:afterLines="0" w:afterAutospacing="1"/>
      <w:jc w:val="left"/>
    </w:pPr>
    <w:rPr>
      <w:rFonts w:ascii="Times New Roman" w:hAnsi="Times New Roman" w:cs="Times New Roman"/>
      <w:kern w:val="0"/>
    </w:rPr>
  </w:style>
  <w:style w:type="paragraph" w:customStyle="1" w:styleId="56">
    <w:name w:val="Normal Indent"/>
    <w:basedOn w:val="1"/>
    <w:qFormat/>
    <w:uiPriority w:val="0"/>
    <w:pPr>
      <w:adjustRightInd w:val="0"/>
      <w:spacing w:line="312" w:lineRule="atLeast"/>
      <w:ind w:firstLine="420" w:firstLineChars="200"/>
      <w:textAlignment w:val="baseline"/>
    </w:pPr>
    <w:rPr>
      <w:rFonts w:ascii="Times New Roman" w:hAnsi="Times New Roman" w:cs="Calibri"/>
      <w:kern w:val="0"/>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3810</Words>
  <Characters>3969</Characters>
  <Lines>42</Lines>
  <Paragraphs>11</Paragraphs>
  <TotalTime>6</TotalTime>
  <ScaleCrop>false</ScaleCrop>
  <LinksUpToDate>false</LinksUpToDate>
  <CharactersWithSpaces>3996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2025-11-10T01:20:00Z</dcterms:created>
  <dc:creator>Microsoft Office 用户</dc:creator>
  <cp:lastModifiedBy>张宏润</cp:lastModifiedBy>
  <cp:lastPrinted>2022-05-27T01:33:00Z</cp:lastPrinted>
  <dcterms:modified xsi:type="dcterms:W3CDTF">2025-12-07T07:53:25Z</dcterms:modified>
  <dc:title>lijg</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967BBE102C924CF5AC016C8C88B54CDF</vt:lpwstr>
  </property>
  <property fmtid="{D5CDD505-2E9C-101B-9397-08002B2CF9AE}" pid="4" name="KSOTemplateDocerSaveRecord">
    <vt:lpwstr>eyJoZGlkIjoiZDRmMTBmNzNjNjY0ZjE0MjRhNzNiNWQwNjQ4NWY5NmQiLCJ1c2VySWQiOiIxNzY0MjU5Nzc2In0=</vt:lpwstr>
  </property>
</Properties>
</file>