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7.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27.160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K 4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K 45</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1"/>
            </w:textInput>
          </w:ffData>
        </w:fldChar>
      </w:r>
      <w:bookmarkStart w:id="6" w:name="NSTD_CODE_F"/>
      <w:r>
        <w:instrText xml:space="preserve"> FORMTEXT </w:instrText>
      </w:r>
      <w:r>
        <w:fldChar w:fldCharType="separate"/>
      </w:r>
      <w:r>
        <w:t>0171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4DEF4094">
      <w:pPr>
        <w:pStyle w:val="197"/>
        <w:framePr w:h="6974" w:hRule="exact" w:wrap="around" w:x="1419" w:anchorLock="1"/>
      </w:pPr>
      <w:r>
        <w:fldChar w:fldCharType="begin">
          <w:ffData>
            <w:name w:val="CSTD_NAME"/>
            <w:enabled/>
            <w:calcOnExit w:val="0"/>
            <w:textInput>
              <w:default w:val="光伏发电站电气安全防护与应急处置指引"/>
            </w:textInput>
          </w:ffData>
        </w:fldChar>
      </w:r>
      <w:bookmarkStart w:id="9" w:name="CSTD_NAME"/>
      <w:r>
        <w:instrText xml:space="preserve"> FORMTEXT </w:instrText>
      </w:r>
      <w:r>
        <w:fldChar w:fldCharType="separate"/>
      </w:r>
      <w:r>
        <w:t>光伏发电站电气安全防护与应急处置指引</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electrical safety protection and emergency response of photovoltaic power station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electrical safety protection and emergency response of photovoltaic power stations</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07A6D55">
      <w:pPr>
        <w:pStyle w:val="91"/>
        <w:spacing w:after="360"/>
      </w:pPr>
      <w:bookmarkStart w:id="21" w:name="BookMark1"/>
      <w:r>
        <w:rPr>
          <w:rFonts w:hint="eastAsia"/>
          <w:spacing w:val="320"/>
        </w:rPr>
        <w:t>目</w:t>
      </w:r>
      <w:r>
        <w:rPr>
          <w:rFonts w:hint="eastAsia"/>
        </w:rPr>
        <w:t>次</w:t>
      </w:r>
    </w:p>
    <w:p w14:paraId="36D9A90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"_Toc217466653"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_Toc217466653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735617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_Toc217466654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35EA03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_Toc217466655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A57D2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_Toc217466656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C01EA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_Toc217466657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5640D4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"_Toc217466658"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_Toc217466658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A5E7A9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"_Toc217466659" </w:instrText>
      </w:r>
      <w:r>
        <w:fldChar w:fldCharType="separate"/>
      </w:r>
      <w:r>
        <w:rPr>
          <w:rStyle w:val="32"/>
          <w:rFonts w:hint="eastAsia"/>
        </w:rPr>
        <w:t>5</w:t>
      </w:r>
      <w:r>
        <w:rPr>
          <w:rStyle w:val="32"/>
        </w:rPr>
        <w:t xml:space="preserve"> </w:t>
      </w:r>
      <w:r>
        <w:rPr>
          <w:rStyle w:val="32"/>
          <w:rFonts w:hint="eastAsia"/>
        </w:rPr>
        <w:t xml:space="preserve"> 电气安全防护要求</w:t>
      </w:r>
      <w:r>
        <w:rPr>
          <w:rFonts w:hint="eastAsia"/>
        </w:rPr>
        <w:tab/>
      </w:r>
      <w:r>
        <w:rPr>
          <w:rFonts w:hint="eastAsia"/>
        </w:rPr>
        <w:fldChar w:fldCharType="begin"/>
      </w:r>
      <w:r>
        <w:rPr>
          <w:rFonts w:hint="eastAsia"/>
        </w:rPr>
        <w:instrText xml:space="preserve"> </w:instrText>
      </w:r>
      <w:r>
        <w:instrText xml:space="preserve">PAGEREF _Toc217466659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591ECB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"_Toc217466660" </w:instrText>
      </w:r>
      <w:r>
        <w:fldChar w:fldCharType="separate"/>
      </w:r>
      <w:r>
        <w:rPr>
          <w:rStyle w:val="32"/>
          <w:rFonts w:hint="eastAsia"/>
        </w:rPr>
        <w:t>6</w:t>
      </w:r>
      <w:r>
        <w:rPr>
          <w:rStyle w:val="32"/>
        </w:rPr>
        <w:t xml:space="preserve"> </w:t>
      </w:r>
      <w:r>
        <w:rPr>
          <w:rStyle w:val="32"/>
          <w:rFonts w:hint="eastAsia"/>
        </w:rPr>
        <w:t xml:space="preserve"> 应急响应体系与处置流程要求</w:t>
      </w:r>
      <w:r>
        <w:rPr>
          <w:rFonts w:hint="eastAsia"/>
        </w:rPr>
        <w:tab/>
      </w:r>
      <w:r>
        <w:rPr>
          <w:rFonts w:hint="eastAsia"/>
        </w:rPr>
        <w:fldChar w:fldCharType="begin"/>
      </w:r>
      <w:r>
        <w:rPr>
          <w:rFonts w:hint="eastAsia"/>
        </w:rPr>
        <w:instrText xml:space="preserve"> </w:instrText>
      </w:r>
      <w:r>
        <w:instrText xml:space="preserve">PAGEREF _Toc217466660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A32031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"_Toc217466661" </w:instrText>
      </w:r>
      <w:r>
        <w:fldChar w:fldCharType="separate"/>
      </w:r>
      <w:r>
        <w:rPr>
          <w:rStyle w:val="32"/>
          <w:rFonts w:hint="eastAsia"/>
        </w:rPr>
        <w:t>7</w:t>
      </w:r>
      <w:r>
        <w:rPr>
          <w:rStyle w:val="32"/>
        </w:rPr>
        <w:t xml:space="preserve"> </w:t>
      </w:r>
      <w:r>
        <w:rPr>
          <w:rStyle w:val="32"/>
          <w:rFonts w:hint="eastAsia"/>
        </w:rPr>
        <w:t xml:space="preserve"> 典型事故情景应急处置要点</w:t>
      </w:r>
      <w:r>
        <w:rPr>
          <w:rFonts w:hint="eastAsia"/>
        </w:rPr>
        <w:tab/>
      </w:r>
      <w:r>
        <w:rPr>
          <w:rFonts w:hint="eastAsia"/>
        </w:rPr>
        <w:fldChar w:fldCharType="begin"/>
      </w:r>
      <w:r>
        <w:rPr>
          <w:rFonts w:hint="eastAsia"/>
        </w:rPr>
        <w:instrText xml:space="preserve"> </w:instrText>
      </w:r>
      <w:r>
        <w:instrText xml:space="preserve">PAGEREF _Toc217466661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BAE4DF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"_Toc217466662" </w:instrText>
      </w:r>
      <w:r>
        <w:fldChar w:fldCharType="separate"/>
      </w:r>
      <w:r>
        <w:rPr>
          <w:rStyle w:val="32"/>
          <w:rFonts w:hint="eastAsia"/>
        </w:rPr>
        <w:t>8</w:t>
      </w:r>
      <w:r>
        <w:rPr>
          <w:rStyle w:val="32"/>
        </w:rPr>
        <w:t xml:space="preserve"> </w:t>
      </w:r>
      <w:r>
        <w:rPr>
          <w:rStyle w:val="32"/>
          <w:rFonts w:hint="eastAsia"/>
        </w:rPr>
        <w:t xml:space="preserve"> 应急保障与现场安全管理要求</w:t>
      </w:r>
      <w:r>
        <w:rPr>
          <w:rFonts w:hint="eastAsia"/>
        </w:rPr>
        <w:tab/>
      </w:r>
      <w:r>
        <w:rPr>
          <w:rFonts w:hint="eastAsia"/>
        </w:rPr>
        <w:fldChar w:fldCharType="begin"/>
      </w:r>
      <w:r>
        <w:rPr>
          <w:rFonts w:hint="eastAsia"/>
        </w:rPr>
        <w:instrText xml:space="preserve"> </w:instrText>
      </w:r>
      <w:r>
        <w:instrText xml:space="preserve">PAGEREF _Toc217466662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8F111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"_Toc217466663" </w:instrText>
      </w:r>
      <w:r>
        <w:fldChar w:fldCharType="separate"/>
      </w:r>
      <w:r>
        <w:rPr>
          <w:rStyle w:val="32"/>
          <w:rFonts w:hint="eastAsia"/>
        </w:rPr>
        <w:t>9</w:t>
      </w:r>
      <w:r>
        <w:rPr>
          <w:rStyle w:val="32"/>
        </w:rPr>
        <w:t xml:space="preserve"> </w:t>
      </w:r>
      <w:r>
        <w:rPr>
          <w:rStyle w:val="32"/>
          <w:rFonts w:hint="eastAsia"/>
        </w:rPr>
        <w:t xml:space="preserve"> 恢复、评估与持续改进要求</w:t>
      </w:r>
      <w:r>
        <w:rPr>
          <w:rFonts w:hint="eastAsia"/>
        </w:rPr>
        <w:tab/>
      </w:r>
      <w:r>
        <w:rPr>
          <w:rFonts w:hint="eastAsia"/>
        </w:rPr>
        <w:fldChar w:fldCharType="begin"/>
      </w:r>
      <w:r>
        <w:rPr>
          <w:rFonts w:hint="eastAsia"/>
        </w:rPr>
        <w:instrText xml:space="preserve"> </w:instrText>
      </w:r>
      <w:r>
        <w:instrText xml:space="preserve">PAGEREF _Toc217466663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33F44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"_Toc217466664"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_Toc217466664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783BB5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66653"/>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本文件起草单位：华能陇东能源有限责任公司</w:t>
      </w:r>
      <w:bookmarkStart w:id="59" w:name="_GoBack"/>
      <w:bookmarkEnd w:id="59"/>
      <w:r>
        <w:rPr>
          <w:rFonts w:hint="eastAsia"/>
        </w:rPr>
        <w:t>。</w:t>
      </w:r>
    </w:p>
    <w:p w14:paraId="3890D037">
      <w:pPr>
        <w:pStyle w:val="56"/>
        <w:spacing w:line="360" w:lineRule="auto"/>
        <w:ind w:firstLine="420"/>
      </w:pPr>
      <w:r>
        <w:rPr>
          <w:rFonts w:hint="eastAsia"/>
        </w:rPr>
        <w:t>本文件主要起草人：王大鹏。</w:t>
      </w:r>
    </w:p>
    <w:p w14:paraId="24C66E2A">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66654"/>
      <w:bookmarkStart w:id="25" w:name="BookMark3"/>
      <w:r>
        <w:rPr>
          <w:spacing w:val="320"/>
        </w:rPr>
        <w:t>引</w:t>
      </w:r>
      <w:r>
        <w:t>言</w:t>
      </w:r>
      <w:bookmarkEnd w:id="24"/>
    </w:p>
    <w:p w14:paraId="2B4054C8">
      <w:pPr>
        <w:pStyle w:val="56"/>
        <w:spacing w:line="360" w:lineRule="auto"/>
        <w:ind w:firstLine="420"/>
      </w:pPr>
      <w:r>
        <w:rPr>
          <w:rFonts w:hint="eastAsia"/>
        </w:rPr>
        <w:t>光伏发电站具有直流侧电压高、阵列分布广、设备暴露于户外环境、运行方式多样（集中式、分布式、储能耦合、并网/离网等）等特点。电气系统贯穿组件方阵、汇流箱、直流配电、逆变器、交流汇集、升压站及并网线路全过程，且与防雷接地、消防、通信、监控和应急体系高度耦合。近年来，随着装机规模快速增长与运维模式日益社会化、外包化，电气安全防护风险呈现出“场景多、接口多、跨专业、跨作业面”的特征，常见风险包括直流拉弧与接触不良引发火灾、设备绝缘老化导致漏电、雷击与浪涌引发过电压损坏、故障隔离不充分导致扩大停电或人身伤害、应急处置不规范导致二次事故等。</w:t>
      </w:r>
    </w:p>
    <w:p w14:paraId="74D312A2">
      <w:pPr>
        <w:pStyle w:val="56"/>
        <w:spacing w:line="360" w:lineRule="auto"/>
        <w:ind w:firstLine="420"/>
      </w:pPr>
      <w:r>
        <w:rPr>
          <w:rFonts w:hint="eastAsia"/>
        </w:rPr>
        <w:t>光伏发电站电气事故具有隐蔽性、突发性与连锁性。直流侧带电特性使得在一定条件下“切断交流并网”并不能消除直流危险电压；部分设备在故障状态下存在反送电、储能残压、故障电弧持续等风险；场站地理环境复杂，极端天气、风沙盐雾、冰雪冻融等均会加速设备劣化并增加应急处置难度。因此，建立覆盖设计、建设、运行、检修与应急全过程的电气安全防护体系，形成可执行、可验证、可演练的应急处置指引，对于降低人身伤害、火灾爆炸、停电损失和环境影响具有关键意义。</w:t>
      </w:r>
    </w:p>
    <w:p w14:paraId="21ABEEBA">
      <w:pPr>
        <w:pStyle w:val="56"/>
        <w:spacing w:line="360" w:lineRule="auto"/>
        <w:ind w:firstLine="420"/>
      </w:pPr>
      <w:r>
        <w:rPr>
          <w:rFonts w:hint="eastAsia"/>
        </w:rPr>
        <w:t>本文件围绕光伏发电站电气安全防护与应急处置的工程化实施需求，从风险识别、组织与职责、技术防护、作业控制、监测预警、应急响应与现场处置等方面提出要求，强调以风险为导向、以隔离与接地为核心、以联锁与监测为支撑、以演练与持续改进为保障，推动光伏发电站电气安全管理由“经验型”向“标准化、系统化、可追溯”提升。本文件可为光伏电站投资建设单位、运维单位、EPC总包单位、设备供应商及外包服务单位开展电气安全防护与应急处置体系建设提供技术依据，也可为监管检查、第三方评估与安全培训提供参考。</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2A2AE3A7">
          <w:pPr>
            <w:pStyle w:val="177"/>
          </w:pPr>
          <w:bookmarkStart w:id="27" w:name="NEW_STAND_NAME"/>
          <w:r>
            <w:rPr>
              <w:rFonts w:hint="eastAsia"/>
            </w:rPr>
            <w:t>光伏发电站电气安全防护与应急处置指引</w:t>
          </w:r>
        </w:p>
      </w:sdtContent>
    </w:sdt>
    <w:bookmarkEnd w:id="27"/>
    <w:p w14:paraId="4A6C50D7">
      <w:pPr>
        <w:pStyle w:val="104"/>
        <w:spacing w:before="240" w:after="240"/>
      </w:pPr>
      <w:bookmarkStart w:id="28" w:name="_Toc24884218"/>
      <w:bookmarkStart w:id="29" w:name="_Toc26718930"/>
      <w:bookmarkStart w:id="30" w:name="_Toc26648465"/>
      <w:bookmarkStart w:id="31" w:name="_Toc97192964"/>
      <w:bookmarkStart w:id="32" w:name="_Toc217466655"/>
      <w:bookmarkStart w:id="33" w:name="_Toc26986530"/>
      <w:bookmarkStart w:id="34" w:name="_Toc17233333"/>
      <w:bookmarkStart w:id="35" w:name="_Toc26986771"/>
      <w:bookmarkStart w:id="36" w:name="_Toc17233325"/>
      <w:bookmarkStart w:id="37" w:name="_Toc24884211"/>
      <w:r>
        <w:rPr>
          <w:rFonts w:hint="eastAsia"/>
        </w:rPr>
        <w:t>范围</w:t>
      </w:r>
      <w:bookmarkEnd w:id="28"/>
      <w:bookmarkEnd w:id="29"/>
      <w:bookmarkEnd w:id="30"/>
      <w:bookmarkEnd w:id="31"/>
      <w:bookmarkEnd w:id="32"/>
      <w:bookmarkEnd w:id="33"/>
      <w:bookmarkEnd w:id="34"/>
      <w:bookmarkEnd w:id="35"/>
      <w:bookmarkEnd w:id="36"/>
      <w:bookmarkEnd w:id="37"/>
    </w:p>
    <w:p w14:paraId="73FAEB8A">
      <w:pPr>
        <w:pStyle w:val="56"/>
        <w:spacing w:line="360" w:lineRule="auto"/>
        <w:ind w:firstLine="420"/>
      </w:pPr>
      <w:bookmarkStart w:id="38" w:name="_Toc17233326"/>
      <w:bookmarkStart w:id="39" w:name="_Toc17233334"/>
      <w:bookmarkStart w:id="40" w:name="_Toc24884219"/>
      <w:bookmarkStart w:id="41" w:name="_Toc24884212"/>
      <w:bookmarkStart w:id="42" w:name="_Toc26648466"/>
      <w:r>
        <w:rPr>
          <w:rFonts w:hint="eastAsia"/>
        </w:rPr>
        <w:t>本文件规定了光伏发电站电气安全防护与应急处置的总体要求，电气安全防护要求，应急响应体系与处置流程要求，典型事故情景应急处置要点，应急保障与现场安全管理要求及恢复、评估与持续改进要求等内容。</w:t>
      </w:r>
    </w:p>
    <w:p w14:paraId="38661369">
      <w:pPr>
        <w:pStyle w:val="56"/>
        <w:spacing w:line="360" w:lineRule="auto"/>
        <w:ind w:firstLine="420"/>
      </w:pPr>
      <w:r>
        <w:rPr>
          <w:rFonts w:hint="eastAsia"/>
        </w:rPr>
        <w:t>本文件适用于集中式光伏发电站、分布式光伏发电站（含工商业屋顶、地面分布式）以及与储能系统耦合运行的光伏发电站的电气安全防护与应急处置管理。对以光伏为主的综合能源站、微电网或多能互补场站，可参照本文件将相关电气安全与应急处置要求纳入统一管理体系。</w:t>
      </w:r>
    </w:p>
    <w:p w14:paraId="3F036BAD">
      <w:pPr>
        <w:pStyle w:val="104"/>
        <w:spacing w:before="240" w:after="240"/>
      </w:pPr>
      <w:bookmarkStart w:id="43" w:name="_Toc26718931"/>
      <w:bookmarkStart w:id="44" w:name="_Toc217466656"/>
      <w:bookmarkStart w:id="45" w:name="_Toc26986531"/>
      <w:bookmarkStart w:id="46" w:name="_Toc97192965"/>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4683560">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36E331">
      <w:pPr>
        <w:pStyle w:val="56"/>
        <w:spacing w:line="360" w:lineRule="auto"/>
        <w:ind w:firstLine="420"/>
      </w:pPr>
      <w:r>
        <w:rPr>
          <w:rFonts w:hint="eastAsia"/>
        </w:rPr>
        <w:t>GB 50169 电气装置安装工程  接地装置施工及验收规范</w:t>
      </w:r>
    </w:p>
    <w:p w14:paraId="0410CC19">
      <w:pPr>
        <w:pStyle w:val="56"/>
        <w:spacing w:line="360" w:lineRule="auto"/>
        <w:ind w:firstLine="420"/>
      </w:pPr>
      <w:r>
        <w:rPr>
          <w:rFonts w:hint="eastAsia"/>
        </w:rPr>
        <w:t>GB/T 1.1 标准化工作导则  第1部分：标准化文件的结构和起草规则</w:t>
      </w:r>
    </w:p>
    <w:p w14:paraId="184203BB">
      <w:pPr>
        <w:pStyle w:val="56"/>
        <w:spacing w:line="360" w:lineRule="auto"/>
        <w:ind w:firstLine="420"/>
      </w:pPr>
      <w:r>
        <w:rPr>
          <w:rFonts w:hint="eastAsia"/>
        </w:rPr>
        <w:t>GB/T 5226.1 机械电气安全  机械电气设备  第1部分：通用技术条件</w:t>
      </w:r>
    </w:p>
    <w:p w14:paraId="13728066">
      <w:pPr>
        <w:pStyle w:val="56"/>
        <w:spacing w:line="360" w:lineRule="auto"/>
        <w:ind w:firstLine="420"/>
      </w:pPr>
      <w:r>
        <w:rPr>
          <w:rFonts w:hint="eastAsia"/>
        </w:rPr>
        <w:t>GB/T 16895 低压电气装置系列标准</w:t>
      </w:r>
    </w:p>
    <w:p w14:paraId="7B9DFC7A">
      <w:pPr>
        <w:pStyle w:val="56"/>
        <w:spacing w:line="360" w:lineRule="auto"/>
        <w:ind w:firstLine="420"/>
      </w:pPr>
      <w:r>
        <w:rPr>
          <w:rFonts w:hint="eastAsia"/>
        </w:rPr>
        <w:t>GB/T 21431—2023建筑物雷电防护装置检测技术规范</w:t>
      </w:r>
    </w:p>
    <w:p w14:paraId="34D739C8">
      <w:pPr>
        <w:pStyle w:val="56"/>
        <w:spacing w:line="360" w:lineRule="auto"/>
        <w:ind w:firstLine="420"/>
      </w:pPr>
      <w:r>
        <w:rPr>
          <w:rFonts w:hint="eastAsia"/>
        </w:rPr>
        <w:t>GB/T 26860 电力安全工作规程  发电厂和变电站电气部分</w:t>
      </w:r>
    </w:p>
    <w:p w14:paraId="5C47ACAA">
      <w:pPr>
        <w:pStyle w:val="56"/>
        <w:spacing w:line="360" w:lineRule="auto"/>
        <w:ind w:firstLine="420"/>
      </w:pPr>
      <w:r>
        <w:rPr>
          <w:rFonts w:hint="eastAsia"/>
        </w:rPr>
        <w:t>GB/T 50057 建筑物防雷设计规范</w:t>
      </w:r>
    </w:p>
    <w:p w14:paraId="24BB2DB0">
      <w:pPr>
        <w:pStyle w:val="104"/>
        <w:spacing w:before="240" w:after="240" w:line="360" w:lineRule="auto"/>
      </w:pPr>
      <w:bookmarkStart w:id="48" w:name="_Toc97192966"/>
      <w:bookmarkStart w:id="49" w:name="_Toc217466657"/>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4F360D8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光伏发电站 photovoltaic power station</w:t>
      </w:r>
    </w:p>
    <w:p w14:paraId="05EADF98">
      <w:pPr>
        <w:pStyle w:val="56"/>
        <w:spacing w:line="360" w:lineRule="auto"/>
        <w:ind w:firstLine="420"/>
      </w:pPr>
      <w:r>
        <w:rPr>
          <w:rFonts w:hint="eastAsia"/>
        </w:rPr>
        <w:t>由光伏组件方阵、汇流及直流系统、逆变及交流系统、升压并网系统、监控与保护系统及配套设施组成，将太阳能转换为电能并向电网或负荷供电的电站。</w:t>
      </w:r>
    </w:p>
    <w:p w14:paraId="4514B01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直流侧 dc side</w:t>
      </w:r>
    </w:p>
    <w:p w14:paraId="28C580BE">
      <w:pPr>
        <w:pStyle w:val="56"/>
        <w:spacing w:line="360" w:lineRule="auto"/>
        <w:ind w:firstLine="420"/>
      </w:pPr>
      <w:r>
        <w:rPr>
          <w:rFonts w:hint="eastAsia"/>
        </w:rPr>
        <w:t>从光伏组件输出端起，经组串、汇流箱、直流配电、逆变器直流输入端之间的电气部分。</w:t>
      </w:r>
    </w:p>
    <w:p w14:paraId="2177E2D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交流侧 ac side</w:t>
      </w:r>
    </w:p>
    <w:p w14:paraId="6B1CBA6A">
      <w:pPr>
        <w:pStyle w:val="56"/>
        <w:spacing w:line="360" w:lineRule="auto"/>
        <w:ind w:firstLine="420"/>
      </w:pPr>
      <w:r>
        <w:rPr>
          <w:rFonts w:hint="eastAsia"/>
        </w:rPr>
        <w:t>从逆变器交流输出端起，经交流汇流、升压变压器、开关设备至并网点之间的电气部分。</w:t>
      </w:r>
    </w:p>
    <w:p w14:paraId="675C9E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电气安全防护 electrical safety protection</w:t>
      </w:r>
    </w:p>
    <w:p w14:paraId="19B8D097">
      <w:pPr>
        <w:pStyle w:val="56"/>
        <w:spacing w:line="360" w:lineRule="auto"/>
        <w:ind w:firstLine="420"/>
      </w:pPr>
      <w:r>
        <w:rPr>
          <w:rFonts w:hint="eastAsia"/>
        </w:rPr>
        <w:t>为防止触电、火灾、爆炸、设备损坏与误操作等事故而采取的技术措施、管理措施与应急措施的集</w:t>
      </w:r>
      <w:r>
        <w:br w:type="textWrapping"/>
      </w:r>
      <w:r>
        <w:rPr>
          <w:rFonts w:hint="eastAsia"/>
        </w:rPr>
        <w:t>合。</w:t>
      </w:r>
    </w:p>
    <w:p w14:paraId="69691CA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电弧故障 arc fault</w:t>
      </w:r>
    </w:p>
    <w:p w14:paraId="1E40B1DF">
      <w:pPr>
        <w:pStyle w:val="56"/>
        <w:spacing w:line="360" w:lineRule="auto"/>
        <w:ind w:firstLine="420"/>
      </w:pPr>
      <w:r>
        <w:rPr>
          <w:rFonts w:hint="eastAsia"/>
        </w:rPr>
        <w:t>电气回路中因接触不良、绝缘破坏或导体间放电等产生的电弧现象，可能导致过热、火灾或设备损坏。</w:t>
      </w:r>
    </w:p>
    <w:p w14:paraId="4B915C8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直流拉弧 dc arc</w:t>
      </w:r>
    </w:p>
    <w:p w14:paraId="657ECF92">
      <w:pPr>
        <w:pStyle w:val="56"/>
        <w:spacing w:line="360" w:lineRule="auto"/>
        <w:ind w:firstLine="420"/>
      </w:pPr>
      <w:r>
        <w:rPr>
          <w:rFonts w:hint="eastAsia"/>
        </w:rPr>
        <w:t>发生在直流回路中的持续性电弧，因直流电流过零特性缺失而更难自行熄弧。</w:t>
      </w:r>
    </w:p>
    <w:p w14:paraId="572AB2D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反送电 backfeed</w:t>
      </w:r>
    </w:p>
    <w:p w14:paraId="63E78791">
      <w:pPr>
        <w:pStyle w:val="56"/>
        <w:spacing w:line="360" w:lineRule="auto"/>
        <w:ind w:firstLine="420"/>
      </w:pPr>
      <w:r>
        <w:rPr>
          <w:rFonts w:hint="eastAsia"/>
        </w:rPr>
        <w:t>在停电、检修或故障状态下，由光伏方阵、储能系统或其他电源向线路或设备反向送电的现象。</w:t>
      </w:r>
    </w:p>
    <w:p w14:paraId="6F058A8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安全隔离 safe isolation</w:t>
      </w:r>
    </w:p>
    <w:p w14:paraId="31C03541">
      <w:pPr>
        <w:pStyle w:val="56"/>
        <w:spacing w:line="360" w:lineRule="auto"/>
        <w:ind w:firstLine="420"/>
      </w:pPr>
      <w:r>
        <w:rPr>
          <w:rFonts w:hint="eastAsia"/>
        </w:rPr>
        <w:t>通过断开、验电、接地、挂牌上锁等措施将电气设备与电源可靠隔离并确保无危险电压的状态。</w:t>
      </w:r>
    </w:p>
    <w:p w14:paraId="4911C6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接地与等电位 bonding and grounding</w:t>
      </w:r>
    </w:p>
    <w:p w14:paraId="4E0154BC">
      <w:pPr>
        <w:pStyle w:val="56"/>
        <w:spacing w:line="360" w:lineRule="auto"/>
        <w:ind w:firstLine="420"/>
      </w:pPr>
      <w:r>
        <w:rPr>
          <w:rFonts w:hint="eastAsia"/>
        </w:rPr>
        <w:t>将电气设备的可导电部分与接地装置可靠连接并实现等电位连接的措施，用于防止触电和抑制过电压。</w:t>
      </w:r>
    </w:p>
    <w:p w14:paraId="45BB687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防雷与浪涌保护 lightning and surge protection</w:t>
      </w:r>
    </w:p>
    <w:p w14:paraId="783977DF">
      <w:pPr>
        <w:pStyle w:val="56"/>
        <w:spacing w:line="360" w:lineRule="auto"/>
        <w:ind w:firstLine="420"/>
      </w:pPr>
      <w:r>
        <w:rPr>
          <w:rFonts w:hint="eastAsia"/>
        </w:rPr>
        <w:t>为防止雷击与操作过电压引发设备损坏或火灾而采取的外部防雷、内部防雷与浪涌保护措施。</w:t>
      </w:r>
    </w:p>
    <w:p w14:paraId="5AF6818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继电保护与自动装置 protection and automation</w:t>
      </w:r>
    </w:p>
    <w:p w14:paraId="799C7FFF">
      <w:pPr>
        <w:pStyle w:val="56"/>
        <w:spacing w:line="360" w:lineRule="auto"/>
        <w:ind w:firstLine="420"/>
      </w:pPr>
      <w:r>
        <w:rPr>
          <w:rFonts w:hint="eastAsia"/>
        </w:rPr>
        <w:t>用于检测电力系统故障并发出跳闸、告警或自动控制指令的装置与逻辑集合，包括并网保护、逆变器保护、站用电保护等。</w:t>
      </w:r>
    </w:p>
    <w:p w14:paraId="79394FB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应急处置 emergency response</w:t>
      </w:r>
    </w:p>
    <w:p w14:paraId="5E73F328">
      <w:pPr>
        <w:pStyle w:val="56"/>
        <w:spacing w:line="360" w:lineRule="auto"/>
        <w:ind w:firstLine="420"/>
      </w:pPr>
      <w:r>
        <w:rPr>
          <w:rFonts w:hint="eastAsia"/>
        </w:rPr>
        <w:t>在事故或险情发生后，为控制事态、减少损失、保护人员与设备安全而采取的响应、救援、恢复与复盘活动。</w:t>
      </w:r>
    </w:p>
    <w:p w14:paraId="62ACCBB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应急预案 emergency plan</w:t>
      </w:r>
    </w:p>
    <w:p w14:paraId="50C44B08">
      <w:pPr>
        <w:pStyle w:val="56"/>
        <w:spacing w:line="360" w:lineRule="auto"/>
        <w:ind w:firstLine="420"/>
      </w:pPr>
      <w:r>
        <w:rPr>
          <w:rFonts w:hint="eastAsia"/>
        </w:rPr>
        <w:t>针对可能发生的事故情景制定的组织体系、处置程序、资源保障与演练安排的文件化方案。</w:t>
      </w:r>
    </w:p>
    <w:p w14:paraId="6B2C65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事故情景 incident scenario</w:t>
      </w:r>
    </w:p>
    <w:p w14:paraId="51417C45">
      <w:pPr>
        <w:pStyle w:val="56"/>
        <w:spacing w:line="360" w:lineRule="auto"/>
        <w:ind w:firstLine="420"/>
      </w:pPr>
      <w:r>
        <w:rPr>
          <w:rFonts w:hint="eastAsia"/>
        </w:rPr>
        <w:t>基于风险识别形成的典型事故类型及其演化路径，用于指导预案制定与演练实施。</w:t>
      </w:r>
    </w:p>
    <w:p w14:paraId="0D78E1E4">
      <w:pPr>
        <w:pStyle w:val="104"/>
        <w:spacing w:before="240" w:after="240" w:line="360" w:lineRule="auto"/>
      </w:pPr>
      <w:bookmarkStart w:id="51" w:name="_Toc217466658"/>
      <w:r>
        <w:rPr>
          <w:rFonts w:hint="eastAsia"/>
        </w:rPr>
        <w:t>总体要求</w:t>
      </w:r>
      <w:bookmarkEnd w:id="51"/>
    </w:p>
    <w:p w14:paraId="0FDFDD5B">
      <w:pPr>
        <w:pStyle w:val="105"/>
        <w:spacing w:before="120" w:after="120" w:line="360" w:lineRule="auto"/>
      </w:pPr>
      <w:r>
        <w:rPr>
          <w:rFonts w:hint="eastAsia"/>
        </w:rPr>
        <w:t>基本原则</w:t>
      </w:r>
    </w:p>
    <w:p w14:paraId="7FC55583">
      <w:pPr>
        <w:pStyle w:val="56"/>
        <w:spacing w:line="360" w:lineRule="auto"/>
        <w:ind w:firstLine="420"/>
      </w:pPr>
      <w:r>
        <w:rPr>
          <w:rFonts w:hint="eastAsia"/>
        </w:rPr>
        <w:t>光伏发电站电气安全防护与应急处置应坚持“预防为主、综合治理、分级管控、快速响应、协同联动、持续改进”的原则。应以电气危险源识别为基础，以隔离、接地、防雷、保护与联锁为核心技术手段，以标准化作业与人员能力为保障，以监测预警与应急联动为支撑，形成覆盖设计、施工、投运、运行维护与应急处置全过程的管理闭环。</w:t>
      </w:r>
    </w:p>
    <w:p w14:paraId="389FAE76">
      <w:pPr>
        <w:pStyle w:val="105"/>
        <w:spacing w:before="120" w:after="120" w:line="360" w:lineRule="auto"/>
      </w:pPr>
      <w:r>
        <w:rPr>
          <w:rFonts w:hint="eastAsia"/>
        </w:rPr>
        <w:t>管理体系与职责要求</w:t>
      </w:r>
    </w:p>
    <w:p w14:paraId="249EC175">
      <w:pPr>
        <w:pStyle w:val="56"/>
        <w:spacing w:line="360" w:lineRule="auto"/>
        <w:ind w:firstLine="420"/>
      </w:pPr>
      <w:r>
        <w:rPr>
          <w:rFonts w:hint="eastAsia"/>
        </w:rPr>
        <w:t>光伏发电站应建立电气安全管理组织体系，明确站长（或负责人）、电气负责人、安全管理人员、运行值班人员、检修人员、外包人员与应急队伍的职责与权限，形成从风险识别、措施落实、作业许可到应急响应的责任链条。对涉及多承包商、多专业交叉作业的，应明确统一指挥与协调机制，确保作业边界清晰、票证一致、隔离一致、信息报告一致。</w:t>
      </w:r>
    </w:p>
    <w:p w14:paraId="6B3F8B3C">
      <w:pPr>
        <w:pStyle w:val="105"/>
        <w:spacing w:before="120" w:after="120" w:line="360" w:lineRule="auto"/>
      </w:pPr>
      <w:r>
        <w:rPr>
          <w:rFonts w:hint="eastAsia"/>
        </w:rPr>
        <w:t>风险识别与分级管控</w:t>
      </w:r>
    </w:p>
    <w:p w14:paraId="06335DED">
      <w:pPr>
        <w:pStyle w:val="56"/>
        <w:spacing w:line="360" w:lineRule="auto"/>
        <w:ind w:firstLine="420"/>
      </w:pPr>
      <w:r>
        <w:rPr>
          <w:rFonts w:hint="eastAsia"/>
        </w:rPr>
        <w:t>光伏发电站应开展电气安全风险识别与分级管理，风险识别范围宜覆盖直流系统、交流系统、升压站、站用电系统、通信与监控系统、防雷接地系统以及储能系统接口（如有）。风险分级应综合考虑事故发生可能性、后果严重程度、可检测性与处置难度，并明确不同等级风险对应的技术控制、管理控制与应急准备要求。</w:t>
      </w:r>
    </w:p>
    <w:p w14:paraId="530CBF35">
      <w:pPr>
        <w:pStyle w:val="105"/>
        <w:spacing w:before="120" w:after="120" w:line="360" w:lineRule="auto"/>
      </w:pPr>
      <w:r>
        <w:rPr>
          <w:rFonts w:hint="eastAsia"/>
        </w:rPr>
        <w:t>技术防护总体要求</w:t>
      </w:r>
    </w:p>
    <w:p w14:paraId="29B07EC4">
      <w:pPr>
        <w:pStyle w:val="56"/>
        <w:spacing w:line="360" w:lineRule="auto"/>
        <w:ind w:firstLine="420"/>
      </w:pPr>
      <w:r>
        <w:rPr>
          <w:rFonts w:hint="eastAsia"/>
        </w:rPr>
        <w:t>光伏发电站应配置满足安全运行需要的电气保护、隔离、接地、防雷与消防联动等技术措施。应确保直流侧与交流侧具备明确的隔离边界与标识，关键设备具备必要的联锁与防误操作措施，电气间隙与爬电距离、绝缘水平与防护等级满足环境条件要求。对高风险环节，应设置在线监测与预警能力，做到早发现、早处置。</w:t>
      </w:r>
    </w:p>
    <w:p w14:paraId="48CA56CA">
      <w:pPr>
        <w:pStyle w:val="105"/>
        <w:spacing w:before="120" w:after="120" w:line="360" w:lineRule="auto"/>
      </w:pPr>
      <w:r>
        <w:rPr>
          <w:rFonts w:hint="eastAsia"/>
        </w:rPr>
        <w:t>应急体系总体要求</w:t>
      </w:r>
    </w:p>
    <w:p w14:paraId="115C34E7">
      <w:pPr>
        <w:pStyle w:val="56"/>
        <w:spacing w:line="360" w:lineRule="auto"/>
        <w:ind w:firstLine="420"/>
      </w:pPr>
      <w:r>
        <w:rPr>
          <w:rFonts w:hint="eastAsia"/>
        </w:rPr>
        <w:t>光伏发电站应建立与风险相适配的应急预案体系，至少涵盖触电事故、直流拉弧与电气火灾、雷击与浪涌引发故障、并网故障与大面积停电、设备爆炸或油火（含变压器）、储能相关电气事故（如有）等情景。应急预案应明确响应分级、启动条件、处置流程、对外联动与信息报告要求，并定期开展演练与评估，确保预案可用、队伍可战、物资可取。</w:t>
      </w:r>
    </w:p>
    <w:p w14:paraId="2406CEC7">
      <w:pPr>
        <w:pStyle w:val="104"/>
        <w:spacing w:before="240" w:after="240" w:line="360" w:lineRule="auto"/>
      </w:pPr>
      <w:bookmarkStart w:id="52" w:name="_Toc217466659"/>
      <w:r>
        <w:rPr>
          <w:rFonts w:hint="eastAsia"/>
        </w:rPr>
        <w:t>电气安全防护要求</w:t>
      </w:r>
      <w:bookmarkEnd w:id="52"/>
    </w:p>
    <w:p w14:paraId="34377DDD">
      <w:pPr>
        <w:pStyle w:val="105"/>
        <w:spacing w:before="120" w:after="120" w:line="360" w:lineRule="auto"/>
      </w:pPr>
      <w:r>
        <w:rPr>
          <w:rFonts w:hint="eastAsia"/>
        </w:rPr>
        <w:t>危险源识别与防护策略</w:t>
      </w:r>
    </w:p>
    <w:p w14:paraId="0068FD63">
      <w:pPr>
        <w:pStyle w:val="65"/>
        <w:spacing w:before="120" w:after="120" w:line="360" w:lineRule="auto"/>
      </w:pPr>
      <w:r>
        <w:rPr>
          <w:rFonts w:hint="eastAsia"/>
        </w:rPr>
        <w:t>直流侧危险源</w:t>
      </w:r>
    </w:p>
    <w:p w14:paraId="20A6C201">
      <w:pPr>
        <w:pStyle w:val="56"/>
        <w:spacing w:line="360" w:lineRule="auto"/>
        <w:ind w:firstLine="420"/>
      </w:pPr>
      <w:r>
        <w:rPr>
          <w:rFonts w:hint="eastAsia"/>
        </w:rPr>
        <w:t>直流侧危险源宜包括高电压直流触电风险、直流拉弧风险、极性反接风险、绝缘下降与漏电风险、汇流与接头过热风险、组件热斑与局部过热风险、雨水渗入与湿气凝露导致短路风险等。发电站应结合组串电压等级、汇流方式、设备布置与环境条件建立针对性防护策略，确保直流设备具备必要的隔离能力、故障检测能力与防护等级。</w:t>
      </w:r>
    </w:p>
    <w:p w14:paraId="593B427A">
      <w:pPr>
        <w:pStyle w:val="65"/>
        <w:spacing w:before="120" w:after="120" w:line="360" w:lineRule="auto"/>
      </w:pPr>
      <w:r>
        <w:rPr>
          <w:rFonts w:hint="eastAsia"/>
        </w:rPr>
        <w:t>交流侧危险源</w:t>
      </w:r>
    </w:p>
    <w:p w14:paraId="24BCFF64">
      <w:pPr>
        <w:pStyle w:val="56"/>
        <w:spacing w:line="360" w:lineRule="auto"/>
        <w:ind w:firstLine="420"/>
      </w:pPr>
      <w:r>
        <w:rPr>
          <w:rFonts w:hint="eastAsia"/>
        </w:rPr>
        <w:t>交流侧危险源宜包括短路与接地故障、过负荷与过电压、开关误操作、继电保护误动或拒动、反送电风险、并网点电能质量异常引发设备损坏风险等。发电站应通过保护定值管理、联锁与防误、并网保护配置与验收测试、操作票制度与“两票三制”等措施降低风险。</w:t>
      </w:r>
    </w:p>
    <w:p w14:paraId="3648078E">
      <w:pPr>
        <w:pStyle w:val="65"/>
        <w:spacing w:before="120" w:after="120" w:line="360" w:lineRule="auto"/>
      </w:pPr>
      <w:r>
        <w:rPr>
          <w:rFonts w:hint="eastAsia"/>
        </w:rPr>
        <w:t>外部环境与特殊工况危险源</w:t>
      </w:r>
    </w:p>
    <w:p w14:paraId="0A3344FB">
      <w:pPr>
        <w:pStyle w:val="56"/>
        <w:spacing w:line="360" w:lineRule="auto"/>
        <w:ind w:firstLine="420"/>
      </w:pPr>
      <w:r>
        <w:rPr>
          <w:rFonts w:hint="eastAsia"/>
        </w:rPr>
        <w:t>外部环境危险源宜包括雷击、强风、冰雹、暴雨洪涝、风沙盐雾、低温冻融与高温暴晒等对绝缘、连接、密封与金属腐蚀的影响。特殊工况危险源宜包括夜间检修、带电检测、并网方式切换、储能充放电切换（如有）、故障后复电等。发电站应建立极端天气预警响应与特殊作业许可机制，对关键设备实施季节性巡检与专项试验。</w:t>
      </w:r>
    </w:p>
    <w:p w14:paraId="639C6117">
      <w:pPr>
        <w:pStyle w:val="105"/>
        <w:spacing w:before="120" w:after="120" w:line="360" w:lineRule="auto"/>
      </w:pPr>
      <w:r>
        <w:rPr>
          <w:rFonts w:hint="eastAsia"/>
        </w:rPr>
        <w:t>设备与系统防护要求</w:t>
      </w:r>
    </w:p>
    <w:p w14:paraId="0D3A2821">
      <w:pPr>
        <w:pStyle w:val="65"/>
        <w:spacing w:before="120" w:after="120" w:line="360" w:lineRule="auto"/>
      </w:pPr>
      <w:r>
        <w:rPr>
          <w:rFonts w:hint="eastAsia"/>
        </w:rPr>
        <w:t>直流侧隔离与保护</w:t>
      </w:r>
    </w:p>
    <w:p w14:paraId="38BE4556">
      <w:pPr>
        <w:pStyle w:val="56"/>
        <w:spacing w:line="360" w:lineRule="auto"/>
        <w:ind w:firstLine="420"/>
      </w:pPr>
      <w:r>
        <w:rPr>
          <w:rFonts w:hint="eastAsia"/>
        </w:rPr>
        <w:t>直流侧应设置满足额定电压与短路电流能力的隔离与保护装置，隔离装置应具备可见断开或可验证断开状态。汇流箱、直流配电柜等应配置直流熔断器或断路保护，必要时配置直流拉弧检测与切断装置。直流回路应具备极性标识与防反接措施，关键接头应采用可靠压接与扭矩控制，并实施热成像或温升监测。</w:t>
      </w:r>
    </w:p>
    <w:p w14:paraId="43ECEE69">
      <w:pPr>
        <w:pStyle w:val="65"/>
        <w:spacing w:before="120" w:after="120" w:line="360" w:lineRule="auto"/>
      </w:pPr>
      <w:r>
        <w:rPr>
          <w:rFonts w:hint="eastAsia"/>
        </w:rPr>
        <w:t>逆变器与交流汇流防护</w:t>
      </w:r>
    </w:p>
    <w:p w14:paraId="028435D9">
      <w:pPr>
        <w:pStyle w:val="56"/>
        <w:spacing w:line="360" w:lineRule="auto"/>
        <w:ind w:firstLine="420"/>
      </w:pPr>
      <w:r>
        <w:rPr>
          <w:rFonts w:hint="eastAsia"/>
        </w:rPr>
        <w:t>逆变器应具备过流、过压、欠压、过温、绝缘监测、接地故障检测及并网保护相关功能，并与站内保护系统、监控系统联动。交流汇流与并网开关设备应设置防误闭锁装置，关键开关操作应纳入操作票管理，并具备状态指示、联锁逻辑验证与远方/就地操作权限控制。</w:t>
      </w:r>
    </w:p>
    <w:p w14:paraId="5051A28C">
      <w:pPr>
        <w:pStyle w:val="65"/>
        <w:spacing w:before="120" w:after="120" w:line="360" w:lineRule="auto"/>
      </w:pPr>
      <w:r>
        <w:rPr>
          <w:rFonts w:hint="eastAsia"/>
        </w:rPr>
        <w:t>接地与等电位</w:t>
      </w:r>
    </w:p>
    <w:p w14:paraId="2DF24255">
      <w:pPr>
        <w:pStyle w:val="56"/>
        <w:spacing w:line="360" w:lineRule="auto"/>
        <w:ind w:firstLine="420"/>
      </w:pPr>
      <w:r>
        <w:rPr>
          <w:rFonts w:hint="eastAsia"/>
        </w:rPr>
        <w:t>发电站应建立统一接地系统，组件支架、汇流箱、逆变器、箱变、升压站设备、金属管线与电缆桥架等可导电部分应按设计要求可靠接地并实现等电位连接。接地电阻与接地连续性应满足设计与验收要求，接地引下线与连接点应防腐、防松动并便于检测。对人员可触及区域，应重点控制接触电压与跨步电压风险。</w:t>
      </w:r>
    </w:p>
    <w:p w14:paraId="67C80122">
      <w:pPr>
        <w:pStyle w:val="65"/>
        <w:spacing w:before="120" w:after="120" w:line="360" w:lineRule="auto"/>
      </w:pPr>
      <w:r>
        <w:rPr>
          <w:rFonts w:hint="eastAsia"/>
        </w:rPr>
        <w:t>防雷与浪涌保护</w:t>
      </w:r>
    </w:p>
    <w:p w14:paraId="7E92B93C">
      <w:pPr>
        <w:pStyle w:val="56"/>
        <w:spacing w:line="360" w:lineRule="auto"/>
        <w:ind w:firstLine="420"/>
      </w:pPr>
      <w:r>
        <w:rPr>
          <w:rFonts w:hint="eastAsia"/>
        </w:rPr>
        <w:t>发电站应配置外部防雷与内部浪涌保护装置，重点保护对象宜包括直流汇流、逆变器、箱变、升压站一次设备、通信与监控设备等。浪涌保护装置的选型、分级配置与安装位置应与系统电压等级、接地方式与线路长度相适配，并建立定期检查与失效更换机制。雷雨季节前宜开展防雷装置专项检测，确保接地与等电位连续性良好。</w:t>
      </w:r>
    </w:p>
    <w:p w14:paraId="52A5726E">
      <w:pPr>
        <w:pStyle w:val="105"/>
        <w:spacing w:before="120" w:after="120" w:line="360" w:lineRule="auto"/>
      </w:pPr>
      <w:r>
        <w:rPr>
          <w:rFonts w:hint="eastAsia"/>
        </w:rPr>
        <w:t>作业安全控制要求</w:t>
      </w:r>
    </w:p>
    <w:p w14:paraId="7246C492">
      <w:pPr>
        <w:pStyle w:val="65"/>
        <w:spacing w:before="120" w:after="120" w:line="360" w:lineRule="auto"/>
      </w:pPr>
      <w:r>
        <w:rPr>
          <w:rFonts w:hint="eastAsia"/>
        </w:rPr>
        <w:t>运行与检修基本要求</w:t>
      </w:r>
    </w:p>
    <w:p w14:paraId="550A8445">
      <w:pPr>
        <w:pStyle w:val="56"/>
        <w:spacing w:line="360" w:lineRule="auto"/>
        <w:ind w:firstLine="420"/>
      </w:pPr>
      <w:r>
        <w:rPr>
          <w:rFonts w:hint="eastAsia"/>
        </w:rPr>
        <w:t>光伏发电站应执行电气安全工作规程相关要求，落实工作票、操作票、许可、监护与验电接地制度。对停电检修，应执行“停电—验电—接地—挂牌上锁—监护”的安全隔离程序，并在直流侧明确“并网断开并不等于无电”的风险提示，必要时采取组串分段隔离、汇流箱隔离与直流放电等措施。</w:t>
      </w:r>
    </w:p>
    <w:p w14:paraId="6C629C8F">
      <w:pPr>
        <w:pStyle w:val="65"/>
        <w:spacing w:before="120" w:after="120" w:line="360" w:lineRule="auto"/>
      </w:pPr>
      <w:r>
        <w:rPr>
          <w:rFonts w:hint="eastAsia"/>
        </w:rPr>
        <w:t>带电检测与特殊作业控制</w:t>
      </w:r>
    </w:p>
    <w:p w14:paraId="59622B4D">
      <w:pPr>
        <w:pStyle w:val="56"/>
        <w:spacing w:line="360" w:lineRule="auto"/>
        <w:ind w:firstLine="420"/>
      </w:pPr>
      <w:r>
        <w:rPr>
          <w:rFonts w:hint="eastAsia"/>
        </w:rPr>
        <w:t>对带电检测、夜间作业、高处作业、有限空间作业、动火作业、临时用电等特殊作业，应实施专项风险辨识与作业许可。带电检测应明确适用范围、工具绝缘等级、人员资质、监护要求与应急准备。任何情况下不得在不满足安全距离、无监护或无有效防护装备条件下开展带电操作或检修。</w:t>
      </w:r>
    </w:p>
    <w:p w14:paraId="50EB3BF2">
      <w:pPr>
        <w:pStyle w:val="65"/>
        <w:spacing w:before="120" w:after="120" w:line="360" w:lineRule="auto"/>
      </w:pPr>
      <w:r>
        <w:rPr>
          <w:rFonts w:hint="eastAsia"/>
        </w:rPr>
        <w:t>外包与承包商管理</w:t>
      </w:r>
    </w:p>
    <w:p w14:paraId="0069E473">
      <w:pPr>
        <w:pStyle w:val="56"/>
        <w:spacing w:line="360" w:lineRule="auto"/>
        <w:ind w:firstLine="420"/>
      </w:pPr>
      <w:r>
        <w:rPr>
          <w:rFonts w:hint="eastAsia"/>
        </w:rPr>
        <w:t>对外包检修、清洗、除草、土建交叉作业等场景，发电站应实施承包商准入与现场电气安全交底，明确作业边界、隔离范围、票证衔接与应急联动要求。承包商人员应接受电气安全培训并通过考核，关键作业应由发电站指定人员监护。对违规行为应实施停工整改与考核惩戒。</w:t>
      </w:r>
    </w:p>
    <w:p w14:paraId="302E0ED0">
      <w:pPr>
        <w:pStyle w:val="105"/>
        <w:spacing w:before="120" w:after="120" w:line="360" w:lineRule="auto"/>
      </w:pPr>
      <w:r>
        <w:rPr>
          <w:rFonts w:hint="eastAsia"/>
        </w:rPr>
        <w:t>监测预警与缺陷管理要求</w:t>
      </w:r>
    </w:p>
    <w:p w14:paraId="046F54B4">
      <w:pPr>
        <w:pStyle w:val="65"/>
        <w:spacing w:before="120" w:after="120" w:line="360" w:lineRule="auto"/>
      </w:pPr>
      <w:r>
        <w:rPr>
          <w:rFonts w:hint="eastAsia"/>
        </w:rPr>
        <w:t>在线监测与告警</w:t>
      </w:r>
    </w:p>
    <w:p w14:paraId="3322569E">
      <w:pPr>
        <w:pStyle w:val="56"/>
        <w:spacing w:line="360" w:lineRule="auto"/>
        <w:ind w:firstLine="420"/>
      </w:pPr>
      <w:r>
        <w:rPr>
          <w:rFonts w:hint="eastAsia"/>
        </w:rPr>
        <w:t>发电站宜配置对关键风险的监测能力，包括绝缘监测、直流拉弧监测（适用时）、关键接头温度监测、箱变与开关设备温度与局放监测（适用时）、浪涌保护装置状态监测、并网保护事件记录等。监测系统应具备告警分级、联动处置与告警闭环功能，确保告警可定位、可处置、可复盘。</w:t>
      </w:r>
    </w:p>
    <w:p w14:paraId="0A1B2664">
      <w:pPr>
        <w:pStyle w:val="65"/>
        <w:spacing w:before="120" w:after="120" w:line="360" w:lineRule="auto"/>
      </w:pPr>
      <w:r>
        <w:rPr>
          <w:rFonts w:hint="eastAsia"/>
        </w:rPr>
        <w:t>缺陷分级与闭环</w:t>
      </w:r>
    </w:p>
    <w:p w14:paraId="65B84C51">
      <w:pPr>
        <w:pStyle w:val="56"/>
        <w:spacing w:line="360" w:lineRule="auto"/>
        <w:ind w:firstLine="420"/>
      </w:pPr>
      <w:r>
        <w:rPr>
          <w:rFonts w:hint="eastAsia"/>
        </w:rPr>
        <w:t>发电站应建立电气缺陷管理机制，对缺陷进行分级、登记、分析、处置与验证。缺陷管理应与巡视、试验、监测告警与事故事件记录联动，形成统一台账。对危及人身安全或可能引发火灾、停电的重大缺陷，应实施立即处置或停运隔离措施，并按规定升级报告。</w:t>
      </w:r>
    </w:p>
    <w:p w14:paraId="1B339D81">
      <w:pPr>
        <w:pStyle w:val="105"/>
        <w:spacing w:before="120" w:after="120" w:line="360" w:lineRule="auto"/>
      </w:pPr>
      <w:r>
        <w:rPr>
          <w:rFonts w:hint="eastAsia"/>
        </w:rPr>
        <w:t>应急准备与应急资源配置</w:t>
      </w:r>
    </w:p>
    <w:p w14:paraId="4AB6954E">
      <w:pPr>
        <w:pStyle w:val="65"/>
        <w:spacing w:before="120" w:after="120" w:line="360" w:lineRule="auto"/>
      </w:pPr>
      <w:r>
        <w:rPr>
          <w:rFonts w:hint="eastAsia"/>
        </w:rPr>
        <w:t>应急预案与处置卡</w:t>
      </w:r>
    </w:p>
    <w:p w14:paraId="39625D2C">
      <w:pPr>
        <w:pStyle w:val="56"/>
        <w:spacing w:line="360" w:lineRule="auto"/>
        <w:ind w:firstLine="420"/>
      </w:pPr>
      <w:r>
        <w:rPr>
          <w:rFonts w:hint="eastAsia"/>
        </w:rPr>
        <w:t>发电站应针对典型电气事故情景制定应急预案，并为一线人员配置可操作的应急处置卡或现场指引，明确“先人身、后设备，先隔离、后处置，先控制、后恢复”的基本策略。应急处置卡宜覆盖触电急救、直流拉弧疑似火情处置、箱变或升压设备火情处置、雷击后巡检与隔离、并网故障与全站停电处置、反送电风险控制等情景。</w:t>
      </w:r>
    </w:p>
    <w:p w14:paraId="64D7F775">
      <w:pPr>
        <w:pStyle w:val="65"/>
        <w:spacing w:before="120" w:after="120" w:line="360" w:lineRule="auto"/>
      </w:pPr>
      <w:r>
        <w:rPr>
          <w:rFonts w:hint="eastAsia"/>
        </w:rPr>
        <w:t>应急队伍、物资与装备</w:t>
      </w:r>
    </w:p>
    <w:p w14:paraId="65278AC0">
      <w:pPr>
        <w:pStyle w:val="56"/>
        <w:spacing w:line="360" w:lineRule="auto"/>
        <w:ind w:firstLine="420"/>
      </w:pPr>
      <w:r>
        <w:rPr>
          <w:rFonts w:hint="eastAsia"/>
        </w:rPr>
        <w:t>发电站应配备与风险相适配的应急队伍与物资装备，至少包括绝缘工具、验电器与接地线、隔离锁具与挂牌、消防器材（含适用电气火灾的灭火介质）、应急照明、通信设备、急救箱与AED（条件允许时）、防护用品（绝缘手套、绝缘靴、绝缘垫、面罩等）。应急物资应定置管理、定期检查、确保完好可用，并建立领用与补充制度。</w:t>
      </w:r>
    </w:p>
    <w:p w14:paraId="3F16527C">
      <w:pPr>
        <w:pStyle w:val="65"/>
        <w:spacing w:before="120" w:after="120" w:line="360" w:lineRule="auto"/>
      </w:pPr>
      <w:r>
        <w:rPr>
          <w:rFonts w:hint="eastAsia"/>
        </w:rPr>
        <w:t>演练与能力评估</w:t>
      </w:r>
    </w:p>
    <w:p w14:paraId="601A9710">
      <w:pPr>
        <w:pStyle w:val="56"/>
        <w:spacing w:line="360" w:lineRule="auto"/>
        <w:ind w:firstLine="420"/>
      </w:pPr>
      <w:r>
        <w:rPr>
          <w:rFonts w:hint="eastAsia"/>
        </w:rPr>
        <w:t>发电站应定期组织应急演练，演练宜包括桌面推演与现场实战演练，重点检验响应启动、隔离操作、信息报告、现场协同、伤员救治与恢复供电等环节的有效性。演练后应开展评估与复盘，形成改进措施并闭环落实。</w:t>
      </w:r>
    </w:p>
    <w:p w14:paraId="7158270C">
      <w:pPr>
        <w:pStyle w:val="104"/>
        <w:spacing w:before="240" w:after="240" w:line="360" w:lineRule="auto"/>
      </w:pPr>
      <w:bookmarkStart w:id="53" w:name="_Toc217466660"/>
      <w:r>
        <w:rPr>
          <w:rFonts w:hint="eastAsia"/>
        </w:rPr>
        <w:t>应急响应体系与处置流程要求</w:t>
      </w:r>
      <w:bookmarkEnd w:id="53"/>
    </w:p>
    <w:p w14:paraId="52A1DB41">
      <w:pPr>
        <w:pStyle w:val="105"/>
        <w:spacing w:before="120" w:after="120" w:line="360" w:lineRule="auto"/>
      </w:pPr>
      <w:r>
        <w:rPr>
          <w:rFonts w:hint="eastAsia"/>
        </w:rPr>
        <w:t>应急响应分级与启动条件</w:t>
      </w:r>
    </w:p>
    <w:p w14:paraId="13416DA4">
      <w:pPr>
        <w:pStyle w:val="165"/>
        <w:spacing w:line="360" w:lineRule="auto"/>
      </w:pPr>
      <w:r>
        <w:rPr>
          <w:rFonts w:hint="eastAsia"/>
        </w:rPr>
        <w:t>光伏发电站应建立与风险等级相匹配的应急响应分级机制，明确响应等级、启动条件、指挥权限与资源调动范围。响应分级宜结合人员伤害程度、火情发展态势、停电范围、关键设备受损程度、外部影响与舆情风险等要素综合判定，并与属地应急管理、消防救援及电网调度联动要求相衔接。</w:t>
      </w:r>
    </w:p>
    <w:p w14:paraId="7221FE2C">
      <w:pPr>
        <w:pStyle w:val="165"/>
        <w:spacing w:line="360" w:lineRule="auto"/>
      </w:pPr>
      <w:r>
        <w:rPr>
          <w:rFonts w:hint="eastAsia"/>
        </w:rPr>
        <w:t>应急启动应遵循“先控制风险、再处置事故、后恢复生产”的顺序，满足以下要求：</w:t>
      </w:r>
    </w:p>
    <w:p w14:paraId="1D20D233">
      <w:pPr>
        <w:pStyle w:val="56"/>
        <w:spacing w:line="360" w:lineRule="auto"/>
        <w:ind w:firstLine="420"/>
      </w:pPr>
      <w:r>
        <w:rPr>
          <w:rFonts w:hint="eastAsia"/>
        </w:rPr>
        <w:t>a) 当发生触电、火灾、爆炸、重大设备故障或疑似直流拉弧引发火情时，应立即启动相应应急响应；</w:t>
      </w:r>
    </w:p>
    <w:p w14:paraId="0F2CBDE1">
      <w:pPr>
        <w:pStyle w:val="56"/>
        <w:spacing w:line="360" w:lineRule="auto"/>
        <w:ind w:firstLine="420"/>
      </w:pPr>
      <w:r>
        <w:rPr>
          <w:rFonts w:hint="eastAsia"/>
        </w:rPr>
        <w:t>b) 当监测系统出现高危告警且无法确认风险已解除时，应启动预警响应并实施现场核查与隔离；</w:t>
      </w:r>
    </w:p>
    <w:p w14:paraId="427D21ED">
      <w:pPr>
        <w:pStyle w:val="56"/>
        <w:spacing w:line="360" w:lineRule="auto"/>
        <w:ind w:firstLine="420"/>
      </w:pPr>
      <w:r>
        <w:rPr>
          <w:rFonts w:hint="eastAsia"/>
        </w:rPr>
        <w:t>c) 当涉及并网点异常、全站停电、反送电风险或保护装置异常动作时，应与电网调度建立快速沟通机制并按调度要求执行；</w:t>
      </w:r>
    </w:p>
    <w:p w14:paraId="404E7B7F">
      <w:pPr>
        <w:pStyle w:val="56"/>
        <w:spacing w:line="360" w:lineRule="auto"/>
        <w:ind w:firstLine="420"/>
      </w:pPr>
      <w:r>
        <w:rPr>
          <w:rFonts w:hint="eastAsia"/>
        </w:rPr>
        <w:t>d) 当事故可能扩大或超出站内处置能力时，应及时升级响应并请求外部支援。</w:t>
      </w:r>
    </w:p>
    <w:p w14:paraId="666683CC">
      <w:pPr>
        <w:pStyle w:val="105"/>
        <w:spacing w:before="120" w:after="120" w:line="360" w:lineRule="auto"/>
      </w:pPr>
      <w:r>
        <w:rPr>
          <w:rFonts w:hint="eastAsia"/>
        </w:rPr>
        <w:t>应急组织与职责分工</w:t>
      </w:r>
    </w:p>
    <w:p w14:paraId="42A780ED">
      <w:pPr>
        <w:pStyle w:val="165"/>
        <w:spacing w:line="360" w:lineRule="auto"/>
      </w:pPr>
      <w:r>
        <w:rPr>
          <w:rFonts w:hint="eastAsia"/>
        </w:rPr>
        <w:t>光伏发电站应建立应急组织体系，至少包括现场指挥、运行处置、检修抢修、消防与救护、警戒疏散、信息报送与后勤保障等岗位或小组，并明确岗位职责、到场时限与替补机制。对委外运维或多承包商场站，应明确统一指挥权归属与现场协同规则，避免多头指挥。</w:t>
      </w:r>
    </w:p>
    <w:p w14:paraId="56B13FA0">
      <w:pPr>
        <w:pStyle w:val="165"/>
        <w:spacing w:line="360" w:lineRule="auto"/>
      </w:pPr>
      <w:r>
        <w:rPr>
          <w:rFonts w:hint="eastAsia"/>
        </w:rPr>
        <w:t>应急职责至少应满足：</w:t>
      </w:r>
    </w:p>
    <w:p w14:paraId="68E2C86C">
      <w:pPr>
        <w:pStyle w:val="56"/>
        <w:spacing w:line="360" w:lineRule="auto"/>
        <w:ind w:firstLine="420"/>
      </w:pPr>
      <w:r>
        <w:rPr>
          <w:rFonts w:hint="eastAsia"/>
        </w:rPr>
        <w:t>a) 现场指挥负责启动响应、组织隔离、协调外部联动、批准关键操作与恢复方案；</w:t>
      </w:r>
    </w:p>
    <w:p w14:paraId="5F2FB545">
      <w:pPr>
        <w:pStyle w:val="56"/>
        <w:spacing w:line="360" w:lineRule="auto"/>
        <w:ind w:firstLine="420"/>
      </w:pPr>
      <w:r>
        <w:rPr>
          <w:rFonts w:hint="eastAsia"/>
        </w:rPr>
        <w:t>b) 运行处置负责停送电操作、隔离点确认、倒闸操作与监控告警研判；</w:t>
      </w:r>
    </w:p>
    <w:p w14:paraId="4449F055">
      <w:pPr>
        <w:pStyle w:val="56"/>
        <w:spacing w:line="360" w:lineRule="auto"/>
        <w:ind w:firstLine="420"/>
      </w:pPr>
      <w:r>
        <w:rPr>
          <w:rFonts w:hint="eastAsia"/>
        </w:rPr>
        <w:t>c) 检修抢修负责故障点排查、设备状态评估、临时修复与恢复验证；</w:t>
      </w:r>
    </w:p>
    <w:p w14:paraId="6395C5AB">
      <w:pPr>
        <w:pStyle w:val="56"/>
        <w:spacing w:line="360" w:lineRule="auto"/>
        <w:ind w:firstLine="420"/>
      </w:pPr>
      <w:r>
        <w:rPr>
          <w:rFonts w:hint="eastAsia"/>
        </w:rPr>
        <w:t>d) 消防与救护负责火情初期处置、人员急救与与外部救援力量衔接；</w:t>
      </w:r>
    </w:p>
    <w:p w14:paraId="03CD1455">
      <w:pPr>
        <w:pStyle w:val="56"/>
        <w:spacing w:line="360" w:lineRule="auto"/>
        <w:ind w:firstLine="420"/>
      </w:pPr>
      <w:r>
        <w:rPr>
          <w:rFonts w:hint="eastAsia"/>
        </w:rPr>
        <w:t>e) 警戒疏散负责危险区域封控、人员清点与交通引导；</w:t>
      </w:r>
    </w:p>
    <w:p w14:paraId="2843957B">
      <w:pPr>
        <w:pStyle w:val="56"/>
        <w:spacing w:line="360" w:lineRule="auto"/>
        <w:ind w:firstLine="420"/>
      </w:pPr>
      <w:r>
        <w:rPr>
          <w:rFonts w:hint="eastAsia"/>
        </w:rPr>
        <w:t>f) 信息报送负责按规定对内对外报告、记录时间线与证据留存。</w:t>
      </w:r>
    </w:p>
    <w:p w14:paraId="47394B9C">
      <w:pPr>
        <w:pStyle w:val="105"/>
        <w:spacing w:before="120" w:after="120" w:line="360" w:lineRule="auto"/>
      </w:pPr>
      <w:r>
        <w:rPr>
          <w:rFonts w:hint="eastAsia"/>
        </w:rPr>
        <w:t>信息报告、联动与记录要求</w:t>
      </w:r>
    </w:p>
    <w:p w14:paraId="066B5AD1">
      <w:pPr>
        <w:pStyle w:val="165"/>
        <w:spacing w:line="360" w:lineRule="auto"/>
      </w:pPr>
      <w:r>
        <w:rPr>
          <w:rFonts w:hint="eastAsia"/>
        </w:rPr>
        <w:t>光伏发电站应建立应急信息报告机制，明确报告对象、报告内容、报告时限与更新频次。报告应遵循“先报事实、后报原因；先报控制情况、后报损失评估”的原则，确保信息真实、准确、统一口径。</w:t>
      </w:r>
    </w:p>
    <w:p w14:paraId="738B47FC">
      <w:pPr>
        <w:pStyle w:val="165"/>
        <w:spacing w:line="360" w:lineRule="auto"/>
      </w:pPr>
      <w:r>
        <w:rPr>
          <w:rFonts w:hint="eastAsia"/>
        </w:rPr>
        <w:t>发电站应建立与电网调度、消防救援、应急管理、属地政府及业主单位的联动清单与沟通流程，确保关键时刻联系畅通。信息报告与联动要求建议见表2。</w:t>
      </w:r>
    </w:p>
    <w:p w14:paraId="09947609">
      <w:pPr>
        <w:pStyle w:val="105"/>
        <w:spacing w:before="120" w:after="120" w:line="360" w:lineRule="auto"/>
      </w:pPr>
      <w:r>
        <w:rPr>
          <w:rFonts w:hint="eastAsia"/>
        </w:rPr>
        <w:t>应急处置通用流程</w:t>
      </w:r>
    </w:p>
    <w:p w14:paraId="3138C1DC">
      <w:pPr>
        <w:pStyle w:val="165"/>
        <w:spacing w:line="360" w:lineRule="auto"/>
      </w:pPr>
      <w:r>
        <w:rPr>
          <w:rFonts w:hint="eastAsia"/>
        </w:rPr>
        <w:t>应急处置应形成通用流程并固化为现场可执行的步骤。通用流程宜包括：险情发现与报警、初期隔离与警戒、风险研判与响应启动、现场处置与抢救、扩大控制与外部联动、恢复与验证、复盘与整改等环节。</w:t>
      </w:r>
    </w:p>
    <w:p w14:paraId="2B47D3D6">
      <w:pPr>
        <w:pStyle w:val="165"/>
        <w:spacing w:line="360" w:lineRule="auto"/>
      </w:pPr>
      <w:r>
        <w:rPr>
          <w:rFonts w:hint="eastAsia"/>
        </w:rPr>
        <w:t>通用处置流程应突出以下控制要点：</w:t>
      </w:r>
    </w:p>
    <w:p w14:paraId="7D96780E">
      <w:pPr>
        <w:pStyle w:val="56"/>
        <w:spacing w:line="360" w:lineRule="auto"/>
        <w:ind w:firstLine="420"/>
      </w:pPr>
      <w:r>
        <w:rPr>
          <w:rFonts w:hint="eastAsia"/>
        </w:rPr>
        <w:t>a) 人身安全优先，任何处置不得以牺牲人员安全为代价；</w:t>
      </w:r>
    </w:p>
    <w:p w14:paraId="10889D96">
      <w:pPr>
        <w:pStyle w:val="56"/>
        <w:spacing w:line="360" w:lineRule="auto"/>
        <w:ind w:firstLine="420"/>
      </w:pPr>
      <w:r>
        <w:rPr>
          <w:rFonts w:hint="eastAsia"/>
        </w:rPr>
        <w:t>b) 先隔离、后处置，未确认隔离有效不得进入危险区域；</w:t>
      </w:r>
    </w:p>
    <w:p w14:paraId="64123791">
      <w:pPr>
        <w:pStyle w:val="56"/>
        <w:spacing w:line="360" w:lineRule="auto"/>
        <w:ind w:firstLine="420"/>
      </w:pPr>
      <w:r>
        <w:rPr>
          <w:rFonts w:hint="eastAsia"/>
        </w:rPr>
        <w:t>c) 直流风险特别管控，明确直流侧残压、反送电与电弧持续风险；</w:t>
      </w:r>
    </w:p>
    <w:p w14:paraId="29EA98BC">
      <w:pPr>
        <w:pStyle w:val="56"/>
        <w:spacing w:line="360" w:lineRule="auto"/>
        <w:ind w:firstLine="420"/>
      </w:pPr>
      <w:r>
        <w:rPr>
          <w:rFonts w:hint="eastAsia"/>
        </w:rPr>
        <w:t>d) 火情处置坚持“断电—隔离—控火—防复燃”，防止扩大；</w:t>
      </w:r>
    </w:p>
    <w:p w14:paraId="5129B44C">
      <w:pPr>
        <w:pStyle w:val="56"/>
        <w:spacing w:line="360" w:lineRule="auto"/>
        <w:ind w:firstLine="420"/>
      </w:pPr>
      <w:r>
        <w:rPr>
          <w:rFonts w:hint="eastAsia"/>
        </w:rPr>
        <w:t>e) 处置过程全程留痕，记录关键时间点、操作人、隔离点、告警与处置措施。</w:t>
      </w:r>
    </w:p>
    <w:p w14:paraId="7757B21E">
      <w:pPr>
        <w:pStyle w:val="104"/>
        <w:spacing w:before="240" w:after="240" w:line="360" w:lineRule="auto"/>
      </w:pPr>
      <w:bookmarkStart w:id="54" w:name="_Toc217466661"/>
      <w:r>
        <w:rPr>
          <w:rFonts w:hint="eastAsia"/>
        </w:rPr>
        <w:t>典型事故情景应急处置要点</w:t>
      </w:r>
      <w:bookmarkEnd w:id="54"/>
    </w:p>
    <w:p w14:paraId="5E0C4E62">
      <w:pPr>
        <w:pStyle w:val="105"/>
        <w:spacing w:before="120" w:after="120" w:line="360" w:lineRule="auto"/>
      </w:pPr>
      <w:r>
        <w:rPr>
          <w:rFonts w:hint="eastAsia"/>
        </w:rPr>
        <w:t>典型事故情景清单</w:t>
      </w:r>
    </w:p>
    <w:p w14:paraId="2D9936D9">
      <w:pPr>
        <w:pStyle w:val="56"/>
        <w:spacing w:line="360" w:lineRule="auto"/>
        <w:ind w:firstLine="420"/>
      </w:pPr>
      <w:r>
        <w:rPr>
          <w:rFonts w:hint="eastAsia"/>
        </w:rPr>
        <w:t>光伏发电站应基于风险识别建立典型事故情景清单，用于预案编制、处置卡制定与演练组织。典型事故情景建议见表1。</w:t>
      </w:r>
    </w:p>
    <w:p w14:paraId="7722176D">
      <w:pPr>
        <w:pStyle w:val="112"/>
        <w:spacing w:before="120" w:after="120" w:line="360" w:lineRule="auto"/>
      </w:pPr>
      <w:r>
        <w:rPr>
          <w:rFonts w:hint="eastAsia"/>
        </w:rPr>
        <w:t>典型事故情景与处置重点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126"/>
        <w:gridCol w:w="1985"/>
        <w:gridCol w:w="1984"/>
        <w:gridCol w:w="2398"/>
      </w:tblGrid>
      <w:tr w14:paraId="6E4D7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CA50DA0">
            <w:pPr>
              <w:pStyle w:val="178"/>
            </w:pPr>
            <w:r>
              <w:rPr>
                <w:rFonts w:hint="eastAsia"/>
              </w:rPr>
              <w:t>情景编号</w:t>
            </w:r>
          </w:p>
        </w:tc>
        <w:tc>
          <w:tcPr>
            <w:tcW w:w="2126" w:type="dxa"/>
            <w:tcBorders>
              <w:top w:val="single" w:color="auto" w:sz="8" w:space="0"/>
              <w:bottom w:val="single" w:color="auto" w:sz="8" w:space="0"/>
            </w:tcBorders>
            <w:vAlign w:val="center"/>
          </w:tcPr>
          <w:p w14:paraId="73089068">
            <w:pPr>
              <w:pStyle w:val="178"/>
            </w:pPr>
            <w:r>
              <w:rPr>
                <w:rFonts w:hint="eastAsia"/>
              </w:rPr>
              <w:t>事故情景</w:t>
            </w:r>
          </w:p>
        </w:tc>
        <w:tc>
          <w:tcPr>
            <w:tcW w:w="1985" w:type="dxa"/>
            <w:tcBorders>
              <w:top w:val="single" w:color="auto" w:sz="8" w:space="0"/>
              <w:bottom w:val="single" w:color="auto" w:sz="8" w:space="0"/>
            </w:tcBorders>
            <w:vAlign w:val="center"/>
          </w:tcPr>
          <w:p w14:paraId="2A98EB74">
            <w:pPr>
              <w:pStyle w:val="178"/>
            </w:pPr>
            <w:r>
              <w:rPr>
                <w:rFonts w:hint="eastAsia"/>
              </w:rPr>
              <w:t>主要风险</w:t>
            </w:r>
          </w:p>
        </w:tc>
        <w:tc>
          <w:tcPr>
            <w:tcW w:w="1984" w:type="dxa"/>
            <w:tcBorders>
              <w:top w:val="single" w:color="auto" w:sz="8" w:space="0"/>
              <w:bottom w:val="single" w:color="auto" w:sz="8" w:space="0"/>
            </w:tcBorders>
            <w:vAlign w:val="center"/>
          </w:tcPr>
          <w:p w14:paraId="478D9CC7">
            <w:pPr>
              <w:pStyle w:val="178"/>
            </w:pPr>
            <w:r>
              <w:rPr>
                <w:rFonts w:hint="eastAsia"/>
              </w:rPr>
              <w:t>首要处置目标</w:t>
            </w:r>
          </w:p>
        </w:tc>
        <w:tc>
          <w:tcPr>
            <w:tcW w:w="2398" w:type="dxa"/>
            <w:tcBorders>
              <w:top w:val="single" w:color="auto" w:sz="8" w:space="0"/>
              <w:bottom w:val="single" w:color="auto" w:sz="8" w:space="0"/>
            </w:tcBorders>
            <w:vAlign w:val="center"/>
          </w:tcPr>
          <w:p w14:paraId="1EC45DC1">
            <w:pPr>
              <w:pStyle w:val="178"/>
            </w:pPr>
            <w:r>
              <w:rPr>
                <w:rFonts w:hint="eastAsia"/>
              </w:rPr>
              <w:t>关键处置重点</w:t>
            </w:r>
          </w:p>
        </w:tc>
      </w:tr>
      <w:tr w14:paraId="77D86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2D0DDF5F">
            <w:pPr>
              <w:pStyle w:val="178"/>
            </w:pPr>
            <w:r>
              <w:rPr>
                <w:rFonts w:hint="eastAsia"/>
              </w:rPr>
              <w:t>S1</w:t>
            </w:r>
          </w:p>
        </w:tc>
        <w:tc>
          <w:tcPr>
            <w:tcW w:w="2126" w:type="dxa"/>
            <w:tcBorders>
              <w:top w:val="single" w:color="auto" w:sz="8" w:space="0"/>
            </w:tcBorders>
            <w:vAlign w:val="center"/>
          </w:tcPr>
          <w:p w14:paraId="083F037A">
            <w:pPr>
              <w:pStyle w:val="178"/>
            </w:pPr>
            <w:r>
              <w:rPr>
                <w:rFonts w:hint="eastAsia"/>
              </w:rPr>
              <w:t>人员触电（直流/交流）</w:t>
            </w:r>
          </w:p>
        </w:tc>
        <w:tc>
          <w:tcPr>
            <w:tcW w:w="1985" w:type="dxa"/>
            <w:tcBorders>
              <w:top w:val="single" w:color="auto" w:sz="8" w:space="0"/>
            </w:tcBorders>
            <w:vAlign w:val="center"/>
          </w:tcPr>
          <w:p w14:paraId="74750921">
            <w:pPr>
              <w:pStyle w:val="178"/>
            </w:pPr>
            <w:r>
              <w:rPr>
                <w:rFonts w:hint="eastAsia"/>
              </w:rPr>
              <w:t>二次触电、心搏骤停、次生坠落</w:t>
            </w:r>
          </w:p>
        </w:tc>
        <w:tc>
          <w:tcPr>
            <w:tcW w:w="1984" w:type="dxa"/>
            <w:tcBorders>
              <w:top w:val="single" w:color="auto" w:sz="8" w:space="0"/>
            </w:tcBorders>
            <w:vAlign w:val="center"/>
          </w:tcPr>
          <w:p w14:paraId="48EC1E77">
            <w:pPr>
              <w:pStyle w:val="178"/>
            </w:pPr>
            <w:r>
              <w:rPr>
                <w:rFonts w:hint="eastAsia"/>
              </w:rPr>
              <w:t>迅速脱离电源并实施急救</w:t>
            </w:r>
          </w:p>
        </w:tc>
        <w:tc>
          <w:tcPr>
            <w:tcW w:w="2398" w:type="dxa"/>
            <w:tcBorders>
              <w:top w:val="single" w:color="auto" w:sz="8" w:space="0"/>
            </w:tcBorders>
            <w:vAlign w:val="center"/>
          </w:tcPr>
          <w:p w14:paraId="25598F3A">
            <w:pPr>
              <w:pStyle w:val="178"/>
            </w:pPr>
            <w:r>
              <w:rPr>
                <w:rFonts w:hint="eastAsia"/>
              </w:rPr>
              <w:t>断电隔离、绝缘救援、心肺复苏/AED、医疗联动</w:t>
            </w:r>
          </w:p>
        </w:tc>
      </w:tr>
      <w:tr w14:paraId="2226F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5329E89">
            <w:pPr>
              <w:pStyle w:val="178"/>
            </w:pPr>
            <w:r>
              <w:rPr>
                <w:rFonts w:hint="eastAsia"/>
              </w:rPr>
              <w:t>S2</w:t>
            </w:r>
          </w:p>
        </w:tc>
        <w:tc>
          <w:tcPr>
            <w:tcW w:w="2126" w:type="dxa"/>
            <w:vAlign w:val="center"/>
          </w:tcPr>
          <w:p w14:paraId="41F8C536">
            <w:pPr>
              <w:pStyle w:val="178"/>
            </w:pPr>
            <w:r>
              <w:rPr>
                <w:rFonts w:hint="eastAsia"/>
              </w:rPr>
              <w:t>直流拉弧疑似（汇流箱/接头过热/异味烟雾）</w:t>
            </w:r>
          </w:p>
        </w:tc>
        <w:tc>
          <w:tcPr>
            <w:tcW w:w="1985" w:type="dxa"/>
            <w:vAlign w:val="center"/>
          </w:tcPr>
          <w:p w14:paraId="7FB2817B">
            <w:pPr>
              <w:pStyle w:val="178"/>
            </w:pPr>
            <w:r>
              <w:rPr>
                <w:rFonts w:hint="eastAsia"/>
              </w:rPr>
              <w:t>电弧持续、火灾扩大、直流带电</w:t>
            </w:r>
          </w:p>
        </w:tc>
        <w:tc>
          <w:tcPr>
            <w:tcW w:w="1984" w:type="dxa"/>
            <w:vAlign w:val="center"/>
          </w:tcPr>
          <w:p w14:paraId="7E1E35DB">
            <w:pPr>
              <w:pStyle w:val="178"/>
            </w:pPr>
            <w:r>
              <w:rPr>
                <w:rFonts w:hint="eastAsia"/>
              </w:rPr>
              <w:t>快速隔离直流回路并控火</w:t>
            </w:r>
          </w:p>
        </w:tc>
        <w:tc>
          <w:tcPr>
            <w:tcW w:w="2398" w:type="dxa"/>
            <w:vAlign w:val="center"/>
          </w:tcPr>
          <w:p w14:paraId="6804FB3B">
            <w:pPr>
              <w:pStyle w:val="178"/>
            </w:pPr>
            <w:r>
              <w:rPr>
                <w:rFonts w:hint="eastAsia"/>
              </w:rPr>
              <w:t>组串分段隔离、禁止带电拉闸、热成像复核、防复燃</w:t>
            </w:r>
          </w:p>
        </w:tc>
      </w:tr>
      <w:tr w14:paraId="79826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CCC3D2E">
            <w:pPr>
              <w:pStyle w:val="178"/>
            </w:pPr>
            <w:r>
              <w:rPr>
                <w:rFonts w:hint="eastAsia"/>
              </w:rPr>
              <w:t>S3</w:t>
            </w:r>
          </w:p>
        </w:tc>
        <w:tc>
          <w:tcPr>
            <w:tcW w:w="2126" w:type="dxa"/>
            <w:vAlign w:val="center"/>
          </w:tcPr>
          <w:p w14:paraId="5253FBA1">
            <w:pPr>
              <w:pStyle w:val="178"/>
            </w:pPr>
            <w:r>
              <w:rPr>
                <w:rFonts w:hint="eastAsia"/>
              </w:rPr>
              <w:t>逆变器火情/爆燃</w:t>
            </w:r>
          </w:p>
        </w:tc>
        <w:tc>
          <w:tcPr>
            <w:tcW w:w="1985" w:type="dxa"/>
            <w:vAlign w:val="center"/>
          </w:tcPr>
          <w:p w14:paraId="7AE93B3B">
            <w:pPr>
              <w:pStyle w:val="178"/>
            </w:pPr>
            <w:r>
              <w:rPr>
                <w:rFonts w:hint="eastAsia"/>
              </w:rPr>
              <w:t>高温火焰、有毒烟气、并网异常</w:t>
            </w:r>
          </w:p>
        </w:tc>
        <w:tc>
          <w:tcPr>
            <w:tcW w:w="1984" w:type="dxa"/>
            <w:vAlign w:val="center"/>
          </w:tcPr>
          <w:p w14:paraId="60924E47">
            <w:pPr>
              <w:pStyle w:val="178"/>
            </w:pPr>
            <w:r>
              <w:rPr>
                <w:rFonts w:hint="eastAsia"/>
              </w:rPr>
              <w:t>控火并防止蔓延</w:t>
            </w:r>
          </w:p>
        </w:tc>
        <w:tc>
          <w:tcPr>
            <w:tcW w:w="2398" w:type="dxa"/>
            <w:vAlign w:val="center"/>
          </w:tcPr>
          <w:p w14:paraId="67D1DFC5">
            <w:pPr>
              <w:pStyle w:val="178"/>
            </w:pPr>
            <w:r>
              <w:rPr>
                <w:rFonts w:hint="eastAsia"/>
              </w:rPr>
              <w:t>交流侧隔离、直流侧隔离、适用灭火介质、冷却与警戒</w:t>
            </w:r>
          </w:p>
        </w:tc>
      </w:tr>
      <w:tr w14:paraId="6804A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B3F535C">
            <w:pPr>
              <w:pStyle w:val="178"/>
            </w:pPr>
            <w:r>
              <w:rPr>
                <w:rFonts w:hint="eastAsia"/>
              </w:rPr>
              <w:t>S4</w:t>
            </w:r>
          </w:p>
        </w:tc>
        <w:tc>
          <w:tcPr>
            <w:tcW w:w="2126" w:type="dxa"/>
            <w:vAlign w:val="center"/>
          </w:tcPr>
          <w:p w14:paraId="676DAEAF">
            <w:pPr>
              <w:pStyle w:val="178"/>
            </w:pPr>
            <w:r>
              <w:rPr>
                <w:rFonts w:hint="eastAsia"/>
              </w:rPr>
              <w:t>箱变/升压变压器油火</w:t>
            </w:r>
          </w:p>
        </w:tc>
        <w:tc>
          <w:tcPr>
            <w:tcW w:w="1985" w:type="dxa"/>
            <w:vAlign w:val="center"/>
          </w:tcPr>
          <w:p w14:paraId="75D36D9A">
            <w:pPr>
              <w:pStyle w:val="178"/>
            </w:pPr>
            <w:r>
              <w:rPr>
                <w:rFonts w:hint="eastAsia"/>
              </w:rPr>
              <w:t>爆炸、油火蔓延、停电扩大</w:t>
            </w:r>
          </w:p>
        </w:tc>
        <w:tc>
          <w:tcPr>
            <w:tcW w:w="1984" w:type="dxa"/>
            <w:vAlign w:val="center"/>
          </w:tcPr>
          <w:p w14:paraId="4B209AB7">
            <w:pPr>
              <w:pStyle w:val="178"/>
            </w:pPr>
            <w:r>
              <w:rPr>
                <w:rFonts w:hint="eastAsia"/>
              </w:rPr>
              <w:t>防爆隔离与消防联动</w:t>
            </w:r>
          </w:p>
        </w:tc>
        <w:tc>
          <w:tcPr>
            <w:tcW w:w="2398" w:type="dxa"/>
            <w:vAlign w:val="center"/>
          </w:tcPr>
          <w:p w14:paraId="3CDC3C5E">
            <w:pPr>
              <w:pStyle w:val="178"/>
            </w:pPr>
            <w:r>
              <w:rPr>
                <w:rFonts w:hint="eastAsia"/>
              </w:rPr>
              <w:t>快速停运隔离、消防水源与泡沫、油池围堰、调度联动</w:t>
            </w:r>
          </w:p>
        </w:tc>
      </w:tr>
      <w:tr w14:paraId="6DB09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659A55B">
            <w:pPr>
              <w:pStyle w:val="178"/>
            </w:pPr>
            <w:r>
              <w:rPr>
                <w:rFonts w:hint="eastAsia"/>
              </w:rPr>
              <w:t>S5</w:t>
            </w:r>
          </w:p>
        </w:tc>
        <w:tc>
          <w:tcPr>
            <w:tcW w:w="2126" w:type="dxa"/>
            <w:vAlign w:val="center"/>
          </w:tcPr>
          <w:p w14:paraId="08295028">
            <w:pPr>
              <w:pStyle w:val="178"/>
            </w:pPr>
            <w:r>
              <w:rPr>
                <w:rFonts w:hint="eastAsia"/>
              </w:rPr>
              <w:t>雷击/浪涌后大范围故障</w:t>
            </w:r>
          </w:p>
        </w:tc>
        <w:tc>
          <w:tcPr>
            <w:tcW w:w="1985" w:type="dxa"/>
            <w:vAlign w:val="center"/>
          </w:tcPr>
          <w:p w14:paraId="33F4B592">
            <w:pPr>
              <w:pStyle w:val="178"/>
            </w:pPr>
            <w:r>
              <w:rPr>
                <w:rFonts w:hint="eastAsia"/>
              </w:rPr>
              <w:t>绝缘击穿、保护误动、设备损坏</w:t>
            </w:r>
          </w:p>
        </w:tc>
        <w:tc>
          <w:tcPr>
            <w:tcW w:w="1984" w:type="dxa"/>
            <w:vAlign w:val="center"/>
          </w:tcPr>
          <w:p w14:paraId="4DE66DDE">
            <w:pPr>
              <w:pStyle w:val="178"/>
            </w:pPr>
            <w:r>
              <w:rPr>
                <w:rFonts w:hint="eastAsia"/>
              </w:rPr>
              <w:t>防止复合故障并安全恢复</w:t>
            </w:r>
          </w:p>
        </w:tc>
        <w:tc>
          <w:tcPr>
            <w:tcW w:w="2398" w:type="dxa"/>
            <w:vAlign w:val="center"/>
          </w:tcPr>
          <w:p w14:paraId="1C11B099">
            <w:pPr>
              <w:pStyle w:val="178"/>
            </w:pPr>
            <w:r>
              <w:rPr>
                <w:rFonts w:hint="eastAsia"/>
              </w:rPr>
              <w:t>防雷器状态核查、绝缘试验、保护记录分析、分段送电</w:t>
            </w:r>
          </w:p>
        </w:tc>
      </w:tr>
      <w:tr w14:paraId="6F828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2A29D914">
            <w:pPr>
              <w:pStyle w:val="178"/>
            </w:pPr>
            <w:r>
              <w:rPr>
                <w:rFonts w:hint="eastAsia"/>
              </w:rPr>
              <w:t>S6</w:t>
            </w:r>
          </w:p>
        </w:tc>
        <w:tc>
          <w:tcPr>
            <w:tcW w:w="2126" w:type="dxa"/>
            <w:vAlign w:val="center"/>
          </w:tcPr>
          <w:p w14:paraId="2279A677">
            <w:pPr>
              <w:pStyle w:val="178"/>
            </w:pPr>
            <w:r>
              <w:rPr>
                <w:rFonts w:hint="eastAsia"/>
              </w:rPr>
              <w:t>并网故障/全站停电</w:t>
            </w:r>
          </w:p>
        </w:tc>
        <w:tc>
          <w:tcPr>
            <w:tcW w:w="1985" w:type="dxa"/>
            <w:vAlign w:val="center"/>
          </w:tcPr>
          <w:p w14:paraId="2FF3E0AC">
            <w:pPr>
              <w:pStyle w:val="178"/>
            </w:pPr>
            <w:r>
              <w:rPr>
                <w:rFonts w:hint="eastAsia"/>
              </w:rPr>
              <w:t>反送电、保护拒动、恢复风险</w:t>
            </w:r>
          </w:p>
        </w:tc>
        <w:tc>
          <w:tcPr>
            <w:tcW w:w="1984" w:type="dxa"/>
            <w:vAlign w:val="center"/>
          </w:tcPr>
          <w:p w14:paraId="39FEFE3A">
            <w:pPr>
              <w:pStyle w:val="178"/>
            </w:pPr>
            <w:r>
              <w:rPr>
                <w:rFonts w:hint="eastAsia"/>
              </w:rPr>
              <w:t>确保无反送电并有序恢复</w:t>
            </w:r>
          </w:p>
        </w:tc>
        <w:tc>
          <w:tcPr>
            <w:tcW w:w="2398" w:type="dxa"/>
            <w:vAlign w:val="center"/>
          </w:tcPr>
          <w:p w14:paraId="066BC573">
            <w:pPr>
              <w:pStyle w:val="178"/>
            </w:pPr>
            <w:r>
              <w:rPr>
                <w:rFonts w:hint="eastAsia"/>
              </w:rPr>
              <w:t>调度联系、并网点隔离、储能隔离（如有）、分步复电</w:t>
            </w:r>
          </w:p>
        </w:tc>
      </w:tr>
      <w:tr w14:paraId="12AE2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7C794F8A">
            <w:pPr>
              <w:pStyle w:val="178"/>
            </w:pPr>
            <w:r>
              <w:rPr>
                <w:rFonts w:hint="eastAsia"/>
              </w:rPr>
              <w:t>S7</w:t>
            </w:r>
          </w:p>
        </w:tc>
        <w:tc>
          <w:tcPr>
            <w:tcW w:w="2126" w:type="dxa"/>
            <w:vAlign w:val="center"/>
          </w:tcPr>
          <w:p w14:paraId="54ED6920">
            <w:pPr>
              <w:pStyle w:val="178"/>
            </w:pPr>
            <w:r>
              <w:rPr>
                <w:rFonts w:hint="eastAsia"/>
              </w:rPr>
              <w:t>站用电故障/直流系统失电</w:t>
            </w:r>
          </w:p>
        </w:tc>
        <w:tc>
          <w:tcPr>
            <w:tcW w:w="1985" w:type="dxa"/>
            <w:vAlign w:val="center"/>
          </w:tcPr>
          <w:p w14:paraId="32E6E48A">
            <w:pPr>
              <w:pStyle w:val="178"/>
            </w:pPr>
            <w:r>
              <w:rPr>
                <w:rFonts w:hint="eastAsia"/>
              </w:rPr>
              <w:t>监控失效、保护缺失、应急照明不足</w:t>
            </w:r>
          </w:p>
        </w:tc>
        <w:tc>
          <w:tcPr>
            <w:tcW w:w="1984" w:type="dxa"/>
            <w:vAlign w:val="center"/>
          </w:tcPr>
          <w:p w14:paraId="5EDA5BE5">
            <w:pPr>
              <w:pStyle w:val="178"/>
            </w:pPr>
            <w:r>
              <w:rPr>
                <w:rFonts w:hint="eastAsia"/>
              </w:rPr>
              <w:t>恢复关键电源并保持监控</w:t>
            </w:r>
          </w:p>
        </w:tc>
        <w:tc>
          <w:tcPr>
            <w:tcW w:w="2398" w:type="dxa"/>
            <w:vAlign w:val="center"/>
          </w:tcPr>
          <w:p w14:paraId="7A045141">
            <w:pPr>
              <w:pStyle w:val="178"/>
            </w:pPr>
            <w:r>
              <w:rPr>
                <w:rFonts w:hint="eastAsia"/>
              </w:rPr>
              <w:t>应急电源切换、通信保障、关键负荷清单、故障隔离</w:t>
            </w:r>
          </w:p>
        </w:tc>
      </w:tr>
      <w:tr w14:paraId="5B2CC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3F3A3F43">
            <w:pPr>
              <w:pStyle w:val="178"/>
            </w:pPr>
            <w:r>
              <w:rPr>
                <w:rFonts w:hint="eastAsia"/>
              </w:rPr>
              <w:t>S8</w:t>
            </w:r>
          </w:p>
        </w:tc>
        <w:tc>
          <w:tcPr>
            <w:tcW w:w="2126" w:type="dxa"/>
            <w:vAlign w:val="center"/>
          </w:tcPr>
          <w:p w14:paraId="3899BC9D">
            <w:pPr>
              <w:pStyle w:val="178"/>
            </w:pPr>
            <w:r>
              <w:rPr>
                <w:rFonts w:hint="eastAsia"/>
              </w:rPr>
              <w:t>现场作业误操作/误合闸</w:t>
            </w:r>
          </w:p>
        </w:tc>
        <w:tc>
          <w:tcPr>
            <w:tcW w:w="1985" w:type="dxa"/>
            <w:vAlign w:val="center"/>
          </w:tcPr>
          <w:p w14:paraId="7CE5B39D">
            <w:pPr>
              <w:pStyle w:val="178"/>
            </w:pPr>
            <w:r>
              <w:rPr>
                <w:rFonts w:hint="eastAsia"/>
              </w:rPr>
              <w:t>人员伤害、设备损坏、扩大停电</w:t>
            </w:r>
          </w:p>
        </w:tc>
        <w:tc>
          <w:tcPr>
            <w:tcW w:w="1984" w:type="dxa"/>
            <w:vAlign w:val="center"/>
          </w:tcPr>
          <w:p w14:paraId="13289369">
            <w:pPr>
              <w:pStyle w:val="178"/>
            </w:pPr>
            <w:r>
              <w:rPr>
                <w:rFonts w:hint="eastAsia"/>
              </w:rPr>
              <w:t>立即制止并恢复安全状态</w:t>
            </w:r>
          </w:p>
        </w:tc>
        <w:tc>
          <w:tcPr>
            <w:tcW w:w="2398" w:type="dxa"/>
            <w:vAlign w:val="center"/>
          </w:tcPr>
          <w:p w14:paraId="16ABE2E9">
            <w:pPr>
              <w:pStyle w:val="178"/>
            </w:pPr>
            <w:r>
              <w:rPr>
                <w:rFonts w:hint="eastAsia"/>
              </w:rPr>
              <w:t>紧急停操作、验电接地、联锁核查、票证复盘问责</w:t>
            </w:r>
          </w:p>
        </w:tc>
      </w:tr>
    </w:tbl>
    <w:p w14:paraId="6918972A">
      <w:pPr>
        <w:pStyle w:val="105"/>
        <w:spacing w:before="120" w:after="120" w:line="360" w:lineRule="auto"/>
      </w:pPr>
      <w:r>
        <w:rPr>
          <w:rFonts w:hint="eastAsia"/>
        </w:rPr>
        <w:t>人员触电事故处置要点</w:t>
      </w:r>
    </w:p>
    <w:p w14:paraId="20198609">
      <w:pPr>
        <w:pStyle w:val="56"/>
        <w:spacing w:line="360" w:lineRule="auto"/>
        <w:ind w:firstLine="420"/>
      </w:pPr>
      <w:r>
        <w:rPr>
          <w:rFonts w:hint="eastAsia"/>
        </w:rPr>
        <w:t>触电事故处置应以迅速脱离电源与抢救生命为核心，确保施救人员自身安全。处置要点包括：</w:t>
      </w:r>
    </w:p>
    <w:p w14:paraId="0E37D5DF">
      <w:pPr>
        <w:pStyle w:val="56"/>
        <w:spacing w:line="360" w:lineRule="auto"/>
        <w:ind w:firstLine="420"/>
      </w:pPr>
      <w:r>
        <w:rPr>
          <w:rFonts w:hint="eastAsia"/>
        </w:rPr>
        <w:t>a) 立即呼叫支援并启动触电应急响应；</w:t>
      </w:r>
    </w:p>
    <w:p w14:paraId="0F14943F">
      <w:pPr>
        <w:pStyle w:val="56"/>
        <w:spacing w:line="360" w:lineRule="auto"/>
        <w:ind w:firstLine="420"/>
      </w:pPr>
      <w:r>
        <w:rPr>
          <w:rFonts w:hint="eastAsia"/>
        </w:rPr>
        <w:t>b) 优先采取断电措施：就地停机、拉开开关、切断电源并确认断开状态；直流侧应注意“带电持续”风险，必要时采取组串分段隔离；</w:t>
      </w:r>
    </w:p>
    <w:p w14:paraId="2387EC43">
      <w:pPr>
        <w:pStyle w:val="56"/>
        <w:spacing w:line="360" w:lineRule="auto"/>
        <w:ind w:firstLine="420"/>
      </w:pPr>
      <w:r>
        <w:rPr>
          <w:rFonts w:hint="eastAsia"/>
        </w:rPr>
        <w:t>c) 无法立即断电时，应使用绝缘救援工具将伤员与带电体分离，严禁徒手直接接触；</w:t>
      </w:r>
    </w:p>
    <w:p w14:paraId="307F82BC">
      <w:pPr>
        <w:pStyle w:val="56"/>
        <w:spacing w:line="360" w:lineRule="auto"/>
        <w:ind w:firstLine="420"/>
      </w:pPr>
      <w:r>
        <w:rPr>
          <w:rFonts w:hint="eastAsia"/>
        </w:rPr>
        <w:t>d) 脱离电源后立即评估意识、呼吸与脉搏，必要时进行心肺复苏并使用AED；</w:t>
      </w:r>
    </w:p>
    <w:p w14:paraId="26C72936">
      <w:pPr>
        <w:pStyle w:val="56"/>
        <w:spacing w:line="360" w:lineRule="auto"/>
        <w:ind w:firstLine="420"/>
      </w:pPr>
      <w:r>
        <w:rPr>
          <w:rFonts w:hint="eastAsia"/>
        </w:rPr>
        <w:t>e) 同步拨打急救电话并做好交通引导，保留现场证据并记录时间线；</w:t>
      </w:r>
    </w:p>
    <w:p w14:paraId="21C77D28">
      <w:pPr>
        <w:pStyle w:val="56"/>
        <w:spacing w:line="360" w:lineRule="auto"/>
        <w:ind w:firstLine="420"/>
      </w:pPr>
      <w:r>
        <w:rPr>
          <w:rFonts w:hint="eastAsia"/>
        </w:rPr>
        <w:t>f) 触电点位隔离封控，防止再次触电。</w:t>
      </w:r>
    </w:p>
    <w:p w14:paraId="47EBA4DD">
      <w:pPr>
        <w:pStyle w:val="105"/>
        <w:spacing w:before="120" w:after="120" w:line="360" w:lineRule="auto"/>
      </w:pPr>
      <w:r>
        <w:rPr>
          <w:rFonts w:hint="eastAsia"/>
        </w:rPr>
        <w:t>直流拉弧与电气火灾处置要点</w:t>
      </w:r>
    </w:p>
    <w:p w14:paraId="077A100A">
      <w:pPr>
        <w:pStyle w:val="56"/>
        <w:spacing w:line="360" w:lineRule="auto"/>
        <w:ind w:firstLine="420"/>
      </w:pPr>
      <w:r>
        <w:rPr>
          <w:rFonts w:hint="eastAsia"/>
        </w:rPr>
        <w:t>直流拉弧疑似或电气火灾处置应坚持“先隔离后灭火”的原则。处置要点包括：</w:t>
      </w:r>
    </w:p>
    <w:p w14:paraId="70C60C66">
      <w:pPr>
        <w:pStyle w:val="56"/>
        <w:spacing w:line="360" w:lineRule="auto"/>
        <w:ind w:firstLine="420"/>
      </w:pPr>
      <w:r>
        <w:rPr>
          <w:rFonts w:hint="eastAsia"/>
        </w:rPr>
        <w:t>a) 第一时间识别风险来源：汇流箱异味冒烟、接头过热、逆变器告警、组串电流异常等；</w:t>
      </w:r>
    </w:p>
    <w:p w14:paraId="78D68ACE">
      <w:pPr>
        <w:pStyle w:val="56"/>
        <w:spacing w:line="360" w:lineRule="auto"/>
        <w:ind w:firstLine="420"/>
      </w:pPr>
      <w:r>
        <w:rPr>
          <w:rFonts w:hint="eastAsia"/>
        </w:rPr>
        <w:t>b) 优先实施隔离：按既定隔离策略切断相关回路，必要时采取组串分段隔离、汇流箱隔离、逆变器停机与交流侧隔离的组合措施；</w:t>
      </w:r>
    </w:p>
    <w:p w14:paraId="5997F473">
      <w:pPr>
        <w:pStyle w:val="56"/>
        <w:spacing w:line="360" w:lineRule="auto"/>
        <w:ind w:firstLine="420"/>
      </w:pPr>
      <w:r>
        <w:rPr>
          <w:rFonts w:hint="eastAsia"/>
        </w:rPr>
        <w:t>c) 严禁在未确认隔离有效情况下打开箱体近距离处置；</w:t>
      </w:r>
    </w:p>
    <w:p w14:paraId="3589C41B">
      <w:pPr>
        <w:pStyle w:val="56"/>
        <w:spacing w:line="360" w:lineRule="auto"/>
        <w:ind w:firstLine="420"/>
      </w:pPr>
      <w:r>
        <w:rPr>
          <w:rFonts w:hint="eastAsia"/>
        </w:rPr>
        <w:t>d) 采用适用于电气火灾的灭火介质与方法，避免用水直接喷射带电设备；</w:t>
      </w:r>
    </w:p>
    <w:p w14:paraId="013521F8">
      <w:pPr>
        <w:pStyle w:val="56"/>
        <w:spacing w:line="360" w:lineRule="auto"/>
        <w:ind w:firstLine="420"/>
      </w:pPr>
      <w:r>
        <w:rPr>
          <w:rFonts w:hint="eastAsia"/>
        </w:rPr>
        <w:t>e) 控火后持续监测温升与复燃风险，必要时扩大隔离范围并与消防救援联动；</w:t>
      </w:r>
    </w:p>
    <w:p w14:paraId="19170006">
      <w:pPr>
        <w:pStyle w:val="56"/>
        <w:spacing w:line="360" w:lineRule="auto"/>
        <w:ind w:firstLine="420"/>
      </w:pPr>
      <w:r>
        <w:rPr>
          <w:rFonts w:hint="eastAsia"/>
        </w:rPr>
        <w:t>f) 火情处置完成后应进行电缆、端子、熔断器、SPD等关键部位检查与更换评估。</w:t>
      </w:r>
    </w:p>
    <w:p w14:paraId="2528ADAF">
      <w:pPr>
        <w:pStyle w:val="105"/>
        <w:spacing w:before="120" w:after="120" w:line="360" w:lineRule="auto"/>
      </w:pPr>
      <w:r>
        <w:rPr>
          <w:rFonts w:hint="eastAsia"/>
        </w:rPr>
        <w:t>箱变/升压设备火情与爆炸风险处置要点</w:t>
      </w:r>
    </w:p>
    <w:p w14:paraId="49E15176">
      <w:pPr>
        <w:pStyle w:val="56"/>
        <w:spacing w:line="360" w:lineRule="auto"/>
        <w:ind w:firstLine="420"/>
      </w:pPr>
      <w:r>
        <w:rPr>
          <w:rFonts w:hint="eastAsia"/>
        </w:rPr>
        <w:t>箱变、升压变压器或开关设备火情处置应重点防控爆炸与油火蔓延。处置要点包括：</w:t>
      </w:r>
    </w:p>
    <w:p w14:paraId="63FEF9E6">
      <w:pPr>
        <w:pStyle w:val="56"/>
        <w:spacing w:line="360" w:lineRule="auto"/>
        <w:ind w:firstLine="420"/>
      </w:pPr>
      <w:r>
        <w:rPr>
          <w:rFonts w:hint="eastAsia"/>
        </w:rPr>
        <w:t>a) 立即停运并隔离相关设备，执行与调度联动的停送电程序；</w:t>
      </w:r>
    </w:p>
    <w:p w14:paraId="47C5EB2F">
      <w:pPr>
        <w:pStyle w:val="56"/>
        <w:spacing w:line="360" w:lineRule="auto"/>
        <w:ind w:firstLine="420"/>
      </w:pPr>
      <w:r>
        <w:rPr>
          <w:rFonts w:hint="eastAsia"/>
        </w:rPr>
        <w:t>b) 设置警戒区并疏散无关人员，严禁人员在可能爆炸方向停留；</w:t>
      </w:r>
    </w:p>
    <w:p w14:paraId="0EDC42DE">
      <w:pPr>
        <w:pStyle w:val="56"/>
        <w:spacing w:line="360" w:lineRule="auto"/>
        <w:ind w:firstLine="420"/>
      </w:pPr>
      <w:r>
        <w:rPr>
          <w:rFonts w:hint="eastAsia"/>
        </w:rPr>
        <w:t>c) 对油火应结合站内消防系统与外部消防力量实施控火，重点控制油池、围堰与排油通道；</w:t>
      </w:r>
    </w:p>
    <w:p w14:paraId="32FDFB7E">
      <w:pPr>
        <w:pStyle w:val="56"/>
        <w:spacing w:line="360" w:lineRule="auto"/>
        <w:ind w:firstLine="420"/>
      </w:pPr>
      <w:r>
        <w:rPr>
          <w:rFonts w:hint="eastAsia"/>
        </w:rPr>
        <w:t>d) 对开关柜火情应防止弧光扩展，保持柜门关闭并按规程处置；</w:t>
      </w:r>
    </w:p>
    <w:p w14:paraId="095F9780">
      <w:pPr>
        <w:pStyle w:val="56"/>
        <w:spacing w:line="360" w:lineRule="auto"/>
        <w:ind w:firstLine="420"/>
      </w:pPr>
      <w:r>
        <w:rPr>
          <w:rFonts w:hint="eastAsia"/>
        </w:rPr>
        <w:t>e) 火情控制后应进行设备受损评估、绝缘与试验验证，未经确认不得带故障复电。</w:t>
      </w:r>
    </w:p>
    <w:p w14:paraId="46AA6C08">
      <w:pPr>
        <w:pStyle w:val="105"/>
        <w:spacing w:before="120" w:after="120" w:line="360" w:lineRule="auto"/>
      </w:pPr>
      <w:r>
        <w:rPr>
          <w:rFonts w:hint="eastAsia"/>
        </w:rPr>
        <w:t>雷击、浪涌与极端天气事件处置要点</w:t>
      </w:r>
    </w:p>
    <w:p w14:paraId="1BF627CF">
      <w:pPr>
        <w:pStyle w:val="56"/>
        <w:spacing w:line="360" w:lineRule="auto"/>
        <w:ind w:firstLine="420"/>
      </w:pPr>
      <w:r>
        <w:rPr>
          <w:rFonts w:hint="eastAsia"/>
        </w:rPr>
        <w:t>雷击与极端天气事件处置应以“先确保安全停运、后排查评估、再分段恢复”为原则。处置要点包括：</w:t>
      </w:r>
    </w:p>
    <w:p w14:paraId="4D61EA91">
      <w:pPr>
        <w:pStyle w:val="56"/>
        <w:spacing w:line="360" w:lineRule="auto"/>
        <w:ind w:firstLine="420"/>
      </w:pPr>
      <w:r>
        <w:rPr>
          <w:rFonts w:hint="eastAsia"/>
        </w:rPr>
        <w:t>a) 启动气象预警响应，必要时提前转入防御运行方式或预防性停机；</w:t>
      </w:r>
    </w:p>
    <w:p w14:paraId="4070A99F">
      <w:pPr>
        <w:pStyle w:val="56"/>
        <w:spacing w:line="360" w:lineRule="auto"/>
        <w:ind w:firstLine="420"/>
      </w:pPr>
      <w:r>
        <w:rPr>
          <w:rFonts w:hint="eastAsia"/>
        </w:rPr>
        <w:t>b) 事件后重点检查SPD状态、接地连续性、逆变器告警与保护动作记录；</w:t>
      </w:r>
    </w:p>
    <w:p w14:paraId="3D2816A6">
      <w:pPr>
        <w:pStyle w:val="56"/>
        <w:spacing w:line="360" w:lineRule="auto"/>
        <w:ind w:firstLine="420"/>
      </w:pPr>
      <w:r>
        <w:rPr>
          <w:rFonts w:hint="eastAsia"/>
        </w:rPr>
        <w:t>c) 对可能受潮浸水区域实施绝缘评估与干燥处置，避免带水复电；</w:t>
      </w:r>
    </w:p>
    <w:p w14:paraId="63F03794">
      <w:pPr>
        <w:pStyle w:val="56"/>
        <w:spacing w:line="360" w:lineRule="auto"/>
        <w:ind w:firstLine="420"/>
      </w:pPr>
      <w:r>
        <w:rPr>
          <w:rFonts w:hint="eastAsia"/>
        </w:rPr>
        <w:t>d) 分段送电并同步监测电流、电压与绝缘状态，发现异常立即停止恢复并隔离。</w:t>
      </w:r>
    </w:p>
    <w:p w14:paraId="0511EF7B">
      <w:pPr>
        <w:pStyle w:val="105"/>
        <w:spacing w:before="120" w:after="120" w:line="360" w:lineRule="auto"/>
      </w:pPr>
      <w:r>
        <w:rPr>
          <w:rFonts w:hint="eastAsia"/>
        </w:rPr>
        <w:t>并网故障、全站停电与反送电风险处置要点</w:t>
      </w:r>
    </w:p>
    <w:p w14:paraId="6D5C6285">
      <w:pPr>
        <w:pStyle w:val="56"/>
        <w:spacing w:line="360" w:lineRule="auto"/>
        <w:ind w:firstLine="420"/>
      </w:pPr>
      <w:r>
        <w:rPr>
          <w:rFonts w:hint="eastAsia"/>
        </w:rPr>
        <w:t>并网故障与全站停电处置应优先防控反送电与误合闸。处置要点包括：</w:t>
      </w:r>
    </w:p>
    <w:p w14:paraId="0C3C81A1">
      <w:pPr>
        <w:pStyle w:val="56"/>
        <w:spacing w:line="360" w:lineRule="auto"/>
        <w:ind w:firstLine="420"/>
      </w:pPr>
      <w:r>
        <w:rPr>
          <w:rFonts w:hint="eastAsia"/>
        </w:rPr>
        <w:t>a) 立即与电网调度建立联络，确认并网点状态与调度指令；</w:t>
      </w:r>
    </w:p>
    <w:p w14:paraId="0845B3F7">
      <w:pPr>
        <w:pStyle w:val="56"/>
        <w:spacing w:line="360" w:lineRule="auto"/>
        <w:ind w:firstLine="420"/>
      </w:pPr>
      <w:r>
        <w:rPr>
          <w:rFonts w:hint="eastAsia"/>
        </w:rPr>
        <w:t>b) 明确隔离边界：并网点、升压侧、逆变器交流侧与直流侧隔离点应可验证；</w:t>
      </w:r>
    </w:p>
    <w:p w14:paraId="7515C03A">
      <w:pPr>
        <w:pStyle w:val="56"/>
        <w:spacing w:line="360" w:lineRule="auto"/>
        <w:ind w:firstLine="420"/>
      </w:pPr>
      <w:r>
        <w:rPr>
          <w:rFonts w:hint="eastAsia"/>
        </w:rPr>
        <w:t>c) 若配置储能或备用电源，应同步隔离并执行反送电防控措施；</w:t>
      </w:r>
    </w:p>
    <w:p w14:paraId="5E7C656F">
      <w:pPr>
        <w:pStyle w:val="56"/>
        <w:spacing w:line="360" w:lineRule="auto"/>
        <w:ind w:firstLine="420"/>
      </w:pPr>
      <w:r>
        <w:rPr>
          <w:rFonts w:hint="eastAsia"/>
        </w:rPr>
        <w:t>d) 恢复供电应执行“先站用后并网、先辅控后主回路、先小范围试送后逐步扩大”的原则，并进行保护复归与定值核查；</w:t>
      </w:r>
    </w:p>
    <w:p w14:paraId="1FAAE3E9">
      <w:pPr>
        <w:pStyle w:val="56"/>
        <w:spacing w:line="360" w:lineRule="auto"/>
        <w:ind w:firstLine="420"/>
      </w:pPr>
      <w:r>
        <w:rPr>
          <w:rFonts w:hint="eastAsia"/>
        </w:rPr>
        <w:t>e) 复电过程中应加强现场监护与监控联动，确保异常可快速停机隔离。</w:t>
      </w:r>
    </w:p>
    <w:p w14:paraId="70F90BD1">
      <w:pPr>
        <w:pStyle w:val="104"/>
        <w:spacing w:before="240" w:after="240" w:line="360" w:lineRule="auto"/>
      </w:pPr>
      <w:bookmarkStart w:id="55" w:name="_Toc217466662"/>
      <w:r>
        <w:rPr>
          <w:rFonts w:hint="eastAsia"/>
        </w:rPr>
        <w:t>应急保障与现场安全管理要求</w:t>
      </w:r>
      <w:bookmarkEnd w:id="55"/>
    </w:p>
    <w:p w14:paraId="7460AC38">
      <w:pPr>
        <w:pStyle w:val="105"/>
        <w:spacing w:before="120" w:after="120" w:line="360" w:lineRule="auto"/>
      </w:pPr>
      <w:r>
        <w:rPr>
          <w:rFonts w:hint="eastAsia"/>
        </w:rPr>
        <w:t>应急物资与装备配置</w:t>
      </w:r>
    </w:p>
    <w:p w14:paraId="2FCAC1D1">
      <w:pPr>
        <w:pStyle w:val="56"/>
        <w:spacing w:line="360" w:lineRule="auto"/>
        <w:ind w:firstLine="420"/>
      </w:pPr>
      <w:r>
        <w:rPr>
          <w:rFonts w:hint="eastAsia"/>
        </w:rPr>
        <w:t>光伏发电站应建立应急物资装备清单并定期核查完好性，物资应定置存放、标识清晰、领取流程简化、关键物资可快速获取。应急物资配置建议见表</w:t>
      </w:r>
      <w:r>
        <w:t>2</w:t>
      </w:r>
      <w:r>
        <w:rPr>
          <w:rFonts w:hint="eastAsia"/>
        </w:rPr>
        <w:t>。</w:t>
      </w:r>
    </w:p>
    <w:p w14:paraId="71E9AFE6">
      <w:pPr>
        <w:pStyle w:val="112"/>
        <w:spacing w:before="120" w:after="120" w:line="360" w:lineRule="auto"/>
      </w:pPr>
      <w:r>
        <w:rPr>
          <w:rFonts w:hint="eastAsia"/>
        </w:rPr>
        <w:t>应急物资与装备配置清单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828"/>
        <w:gridCol w:w="2268"/>
        <w:gridCol w:w="2114"/>
      </w:tblGrid>
      <w:tr w14:paraId="1D733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1A7DE515">
            <w:pPr>
              <w:pStyle w:val="178"/>
            </w:pPr>
            <w:r>
              <w:rPr>
                <w:rFonts w:hint="eastAsia"/>
              </w:rPr>
              <w:t>类别</w:t>
            </w:r>
          </w:p>
        </w:tc>
        <w:tc>
          <w:tcPr>
            <w:tcW w:w="3828" w:type="dxa"/>
            <w:tcBorders>
              <w:top w:val="single" w:color="auto" w:sz="8" w:space="0"/>
              <w:bottom w:val="single" w:color="auto" w:sz="8" w:space="0"/>
            </w:tcBorders>
            <w:vAlign w:val="center"/>
          </w:tcPr>
          <w:p w14:paraId="6ACA1737">
            <w:pPr>
              <w:pStyle w:val="178"/>
            </w:pPr>
            <w:r>
              <w:rPr>
                <w:rFonts w:hint="eastAsia"/>
              </w:rPr>
              <w:t>物资/装备</w:t>
            </w:r>
          </w:p>
        </w:tc>
        <w:tc>
          <w:tcPr>
            <w:tcW w:w="2268" w:type="dxa"/>
            <w:tcBorders>
              <w:top w:val="single" w:color="auto" w:sz="8" w:space="0"/>
              <w:bottom w:val="single" w:color="auto" w:sz="8" w:space="0"/>
            </w:tcBorders>
            <w:vAlign w:val="center"/>
          </w:tcPr>
          <w:p w14:paraId="65E988D9">
            <w:pPr>
              <w:pStyle w:val="178"/>
            </w:pPr>
            <w:r>
              <w:rPr>
                <w:rFonts w:hint="eastAsia"/>
              </w:rPr>
              <w:t>关键要求</w:t>
            </w:r>
          </w:p>
        </w:tc>
        <w:tc>
          <w:tcPr>
            <w:tcW w:w="2114" w:type="dxa"/>
            <w:tcBorders>
              <w:top w:val="single" w:color="auto" w:sz="8" w:space="0"/>
              <w:bottom w:val="single" w:color="auto" w:sz="8" w:space="0"/>
            </w:tcBorders>
            <w:vAlign w:val="center"/>
          </w:tcPr>
          <w:p w14:paraId="4B33CE03">
            <w:pPr>
              <w:pStyle w:val="178"/>
            </w:pPr>
            <w:r>
              <w:rPr>
                <w:rFonts w:hint="eastAsia"/>
              </w:rPr>
              <w:t>维护要求</w:t>
            </w:r>
          </w:p>
        </w:tc>
      </w:tr>
      <w:tr w14:paraId="7A9AB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vAlign w:val="center"/>
          </w:tcPr>
          <w:p w14:paraId="68710F34">
            <w:pPr>
              <w:pStyle w:val="178"/>
            </w:pPr>
            <w:r>
              <w:rPr>
                <w:rFonts w:hint="eastAsia"/>
              </w:rPr>
              <w:t>电气隔离</w:t>
            </w:r>
          </w:p>
        </w:tc>
        <w:tc>
          <w:tcPr>
            <w:tcW w:w="3828" w:type="dxa"/>
            <w:tcBorders>
              <w:top w:val="single" w:color="auto" w:sz="8" w:space="0"/>
            </w:tcBorders>
            <w:vAlign w:val="center"/>
          </w:tcPr>
          <w:p w14:paraId="546130D4">
            <w:pPr>
              <w:pStyle w:val="178"/>
            </w:pPr>
            <w:r>
              <w:rPr>
                <w:rFonts w:hint="eastAsia"/>
              </w:rPr>
              <w:t>验电器、接地线、绝缘杆、隔离锁具挂牌</w:t>
            </w:r>
          </w:p>
        </w:tc>
        <w:tc>
          <w:tcPr>
            <w:tcW w:w="2268" w:type="dxa"/>
            <w:tcBorders>
              <w:top w:val="single" w:color="auto" w:sz="8" w:space="0"/>
            </w:tcBorders>
            <w:vAlign w:val="center"/>
          </w:tcPr>
          <w:p w14:paraId="2F9B2748">
            <w:pPr>
              <w:pStyle w:val="178"/>
            </w:pPr>
            <w:r>
              <w:rPr>
                <w:rFonts w:hint="eastAsia"/>
              </w:rPr>
              <w:t>适配电压等级；定期试验</w:t>
            </w:r>
          </w:p>
        </w:tc>
        <w:tc>
          <w:tcPr>
            <w:tcW w:w="2114" w:type="dxa"/>
            <w:tcBorders>
              <w:top w:val="single" w:color="auto" w:sz="8" w:space="0"/>
            </w:tcBorders>
            <w:vAlign w:val="center"/>
          </w:tcPr>
          <w:p w14:paraId="6E3ECF11">
            <w:pPr>
              <w:pStyle w:val="178"/>
            </w:pPr>
            <w:r>
              <w:rPr>
                <w:rFonts w:hint="eastAsia"/>
              </w:rPr>
              <w:t>定期校验、绝缘检查</w:t>
            </w:r>
          </w:p>
        </w:tc>
      </w:tr>
      <w:tr w14:paraId="3BA15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1D7EC00F">
            <w:pPr>
              <w:pStyle w:val="178"/>
            </w:pPr>
            <w:r>
              <w:rPr>
                <w:rFonts w:hint="eastAsia"/>
              </w:rPr>
              <w:t>个体防护</w:t>
            </w:r>
          </w:p>
        </w:tc>
        <w:tc>
          <w:tcPr>
            <w:tcW w:w="3828" w:type="dxa"/>
            <w:vAlign w:val="center"/>
          </w:tcPr>
          <w:p w14:paraId="229AAEBB">
            <w:pPr>
              <w:pStyle w:val="178"/>
            </w:pPr>
            <w:r>
              <w:rPr>
                <w:rFonts w:hint="eastAsia"/>
              </w:rPr>
              <w:t>绝缘手套/靴、绝缘垫、护目/面罩、防电弧服</w:t>
            </w:r>
          </w:p>
        </w:tc>
        <w:tc>
          <w:tcPr>
            <w:tcW w:w="2268" w:type="dxa"/>
            <w:vAlign w:val="center"/>
          </w:tcPr>
          <w:p w14:paraId="232E0704">
            <w:pPr>
              <w:pStyle w:val="178"/>
            </w:pPr>
            <w:r>
              <w:rPr>
                <w:rFonts w:hint="eastAsia"/>
              </w:rPr>
              <w:t>与作业风险匹配；尺寸齐全</w:t>
            </w:r>
          </w:p>
        </w:tc>
        <w:tc>
          <w:tcPr>
            <w:tcW w:w="2114" w:type="dxa"/>
            <w:vAlign w:val="center"/>
          </w:tcPr>
          <w:p w14:paraId="37CFD814">
            <w:pPr>
              <w:pStyle w:val="178"/>
            </w:pPr>
            <w:r>
              <w:rPr>
                <w:rFonts w:hint="eastAsia"/>
              </w:rPr>
              <w:t>定期检测、报废标准明确</w:t>
            </w:r>
          </w:p>
        </w:tc>
      </w:tr>
      <w:tr w14:paraId="4B62D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378EA086">
            <w:pPr>
              <w:pStyle w:val="178"/>
            </w:pPr>
            <w:r>
              <w:rPr>
                <w:rFonts w:hint="eastAsia"/>
              </w:rPr>
              <w:t>消防器材</w:t>
            </w:r>
          </w:p>
        </w:tc>
        <w:tc>
          <w:tcPr>
            <w:tcW w:w="3828" w:type="dxa"/>
            <w:vAlign w:val="center"/>
          </w:tcPr>
          <w:p w14:paraId="75B103A7">
            <w:pPr>
              <w:pStyle w:val="178"/>
            </w:pPr>
            <w:r>
              <w:rPr>
                <w:rFonts w:hint="eastAsia"/>
              </w:rPr>
              <w:t>电气适用灭火器、消防水带/接口、泡沫/干粉（适用时）</w:t>
            </w:r>
          </w:p>
        </w:tc>
        <w:tc>
          <w:tcPr>
            <w:tcW w:w="2268" w:type="dxa"/>
            <w:vAlign w:val="center"/>
          </w:tcPr>
          <w:p w14:paraId="22E608BE">
            <w:pPr>
              <w:pStyle w:val="178"/>
            </w:pPr>
            <w:r>
              <w:rPr>
                <w:rFonts w:hint="eastAsia"/>
              </w:rPr>
              <w:t>与电气火灾场景匹配；布点合理</w:t>
            </w:r>
          </w:p>
        </w:tc>
        <w:tc>
          <w:tcPr>
            <w:tcW w:w="2114" w:type="dxa"/>
            <w:vAlign w:val="center"/>
          </w:tcPr>
          <w:p w14:paraId="6DEA2A3A">
            <w:pPr>
              <w:pStyle w:val="178"/>
            </w:pPr>
            <w:r>
              <w:rPr>
                <w:rFonts w:hint="eastAsia"/>
              </w:rPr>
              <w:t>月检/年检、压力与有效期管理</w:t>
            </w:r>
          </w:p>
        </w:tc>
      </w:tr>
      <w:tr w14:paraId="2C5B9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B0519AB">
            <w:pPr>
              <w:pStyle w:val="178"/>
            </w:pPr>
            <w:r>
              <w:rPr>
                <w:rFonts w:hint="eastAsia"/>
              </w:rPr>
              <w:t>急救救护</w:t>
            </w:r>
          </w:p>
        </w:tc>
        <w:tc>
          <w:tcPr>
            <w:tcW w:w="3828" w:type="dxa"/>
            <w:vAlign w:val="center"/>
          </w:tcPr>
          <w:p w14:paraId="7DB67CE6">
            <w:pPr>
              <w:pStyle w:val="178"/>
            </w:pPr>
            <w:r>
              <w:rPr>
                <w:rFonts w:hint="eastAsia"/>
              </w:rPr>
              <w:t>急救箱、担架、止血包、AED（条件允许）</w:t>
            </w:r>
          </w:p>
        </w:tc>
        <w:tc>
          <w:tcPr>
            <w:tcW w:w="2268" w:type="dxa"/>
            <w:vAlign w:val="center"/>
          </w:tcPr>
          <w:p w14:paraId="5CE28435">
            <w:pPr>
              <w:pStyle w:val="178"/>
            </w:pPr>
            <w:r>
              <w:rPr>
                <w:rFonts w:hint="eastAsia"/>
              </w:rPr>
              <w:t>取用便捷；人员会用</w:t>
            </w:r>
          </w:p>
        </w:tc>
        <w:tc>
          <w:tcPr>
            <w:tcW w:w="2114" w:type="dxa"/>
            <w:vAlign w:val="center"/>
          </w:tcPr>
          <w:p w14:paraId="78F6BA72">
            <w:pPr>
              <w:pStyle w:val="178"/>
            </w:pPr>
            <w:r>
              <w:rPr>
                <w:rFonts w:hint="eastAsia"/>
              </w:rPr>
              <w:t>有效期管理、演练使用</w:t>
            </w:r>
          </w:p>
        </w:tc>
      </w:tr>
      <w:tr w14:paraId="0FA0A8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507FA97F">
            <w:pPr>
              <w:pStyle w:val="178"/>
            </w:pPr>
            <w:r>
              <w:rPr>
                <w:rFonts w:hint="eastAsia"/>
              </w:rPr>
              <w:t>通信照明</w:t>
            </w:r>
          </w:p>
        </w:tc>
        <w:tc>
          <w:tcPr>
            <w:tcW w:w="3828" w:type="dxa"/>
            <w:vAlign w:val="center"/>
          </w:tcPr>
          <w:p w14:paraId="4C964A7F">
            <w:pPr>
              <w:pStyle w:val="178"/>
            </w:pPr>
            <w:r>
              <w:rPr>
                <w:rFonts w:hint="eastAsia"/>
              </w:rPr>
              <w:t>对讲机、应急照明、头灯、移动电源</w:t>
            </w:r>
          </w:p>
        </w:tc>
        <w:tc>
          <w:tcPr>
            <w:tcW w:w="2268" w:type="dxa"/>
            <w:vAlign w:val="center"/>
          </w:tcPr>
          <w:p w14:paraId="3CB4D06A">
            <w:pPr>
              <w:pStyle w:val="178"/>
            </w:pPr>
            <w:r>
              <w:rPr>
                <w:rFonts w:hint="eastAsia"/>
              </w:rPr>
              <w:t>覆盖盲区；备用电量充足</w:t>
            </w:r>
          </w:p>
        </w:tc>
        <w:tc>
          <w:tcPr>
            <w:tcW w:w="2114" w:type="dxa"/>
            <w:vAlign w:val="center"/>
          </w:tcPr>
          <w:p w14:paraId="7FAC4A05">
            <w:pPr>
              <w:pStyle w:val="178"/>
            </w:pPr>
            <w:r>
              <w:rPr>
                <w:rFonts w:hint="eastAsia"/>
              </w:rPr>
              <w:t>充放电维护、巡检</w:t>
            </w:r>
          </w:p>
        </w:tc>
      </w:tr>
      <w:tr w14:paraId="57095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Align w:val="center"/>
          </w:tcPr>
          <w:p w14:paraId="215A6138">
            <w:pPr>
              <w:pStyle w:val="178"/>
            </w:pPr>
            <w:r>
              <w:rPr>
                <w:rFonts w:hint="eastAsia"/>
              </w:rPr>
              <w:t>监测工具</w:t>
            </w:r>
          </w:p>
        </w:tc>
        <w:tc>
          <w:tcPr>
            <w:tcW w:w="3828" w:type="dxa"/>
            <w:vAlign w:val="center"/>
          </w:tcPr>
          <w:p w14:paraId="23506AED">
            <w:pPr>
              <w:pStyle w:val="178"/>
            </w:pPr>
            <w:r>
              <w:rPr>
                <w:rFonts w:hint="eastAsia"/>
              </w:rPr>
              <w:t>热成像仪、测温枪、绝缘测量工具</w:t>
            </w:r>
          </w:p>
        </w:tc>
        <w:tc>
          <w:tcPr>
            <w:tcW w:w="2268" w:type="dxa"/>
            <w:vAlign w:val="center"/>
          </w:tcPr>
          <w:p w14:paraId="5F22C7CF">
            <w:pPr>
              <w:pStyle w:val="178"/>
            </w:pPr>
            <w:r>
              <w:rPr>
                <w:rFonts w:hint="eastAsia"/>
              </w:rPr>
              <w:t>满足关键设备检查需要</w:t>
            </w:r>
          </w:p>
        </w:tc>
        <w:tc>
          <w:tcPr>
            <w:tcW w:w="2114" w:type="dxa"/>
            <w:vAlign w:val="center"/>
          </w:tcPr>
          <w:p w14:paraId="54583580">
            <w:pPr>
              <w:pStyle w:val="178"/>
            </w:pPr>
            <w:r>
              <w:rPr>
                <w:rFonts w:hint="eastAsia"/>
              </w:rPr>
              <w:t>校准管理、使用记录</w:t>
            </w:r>
          </w:p>
        </w:tc>
      </w:tr>
    </w:tbl>
    <w:p w14:paraId="3D0D06F9">
      <w:pPr>
        <w:pStyle w:val="105"/>
        <w:spacing w:before="120" w:after="120" w:line="360" w:lineRule="auto"/>
      </w:pPr>
      <w:r>
        <w:rPr>
          <w:rFonts w:hint="eastAsia"/>
        </w:rPr>
        <w:t>现场警戒与交通疏导</w:t>
      </w:r>
    </w:p>
    <w:p w14:paraId="7377A153">
      <w:pPr>
        <w:pStyle w:val="56"/>
        <w:spacing w:line="360" w:lineRule="auto"/>
        <w:ind w:firstLine="420"/>
      </w:pPr>
      <w:r>
        <w:rPr>
          <w:rFonts w:hint="eastAsia"/>
        </w:rPr>
        <w:t>应急处置期间应设置警戒区，明确人员进出控制与通行路线，防止无关人员进入危险区域。对可能发生爆炸、坠物、弧光、油火蔓延等区域，应扩大警戒范围并设置明显标识。发生人员伤害时应提前规划救护通道与车辆引导点，确保急救力量快速到达。</w:t>
      </w:r>
    </w:p>
    <w:p w14:paraId="51AEC5CE">
      <w:pPr>
        <w:pStyle w:val="105"/>
        <w:spacing w:before="120" w:after="120" w:line="360" w:lineRule="auto"/>
      </w:pPr>
      <w:r>
        <w:rPr>
          <w:rFonts w:hint="eastAsia"/>
        </w:rPr>
        <w:t>处置过程记录与证据管理</w:t>
      </w:r>
    </w:p>
    <w:p w14:paraId="1D4CD4A6">
      <w:pPr>
        <w:pStyle w:val="56"/>
        <w:spacing w:line="360" w:lineRule="auto"/>
        <w:ind w:firstLine="420"/>
      </w:pPr>
      <w:r>
        <w:rPr>
          <w:rFonts w:hint="eastAsia"/>
        </w:rPr>
        <w:t>应急处置全过程应记录关键时间点、告警信息、隔离点位、操作票与执行人员、处置措施、现场照片/视频、对外联动与报告记录等，并形成可追溯证据链。对事故现场应遵循保护原则，在不影响救人和控险的前提下保留关键证据，防止后续调查无法复盘或责任无法界定。</w:t>
      </w:r>
    </w:p>
    <w:p w14:paraId="7E1906E5">
      <w:pPr>
        <w:pStyle w:val="104"/>
        <w:spacing w:before="240" w:after="240" w:line="360" w:lineRule="auto"/>
      </w:pPr>
      <w:bookmarkStart w:id="56" w:name="_Toc217466663"/>
      <w:r>
        <w:rPr>
          <w:rFonts w:hint="eastAsia"/>
        </w:rPr>
        <w:t>恢复、评估与持续改进要求</w:t>
      </w:r>
      <w:bookmarkEnd w:id="56"/>
    </w:p>
    <w:p w14:paraId="751FDB4B">
      <w:pPr>
        <w:pStyle w:val="105"/>
        <w:spacing w:before="120" w:after="120" w:line="360" w:lineRule="auto"/>
      </w:pPr>
      <w:r>
        <w:rPr>
          <w:rFonts w:hint="eastAsia"/>
        </w:rPr>
        <w:t>恢复供电与复归要求</w:t>
      </w:r>
    </w:p>
    <w:p w14:paraId="02DFEB31">
      <w:pPr>
        <w:pStyle w:val="56"/>
        <w:spacing w:line="360" w:lineRule="auto"/>
        <w:ind w:firstLine="420"/>
      </w:pPr>
      <w:r>
        <w:rPr>
          <w:rFonts w:hint="eastAsia"/>
        </w:rPr>
        <w:t>事故或险情控制后，发电站应开展恢复评估并制定复电方案。复电应满足：</w:t>
      </w:r>
    </w:p>
    <w:p w14:paraId="634E5897">
      <w:pPr>
        <w:pStyle w:val="56"/>
        <w:spacing w:line="360" w:lineRule="auto"/>
        <w:ind w:firstLine="420"/>
      </w:pPr>
      <w:r>
        <w:rPr>
          <w:rFonts w:hint="eastAsia"/>
        </w:rPr>
        <w:t>a) 故障点已隔离或修复，且隔离边界清晰可验证；</w:t>
      </w:r>
    </w:p>
    <w:p w14:paraId="4FA995FD">
      <w:pPr>
        <w:pStyle w:val="56"/>
        <w:spacing w:line="360" w:lineRule="auto"/>
        <w:ind w:firstLine="420"/>
      </w:pPr>
      <w:r>
        <w:rPr>
          <w:rFonts w:hint="eastAsia"/>
        </w:rPr>
        <w:t>b) 关键设备绝缘与保护功能经检查确认满足要求；</w:t>
      </w:r>
    </w:p>
    <w:p w14:paraId="37EBE26D">
      <w:pPr>
        <w:pStyle w:val="56"/>
        <w:spacing w:line="360" w:lineRule="auto"/>
        <w:ind w:firstLine="420"/>
      </w:pPr>
      <w:r>
        <w:rPr>
          <w:rFonts w:hint="eastAsia"/>
        </w:rPr>
        <w:t>c) 保护定值、联锁逻辑与通信测控状态复归完成；</w:t>
      </w:r>
    </w:p>
    <w:p w14:paraId="6F5A4F6E">
      <w:pPr>
        <w:pStyle w:val="56"/>
        <w:spacing w:line="360" w:lineRule="auto"/>
        <w:ind w:firstLine="420"/>
      </w:pPr>
      <w:r>
        <w:rPr>
          <w:rFonts w:hint="eastAsia"/>
        </w:rPr>
        <w:t>d) 按分段、分步骤逐级恢复，过程有监护、有记录；</w:t>
      </w:r>
    </w:p>
    <w:p w14:paraId="6C1C448E">
      <w:pPr>
        <w:pStyle w:val="56"/>
        <w:spacing w:line="360" w:lineRule="auto"/>
        <w:ind w:firstLine="420"/>
      </w:pPr>
      <w:r>
        <w:rPr>
          <w:rFonts w:hint="eastAsia"/>
        </w:rPr>
        <w:t>e) 恢复后开展稳定运行观察与数据核对，防止重复故障。</w:t>
      </w:r>
    </w:p>
    <w:p w14:paraId="04BD1DB0">
      <w:pPr>
        <w:pStyle w:val="105"/>
        <w:spacing w:before="120" w:after="120" w:line="360" w:lineRule="auto"/>
      </w:pPr>
      <w:r>
        <w:rPr>
          <w:rFonts w:hint="eastAsia"/>
        </w:rPr>
        <w:t>事故调查与原因分析</w:t>
      </w:r>
    </w:p>
    <w:p w14:paraId="30D42481">
      <w:pPr>
        <w:pStyle w:val="56"/>
        <w:spacing w:line="360" w:lineRule="auto"/>
        <w:ind w:firstLine="420"/>
      </w:pPr>
      <w:r>
        <w:rPr>
          <w:rFonts w:hint="eastAsia"/>
        </w:rPr>
        <w:t>发电站应按规定组织事故调查与原因分析，至少覆盖技术原因、管理原因与外部因素。原因分析应形成结论并提出纠正措施与预防措施，重点识别：</w:t>
      </w:r>
    </w:p>
    <w:p w14:paraId="55893F7B">
      <w:pPr>
        <w:pStyle w:val="56"/>
        <w:spacing w:line="360" w:lineRule="auto"/>
        <w:ind w:firstLine="420"/>
      </w:pPr>
      <w:r>
        <w:rPr>
          <w:rFonts w:hint="eastAsia"/>
        </w:rPr>
        <w:t>a) 设计缺陷、选型不当、安装质量问题；</w:t>
      </w:r>
    </w:p>
    <w:p w14:paraId="0D552AA0">
      <w:pPr>
        <w:pStyle w:val="56"/>
        <w:spacing w:line="360" w:lineRule="auto"/>
        <w:ind w:firstLine="420"/>
      </w:pPr>
      <w:r>
        <w:rPr>
          <w:rFonts w:hint="eastAsia"/>
        </w:rPr>
        <w:t>b) 连接松动、绝缘老化、环境侵蚀导致的劣化机制；</w:t>
      </w:r>
    </w:p>
    <w:p w14:paraId="175106E8">
      <w:pPr>
        <w:pStyle w:val="56"/>
        <w:spacing w:line="360" w:lineRule="auto"/>
        <w:ind w:firstLine="420"/>
      </w:pPr>
      <w:r>
        <w:rPr>
          <w:rFonts w:hint="eastAsia"/>
        </w:rPr>
        <w:t>c) 保护配置不合理、定值管理缺失、联锁失效；</w:t>
      </w:r>
    </w:p>
    <w:p w14:paraId="1A82B066">
      <w:pPr>
        <w:pStyle w:val="56"/>
        <w:spacing w:line="360" w:lineRule="auto"/>
        <w:ind w:firstLine="420"/>
      </w:pPr>
      <w:r>
        <w:rPr>
          <w:rFonts w:hint="eastAsia"/>
        </w:rPr>
        <w:t>d) 作业票证不规范、隔离不到位、培训不足与外包管理问题；</w:t>
      </w:r>
    </w:p>
    <w:p w14:paraId="41866357">
      <w:pPr>
        <w:pStyle w:val="56"/>
        <w:spacing w:line="360" w:lineRule="auto"/>
        <w:ind w:firstLine="420"/>
      </w:pPr>
      <w:r>
        <w:rPr>
          <w:rFonts w:hint="eastAsia"/>
        </w:rPr>
        <w:t>e) 监测预警阈值不合理、告警处置不及时等系统性问题。</w:t>
      </w:r>
    </w:p>
    <w:p w14:paraId="5202F6E3">
      <w:pPr>
        <w:pStyle w:val="105"/>
        <w:spacing w:before="120" w:after="120" w:line="360" w:lineRule="auto"/>
      </w:pPr>
      <w:r>
        <w:rPr>
          <w:rFonts w:hint="eastAsia"/>
        </w:rPr>
        <w:t>整改闭环与经验反馈</w:t>
      </w:r>
    </w:p>
    <w:p w14:paraId="0EF2E347">
      <w:pPr>
        <w:pStyle w:val="56"/>
        <w:spacing w:line="360" w:lineRule="auto"/>
        <w:ind w:firstLine="420"/>
      </w:pPr>
      <w:r>
        <w:rPr>
          <w:rFonts w:hint="eastAsia"/>
        </w:rPr>
        <w:t>发电站应建立整改闭环机制，对事故调查结论与演练评估问题制定整改计划，明确责任人、完成时限、验证方式与效果评价。整改应同步更新：风险清单、处置卡、作业指导书、设备维护策略与备品备件清单，并开展针对性培训。对具有普遍意义的经验教训，应形成通报并在同类场站推广应用。</w:t>
      </w:r>
    </w:p>
    <w:p w14:paraId="553159F4">
      <w:pPr>
        <w:pStyle w:val="104"/>
        <w:spacing w:before="240" w:after="240" w:line="360" w:lineRule="auto"/>
      </w:pPr>
      <w:bookmarkStart w:id="57" w:name="_Toc217466664"/>
      <w:r>
        <w:rPr>
          <w:rFonts w:hint="eastAsia"/>
        </w:rPr>
        <w:t>附则</w:t>
      </w:r>
      <w:bookmarkEnd w:id="57"/>
    </w:p>
    <w:p w14:paraId="3FB6B748">
      <w:pPr>
        <w:pStyle w:val="162"/>
        <w:spacing w:line="360" w:lineRule="auto"/>
      </w:pPr>
      <w:r>
        <w:rPr>
          <w:rFonts w:hint="eastAsia"/>
        </w:rPr>
        <w:t>本文件由发布机构负责解释。</w:t>
      </w:r>
    </w:p>
    <w:p w14:paraId="5FA20F42">
      <w:pPr>
        <w:pStyle w:val="162"/>
        <w:spacing w:line="360" w:lineRule="auto"/>
      </w:pPr>
      <w:r>
        <w:rPr>
          <w:rFonts w:hint="eastAsia"/>
        </w:rPr>
        <w:t>本文件实施过程中，使用者可结合场站规模、设备配置、并网方式与属地要求制定配套实施细则，但不应降低本文件对安全隔离、接地防护、监测预警、应急联动与处置留痕的要求。</w:t>
      </w:r>
    </w:p>
    <w:p w14:paraId="4A30D3C3">
      <w:pPr>
        <w:pStyle w:val="162"/>
        <w:spacing w:line="360" w:lineRule="auto"/>
      </w:pPr>
      <w:r>
        <w:rPr>
          <w:rFonts w:hint="eastAsia"/>
        </w:rPr>
        <w:t>本文件未尽事项应符合国家现行有关法律法规、强制性标准、行业规程及电网调度管理要求。</w:t>
      </w:r>
    </w:p>
    <w:bookmarkEnd w:id="26"/>
    <w:p w14:paraId="0C80A018">
      <w:pPr>
        <w:pStyle w:val="56"/>
        <w:ind w:firstLine="0" w:firstLineChars="0"/>
        <w:jc w:val="center"/>
      </w:pPr>
      <w:bookmarkStart w:id="58" w:name="BookMark8"/>
      <w:r>
        <w:drawing>
          <wp:inline distT="0" distB="0" distL="0" distR="0">
            <wp:extent cx="1485900" cy="317500"/>
            <wp:effectExtent l="0" t="0" r="0" b="6350"/>
            <wp:docPr id="347972358" name="图片 1"/>
            <wp:cNvGraphicFramePr/>
            <a:graphic xmlns:a="http://schemas.openxmlformats.org/drawingml/2006/main">
              <a:graphicData uri="http://schemas.openxmlformats.org/drawingml/2006/picture">
                <pic:pic xmlns:pic="http://schemas.openxmlformats.org/drawingml/2006/picture">
                  <pic:nvPicPr>
                    <pic:cNvPr id="347972358"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0748">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D860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96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F20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7CEEE">
    <w:pPr>
      <w:pStyle w:val="61"/>
    </w:pPr>
    <w:r>
      <w:fldChar w:fldCharType="begin"/>
    </w:r>
    <w:r>
      <w:instrText xml:space="preserve"> STYLEREF  标准文件_文件编号  \* MERGEFORMAT </w:instrText>
    </w:r>
    <w:r>
      <w:fldChar w:fldCharType="separate"/>
    </w:r>
    <w:r>
      <w:t>T/XZBX 0171—2025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3241">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qgUApHEVBy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B1E"/>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EC1"/>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80D"/>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669"/>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4D75"/>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B2F"/>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46F50"/>
    <w:rsid w:val="00452D6B"/>
    <w:rsid w:val="00453A90"/>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D98"/>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8E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A7ED6"/>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24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D42"/>
    <w:rsid w:val="00E11A85"/>
    <w:rsid w:val="00E12495"/>
    <w:rsid w:val="00E15CCD"/>
    <w:rsid w:val="00E202EF"/>
    <w:rsid w:val="00E210B5"/>
    <w:rsid w:val="00E2552F"/>
    <w:rsid w:val="00E3137A"/>
    <w:rsid w:val="00E31C8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69D"/>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FC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FFA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0CD78897">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6840331B">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04C7D66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2E1669"/>
    <w:rsid w:val="00354175"/>
    <w:rsid w:val="00453A90"/>
    <w:rsid w:val="00545DA0"/>
    <w:rsid w:val="007D09D7"/>
    <w:rsid w:val="00A94B3E"/>
    <w:rsid w:val="00B078D5"/>
    <w:rsid w:val="00D27FB0"/>
    <w:rsid w:val="00D6624D"/>
    <w:rsid w:val="00FE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8BBCC73F4814DF2B25CA2AC390573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8461</Words>
  <Characters>8881</Characters>
  <Lines>80</Lines>
  <Paragraphs>22</Paragraphs>
  <TotalTime>35</TotalTime>
  <ScaleCrop>false</ScaleCrop>
  <LinksUpToDate>false</LinksUpToDate>
  <CharactersWithSpaces>9040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2026-01-04T06:27:08Z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5EFCC52B1F154E7399ED816C38991ED9_12</vt:lpwstr>
  </property>
</Properties>
</file>