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C11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94BB3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7DFB43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3.03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13.030.40</w:t>
            </w:r>
            <w:r>
              <w:rPr>
                <w:rFonts w:ascii="黑体" w:hAnsi="黑体" w:eastAsia="黑体"/>
                <w:sz w:val="21"/>
                <w:szCs w:val="21"/>
              </w:rPr>
              <w:fldChar w:fldCharType="end"/>
            </w:r>
            <w:bookmarkEnd w:id="0"/>
          </w:p>
        </w:tc>
      </w:tr>
      <w:tr w14:paraId="32D0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2118C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421A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21BF62E8">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0EC42E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Z 0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Z 05</w:t>
            </w:r>
            <w:r>
              <w:rPr>
                <w:rFonts w:ascii="黑体" w:hAnsi="黑体" w:eastAsia="黑体"/>
                <w:sz w:val="21"/>
                <w:szCs w:val="21"/>
              </w:rPr>
              <w:fldChar w:fldCharType="end"/>
            </w:r>
            <w:bookmarkEnd w:id="2"/>
          </w:p>
        </w:tc>
      </w:tr>
    </w:tbl>
    <w:p w14:paraId="79079AC4">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3C9468B">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77"/>
            </w:textInput>
          </w:ffData>
        </w:fldChar>
      </w:r>
      <w:bookmarkStart w:id="6" w:name="NSTD_CODE_F"/>
      <w:r>
        <w:instrText xml:space="preserve"> FORMTEXT </w:instrText>
      </w:r>
      <w:r>
        <w:fldChar w:fldCharType="separate"/>
      </w:r>
      <w:r>
        <w:t>0177</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4BA4075B">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EBB051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17C07904">
      <w:pPr>
        <w:pStyle w:val="50"/>
        <w:framePr w:w="9639" w:h="6976" w:hRule="exact" w:hSpace="0" w:vSpace="0" w:wrap="around" w:hAnchor="page" w:y="6408"/>
        <w:jc w:val="center"/>
        <w:rPr>
          <w:rFonts w:ascii="黑体" w:hAnsi="黑体" w:eastAsia="黑体"/>
          <w:b w:val="0"/>
          <w:bCs w:val="0"/>
          <w:w w:val="100"/>
        </w:rPr>
      </w:pPr>
    </w:p>
    <w:p w14:paraId="4DEF4094">
      <w:pPr>
        <w:pStyle w:val="197"/>
        <w:framePr w:h="6974" w:hRule="exact" w:wrap="around" w:x="1419" w:anchorLock="1"/>
      </w:pPr>
      <w:r>
        <w:fldChar w:fldCharType="begin">
          <w:ffData>
            <w:name w:val="CSTD_NAME"/>
            <w:enabled/>
            <w:calcOnExit w:val="0"/>
            <w:textInput>
              <w:default w:val="危险废物鉴别实验室建设技术指南"/>
            </w:textInput>
          </w:ffData>
        </w:fldChar>
      </w:r>
      <w:bookmarkStart w:id="9" w:name="CSTD_NAME"/>
      <w:r>
        <w:instrText xml:space="preserve"> FORMTEXT </w:instrText>
      </w:r>
      <w:r>
        <w:fldChar w:fldCharType="separate"/>
      </w:r>
      <w:r>
        <w:t>危险废物鉴别实验室建设技术指南</w:t>
      </w:r>
      <w:r>
        <w:fldChar w:fldCharType="end"/>
      </w:r>
      <w:bookmarkEnd w:id="9"/>
    </w:p>
    <w:p w14:paraId="6E8D5B75">
      <w:pPr>
        <w:framePr w:w="9639" w:h="6974" w:hRule="exact" w:wrap="around" w:vAnchor="page" w:hAnchor="page" w:x="1419" w:y="6408" w:anchorLock="1"/>
        <w:ind w:left="-1418"/>
      </w:pPr>
    </w:p>
    <w:p w14:paraId="3FFA94B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construction of hazardous waste identification laboratori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construction of hazardous waste identification laboratories</w:t>
      </w:r>
      <w:r>
        <w:rPr>
          <w:rFonts w:ascii="黑体" w:hAnsi="黑体" w:eastAsia="黑体"/>
          <w:szCs w:val="28"/>
        </w:rPr>
        <w:fldChar w:fldCharType="end"/>
      </w:r>
      <w:bookmarkEnd w:id="10"/>
    </w:p>
    <w:p w14:paraId="0B27D1AD">
      <w:pPr>
        <w:framePr w:w="9639" w:h="6974" w:hRule="exact" w:wrap="around" w:vAnchor="page" w:hAnchor="page" w:x="1419" w:y="6408" w:anchorLock="1"/>
        <w:spacing w:line="760" w:lineRule="exact"/>
        <w:ind w:left="-1418"/>
      </w:pPr>
    </w:p>
    <w:p w14:paraId="11A39F3C">
      <w:pPr>
        <w:pStyle w:val="125"/>
        <w:framePr w:w="9639" w:h="6974" w:hRule="exact" w:wrap="around" w:vAnchor="page" w:hAnchor="page" w:x="1419" w:y="6408" w:anchorLock="1"/>
        <w:textAlignment w:val="bottom"/>
        <w:rPr>
          <w:rFonts w:eastAsia="黑体"/>
          <w:szCs w:val="28"/>
        </w:rPr>
      </w:pPr>
    </w:p>
    <w:p w14:paraId="4D207BE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23EA5E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86FB6A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0C025B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674155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E641429">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066230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BBE1DED">
      <w:pPr>
        <w:pStyle w:val="91"/>
        <w:spacing w:after="360"/>
      </w:pPr>
      <w:bookmarkStart w:id="21" w:name="BookMark1"/>
      <w:r>
        <w:rPr>
          <w:rFonts w:hint="eastAsia"/>
          <w:spacing w:val="320"/>
        </w:rPr>
        <w:t>目</w:t>
      </w:r>
      <w:r>
        <w:rPr>
          <w:rFonts w:hint="eastAsia"/>
        </w:rPr>
        <w:t>次</w:t>
      </w:r>
    </w:p>
    <w:p w14:paraId="16A83611">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"_Toc217482718" </w:instrText>
      </w:r>
      <w:r>
        <w:fldChar w:fldCharType="separate"/>
      </w:r>
      <w:r>
        <w:rPr>
          <w:rStyle w:val="32"/>
        </w:rPr>
        <w:t>前言</w:t>
      </w:r>
      <w:r>
        <w:tab/>
      </w:r>
      <w:r>
        <w:fldChar w:fldCharType="begin"/>
      </w:r>
      <w:r>
        <w:instrText xml:space="preserve"> PAGEREF _Toc217482718 \h </w:instrText>
      </w:r>
      <w:r>
        <w:fldChar w:fldCharType="separate"/>
      </w:r>
      <w:r>
        <w:t>III</w:t>
      </w:r>
      <w:r>
        <w:fldChar w:fldCharType="end"/>
      </w:r>
      <w:r>
        <w:fldChar w:fldCharType="end"/>
      </w:r>
    </w:p>
    <w:p w14:paraId="4E2EE7EB">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"_Toc217482719" </w:instrText>
      </w:r>
      <w:r>
        <w:fldChar w:fldCharType="separate"/>
      </w:r>
      <w:r>
        <w:rPr>
          <w:rStyle w:val="32"/>
        </w:rPr>
        <w:t>引言</w:t>
      </w:r>
      <w:r>
        <w:tab/>
      </w:r>
      <w:r>
        <w:fldChar w:fldCharType="begin"/>
      </w:r>
      <w:r>
        <w:instrText xml:space="preserve"> PAGEREF _Toc217482719 \h </w:instrText>
      </w:r>
      <w:r>
        <w:fldChar w:fldCharType="separate"/>
      </w:r>
      <w:r>
        <w:t>V</w:t>
      </w:r>
      <w:r>
        <w:fldChar w:fldCharType="end"/>
      </w:r>
      <w:r>
        <w:fldChar w:fldCharType="end"/>
      </w:r>
    </w:p>
    <w:p w14:paraId="7883EF9E">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"_Toc217482720" </w:instrText>
      </w:r>
      <w:r>
        <w:fldChar w:fldCharType="separate"/>
      </w:r>
      <w:r>
        <w:rPr>
          <w:rStyle w:val="32"/>
        </w:rPr>
        <w:t>1  范围</w:t>
      </w:r>
      <w:r>
        <w:tab/>
      </w:r>
      <w:r>
        <w:fldChar w:fldCharType="begin"/>
      </w:r>
      <w:r>
        <w:instrText xml:space="preserve"> PAGEREF _Toc217482720 \h </w:instrText>
      </w:r>
      <w:r>
        <w:fldChar w:fldCharType="separate"/>
      </w:r>
      <w:r>
        <w:t>1</w:t>
      </w:r>
      <w:r>
        <w:fldChar w:fldCharType="end"/>
      </w:r>
      <w:r>
        <w:fldChar w:fldCharType="end"/>
      </w:r>
    </w:p>
    <w:p w14:paraId="788C8B03">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"_Toc217482721" </w:instrText>
      </w:r>
      <w:r>
        <w:fldChar w:fldCharType="separate"/>
      </w:r>
      <w:r>
        <w:rPr>
          <w:rStyle w:val="32"/>
        </w:rPr>
        <w:t>2  规范性引用文件</w:t>
      </w:r>
      <w:r>
        <w:tab/>
      </w:r>
      <w:r>
        <w:fldChar w:fldCharType="begin"/>
      </w:r>
      <w:r>
        <w:instrText xml:space="preserve"> PAGEREF _Toc217482721 \h </w:instrText>
      </w:r>
      <w:r>
        <w:fldChar w:fldCharType="separate"/>
      </w:r>
      <w:r>
        <w:t>1</w:t>
      </w:r>
      <w:r>
        <w:fldChar w:fldCharType="end"/>
      </w:r>
      <w:r>
        <w:fldChar w:fldCharType="end"/>
      </w:r>
    </w:p>
    <w:p w14:paraId="42BDF3CA">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"_Toc217482722" </w:instrText>
      </w:r>
      <w:r>
        <w:fldChar w:fldCharType="separate"/>
      </w:r>
      <w:r>
        <w:rPr>
          <w:rStyle w:val="32"/>
        </w:rPr>
        <w:t>3  术语和定义</w:t>
      </w:r>
      <w:r>
        <w:tab/>
      </w:r>
      <w:r>
        <w:fldChar w:fldCharType="begin"/>
      </w:r>
      <w:r>
        <w:instrText xml:space="preserve"> PAGEREF _Toc217482722 \h </w:instrText>
      </w:r>
      <w:r>
        <w:fldChar w:fldCharType="separate"/>
      </w:r>
      <w:r>
        <w:t>1</w:t>
      </w:r>
      <w:r>
        <w:fldChar w:fldCharType="end"/>
      </w:r>
      <w:r>
        <w:fldChar w:fldCharType="end"/>
      </w:r>
    </w:p>
    <w:p w14:paraId="0C3E7669">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"_Toc217482723" </w:instrText>
      </w:r>
      <w:r>
        <w:fldChar w:fldCharType="separate"/>
      </w:r>
      <w:r>
        <w:rPr>
          <w:rStyle w:val="32"/>
        </w:rPr>
        <w:t>4  人员配置与职责</w:t>
      </w:r>
      <w:r>
        <w:tab/>
      </w:r>
      <w:r>
        <w:fldChar w:fldCharType="begin"/>
      </w:r>
      <w:r>
        <w:instrText xml:space="preserve"> PAGEREF _Toc217482723 \h </w:instrText>
      </w:r>
      <w:r>
        <w:fldChar w:fldCharType="separate"/>
      </w:r>
      <w:r>
        <w:t>2</w:t>
      </w:r>
      <w:r>
        <w:fldChar w:fldCharType="end"/>
      </w:r>
      <w:r>
        <w:fldChar w:fldCharType="end"/>
      </w:r>
    </w:p>
    <w:p w14:paraId="53514E72">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"_Toc217482724" </w:instrText>
      </w:r>
      <w:r>
        <w:fldChar w:fldCharType="separate"/>
      </w:r>
      <w:r>
        <w:rPr>
          <w:rStyle w:val="32"/>
        </w:rPr>
        <w:t>5  设施环境与样品管理</w:t>
      </w:r>
      <w:r>
        <w:tab/>
      </w:r>
      <w:r>
        <w:fldChar w:fldCharType="begin"/>
      </w:r>
      <w:r>
        <w:instrText xml:space="preserve"> PAGEREF _Toc217482724 \h </w:instrText>
      </w:r>
      <w:r>
        <w:fldChar w:fldCharType="separate"/>
      </w:r>
      <w:r>
        <w:t>4</w:t>
      </w:r>
      <w:r>
        <w:fldChar w:fldCharType="end"/>
      </w:r>
      <w:r>
        <w:fldChar w:fldCharType="end"/>
      </w:r>
    </w:p>
    <w:p w14:paraId="713B3D02">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"_Toc217482725" </w:instrText>
      </w:r>
      <w:r>
        <w:fldChar w:fldCharType="separate"/>
      </w:r>
      <w:r>
        <w:rPr>
          <w:rStyle w:val="32"/>
        </w:rPr>
        <w:t>6  仪器设备与计量溯源</w:t>
      </w:r>
      <w:r>
        <w:tab/>
      </w:r>
      <w:r>
        <w:fldChar w:fldCharType="begin"/>
      </w:r>
      <w:r>
        <w:instrText xml:space="preserve"> PAGEREF _Toc217482725 \h </w:instrText>
      </w:r>
      <w:r>
        <w:fldChar w:fldCharType="separate"/>
      </w:r>
      <w:r>
        <w:t>6</w:t>
      </w:r>
      <w:r>
        <w:fldChar w:fldCharType="end"/>
      </w:r>
      <w:r>
        <w:fldChar w:fldCharType="end"/>
      </w:r>
    </w:p>
    <w:p w14:paraId="08A06E84">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"_Toc217482726" </w:instrText>
      </w:r>
      <w:r>
        <w:fldChar w:fldCharType="separate"/>
      </w:r>
      <w:r>
        <w:rPr>
          <w:rStyle w:val="32"/>
        </w:rPr>
        <w:t>7  检测方法与质量控制</w:t>
      </w:r>
      <w:r>
        <w:tab/>
      </w:r>
      <w:r>
        <w:fldChar w:fldCharType="begin"/>
      </w:r>
      <w:r>
        <w:instrText xml:space="preserve"> PAGEREF _Toc217482726 \h </w:instrText>
      </w:r>
      <w:r>
        <w:fldChar w:fldCharType="separate"/>
      </w:r>
      <w:r>
        <w:t>8</w:t>
      </w:r>
      <w:r>
        <w:fldChar w:fldCharType="end"/>
      </w:r>
      <w:r>
        <w:fldChar w:fldCharType="end"/>
      </w:r>
    </w:p>
    <w:p w14:paraId="0DBC69F0">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"_Toc217482727" </w:instrText>
      </w:r>
      <w:r>
        <w:fldChar w:fldCharType="separate"/>
      </w:r>
      <w:r>
        <w:rPr>
          <w:rStyle w:val="32"/>
        </w:rPr>
        <w:t>8  安全防护与危险废物管理</w:t>
      </w:r>
      <w:r>
        <w:tab/>
      </w:r>
      <w:r>
        <w:fldChar w:fldCharType="begin"/>
      </w:r>
      <w:r>
        <w:instrText xml:space="preserve"> PAGEREF _Toc217482727 \h </w:instrText>
      </w:r>
      <w:r>
        <w:fldChar w:fldCharType="separate"/>
      </w:r>
      <w:r>
        <w:t>9</w:t>
      </w:r>
      <w:r>
        <w:fldChar w:fldCharType="end"/>
      </w:r>
      <w:r>
        <w:fldChar w:fldCharType="end"/>
      </w:r>
    </w:p>
    <w:p w14:paraId="1038E792">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"_Toc217482728" </w:instrText>
      </w:r>
      <w:r>
        <w:fldChar w:fldCharType="separate"/>
      </w:r>
      <w:r>
        <w:rPr>
          <w:rStyle w:val="32"/>
        </w:rPr>
        <w:t>9  信息化与数据安全管理</w:t>
      </w:r>
      <w:r>
        <w:tab/>
      </w:r>
      <w:r>
        <w:fldChar w:fldCharType="begin"/>
      </w:r>
      <w:r>
        <w:instrText xml:space="preserve"> PAGEREF _Toc217482728 \h </w:instrText>
      </w:r>
      <w:r>
        <w:fldChar w:fldCharType="separate"/>
      </w:r>
      <w:r>
        <w:t>10</w:t>
      </w:r>
      <w:r>
        <w:fldChar w:fldCharType="end"/>
      </w:r>
      <w:r>
        <w:fldChar w:fldCharType="end"/>
      </w:r>
    </w:p>
    <w:p w14:paraId="7218752C">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"_Toc217482729" </w:instrText>
      </w:r>
      <w:r>
        <w:fldChar w:fldCharType="separate"/>
      </w:r>
      <w:r>
        <w:rPr>
          <w:rStyle w:val="32"/>
        </w:rPr>
        <w:t>10  建设验收与运行维护</w:t>
      </w:r>
      <w:r>
        <w:tab/>
      </w:r>
      <w:r>
        <w:fldChar w:fldCharType="begin"/>
      </w:r>
      <w:r>
        <w:instrText xml:space="preserve"> PAGEREF _Toc217482729 \h </w:instrText>
      </w:r>
      <w:r>
        <w:fldChar w:fldCharType="separate"/>
      </w:r>
      <w:r>
        <w:t>11</w:t>
      </w:r>
      <w:r>
        <w:fldChar w:fldCharType="end"/>
      </w:r>
      <w:r>
        <w:fldChar w:fldCharType="end"/>
      </w:r>
    </w:p>
    <w:p w14:paraId="2F540E79">
      <w:pPr>
        <w:pStyle w:val="19"/>
        <w:tabs>
          <w:tab w:val="right" w:leader="dot" w:pos="9344"/>
        </w:tabs>
        <w:rPr>
          <w:rFonts w:asciiTheme="minorHAnsi" w:hAnsiTheme="minorHAnsi" w:eastAsiaTheme="minorEastAsia" w:cstheme="minorBidi"/>
          <w:szCs w:val="22"/>
        </w:rPr>
      </w:pPr>
      <w:r>
        <w:fldChar w:fldCharType="begin"/>
      </w:r>
      <w:r>
        <w:instrText xml:space="preserve"> HYPERLINK \l "_Toc217482730" </w:instrText>
      </w:r>
      <w:r>
        <w:fldChar w:fldCharType="separate"/>
      </w:r>
      <w:r>
        <w:rPr>
          <w:rStyle w:val="32"/>
        </w:rPr>
        <w:t>11  附则</w:t>
      </w:r>
      <w:r>
        <w:tab/>
      </w:r>
      <w:r>
        <w:fldChar w:fldCharType="begin"/>
      </w:r>
      <w:r>
        <w:instrText xml:space="preserve"> PAGEREF _Toc217482730 \h </w:instrText>
      </w:r>
      <w:r>
        <w:fldChar w:fldCharType="separate"/>
      </w:r>
      <w:r>
        <w:t>12</w:t>
      </w:r>
      <w:r>
        <w:fldChar w:fldCharType="end"/>
      </w:r>
      <w:r>
        <w:fldChar w:fldCharType="end"/>
      </w:r>
    </w:p>
    <w:p w14:paraId="24369F05">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6D2C0C5">
      <w:pPr>
        <w:pStyle w:val="89"/>
        <w:spacing w:before="900" w:after="360"/>
      </w:pPr>
      <w:bookmarkStart w:id="22" w:name="_Toc217482718"/>
      <w:bookmarkStart w:id="23" w:name="BookMark2"/>
      <w:r>
        <w:rPr>
          <w:spacing w:val="320"/>
        </w:rPr>
        <w:t>前</w:t>
      </w:r>
      <w:r>
        <w:t>言</w:t>
      </w:r>
      <w:bookmarkEnd w:id="22"/>
    </w:p>
    <w:p w14:paraId="222E6A20">
      <w:pPr>
        <w:pStyle w:val="56"/>
        <w:spacing w:line="360" w:lineRule="auto"/>
        <w:ind w:firstLine="420"/>
      </w:pPr>
      <w:r>
        <w:rPr>
          <w:rFonts w:hint="eastAsia"/>
        </w:rPr>
        <w:t>本文件按照GB/T 1.1—2020《标准化工作导则  第1部分：标准化文件的结构和起草规则》的规定起草。</w:t>
      </w:r>
    </w:p>
    <w:p w14:paraId="17FA224E">
      <w:pPr>
        <w:pStyle w:val="56"/>
        <w:spacing w:line="360" w:lineRule="auto"/>
        <w:ind w:firstLine="420"/>
      </w:pPr>
      <w:r>
        <w:rPr>
          <w:rFonts w:hint="eastAsia"/>
        </w:rPr>
        <w:t>请注意本文件的某些内容可能涉及专利。本文件的发布机构不承担识别专利的责任。</w:t>
      </w:r>
    </w:p>
    <w:p w14:paraId="3E62C14B">
      <w:pPr>
        <w:pStyle w:val="56"/>
        <w:spacing w:line="360" w:lineRule="auto"/>
        <w:ind w:firstLine="420"/>
      </w:pPr>
      <w:r>
        <w:rPr>
          <w:rFonts w:hint="eastAsia"/>
        </w:rPr>
        <w:t>本文件由西安市质量与标准化协会提出并归口。</w:t>
      </w:r>
    </w:p>
    <w:p w14:paraId="2C9E769C">
      <w:pPr>
        <w:pStyle w:val="56"/>
        <w:spacing w:line="360" w:lineRule="auto"/>
        <w:ind w:firstLine="420"/>
      </w:pPr>
      <w:r>
        <w:rPr>
          <w:rFonts w:hint="eastAsia"/>
        </w:rPr>
        <w:t>本文件起草单位：上海市固体废物处置有限公司。</w:t>
      </w:r>
      <w:bookmarkStart w:id="60" w:name="_GoBack"/>
      <w:bookmarkEnd w:id="60"/>
    </w:p>
    <w:p w14:paraId="3890D037">
      <w:pPr>
        <w:pStyle w:val="56"/>
        <w:spacing w:line="360" w:lineRule="auto"/>
        <w:ind w:firstLine="420"/>
        <w:rPr>
          <w:rFonts w:hint="eastAsia" w:eastAsia="宋体"/>
          <w:lang w:val="en-US" w:eastAsia="zh-CN"/>
        </w:rPr>
      </w:pPr>
      <w:r>
        <w:rPr>
          <w:rFonts w:hint="eastAsia"/>
        </w:rPr>
        <w:t>本文件主要起草人：符浩。</w:t>
      </w:r>
    </w:p>
    <w:p w14:paraId="24C66E2A">
      <w:pPr>
        <w:pStyle w:val="56"/>
        <w:ind w:firstLine="420"/>
      </w:pPr>
    </w:p>
    <w:p w14:paraId="25CD513D">
      <w:pPr>
        <w:pStyle w:val="56"/>
        <w:rPr>
          <w:rFonts w:hint="eastAsia" w:eastAsia="宋体"/>
          <w:lang w:val="en-US" w:eastAsia="zh-CN"/>
        </w:rPr>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5A4344C2">
      <w:pPr>
        <w:pStyle w:val="89"/>
        <w:spacing w:after="360"/>
      </w:pPr>
      <w:bookmarkStart w:id="24" w:name="_Toc217482719"/>
      <w:bookmarkStart w:id="25" w:name="BookMark3"/>
      <w:r>
        <w:rPr>
          <w:spacing w:val="320"/>
        </w:rPr>
        <w:t>引</w:t>
      </w:r>
      <w:r>
        <w:t>言</w:t>
      </w:r>
      <w:bookmarkEnd w:id="24"/>
    </w:p>
    <w:p w14:paraId="7C52476F">
      <w:pPr>
        <w:pStyle w:val="56"/>
        <w:spacing w:line="360" w:lineRule="auto"/>
        <w:ind w:firstLine="420"/>
      </w:pPr>
      <w:r>
        <w:rPr>
          <w:rFonts w:hint="eastAsia"/>
        </w:rPr>
        <w:t>危险废物鉴别工作是危险废物环境管理链条中的关键环节，其鉴别结论直接影响废物属性判定、贮存运输处置方式选择以及环境风险防控策略。危险废物来源广、组成复杂、特征差异大，且在采样、运输、存储、制备与检测过程中存在显著的安全风险与交叉污染风险。一旦实验室建设与运行缺乏系统化规范，容易出现样品代表性不足、检测结果不可溯源、质量控制措施缺失、设施防护能力不匹配以及二次危险废物处置不合规等问题，进而引发鉴别争议与环境安全隐患。</w:t>
      </w:r>
    </w:p>
    <w:p w14:paraId="21ABEEBA">
      <w:pPr>
        <w:pStyle w:val="56"/>
        <w:spacing w:line="360" w:lineRule="auto"/>
        <w:ind w:firstLine="420"/>
      </w:pPr>
      <w:r>
        <w:rPr>
          <w:rFonts w:hint="eastAsia"/>
        </w:rPr>
        <w:t>本文件面向危险废物鉴别实验室的新建、改建、扩建与能力提升需求，从人员能力、设施环境、样品全流程管理等维度提出建设与运行的关键要求，强调“合规为底线、安全为前提、质量为核心、流程为主线、信息化为支撑”的总体思路，推动鉴别实验室形成可实施、可检查、可追溯、可持续改进的体系能力，为监管执法、企业分类管理、污染治理与应急响应提供可靠技术支撑。</w:t>
      </w:r>
    </w:p>
    <w:p w14:paraId="343DE450">
      <w:pPr>
        <w:pStyle w:val="56"/>
        <w:ind w:firstLine="420"/>
      </w:pPr>
    </w:p>
    <w:p w14:paraId="5A8E8EA9">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95B0EAC">
      <w:pPr>
        <w:spacing w:line="20" w:lineRule="exact"/>
        <w:jc w:val="center"/>
        <w:rPr>
          <w:rFonts w:ascii="黑体" w:hAnsi="黑体" w:eastAsia="黑体"/>
          <w:sz w:val="32"/>
          <w:szCs w:val="32"/>
        </w:rPr>
      </w:pPr>
      <w:bookmarkStart w:id="26" w:name="BookMark4"/>
    </w:p>
    <w:p w14:paraId="354EC6BC">
      <w:pPr>
        <w:spacing w:line="20" w:lineRule="exact"/>
        <w:jc w:val="center"/>
        <w:rPr>
          <w:rFonts w:ascii="黑体" w:hAnsi="黑体" w:eastAsia="黑体"/>
          <w:sz w:val="32"/>
          <w:szCs w:val="32"/>
        </w:rPr>
      </w:pPr>
    </w:p>
    <w:sdt>
      <w:sdtPr>
        <w:tag w:val="NEW_STAND_NAME"/>
        <w:id w:val="595910757"/>
        <w:lock w:val="sdtLocked"/>
        <w:placeholder>
          <w:docPart w:val="88BBCC73F4814DF2B25CA2AC390573F6"/>
        </w:placeholder>
      </w:sdtPr>
      <w:sdtContent>
        <w:p w14:paraId="2A2AE3A7">
          <w:pPr>
            <w:pStyle w:val="177"/>
          </w:pPr>
          <w:bookmarkStart w:id="27" w:name="NEW_STAND_NAME"/>
          <w:r>
            <w:rPr>
              <w:rFonts w:hint="eastAsia"/>
            </w:rPr>
            <w:t>危险废物鉴别实验室建设技术指南</w:t>
          </w:r>
        </w:p>
      </w:sdtContent>
    </w:sdt>
    <w:bookmarkEnd w:id="27"/>
    <w:p w14:paraId="4A6C50D7">
      <w:pPr>
        <w:pStyle w:val="104"/>
        <w:spacing w:before="240" w:after="240" w:line="360" w:lineRule="auto"/>
      </w:pPr>
      <w:bookmarkStart w:id="28" w:name="_Toc26648465"/>
      <w:bookmarkStart w:id="29" w:name="_Toc26718930"/>
      <w:bookmarkStart w:id="30" w:name="_Toc26986530"/>
      <w:bookmarkStart w:id="31" w:name="_Toc17233325"/>
      <w:bookmarkStart w:id="32" w:name="_Toc17233333"/>
      <w:bookmarkStart w:id="33" w:name="_Toc24884211"/>
      <w:bookmarkStart w:id="34" w:name="_Toc24884218"/>
      <w:bookmarkStart w:id="35" w:name="_Toc217482720"/>
      <w:bookmarkStart w:id="36" w:name="_Toc26986771"/>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47C43921">
      <w:pPr>
        <w:pStyle w:val="56"/>
        <w:spacing w:line="360" w:lineRule="auto"/>
        <w:ind w:firstLine="420"/>
      </w:pPr>
      <w:bookmarkStart w:id="38" w:name="_Toc17233326"/>
      <w:bookmarkStart w:id="39" w:name="_Toc24884219"/>
      <w:bookmarkStart w:id="40" w:name="_Toc17233334"/>
      <w:bookmarkStart w:id="41" w:name="_Toc24884212"/>
      <w:bookmarkStart w:id="42" w:name="_Toc26648466"/>
      <w:r>
        <w:rPr>
          <w:rFonts w:hint="eastAsia"/>
        </w:rPr>
        <w:t>本文件规定了危险废物鉴别实验室建设与运行的人员配置与职责、设施环境与样品管理、仪器设备与计量溯源、检测方法与质量控制、安全防护与危险废物管理、信息化与数据安全管理、建设验收与运行维护等要求。</w:t>
      </w:r>
    </w:p>
    <w:p w14:paraId="4DD08493">
      <w:pPr>
        <w:pStyle w:val="56"/>
        <w:spacing w:line="360" w:lineRule="auto"/>
        <w:ind w:firstLine="420"/>
      </w:pPr>
      <w:r>
        <w:rPr>
          <w:rFonts w:hint="eastAsia"/>
        </w:rPr>
        <w:t>本文件适用于新建、改建、扩建的危险废物鉴别实验室，包括第三方检验检测机构实验室、产生危险废物的生产企业内部实验室、科研机构与高校相关实验室，以及生态环境部门用于应急鉴别与监督性鉴别的实验室。</w:t>
      </w:r>
    </w:p>
    <w:p w14:paraId="38661369">
      <w:pPr>
        <w:pStyle w:val="56"/>
        <w:spacing w:line="360" w:lineRule="auto"/>
        <w:ind w:firstLine="420"/>
      </w:pPr>
      <w:r>
        <w:rPr>
          <w:rFonts w:hint="eastAsia"/>
        </w:rPr>
        <w:t>本文件不适用于仅开展固体废物常规物理性质检测且不涉及腐蚀性、浸出毒性、急性毒性、易燃性、反应性等危险特性鉴别项目的实验室。</w:t>
      </w:r>
    </w:p>
    <w:p w14:paraId="3F036BAD">
      <w:pPr>
        <w:pStyle w:val="104"/>
        <w:spacing w:before="240" w:after="240" w:line="360" w:lineRule="auto"/>
      </w:pPr>
      <w:bookmarkStart w:id="43" w:name="_Toc26986772"/>
      <w:bookmarkStart w:id="44" w:name="_Toc97192965"/>
      <w:bookmarkStart w:id="45" w:name="_Toc217482721"/>
      <w:bookmarkStart w:id="46" w:name="_Toc26718931"/>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197A65F6D1E4BDD9AF6599EC272F3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CDC6EC2">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7D390C3">
      <w:pPr>
        <w:pStyle w:val="56"/>
        <w:spacing w:line="360" w:lineRule="auto"/>
        <w:ind w:firstLine="420"/>
      </w:pPr>
      <w:r>
        <w:rPr>
          <w:rFonts w:hint="eastAsia"/>
        </w:rPr>
        <w:t>GB 5085.1—2</w:t>
      </w:r>
      <w:r>
        <w:t>007</w:t>
      </w:r>
      <w:r>
        <w:rPr>
          <w:rFonts w:hint="eastAsia"/>
        </w:rPr>
        <w:t xml:space="preserve"> 危险废物鉴别标准  腐蚀性鉴别</w:t>
      </w:r>
    </w:p>
    <w:p w14:paraId="6A657269">
      <w:pPr>
        <w:pStyle w:val="56"/>
        <w:spacing w:line="360" w:lineRule="auto"/>
        <w:ind w:firstLine="420"/>
      </w:pPr>
      <w:r>
        <w:rPr>
          <w:rFonts w:hint="eastAsia"/>
        </w:rPr>
        <w:t>GB 5085.3—2</w:t>
      </w:r>
      <w:r>
        <w:t>007</w:t>
      </w:r>
      <w:r>
        <w:rPr>
          <w:rFonts w:hint="eastAsia"/>
        </w:rPr>
        <w:t xml:space="preserve"> 危险废物鉴别标准 </w:t>
      </w:r>
      <w:r>
        <w:t xml:space="preserve"> </w:t>
      </w:r>
      <w:r>
        <w:rPr>
          <w:rFonts w:hint="eastAsia"/>
        </w:rPr>
        <w:t>浸出毒性鉴别</w:t>
      </w:r>
    </w:p>
    <w:p w14:paraId="50E323B9">
      <w:pPr>
        <w:pStyle w:val="56"/>
        <w:spacing w:line="360" w:lineRule="auto"/>
        <w:ind w:firstLine="420"/>
      </w:pPr>
      <w:r>
        <w:rPr>
          <w:rFonts w:hint="eastAsia"/>
        </w:rPr>
        <w:t>GB 5085.4—2</w:t>
      </w:r>
      <w:r>
        <w:t>007</w:t>
      </w:r>
      <w:r>
        <w:rPr>
          <w:rFonts w:hint="eastAsia"/>
        </w:rPr>
        <w:t xml:space="preserve"> 危险废物鉴别标准 </w:t>
      </w:r>
      <w:r>
        <w:t xml:space="preserve"> </w:t>
      </w:r>
      <w:r>
        <w:rPr>
          <w:rFonts w:hint="eastAsia"/>
        </w:rPr>
        <w:t>易燃性鉴别</w:t>
      </w:r>
    </w:p>
    <w:p w14:paraId="34DE5A88">
      <w:pPr>
        <w:pStyle w:val="56"/>
        <w:spacing w:line="360" w:lineRule="auto"/>
        <w:ind w:firstLine="420"/>
      </w:pPr>
      <w:r>
        <w:rPr>
          <w:rFonts w:hint="eastAsia"/>
        </w:rPr>
        <w:t>GB 18597—2</w:t>
      </w:r>
      <w:r>
        <w:t>023</w:t>
      </w:r>
      <w:r>
        <w:rPr>
          <w:rFonts w:hint="eastAsia"/>
        </w:rPr>
        <w:t xml:space="preserve"> 危险废物贮存污染控制标准</w:t>
      </w:r>
    </w:p>
    <w:p w14:paraId="3D652DB8">
      <w:pPr>
        <w:pStyle w:val="56"/>
        <w:spacing w:line="360" w:lineRule="auto"/>
        <w:ind w:firstLine="420"/>
      </w:pPr>
      <w:r>
        <w:rPr>
          <w:rFonts w:hint="eastAsia"/>
        </w:rPr>
        <w:t>GB/T 1.1—2</w:t>
      </w:r>
      <w:r>
        <w:t>020</w:t>
      </w:r>
      <w:r>
        <w:rPr>
          <w:rFonts w:hint="eastAsia"/>
        </w:rPr>
        <w:t xml:space="preserve"> 标准化工作导则  第1部分：标准化文件的结构和起草规则</w:t>
      </w:r>
    </w:p>
    <w:p w14:paraId="64A88C9D">
      <w:pPr>
        <w:pStyle w:val="56"/>
        <w:spacing w:line="360" w:lineRule="auto"/>
        <w:ind w:firstLine="420"/>
      </w:pPr>
      <w:r>
        <w:rPr>
          <w:rFonts w:hint="eastAsia"/>
        </w:rPr>
        <w:t>GB/T 6682—2</w:t>
      </w:r>
      <w:r>
        <w:t>008</w:t>
      </w:r>
      <w:r>
        <w:rPr>
          <w:rFonts w:hint="eastAsia"/>
        </w:rPr>
        <w:t xml:space="preserve"> 分析实验室用水规格和试验方法</w:t>
      </w:r>
    </w:p>
    <w:p w14:paraId="347E8C3E">
      <w:pPr>
        <w:pStyle w:val="56"/>
        <w:spacing w:line="360" w:lineRule="auto"/>
        <w:ind w:firstLine="420"/>
      </w:pPr>
      <w:r>
        <w:rPr>
          <w:rFonts w:hint="eastAsia"/>
        </w:rPr>
        <w:t>GB/T 24777—2</w:t>
      </w:r>
      <w:r>
        <w:t>009</w:t>
      </w:r>
      <w:r>
        <w:rPr>
          <w:rFonts w:hint="eastAsia"/>
        </w:rPr>
        <w:t xml:space="preserve"> 化学品理化及其危险性检测实验室安全要求</w:t>
      </w:r>
    </w:p>
    <w:p w14:paraId="5352ABAC">
      <w:pPr>
        <w:pStyle w:val="56"/>
        <w:spacing w:line="360" w:lineRule="auto"/>
        <w:ind w:firstLine="420"/>
      </w:pPr>
      <w:r>
        <w:rPr>
          <w:rFonts w:hint="eastAsia"/>
        </w:rPr>
        <w:t>HJ 298—2</w:t>
      </w:r>
      <w:r>
        <w:t>019</w:t>
      </w:r>
      <w:r>
        <w:rPr>
          <w:rFonts w:hint="eastAsia"/>
        </w:rPr>
        <w:t xml:space="preserve"> 危险废物鉴别技术规范</w:t>
      </w:r>
    </w:p>
    <w:p w14:paraId="2590D19C">
      <w:pPr>
        <w:pStyle w:val="56"/>
        <w:spacing w:line="360" w:lineRule="auto"/>
        <w:ind w:firstLine="420"/>
      </w:pPr>
      <w:r>
        <w:t>HJ 557</w:t>
      </w:r>
      <w:r>
        <w:rPr>
          <w:rFonts w:hint="eastAsia"/>
        </w:rPr>
        <w:t>—</w:t>
      </w:r>
      <w:r>
        <w:t xml:space="preserve">2010 </w:t>
      </w:r>
      <w:r>
        <w:rPr>
          <w:rFonts w:hint="eastAsia"/>
        </w:rPr>
        <w:t xml:space="preserve">固体废物 </w:t>
      </w:r>
      <w:r>
        <w:t xml:space="preserve"> </w:t>
      </w:r>
      <w:r>
        <w:rPr>
          <w:rFonts w:hint="eastAsia"/>
        </w:rPr>
        <w:t xml:space="preserve">浸出毒性浸出方法 </w:t>
      </w:r>
      <w:r>
        <w:t xml:space="preserve"> </w:t>
      </w:r>
      <w:r>
        <w:rPr>
          <w:rFonts w:hint="eastAsia"/>
        </w:rPr>
        <w:t>水平振荡法</w:t>
      </w:r>
    </w:p>
    <w:p w14:paraId="075F3A33">
      <w:pPr>
        <w:pStyle w:val="56"/>
        <w:spacing w:line="360" w:lineRule="auto"/>
        <w:ind w:firstLine="420"/>
      </w:pPr>
      <w:r>
        <w:t>HJ/T 299</w:t>
      </w:r>
      <w:r>
        <w:rPr>
          <w:rFonts w:hint="eastAsia"/>
        </w:rPr>
        <w:t>—</w:t>
      </w:r>
      <w:r>
        <w:t xml:space="preserve">2007 </w:t>
      </w:r>
      <w:r>
        <w:rPr>
          <w:rFonts w:hint="eastAsia"/>
        </w:rPr>
        <w:t xml:space="preserve">固体废物 </w:t>
      </w:r>
      <w:r>
        <w:t xml:space="preserve"> </w:t>
      </w:r>
      <w:r>
        <w:rPr>
          <w:rFonts w:hint="eastAsia"/>
        </w:rPr>
        <w:t>浸出毒性浸出方法  硫酸硝酸法</w:t>
      </w:r>
    </w:p>
    <w:p w14:paraId="24BB2DB0">
      <w:pPr>
        <w:pStyle w:val="104"/>
        <w:spacing w:before="240" w:after="240" w:line="360" w:lineRule="auto"/>
      </w:pPr>
      <w:bookmarkStart w:id="48" w:name="_Toc217482722"/>
      <w:bookmarkStart w:id="49" w:name="_Toc97192966"/>
      <w:r>
        <w:rPr>
          <w:rFonts w:hint="eastAsia"/>
          <w:szCs w:val="21"/>
        </w:rPr>
        <w:t>术语和定义</w:t>
      </w:r>
      <w:bookmarkEnd w:id="48"/>
      <w:bookmarkEnd w:id="49"/>
    </w:p>
    <w:sdt>
      <w:sdtPr>
        <w:id w:val="-1909835108"/>
        <w:placeholder>
          <w:docPart w:val="4EDDD88E7485469AB9D97C1BDAB03D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D471B2">
          <w:pPr>
            <w:pStyle w:val="56"/>
            <w:spacing w:line="360" w:lineRule="auto"/>
            <w:ind w:firstLine="420"/>
          </w:pPr>
          <w:bookmarkStart w:id="50" w:name="_Toc26986532"/>
          <w:bookmarkEnd w:id="50"/>
          <w:r>
            <w:t>下列术语和定义适用于本文件。</w:t>
          </w:r>
        </w:p>
      </w:sdtContent>
    </w:sdt>
    <w:p w14:paraId="43226C4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危险废物鉴别 hazardous waste identification</w:t>
      </w:r>
    </w:p>
    <w:p w14:paraId="58C9DE35">
      <w:pPr>
        <w:pStyle w:val="56"/>
        <w:spacing w:line="360" w:lineRule="auto"/>
        <w:ind w:firstLine="420"/>
      </w:pPr>
      <w:r>
        <w:rPr>
          <w:rFonts w:hint="eastAsia"/>
        </w:rPr>
        <w:t>依据相关鉴别标准与技术规范，通过检测与分析等手段，判断固体废物是否具有危险特性并作出属性判定的过程。</w:t>
      </w:r>
    </w:p>
    <w:p w14:paraId="53D62AC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危险废物鉴别实验室 hazardous waste identification laboratory</w:t>
      </w:r>
    </w:p>
    <w:p w14:paraId="689B7D99">
      <w:pPr>
        <w:pStyle w:val="56"/>
        <w:spacing w:line="360" w:lineRule="auto"/>
        <w:ind w:firstLine="420"/>
      </w:pPr>
      <w:r>
        <w:rPr>
          <w:rFonts w:hint="eastAsia"/>
        </w:rPr>
        <w:t>专门开展危险废物特征指标检测与鉴别判定的实验室，应具备样品接收、存储、制备、前处理、检测分析、质量控制、数据与报告管理等全流程能力。</w:t>
      </w:r>
    </w:p>
    <w:p w14:paraId="5257AD9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特征污染物 characteristic pollutants</w:t>
      </w:r>
    </w:p>
    <w:p w14:paraId="77D92755">
      <w:pPr>
        <w:pStyle w:val="56"/>
        <w:spacing w:line="360" w:lineRule="auto"/>
        <w:ind w:firstLine="420"/>
      </w:pPr>
      <w:r>
        <w:rPr>
          <w:rFonts w:hint="eastAsia"/>
        </w:rPr>
        <w:t>决定固体废物是否属于危险废物的关键污染物或指标参数，例如腐蚀性鉴别中的 pH、电导率，浸出毒性中的重金属与有机污染物，易燃性鉴别中的闪点等。</w:t>
      </w:r>
    </w:p>
    <w:p w14:paraId="2E34CDE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样品前处理 sample pretreatment</w:t>
      </w:r>
    </w:p>
    <w:p w14:paraId="49FBBCCA">
      <w:pPr>
        <w:pStyle w:val="56"/>
        <w:spacing w:line="360" w:lineRule="auto"/>
        <w:ind w:firstLine="420"/>
      </w:pPr>
      <w:r>
        <w:rPr>
          <w:rFonts w:hint="eastAsia"/>
        </w:rPr>
        <w:t>为满足检测方法要求，对样品进行粉碎、研磨、消解、萃取、净化、过滤等操作的过程，通常需在通风柜、手套箱等防护设施内完成。</w:t>
      </w:r>
    </w:p>
    <w:p w14:paraId="1CFC6B8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二次危险废物 secondary hazardous waste</w:t>
      </w:r>
    </w:p>
    <w:p w14:paraId="14EBD9F6">
      <w:pPr>
        <w:pStyle w:val="56"/>
        <w:spacing w:line="360" w:lineRule="auto"/>
        <w:ind w:firstLine="420"/>
      </w:pPr>
      <w:r>
        <w:rPr>
          <w:rFonts w:hint="eastAsia"/>
        </w:rPr>
        <w:t>实验室在样品制备、前处理与检测过程中产生的具有危险特性的废物，包括消解废液、萃取残液、含重金属废液、受污染耗材与残渣等。</w:t>
      </w:r>
    </w:p>
    <w:p w14:paraId="3F230B3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质量控制 quality control</w:t>
      </w:r>
    </w:p>
    <w:p w14:paraId="601A9710">
      <w:pPr>
        <w:pStyle w:val="56"/>
        <w:spacing w:line="360" w:lineRule="auto"/>
        <w:ind w:firstLine="420"/>
      </w:pPr>
      <w:r>
        <w:rPr>
          <w:rFonts w:hint="eastAsia"/>
        </w:rPr>
        <w:t>为保证结果准确可靠，在采样、运输、存储、制备、检测与数据处理各环节采取的控制措施，包括空白试验、平行试验、加标回收、标准物质验证、期间核查与数据审核等。</w:t>
      </w:r>
    </w:p>
    <w:p w14:paraId="0AC53158">
      <w:pPr>
        <w:pStyle w:val="104"/>
        <w:spacing w:before="240" w:after="240" w:line="360" w:lineRule="auto"/>
      </w:pPr>
      <w:bookmarkStart w:id="51" w:name="_Toc217482723"/>
      <w:r>
        <w:rPr>
          <w:rFonts w:hint="eastAsia"/>
        </w:rPr>
        <w:t>人员配置与职责</w:t>
      </w:r>
      <w:bookmarkEnd w:id="51"/>
    </w:p>
    <w:p w14:paraId="49D44DF2">
      <w:pPr>
        <w:pStyle w:val="105"/>
        <w:spacing w:before="120" w:after="120" w:line="360" w:lineRule="auto"/>
      </w:pPr>
      <w:r>
        <w:rPr>
          <w:rFonts w:hint="eastAsia"/>
        </w:rPr>
        <w:t>人员配置原则</w:t>
      </w:r>
    </w:p>
    <w:p w14:paraId="6BADF4BE">
      <w:pPr>
        <w:pStyle w:val="56"/>
        <w:spacing w:line="360" w:lineRule="auto"/>
        <w:ind w:firstLine="420"/>
      </w:pPr>
      <w:r>
        <w:rPr>
          <w:rFonts w:hint="eastAsia"/>
        </w:rPr>
        <w:t>实验室应根据鉴别能力定位、项目范围、样品数量与应急响应需求，配置与工作量相匹配的专业人员，并确保关键岗位职责清晰、相互制约、连续覆盖。人员管理应满足资质认定与生态环境相关管理要求，确保检测活动由具备能力且经授权的人员实施。</w:t>
      </w:r>
    </w:p>
    <w:p w14:paraId="243CDE2F">
      <w:pPr>
        <w:pStyle w:val="105"/>
        <w:spacing w:before="120" w:after="120" w:line="360" w:lineRule="auto"/>
      </w:pPr>
      <w:r>
        <w:rPr>
          <w:rFonts w:hint="eastAsia"/>
        </w:rPr>
        <w:t>岗位设置与能力要求</w:t>
      </w:r>
    </w:p>
    <w:p w14:paraId="70C95088">
      <w:pPr>
        <w:pStyle w:val="56"/>
        <w:spacing w:line="360" w:lineRule="auto"/>
        <w:ind w:firstLine="420"/>
      </w:pPr>
      <w:r>
        <w:rPr>
          <w:rFonts w:hint="eastAsia"/>
        </w:rPr>
        <w:t>实验室应至少设置技术负责人、质量负责人、检测人员、样品管理员与安全管理员等岗位。对于承担采样任务、报告签发任务或应急鉴别任务的实验室，应结合业务特点增设采样人员、报告编制与审核人员、授权签字人、信息化管理员等岗位。人员岗位配置与能力要求见表1。</w:t>
      </w:r>
    </w:p>
    <w:p w14:paraId="7722176D">
      <w:pPr>
        <w:pStyle w:val="112"/>
        <w:spacing w:before="120" w:after="120" w:line="360" w:lineRule="auto"/>
      </w:pPr>
      <w:r>
        <w:rPr>
          <w:rFonts w:hint="eastAsia"/>
        </w:rPr>
        <w:t>人员岗位配置与能力要求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2268"/>
        <w:gridCol w:w="4666"/>
      </w:tblGrid>
      <w:tr w14:paraId="4376D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00" w:type="dxa"/>
            <w:tcBorders>
              <w:top w:val="single" w:color="auto" w:sz="8" w:space="0"/>
              <w:bottom w:val="single" w:color="auto" w:sz="8" w:space="0"/>
            </w:tcBorders>
            <w:shd w:val="clear" w:color="auto" w:fill="auto"/>
            <w:vAlign w:val="center"/>
          </w:tcPr>
          <w:p w14:paraId="17DE2F90">
            <w:pPr>
              <w:pStyle w:val="178"/>
              <w:spacing w:line="360" w:lineRule="auto"/>
            </w:pPr>
            <w:r>
              <w:rPr>
                <w:rFonts w:hint="eastAsia"/>
              </w:rPr>
              <w:t>岗位</w:t>
            </w:r>
          </w:p>
        </w:tc>
        <w:tc>
          <w:tcPr>
            <w:tcW w:w="2268" w:type="dxa"/>
            <w:tcBorders>
              <w:top w:val="single" w:color="auto" w:sz="8" w:space="0"/>
              <w:bottom w:val="single" w:color="auto" w:sz="8" w:space="0"/>
            </w:tcBorders>
            <w:shd w:val="clear" w:color="auto" w:fill="auto"/>
            <w:vAlign w:val="center"/>
          </w:tcPr>
          <w:p w14:paraId="41D35924">
            <w:pPr>
              <w:pStyle w:val="178"/>
              <w:spacing w:line="360" w:lineRule="auto"/>
            </w:pPr>
            <w:r>
              <w:rPr>
                <w:rFonts w:hint="eastAsia"/>
              </w:rPr>
              <w:t>配置要求</w:t>
            </w:r>
          </w:p>
        </w:tc>
        <w:tc>
          <w:tcPr>
            <w:tcW w:w="4666" w:type="dxa"/>
            <w:tcBorders>
              <w:top w:val="single" w:color="auto" w:sz="8" w:space="0"/>
              <w:bottom w:val="single" w:color="auto" w:sz="8" w:space="0"/>
            </w:tcBorders>
            <w:shd w:val="clear" w:color="auto" w:fill="auto"/>
            <w:vAlign w:val="center"/>
          </w:tcPr>
          <w:p w14:paraId="640F8BE6">
            <w:pPr>
              <w:pStyle w:val="178"/>
              <w:spacing w:line="360" w:lineRule="auto"/>
            </w:pPr>
            <w:r>
              <w:rPr>
                <w:rFonts w:hint="eastAsia"/>
              </w:rPr>
              <w:t>资质与能力要求</w:t>
            </w:r>
          </w:p>
        </w:tc>
      </w:tr>
      <w:tr w14:paraId="62648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8" w:space="0"/>
            </w:tcBorders>
            <w:shd w:val="clear" w:color="auto" w:fill="auto"/>
            <w:vAlign w:val="center"/>
          </w:tcPr>
          <w:p w14:paraId="422AED16">
            <w:pPr>
              <w:pStyle w:val="178"/>
              <w:spacing w:line="360" w:lineRule="auto"/>
            </w:pPr>
            <w:r>
              <w:rPr>
                <w:rFonts w:hint="eastAsia"/>
              </w:rPr>
              <w:t>技术负责人</w:t>
            </w:r>
          </w:p>
        </w:tc>
        <w:tc>
          <w:tcPr>
            <w:tcW w:w="2268" w:type="dxa"/>
            <w:tcBorders>
              <w:top w:val="single" w:color="auto" w:sz="8" w:space="0"/>
            </w:tcBorders>
            <w:shd w:val="clear" w:color="auto" w:fill="auto"/>
            <w:vAlign w:val="center"/>
          </w:tcPr>
          <w:p w14:paraId="03D6317F">
            <w:pPr>
              <w:pStyle w:val="178"/>
              <w:spacing w:line="360" w:lineRule="auto"/>
            </w:pPr>
            <w:r>
              <w:rPr>
                <w:rFonts w:hint="eastAsia"/>
              </w:rPr>
              <w:t>≥1名</w:t>
            </w:r>
          </w:p>
        </w:tc>
        <w:tc>
          <w:tcPr>
            <w:tcW w:w="4666" w:type="dxa"/>
            <w:tcBorders>
              <w:top w:val="single" w:color="auto" w:sz="8" w:space="0"/>
            </w:tcBorders>
            <w:shd w:val="clear" w:color="auto" w:fill="auto"/>
            <w:vAlign w:val="center"/>
          </w:tcPr>
          <w:p w14:paraId="4B359A12">
            <w:pPr>
              <w:pStyle w:val="178"/>
              <w:spacing w:line="360" w:lineRule="auto"/>
            </w:pPr>
            <w:r>
              <w:rPr>
                <w:rFonts w:hint="eastAsia"/>
              </w:rPr>
              <w:t>熟悉危险废物鉴别相关标准与方法；具备方法验证与技术评审能力；具备较丰富的危险废物检测或环境监测经验；能组织重大技术问题处置与技术审核</w:t>
            </w:r>
          </w:p>
        </w:tc>
      </w:tr>
      <w:tr w14:paraId="6B079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bottom w:val="single" w:color="auto" w:sz="2" w:space="0"/>
            </w:tcBorders>
            <w:shd w:val="clear" w:color="auto" w:fill="auto"/>
            <w:vAlign w:val="center"/>
          </w:tcPr>
          <w:p w14:paraId="44F219AB">
            <w:pPr>
              <w:pStyle w:val="178"/>
              <w:spacing w:line="360" w:lineRule="auto"/>
            </w:pPr>
            <w:r>
              <w:rPr>
                <w:rFonts w:hint="eastAsia"/>
              </w:rPr>
              <w:t>质量负责人</w:t>
            </w:r>
          </w:p>
        </w:tc>
        <w:tc>
          <w:tcPr>
            <w:tcW w:w="2268" w:type="dxa"/>
            <w:tcBorders>
              <w:bottom w:val="single" w:color="auto" w:sz="2" w:space="0"/>
            </w:tcBorders>
            <w:shd w:val="clear" w:color="auto" w:fill="auto"/>
            <w:vAlign w:val="center"/>
          </w:tcPr>
          <w:p w14:paraId="16CF8DEA">
            <w:pPr>
              <w:pStyle w:val="178"/>
              <w:spacing w:line="360" w:lineRule="auto"/>
            </w:pPr>
            <w:r>
              <w:rPr>
                <w:rFonts w:hint="eastAsia"/>
              </w:rPr>
              <w:t>≥1名</w:t>
            </w:r>
          </w:p>
        </w:tc>
        <w:tc>
          <w:tcPr>
            <w:tcW w:w="4666" w:type="dxa"/>
            <w:tcBorders>
              <w:bottom w:val="single" w:color="auto" w:sz="2" w:space="0"/>
            </w:tcBorders>
            <w:shd w:val="clear" w:color="auto" w:fill="auto"/>
            <w:vAlign w:val="center"/>
          </w:tcPr>
          <w:p w14:paraId="338406DA">
            <w:pPr>
              <w:pStyle w:val="178"/>
              <w:spacing w:line="360" w:lineRule="auto"/>
            </w:pPr>
            <w:r>
              <w:rPr>
                <w:rFonts w:hint="eastAsia"/>
              </w:rPr>
              <w:t>熟悉资质认定与质量体系运行；具备质量监督、内部审核与管理评审能力；能组织不符合项整改与持续改进</w:t>
            </w:r>
          </w:p>
        </w:tc>
      </w:tr>
      <w:tr w14:paraId="0504A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2" w:space="0"/>
              <w:bottom w:val="single" w:color="auto" w:sz="2" w:space="0"/>
            </w:tcBorders>
            <w:shd w:val="clear" w:color="auto" w:fill="auto"/>
            <w:vAlign w:val="center"/>
          </w:tcPr>
          <w:p w14:paraId="10B252D3">
            <w:pPr>
              <w:pStyle w:val="178"/>
              <w:spacing w:line="360" w:lineRule="auto"/>
            </w:pPr>
            <w:r>
              <w:rPr>
                <w:rFonts w:hint="eastAsia"/>
              </w:rPr>
              <w:t>检测人员（含前处理与分析）</w:t>
            </w:r>
          </w:p>
        </w:tc>
        <w:tc>
          <w:tcPr>
            <w:tcW w:w="2268" w:type="dxa"/>
            <w:tcBorders>
              <w:top w:val="single" w:color="auto" w:sz="2" w:space="0"/>
              <w:bottom w:val="single" w:color="auto" w:sz="2" w:space="0"/>
            </w:tcBorders>
            <w:shd w:val="clear" w:color="auto" w:fill="auto"/>
            <w:vAlign w:val="center"/>
          </w:tcPr>
          <w:p w14:paraId="24202F16">
            <w:pPr>
              <w:pStyle w:val="178"/>
              <w:spacing w:line="360" w:lineRule="auto"/>
            </w:pPr>
            <w:r>
              <w:rPr>
                <w:rFonts w:hint="eastAsia"/>
              </w:rPr>
              <w:t>按项目配置，宜≥10名</w:t>
            </w:r>
          </w:p>
        </w:tc>
        <w:tc>
          <w:tcPr>
            <w:tcW w:w="4666" w:type="dxa"/>
            <w:tcBorders>
              <w:top w:val="single" w:color="auto" w:sz="2" w:space="0"/>
              <w:bottom w:val="single" w:color="auto" w:sz="2" w:space="0"/>
            </w:tcBorders>
            <w:shd w:val="clear" w:color="auto" w:fill="auto"/>
            <w:vAlign w:val="center"/>
          </w:tcPr>
          <w:p w14:paraId="01BB2EF2">
            <w:pPr>
              <w:pStyle w:val="178"/>
              <w:spacing w:line="360" w:lineRule="auto"/>
            </w:pPr>
            <w:r>
              <w:rPr>
                <w:rFonts w:hint="eastAsia"/>
              </w:rPr>
              <w:t>经岗位培训与考核合格；熟悉对应方法与仪器操作；具备安全防护与异常处置能力；能执行并记录质量控制措施</w:t>
            </w:r>
          </w:p>
        </w:tc>
      </w:tr>
      <w:tr w14:paraId="07200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2" w:space="0"/>
              <w:bottom w:val="single" w:color="auto" w:sz="4" w:space="0"/>
            </w:tcBorders>
            <w:shd w:val="clear" w:color="auto" w:fill="auto"/>
            <w:vAlign w:val="center"/>
          </w:tcPr>
          <w:p w14:paraId="1E65D38D">
            <w:pPr>
              <w:pStyle w:val="178"/>
              <w:spacing w:line="360" w:lineRule="auto"/>
            </w:pPr>
            <w:r>
              <w:rPr>
                <w:rFonts w:hint="eastAsia"/>
              </w:rPr>
              <w:t>样品管理员</w:t>
            </w:r>
          </w:p>
        </w:tc>
        <w:tc>
          <w:tcPr>
            <w:tcW w:w="2268" w:type="dxa"/>
            <w:tcBorders>
              <w:top w:val="single" w:color="auto" w:sz="2" w:space="0"/>
              <w:bottom w:val="single" w:color="auto" w:sz="4" w:space="0"/>
            </w:tcBorders>
            <w:shd w:val="clear" w:color="auto" w:fill="auto"/>
            <w:vAlign w:val="center"/>
          </w:tcPr>
          <w:p w14:paraId="43717BFD">
            <w:pPr>
              <w:pStyle w:val="178"/>
              <w:spacing w:line="360" w:lineRule="auto"/>
            </w:pPr>
            <w:r>
              <w:rPr>
                <w:rFonts w:hint="eastAsia"/>
              </w:rPr>
              <w:t>≥1名</w:t>
            </w:r>
          </w:p>
        </w:tc>
        <w:tc>
          <w:tcPr>
            <w:tcW w:w="4666" w:type="dxa"/>
            <w:tcBorders>
              <w:top w:val="single" w:color="auto" w:sz="2" w:space="0"/>
              <w:bottom w:val="single" w:color="auto" w:sz="4" w:space="0"/>
            </w:tcBorders>
            <w:shd w:val="clear" w:color="auto" w:fill="auto"/>
            <w:vAlign w:val="center"/>
          </w:tcPr>
          <w:p w14:paraId="73AE7734">
            <w:pPr>
              <w:pStyle w:val="178"/>
              <w:spacing w:line="360" w:lineRule="auto"/>
            </w:pPr>
            <w:r>
              <w:rPr>
                <w:rFonts w:hint="eastAsia"/>
              </w:rPr>
              <w:t>熟悉样品接收、标识、存储、流转与留样处置要求；具备危险废物分类识别与合规暂存意识；能维护样品追溯链</w:t>
            </w:r>
          </w:p>
        </w:tc>
      </w:tr>
      <w:tr w14:paraId="27BBE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4" w:space="0"/>
            </w:tcBorders>
            <w:shd w:val="clear" w:color="auto" w:fill="auto"/>
            <w:vAlign w:val="center"/>
          </w:tcPr>
          <w:p w14:paraId="7323720D">
            <w:pPr>
              <w:pStyle w:val="178"/>
              <w:spacing w:line="360" w:lineRule="auto"/>
            </w:pPr>
            <w:r>
              <w:rPr>
                <w:rFonts w:hint="eastAsia"/>
              </w:rPr>
              <w:t>安全管理员</w:t>
            </w:r>
          </w:p>
        </w:tc>
        <w:tc>
          <w:tcPr>
            <w:tcW w:w="2268" w:type="dxa"/>
            <w:tcBorders>
              <w:top w:val="single" w:color="auto" w:sz="4" w:space="0"/>
            </w:tcBorders>
            <w:shd w:val="clear" w:color="auto" w:fill="auto"/>
            <w:vAlign w:val="center"/>
          </w:tcPr>
          <w:p w14:paraId="31DB525C">
            <w:pPr>
              <w:pStyle w:val="178"/>
              <w:spacing w:line="360" w:lineRule="auto"/>
            </w:pPr>
            <w:r>
              <w:rPr>
                <w:rFonts w:hint="eastAsia"/>
              </w:rPr>
              <w:t>≥1名（可兼职）</w:t>
            </w:r>
          </w:p>
        </w:tc>
        <w:tc>
          <w:tcPr>
            <w:tcW w:w="4666" w:type="dxa"/>
            <w:tcBorders>
              <w:top w:val="single" w:color="auto" w:sz="4" w:space="0"/>
            </w:tcBorders>
            <w:shd w:val="clear" w:color="auto" w:fill="auto"/>
            <w:vAlign w:val="center"/>
          </w:tcPr>
          <w:p w14:paraId="45F37427">
            <w:pPr>
              <w:pStyle w:val="178"/>
              <w:spacing w:line="360" w:lineRule="auto"/>
            </w:pPr>
            <w:r>
              <w:rPr>
                <w:rFonts w:hint="eastAsia"/>
              </w:rPr>
              <w:t>熟悉危险化学品、危险废物与实验室安全管理要求；具备风险排查与应急组织能力；能组织演练与隐患闭环整改</w:t>
            </w:r>
          </w:p>
        </w:tc>
      </w:tr>
    </w:tbl>
    <w:p w14:paraId="67A20AD4">
      <w:pPr>
        <w:pStyle w:val="105"/>
        <w:spacing w:before="120" w:after="120" w:line="360" w:lineRule="auto"/>
      </w:pPr>
      <w:r>
        <w:rPr>
          <w:rFonts w:hint="eastAsia"/>
        </w:rPr>
        <w:t>岗位职责</w:t>
      </w:r>
    </w:p>
    <w:p w14:paraId="51A01ED6">
      <w:pPr>
        <w:pStyle w:val="56"/>
        <w:spacing w:line="360" w:lineRule="auto"/>
        <w:ind w:firstLine="420"/>
      </w:pPr>
      <w:r>
        <w:rPr>
          <w:rFonts w:hint="eastAsia"/>
        </w:rPr>
        <w:t>a) 技术负责人应统筹技术体系建设，组织方法确认/验证、仪器设备技术选型与关键参数控制，审核关键技术文件与鉴别结论；</w:t>
      </w:r>
    </w:p>
    <w:p w14:paraId="06CBE285">
      <w:pPr>
        <w:pStyle w:val="56"/>
        <w:spacing w:line="360" w:lineRule="auto"/>
        <w:ind w:firstLine="420"/>
      </w:pPr>
      <w:r>
        <w:rPr>
          <w:rFonts w:hint="eastAsia"/>
        </w:rPr>
        <w:t>b) 质量负责人应建立并维护质量管理体系，监督质量控制措施执行，组织内部审核与管理评审，处理质量异议与数据偏差；</w:t>
      </w:r>
    </w:p>
    <w:p w14:paraId="56BDB592">
      <w:pPr>
        <w:pStyle w:val="56"/>
        <w:spacing w:line="360" w:lineRule="auto"/>
        <w:ind w:firstLine="420"/>
      </w:pPr>
      <w:r>
        <w:rPr>
          <w:rFonts w:hint="eastAsia"/>
        </w:rPr>
        <w:t>c) 检测人员应严格按标准方法与作业指导书开展操作，完整记录原始数据与过程信息，落实岗位安全职责与现场风险控制；</w:t>
      </w:r>
    </w:p>
    <w:p w14:paraId="46EB9727">
      <w:pPr>
        <w:pStyle w:val="56"/>
        <w:spacing w:line="360" w:lineRule="auto"/>
        <w:ind w:firstLine="420"/>
      </w:pPr>
      <w:r>
        <w:rPr>
          <w:rFonts w:hint="eastAsia"/>
        </w:rPr>
        <w:t>d) 样品管理员应负责样品全生命周期管理，确保样品状态受控、标识唯一、流转可追溯、留样与处置合规；</w:t>
      </w:r>
    </w:p>
    <w:p w14:paraId="1358565B">
      <w:pPr>
        <w:pStyle w:val="56"/>
        <w:spacing w:line="360" w:lineRule="auto"/>
        <w:ind w:firstLine="420"/>
      </w:pPr>
      <w:r>
        <w:rPr>
          <w:rFonts w:hint="eastAsia"/>
        </w:rPr>
        <w:t>e) 安全管理员应组织日常安全检查、隐患排查与整改闭环，管理应急物资与防护设施，组织培训与应急演练。</w:t>
      </w:r>
    </w:p>
    <w:p w14:paraId="72694E3C">
      <w:pPr>
        <w:pStyle w:val="105"/>
        <w:spacing w:before="120" w:after="120" w:line="360" w:lineRule="auto"/>
      </w:pPr>
      <w:r>
        <w:rPr>
          <w:rFonts w:hint="eastAsia"/>
        </w:rPr>
        <w:t>培训与考核</w:t>
      </w:r>
    </w:p>
    <w:p w14:paraId="39AC0240">
      <w:pPr>
        <w:pStyle w:val="56"/>
        <w:spacing w:line="360" w:lineRule="auto"/>
        <w:ind w:firstLine="420"/>
      </w:pPr>
      <w:r>
        <w:rPr>
          <w:rFonts w:hint="eastAsia"/>
        </w:rPr>
        <w:t>实验室应建立岗位培训与持续能力提升机制：</w:t>
      </w:r>
    </w:p>
    <w:p w14:paraId="16DF2972">
      <w:pPr>
        <w:pStyle w:val="56"/>
        <w:spacing w:line="360" w:lineRule="auto"/>
        <w:ind w:firstLine="420"/>
      </w:pPr>
      <w:r>
        <w:rPr>
          <w:rFonts w:hint="eastAsia"/>
        </w:rPr>
        <w:t>a) 岗前培训应覆盖法律法规、标准方法、质量控制、危化品/危废管理、应急处置与仪器操作；</w:t>
      </w:r>
    </w:p>
    <w:p w14:paraId="0A45A5E0">
      <w:pPr>
        <w:pStyle w:val="56"/>
        <w:spacing w:line="360" w:lineRule="auto"/>
        <w:ind w:firstLine="420"/>
      </w:pPr>
      <w:r>
        <w:rPr>
          <w:rFonts w:hint="eastAsia"/>
        </w:rPr>
        <w:t>b) 持续培训宜每年至少组织一次专业培训，并结合标准更新、新增项目与新设备引入开展专项培训；</w:t>
      </w:r>
    </w:p>
    <w:p w14:paraId="79BD846F">
      <w:pPr>
        <w:pStyle w:val="56"/>
        <w:spacing w:line="360" w:lineRule="auto"/>
        <w:ind w:firstLine="420"/>
      </w:pPr>
      <w:r>
        <w:rPr>
          <w:rFonts w:hint="eastAsia"/>
        </w:rPr>
        <w:t>c) 能力考核宜采取盲样考核、平行样比对、加标回收考核、操作规范抽查等方式。考核不合格者应暂停相关岗位工作并完成复训复考。</w:t>
      </w:r>
    </w:p>
    <w:p w14:paraId="1B6A3B5C">
      <w:pPr>
        <w:pStyle w:val="104"/>
        <w:spacing w:before="240" w:after="240" w:line="360" w:lineRule="auto"/>
      </w:pPr>
      <w:bookmarkStart w:id="52" w:name="_Toc217482724"/>
      <w:r>
        <w:rPr>
          <w:rFonts w:hint="eastAsia"/>
        </w:rPr>
        <w:t>设施环境与样品管理</w:t>
      </w:r>
      <w:bookmarkEnd w:id="52"/>
    </w:p>
    <w:p w14:paraId="54434C9E">
      <w:pPr>
        <w:pStyle w:val="105"/>
        <w:spacing w:before="120" w:after="120" w:line="360" w:lineRule="auto"/>
      </w:pPr>
      <w:r>
        <w:rPr>
          <w:rFonts w:hint="eastAsia"/>
        </w:rPr>
        <w:t>功能分区与流程布局</w:t>
      </w:r>
    </w:p>
    <w:p w14:paraId="719692F7">
      <w:pPr>
        <w:pStyle w:val="56"/>
        <w:spacing w:line="360" w:lineRule="auto"/>
        <w:ind w:firstLine="420"/>
      </w:pPr>
      <w:r>
        <w:rPr>
          <w:rFonts w:hint="eastAsia"/>
        </w:rPr>
        <w:t>实验室应遵循“功能独立、风险隔离、流程顺畅、便于应急”的原则进行布局，形成样品接收、存储、前处理、检测、数据与报告的单向或最短流线，避免样品与人员往返造成交叉污染与安全风险。有机前处理、危废暂存间、剧毒试剂存储区等高风险区域应与办公区、低风险区域物理隔离并设置访问控制。实验室功能分区设置与功能定位见表2。</w:t>
      </w:r>
    </w:p>
    <w:p w14:paraId="2296DEB0">
      <w:pPr>
        <w:pStyle w:val="112"/>
        <w:spacing w:before="120" w:after="120" w:line="360" w:lineRule="auto"/>
      </w:pPr>
      <w:r>
        <w:rPr>
          <w:rFonts w:hint="eastAsia"/>
        </w:rPr>
        <w:t>实验室功能分区设置与功能定位</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2693"/>
        <w:gridCol w:w="4524"/>
      </w:tblGrid>
      <w:tr w14:paraId="39D2A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shd w:val="clear" w:color="auto" w:fill="auto"/>
            <w:vAlign w:val="center"/>
          </w:tcPr>
          <w:p w14:paraId="00C23919">
            <w:pPr>
              <w:pStyle w:val="178"/>
              <w:spacing w:line="360" w:lineRule="auto"/>
            </w:pPr>
            <w:r>
              <w:rPr>
                <w:rFonts w:hint="eastAsia"/>
              </w:rPr>
              <w:t>区域类型</w:t>
            </w:r>
          </w:p>
        </w:tc>
        <w:tc>
          <w:tcPr>
            <w:tcW w:w="2693" w:type="dxa"/>
            <w:tcBorders>
              <w:top w:val="single" w:color="auto" w:sz="8" w:space="0"/>
              <w:bottom w:val="single" w:color="auto" w:sz="8" w:space="0"/>
            </w:tcBorders>
            <w:shd w:val="clear" w:color="auto" w:fill="auto"/>
            <w:vAlign w:val="center"/>
          </w:tcPr>
          <w:p w14:paraId="36151414">
            <w:pPr>
              <w:pStyle w:val="178"/>
              <w:spacing w:line="360" w:lineRule="auto"/>
            </w:pPr>
            <w:r>
              <w:rPr>
                <w:rFonts w:hint="eastAsia"/>
              </w:rPr>
              <w:t>具体分区</w:t>
            </w:r>
          </w:p>
        </w:tc>
        <w:tc>
          <w:tcPr>
            <w:tcW w:w="4524" w:type="dxa"/>
            <w:tcBorders>
              <w:top w:val="single" w:color="auto" w:sz="8" w:space="0"/>
              <w:bottom w:val="single" w:color="auto" w:sz="8" w:space="0"/>
            </w:tcBorders>
            <w:shd w:val="clear" w:color="auto" w:fill="auto"/>
            <w:vAlign w:val="center"/>
          </w:tcPr>
          <w:p w14:paraId="61B00C3F">
            <w:pPr>
              <w:pStyle w:val="178"/>
              <w:spacing w:line="360" w:lineRule="auto"/>
            </w:pPr>
            <w:r>
              <w:rPr>
                <w:rFonts w:hint="eastAsia"/>
              </w:rPr>
              <w:t>功能定位与控制要点</w:t>
            </w:r>
          </w:p>
        </w:tc>
      </w:tr>
      <w:tr w14:paraId="1A60A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restart"/>
            <w:tcBorders>
              <w:top w:val="single" w:color="auto" w:sz="8" w:space="0"/>
            </w:tcBorders>
            <w:shd w:val="clear" w:color="auto" w:fill="auto"/>
            <w:vAlign w:val="center"/>
          </w:tcPr>
          <w:p w14:paraId="629210E3">
            <w:pPr>
              <w:pStyle w:val="178"/>
              <w:spacing w:line="360" w:lineRule="auto"/>
            </w:pPr>
            <w:r>
              <w:rPr>
                <w:rFonts w:hint="eastAsia"/>
              </w:rPr>
              <w:t>核心实验区</w:t>
            </w:r>
          </w:p>
        </w:tc>
        <w:tc>
          <w:tcPr>
            <w:tcW w:w="2693" w:type="dxa"/>
            <w:tcBorders>
              <w:top w:val="single" w:color="auto" w:sz="8" w:space="0"/>
            </w:tcBorders>
            <w:shd w:val="clear" w:color="auto" w:fill="auto"/>
            <w:vAlign w:val="center"/>
          </w:tcPr>
          <w:p w14:paraId="189EB0C7">
            <w:pPr>
              <w:pStyle w:val="178"/>
              <w:spacing w:line="360" w:lineRule="auto"/>
            </w:pPr>
            <w:r>
              <w:rPr>
                <w:rFonts w:hint="eastAsia"/>
              </w:rPr>
              <w:t>样品前处理室</w:t>
            </w:r>
          </w:p>
        </w:tc>
        <w:tc>
          <w:tcPr>
            <w:tcW w:w="4524" w:type="dxa"/>
            <w:tcBorders>
              <w:top w:val="single" w:color="auto" w:sz="8" w:space="0"/>
            </w:tcBorders>
            <w:shd w:val="clear" w:color="auto" w:fill="auto"/>
            <w:vAlign w:val="center"/>
          </w:tcPr>
          <w:p w14:paraId="1AF093BE">
            <w:pPr>
              <w:pStyle w:val="178"/>
              <w:spacing w:line="360" w:lineRule="auto"/>
            </w:pPr>
            <w:r>
              <w:rPr>
                <w:rFonts w:hint="eastAsia"/>
              </w:rPr>
              <w:t>粉碎、研磨、消解、萃取、净化等；宜区分无机与有机前处理；配置通风柜/抽风罩与废液分类收集</w:t>
            </w:r>
          </w:p>
        </w:tc>
      </w:tr>
      <w:tr w14:paraId="152432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0893E9D2">
            <w:pPr>
              <w:pStyle w:val="178"/>
              <w:spacing w:line="360" w:lineRule="auto"/>
            </w:pPr>
          </w:p>
        </w:tc>
        <w:tc>
          <w:tcPr>
            <w:tcW w:w="2693" w:type="dxa"/>
            <w:shd w:val="clear" w:color="auto" w:fill="auto"/>
            <w:vAlign w:val="center"/>
          </w:tcPr>
          <w:p w14:paraId="2D7DC18E">
            <w:pPr>
              <w:pStyle w:val="178"/>
              <w:spacing w:line="360" w:lineRule="auto"/>
            </w:pPr>
            <w:r>
              <w:rPr>
                <w:rFonts w:hint="eastAsia"/>
              </w:rPr>
              <w:t>理化分析室</w:t>
            </w:r>
          </w:p>
        </w:tc>
        <w:tc>
          <w:tcPr>
            <w:tcW w:w="4524" w:type="dxa"/>
            <w:shd w:val="clear" w:color="auto" w:fill="auto"/>
            <w:vAlign w:val="center"/>
          </w:tcPr>
          <w:p w14:paraId="4C773B21">
            <w:pPr>
              <w:pStyle w:val="178"/>
              <w:spacing w:line="360" w:lineRule="auto"/>
            </w:pPr>
            <w:r>
              <w:rPr>
                <w:rFonts w:hint="eastAsia"/>
              </w:rPr>
              <w:t>pH、电导率、闪点等理化项目；应关注通风、防火与操作安全</w:t>
            </w:r>
          </w:p>
        </w:tc>
      </w:tr>
      <w:tr w14:paraId="631B4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28C3D645">
            <w:pPr>
              <w:pStyle w:val="178"/>
              <w:spacing w:line="360" w:lineRule="auto"/>
            </w:pPr>
          </w:p>
        </w:tc>
        <w:tc>
          <w:tcPr>
            <w:tcW w:w="2693" w:type="dxa"/>
            <w:shd w:val="clear" w:color="auto" w:fill="auto"/>
            <w:vAlign w:val="center"/>
          </w:tcPr>
          <w:p w14:paraId="7BFFD2CE">
            <w:pPr>
              <w:pStyle w:val="178"/>
              <w:spacing w:line="360" w:lineRule="auto"/>
            </w:pPr>
            <w:r>
              <w:rPr>
                <w:rFonts w:hint="eastAsia"/>
              </w:rPr>
              <w:t>仪器分析室</w:t>
            </w:r>
          </w:p>
        </w:tc>
        <w:tc>
          <w:tcPr>
            <w:tcW w:w="4524" w:type="dxa"/>
            <w:shd w:val="clear" w:color="auto" w:fill="auto"/>
            <w:vAlign w:val="center"/>
          </w:tcPr>
          <w:p w14:paraId="20471C74">
            <w:pPr>
              <w:pStyle w:val="178"/>
              <w:spacing w:line="360" w:lineRule="auto"/>
            </w:pPr>
            <w:r>
              <w:rPr>
                <w:rFonts w:hint="eastAsia"/>
              </w:rPr>
              <w:t>GC、GC-MS、ICP-MS、AAS、LC-MS 等精密仪器；应恒温恒湿、稳压供电、独立接地、洁净防尘</w:t>
            </w:r>
          </w:p>
        </w:tc>
      </w:tr>
      <w:tr w14:paraId="73B13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294389F7">
            <w:pPr>
              <w:pStyle w:val="178"/>
              <w:spacing w:line="360" w:lineRule="auto"/>
            </w:pPr>
          </w:p>
        </w:tc>
        <w:tc>
          <w:tcPr>
            <w:tcW w:w="2693" w:type="dxa"/>
            <w:shd w:val="clear" w:color="auto" w:fill="auto"/>
            <w:vAlign w:val="center"/>
          </w:tcPr>
          <w:p w14:paraId="1F10A0A0">
            <w:pPr>
              <w:pStyle w:val="178"/>
              <w:spacing w:line="360" w:lineRule="auto"/>
            </w:pPr>
            <w:r>
              <w:rPr>
                <w:rFonts w:hint="eastAsia"/>
              </w:rPr>
              <w:t>生物检测室</w:t>
            </w:r>
          </w:p>
        </w:tc>
        <w:tc>
          <w:tcPr>
            <w:tcW w:w="4524" w:type="dxa"/>
            <w:shd w:val="clear" w:color="auto" w:fill="auto"/>
            <w:vAlign w:val="center"/>
          </w:tcPr>
          <w:p w14:paraId="5BEED012">
            <w:pPr>
              <w:pStyle w:val="178"/>
              <w:spacing w:line="360" w:lineRule="auto"/>
            </w:pPr>
            <w:r>
              <w:rPr>
                <w:rFonts w:hint="eastAsia"/>
              </w:rPr>
              <w:t>急性毒性等生物试验；应满足无菌与交叉污染防控要求</w:t>
            </w:r>
          </w:p>
        </w:tc>
      </w:tr>
      <w:tr w14:paraId="62D7B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restart"/>
            <w:shd w:val="clear" w:color="auto" w:fill="auto"/>
            <w:vAlign w:val="center"/>
          </w:tcPr>
          <w:p w14:paraId="7118532D">
            <w:pPr>
              <w:pStyle w:val="178"/>
              <w:spacing w:line="360" w:lineRule="auto"/>
            </w:pPr>
            <w:r>
              <w:rPr>
                <w:rFonts w:hint="eastAsia"/>
              </w:rPr>
              <w:t>辅助功能区</w:t>
            </w:r>
          </w:p>
        </w:tc>
        <w:tc>
          <w:tcPr>
            <w:tcW w:w="2693" w:type="dxa"/>
            <w:shd w:val="clear" w:color="auto" w:fill="auto"/>
            <w:vAlign w:val="center"/>
          </w:tcPr>
          <w:p w14:paraId="4D3BE673">
            <w:pPr>
              <w:pStyle w:val="178"/>
              <w:spacing w:line="360" w:lineRule="auto"/>
            </w:pPr>
            <w:r>
              <w:rPr>
                <w:rFonts w:hint="eastAsia"/>
              </w:rPr>
              <w:t>样品接收与存储室</w:t>
            </w:r>
          </w:p>
        </w:tc>
        <w:tc>
          <w:tcPr>
            <w:tcW w:w="4524" w:type="dxa"/>
            <w:shd w:val="clear" w:color="auto" w:fill="auto"/>
            <w:vAlign w:val="center"/>
          </w:tcPr>
          <w:p w14:paraId="0E04A26C">
            <w:pPr>
              <w:pStyle w:val="178"/>
              <w:spacing w:line="360" w:lineRule="auto"/>
            </w:pPr>
            <w:r>
              <w:rPr>
                <w:rFonts w:hint="eastAsia"/>
              </w:rPr>
              <w:t>样品验收、登记、临时存放；应配备信息化终端与温湿度记录</w:t>
            </w:r>
          </w:p>
        </w:tc>
      </w:tr>
      <w:tr w14:paraId="0CCF4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08C00BAE">
            <w:pPr>
              <w:pStyle w:val="178"/>
              <w:spacing w:line="360" w:lineRule="auto"/>
            </w:pPr>
          </w:p>
        </w:tc>
        <w:tc>
          <w:tcPr>
            <w:tcW w:w="2693" w:type="dxa"/>
            <w:shd w:val="clear" w:color="auto" w:fill="auto"/>
            <w:vAlign w:val="center"/>
          </w:tcPr>
          <w:p w14:paraId="4A8CDA71">
            <w:pPr>
              <w:pStyle w:val="178"/>
              <w:spacing w:line="360" w:lineRule="auto"/>
            </w:pPr>
            <w:r>
              <w:rPr>
                <w:rFonts w:hint="eastAsia"/>
              </w:rPr>
              <w:t>试剂仓库</w:t>
            </w:r>
          </w:p>
        </w:tc>
        <w:tc>
          <w:tcPr>
            <w:tcW w:w="4524" w:type="dxa"/>
            <w:shd w:val="clear" w:color="auto" w:fill="auto"/>
            <w:vAlign w:val="center"/>
          </w:tcPr>
          <w:p w14:paraId="18A4FECA">
            <w:pPr>
              <w:pStyle w:val="178"/>
              <w:spacing w:line="360" w:lineRule="auto"/>
            </w:pPr>
            <w:r>
              <w:rPr>
                <w:rFonts w:hint="eastAsia"/>
              </w:rPr>
              <w:t>普通/易燃易爆/剧毒/冷藏试剂分类存储；剧毒试剂应双人双锁与台账管理</w:t>
            </w:r>
          </w:p>
        </w:tc>
      </w:tr>
      <w:tr w14:paraId="761541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07016035">
            <w:pPr>
              <w:pStyle w:val="178"/>
              <w:spacing w:line="360" w:lineRule="auto"/>
            </w:pPr>
          </w:p>
        </w:tc>
        <w:tc>
          <w:tcPr>
            <w:tcW w:w="2693" w:type="dxa"/>
            <w:shd w:val="clear" w:color="auto" w:fill="auto"/>
            <w:vAlign w:val="center"/>
          </w:tcPr>
          <w:p w14:paraId="5AD48C99">
            <w:pPr>
              <w:pStyle w:val="178"/>
              <w:spacing w:line="360" w:lineRule="auto"/>
            </w:pPr>
            <w:r>
              <w:rPr>
                <w:rFonts w:hint="eastAsia"/>
              </w:rPr>
              <w:t>气瓶间</w:t>
            </w:r>
          </w:p>
        </w:tc>
        <w:tc>
          <w:tcPr>
            <w:tcW w:w="4524" w:type="dxa"/>
            <w:shd w:val="clear" w:color="auto" w:fill="auto"/>
            <w:vAlign w:val="center"/>
          </w:tcPr>
          <w:p w14:paraId="27229E07">
            <w:pPr>
              <w:pStyle w:val="178"/>
              <w:spacing w:line="360" w:lineRule="auto"/>
            </w:pPr>
            <w:r>
              <w:rPr>
                <w:rFonts w:hint="eastAsia"/>
              </w:rPr>
              <w:t>高纯载气与辅助气；应固定、防泄漏报警、远离火源并设置通风</w:t>
            </w:r>
          </w:p>
        </w:tc>
      </w:tr>
      <w:tr w14:paraId="195C2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2873D08B">
            <w:pPr>
              <w:pStyle w:val="178"/>
              <w:spacing w:line="360" w:lineRule="auto"/>
            </w:pPr>
          </w:p>
        </w:tc>
        <w:tc>
          <w:tcPr>
            <w:tcW w:w="2693" w:type="dxa"/>
            <w:shd w:val="clear" w:color="auto" w:fill="auto"/>
            <w:vAlign w:val="center"/>
          </w:tcPr>
          <w:p w14:paraId="7E143E2F">
            <w:pPr>
              <w:pStyle w:val="178"/>
              <w:spacing w:line="360" w:lineRule="auto"/>
            </w:pPr>
            <w:r>
              <w:rPr>
                <w:rFonts w:hint="eastAsia"/>
              </w:rPr>
              <w:t>危废暂存间</w:t>
            </w:r>
          </w:p>
        </w:tc>
        <w:tc>
          <w:tcPr>
            <w:tcW w:w="4524" w:type="dxa"/>
            <w:shd w:val="clear" w:color="auto" w:fill="auto"/>
            <w:vAlign w:val="center"/>
          </w:tcPr>
          <w:p w14:paraId="69A27B2C">
            <w:pPr>
              <w:pStyle w:val="178"/>
              <w:spacing w:line="360" w:lineRule="auto"/>
            </w:pPr>
            <w:r>
              <w:rPr>
                <w:rFonts w:hint="eastAsia"/>
              </w:rPr>
              <w:t>二次危险废物合规暂存；应满足防渗、防火、通风与泄漏收集要求</w:t>
            </w:r>
          </w:p>
        </w:tc>
      </w:tr>
      <w:tr w14:paraId="62FA5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7F8F02DF">
            <w:pPr>
              <w:pStyle w:val="178"/>
              <w:spacing w:line="360" w:lineRule="auto"/>
            </w:pPr>
            <w:r>
              <w:rPr>
                <w:rFonts w:hint="eastAsia"/>
              </w:rPr>
              <w:t>办公与管理区</w:t>
            </w:r>
          </w:p>
        </w:tc>
        <w:tc>
          <w:tcPr>
            <w:tcW w:w="2693" w:type="dxa"/>
            <w:shd w:val="clear" w:color="auto" w:fill="auto"/>
            <w:vAlign w:val="center"/>
          </w:tcPr>
          <w:p w14:paraId="2C6E1E2C">
            <w:pPr>
              <w:pStyle w:val="178"/>
              <w:spacing w:line="360" w:lineRule="auto"/>
            </w:pPr>
            <w:r>
              <w:rPr>
                <w:rFonts w:hint="eastAsia"/>
              </w:rPr>
              <w:t>质量控制室/档案室/办公室</w:t>
            </w:r>
          </w:p>
        </w:tc>
        <w:tc>
          <w:tcPr>
            <w:tcW w:w="4524" w:type="dxa"/>
            <w:shd w:val="clear" w:color="auto" w:fill="auto"/>
            <w:vAlign w:val="center"/>
          </w:tcPr>
          <w:p w14:paraId="17884CE3">
            <w:pPr>
              <w:pStyle w:val="178"/>
              <w:spacing w:line="360" w:lineRule="auto"/>
            </w:pPr>
            <w:r>
              <w:rPr>
                <w:rFonts w:hint="eastAsia"/>
              </w:rPr>
              <w:t>数据处理、质量体系文件与记录管理；应与实验区隔离，防污染与信息安全</w:t>
            </w:r>
          </w:p>
        </w:tc>
      </w:tr>
    </w:tbl>
    <w:p w14:paraId="2CF63C6C">
      <w:pPr>
        <w:pStyle w:val="105"/>
        <w:spacing w:before="120" w:after="120" w:line="360" w:lineRule="auto"/>
      </w:pPr>
      <w:r>
        <w:rPr>
          <w:rFonts w:hint="eastAsia"/>
        </w:rPr>
        <w:t>环境控制要求</w:t>
      </w:r>
    </w:p>
    <w:p w14:paraId="396733F2">
      <w:pPr>
        <w:pStyle w:val="56"/>
        <w:spacing w:line="360" w:lineRule="auto"/>
        <w:ind w:firstLine="420"/>
      </w:pPr>
      <w:r>
        <w:rPr>
          <w:rFonts w:hint="eastAsia"/>
        </w:rPr>
        <w:t>实验室应针对不同功能区制定可量化的环境控制指标，并配置监测与记录手段：</w:t>
      </w:r>
    </w:p>
    <w:p w14:paraId="4740AD4B">
      <w:pPr>
        <w:pStyle w:val="56"/>
        <w:spacing w:line="360" w:lineRule="auto"/>
        <w:ind w:firstLine="420"/>
      </w:pPr>
      <w:r>
        <w:rPr>
          <w:rFonts w:hint="eastAsia"/>
        </w:rPr>
        <w:t>a) 温湿度控制：仪器分析室宜保持相对稳定的温湿度条件；天平室应避免气流扰动并设置防震措施；样品存储应根据样品稳定性要求采取常温、冷藏或冷冻条件，并实现连续记录；</w:t>
      </w:r>
    </w:p>
    <w:p w14:paraId="1745030B">
      <w:pPr>
        <w:pStyle w:val="56"/>
        <w:spacing w:line="360" w:lineRule="auto"/>
        <w:ind w:firstLine="420"/>
      </w:pPr>
      <w:r>
        <w:rPr>
          <w:rFonts w:hint="eastAsia"/>
        </w:rPr>
        <w:t>b) 通风换气：样品前处理室应配置通风柜或抽风罩并满足面风速要求；有机溶剂操作区域应设置专用通风与废气收集；危废暂存间应采用强制通风避免有毒气体积聚；</w:t>
      </w:r>
    </w:p>
    <w:p w14:paraId="4D928CF2">
      <w:pPr>
        <w:pStyle w:val="56"/>
        <w:spacing w:line="360" w:lineRule="auto"/>
        <w:ind w:firstLine="420"/>
      </w:pPr>
      <w:r>
        <w:rPr>
          <w:rFonts w:hint="eastAsia"/>
        </w:rPr>
        <w:t>c) 防腐蚀与防渗：前处理室、理化分析室与危废暂存间的地面、墙面与台面应采取耐酸碱、防渗与易清洁材料，防止泄漏渗入与长期腐蚀；</w:t>
      </w:r>
    </w:p>
    <w:p w14:paraId="1C710FA9">
      <w:pPr>
        <w:pStyle w:val="56"/>
        <w:spacing w:line="360" w:lineRule="auto"/>
        <w:ind w:firstLine="420"/>
      </w:pPr>
      <w:r>
        <w:rPr>
          <w:rFonts w:hint="eastAsia"/>
        </w:rPr>
        <w:t>d) 洁净度与防交叉污染：精密仪器区域应控制粉尘与腐蚀性气体进入；无机与有机前处理宜分区或分线管理，器皿与耗材应按类别专用或充分清洁验证。</w:t>
      </w:r>
    </w:p>
    <w:p w14:paraId="1A80B446">
      <w:pPr>
        <w:pStyle w:val="105"/>
        <w:spacing w:before="120" w:after="120" w:line="360" w:lineRule="auto"/>
      </w:pPr>
      <w:r>
        <w:rPr>
          <w:rFonts w:hint="eastAsia"/>
        </w:rPr>
        <w:t>应急设施与安全防护配置</w:t>
      </w:r>
    </w:p>
    <w:p w14:paraId="5B904178">
      <w:pPr>
        <w:pStyle w:val="56"/>
        <w:spacing w:line="360" w:lineRule="auto"/>
        <w:ind w:firstLine="420"/>
      </w:pPr>
      <w:r>
        <w:rPr>
          <w:rFonts w:hint="eastAsia"/>
        </w:rPr>
        <w:t>实验室应构建“个人防护—工程控制—应急处置—疏散救援”的安全防护体系：</w:t>
      </w:r>
    </w:p>
    <w:p w14:paraId="482C8EC1">
      <w:pPr>
        <w:pStyle w:val="56"/>
        <w:spacing w:line="360" w:lineRule="auto"/>
        <w:ind w:firstLine="420"/>
      </w:pPr>
      <w:r>
        <w:rPr>
          <w:rFonts w:hint="eastAsia"/>
        </w:rPr>
        <w:t>a) 个人防护装备应覆盖耐酸碱手套、护目镜、防护服、防毒面具等，并针对剧毒试剂、强腐蚀与高挥发工况配置专项装备；</w:t>
      </w:r>
    </w:p>
    <w:p w14:paraId="706D6D1C">
      <w:pPr>
        <w:pStyle w:val="56"/>
        <w:spacing w:line="360" w:lineRule="auto"/>
        <w:ind w:firstLine="420"/>
      </w:pPr>
      <w:r>
        <w:rPr>
          <w:rFonts w:hint="eastAsia"/>
        </w:rPr>
        <w:t>b) 洗眼器与紧急喷淋应在关键作业点位附近布设，确保可快速到达并定期检查可用性；</w:t>
      </w:r>
    </w:p>
    <w:p w14:paraId="30FFB3B3">
      <w:pPr>
        <w:pStyle w:val="56"/>
        <w:spacing w:line="360" w:lineRule="auto"/>
        <w:ind w:firstLine="420"/>
      </w:pPr>
      <w:r>
        <w:rPr>
          <w:rFonts w:hint="eastAsia"/>
        </w:rPr>
        <w:t>c) 消防设施应与风险等级匹配配置，易燃溶剂区域应优先配置适用的灭火器材并严格控制火源；</w:t>
      </w:r>
    </w:p>
    <w:p w14:paraId="047690E7">
      <w:pPr>
        <w:pStyle w:val="56"/>
        <w:spacing w:line="360" w:lineRule="auto"/>
        <w:ind w:firstLine="420"/>
      </w:pPr>
      <w:r>
        <w:rPr>
          <w:rFonts w:hint="eastAsia"/>
        </w:rPr>
        <w:t>d) 应急照明、疏散指示与安全出口应满足疏散需求；实验室通道应保持畅通并设置明显警示标识。</w:t>
      </w:r>
    </w:p>
    <w:p w14:paraId="7D6B5252">
      <w:pPr>
        <w:pStyle w:val="105"/>
        <w:spacing w:before="120" w:after="120" w:line="360" w:lineRule="auto"/>
      </w:pPr>
      <w:r>
        <w:rPr>
          <w:rFonts w:hint="eastAsia"/>
        </w:rPr>
        <w:t>样品接收与信息核验</w:t>
      </w:r>
    </w:p>
    <w:p w14:paraId="572BFDD0">
      <w:pPr>
        <w:pStyle w:val="56"/>
        <w:spacing w:line="360" w:lineRule="auto"/>
        <w:ind w:firstLine="420"/>
      </w:pPr>
      <w:r>
        <w:rPr>
          <w:rFonts w:hint="eastAsia"/>
        </w:rPr>
        <w:t>样品接收应以“信息完整、容器完好、可追溯”为准入条件：</w:t>
      </w:r>
    </w:p>
    <w:p w14:paraId="4DB4F6CB">
      <w:pPr>
        <w:pStyle w:val="56"/>
        <w:spacing w:line="360" w:lineRule="auto"/>
        <w:ind w:firstLine="420"/>
      </w:pPr>
      <w:r>
        <w:rPr>
          <w:rFonts w:hint="eastAsia"/>
        </w:rPr>
        <w:t>a) 委托方应提供委托信息与样品背景资料，包括来源、产生环节、预估危险特性、采样时间与保存要求等；</w:t>
      </w:r>
    </w:p>
    <w:p w14:paraId="326CA89B">
      <w:pPr>
        <w:pStyle w:val="56"/>
        <w:spacing w:line="360" w:lineRule="auto"/>
        <w:ind w:firstLine="420"/>
      </w:pPr>
      <w:r>
        <w:rPr>
          <w:rFonts w:hint="eastAsia"/>
        </w:rPr>
        <w:t>b) 样品容器应具备适配性与密封性，外部应粘贴唯一标识并满足防泄漏要求；</w:t>
      </w:r>
    </w:p>
    <w:p w14:paraId="0D8D1A81">
      <w:pPr>
        <w:pStyle w:val="56"/>
        <w:spacing w:line="360" w:lineRule="auto"/>
        <w:ind w:firstLine="420"/>
      </w:pPr>
      <w:r>
        <w:rPr>
          <w:rFonts w:hint="eastAsia"/>
        </w:rPr>
        <w:t>c) 样品管理员应核对样品标识、数量、容器完整性与样品状态，确认无泄漏、无破损、无明显变质或失效迹象，并形成接收记录；</w:t>
      </w:r>
    </w:p>
    <w:p w14:paraId="18367B50">
      <w:pPr>
        <w:pStyle w:val="56"/>
        <w:spacing w:line="360" w:lineRule="auto"/>
        <w:ind w:firstLine="420"/>
      </w:pPr>
      <w:r>
        <w:rPr>
          <w:rFonts w:hint="eastAsia"/>
        </w:rPr>
        <w:t>d) 对信息不全、容器破损、存在泄漏或不满足保存条件的样品，应拒收或按约定启动纠正流程，并留存书面说明与沟通记录。</w:t>
      </w:r>
    </w:p>
    <w:p w14:paraId="224FAEF2">
      <w:pPr>
        <w:pStyle w:val="105"/>
        <w:spacing w:before="120" w:after="120" w:line="360" w:lineRule="auto"/>
      </w:pPr>
      <w:r>
        <w:rPr>
          <w:rFonts w:hint="eastAsia"/>
        </w:rPr>
        <w:t>样品存储与留样管理</w:t>
      </w:r>
    </w:p>
    <w:p w14:paraId="06FE7602">
      <w:pPr>
        <w:pStyle w:val="56"/>
        <w:spacing w:line="360" w:lineRule="auto"/>
        <w:ind w:firstLine="420"/>
      </w:pPr>
      <w:r>
        <w:rPr>
          <w:rFonts w:hint="eastAsia"/>
        </w:rPr>
        <w:t>样品存储应遵循“分类分区、条件受控、期限明确、记录完整”的要求：</w:t>
      </w:r>
    </w:p>
    <w:p w14:paraId="6B01DEA6">
      <w:pPr>
        <w:pStyle w:val="56"/>
        <w:spacing w:line="360" w:lineRule="auto"/>
        <w:ind w:firstLine="420"/>
      </w:pPr>
      <w:r>
        <w:rPr>
          <w:rFonts w:hint="eastAsia"/>
        </w:rPr>
        <w:t>a) 样品应按腐蚀性、易燃性、毒性/高毒、挥发性、反应性等特性分类分区存储，必要时采取隔离、二次盛漏与防火措施；</w:t>
      </w:r>
    </w:p>
    <w:p w14:paraId="41C781C9">
      <w:pPr>
        <w:pStyle w:val="56"/>
        <w:spacing w:line="360" w:lineRule="auto"/>
        <w:ind w:firstLine="420"/>
      </w:pPr>
      <w:r>
        <w:rPr>
          <w:rFonts w:hint="eastAsia"/>
        </w:rPr>
        <w:t>b) 易挥发或易降解样品应按方法要求采取低温、避光等条件，并配备温湿度记录装置，对存储条件敏感样品，应明确最大存储时限；</w:t>
      </w:r>
    </w:p>
    <w:p w14:paraId="5BD66A79">
      <w:pPr>
        <w:pStyle w:val="56"/>
        <w:spacing w:line="360" w:lineRule="auto"/>
        <w:ind w:firstLine="420"/>
      </w:pPr>
      <w:r>
        <w:rPr>
          <w:rFonts w:hint="eastAsia"/>
        </w:rPr>
        <w:t>c) 待检样品存储期限应与检测组织能力匹配，避免超期导致性质变化，留样应满足争议复核需要，并明确留样期限、条件与销毁/处置方式。</w:t>
      </w:r>
    </w:p>
    <w:p w14:paraId="711B4A46">
      <w:pPr>
        <w:pStyle w:val="56"/>
        <w:spacing w:line="360" w:lineRule="auto"/>
        <w:ind w:firstLine="420"/>
      </w:pPr>
      <w:r>
        <w:rPr>
          <w:rFonts w:hint="eastAsia"/>
        </w:rPr>
        <w:t>样品分类存储建议与控制要点见表3。</w:t>
      </w:r>
    </w:p>
    <w:p w14:paraId="1DBDFFCE">
      <w:pPr>
        <w:pStyle w:val="56"/>
        <w:spacing w:line="360" w:lineRule="auto"/>
        <w:ind w:firstLine="420"/>
      </w:pPr>
    </w:p>
    <w:p w14:paraId="49DF58DD">
      <w:pPr>
        <w:pStyle w:val="56"/>
        <w:spacing w:line="360" w:lineRule="auto"/>
        <w:ind w:firstLine="420"/>
      </w:pPr>
    </w:p>
    <w:p w14:paraId="2D0DFBC6">
      <w:pPr>
        <w:pStyle w:val="112"/>
        <w:spacing w:before="120" w:after="120" w:line="360" w:lineRule="auto"/>
      </w:pPr>
      <w:r>
        <w:rPr>
          <w:rFonts w:hint="eastAsia"/>
        </w:rPr>
        <w:t>样品分类存储建议与控制要点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57EFD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shd w:val="clear" w:color="auto" w:fill="auto"/>
            <w:vAlign w:val="center"/>
          </w:tcPr>
          <w:p w14:paraId="7D36DD9D">
            <w:pPr>
              <w:pStyle w:val="178"/>
              <w:spacing w:line="360" w:lineRule="auto"/>
            </w:pPr>
            <w:r>
              <w:rPr>
                <w:rFonts w:hint="eastAsia"/>
              </w:rPr>
              <w:t>样品类别</w:t>
            </w:r>
          </w:p>
        </w:tc>
        <w:tc>
          <w:tcPr>
            <w:tcW w:w="2333" w:type="dxa"/>
            <w:tcBorders>
              <w:top w:val="single" w:color="auto" w:sz="8" w:space="0"/>
              <w:bottom w:val="single" w:color="auto" w:sz="8" w:space="0"/>
            </w:tcBorders>
            <w:shd w:val="clear" w:color="auto" w:fill="auto"/>
            <w:vAlign w:val="center"/>
          </w:tcPr>
          <w:p w14:paraId="3CE0C333">
            <w:pPr>
              <w:pStyle w:val="178"/>
              <w:spacing w:line="360" w:lineRule="auto"/>
            </w:pPr>
            <w:r>
              <w:rPr>
                <w:rFonts w:hint="eastAsia"/>
              </w:rPr>
              <w:t>典型样品</w:t>
            </w:r>
          </w:p>
        </w:tc>
        <w:tc>
          <w:tcPr>
            <w:tcW w:w="2333" w:type="dxa"/>
            <w:tcBorders>
              <w:top w:val="single" w:color="auto" w:sz="8" w:space="0"/>
              <w:bottom w:val="single" w:color="auto" w:sz="8" w:space="0"/>
            </w:tcBorders>
            <w:shd w:val="clear" w:color="auto" w:fill="auto"/>
            <w:vAlign w:val="center"/>
          </w:tcPr>
          <w:p w14:paraId="15AD5C6A">
            <w:pPr>
              <w:pStyle w:val="178"/>
              <w:spacing w:line="360" w:lineRule="auto"/>
            </w:pPr>
            <w:r>
              <w:rPr>
                <w:rFonts w:hint="eastAsia"/>
              </w:rPr>
              <w:t>建议存储条件</w:t>
            </w:r>
          </w:p>
        </w:tc>
        <w:tc>
          <w:tcPr>
            <w:tcW w:w="2334" w:type="dxa"/>
            <w:tcBorders>
              <w:top w:val="single" w:color="auto" w:sz="8" w:space="0"/>
              <w:bottom w:val="single" w:color="auto" w:sz="8" w:space="0"/>
            </w:tcBorders>
            <w:shd w:val="clear" w:color="auto" w:fill="auto"/>
            <w:vAlign w:val="center"/>
          </w:tcPr>
          <w:p w14:paraId="36BEFCAA">
            <w:pPr>
              <w:pStyle w:val="178"/>
              <w:spacing w:line="360" w:lineRule="auto"/>
            </w:pPr>
            <w:r>
              <w:rPr>
                <w:rFonts w:hint="eastAsia"/>
              </w:rPr>
              <w:t>风险控制要点</w:t>
            </w:r>
          </w:p>
        </w:tc>
      </w:tr>
      <w:tr w14:paraId="6B41A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shd w:val="clear" w:color="auto" w:fill="auto"/>
            <w:vAlign w:val="center"/>
          </w:tcPr>
          <w:p w14:paraId="27C0C97F">
            <w:pPr>
              <w:pStyle w:val="178"/>
              <w:spacing w:line="360" w:lineRule="auto"/>
            </w:pPr>
            <w:r>
              <w:rPr>
                <w:rFonts w:hint="eastAsia"/>
              </w:rPr>
              <w:t>腐蚀性样品</w:t>
            </w:r>
          </w:p>
        </w:tc>
        <w:tc>
          <w:tcPr>
            <w:tcW w:w="2333" w:type="dxa"/>
            <w:tcBorders>
              <w:top w:val="single" w:color="auto" w:sz="8" w:space="0"/>
            </w:tcBorders>
            <w:shd w:val="clear" w:color="auto" w:fill="auto"/>
            <w:vAlign w:val="center"/>
          </w:tcPr>
          <w:p w14:paraId="29FEE721">
            <w:pPr>
              <w:pStyle w:val="178"/>
              <w:spacing w:line="360" w:lineRule="auto"/>
            </w:pPr>
            <w:r>
              <w:rPr>
                <w:rFonts w:hint="eastAsia"/>
              </w:rPr>
              <w:t>废酸、废碱</w:t>
            </w:r>
          </w:p>
        </w:tc>
        <w:tc>
          <w:tcPr>
            <w:tcW w:w="2333" w:type="dxa"/>
            <w:tcBorders>
              <w:top w:val="single" w:color="auto" w:sz="8" w:space="0"/>
            </w:tcBorders>
            <w:shd w:val="clear" w:color="auto" w:fill="auto"/>
            <w:vAlign w:val="center"/>
          </w:tcPr>
          <w:p w14:paraId="32F5963C">
            <w:pPr>
              <w:pStyle w:val="178"/>
              <w:spacing w:line="360" w:lineRule="auto"/>
            </w:pPr>
            <w:r>
              <w:rPr>
                <w:rFonts w:hint="eastAsia"/>
              </w:rPr>
              <w:t>防腐托盘内分区存放，常温避光</w:t>
            </w:r>
          </w:p>
        </w:tc>
        <w:tc>
          <w:tcPr>
            <w:tcW w:w="2334" w:type="dxa"/>
            <w:tcBorders>
              <w:top w:val="single" w:color="auto" w:sz="8" w:space="0"/>
            </w:tcBorders>
            <w:shd w:val="clear" w:color="auto" w:fill="auto"/>
            <w:vAlign w:val="center"/>
          </w:tcPr>
          <w:p w14:paraId="12914CF3">
            <w:pPr>
              <w:pStyle w:val="178"/>
              <w:spacing w:line="360" w:lineRule="auto"/>
            </w:pPr>
            <w:r>
              <w:rPr>
                <w:rFonts w:hint="eastAsia"/>
              </w:rPr>
              <w:t>防泄漏二次盛漏；远离金属敏感设备与不相容试剂</w:t>
            </w:r>
          </w:p>
        </w:tc>
      </w:tr>
      <w:tr w14:paraId="312D1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51DF2589">
            <w:pPr>
              <w:pStyle w:val="178"/>
              <w:spacing w:line="360" w:lineRule="auto"/>
            </w:pPr>
            <w:r>
              <w:rPr>
                <w:rFonts w:hint="eastAsia"/>
              </w:rPr>
              <w:t>易燃性样品</w:t>
            </w:r>
          </w:p>
        </w:tc>
        <w:tc>
          <w:tcPr>
            <w:tcW w:w="2333" w:type="dxa"/>
            <w:shd w:val="clear" w:color="auto" w:fill="auto"/>
            <w:vAlign w:val="center"/>
          </w:tcPr>
          <w:p w14:paraId="78AFE856">
            <w:pPr>
              <w:pStyle w:val="178"/>
              <w:spacing w:line="360" w:lineRule="auto"/>
            </w:pPr>
            <w:r>
              <w:rPr>
                <w:rFonts w:hint="eastAsia"/>
              </w:rPr>
              <w:t>废溶剂、含溶剂废液</w:t>
            </w:r>
          </w:p>
        </w:tc>
        <w:tc>
          <w:tcPr>
            <w:tcW w:w="2333" w:type="dxa"/>
            <w:shd w:val="clear" w:color="auto" w:fill="auto"/>
            <w:vAlign w:val="center"/>
          </w:tcPr>
          <w:p w14:paraId="0F7116D8">
            <w:pPr>
              <w:pStyle w:val="178"/>
              <w:spacing w:line="360" w:lineRule="auto"/>
            </w:pPr>
            <w:r>
              <w:rPr>
                <w:rFonts w:hint="eastAsia"/>
              </w:rPr>
              <w:t>防爆冷藏/冷冻或阴凉通风处（按方法要求）</w:t>
            </w:r>
          </w:p>
        </w:tc>
        <w:tc>
          <w:tcPr>
            <w:tcW w:w="2334" w:type="dxa"/>
            <w:shd w:val="clear" w:color="auto" w:fill="auto"/>
            <w:vAlign w:val="center"/>
          </w:tcPr>
          <w:p w14:paraId="008609A8">
            <w:pPr>
              <w:pStyle w:val="178"/>
              <w:spacing w:line="360" w:lineRule="auto"/>
            </w:pPr>
            <w:r>
              <w:rPr>
                <w:rFonts w:hint="eastAsia"/>
              </w:rPr>
              <w:t>远离火源与氧化剂；容器接地防静电；严格限量存放</w:t>
            </w:r>
          </w:p>
        </w:tc>
      </w:tr>
      <w:tr w14:paraId="1E109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bottom w:val="single" w:color="auto" w:sz="2" w:space="0"/>
            </w:tcBorders>
            <w:shd w:val="clear" w:color="auto" w:fill="auto"/>
            <w:vAlign w:val="center"/>
          </w:tcPr>
          <w:p w14:paraId="294FFD12">
            <w:pPr>
              <w:pStyle w:val="178"/>
              <w:spacing w:line="360" w:lineRule="auto"/>
            </w:pPr>
            <w:r>
              <w:rPr>
                <w:rFonts w:hint="eastAsia"/>
              </w:rPr>
              <w:t>高毒/重金属样品</w:t>
            </w:r>
          </w:p>
        </w:tc>
        <w:tc>
          <w:tcPr>
            <w:tcW w:w="2333" w:type="dxa"/>
            <w:tcBorders>
              <w:bottom w:val="single" w:color="auto" w:sz="2" w:space="0"/>
            </w:tcBorders>
            <w:shd w:val="clear" w:color="auto" w:fill="auto"/>
            <w:vAlign w:val="center"/>
          </w:tcPr>
          <w:p w14:paraId="7CAC55CB">
            <w:pPr>
              <w:pStyle w:val="178"/>
              <w:spacing w:line="360" w:lineRule="auto"/>
            </w:pPr>
            <w:r>
              <w:rPr>
                <w:rFonts w:hint="eastAsia"/>
              </w:rPr>
              <w:t>含铅镉汞废物、浸出液</w:t>
            </w:r>
          </w:p>
        </w:tc>
        <w:tc>
          <w:tcPr>
            <w:tcW w:w="2333" w:type="dxa"/>
            <w:tcBorders>
              <w:bottom w:val="single" w:color="auto" w:sz="2" w:space="0"/>
            </w:tcBorders>
            <w:shd w:val="clear" w:color="auto" w:fill="auto"/>
            <w:vAlign w:val="center"/>
          </w:tcPr>
          <w:p w14:paraId="7A64426B">
            <w:pPr>
              <w:pStyle w:val="178"/>
              <w:spacing w:line="360" w:lineRule="auto"/>
            </w:pPr>
            <w:r>
              <w:rPr>
                <w:rFonts w:hint="eastAsia"/>
              </w:rPr>
              <w:t>密封存放于专用柜或专用区域</w:t>
            </w:r>
          </w:p>
        </w:tc>
        <w:tc>
          <w:tcPr>
            <w:tcW w:w="2334" w:type="dxa"/>
            <w:tcBorders>
              <w:bottom w:val="single" w:color="auto" w:sz="2" w:space="0"/>
            </w:tcBorders>
            <w:shd w:val="clear" w:color="auto" w:fill="auto"/>
            <w:vAlign w:val="center"/>
          </w:tcPr>
          <w:p w14:paraId="7354FA3B">
            <w:pPr>
              <w:pStyle w:val="178"/>
              <w:spacing w:line="360" w:lineRule="auto"/>
            </w:pPr>
            <w:r>
              <w:rPr>
                <w:rFonts w:hint="eastAsia"/>
              </w:rPr>
              <w:t>防扩散与污染；台账管理；操作与存储分线</w:t>
            </w:r>
          </w:p>
        </w:tc>
      </w:tr>
      <w:tr w14:paraId="5738E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2" w:space="0"/>
              <w:bottom w:val="single" w:color="auto" w:sz="4" w:space="0"/>
            </w:tcBorders>
            <w:shd w:val="clear" w:color="auto" w:fill="auto"/>
            <w:vAlign w:val="center"/>
          </w:tcPr>
          <w:p w14:paraId="5C25D5B6">
            <w:pPr>
              <w:pStyle w:val="178"/>
              <w:spacing w:line="360" w:lineRule="auto"/>
            </w:pPr>
            <w:r>
              <w:rPr>
                <w:rFonts w:hint="eastAsia"/>
              </w:rPr>
              <w:t>挥发性有机样品</w:t>
            </w:r>
          </w:p>
        </w:tc>
        <w:tc>
          <w:tcPr>
            <w:tcW w:w="2333" w:type="dxa"/>
            <w:tcBorders>
              <w:top w:val="single" w:color="auto" w:sz="2" w:space="0"/>
              <w:bottom w:val="single" w:color="auto" w:sz="4" w:space="0"/>
            </w:tcBorders>
            <w:shd w:val="clear" w:color="auto" w:fill="auto"/>
            <w:vAlign w:val="center"/>
          </w:tcPr>
          <w:p w14:paraId="32849989">
            <w:pPr>
              <w:pStyle w:val="178"/>
              <w:spacing w:line="360" w:lineRule="auto"/>
            </w:pPr>
            <w:r>
              <w:rPr>
                <w:rFonts w:hint="eastAsia"/>
              </w:rPr>
              <w:t>含苯系物、卤代烃废物</w:t>
            </w:r>
          </w:p>
        </w:tc>
        <w:tc>
          <w:tcPr>
            <w:tcW w:w="2333" w:type="dxa"/>
            <w:tcBorders>
              <w:top w:val="single" w:color="auto" w:sz="2" w:space="0"/>
              <w:bottom w:val="single" w:color="auto" w:sz="4" w:space="0"/>
            </w:tcBorders>
            <w:shd w:val="clear" w:color="auto" w:fill="auto"/>
            <w:vAlign w:val="center"/>
          </w:tcPr>
          <w:p w14:paraId="2402DE42">
            <w:pPr>
              <w:pStyle w:val="178"/>
              <w:spacing w:line="360" w:lineRule="auto"/>
            </w:pPr>
            <w:r>
              <w:rPr>
                <w:rFonts w:hint="eastAsia"/>
              </w:rPr>
              <w:t>低温避光，密封良好</w:t>
            </w:r>
          </w:p>
        </w:tc>
        <w:tc>
          <w:tcPr>
            <w:tcW w:w="2334" w:type="dxa"/>
            <w:tcBorders>
              <w:top w:val="single" w:color="auto" w:sz="2" w:space="0"/>
              <w:bottom w:val="single" w:color="auto" w:sz="4" w:space="0"/>
            </w:tcBorders>
            <w:shd w:val="clear" w:color="auto" w:fill="auto"/>
            <w:vAlign w:val="center"/>
          </w:tcPr>
          <w:p w14:paraId="1D155A61">
            <w:pPr>
              <w:pStyle w:val="178"/>
              <w:spacing w:line="360" w:lineRule="auto"/>
            </w:pPr>
            <w:r>
              <w:rPr>
                <w:rFonts w:hint="eastAsia"/>
              </w:rPr>
              <w:t>防挥发损失；开封次数控制；存取过程在通风设施下完成</w:t>
            </w:r>
          </w:p>
        </w:tc>
      </w:tr>
      <w:tr w14:paraId="37620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4" w:space="0"/>
            </w:tcBorders>
            <w:shd w:val="clear" w:color="auto" w:fill="auto"/>
            <w:vAlign w:val="center"/>
          </w:tcPr>
          <w:p w14:paraId="3D981AC0">
            <w:pPr>
              <w:pStyle w:val="178"/>
              <w:spacing w:line="360" w:lineRule="auto"/>
            </w:pPr>
            <w:r>
              <w:rPr>
                <w:rFonts w:hint="eastAsia"/>
              </w:rPr>
              <w:t>反应性或不相容样品</w:t>
            </w:r>
          </w:p>
        </w:tc>
        <w:tc>
          <w:tcPr>
            <w:tcW w:w="2333" w:type="dxa"/>
            <w:tcBorders>
              <w:top w:val="single" w:color="auto" w:sz="4" w:space="0"/>
            </w:tcBorders>
            <w:shd w:val="clear" w:color="auto" w:fill="auto"/>
            <w:vAlign w:val="center"/>
          </w:tcPr>
          <w:p w14:paraId="0F46FD23">
            <w:pPr>
              <w:pStyle w:val="178"/>
              <w:spacing w:line="360" w:lineRule="auto"/>
            </w:pPr>
            <w:r>
              <w:rPr>
                <w:rFonts w:hint="eastAsia"/>
              </w:rPr>
              <w:t>可能遇水反应/氧化还原强样品</w:t>
            </w:r>
          </w:p>
        </w:tc>
        <w:tc>
          <w:tcPr>
            <w:tcW w:w="2333" w:type="dxa"/>
            <w:tcBorders>
              <w:top w:val="single" w:color="auto" w:sz="4" w:space="0"/>
            </w:tcBorders>
            <w:shd w:val="clear" w:color="auto" w:fill="auto"/>
            <w:vAlign w:val="center"/>
          </w:tcPr>
          <w:p w14:paraId="3169E2D6">
            <w:pPr>
              <w:pStyle w:val="178"/>
              <w:spacing w:line="360" w:lineRule="auto"/>
            </w:pPr>
            <w:r>
              <w:rPr>
                <w:rFonts w:hint="eastAsia"/>
              </w:rPr>
              <w:t>按不相容性隔离存放</w:t>
            </w:r>
          </w:p>
        </w:tc>
        <w:tc>
          <w:tcPr>
            <w:tcW w:w="2334" w:type="dxa"/>
            <w:tcBorders>
              <w:top w:val="single" w:color="auto" w:sz="4" w:space="0"/>
            </w:tcBorders>
            <w:shd w:val="clear" w:color="auto" w:fill="auto"/>
            <w:vAlign w:val="center"/>
          </w:tcPr>
          <w:p w14:paraId="462FEB48">
            <w:pPr>
              <w:pStyle w:val="178"/>
              <w:spacing w:line="360" w:lineRule="auto"/>
            </w:pPr>
            <w:r>
              <w:rPr>
                <w:rFonts w:hint="eastAsia"/>
              </w:rPr>
              <w:t>明确禁忌；禁止混放；加强警示标识与应急物资配置</w:t>
            </w:r>
          </w:p>
        </w:tc>
      </w:tr>
    </w:tbl>
    <w:p w14:paraId="3BDFFF53">
      <w:pPr>
        <w:pStyle w:val="105"/>
        <w:spacing w:before="120" w:after="120" w:line="360" w:lineRule="auto"/>
      </w:pPr>
      <w:r>
        <w:rPr>
          <w:rFonts w:hint="eastAsia"/>
        </w:rPr>
        <w:t>样品流转、追溯与处置</w:t>
      </w:r>
    </w:p>
    <w:p w14:paraId="5649B768">
      <w:pPr>
        <w:pStyle w:val="56"/>
        <w:spacing w:line="360" w:lineRule="auto"/>
        <w:ind w:firstLine="420"/>
      </w:pPr>
      <w:r>
        <w:rPr>
          <w:rFonts w:hint="eastAsia"/>
        </w:rPr>
        <w:t>样品管理应建立贯穿全流程的追溯链：</w:t>
      </w:r>
    </w:p>
    <w:p w14:paraId="650DEC0B">
      <w:pPr>
        <w:pStyle w:val="56"/>
        <w:spacing w:line="360" w:lineRule="auto"/>
        <w:ind w:firstLine="420"/>
      </w:pPr>
      <w:r>
        <w:rPr>
          <w:rFonts w:hint="eastAsia"/>
        </w:rPr>
        <w:t>a) 样品编号应贯穿接收、存储、前处理、检测、留样与处置全环节，各环节应记录时间、责任人、状态与关键条件；</w:t>
      </w:r>
    </w:p>
    <w:p w14:paraId="622544F9">
      <w:pPr>
        <w:pStyle w:val="56"/>
        <w:spacing w:line="360" w:lineRule="auto"/>
        <w:ind w:firstLine="420"/>
      </w:pPr>
      <w:r>
        <w:rPr>
          <w:rFonts w:hint="eastAsia"/>
        </w:rPr>
        <w:t>b) 样品流转应执行交接签认制度，流转过程中应防止泄漏、污染与失温失控；</w:t>
      </w:r>
    </w:p>
    <w:p w14:paraId="576EBD0A">
      <w:pPr>
        <w:pStyle w:val="56"/>
        <w:spacing w:line="360" w:lineRule="auto"/>
        <w:ind w:firstLine="420"/>
      </w:pPr>
      <w:r>
        <w:rPr>
          <w:rFonts w:hint="eastAsia"/>
        </w:rPr>
        <w:t>c) 留样期满后，未返还的样品与实验产生的受污染耗材、残液、残渣等应按二次危险废物管理要求分类收集、暂存并合规移交处置，形成处置记录与联单追溯资料。</w:t>
      </w:r>
    </w:p>
    <w:p w14:paraId="7C627DFA">
      <w:pPr>
        <w:pStyle w:val="105"/>
        <w:spacing w:before="120" w:after="120" w:line="360" w:lineRule="auto"/>
      </w:pPr>
      <w:r>
        <w:rPr>
          <w:rFonts w:hint="eastAsia"/>
        </w:rPr>
        <w:t>采样管理</w:t>
      </w:r>
    </w:p>
    <w:p w14:paraId="19A0CA3E">
      <w:pPr>
        <w:pStyle w:val="56"/>
        <w:spacing w:line="360" w:lineRule="auto"/>
        <w:ind w:firstLine="420"/>
      </w:pPr>
      <w:r>
        <w:rPr>
          <w:rFonts w:hint="eastAsia"/>
        </w:rPr>
        <w:t>实验室承担采样任务时，应具备采样人员、工具与安全防护能力，并按相关技术规范制定采样方案、采样记录、样品封样与运输条件控制要求，确保样品代表性与链条完整性。采样过程应重点控制交叉污染、挥发损失与安全风险，并对采样偏差采取纠正措施。</w:t>
      </w:r>
    </w:p>
    <w:p w14:paraId="6DD8E4C1">
      <w:pPr>
        <w:pStyle w:val="104"/>
        <w:spacing w:before="240" w:after="240" w:line="360" w:lineRule="auto"/>
      </w:pPr>
      <w:bookmarkStart w:id="53" w:name="_Toc217482725"/>
      <w:r>
        <w:rPr>
          <w:rFonts w:hint="eastAsia"/>
        </w:rPr>
        <w:t>仪器设备与计量溯源</w:t>
      </w:r>
      <w:bookmarkEnd w:id="53"/>
    </w:p>
    <w:p w14:paraId="1C9BB8A7">
      <w:pPr>
        <w:pStyle w:val="105"/>
        <w:spacing w:before="120" w:after="120" w:line="360" w:lineRule="auto"/>
      </w:pPr>
      <w:r>
        <w:rPr>
          <w:rFonts w:hint="eastAsia"/>
        </w:rPr>
        <w:t>一般规定</w:t>
      </w:r>
    </w:p>
    <w:p w14:paraId="280DF5ED">
      <w:pPr>
        <w:pStyle w:val="165"/>
        <w:spacing w:line="360" w:lineRule="auto"/>
      </w:pPr>
      <w:r>
        <w:rPr>
          <w:rFonts w:hint="eastAsia"/>
        </w:rPr>
        <w:t>实验室应依据拟开展的危险废物鉴别项目范围与检测通量需求，配置满足“前处理—检测—数据处理—质量控制”全流程的仪器设备与配套设施，确保检测能力与鉴别结论的科学性、重复性和可溯源性。</w:t>
      </w:r>
    </w:p>
    <w:p w14:paraId="3AA052A6">
      <w:pPr>
        <w:pStyle w:val="165"/>
        <w:spacing w:line="360" w:lineRule="auto"/>
      </w:pPr>
      <w:r>
        <w:rPr>
          <w:rFonts w:hint="eastAsia"/>
        </w:rPr>
        <w:t>仪器设备配置应遵循“安全适配、性能满足、计量可溯、维护可达、升级可扩”的原则。对关键设备应明确技术指标、验收标准、运行条件、维护周期与停用管理要求，避免因设备状态不稳定导致鉴别结果偏差。</w:t>
      </w:r>
    </w:p>
    <w:p w14:paraId="45DA8E7C">
      <w:pPr>
        <w:pStyle w:val="165"/>
        <w:spacing w:line="360" w:lineRule="auto"/>
      </w:pPr>
      <w:r>
        <w:rPr>
          <w:rFonts w:hint="eastAsia"/>
        </w:rPr>
        <w:t>对涉及易燃易爆、有毒有害、强腐蚀、强挥发样品的前处理与检测，应优先采用具备防爆、防腐、负压/通风与泄漏监测能力的设备与系统，并与实验室工程控制措施协同配置。</w:t>
      </w:r>
    </w:p>
    <w:p w14:paraId="460122C4">
      <w:pPr>
        <w:pStyle w:val="105"/>
        <w:spacing w:before="120" w:after="120" w:line="360" w:lineRule="auto"/>
      </w:pPr>
      <w:r>
        <w:rPr>
          <w:rFonts w:hint="eastAsia"/>
        </w:rPr>
        <w:t>仪器设备配置要求</w:t>
      </w:r>
    </w:p>
    <w:p w14:paraId="7F293C88">
      <w:pPr>
        <w:pStyle w:val="165"/>
        <w:spacing w:line="360" w:lineRule="auto"/>
      </w:pPr>
      <w:r>
        <w:rPr>
          <w:rFonts w:hint="eastAsia"/>
        </w:rPr>
        <w:t>通用支撑设备宜包括：分析天平、pH计、电导率仪、纯水系统、烘箱、恒温水浴、离心机、冰箱/防爆冰箱、通风柜/抽风罩、超声清洗器等。</w:t>
      </w:r>
    </w:p>
    <w:p w14:paraId="6C04345A">
      <w:pPr>
        <w:pStyle w:val="165"/>
        <w:spacing w:line="360" w:lineRule="auto"/>
      </w:pPr>
      <w:r>
        <w:rPr>
          <w:rFonts w:hint="eastAsia"/>
        </w:rPr>
        <w:t>前处理设备宜包括：粉碎/研磨设备、筛分设备、微波消解仪、石墨消解/电热板、固相萃取装置、旋转蒸发仪、氮吹仪、真空过滤装置、顶空/吹扫捕集等。</w:t>
      </w:r>
    </w:p>
    <w:p w14:paraId="78593FC7">
      <w:pPr>
        <w:pStyle w:val="165"/>
        <w:spacing w:line="360" w:lineRule="auto"/>
      </w:pPr>
      <w:r>
        <w:rPr>
          <w:rFonts w:hint="eastAsia"/>
        </w:rPr>
        <w:t>仪器分析设备宜根据项目配置：</w:t>
      </w:r>
    </w:p>
    <w:p w14:paraId="12F0A277">
      <w:pPr>
        <w:pStyle w:val="56"/>
        <w:spacing w:line="360" w:lineRule="auto"/>
        <w:ind w:firstLine="420"/>
      </w:pPr>
      <w:r>
        <w:rPr>
          <w:rFonts w:hint="eastAsia"/>
        </w:rPr>
        <w:t>a) 无机与元素项目：原子吸收光谱仪、ICP-OES、ICP-MS（按需），配套雾化系统与清洗维护工具；</w:t>
      </w:r>
    </w:p>
    <w:p w14:paraId="34957BBC">
      <w:pPr>
        <w:pStyle w:val="56"/>
        <w:spacing w:line="360" w:lineRule="auto"/>
        <w:ind w:firstLine="420"/>
      </w:pPr>
      <w:r>
        <w:rPr>
          <w:rFonts w:hint="eastAsia"/>
        </w:rPr>
        <w:t>b) 有机项目：气相色谱（GC）、气相色谱-质谱（GC-MS）、液相色谱（LC）、液相色谱-质谱（LC-MS）（按需），配套高纯载气与净化器；</w:t>
      </w:r>
    </w:p>
    <w:p w14:paraId="65B8A03B">
      <w:pPr>
        <w:pStyle w:val="56"/>
        <w:spacing w:line="360" w:lineRule="auto"/>
        <w:ind w:firstLine="420"/>
      </w:pPr>
      <w:r>
        <w:rPr>
          <w:rFonts w:hint="eastAsia"/>
        </w:rPr>
        <w:t>c) 理化危险特性项目：闪点仪、燃烧/易燃性相关装置（按标准要求配置）、相关安全测试配套设施；</w:t>
      </w:r>
    </w:p>
    <w:p w14:paraId="76E7D577">
      <w:pPr>
        <w:pStyle w:val="56"/>
        <w:spacing w:line="360" w:lineRule="auto"/>
        <w:ind w:firstLine="420"/>
      </w:pPr>
      <w:r>
        <w:rPr>
          <w:rFonts w:hint="eastAsia"/>
        </w:rPr>
        <w:t>d) 急性毒性与生物相关项目（按需）：生物检测所需培养、暴露与检测设备，并满足生物安全与交叉污染控制要求。</w:t>
      </w:r>
    </w:p>
    <w:p w14:paraId="68156776">
      <w:pPr>
        <w:pStyle w:val="165"/>
        <w:spacing w:line="360" w:lineRule="auto"/>
      </w:pPr>
      <w:r>
        <w:rPr>
          <w:rFonts w:hint="eastAsia"/>
        </w:rPr>
        <w:t>信息化与数据管理配套宜包括：样品管理终端、条码/二维码打印与扫描设备、电子签名与权限控制模块、数据备份与审计系统（见第9章）。</w:t>
      </w:r>
    </w:p>
    <w:p w14:paraId="5DF76506">
      <w:pPr>
        <w:pStyle w:val="105"/>
        <w:spacing w:before="120" w:after="120" w:line="360" w:lineRule="auto"/>
      </w:pPr>
      <w:r>
        <w:rPr>
          <w:rFonts w:hint="eastAsia"/>
        </w:rPr>
        <w:t>计量溯源、校准与检定</w:t>
      </w:r>
    </w:p>
    <w:p w14:paraId="10391DB8">
      <w:pPr>
        <w:pStyle w:val="165"/>
        <w:spacing w:line="360" w:lineRule="auto"/>
      </w:pPr>
      <w:r>
        <w:rPr>
          <w:rFonts w:hint="eastAsia"/>
        </w:rPr>
        <w:t>实验室应建立设备计量溯源体系，明确强制检定与非强制检定设备清单、周期、方式、证书管理与到期预警机制。</w:t>
      </w:r>
    </w:p>
    <w:p w14:paraId="4663648D">
      <w:pPr>
        <w:pStyle w:val="165"/>
        <w:spacing w:line="360" w:lineRule="auto"/>
      </w:pPr>
      <w:r>
        <w:rPr>
          <w:rFonts w:hint="eastAsia"/>
        </w:rPr>
        <w:t>对分析天平、pH计、闪点仪等计量属性明确且对结果影响显著的设备，应按规定进行定期检定或校准，并获取有效证书；对GC-MS、ICP-MS等非强制检定设备，应结合使用频次与风险等级开展定期校准，并至少每6个月开展一次期间核查或性能确认。</w:t>
      </w:r>
    </w:p>
    <w:p w14:paraId="7D928833">
      <w:pPr>
        <w:pStyle w:val="165"/>
        <w:spacing w:line="360" w:lineRule="auto"/>
      </w:pPr>
      <w:r>
        <w:rPr>
          <w:rFonts w:hint="eastAsia"/>
        </w:rPr>
        <w:t>计量溯源应覆盖配套量具与移液器、容量器具、温度计、压力表等耗材。移液器与容量器具应定期校准或比对；温度、压力与流量参数应可验证且记录可追溯。</w:t>
      </w:r>
    </w:p>
    <w:p w14:paraId="2C4CB8DE">
      <w:pPr>
        <w:pStyle w:val="165"/>
        <w:spacing w:line="360" w:lineRule="auto"/>
      </w:pPr>
      <w:r>
        <w:rPr>
          <w:rFonts w:hint="eastAsia"/>
        </w:rPr>
        <w:t>微波消解仪、自动进样器、纯水系统等设备应建立“使用前点检—运行记录—维护保养—故障维修—复核确认”的闭环管理流程，维修后应通过校准/核查确认合格方可恢复使用。</w:t>
      </w:r>
    </w:p>
    <w:p w14:paraId="6C292D31">
      <w:pPr>
        <w:pStyle w:val="105"/>
        <w:spacing w:before="120" w:after="120" w:line="360" w:lineRule="auto"/>
      </w:pPr>
      <w:r>
        <w:rPr>
          <w:rFonts w:hint="eastAsia"/>
        </w:rPr>
        <w:t>仪器室工程条件与配套保障</w:t>
      </w:r>
    </w:p>
    <w:p w14:paraId="59C99F3C">
      <w:pPr>
        <w:pStyle w:val="165"/>
        <w:spacing w:line="360" w:lineRule="auto"/>
      </w:pPr>
      <w:r>
        <w:rPr>
          <w:rFonts w:hint="eastAsia"/>
        </w:rPr>
        <w:t>仪器室应满足温湿度、供电、接地与电磁兼容等要求，避免环境波动对精密仪器稳定性造成影响。仪器室宜配置恒温恒湿条件，温度宜控制在20℃±5℃、相对湿度宜控制在40%～60%。</w:t>
      </w:r>
    </w:p>
    <w:p w14:paraId="7B7697A1">
      <w:pPr>
        <w:pStyle w:val="165"/>
        <w:spacing w:line="360" w:lineRule="auto"/>
      </w:pPr>
      <w:r>
        <w:rPr>
          <w:rFonts w:hint="eastAsia"/>
        </w:rPr>
        <w:t>供电系统应稳定可靠，关键仪器宜配置稳压电源，电压波动宜控制在±5%以内；关键仪器宜单独接地，接地电阻宜不大于4Ω，并采取防雷与漏电保护措施。</w:t>
      </w:r>
    </w:p>
    <w:p w14:paraId="7CC9C13C">
      <w:pPr>
        <w:pStyle w:val="165"/>
        <w:spacing w:line="360" w:lineRule="auto"/>
      </w:pPr>
      <w:r>
        <w:rPr>
          <w:rFonts w:hint="eastAsia"/>
        </w:rPr>
        <w:t>气体供应系统应满足载气纯度与稳定供给要求。载气宜采用高纯气体（纯度≥99.999%），并配置气体净化装置以去除水分与氧；钢瓶应固定存放于室外或专用气瓶间，远离火源并设置通风与泄漏风险控制措施。</w:t>
      </w:r>
    </w:p>
    <w:p w14:paraId="12C88AB2">
      <w:pPr>
        <w:pStyle w:val="165"/>
        <w:spacing w:line="360" w:lineRule="auto"/>
      </w:pPr>
      <w:r>
        <w:rPr>
          <w:rFonts w:hint="eastAsia"/>
        </w:rPr>
        <w:t>对有机分析仪器与腐蚀性样品前处理设备所在区域，应加强耐腐蚀与防挥发控制，必要时设置局部排风、废气收集与净化装置，避免腐蚀性气体与溶剂蒸气对仪器造成损伤。</w:t>
      </w:r>
    </w:p>
    <w:p w14:paraId="152FC2A8">
      <w:pPr>
        <w:pStyle w:val="105"/>
        <w:spacing w:before="120" w:after="120" w:line="360" w:lineRule="auto"/>
      </w:pPr>
      <w:r>
        <w:rPr>
          <w:rFonts w:hint="eastAsia"/>
        </w:rPr>
        <w:t>标准物质与试剂耗材管理</w:t>
      </w:r>
    </w:p>
    <w:p w14:paraId="1B31B7E0">
      <w:pPr>
        <w:pStyle w:val="165"/>
        <w:spacing w:line="360" w:lineRule="auto"/>
      </w:pPr>
      <w:r>
        <w:rPr>
          <w:rFonts w:hint="eastAsia"/>
        </w:rPr>
        <w:t>实验室应建立标准物质、标准溶液与质控样管理制度，明确采购来源、证书核验、有效期、储存条件、领用记录与报废处置要求。</w:t>
      </w:r>
    </w:p>
    <w:p w14:paraId="5D67C398">
      <w:pPr>
        <w:pStyle w:val="165"/>
        <w:spacing w:line="360" w:lineRule="auto"/>
      </w:pPr>
      <w:r>
        <w:rPr>
          <w:rFonts w:hint="eastAsia"/>
        </w:rPr>
        <w:t>标准溶液配制应采用可追溯的计量器具与分析用水，配制过程应记录配制人、日期、批号、浓度核算、储存条件与复核签字。</w:t>
      </w:r>
    </w:p>
    <w:p w14:paraId="3B770C68">
      <w:pPr>
        <w:pStyle w:val="165"/>
        <w:spacing w:line="360" w:lineRule="auto"/>
      </w:pPr>
      <w:r>
        <w:rPr>
          <w:rFonts w:hint="eastAsia"/>
        </w:rPr>
        <w:t>滤膜、固相萃取柱、进样针、衬管、试剂瓶等耗材应实施入库验收与批次管理，对可能引入空白污染或记忆效应的耗材应进行空白验证或清洁验证。</w:t>
      </w:r>
    </w:p>
    <w:p w14:paraId="34ABF512">
      <w:pPr>
        <w:pStyle w:val="104"/>
        <w:spacing w:before="240" w:after="240" w:line="360" w:lineRule="auto"/>
      </w:pPr>
      <w:bookmarkStart w:id="54" w:name="_Toc217482726"/>
      <w:r>
        <w:rPr>
          <w:rFonts w:hint="eastAsia"/>
        </w:rPr>
        <w:t>检测方法与质量控制</w:t>
      </w:r>
      <w:bookmarkEnd w:id="54"/>
    </w:p>
    <w:p w14:paraId="33225D23">
      <w:pPr>
        <w:pStyle w:val="105"/>
        <w:spacing w:before="120" w:after="120" w:line="360" w:lineRule="auto"/>
      </w:pPr>
      <w:r>
        <w:rPr>
          <w:rFonts w:hint="eastAsia"/>
        </w:rPr>
        <w:t>方法体系与文件化管理</w:t>
      </w:r>
    </w:p>
    <w:p w14:paraId="0871BC77">
      <w:pPr>
        <w:pStyle w:val="165"/>
        <w:spacing w:line="360" w:lineRule="auto"/>
      </w:pPr>
      <w:r>
        <w:rPr>
          <w:rFonts w:hint="eastAsia"/>
        </w:rPr>
        <w:t>实验室应建立覆盖危险废物鉴别项目的检测方法体系，方法来源应包括国家标准、行业标准与经确认的等效方法，并形成受控文件（方法标准、作业指导书、记录表单、计算与判定规则）。</w:t>
      </w:r>
    </w:p>
    <w:p w14:paraId="0E57CDD1">
      <w:pPr>
        <w:pStyle w:val="165"/>
        <w:spacing w:line="360" w:lineRule="auto"/>
      </w:pPr>
      <w:r>
        <w:rPr>
          <w:rFonts w:hint="eastAsia"/>
        </w:rPr>
        <w:t>对采用标准方法但在样品基体、检测范围、前处理条件等方面存在显著差异的，应开展方法确认；对非标准方法或对方法进行实质性改变的，应开展方法验证，明确准确度、精密度、检出限、定量限、线性范围、选择性、抗干扰性与不确定度要素。</w:t>
      </w:r>
    </w:p>
    <w:p w14:paraId="051196FB">
      <w:pPr>
        <w:pStyle w:val="165"/>
        <w:spacing w:line="360" w:lineRule="auto"/>
      </w:pPr>
      <w:r>
        <w:rPr>
          <w:rFonts w:hint="eastAsia"/>
        </w:rPr>
        <w:t>方法文件应明确：样品类型适用性、样品保存与前处理关键控制点、仪器条件、质控要求、数据处理规则、结果判定逻辑与异常处置方式，确保不同人员与不同批次检测具有一致性。</w:t>
      </w:r>
    </w:p>
    <w:p w14:paraId="55CE5013">
      <w:pPr>
        <w:pStyle w:val="105"/>
        <w:spacing w:before="120" w:after="120" w:line="360" w:lineRule="auto"/>
      </w:pPr>
      <w:r>
        <w:rPr>
          <w:rFonts w:hint="eastAsia"/>
        </w:rPr>
        <w:t>质量控制措施</w:t>
      </w:r>
    </w:p>
    <w:p w14:paraId="2826C12E">
      <w:pPr>
        <w:pStyle w:val="165"/>
        <w:spacing w:line="360" w:lineRule="auto"/>
      </w:pPr>
      <w:r>
        <w:rPr>
          <w:rFonts w:hint="eastAsia"/>
        </w:rPr>
        <w:t>实验室应在样品全流程实施质量控制，至少包括：空白（试剂空白/方法空白）、平行样、加标回收、标准物质验证、曲线核查、质控样与期间核查等。</w:t>
      </w:r>
    </w:p>
    <w:p w14:paraId="71CDCFB5">
      <w:pPr>
        <w:pStyle w:val="165"/>
        <w:spacing w:line="360" w:lineRule="auto"/>
      </w:pPr>
      <w:r>
        <w:rPr>
          <w:rFonts w:hint="eastAsia"/>
        </w:rPr>
        <w:t>质控频次应与样品数量、基体复杂性与风险等级匹配。对高风险样品或争议样品，应适当提高平行与加标比例，并加强消解、萃取、净化、浓缩等步骤的过程控制记录。</w:t>
      </w:r>
    </w:p>
    <w:p w14:paraId="2383EE23">
      <w:pPr>
        <w:pStyle w:val="165"/>
        <w:spacing w:line="360" w:lineRule="auto"/>
      </w:pPr>
      <w:r>
        <w:rPr>
          <w:rFonts w:hint="eastAsia"/>
        </w:rPr>
        <w:t>质控判据应在质量体系文件中明确，包括回收率控制区间、相对偏差限值、空白限值、曲线相关系数与核查点偏差、仪器漂移容许范围等；超出判据时应启动调查、采取纠正措施并进行复测确认。</w:t>
      </w:r>
    </w:p>
    <w:p w14:paraId="7A969A82">
      <w:pPr>
        <w:pStyle w:val="105"/>
        <w:spacing w:before="120" w:after="120" w:line="360" w:lineRule="auto"/>
      </w:pPr>
      <w:r>
        <w:rPr>
          <w:rFonts w:hint="eastAsia"/>
        </w:rPr>
        <w:t>数据处理、计算与判定规则</w:t>
      </w:r>
    </w:p>
    <w:p w14:paraId="2C2AE15D">
      <w:pPr>
        <w:pStyle w:val="165"/>
        <w:spacing w:line="360" w:lineRule="auto"/>
      </w:pPr>
      <w:r>
        <w:rPr>
          <w:rFonts w:hint="eastAsia"/>
        </w:rPr>
        <w:t>实验室应建立统一的数据处理与计算规则，明确单位换算、干湿基换算、稀释倍数、浸出倍数与报告位数保留规则。</w:t>
      </w:r>
    </w:p>
    <w:p w14:paraId="0414808F">
      <w:pPr>
        <w:pStyle w:val="165"/>
        <w:spacing w:line="360" w:lineRule="auto"/>
      </w:pPr>
      <w:r>
        <w:rPr>
          <w:rFonts w:hint="eastAsia"/>
        </w:rPr>
        <w:t>鉴别判定应严格依据相关鉴别标准与技术规范的判定条件执行。对存在多项特性并行鉴别的，应按“最不利原则”与标准规定的判定逻辑出具结论，并明确鉴别依据与关键数据。</w:t>
      </w:r>
    </w:p>
    <w:p w14:paraId="1A48B2E3">
      <w:pPr>
        <w:pStyle w:val="165"/>
        <w:spacing w:line="360" w:lineRule="auto"/>
      </w:pPr>
      <w:r>
        <w:rPr>
          <w:rFonts w:hint="eastAsia"/>
        </w:rPr>
        <w:t>对边界值、近限值或结果不确定性较大的样品，应开展复测、扩大质控或采用替代方法验证；必要时组织技术评审，形成书面结论与依据链。</w:t>
      </w:r>
    </w:p>
    <w:p w14:paraId="06BA2D43">
      <w:pPr>
        <w:pStyle w:val="105"/>
        <w:spacing w:before="120" w:after="120" w:line="360" w:lineRule="auto"/>
      </w:pPr>
      <w:r>
        <w:rPr>
          <w:rFonts w:hint="eastAsia"/>
        </w:rPr>
        <w:t>能力验证、比对与质量改进</w:t>
      </w:r>
    </w:p>
    <w:p w14:paraId="6F9EEBB5">
      <w:pPr>
        <w:pStyle w:val="165"/>
        <w:spacing w:line="360" w:lineRule="auto"/>
      </w:pPr>
      <w:r>
        <w:rPr>
          <w:rFonts w:hint="eastAsia"/>
        </w:rPr>
        <w:t>实验室应按资质认定要求参加能力验证或实验室间比对。无法参加外部能力验证的项目，应采用替代措施证明能力。</w:t>
      </w:r>
    </w:p>
    <w:p w14:paraId="7899B6B0">
      <w:pPr>
        <w:pStyle w:val="179"/>
        <w:spacing w:line="360" w:lineRule="auto"/>
      </w:pPr>
      <w:r>
        <w:rPr>
          <w:rFonts w:hint="eastAsia"/>
        </w:rPr>
        <w:t>替代措施可采取内部盲样、标准物质考核、与有资质机构比对等措施。</w:t>
      </w:r>
    </w:p>
    <w:p w14:paraId="3EC5615C">
      <w:pPr>
        <w:pStyle w:val="165"/>
        <w:spacing w:line="360" w:lineRule="auto"/>
      </w:pPr>
      <w:r>
        <w:rPr>
          <w:rFonts w:hint="eastAsia"/>
        </w:rPr>
        <w:t>能力验证不满意或比对差异超限时，应开展原因分析，实施纠正措施并验证有效性。</w:t>
      </w:r>
    </w:p>
    <w:p w14:paraId="2008AB6E">
      <w:pPr>
        <w:pStyle w:val="165"/>
        <w:spacing w:line="360" w:lineRule="auto"/>
      </w:pPr>
      <w:r>
        <w:rPr>
          <w:rFonts w:hint="eastAsia"/>
        </w:rPr>
        <w:t>实验室应建立持续改进机制，将能力验证、内部审核、不符合项、客户投诉与技术争议处理结果纳入管理评审，形成年度质量改进计划。</w:t>
      </w:r>
    </w:p>
    <w:p w14:paraId="64675E4A">
      <w:pPr>
        <w:pStyle w:val="104"/>
        <w:spacing w:before="240" w:after="240" w:line="360" w:lineRule="auto"/>
      </w:pPr>
      <w:bookmarkStart w:id="55" w:name="_Toc217482727"/>
      <w:r>
        <w:rPr>
          <w:rFonts w:hint="eastAsia"/>
        </w:rPr>
        <w:t>安全防护与危险废物管理</w:t>
      </w:r>
      <w:bookmarkEnd w:id="55"/>
    </w:p>
    <w:p w14:paraId="6C9F2645">
      <w:pPr>
        <w:pStyle w:val="105"/>
        <w:spacing w:before="120" w:after="120" w:line="360" w:lineRule="auto"/>
      </w:pPr>
      <w:r>
        <w:rPr>
          <w:rFonts w:hint="eastAsia"/>
        </w:rPr>
        <w:t>风险辨识与分级管控</w:t>
      </w:r>
    </w:p>
    <w:p w14:paraId="0C88013D">
      <w:pPr>
        <w:pStyle w:val="165"/>
        <w:spacing w:line="360" w:lineRule="auto"/>
      </w:pPr>
      <w:r>
        <w:rPr>
          <w:rFonts w:hint="eastAsia"/>
        </w:rPr>
        <w:t>实验室应对样品接收、存储、前处理、检测、废物收集与暂存等环节开展风险辨识，形成危险源清单与分级管控措施，至少覆盖：强腐蚀、易燃易爆、高毒/剧毒、挥发性有机物、含重金属与可能反应性物质等风险类型。</w:t>
      </w:r>
    </w:p>
    <w:p w14:paraId="093FB3AF">
      <w:pPr>
        <w:pStyle w:val="165"/>
        <w:spacing w:line="360" w:lineRule="auto"/>
      </w:pPr>
      <w:r>
        <w:rPr>
          <w:rFonts w:hint="eastAsia"/>
        </w:rPr>
        <w:t>对强酸消解、含氰/含硫化物样品处理、高挥发溶剂浓缩、加热与明火禁控区域作业等高风险操作应制定专项作业指导与应急处置卡，明确禁忌混合、不相容物隔离与个人防护等级。</w:t>
      </w:r>
    </w:p>
    <w:p w14:paraId="148E9F4A">
      <w:pPr>
        <w:pStyle w:val="105"/>
        <w:spacing w:before="120" w:after="120" w:line="360" w:lineRule="auto"/>
      </w:pPr>
      <w:r>
        <w:rPr>
          <w:rFonts w:hint="eastAsia"/>
        </w:rPr>
        <w:t>工程控制与个人防护</w:t>
      </w:r>
    </w:p>
    <w:p w14:paraId="45641659">
      <w:pPr>
        <w:pStyle w:val="165"/>
        <w:spacing w:line="360" w:lineRule="auto"/>
      </w:pPr>
      <w:r>
        <w:rPr>
          <w:rFonts w:hint="eastAsia"/>
        </w:rPr>
        <w:t>样品前处理与溶剂操作应在通风柜、抽风罩或其他有效局部排风设施内进行，并确保通风系统连续有效。</w:t>
      </w:r>
    </w:p>
    <w:p w14:paraId="2BBA2EEC">
      <w:pPr>
        <w:pStyle w:val="165"/>
        <w:spacing w:line="360" w:lineRule="auto"/>
      </w:pPr>
      <w:r>
        <w:rPr>
          <w:rFonts w:hint="eastAsia"/>
        </w:rPr>
        <w:t>实验室应为不同区域配置相匹配的个人防护用品（PPE），并建立领用、培训与更换制度。对可能产生有毒气体或有机蒸气暴露的操作，应配置适用的防毒面具或呼吸防护装置。</w:t>
      </w:r>
    </w:p>
    <w:p w14:paraId="0B1E93D7">
      <w:pPr>
        <w:pStyle w:val="165"/>
        <w:spacing w:line="360" w:lineRule="auto"/>
      </w:pPr>
      <w:r>
        <w:rPr>
          <w:rFonts w:hint="eastAsia"/>
        </w:rPr>
        <w:t>实验室应配置洗眼器与紧急喷淋等应急设施，并确保在关键作业点位可快速到达。样品前处理室、试剂仓库等区域宜在10 m范围内设置洗眼器与紧急喷淋装置，并满足快速响应要求。</w:t>
      </w:r>
    </w:p>
    <w:p w14:paraId="606FE8FD">
      <w:pPr>
        <w:pStyle w:val="105"/>
        <w:spacing w:before="120" w:after="120" w:line="360" w:lineRule="auto"/>
      </w:pPr>
      <w:r>
        <w:rPr>
          <w:rFonts w:hint="eastAsia"/>
        </w:rPr>
        <w:t>实验室废水、废气与固体废物控制</w:t>
      </w:r>
    </w:p>
    <w:p w14:paraId="75124C51">
      <w:pPr>
        <w:pStyle w:val="165"/>
        <w:spacing w:line="360" w:lineRule="auto"/>
      </w:pPr>
      <w:r>
        <w:rPr>
          <w:rFonts w:hint="eastAsia"/>
        </w:rPr>
        <w:t>实验室废水应分类收集，不得将含重金属、强酸强碱、有机溶剂、含氰/含氟等高风险废液直接排入下水系统。应根据废液类型采取中和、沉淀、吸附、溶剂回收或委托处置等方式，实现合规处置与记录可追溯。</w:t>
      </w:r>
    </w:p>
    <w:p w14:paraId="5A06C7F2">
      <w:pPr>
        <w:pStyle w:val="165"/>
        <w:spacing w:line="360" w:lineRule="auto"/>
      </w:pPr>
      <w:r>
        <w:rPr>
          <w:rFonts w:hint="eastAsia"/>
        </w:rPr>
        <w:t>有机废气与酸雾废气应采取收集与净化措施。对挥发性有机物操作集中区域，宜设置专用废气收集管路与净化装置；对酸雾与腐蚀性气体，应采用耐腐蚀风管与相应净化工艺，防止对环境与设备造成影响。</w:t>
      </w:r>
    </w:p>
    <w:p w14:paraId="754F83CC">
      <w:pPr>
        <w:pStyle w:val="165"/>
        <w:spacing w:line="360" w:lineRule="auto"/>
      </w:pPr>
      <w:r>
        <w:rPr>
          <w:rFonts w:hint="eastAsia"/>
        </w:rPr>
        <w:t>固体废物应按二次危险废物管理要求分类收集、密闭包装、规范标识并进入危废暂存间，执行台账管理与合规转移处置。</w:t>
      </w:r>
    </w:p>
    <w:p w14:paraId="7AFA939F">
      <w:pPr>
        <w:pStyle w:val="105"/>
        <w:spacing w:before="120" w:after="120" w:line="360" w:lineRule="auto"/>
      </w:pPr>
      <w:r>
        <w:rPr>
          <w:rFonts w:hint="eastAsia"/>
        </w:rPr>
        <w:t>二次危险废物管理</w:t>
      </w:r>
    </w:p>
    <w:p w14:paraId="3C5F2A48">
      <w:pPr>
        <w:pStyle w:val="165"/>
        <w:spacing w:line="360" w:lineRule="auto"/>
      </w:pPr>
      <w:r>
        <w:rPr>
          <w:rFonts w:hint="eastAsia"/>
        </w:rPr>
        <w:t>实验室应明确二次危险废物分类目录与代码映射原则，并建立收集容器、标签模板、暂存要求、出入库记录与转移联单管理要求。</w:t>
      </w:r>
    </w:p>
    <w:p w14:paraId="29E5CFD1">
      <w:pPr>
        <w:pStyle w:val="165"/>
        <w:spacing w:line="360" w:lineRule="auto"/>
      </w:pPr>
      <w:r>
        <w:rPr>
          <w:rFonts w:hint="eastAsia"/>
        </w:rPr>
        <w:t>二次危险废物暂存应满足防渗、防腐、通风、防火、防泄漏收集与应急处置需要，暂存期限与最大暂存量应符合相关法规与标准要求。</w:t>
      </w:r>
    </w:p>
    <w:p w14:paraId="26D5E22D">
      <w:pPr>
        <w:pStyle w:val="165"/>
        <w:spacing w:line="360" w:lineRule="auto"/>
      </w:pPr>
      <w:r>
        <w:rPr>
          <w:rFonts w:hint="eastAsia"/>
        </w:rPr>
        <w:t>二次危险废物交由有资质单位处置时，应核验处置资质范围、签订处置合同并留存转移联单等资料，确保闭环可追溯。</w:t>
      </w:r>
    </w:p>
    <w:p w14:paraId="59186052">
      <w:pPr>
        <w:pStyle w:val="105"/>
        <w:spacing w:before="120" w:after="120" w:line="360" w:lineRule="auto"/>
      </w:pPr>
      <w:r>
        <w:rPr>
          <w:rFonts w:hint="eastAsia"/>
        </w:rPr>
        <w:t>应急管理与演练</w:t>
      </w:r>
    </w:p>
    <w:p w14:paraId="467433AA">
      <w:pPr>
        <w:pStyle w:val="165"/>
        <w:spacing w:line="360" w:lineRule="auto"/>
      </w:pPr>
      <w:r>
        <w:rPr>
          <w:rFonts w:hint="eastAsia"/>
        </w:rPr>
        <w:t>实验室应建立覆盖泄漏、火灾、灼伤、中毒、爆炸风险与停电停风等情形的应急预案与现场处置方案，明确报警、隔离、人员疏散、初期处置、医疗救护与事故报告流程。</w:t>
      </w:r>
    </w:p>
    <w:p w14:paraId="72EED0A1">
      <w:pPr>
        <w:pStyle w:val="165"/>
        <w:spacing w:line="360" w:lineRule="auto"/>
      </w:pPr>
      <w:r>
        <w:rPr>
          <w:rFonts w:hint="eastAsia"/>
        </w:rPr>
        <w:t>应急物资应满足风险场景需要，包括吸附材料、防爆工具、堵漏器材、应急药箱与个人防护装备等，并定期检查有效性。</w:t>
      </w:r>
    </w:p>
    <w:p w14:paraId="4489E5FC">
      <w:pPr>
        <w:pStyle w:val="165"/>
        <w:spacing w:line="360" w:lineRule="auto"/>
      </w:pPr>
      <w:r>
        <w:rPr>
          <w:rFonts w:hint="eastAsia"/>
        </w:rPr>
        <w:t>应急演练宜每年至少组织一次综合演练，并针对高风险工序组织专项演练；演练后应形成评估报告并落实整改。</w:t>
      </w:r>
    </w:p>
    <w:p w14:paraId="51173D7E">
      <w:pPr>
        <w:pStyle w:val="104"/>
        <w:spacing w:before="240" w:after="240" w:line="360" w:lineRule="auto"/>
      </w:pPr>
      <w:bookmarkStart w:id="56" w:name="_Toc217482728"/>
      <w:r>
        <w:rPr>
          <w:rFonts w:hint="eastAsia"/>
        </w:rPr>
        <w:t>信息化与数据安全管理</w:t>
      </w:r>
      <w:bookmarkEnd w:id="56"/>
    </w:p>
    <w:p w14:paraId="77CF4CE5">
      <w:pPr>
        <w:pStyle w:val="105"/>
        <w:spacing w:before="120" w:after="120" w:line="360" w:lineRule="auto"/>
      </w:pPr>
      <w:r>
        <w:rPr>
          <w:rFonts w:hint="eastAsia"/>
        </w:rPr>
        <w:t>样品与流程信息化</w:t>
      </w:r>
    </w:p>
    <w:p w14:paraId="0918B404">
      <w:pPr>
        <w:pStyle w:val="165"/>
        <w:spacing w:line="360" w:lineRule="auto"/>
      </w:pPr>
      <w:r>
        <w:rPr>
          <w:rFonts w:hint="eastAsia"/>
        </w:rPr>
        <w:t>实验室宜建立信息化管理系统，实现样品从委托受理、接收验收、存储分配、检测流转、结果审核、报告出具、留样与处置的全过程信息记录与状态追踪。</w:t>
      </w:r>
    </w:p>
    <w:p w14:paraId="13BEBF18">
      <w:pPr>
        <w:pStyle w:val="165"/>
        <w:spacing w:line="360" w:lineRule="auto"/>
      </w:pPr>
      <w:r>
        <w:rPr>
          <w:rFonts w:hint="eastAsia"/>
        </w:rPr>
        <w:t>样品唯一性标识宜采用条码或二维码实现，样品容器、留样容器、前处理分样容器应保持一致的追溯关系，避免错样、混样与漏样。</w:t>
      </w:r>
    </w:p>
    <w:p w14:paraId="5042A3AE">
      <w:pPr>
        <w:pStyle w:val="165"/>
        <w:spacing w:line="360" w:lineRule="auto"/>
      </w:pPr>
      <w:r>
        <w:rPr>
          <w:rFonts w:hint="eastAsia"/>
        </w:rPr>
        <w:t>信息化系统应支持接收验收、不合格处置、复测、样品销毁/移交处置等节点强制记录，并可导出审计追溯报表。</w:t>
      </w:r>
    </w:p>
    <w:p w14:paraId="16C14D97">
      <w:pPr>
        <w:pStyle w:val="105"/>
        <w:spacing w:before="120" w:after="120" w:line="360" w:lineRule="auto"/>
      </w:pPr>
      <w:r>
        <w:rPr>
          <w:rFonts w:hint="eastAsia"/>
        </w:rPr>
        <w:t>数据完整性与审计追踪</w:t>
      </w:r>
    </w:p>
    <w:p w14:paraId="3A4EE4A6">
      <w:pPr>
        <w:pStyle w:val="165"/>
        <w:spacing w:line="360" w:lineRule="auto"/>
      </w:pPr>
      <w:r>
        <w:rPr>
          <w:rFonts w:hint="eastAsia"/>
        </w:rPr>
        <w:t>实验室应建立数据完整性控制要求，确保数据真实、准确、完整、可追溯。数据应包含原始记录、仪器原始谱图/数据文件、计算过程、质控记录、审核记录与报告版本记录。</w:t>
      </w:r>
    </w:p>
    <w:p w14:paraId="7FA67D5B">
      <w:pPr>
        <w:pStyle w:val="165"/>
        <w:spacing w:line="360" w:lineRule="auto"/>
      </w:pPr>
      <w:r>
        <w:rPr>
          <w:rFonts w:hint="eastAsia"/>
        </w:rPr>
        <w:t>电子数据应具备权限分级、身份认证与审计追踪功能。数据导入导出、谱图处理、结果修改、报告签发等操作应可追溯到人员、时间与修改原因。</w:t>
      </w:r>
    </w:p>
    <w:p w14:paraId="3E80CAF8">
      <w:pPr>
        <w:pStyle w:val="165"/>
        <w:spacing w:line="360" w:lineRule="auto"/>
      </w:pPr>
      <w:r>
        <w:rPr>
          <w:rFonts w:hint="eastAsia"/>
        </w:rPr>
        <w:t>数据备份应至少满足本地与异地（或离线介质）双重备份策略，并定期验证备份可恢复性；存储期限应满足法规、资质认定与合同约定要求。</w:t>
      </w:r>
    </w:p>
    <w:p w14:paraId="487B6312">
      <w:pPr>
        <w:pStyle w:val="105"/>
        <w:spacing w:before="120" w:after="120" w:line="360" w:lineRule="auto"/>
      </w:pPr>
      <w:r>
        <w:rPr>
          <w:rFonts w:hint="eastAsia"/>
        </w:rPr>
        <w:t>信息安全与保密管理</w:t>
      </w:r>
    </w:p>
    <w:p w14:paraId="0A34CEB3">
      <w:pPr>
        <w:pStyle w:val="165"/>
        <w:spacing w:line="360" w:lineRule="auto"/>
      </w:pPr>
      <w:r>
        <w:rPr>
          <w:rFonts w:hint="eastAsia"/>
        </w:rPr>
        <w:t>实验室应对委托信息、鉴别数据与报告实施保密管理，明确保密等级、授权访问范围与外部披露规则。</w:t>
      </w:r>
    </w:p>
    <w:p w14:paraId="1E809AE4">
      <w:pPr>
        <w:pStyle w:val="165"/>
        <w:spacing w:line="360" w:lineRule="auto"/>
      </w:pPr>
      <w:r>
        <w:rPr>
          <w:rFonts w:hint="eastAsia"/>
        </w:rPr>
        <w:t>对涉及行政执法、环境应急与社会关注度高的鉴别项目，应加强数据访问控制与对外沟通口径管理，避免信息泄露引发风险。</w:t>
      </w:r>
    </w:p>
    <w:p w14:paraId="4BC31F7E">
      <w:pPr>
        <w:pStyle w:val="104"/>
        <w:spacing w:before="240" w:after="240" w:line="360" w:lineRule="auto"/>
      </w:pPr>
      <w:bookmarkStart w:id="57" w:name="_Toc217482729"/>
      <w:r>
        <w:rPr>
          <w:rFonts w:hint="eastAsia"/>
        </w:rPr>
        <w:t>建设验收与运行维护</w:t>
      </w:r>
      <w:bookmarkEnd w:id="57"/>
    </w:p>
    <w:p w14:paraId="3FBA5896">
      <w:pPr>
        <w:pStyle w:val="105"/>
        <w:spacing w:before="120" w:after="120" w:line="360" w:lineRule="auto"/>
      </w:pPr>
      <w:r>
        <w:rPr>
          <w:rFonts w:hint="eastAsia"/>
        </w:rPr>
        <w:t>建设验收</w:t>
      </w:r>
    </w:p>
    <w:p w14:paraId="7ADEFFBB">
      <w:pPr>
        <w:pStyle w:val="165"/>
        <w:spacing w:line="360" w:lineRule="auto"/>
      </w:pPr>
      <w:r>
        <w:rPr>
          <w:rFonts w:hint="eastAsia"/>
        </w:rPr>
        <w:t>实验室建设完成后应组织工程验收与能力验收。工程验收应包括功能分区符合性、通风与废气系统、给排水与废水收集、防渗防腐措施、供电接地、消防与应急设施、危废暂存间等内容。</w:t>
      </w:r>
    </w:p>
    <w:p w14:paraId="5805B426">
      <w:pPr>
        <w:pStyle w:val="165"/>
        <w:spacing w:line="360" w:lineRule="auto"/>
      </w:pPr>
      <w:r>
        <w:rPr>
          <w:rFonts w:hint="eastAsia"/>
        </w:rPr>
        <w:t>能力验收应包括：仪器设备到位与验收、计量溯源证书、方法确认/验证资料、质控体系文件、人员培训考核记录、试运行数据与试验段总结。</w:t>
      </w:r>
    </w:p>
    <w:p w14:paraId="7B5D5726">
      <w:pPr>
        <w:pStyle w:val="165"/>
        <w:spacing w:line="360" w:lineRule="auto"/>
      </w:pPr>
      <w:r>
        <w:rPr>
          <w:rFonts w:hint="eastAsia"/>
        </w:rPr>
        <w:t>通风、废气净化、废水收集、气体供应、稳压供电等系统宜开展负荷或连续运行测试，确保在典型工况下稳定可靠。</w:t>
      </w:r>
    </w:p>
    <w:p w14:paraId="65101FC0">
      <w:pPr>
        <w:pStyle w:val="105"/>
        <w:spacing w:before="120" w:after="120" w:line="360" w:lineRule="auto"/>
      </w:pPr>
      <w:r>
        <w:rPr>
          <w:rFonts w:hint="eastAsia"/>
        </w:rPr>
        <w:t>运行维护</w:t>
      </w:r>
    </w:p>
    <w:p w14:paraId="58202C2C">
      <w:pPr>
        <w:pStyle w:val="165"/>
        <w:spacing w:line="360" w:lineRule="auto"/>
      </w:pPr>
      <w:r>
        <w:rPr>
          <w:rFonts w:hint="eastAsia"/>
        </w:rPr>
        <w:t>实验室应建立设施设备维护计划，明确日常点检、定期维护、易损件更换、耗材更换与停用封存要求。</w:t>
      </w:r>
    </w:p>
    <w:p w14:paraId="654B7996">
      <w:pPr>
        <w:pStyle w:val="165"/>
        <w:spacing w:line="360" w:lineRule="auto"/>
      </w:pPr>
      <w:r>
        <w:rPr>
          <w:rFonts w:hint="eastAsia"/>
        </w:rPr>
        <w:t>通风系统、废气净化系统、废水收集系统与危废暂存间等环保与安全关键设施应纳入重点巡检范围，发现异常应立即处置并形成记录。</w:t>
      </w:r>
    </w:p>
    <w:p w14:paraId="08A9A98E">
      <w:pPr>
        <w:pStyle w:val="165"/>
        <w:spacing w:line="360" w:lineRule="auto"/>
      </w:pPr>
      <w:r>
        <w:rPr>
          <w:rFonts w:hint="eastAsia"/>
        </w:rPr>
        <w:t>实验室应建立变更管理程序。涉及布局调整、通风系统改造、关键设备替换、方法重大调整、信息化系统升级等变更，应进行风险评估并在变更后开展验证确认。</w:t>
      </w:r>
    </w:p>
    <w:p w14:paraId="2A9DD537">
      <w:pPr>
        <w:pStyle w:val="105"/>
        <w:spacing w:before="120" w:after="120" w:line="360" w:lineRule="auto"/>
      </w:pPr>
      <w:r>
        <w:rPr>
          <w:rFonts w:hint="eastAsia"/>
        </w:rPr>
        <w:t>监督检查与内部审核</w:t>
      </w:r>
    </w:p>
    <w:p w14:paraId="27F89DA8">
      <w:pPr>
        <w:pStyle w:val="165"/>
        <w:spacing w:line="360" w:lineRule="auto"/>
      </w:pPr>
      <w:r>
        <w:rPr>
          <w:rFonts w:hint="eastAsia"/>
        </w:rPr>
        <w:t>实验室应组织定期内部审核，覆盖技术活动与管理活动，重点关注：样品追溯链、质控执行、计量溯源、数据完整性、安全与二次危废管理等。</w:t>
      </w:r>
    </w:p>
    <w:p w14:paraId="77AF8183">
      <w:pPr>
        <w:pStyle w:val="165"/>
        <w:spacing w:line="360" w:lineRule="auto"/>
      </w:pPr>
      <w:r>
        <w:rPr>
          <w:rFonts w:hint="eastAsia"/>
        </w:rPr>
        <w:t>对外部监督检查、客户投诉与争议鉴别项目，应建立问题分级处置机制，形成纠正与预防措施，并验证措施有效性。</w:t>
      </w:r>
    </w:p>
    <w:p w14:paraId="191A364E">
      <w:pPr>
        <w:pStyle w:val="105"/>
        <w:spacing w:before="120" w:after="120" w:line="360" w:lineRule="auto"/>
      </w:pPr>
      <w:r>
        <w:rPr>
          <w:rFonts w:hint="eastAsia"/>
        </w:rPr>
        <w:t>持续改进</w:t>
      </w:r>
    </w:p>
    <w:p w14:paraId="1698356C">
      <w:pPr>
        <w:pStyle w:val="165"/>
        <w:spacing w:line="360" w:lineRule="auto"/>
      </w:pPr>
      <w:r>
        <w:rPr>
          <w:rFonts w:hint="eastAsia"/>
        </w:rPr>
        <w:t>实验室应建立年度能力提升计划，结合法规标准更新、鉴别项目扩展、技术进步与典型案例复盘，持续优化方法体系、设备配置、人员能力与信息化水平。</w:t>
      </w:r>
    </w:p>
    <w:p w14:paraId="6C65AC23">
      <w:pPr>
        <w:pStyle w:val="165"/>
        <w:spacing w:line="360" w:lineRule="auto"/>
      </w:pPr>
      <w:r>
        <w:rPr>
          <w:rFonts w:hint="eastAsia"/>
        </w:rPr>
        <w:t>对重复出现的质量偏差、安全事件苗头或运行瓶颈，应开展根因分析与系统性改进，避免仅采取临时纠偏措施。</w:t>
      </w:r>
    </w:p>
    <w:p w14:paraId="21AFEAEB">
      <w:pPr>
        <w:pStyle w:val="104"/>
        <w:spacing w:before="240" w:after="240" w:line="360" w:lineRule="auto"/>
      </w:pPr>
      <w:bookmarkStart w:id="58" w:name="_Toc217482730"/>
      <w:r>
        <w:rPr>
          <w:rFonts w:hint="eastAsia"/>
        </w:rPr>
        <w:t>附则</w:t>
      </w:r>
      <w:bookmarkEnd w:id="58"/>
    </w:p>
    <w:p w14:paraId="3D83163B">
      <w:pPr>
        <w:pStyle w:val="162"/>
        <w:spacing w:line="360" w:lineRule="auto"/>
      </w:pPr>
      <w:r>
        <w:rPr>
          <w:rFonts w:hint="eastAsia"/>
        </w:rPr>
        <w:t>本文件由发布机构负责解释。</w:t>
      </w:r>
    </w:p>
    <w:p w14:paraId="68F8B7E3">
      <w:pPr>
        <w:pStyle w:val="162"/>
        <w:spacing w:line="360" w:lineRule="auto"/>
      </w:pPr>
      <w:r>
        <w:rPr>
          <w:rFonts w:hint="eastAsia"/>
        </w:rPr>
        <w:t>本文件实施过程中，使用单位可结合实验室定位与属地管理要求制定实施细则，但不应降低本文件对安全防护、质量控制、计量溯源、样品追溯与二次危险废物合规管理的要求。</w:t>
      </w:r>
    </w:p>
    <w:p w14:paraId="779098BF">
      <w:pPr>
        <w:pStyle w:val="162"/>
        <w:spacing w:line="360" w:lineRule="auto"/>
      </w:pPr>
      <w:r>
        <w:rPr>
          <w:rFonts w:hint="eastAsia"/>
        </w:rPr>
        <w:t>本文件未尽事项应符合国家现行有关法律法规、检验检测资质认定要求以及危险废物管理相关标准规范的规定。</w:t>
      </w:r>
    </w:p>
    <w:bookmarkEnd w:id="26"/>
    <w:p w14:paraId="45CD89FE">
      <w:pPr>
        <w:pStyle w:val="56"/>
        <w:ind w:firstLine="0" w:firstLineChars="0"/>
        <w:jc w:val="center"/>
      </w:pPr>
      <w:bookmarkStart w:id="59" w:name="BookMark8"/>
      <w:r>
        <w:drawing>
          <wp:inline distT="0" distB="0" distL="0" distR="0">
            <wp:extent cx="1485900" cy="317500"/>
            <wp:effectExtent l="0" t="0" r="0" b="6350"/>
            <wp:docPr id="2035159053" name="图片 1"/>
            <wp:cNvGraphicFramePr/>
            <a:graphic xmlns:a="http://schemas.openxmlformats.org/drawingml/2006/main">
              <a:graphicData uri="http://schemas.openxmlformats.org/drawingml/2006/picture">
                <pic:pic xmlns:pic="http://schemas.openxmlformats.org/drawingml/2006/picture">
                  <pic:nvPicPr>
                    <pic:cNvPr id="2035159053"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A804">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EAB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1F5A">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670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0CD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4F55">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887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FB3F">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CDBD8">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159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828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43D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E166">
    <w:pPr>
      <w:pStyle w:val="61"/>
    </w:pPr>
    <w:r>
      <w:fldChar w:fldCharType="begin"/>
    </w:r>
    <w:r>
      <w:instrText xml:space="preserve"> STYLEREF  标准文件_文件编号  \* MERGEFORMAT </w:instrText>
    </w:r>
    <w:r>
      <w:fldChar w:fldCharType="separate"/>
    </w:r>
    <w:r>
      <w:t>T/XZBX 0177—2025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FACC">
    <w:pPr>
      <w:pStyle w:val="62"/>
    </w:pPr>
    <w:r>
      <w:fldChar w:fldCharType="begin"/>
    </w:r>
    <w:r>
      <w:instrText xml:space="preserve"> STYLEREF  标准文件_文件编号 \* MERGEFORMAT </w:instrText>
    </w:r>
    <w:r>
      <w:fldChar w:fldCharType="separate"/>
    </w:r>
    <w:r>
      <w:t>T/XZBX 0177—2025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2E1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171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0709">
    <w:pPr>
      <w:pStyle w:val="61"/>
    </w:pPr>
    <w:r>
      <w:fldChar w:fldCharType="begin"/>
    </w:r>
    <w:r>
      <w:instrText xml:space="preserve"> STYLEREF  标准文件_文件编号  \* MERGEFORMAT </w:instrText>
    </w:r>
    <w:r>
      <w:fldChar w:fldCharType="separate"/>
    </w:r>
    <w:r>
      <w:t>T/XZBX 0177—2025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77A6">
    <w:pPr>
      <w:pStyle w:val="62"/>
    </w:pPr>
    <w:r>
      <w:fldChar w:fldCharType="begin"/>
    </w:r>
    <w:r>
      <w:instrText xml:space="preserve"> STYLEREF  标准文件_文件编号 \* MERGEFORMAT </w:instrText>
    </w:r>
    <w:r>
      <w:fldChar w:fldCharType="separate"/>
    </w:r>
    <w:r>
      <w:t>T/XZBX 0177—2025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CBC7F">
    <w:pPr>
      <w:pStyle w:val="61"/>
    </w:pPr>
    <w:r>
      <w:fldChar w:fldCharType="begin"/>
    </w:r>
    <w:r>
      <w:instrText xml:space="preserve"> STYLEREF  标准文件_文件编号  \* MERGEFORMAT </w:instrText>
    </w:r>
    <w:r>
      <w:fldChar w:fldCharType="separate"/>
    </w:r>
    <w:r>
      <w:t>T/XZBX 0177—2025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EED7">
    <w:pPr>
      <w:pStyle w:val="62"/>
    </w:pPr>
    <w:r>
      <w:fldChar w:fldCharType="begin"/>
    </w:r>
    <w:r>
      <w:instrText xml:space="preserve"> STYLEREF  标准文件_文件编号 \* MERGEFORMAT </w:instrText>
    </w:r>
    <w:r>
      <w:fldChar w:fldCharType="separate"/>
    </w:r>
    <w:r>
      <w:t>T/XZBX 0177—2025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43B2">
    <w:pPr>
      <w:pStyle w:val="61"/>
    </w:pPr>
    <w:r>
      <w:fldChar w:fldCharType="begin"/>
    </w:r>
    <w:r>
      <w:instrText xml:space="preserve"> STYLEREF  标准文件_文件编号  \* MERGEFORMAT </w:instrText>
    </w:r>
    <w:r>
      <w:fldChar w:fldCharType="separate"/>
    </w:r>
    <w:r>
      <w:t>T/XZBX 0177—2025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D613">
    <w:pPr>
      <w:pStyle w:val="62"/>
    </w:pPr>
    <w:r>
      <w:fldChar w:fldCharType="begin"/>
    </w:r>
    <w:r>
      <w:instrText xml:space="preserve"> STYLEREF  标准文件_文件编号 \* MERGEFORMAT </w:instrText>
    </w:r>
    <w:r>
      <w:fldChar w:fldCharType="separate"/>
    </w:r>
    <w:r>
      <w:t>T/XZBX 0177—2025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NLY0MzYwNjQ0MzJV0lEKTi0uzszPAykwrgUA5UAOHiwAAAA="/>
  </w:docVars>
  <w:rsids>
    <w:rsidRoot w:val="00552C1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11B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5A"/>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66C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0B5F"/>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3EA"/>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1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FC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779"/>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7ACD"/>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A19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qFormat="1"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BBCC73F4814DF2B25CA2AC390573F6"/>
        <w:style w:val=""/>
        <w:category>
          <w:name w:val="常规"/>
          <w:gallery w:val="placeholder"/>
        </w:category>
        <w:types>
          <w:type w:val="bbPlcHdr"/>
        </w:types>
        <w:behaviors>
          <w:behavior w:val="content"/>
        </w:behaviors>
        <w:description w:val=""/>
        <w:guid w:val="{9427020E-6A06-4D66-924C-EB98A1B6DD87}"/>
      </w:docPartPr>
      <w:docPartBody>
        <w:p w14:paraId="2AEE233F">
          <w:pPr>
            <w:pStyle w:val="5"/>
          </w:pPr>
          <w:r>
            <w:rPr>
              <w:rStyle w:val="4"/>
              <w:rFonts w:hint="eastAsia"/>
            </w:rPr>
            <w:t>单击或点击此处输入文字。</w:t>
          </w:r>
        </w:p>
      </w:docPartBody>
    </w:docPart>
    <w:docPart>
      <w:docPartPr>
        <w:name w:val="4197A65F6D1E4BDD9AF6599EC272F31A"/>
        <w:style w:val=""/>
        <w:category>
          <w:name w:val="常规"/>
          <w:gallery w:val="placeholder"/>
        </w:category>
        <w:types>
          <w:type w:val="bbPlcHdr"/>
        </w:types>
        <w:behaviors>
          <w:behavior w:val="content"/>
        </w:behaviors>
        <w:description w:val=""/>
        <w:guid w:val="{C8738F1D-31EE-427A-B697-1B6EDB8E2165}"/>
      </w:docPartPr>
      <w:docPartBody>
        <w:p w14:paraId="08488B4D">
          <w:pPr>
            <w:pStyle w:val="6"/>
          </w:pPr>
          <w:r>
            <w:rPr>
              <w:rStyle w:val="4"/>
              <w:rFonts w:hint="eastAsia"/>
            </w:rPr>
            <w:t>选择一项。</w:t>
          </w:r>
        </w:p>
      </w:docPartBody>
    </w:docPart>
    <w:docPart>
      <w:docPartPr>
        <w:name w:val="4EDDD88E7485469AB9D97C1BDAB03DEF"/>
        <w:style w:val=""/>
        <w:category>
          <w:name w:val="常规"/>
          <w:gallery w:val="placeholder"/>
        </w:category>
        <w:types>
          <w:type w:val="bbPlcHdr"/>
        </w:types>
        <w:behaviors>
          <w:behavior w:val="content"/>
        </w:behaviors>
        <w:description w:val=""/>
        <w:guid w:val="{0BDBC170-7FAF-48FE-9B01-770DD19208EE}"/>
      </w:docPartPr>
      <w:docPartBody>
        <w:p w14:paraId="79D00CC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B0"/>
    <w:rsid w:val="00417E41"/>
    <w:rsid w:val="005F0F43"/>
    <w:rsid w:val="008B595F"/>
    <w:rsid w:val="00D27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8BBCC73F4814DF2B25CA2AC390573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197A65F6D1E4BDD9AF6599EC272F3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EDDD88E7485469AB9D97C1BDAB03DE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20</Pages>
  <Words>4378</Words>
  <Characters>4750</Characters>
  <Lines>82</Lines>
  <Paragraphs>23</Paragraphs>
  <TotalTime>1</TotalTime>
  <ScaleCrop>false</ScaleCrop>
  <LinksUpToDate>false</LinksUpToDate>
  <CharactersWithSpaces>4887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2025-12-24T01:39:00Z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2026-01-04T07:11:26Z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2052-12.1.0.24034</vt:lpwstr>
  </property>
  <property fmtid="{D5CDD505-2E9C-101B-9397-08002B2CF9AE}" pid="17" name="ICV">
    <vt:lpwstr>5F093AA1868848BC905CF17BEA6176DB_12</vt:lpwstr>
  </property>
</Properties>
</file>