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4C110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F94BB3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27DFB435">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93.160"/>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93.160</w:t>
            </w:r>
            <w:r>
              <w:rPr>
                <w:rFonts w:ascii="黑体" w:hAnsi="黑体" w:eastAsia="黑体"/>
                <w:sz w:val="21"/>
                <w:szCs w:val="21"/>
              </w:rPr>
              <w:fldChar w:fldCharType="end"/>
            </w:r>
            <w:bookmarkEnd w:id="0"/>
          </w:p>
        </w:tc>
      </w:tr>
      <w:tr w14:paraId="32D03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2118C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6421A0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21BF62E8">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0EC42EB">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P 55"/>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P 55</w:t>
            </w:r>
            <w:r>
              <w:rPr>
                <w:rFonts w:ascii="黑体" w:hAnsi="黑体" w:eastAsia="黑体"/>
                <w:sz w:val="21"/>
                <w:szCs w:val="21"/>
              </w:rPr>
              <w:fldChar w:fldCharType="end"/>
            </w:r>
            <w:bookmarkEnd w:id="2"/>
          </w:p>
        </w:tc>
      </w:tr>
    </w:tbl>
    <w:p w14:paraId="79079AC4">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33C9468B">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174"/>
            </w:textInput>
          </w:ffData>
        </w:fldChar>
      </w:r>
      <w:bookmarkStart w:id="6" w:name="NSTD_CODE_F"/>
      <w:r>
        <w:instrText xml:space="preserve"> FORMTEXT </w:instrText>
      </w:r>
      <w:r>
        <w:fldChar w:fldCharType="separate"/>
      </w:r>
      <w:r>
        <w:t>0174</w:t>
      </w:r>
      <w:r>
        <w:fldChar w:fldCharType="end"/>
      </w:r>
      <w:bookmarkEnd w:id="6"/>
      <w:r>
        <w:rPr>
          <w:rFonts w:hAnsi="黑体"/>
        </w:rPr>
        <w:t>—</w:t>
      </w:r>
      <w:r>
        <w:fldChar w:fldCharType="begin">
          <w:ffData>
            <w:name w:val="NSTD_CODE_B"/>
            <w:enabled/>
            <w:calcOnExit w:val="0"/>
            <w:textInput>
              <w:default w:val="2025"/>
            </w:textInput>
          </w:ffData>
        </w:fldChar>
      </w:r>
      <w:bookmarkStart w:id="7" w:name="NSTD_CODE_B"/>
      <w:r>
        <w:instrText xml:space="preserve"> FORMTEXT </w:instrText>
      </w:r>
      <w:r>
        <w:fldChar w:fldCharType="separate"/>
      </w:r>
      <w:r>
        <w:t>2025</w:t>
      </w:r>
      <w:r>
        <w:fldChar w:fldCharType="end"/>
      </w:r>
      <w:bookmarkEnd w:id="7"/>
    </w:p>
    <w:p w14:paraId="4BA4075B">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6EBB051F">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17C07904">
      <w:pPr>
        <w:pStyle w:val="50"/>
        <w:framePr w:w="9639" w:h="6976" w:hRule="exact" w:hSpace="0" w:vSpace="0" w:wrap="around" w:hAnchor="page" w:y="6408"/>
        <w:jc w:val="center"/>
        <w:rPr>
          <w:rFonts w:ascii="黑体" w:hAnsi="黑体" w:eastAsia="黑体"/>
          <w:b w:val="0"/>
          <w:bCs w:val="0"/>
          <w:w w:val="100"/>
        </w:rPr>
      </w:pPr>
    </w:p>
    <w:p w14:paraId="4DEF4094">
      <w:pPr>
        <w:pStyle w:val="197"/>
        <w:framePr w:h="6974" w:hRule="exact" w:wrap="around" w:x="1419" w:anchorLock="1"/>
      </w:pPr>
      <w:r>
        <w:fldChar w:fldCharType="begin">
          <w:ffData>
            <w:name w:val="CSTD_NAME"/>
            <w:enabled/>
            <w:calcOnExit w:val="0"/>
            <w:textInput>
              <w:default w:val="水利工程施工安全隐患防控规范"/>
            </w:textInput>
          </w:ffData>
        </w:fldChar>
      </w:r>
      <w:bookmarkStart w:id="9" w:name="CSTD_NAME"/>
      <w:r>
        <w:instrText xml:space="preserve"> FORMTEXT </w:instrText>
      </w:r>
      <w:r>
        <w:fldChar w:fldCharType="separate"/>
      </w:r>
      <w:r>
        <w:t>水利工程施工安全隐患防控规范</w:t>
      </w:r>
      <w:r>
        <w:fldChar w:fldCharType="end"/>
      </w:r>
      <w:bookmarkEnd w:id="9"/>
    </w:p>
    <w:p w14:paraId="6E8D5B75">
      <w:pPr>
        <w:framePr w:w="9639" w:h="6974" w:hRule="exact" w:wrap="around" w:vAnchor="page" w:hAnchor="page" w:x="1419" w:y="6408" w:anchorLock="1"/>
        <w:ind w:left="-1418"/>
      </w:pPr>
    </w:p>
    <w:p w14:paraId="3FFA94B6">
      <w:pPr>
        <w:pStyle w:val="125"/>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Specification for prevention and control of safety hazards in water conservancy project construction"/>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prevention and control of safety hazards in water conservancy project construction</w:t>
      </w:r>
      <w:r>
        <w:rPr>
          <w:rFonts w:ascii="黑体" w:hAnsi="黑体" w:eastAsia="黑体"/>
          <w:szCs w:val="28"/>
        </w:rPr>
        <w:fldChar w:fldCharType="end"/>
      </w:r>
      <w:bookmarkEnd w:id="10"/>
    </w:p>
    <w:p w14:paraId="0B27D1AD">
      <w:pPr>
        <w:framePr w:w="9639" w:h="6974" w:hRule="exact" w:wrap="around" w:vAnchor="page" w:hAnchor="page" w:x="1419" w:y="6408" w:anchorLock="1"/>
        <w:spacing w:line="760" w:lineRule="exact"/>
        <w:ind w:left="-1418"/>
      </w:pPr>
    </w:p>
    <w:p w14:paraId="11A39F3C">
      <w:pPr>
        <w:pStyle w:val="125"/>
        <w:framePr w:w="9639" w:h="6974" w:hRule="exact" w:wrap="around" w:vAnchor="page" w:hAnchor="page" w:x="1419" w:y="6408" w:anchorLock="1"/>
        <w:textAlignment w:val="bottom"/>
        <w:rPr>
          <w:rFonts w:eastAsia="黑体"/>
          <w:szCs w:val="28"/>
        </w:rPr>
      </w:pPr>
    </w:p>
    <w:p w14:paraId="4D207BEA">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723EA5E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686FB6AE">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0C025BA">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674155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2E641429">
      <w:pPr>
        <w:pStyle w:val="151"/>
        <w:framePr w:h="584" w:hRule="exact" w:hSpace="181" w:vSpace="181" w:wrap="around" w:y="14800"/>
        <w:rPr>
          <w:rFonts w:hAnsi="黑体"/>
        </w:rPr>
      </w:pPr>
      <w:r>
        <w:rPr>
          <w:rFonts w:hAnsi="黑体"/>
          <w:w w:val="100"/>
          <w:sz w:val="28"/>
        </w:rPr>
        <w:fldChar w:fldCharType="begin">
          <w:ffData>
            <w:name w:val="fm"/>
            <w:enabled/>
            <w:calcOnExit w:val="0"/>
            <w:textInput>
              <w:default w:val="西安市质量与标准化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西安市质量与标准化协会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5066230A">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54AD6BC7">
      <w:pPr>
        <w:pStyle w:val="91"/>
        <w:spacing w:after="360"/>
      </w:pPr>
      <w:bookmarkStart w:id="21" w:name="BookMark1"/>
      <w:r>
        <w:rPr>
          <w:rFonts w:hint="eastAsia"/>
          <w:spacing w:val="320"/>
        </w:rPr>
        <w:t>目</w:t>
      </w:r>
      <w:r>
        <w:rPr>
          <w:rFonts w:hint="eastAsia"/>
        </w:rPr>
        <w:t>次</w:t>
      </w:r>
    </w:p>
    <w:p w14:paraId="0A8B5F4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"_Toc217480358"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_Toc217480358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1FD399F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"_Toc217480359"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_Toc217480359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13C54FE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"_Toc217480360"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_Toc217480360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397F25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"_Toc217480361"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_Toc217480361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739CDA0">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"_Toc217480362"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_Toc217480362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F9245ED">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"_Toc217480363" </w:instrText>
      </w:r>
      <w:r>
        <w:fldChar w:fldCharType="separate"/>
      </w:r>
      <w:r>
        <w:rPr>
          <w:rStyle w:val="32"/>
          <w:rFonts w:hint="eastAsia"/>
        </w:rPr>
        <w:t>4</w:t>
      </w:r>
      <w:r>
        <w:rPr>
          <w:rStyle w:val="32"/>
        </w:rPr>
        <w:t xml:space="preserve"> </w:t>
      </w:r>
      <w:r>
        <w:rPr>
          <w:rStyle w:val="32"/>
          <w:rFonts w:hint="eastAsia"/>
        </w:rPr>
        <w:t xml:space="preserve"> 总体要求</w:t>
      </w:r>
      <w:r>
        <w:rPr>
          <w:rFonts w:hint="eastAsia"/>
        </w:rPr>
        <w:tab/>
      </w:r>
      <w:r>
        <w:rPr>
          <w:rFonts w:hint="eastAsia"/>
        </w:rPr>
        <w:fldChar w:fldCharType="begin"/>
      </w:r>
      <w:r>
        <w:rPr>
          <w:rFonts w:hint="eastAsia"/>
        </w:rPr>
        <w:instrText xml:space="preserve"> </w:instrText>
      </w:r>
      <w:r>
        <w:instrText xml:space="preserve">PAGEREF _Toc217480363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79913D8E">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"_Toc217480364" </w:instrText>
      </w:r>
      <w:r>
        <w:fldChar w:fldCharType="separate"/>
      </w:r>
      <w:r>
        <w:rPr>
          <w:rStyle w:val="32"/>
          <w:rFonts w:hint="eastAsia"/>
        </w:rPr>
        <w:t>5</w:t>
      </w:r>
      <w:r>
        <w:rPr>
          <w:rStyle w:val="32"/>
        </w:rPr>
        <w:t xml:space="preserve"> </w:t>
      </w:r>
      <w:r>
        <w:rPr>
          <w:rStyle w:val="32"/>
          <w:rFonts w:hint="eastAsia"/>
        </w:rPr>
        <w:t xml:space="preserve"> 安全隐患防控要求</w:t>
      </w:r>
      <w:r>
        <w:rPr>
          <w:rFonts w:hint="eastAsia"/>
        </w:rPr>
        <w:tab/>
      </w:r>
      <w:r>
        <w:rPr>
          <w:rFonts w:hint="eastAsia"/>
        </w:rPr>
        <w:fldChar w:fldCharType="begin"/>
      </w:r>
      <w:r>
        <w:rPr>
          <w:rFonts w:hint="eastAsia"/>
        </w:rPr>
        <w:instrText xml:space="preserve"> </w:instrText>
      </w:r>
      <w:r>
        <w:instrText xml:space="preserve">PAGEREF _Toc217480364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3F3741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"_Toc217480365" </w:instrText>
      </w:r>
      <w:r>
        <w:fldChar w:fldCharType="separate"/>
      </w:r>
      <w:r>
        <w:rPr>
          <w:rStyle w:val="32"/>
          <w:rFonts w:hint="eastAsia"/>
        </w:rPr>
        <w:t>6</w:t>
      </w:r>
      <w:r>
        <w:rPr>
          <w:rStyle w:val="32"/>
        </w:rPr>
        <w:t xml:space="preserve"> </w:t>
      </w:r>
      <w:r>
        <w:rPr>
          <w:rStyle w:val="32"/>
          <w:rFonts w:hint="eastAsia"/>
        </w:rPr>
        <w:t xml:space="preserve"> 隐患排查治理与闭环管理</w:t>
      </w:r>
      <w:r>
        <w:rPr>
          <w:rFonts w:hint="eastAsia"/>
        </w:rPr>
        <w:tab/>
      </w:r>
      <w:r>
        <w:rPr>
          <w:rFonts w:hint="eastAsia"/>
        </w:rPr>
        <w:fldChar w:fldCharType="begin"/>
      </w:r>
      <w:r>
        <w:rPr>
          <w:rFonts w:hint="eastAsia"/>
        </w:rPr>
        <w:instrText xml:space="preserve"> </w:instrText>
      </w:r>
      <w:r>
        <w:instrText xml:space="preserve">PAGEREF _Toc217480365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B9417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"_Toc217480366" </w:instrText>
      </w:r>
      <w:r>
        <w:fldChar w:fldCharType="separate"/>
      </w:r>
      <w:r>
        <w:rPr>
          <w:rStyle w:val="32"/>
          <w:rFonts w:hint="eastAsia"/>
        </w:rPr>
        <w:t>7</w:t>
      </w:r>
      <w:r>
        <w:rPr>
          <w:rStyle w:val="32"/>
        </w:rPr>
        <w:t xml:space="preserve"> </w:t>
      </w:r>
      <w:r>
        <w:rPr>
          <w:rStyle w:val="32"/>
          <w:rFonts w:hint="eastAsia"/>
        </w:rPr>
        <w:t xml:space="preserve"> 重点时段与特殊环境防控</w:t>
      </w:r>
      <w:r>
        <w:rPr>
          <w:rFonts w:hint="eastAsia"/>
        </w:rPr>
        <w:tab/>
      </w:r>
      <w:r>
        <w:rPr>
          <w:rFonts w:hint="eastAsia"/>
        </w:rPr>
        <w:fldChar w:fldCharType="begin"/>
      </w:r>
      <w:r>
        <w:rPr>
          <w:rFonts w:hint="eastAsia"/>
        </w:rPr>
        <w:instrText xml:space="preserve"> </w:instrText>
      </w:r>
      <w:r>
        <w:instrText xml:space="preserve">PAGEREF _Toc217480366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710508A">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"_Toc217480367" </w:instrText>
      </w:r>
      <w:r>
        <w:fldChar w:fldCharType="separate"/>
      </w:r>
      <w:r>
        <w:rPr>
          <w:rStyle w:val="32"/>
          <w:rFonts w:hint="eastAsia"/>
        </w:rPr>
        <w:t>8</w:t>
      </w:r>
      <w:r>
        <w:rPr>
          <w:rStyle w:val="32"/>
        </w:rPr>
        <w:t xml:space="preserve"> </w:t>
      </w:r>
      <w:r>
        <w:rPr>
          <w:rStyle w:val="32"/>
          <w:rFonts w:hint="eastAsia"/>
        </w:rPr>
        <w:t xml:space="preserve"> 应急准备与事故事件处置</w:t>
      </w:r>
      <w:r>
        <w:rPr>
          <w:rFonts w:hint="eastAsia"/>
        </w:rPr>
        <w:tab/>
      </w:r>
      <w:r>
        <w:rPr>
          <w:rFonts w:hint="eastAsia"/>
        </w:rPr>
        <w:fldChar w:fldCharType="begin"/>
      </w:r>
      <w:r>
        <w:rPr>
          <w:rFonts w:hint="eastAsia"/>
        </w:rPr>
        <w:instrText xml:space="preserve"> </w:instrText>
      </w:r>
      <w:r>
        <w:instrText xml:space="preserve">PAGEREF _Toc217480367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17EE725C">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"_Toc217480368" </w:instrText>
      </w:r>
      <w:r>
        <w:fldChar w:fldCharType="separate"/>
      </w:r>
      <w:r>
        <w:rPr>
          <w:rStyle w:val="32"/>
          <w:rFonts w:hint="eastAsia"/>
        </w:rPr>
        <w:t>9</w:t>
      </w:r>
      <w:r>
        <w:rPr>
          <w:rStyle w:val="32"/>
        </w:rPr>
        <w:t xml:space="preserve"> </w:t>
      </w:r>
      <w:r>
        <w:rPr>
          <w:rStyle w:val="32"/>
          <w:rFonts w:hint="eastAsia"/>
        </w:rPr>
        <w:t xml:space="preserve"> 评价改进</w:t>
      </w:r>
      <w:r>
        <w:rPr>
          <w:rFonts w:hint="eastAsia"/>
        </w:rPr>
        <w:tab/>
      </w:r>
      <w:r>
        <w:rPr>
          <w:rFonts w:hint="eastAsia"/>
        </w:rPr>
        <w:fldChar w:fldCharType="begin"/>
      </w:r>
      <w:r>
        <w:rPr>
          <w:rFonts w:hint="eastAsia"/>
        </w:rPr>
        <w:instrText xml:space="preserve"> </w:instrText>
      </w:r>
      <w:r>
        <w:instrText xml:space="preserve">PAGEREF _Toc217480368 \h</w:instrText>
      </w:r>
      <w:r>
        <w:rPr>
          <w:rFonts w:hint="eastAsia"/>
        </w:rPr>
        <w:instrText xml:space="preserve"> </w:instrText>
      </w:r>
      <w:r>
        <w:rPr>
          <w:rFonts w:hint="eastAsia"/>
        </w:rPr>
        <w:fldChar w:fldCharType="separate"/>
      </w:r>
      <w:r>
        <w:t>10</w:t>
      </w:r>
      <w:r>
        <w:rPr>
          <w:rFonts w:hint="eastAsia"/>
        </w:rPr>
        <w:fldChar w:fldCharType="end"/>
      </w:r>
      <w:r>
        <w:rPr>
          <w:rFonts w:hint="eastAsia"/>
        </w:rPr>
        <w:fldChar w:fldCharType="end"/>
      </w:r>
    </w:p>
    <w:p w14:paraId="216BC0FC">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56D2C0C5">
      <w:pPr>
        <w:pStyle w:val="89"/>
        <w:spacing w:before="900" w:after="360"/>
      </w:pPr>
      <w:bookmarkStart w:id="22" w:name="_Toc217480358"/>
      <w:bookmarkStart w:id="23" w:name="BookMark2"/>
      <w:r>
        <w:rPr>
          <w:spacing w:val="320"/>
        </w:rPr>
        <w:t>前</w:t>
      </w:r>
      <w:r>
        <w:t>言</w:t>
      </w:r>
      <w:bookmarkEnd w:id="22"/>
    </w:p>
    <w:p w14:paraId="222E6A20">
      <w:pPr>
        <w:pStyle w:val="56"/>
        <w:spacing w:line="360" w:lineRule="auto"/>
        <w:ind w:firstLine="420"/>
      </w:pPr>
      <w:r>
        <w:rPr>
          <w:rFonts w:hint="eastAsia"/>
        </w:rPr>
        <w:t>本文件按照GB/T 1.1—2020《标准化工作导则  第1部分：标准化文件的结构和起草规则》的规定起草。</w:t>
      </w:r>
    </w:p>
    <w:p w14:paraId="17FA224E">
      <w:pPr>
        <w:pStyle w:val="56"/>
        <w:spacing w:line="360" w:lineRule="auto"/>
        <w:ind w:firstLine="420"/>
      </w:pPr>
      <w:r>
        <w:rPr>
          <w:rFonts w:hint="eastAsia"/>
        </w:rPr>
        <w:t>请注意本文件的某些内容可能涉及专利。本文件的发布机构不承担识别专利的责任。</w:t>
      </w:r>
    </w:p>
    <w:p w14:paraId="3E62C14B">
      <w:pPr>
        <w:pStyle w:val="56"/>
        <w:spacing w:line="360" w:lineRule="auto"/>
        <w:ind w:firstLine="420"/>
      </w:pPr>
      <w:r>
        <w:rPr>
          <w:rFonts w:hint="eastAsia"/>
        </w:rPr>
        <w:t>本文件由西安市质量与标准化协会提出并归口。</w:t>
      </w:r>
    </w:p>
    <w:p w14:paraId="2C9E769C">
      <w:pPr>
        <w:pStyle w:val="56"/>
        <w:spacing w:line="360" w:lineRule="auto"/>
        <w:ind w:firstLine="420"/>
      </w:pPr>
      <w:r>
        <w:rPr>
          <w:rFonts w:hint="eastAsia"/>
        </w:rPr>
        <w:t>本文件起草单位：江苏祥和项目管理有限公司</w:t>
      </w:r>
      <w:bookmarkStart w:id="58" w:name="_GoBack"/>
      <w:bookmarkEnd w:id="58"/>
      <w:r>
        <w:rPr>
          <w:rFonts w:hint="eastAsia"/>
        </w:rPr>
        <w:t>。</w:t>
      </w:r>
    </w:p>
    <w:p w14:paraId="3890D037">
      <w:pPr>
        <w:pStyle w:val="56"/>
        <w:spacing w:line="360" w:lineRule="auto"/>
        <w:ind w:firstLine="420"/>
      </w:pPr>
      <w:r>
        <w:rPr>
          <w:rFonts w:hint="eastAsia"/>
        </w:rPr>
        <w:t>本文件主要起草人：葛庆中。</w:t>
      </w:r>
    </w:p>
    <w:p w14:paraId="24C66E2A">
      <w:pPr>
        <w:pStyle w:val="56"/>
        <w:ind w:firstLine="420"/>
      </w:pPr>
    </w:p>
    <w:p w14:paraId="25CD513D">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start="3"/>
          <w:cols w:space="425" w:num="1"/>
          <w:formProt w:val="0"/>
          <w:docGrid w:linePitch="312" w:charSpace="0"/>
        </w:sectPr>
      </w:pPr>
    </w:p>
    <w:bookmarkEnd w:id="23"/>
    <w:p w14:paraId="5A4344C2">
      <w:pPr>
        <w:pStyle w:val="89"/>
        <w:spacing w:after="360"/>
      </w:pPr>
      <w:bookmarkStart w:id="24" w:name="_Toc217480359"/>
      <w:bookmarkStart w:id="25" w:name="BookMark3"/>
      <w:r>
        <w:rPr>
          <w:spacing w:val="320"/>
        </w:rPr>
        <w:t>引</w:t>
      </w:r>
      <w:r>
        <w:t>言</w:t>
      </w:r>
      <w:bookmarkEnd w:id="24"/>
    </w:p>
    <w:p w14:paraId="119C5246">
      <w:pPr>
        <w:pStyle w:val="56"/>
        <w:spacing w:line="360" w:lineRule="auto"/>
        <w:ind w:firstLine="420"/>
      </w:pPr>
      <w:r>
        <w:rPr>
          <w:rFonts w:hint="eastAsia"/>
        </w:rPr>
        <w:t>水利工程施工通常具有作业面广、工序交叉多、临水临边作业频繁、季节性与水文气象影响显著、重大危险源类型复杂等特点，且常涉及围堰导流、深基坑开挖、边坡与高边坡支护、大体积混凝土浇筑、起重吊装、爆破作业、临时用电、有限空间作业、隧洞与地下工程施工等高风险活动。一旦安全隐患识别不充分、风险分级管控不到位、隐患排查治理不闭环或应急准备不足，易引发坍塌、淹溺、触电、高处坠落、物体打击、机械伤害、中毒窒息以及群死群伤等事故，对人员生命安全、工程质量、工期和社会影响造成严重后果。</w:t>
      </w:r>
    </w:p>
    <w:p w14:paraId="21ABEEBA">
      <w:pPr>
        <w:pStyle w:val="56"/>
        <w:spacing w:line="360" w:lineRule="auto"/>
        <w:ind w:firstLine="420"/>
      </w:pPr>
      <w:r>
        <w:rPr>
          <w:rFonts w:hint="eastAsia"/>
        </w:rPr>
        <w:t>近年来，行业管理对“风险分级管控+隐患排查治理”双重预防机制提出更高要求，强调以系统化方法实现施工风险前移控制、关键节点全过程管控、承包商与分包协同治理、数据化留痕与可追溯管理。本文件面向水利工程施工全过程，提出安全隐患防控的总体原则、组织与职责、风险识别与分级、隐患排查治理、关键作业环节与重大危险源防控、应急与持续改进等要求，旨在推动水利工程施工安全管理由经验性治理向标准化、制度化、精细化、闭环化治理提升，为工程参建单位开展安全隐患防控提供依据。</w:t>
      </w:r>
    </w:p>
    <w:p w14:paraId="343DE450">
      <w:pPr>
        <w:pStyle w:val="56"/>
        <w:ind w:firstLine="420"/>
      </w:pPr>
    </w:p>
    <w:p w14:paraId="5A8E8EA9">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fmt="upperRoman" w:start="5"/>
          <w:cols w:space="425" w:num="1"/>
          <w:formProt w:val="0"/>
          <w:docGrid w:linePitch="312" w:charSpace="0"/>
        </w:sectPr>
      </w:pPr>
    </w:p>
    <w:bookmarkEnd w:id="25"/>
    <w:p w14:paraId="795B0EAC">
      <w:pPr>
        <w:spacing w:line="20" w:lineRule="exact"/>
        <w:jc w:val="center"/>
        <w:rPr>
          <w:rFonts w:ascii="黑体" w:hAnsi="黑体" w:eastAsia="黑体"/>
          <w:sz w:val="32"/>
          <w:szCs w:val="32"/>
        </w:rPr>
      </w:pPr>
      <w:bookmarkStart w:id="26" w:name="BookMark4"/>
    </w:p>
    <w:p w14:paraId="354EC6BC">
      <w:pPr>
        <w:spacing w:line="20" w:lineRule="exact"/>
        <w:jc w:val="center"/>
        <w:rPr>
          <w:rFonts w:ascii="黑体" w:hAnsi="黑体" w:eastAsia="黑体"/>
          <w:sz w:val="32"/>
          <w:szCs w:val="32"/>
        </w:rPr>
      </w:pPr>
    </w:p>
    <w:sdt>
      <w:sdtPr>
        <w:tag w:val="NEW_STAND_NAME"/>
        <w:id w:val="595910757"/>
        <w:lock w:val="sdtLocked"/>
        <w:placeholder>
          <w:docPart w:val="88BBCC73F4814DF2B25CA2AC390573F6"/>
        </w:placeholder>
      </w:sdtPr>
      <w:sdtContent>
        <w:p w14:paraId="2A2AE3A7">
          <w:pPr>
            <w:pStyle w:val="177"/>
          </w:pPr>
          <w:bookmarkStart w:id="27" w:name="NEW_STAND_NAME"/>
          <w:r>
            <w:rPr>
              <w:rFonts w:hint="eastAsia"/>
            </w:rPr>
            <w:t>水利工程施工安全隐患防控规范</w:t>
          </w:r>
        </w:p>
      </w:sdtContent>
    </w:sdt>
    <w:bookmarkEnd w:id="27"/>
    <w:p w14:paraId="4A6C50D7">
      <w:pPr>
        <w:pStyle w:val="104"/>
        <w:spacing w:before="240" w:after="240" w:line="360" w:lineRule="auto"/>
      </w:pPr>
      <w:bookmarkStart w:id="28" w:name="_Toc97192964"/>
      <w:bookmarkStart w:id="29" w:name="_Toc24884211"/>
      <w:bookmarkStart w:id="30" w:name="_Toc26986530"/>
      <w:bookmarkStart w:id="31" w:name="_Toc17233325"/>
      <w:bookmarkStart w:id="32" w:name="_Toc26986771"/>
      <w:bookmarkStart w:id="33" w:name="_Toc26648465"/>
      <w:bookmarkStart w:id="34" w:name="_Toc17233333"/>
      <w:bookmarkStart w:id="35" w:name="_Toc24884218"/>
      <w:bookmarkStart w:id="36" w:name="_Toc26718930"/>
      <w:bookmarkStart w:id="37" w:name="_Toc217480360"/>
      <w:r>
        <w:rPr>
          <w:rFonts w:hint="eastAsia"/>
        </w:rPr>
        <w:t>范围</w:t>
      </w:r>
      <w:bookmarkEnd w:id="28"/>
      <w:bookmarkEnd w:id="29"/>
      <w:bookmarkEnd w:id="30"/>
      <w:bookmarkEnd w:id="31"/>
      <w:bookmarkEnd w:id="32"/>
      <w:bookmarkEnd w:id="33"/>
      <w:bookmarkEnd w:id="34"/>
      <w:bookmarkEnd w:id="35"/>
      <w:bookmarkEnd w:id="36"/>
      <w:bookmarkEnd w:id="37"/>
    </w:p>
    <w:p w14:paraId="68CE524E">
      <w:pPr>
        <w:pStyle w:val="56"/>
        <w:spacing w:line="360" w:lineRule="auto"/>
        <w:ind w:firstLine="420"/>
      </w:pPr>
      <w:bookmarkStart w:id="38" w:name="_Toc24884212"/>
      <w:bookmarkStart w:id="39" w:name="_Toc24884219"/>
      <w:bookmarkStart w:id="40" w:name="_Toc26648466"/>
      <w:bookmarkStart w:id="41" w:name="_Toc17233326"/>
      <w:bookmarkStart w:id="42" w:name="_Toc17233334"/>
      <w:r>
        <w:rPr>
          <w:rFonts w:hint="eastAsia"/>
        </w:rPr>
        <w:t>本文件规定了水利工程施工安全隐患防控的总体要求、安全隐患防控要求、隐患排查治理与闭环管理、重点时段与特殊环境防控、应急准备与事故事件处置及评价改进等内容。</w:t>
      </w:r>
    </w:p>
    <w:p w14:paraId="38661369">
      <w:pPr>
        <w:pStyle w:val="56"/>
        <w:spacing w:line="360" w:lineRule="auto"/>
        <w:ind w:firstLine="420"/>
      </w:pPr>
      <w:r>
        <w:rPr>
          <w:rFonts w:hint="eastAsia"/>
        </w:rPr>
        <w:t>本文件适用于新建、改建、扩建水利工程施工阶段的安全隐患防控管理，也适用于工程监理、检测、咨询及运行维护改造期间的施工活动安全管理。对涉水涉电、隧洞与地下工程、爆破作业等专业性较强的工程，可在满足本文件要求基础上叠加相应专项安全技术标准或规程。</w:t>
      </w:r>
    </w:p>
    <w:p w14:paraId="3F036BAD">
      <w:pPr>
        <w:pStyle w:val="104"/>
        <w:spacing w:before="240" w:after="240" w:line="360" w:lineRule="auto"/>
      </w:pPr>
      <w:bookmarkStart w:id="43" w:name="_Toc217480361"/>
      <w:bookmarkStart w:id="44" w:name="_Toc97192965"/>
      <w:bookmarkStart w:id="45" w:name="_Toc26718931"/>
      <w:bookmarkStart w:id="46" w:name="_Toc26986772"/>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4197A65F6D1E4BDD9AF6599EC272F31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1469F19">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D06096B">
      <w:pPr>
        <w:pStyle w:val="56"/>
        <w:spacing w:line="360" w:lineRule="auto"/>
        <w:ind w:firstLine="420"/>
      </w:pPr>
      <w:r>
        <w:rPr>
          <w:rFonts w:hint="eastAsia"/>
        </w:rPr>
        <w:t>GB 2811—2019 头部防护  安全帽</w:t>
      </w:r>
    </w:p>
    <w:p w14:paraId="4630031C">
      <w:pPr>
        <w:pStyle w:val="56"/>
        <w:spacing w:line="360" w:lineRule="auto"/>
        <w:ind w:firstLine="420"/>
      </w:pPr>
      <w:r>
        <w:rPr>
          <w:rFonts w:hint="eastAsia"/>
        </w:rPr>
        <w:t>GB 6095 坠落防护 安全带</w:t>
      </w:r>
    </w:p>
    <w:p w14:paraId="3AF4361E">
      <w:pPr>
        <w:pStyle w:val="56"/>
        <w:spacing w:line="360" w:lineRule="auto"/>
        <w:ind w:firstLine="420"/>
      </w:pPr>
      <w:r>
        <w:rPr>
          <w:rFonts w:hint="eastAsia"/>
        </w:rPr>
        <w:t>GB 2894 安全标志及其使用导则</w:t>
      </w:r>
    </w:p>
    <w:p w14:paraId="0D522DFE">
      <w:pPr>
        <w:pStyle w:val="56"/>
        <w:spacing w:line="360" w:lineRule="auto"/>
        <w:ind w:firstLine="420"/>
      </w:pPr>
      <w:r>
        <w:rPr>
          <w:rFonts w:hint="eastAsia"/>
        </w:rPr>
        <w:t>GB 39800.1—2020 个体防护装备配备规范  第1部分：总则</w:t>
      </w:r>
    </w:p>
    <w:p w14:paraId="0165C2EC">
      <w:pPr>
        <w:pStyle w:val="56"/>
        <w:spacing w:line="360" w:lineRule="auto"/>
        <w:ind w:firstLine="420"/>
      </w:pPr>
      <w:r>
        <w:rPr>
          <w:rFonts w:hint="eastAsia"/>
        </w:rPr>
        <w:t>GB/T 1.1—2020 标准化工作导则 第1部分：标准化文件的结构和起草规则</w:t>
      </w:r>
    </w:p>
    <w:p w14:paraId="24BB2DB0">
      <w:pPr>
        <w:pStyle w:val="104"/>
        <w:spacing w:before="240" w:after="240" w:line="360" w:lineRule="auto"/>
      </w:pPr>
      <w:bookmarkStart w:id="48" w:name="_Toc217480362"/>
      <w:bookmarkStart w:id="49" w:name="_Toc97192966"/>
      <w:r>
        <w:rPr>
          <w:rFonts w:hint="eastAsia"/>
          <w:szCs w:val="21"/>
        </w:rPr>
        <w:t>术语和定义</w:t>
      </w:r>
      <w:bookmarkEnd w:id="48"/>
      <w:bookmarkEnd w:id="49"/>
    </w:p>
    <w:sdt>
      <w:sdtPr>
        <w:id w:val="-1909835108"/>
        <w:placeholder>
          <w:docPart w:val="4EDDD88E7485469AB9D97C1BDAB03DE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D471B2">
          <w:pPr>
            <w:pStyle w:val="56"/>
            <w:spacing w:line="360" w:lineRule="auto"/>
            <w:ind w:firstLine="420"/>
          </w:pPr>
          <w:bookmarkStart w:id="50" w:name="_Toc26986532"/>
          <w:bookmarkEnd w:id="50"/>
          <w:r>
            <w:t>下列术语和定义适用于本文件。</w:t>
          </w:r>
        </w:p>
      </w:sdtContent>
    </w:sdt>
    <w:p w14:paraId="3B8E661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安全隐患 safety hazard</w:t>
      </w:r>
    </w:p>
    <w:p w14:paraId="2CF2695B">
      <w:pPr>
        <w:pStyle w:val="56"/>
        <w:spacing w:line="360" w:lineRule="auto"/>
        <w:ind w:firstLine="420"/>
      </w:pPr>
      <w:r>
        <w:rPr>
          <w:rFonts w:hint="eastAsia"/>
        </w:rPr>
        <w:t>在施工活动中可能导致人员伤亡、财产损失或环境事件的人的不安全行为、物的不安全状态、管理缺陷以及环境不利因素的组合或单项问题。</w:t>
      </w:r>
    </w:p>
    <w:p w14:paraId="12870EA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重大事故隐患 major accident hazard</w:t>
      </w:r>
    </w:p>
    <w:p w14:paraId="7B7181D3">
      <w:pPr>
        <w:pStyle w:val="56"/>
        <w:spacing w:line="360" w:lineRule="auto"/>
        <w:ind w:firstLine="420"/>
      </w:pPr>
      <w:r>
        <w:rPr>
          <w:rFonts w:hint="eastAsia"/>
        </w:rPr>
        <w:t>可能导致群死群伤或造成重大损失的隐患，具有触发条件明确、后果严重、治理难度大或整改周期较长等特征，需实施专项治理与重点管控。</w:t>
      </w:r>
    </w:p>
    <w:p w14:paraId="0D1C61F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 risk</w:t>
      </w:r>
    </w:p>
    <w:p w14:paraId="1320BC10">
      <w:pPr>
        <w:pStyle w:val="56"/>
        <w:spacing w:line="360" w:lineRule="auto"/>
        <w:ind w:firstLine="420"/>
      </w:pPr>
      <w:r>
        <w:rPr>
          <w:rFonts w:hint="eastAsia"/>
        </w:rPr>
        <w:t>危险源在一定条件下发生事故的可能性与后果严重程度的组合。</w:t>
      </w:r>
    </w:p>
    <w:p w14:paraId="6E2DB970">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风险评估 risk assessment</w:t>
      </w:r>
    </w:p>
    <w:p w14:paraId="24C60BA5">
      <w:pPr>
        <w:pStyle w:val="56"/>
        <w:spacing w:line="360" w:lineRule="auto"/>
        <w:ind w:firstLine="420"/>
      </w:pPr>
      <w:r>
        <w:rPr>
          <w:rFonts w:hint="eastAsia"/>
        </w:rPr>
        <w:t>对危险源进行辨识、分析与评价，确定风险等级并提出控制措施的过程。</w:t>
      </w:r>
    </w:p>
    <w:p w14:paraId="16E05557">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风险分级管控 risk classification control</w:t>
      </w:r>
    </w:p>
    <w:p w14:paraId="55693E07">
      <w:pPr>
        <w:pStyle w:val="56"/>
        <w:spacing w:line="360" w:lineRule="auto"/>
        <w:ind w:firstLine="420"/>
      </w:pPr>
      <w:r>
        <w:rPr>
          <w:rFonts w:hint="eastAsia"/>
        </w:rPr>
        <w:t>依据风险评估结果，按风险等级实施差异化管控，明确责任主体、控制措施、监测预警与动态复评机制的管理活动。</w:t>
      </w:r>
    </w:p>
    <w:p w14:paraId="62EAF5A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隐患排查治理 hazard inspection and remediation</w:t>
      </w:r>
    </w:p>
    <w:p w14:paraId="03F5DA4E">
      <w:pPr>
        <w:pStyle w:val="56"/>
        <w:spacing w:line="360" w:lineRule="auto"/>
        <w:ind w:firstLine="420"/>
      </w:pPr>
      <w:r>
        <w:rPr>
          <w:rFonts w:hint="eastAsia"/>
        </w:rPr>
        <w:t>对施工现场安全隐患进行排查、登记、评估、整改、复查、销号与统计分析的闭环管理过程。</w:t>
      </w:r>
    </w:p>
    <w:p w14:paraId="0776F79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作业许可 work permit</w:t>
      </w:r>
    </w:p>
    <w:p w14:paraId="52EE1E2D">
      <w:pPr>
        <w:pStyle w:val="56"/>
        <w:spacing w:line="360" w:lineRule="auto"/>
        <w:ind w:firstLine="420"/>
      </w:pPr>
      <w:r>
        <w:rPr>
          <w:rFonts w:hint="eastAsia"/>
        </w:rPr>
        <w:t>对高风险作业实施的准入控制机制，明确作业范围、条件确认、控制措施、审批流程、监护要求与有效期限。</w:t>
      </w:r>
    </w:p>
    <w:p w14:paraId="5B46216B">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旁站监护 standby supervision</w:t>
      </w:r>
    </w:p>
    <w:p w14:paraId="27DD4695">
      <w:pPr>
        <w:pStyle w:val="56"/>
        <w:spacing w:line="360" w:lineRule="auto"/>
        <w:ind w:firstLine="420"/>
      </w:pPr>
      <w:r>
        <w:rPr>
          <w:rFonts w:hint="eastAsia"/>
        </w:rPr>
        <w:t>在关键作业或危险性较大作业期间，由专职或指定人员在现场连续监督、核查关键条件并及时纠偏的管理活动。</w:t>
      </w:r>
    </w:p>
    <w:p w14:paraId="7981248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临时用电 temporary electricity</w:t>
      </w:r>
    </w:p>
    <w:p w14:paraId="0F14D8AE">
      <w:pPr>
        <w:pStyle w:val="56"/>
        <w:spacing w:line="360" w:lineRule="auto"/>
        <w:ind w:firstLine="420"/>
      </w:pPr>
      <w:r>
        <w:rPr>
          <w:rFonts w:hint="eastAsia"/>
        </w:rPr>
        <w:t>为施工生产与生活临时设置的供配电系统及其相关设施、线路与用电设备。</w:t>
      </w:r>
    </w:p>
    <w:p w14:paraId="23BC7E09">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有限空间 confined space</w:t>
      </w:r>
    </w:p>
    <w:p w14:paraId="601A9710">
      <w:pPr>
        <w:pStyle w:val="56"/>
        <w:spacing w:line="360" w:lineRule="auto"/>
        <w:ind w:firstLine="420"/>
      </w:pPr>
      <w:r>
        <w:rPr>
          <w:rFonts w:hint="eastAsia"/>
        </w:rPr>
        <w:t>进出口受限、自然通风不良、易造成有毒有害气体积聚或缺氧的空间，进入作业可能造成人员伤害或窒息。</w:t>
      </w:r>
    </w:p>
    <w:p w14:paraId="6E180117">
      <w:pPr>
        <w:pStyle w:val="104"/>
        <w:spacing w:before="240" w:after="240" w:line="360" w:lineRule="auto"/>
      </w:pPr>
      <w:bookmarkStart w:id="51" w:name="_Toc217480363"/>
      <w:r>
        <w:rPr>
          <w:rFonts w:hint="eastAsia"/>
        </w:rPr>
        <w:t>总体要求</w:t>
      </w:r>
      <w:bookmarkEnd w:id="51"/>
    </w:p>
    <w:p w14:paraId="1D2EAF56">
      <w:pPr>
        <w:pStyle w:val="105"/>
        <w:spacing w:before="120" w:after="120" w:line="360" w:lineRule="auto"/>
      </w:pPr>
      <w:r>
        <w:rPr>
          <w:rFonts w:hint="eastAsia"/>
        </w:rPr>
        <w:t>基本原则</w:t>
      </w:r>
    </w:p>
    <w:p w14:paraId="32390204">
      <w:pPr>
        <w:pStyle w:val="56"/>
        <w:spacing w:line="360" w:lineRule="auto"/>
        <w:ind w:firstLine="420"/>
      </w:pPr>
      <w:r>
        <w:rPr>
          <w:rFonts w:hint="eastAsia"/>
        </w:rPr>
        <w:t>水利工程施工安全隐患防控应坚持预防为主、风险导向、分级管控、全员参与、过程控制与闭环治理原则。应以风险识别与分级管控为主线，以隐患排查治理为抓手，将控制措施嵌入施工组织设计、专项施工方案、作业许可、班前教育与过程监督中，形成“识别—评估—控制—检查—整改—复盘”的闭环体系。</w:t>
      </w:r>
    </w:p>
    <w:p w14:paraId="6FE4F7F4">
      <w:pPr>
        <w:pStyle w:val="105"/>
        <w:spacing w:before="120" w:after="120" w:line="360" w:lineRule="auto"/>
      </w:pPr>
      <w:r>
        <w:rPr>
          <w:rFonts w:hint="eastAsia"/>
        </w:rPr>
        <w:t>组织体系与职责</w:t>
      </w:r>
    </w:p>
    <w:p w14:paraId="01B5DD00">
      <w:pPr>
        <w:pStyle w:val="56"/>
        <w:spacing w:line="360" w:lineRule="auto"/>
        <w:ind w:firstLine="420"/>
      </w:pPr>
      <w:r>
        <w:rPr>
          <w:rFonts w:hint="eastAsia"/>
        </w:rPr>
        <w:t>参建单位应建立与工程规模、危险程度及施工组织相匹配的安全管理组织体系，明确建设单位（或项目法人）、施工总承包单位、专业分包单位、监理单位等主体职责边界与协同机制。施工单位应明确项目负责人、专职安全管理人员、技术负责人、班组长与特种作业人员的安全职责，形成“管生产必须管安全、管业务必须管安全”的责任链条。对多标段或多作业面并行施工的，应设置统一协调机制，明确交叉作业边界、临时道路与临时用电统筹、吊装与运输组织、应急资源共享规则。</w:t>
      </w:r>
    </w:p>
    <w:p w14:paraId="5163F8EF">
      <w:pPr>
        <w:pStyle w:val="105"/>
        <w:spacing w:before="120" w:after="120" w:line="360" w:lineRule="auto"/>
      </w:pPr>
      <w:r>
        <w:rPr>
          <w:rFonts w:hint="eastAsia"/>
        </w:rPr>
        <w:t>风险识别与分级管控总体要求</w:t>
      </w:r>
    </w:p>
    <w:p w14:paraId="712496C2">
      <w:pPr>
        <w:pStyle w:val="56"/>
        <w:spacing w:line="360" w:lineRule="auto"/>
        <w:ind w:firstLine="420"/>
      </w:pPr>
      <w:r>
        <w:rPr>
          <w:rFonts w:hint="eastAsia"/>
        </w:rPr>
        <w:t>项目应在开工前及关键阶段开展风险识别与评估，形成风险清单并动态更新。风险识别应覆盖施工工序、作业环境、设备设施、人员能力、外部影响（汛情、地质灾害、极端天气、交通与周边公众活动等）以及管理体系要素。风险分级管控应落实到工点、工序、岗位和设备，明确管控措施、责任人、检查频次、预警阈值与应急处置要求。重大风险应实施领导带班、专项方案论证、旁站监护与关键参数监测。</w:t>
      </w:r>
    </w:p>
    <w:p w14:paraId="7706F4C0">
      <w:pPr>
        <w:pStyle w:val="105"/>
        <w:spacing w:before="120" w:after="120" w:line="360" w:lineRule="auto"/>
      </w:pPr>
      <w:r>
        <w:rPr>
          <w:rFonts w:hint="eastAsia"/>
        </w:rPr>
        <w:t>隐患排查治理机制</w:t>
      </w:r>
    </w:p>
    <w:p w14:paraId="4D77FB5C">
      <w:pPr>
        <w:pStyle w:val="56"/>
        <w:spacing w:line="360" w:lineRule="auto"/>
        <w:ind w:firstLine="420"/>
      </w:pPr>
      <w:r>
        <w:rPr>
          <w:rFonts w:hint="eastAsia"/>
        </w:rPr>
        <w:t>项目应建立隐患排查治理制度，明确排查类型（例行、专项、季节性、节假日前后、复工复产、重大工序转换、应急后等）、排查范围、判定标准、整改时限、复查程序与销号规则。隐患治理应坚持“谁主管谁负责、谁施工谁整改、谁验收谁签字”的原则，对重大事故隐患应实行挂牌督办，明确治理方案、资金资源、停工或限制作业条件及验收标准。</w:t>
      </w:r>
    </w:p>
    <w:p w14:paraId="12655DF1">
      <w:pPr>
        <w:pStyle w:val="56"/>
        <w:spacing w:line="360" w:lineRule="auto"/>
        <w:ind w:firstLine="420"/>
      </w:pPr>
      <w:r>
        <w:rPr>
          <w:rFonts w:hint="eastAsia"/>
        </w:rPr>
        <w:t>冻害风险等级与防护策略的类比做法可用于本文件的风险分级表达。为便于施工现场应用，施工安全隐患风险等级划分与管控策略建议见表1。</w:t>
      </w:r>
    </w:p>
    <w:p w14:paraId="7722176D">
      <w:pPr>
        <w:pStyle w:val="112"/>
        <w:spacing w:before="120" w:after="120"/>
      </w:pPr>
      <w:r>
        <w:rPr>
          <w:rFonts w:hint="eastAsia"/>
        </w:rPr>
        <w:t>施工安全隐患风险等级划分与管控策略建议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3826"/>
        <w:gridCol w:w="993"/>
        <w:gridCol w:w="3674"/>
      </w:tblGrid>
      <w:tr w14:paraId="3E2A57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7DA53378">
            <w:pPr>
              <w:pStyle w:val="178"/>
            </w:pPr>
            <w:r>
              <w:rPr>
                <w:rFonts w:hint="eastAsia"/>
              </w:rPr>
              <w:t>风险等级</w:t>
            </w:r>
          </w:p>
        </w:tc>
        <w:tc>
          <w:tcPr>
            <w:tcW w:w="3826" w:type="dxa"/>
            <w:tcBorders>
              <w:top w:val="single" w:color="auto" w:sz="8" w:space="0"/>
              <w:bottom w:val="single" w:color="auto" w:sz="8" w:space="0"/>
            </w:tcBorders>
            <w:vAlign w:val="center"/>
          </w:tcPr>
          <w:p w14:paraId="45B47875">
            <w:pPr>
              <w:pStyle w:val="178"/>
            </w:pPr>
            <w:r>
              <w:rPr>
                <w:rFonts w:hint="eastAsia"/>
              </w:rPr>
              <w:t>判定特征（综合判定）</w:t>
            </w:r>
          </w:p>
        </w:tc>
        <w:tc>
          <w:tcPr>
            <w:tcW w:w="993" w:type="dxa"/>
            <w:tcBorders>
              <w:top w:val="single" w:color="auto" w:sz="8" w:space="0"/>
              <w:bottom w:val="single" w:color="auto" w:sz="8" w:space="0"/>
            </w:tcBorders>
            <w:vAlign w:val="center"/>
          </w:tcPr>
          <w:p w14:paraId="377DEFB4">
            <w:pPr>
              <w:pStyle w:val="178"/>
            </w:pPr>
            <w:r>
              <w:rPr>
                <w:rFonts w:hint="eastAsia"/>
              </w:rPr>
              <w:t>管控策略</w:t>
            </w:r>
          </w:p>
        </w:tc>
        <w:tc>
          <w:tcPr>
            <w:tcW w:w="3674" w:type="dxa"/>
            <w:tcBorders>
              <w:top w:val="single" w:color="auto" w:sz="8" w:space="0"/>
              <w:bottom w:val="single" w:color="auto" w:sz="8" w:space="0"/>
            </w:tcBorders>
            <w:vAlign w:val="center"/>
          </w:tcPr>
          <w:p w14:paraId="7561A600">
            <w:pPr>
              <w:pStyle w:val="178"/>
            </w:pPr>
            <w:r>
              <w:rPr>
                <w:rFonts w:hint="eastAsia"/>
              </w:rPr>
              <w:t>管控要点</w:t>
            </w:r>
          </w:p>
        </w:tc>
      </w:tr>
      <w:tr w14:paraId="4C029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796B6299">
            <w:pPr>
              <w:pStyle w:val="178"/>
            </w:pPr>
            <w:r>
              <w:rPr>
                <w:rFonts w:hint="eastAsia"/>
              </w:rPr>
              <w:t>低风险</w:t>
            </w:r>
          </w:p>
        </w:tc>
        <w:tc>
          <w:tcPr>
            <w:tcW w:w="3826" w:type="dxa"/>
            <w:tcBorders>
              <w:top w:val="single" w:color="auto" w:sz="8" w:space="0"/>
            </w:tcBorders>
            <w:vAlign w:val="center"/>
          </w:tcPr>
          <w:p w14:paraId="27B28204">
            <w:pPr>
              <w:pStyle w:val="178"/>
            </w:pPr>
            <w:r>
              <w:rPr>
                <w:rFonts w:hint="eastAsia"/>
              </w:rPr>
              <w:t>后果轻微、可通过常规措施控制；作业人员能力满足；环境稳定</w:t>
            </w:r>
          </w:p>
        </w:tc>
        <w:tc>
          <w:tcPr>
            <w:tcW w:w="993" w:type="dxa"/>
            <w:tcBorders>
              <w:top w:val="single" w:color="auto" w:sz="8" w:space="0"/>
            </w:tcBorders>
            <w:vAlign w:val="center"/>
          </w:tcPr>
          <w:p w14:paraId="0632A5CE">
            <w:pPr>
              <w:pStyle w:val="178"/>
            </w:pPr>
            <w:r>
              <w:rPr>
                <w:rFonts w:hint="eastAsia"/>
              </w:rPr>
              <w:t>常规管控</w:t>
            </w:r>
          </w:p>
        </w:tc>
        <w:tc>
          <w:tcPr>
            <w:tcW w:w="3674" w:type="dxa"/>
            <w:tcBorders>
              <w:top w:val="single" w:color="auto" w:sz="8" w:space="0"/>
            </w:tcBorders>
            <w:vAlign w:val="center"/>
          </w:tcPr>
          <w:p w14:paraId="600F74D9">
            <w:pPr>
              <w:pStyle w:val="178"/>
            </w:pPr>
            <w:r>
              <w:rPr>
                <w:rFonts w:hint="eastAsia"/>
              </w:rPr>
              <w:t>班前教育、作业交底、日常巡查、个人防护</w:t>
            </w:r>
          </w:p>
        </w:tc>
      </w:tr>
      <w:tr w14:paraId="55F2FD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B8EE1CA">
            <w:pPr>
              <w:pStyle w:val="178"/>
            </w:pPr>
            <w:r>
              <w:rPr>
                <w:rFonts w:hint="eastAsia"/>
              </w:rPr>
              <w:t>中风险</w:t>
            </w:r>
          </w:p>
        </w:tc>
        <w:tc>
          <w:tcPr>
            <w:tcW w:w="3826" w:type="dxa"/>
            <w:vAlign w:val="center"/>
          </w:tcPr>
          <w:p w14:paraId="5378D507">
            <w:pPr>
              <w:pStyle w:val="178"/>
            </w:pPr>
            <w:r>
              <w:rPr>
                <w:rFonts w:hint="eastAsia"/>
              </w:rPr>
              <w:t>后果较重或存在较多触发条件；需强化过程控制</w:t>
            </w:r>
          </w:p>
        </w:tc>
        <w:tc>
          <w:tcPr>
            <w:tcW w:w="993" w:type="dxa"/>
            <w:vAlign w:val="center"/>
          </w:tcPr>
          <w:p w14:paraId="5D9154CB">
            <w:pPr>
              <w:pStyle w:val="178"/>
            </w:pPr>
            <w:r>
              <w:rPr>
                <w:rFonts w:hint="eastAsia"/>
              </w:rPr>
              <w:t>强化管控</w:t>
            </w:r>
          </w:p>
        </w:tc>
        <w:tc>
          <w:tcPr>
            <w:tcW w:w="3674" w:type="dxa"/>
            <w:vAlign w:val="center"/>
          </w:tcPr>
          <w:p w14:paraId="2B6ED520">
            <w:pPr>
              <w:pStyle w:val="178"/>
            </w:pPr>
            <w:r>
              <w:rPr>
                <w:rFonts w:hint="eastAsia"/>
              </w:rPr>
              <w:t>专项交底、关键点核查、增加检查频次、重点设备点检</w:t>
            </w:r>
          </w:p>
        </w:tc>
      </w:tr>
      <w:tr w14:paraId="3AD82F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65EA44CF">
            <w:pPr>
              <w:pStyle w:val="178"/>
            </w:pPr>
            <w:r>
              <w:rPr>
                <w:rFonts w:hint="eastAsia"/>
              </w:rPr>
              <w:t>高风险</w:t>
            </w:r>
          </w:p>
        </w:tc>
        <w:tc>
          <w:tcPr>
            <w:tcW w:w="3826" w:type="dxa"/>
            <w:vAlign w:val="center"/>
          </w:tcPr>
          <w:p w14:paraId="675E9AC1">
            <w:pPr>
              <w:pStyle w:val="178"/>
            </w:pPr>
            <w:r>
              <w:rPr>
                <w:rFonts w:hint="eastAsia"/>
              </w:rPr>
              <w:t>可能造成重伤或较大损失；工况变化大、交叉作业多</w:t>
            </w:r>
          </w:p>
        </w:tc>
        <w:tc>
          <w:tcPr>
            <w:tcW w:w="993" w:type="dxa"/>
            <w:vAlign w:val="center"/>
          </w:tcPr>
          <w:p w14:paraId="3363CAFC">
            <w:pPr>
              <w:pStyle w:val="178"/>
            </w:pPr>
            <w:r>
              <w:rPr>
                <w:rFonts w:hint="eastAsia"/>
              </w:rPr>
              <w:t>重点管控</w:t>
            </w:r>
          </w:p>
        </w:tc>
        <w:tc>
          <w:tcPr>
            <w:tcW w:w="3674" w:type="dxa"/>
            <w:vAlign w:val="center"/>
          </w:tcPr>
          <w:p w14:paraId="166EFC77">
            <w:pPr>
              <w:pStyle w:val="178"/>
            </w:pPr>
            <w:r>
              <w:rPr>
                <w:rFonts w:hint="eastAsia"/>
              </w:rPr>
              <w:t>专项方案审批、作业许可、旁站监护、领导带班、监测预警</w:t>
            </w:r>
          </w:p>
        </w:tc>
      </w:tr>
      <w:tr w14:paraId="5E702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2AA06DF">
            <w:pPr>
              <w:pStyle w:val="178"/>
            </w:pPr>
            <w:r>
              <w:rPr>
                <w:rFonts w:hint="eastAsia"/>
              </w:rPr>
              <w:t>极高风险</w:t>
            </w:r>
          </w:p>
        </w:tc>
        <w:tc>
          <w:tcPr>
            <w:tcW w:w="3826" w:type="dxa"/>
            <w:vAlign w:val="center"/>
          </w:tcPr>
          <w:p w14:paraId="1FD658A1">
            <w:pPr>
              <w:pStyle w:val="178"/>
            </w:pPr>
            <w:r>
              <w:rPr>
                <w:rFonts w:hint="eastAsia"/>
              </w:rPr>
              <w:t>可能导致群死群伤或重大损失；属于重大危险源或重大事故隐患情形</w:t>
            </w:r>
          </w:p>
        </w:tc>
        <w:tc>
          <w:tcPr>
            <w:tcW w:w="993" w:type="dxa"/>
            <w:vAlign w:val="center"/>
          </w:tcPr>
          <w:p w14:paraId="7D12D421">
            <w:pPr>
              <w:pStyle w:val="178"/>
            </w:pPr>
            <w:r>
              <w:rPr>
                <w:rFonts w:hint="eastAsia"/>
              </w:rPr>
              <w:t>严控/停控</w:t>
            </w:r>
          </w:p>
        </w:tc>
        <w:tc>
          <w:tcPr>
            <w:tcW w:w="3674" w:type="dxa"/>
            <w:vAlign w:val="center"/>
          </w:tcPr>
          <w:p w14:paraId="5660E64E">
            <w:pPr>
              <w:pStyle w:val="178"/>
            </w:pPr>
            <w:r>
              <w:rPr>
                <w:rFonts w:hint="eastAsia"/>
              </w:rPr>
              <w:t>专项论证、强制隔离、停工整改、应急待命、验收合格后复工</w:t>
            </w:r>
          </w:p>
        </w:tc>
      </w:tr>
    </w:tbl>
    <w:p w14:paraId="6442B965">
      <w:pPr>
        <w:pStyle w:val="105"/>
        <w:spacing w:before="120" w:after="120" w:line="360" w:lineRule="auto"/>
      </w:pPr>
      <w:r>
        <w:rPr>
          <w:rFonts w:hint="eastAsia"/>
        </w:rPr>
        <w:t>文件化管理与数据留痕</w:t>
      </w:r>
    </w:p>
    <w:p w14:paraId="21357758">
      <w:pPr>
        <w:pStyle w:val="56"/>
        <w:spacing w:line="360" w:lineRule="auto"/>
        <w:ind w:firstLine="420"/>
      </w:pPr>
      <w:r>
        <w:rPr>
          <w:rFonts w:hint="eastAsia"/>
        </w:rPr>
        <w:t>项目应建立安全管理文件体系，至少包括安全管理制度、风险清单、隐患台账、专项施工方案、作业许可记录、教育培训记录、设备检验与维护记录、应急演练记录及事故事件记录。关键过程应留存可追溯证据（文字记录、签字、影像、监测数据等），确保可复核、可审计。鼓励采用数字化系统实现隐患闭环、人员资质管理、设备状态管理与移动巡检，提高管理效率与响应速度。</w:t>
      </w:r>
    </w:p>
    <w:p w14:paraId="20ED0300">
      <w:pPr>
        <w:pStyle w:val="105"/>
        <w:spacing w:before="120" w:after="120" w:line="360" w:lineRule="auto"/>
      </w:pPr>
      <w:r>
        <w:rPr>
          <w:rFonts w:hint="eastAsia"/>
        </w:rPr>
        <w:t>人员能力与教育培训</w:t>
      </w:r>
    </w:p>
    <w:p w14:paraId="671D53A4">
      <w:pPr>
        <w:pStyle w:val="56"/>
        <w:spacing w:line="360" w:lineRule="auto"/>
        <w:ind w:firstLine="420"/>
      </w:pPr>
      <w:r>
        <w:rPr>
          <w:rFonts w:hint="eastAsia"/>
        </w:rPr>
        <w:t>施工单位应建立人员准入与能力管理机制，确保特种作业人员持证上岗、关键岗位人员具备相应经验与培训记录。教育培训应覆盖入场教育、三级教育、班前教育、专项作业教育、季节性安全教育与应急培训。对新工艺、新设备、新材料和危险性较大作业，应组织专项技术交底与实操演练。</w:t>
      </w:r>
    </w:p>
    <w:p w14:paraId="3C536931">
      <w:pPr>
        <w:pStyle w:val="104"/>
        <w:spacing w:before="240" w:after="240" w:line="360" w:lineRule="auto"/>
      </w:pPr>
      <w:bookmarkStart w:id="52" w:name="_Toc217480364"/>
      <w:r>
        <w:rPr>
          <w:rFonts w:hint="eastAsia"/>
        </w:rPr>
        <w:t>安全隐患防控要求</w:t>
      </w:r>
      <w:bookmarkEnd w:id="52"/>
    </w:p>
    <w:p w14:paraId="11E83F40">
      <w:pPr>
        <w:pStyle w:val="105"/>
        <w:spacing w:before="120" w:after="120" w:line="360" w:lineRule="auto"/>
      </w:pPr>
      <w:r>
        <w:rPr>
          <w:rFonts w:hint="eastAsia"/>
        </w:rPr>
        <w:t>一般规定</w:t>
      </w:r>
    </w:p>
    <w:p w14:paraId="480E8AC2">
      <w:pPr>
        <w:pStyle w:val="56"/>
        <w:spacing w:line="360" w:lineRule="auto"/>
        <w:ind w:firstLine="420"/>
      </w:pPr>
      <w:r>
        <w:rPr>
          <w:rFonts w:hint="eastAsia"/>
        </w:rPr>
        <w:t>施工现场应围绕“人—机—料—法—环—管”建立隐患防控措施体系。任何高风险作业应在具备安全条件、措施落实到位、作业许可批准后实施，作业过程中不得擅自变更工艺、范围或监护要求。对临水临边、深基坑、高边坡、起重吊装、爆破、有限空间、临时用电、围堰导流与汛期施工等关键环节，应作为隐患防控重点，实施清单化管理与过程旁站。</w:t>
      </w:r>
    </w:p>
    <w:p w14:paraId="7A0F2F6B">
      <w:pPr>
        <w:pStyle w:val="56"/>
        <w:spacing w:line="360" w:lineRule="auto"/>
        <w:ind w:firstLine="420"/>
      </w:pPr>
      <w:r>
        <w:rPr>
          <w:rFonts w:hint="eastAsia"/>
        </w:rPr>
        <w:t>为便于执行，典型作业环节隐患与控制措施要点建议见表2。</w:t>
      </w:r>
    </w:p>
    <w:p w14:paraId="71E9AFE6">
      <w:pPr>
        <w:pStyle w:val="112"/>
        <w:spacing w:before="120" w:after="120" w:line="360" w:lineRule="auto"/>
      </w:pPr>
      <w:r>
        <w:rPr>
          <w:rFonts w:hint="eastAsia"/>
        </w:rPr>
        <w:t>典型作业环节主要隐患与防控要点</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33"/>
        <w:gridCol w:w="1559"/>
        <w:gridCol w:w="3608"/>
        <w:gridCol w:w="2334"/>
      </w:tblGrid>
      <w:tr w14:paraId="3A63E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833" w:type="dxa"/>
            <w:tcBorders>
              <w:top w:val="single" w:color="auto" w:sz="8" w:space="0"/>
              <w:bottom w:val="single" w:color="auto" w:sz="8" w:space="0"/>
            </w:tcBorders>
            <w:vAlign w:val="center"/>
          </w:tcPr>
          <w:p w14:paraId="036AE15C">
            <w:pPr>
              <w:pStyle w:val="178"/>
            </w:pPr>
            <w:r>
              <w:rPr>
                <w:rFonts w:hint="eastAsia"/>
              </w:rPr>
              <w:t>作业环节</w:t>
            </w:r>
          </w:p>
        </w:tc>
        <w:tc>
          <w:tcPr>
            <w:tcW w:w="1559" w:type="dxa"/>
            <w:tcBorders>
              <w:top w:val="single" w:color="auto" w:sz="8" w:space="0"/>
              <w:bottom w:val="single" w:color="auto" w:sz="8" w:space="0"/>
            </w:tcBorders>
            <w:vAlign w:val="center"/>
          </w:tcPr>
          <w:p w14:paraId="36542B83">
            <w:pPr>
              <w:pStyle w:val="178"/>
            </w:pPr>
            <w:r>
              <w:rPr>
                <w:rFonts w:hint="eastAsia"/>
              </w:rPr>
              <w:t>主要隐患表现</w:t>
            </w:r>
          </w:p>
        </w:tc>
        <w:tc>
          <w:tcPr>
            <w:tcW w:w="3608" w:type="dxa"/>
            <w:tcBorders>
              <w:top w:val="single" w:color="auto" w:sz="8" w:space="0"/>
              <w:bottom w:val="single" w:color="auto" w:sz="8" w:space="0"/>
            </w:tcBorders>
            <w:vAlign w:val="center"/>
          </w:tcPr>
          <w:p w14:paraId="5616170E">
            <w:pPr>
              <w:pStyle w:val="178"/>
            </w:pPr>
            <w:r>
              <w:rPr>
                <w:rFonts w:hint="eastAsia"/>
              </w:rPr>
              <w:t>关键防控措施（要点）</w:t>
            </w:r>
          </w:p>
        </w:tc>
        <w:tc>
          <w:tcPr>
            <w:tcW w:w="2334" w:type="dxa"/>
            <w:tcBorders>
              <w:top w:val="single" w:color="auto" w:sz="8" w:space="0"/>
              <w:bottom w:val="single" w:color="auto" w:sz="8" w:space="0"/>
            </w:tcBorders>
            <w:vAlign w:val="center"/>
          </w:tcPr>
          <w:p w14:paraId="287F6574">
            <w:pPr>
              <w:pStyle w:val="178"/>
            </w:pPr>
            <w:r>
              <w:rPr>
                <w:rFonts w:hint="eastAsia"/>
              </w:rPr>
              <w:t>必备证据/记录</w:t>
            </w:r>
          </w:p>
        </w:tc>
      </w:tr>
      <w:tr w14:paraId="5F29C4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tcBorders>
              <w:top w:val="single" w:color="auto" w:sz="8" w:space="0"/>
            </w:tcBorders>
            <w:vAlign w:val="center"/>
          </w:tcPr>
          <w:p w14:paraId="258196A0">
            <w:pPr>
              <w:pStyle w:val="178"/>
            </w:pPr>
            <w:r>
              <w:rPr>
                <w:rFonts w:hint="eastAsia"/>
              </w:rPr>
              <w:t>临水作业与涉水施工</w:t>
            </w:r>
          </w:p>
        </w:tc>
        <w:tc>
          <w:tcPr>
            <w:tcW w:w="1559" w:type="dxa"/>
            <w:tcBorders>
              <w:top w:val="single" w:color="auto" w:sz="8" w:space="0"/>
            </w:tcBorders>
            <w:vAlign w:val="center"/>
          </w:tcPr>
          <w:p w14:paraId="777C48E5">
            <w:pPr>
              <w:pStyle w:val="178"/>
            </w:pPr>
            <w:r>
              <w:rPr>
                <w:rFonts w:hint="eastAsia"/>
              </w:rPr>
              <w:t>淹溺、落水失救、船机碰撞</w:t>
            </w:r>
          </w:p>
        </w:tc>
        <w:tc>
          <w:tcPr>
            <w:tcW w:w="3608" w:type="dxa"/>
            <w:tcBorders>
              <w:top w:val="single" w:color="auto" w:sz="8" w:space="0"/>
            </w:tcBorders>
            <w:vAlign w:val="center"/>
          </w:tcPr>
          <w:p w14:paraId="7605720C">
            <w:pPr>
              <w:pStyle w:val="178"/>
            </w:pPr>
            <w:r>
              <w:rPr>
                <w:rFonts w:hint="eastAsia"/>
              </w:rPr>
              <w:t>临水防护栏与救生设施布置；水上作业救生衣；救援预案与演练；夜间照明与警戒</w:t>
            </w:r>
          </w:p>
        </w:tc>
        <w:tc>
          <w:tcPr>
            <w:tcW w:w="2334" w:type="dxa"/>
            <w:tcBorders>
              <w:top w:val="single" w:color="auto" w:sz="8" w:space="0"/>
            </w:tcBorders>
            <w:vAlign w:val="center"/>
          </w:tcPr>
          <w:p w14:paraId="49F5361D">
            <w:pPr>
              <w:pStyle w:val="178"/>
            </w:pPr>
            <w:r>
              <w:rPr>
                <w:rFonts w:hint="eastAsia"/>
              </w:rPr>
              <w:t>临水防护验收记录、救生器材清单、演练记录</w:t>
            </w:r>
          </w:p>
        </w:tc>
      </w:tr>
      <w:tr w14:paraId="1FD9DE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60711876">
            <w:pPr>
              <w:pStyle w:val="178"/>
            </w:pPr>
            <w:r>
              <w:rPr>
                <w:rFonts w:hint="eastAsia"/>
              </w:rPr>
              <w:t>围堰导流与汛期施工</w:t>
            </w:r>
          </w:p>
        </w:tc>
        <w:tc>
          <w:tcPr>
            <w:tcW w:w="1559" w:type="dxa"/>
            <w:vAlign w:val="center"/>
          </w:tcPr>
          <w:p w14:paraId="6DC45516">
            <w:pPr>
              <w:pStyle w:val="178"/>
            </w:pPr>
            <w:r>
              <w:rPr>
                <w:rFonts w:hint="eastAsia"/>
              </w:rPr>
              <w:t>漫顶溃决、突发涨水、人员被困</w:t>
            </w:r>
          </w:p>
        </w:tc>
        <w:tc>
          <w:tcPr>
            <w:tcW w:w="3608" w:type="dxa"/>
            <w:vAlign w:val="center"/>
          </w:tcPr>
          <w:p w14:paraId="20010E40">
            <w:pPr>
              <w:pStyle w:val="178"/>
            </w:pPr>
            <w:r>
              <w:rPr>
                <w:rFonts w:hint="eastAsia"/>
              </w:rPr>
              <w:t>汛期方案与预警机制；围堰稳定与渗漏监测；撤离路线与集合点；水位雨情实时关注</w:t>
            </w:r>
          </w:p>
        </w:tc>
        <w:tc>
          <w:tcPr>
            <w:tcW w:w="2334" w:type="dxa"/>
            <w:vAlign w:val="center"/>
          </w:tcPr>
          <w:p w14:paraId="638C7E65">
            <w:pPr>
              <w:pStyle w:val="178"/>
            </w:pPr>
            <w:r>
              <w:rPr>
                <w:rFonts w:hint="eastAsia"/>
              </w:rPr>
              <w:t>汛期值班记录、监测数据、应急撤离演练记录</w:t>
            </w:r>
          </w:p>
        </w:tc>
      </w:tr>
      <w:tr w14:paraId="4FDDB7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4279D9F">
            <w:pPr>
              <w:pStyle w:val="178"/>
            </w:pPr>
            <w:r>
              <w:rPr>
                <w:rFonts w:hint="eastAsia"/>
              </w:rPr>
              <w:t>深基坑与沟槽开挖</w:t>
            </w:r>
          </w:p>
        </w:tc>
        <w:tc>
          <w:tcPr>
            <w:tcW w:w="1559" w:type="dxa"/>
            <w:vAlign w:val="center"/>
          </w:tcPr>
          <w:p w14:paraId="7ED67F86">
            <w:pPr>
              <w:pStyle w:val="178"/>
            </w:pPr>
            <w:r>
              <w:rPr>
                <w:rFonts w:hint="eastAsia"/>
              </w:rPr>
              <w:t>坍塌、涌水、机械伤害</w:t>
            </w:r>
          </w:p>
        </w:tc>
        <w:tc>
          <w:tcPr>
            <w:tcW w:w="3608" w:type="dxa"/>
            <w:vAlign w:val="center"/>
          </w:tcPr>
          <w:p w14:paraId="05E742AD">
            <w:pPr>
              <w:pStyle w:val="178"/>
            </w:pPr>
            <w:r>
              <w:rPr>
                <w:rFonts w:hint="eastAsia"/>
              </w:rPr>
              <w:t>支护方案审批；分级放坡或支护体系；降排水与监测；临边防护与通道</w:t>
            </w:r>
          </w:p>
        </w:tc>
        <w:tc>
          <w:tcPr>
            <w:tcW w:w="2334" w:type="dxa"/>
            <w:vAlign w:val="center"/>
          </w:tcPr>
          <w:p w14:paraId="13F5983A">
            <w:pPr>
              <w:pStyle w:val="178"/>
            </w:pPr>
            <w:r>
              <w:rPr>
                <w:rFonts w:hint="eastAsia"/>
              </w:rPr>
              <w:t>专项方案、监测记录、隐蔽验收记录</w:t>
            </w:r>
          </w:p>
        </w:tc>
      </w:tr>
      <w:tr w14:paraId="070C86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7D36A1B">
            <w:pPr>
              <w:pStyle w:val="178"/>
            </w:pPr>
            <w:r>
              <w:rPr>
                <w:rFonts w:hint="eastAsia"/>
              </w:rPr>
              <w:t>高边坡与边坡支护</w:t>
            </w:r>
          </w:p>
        </w:tc>
        <w:tc>
          <w:tcPr>
            <w:tcW w:w="1559" w:type="dxa"/>
            <w:vAlign w:val="center"/>
          </w:tcPr>
          <w:p w14:paraId="549A518B">
            <w:pPr>
              <w:pStyle w:val="178"/>
            </w:pPr>
            <w:r>
              <w:rPr>
                <w:rFonts w:hint="eastAsia"/>
              </w:rPr>
              <w:t>滑坡、落石、坠落</w:t>
            </w:r>
          </w:p>
        </w:tc>
        <w:tc>
          <w:tcPr>
            <w:tcW w:w="3608" w:type="dxa"/>
            <w:vAlign w:val="center"/>
          </w:tcPr>
          <w:p w14:paraId="3F372321">
            <w:pPr>
              <w:pStyle w:val="178"/>
            </w:pPr>
            <w:r>
              <w:rPr>
                <w:rFonts w:hint="eastAsia"/>
              </w:rPr>
              <w:t>边坡风险评估；分台阶开挖；落石防护；锚喷/支挡质量控制；监测预警</w:t>
            </w:r>
          </w:p>
        </w:tc>
        <w:tc>
          <w:tcPr>
            <w:tcW w:w="2334" w:type="dxa"/>
            <w:vAlign w:val="center"/>
          </w:tcPr>
          <w:p w14:paraId="414B7677">
            <w:pPr>
              <w:pStyle w:val="178"/>
            </w:pPr>
            <w:r>
              <w:rPr>
                <w:rFonts w:hint="eastAsia"/>
              </w:rPr>
              <w:t>边坡监测数据、支护质量检测记录</w:t>
            </w:r>
          </w:p>
        </w:tc>
      </w:tr>
      <w:tr w14:paraId="7A4335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067E895F">
            <w:pPr>
              <w:pStyle w:val="178"/>
            </w:pPr>
            <w:r>
              <w:rPr>
                <w:rFonts w:hint="eastAsia"/>
              </w:rPr>
              <w:t>起重吊装</w:t>
            </w:r>
          </w:p>
        </w:tc>
        <w:tc>
          <w:tcPr>
            <w:tcW w:w="1559" w:type="dxa"/>
            <w:vAlign w:val="center"/>
          </w:tcPr>
          <w:p w14:paraId="3F68B849">
            <w:pPr>
              <w:pStyle w:val="178"/>
            </w:pPr>
            <w:r>
              <w:rPr>
                <w:rFonts w:hint="eastAsia"/>
              </w:rPr>
              <w:t>吊物坠落、倾覆、碰撞</w:t>
            </w:r>
          </w:p>
        </w:tc>
        <w:tc>
          <w:tcPr>
            <w:tcW w:w="3608" w:type="dxa"/>
            <w:vAlign w:val="center"/>
          </w:tcPr>
          <w:p w14:paraId="2F7299E5">
            <w:pPr>
              <w:pStyle w:val="178"/>
            </w:pPr>
            <w:r>
              <w:rPr>
                <w:rFonts w:hint="eastAsia"/>
              </w:rPr>
              <w:t>吊装专项方案；吊具检验；指挥与信号统一；禁入区；大风停吊</w:t>
            </w:r>
          </w:p>
        </w:tc>
        <w:tc>
          <w:tcPr>
            <w:tcW w:w="2334" w:type="dxa"/>
            <w:vAlign w:val="center"/>
          </w:tcPr>
          <w:p w14:paraId="5A86A3B5">
            <w:pPr>
              <w:pStyle w:val="178"/>
            </w:pPr>
            <w:r>
              <w:rPr>
                <w:rFonts w:hint="eastAsia"/>
              </w:rPr>
              <w:t>吊装许可、吊具检验记录、旁站记录</w:t>
            </w:r>
          </w:p>
        </w:tc>
      </w:tr>
      <w:tr w14:paraId="581948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7F66E07B">
            <w:pPr>
              <w:pStyle w:val="178"/>
            </w:pPr>
            <w:r>
              <w:rPr>
                <w:rFonts w:hint="eastAsia"/>
              </w:rPr>
              <w:t>临时用电</w:t>
            </w:r>
          </w:p>
        </w:tc>
        <w:tc>
          <w:tcPr>
            <w:tcW w:w="1559" w:type="dxa"/>
            <w:vAlign w:val="center"/>
          </w:tcPr>
          <w:p w14:paraId="28BECF30">
            <w:pPr>
              <w:pStyle w:val="178"/>
            </w:pPr>
            <w:r>
              <w:rPr>
                <w:rFonts w:hint="eastAsia"/>
              </w:rPr>
              <w:t>触电、火灾、线路过载</w:t>
            </w:r>
          </w:p>
        </w:tc>
        <w:tc>
          <w:tcPr>
            <w:tcW w:w="3608" w:type="dxa"/>
            <w:vAlign w:val="center"/>
          </w:tcPr>
          <w:p w14:paraId="3B1F2BB2">
            <w:pPr>
              <w:pStyle w:val="178"/>
            </w:pPr>
            <w:r>
              <w:rPr>
                <w:rFonts w:hint="eastAsia"/>
              </w:rPr>
              <w:t>三级配电两级保护；漏保定检；电缆敷设防机械损伤；电箱防雨接地</w:t>
            </w:r>
          </w:p>
        </w:tc>
        <w:tc>
          <w:tcPr>
            <w:tcW w:w="2334" w:type="dxa"/>
            <w:vAlign w:val="center"/>
          </w:tcPr>
          <w:p w14:paraId="35DC1B8A">
            <w:pPr>
              <w:pStyle w:val="178"/>
            </w:pPr>
            <w:r>
              <w:rPr>
                <w:rFonts w:hint="eastAsia"/>
              </w:rPr>
              <w:t>临电验收单、漏保测试记录、巡检记录</w:t>
            </w:r>
          </w:p>
        </w:tc>
      </w:tr>
      <w:tr w14:paraId="2308A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5D0838B3">
            <w:pPr>
              <w:pStyle w:val="178"/>
            </w:pPr>
            <w:r>
              <w:rPr>
                <w:rFonts w:hint="eastAsia"/>
              </w:rPr>
              <w:t>有限空间</w:t>
            </w:r>
          </w:p>
        </w:tc>
        <w:tc>
          <w:tcPr>
            <w:tcW w:w="1559" w:type="dxa"/>
            <w:vAlign w:val="center"/>
          </w:tcPr>
          <w:p w14:paraId="1F741427">
            <w:pPr>
              <w:pStyle w:val="178"/>
            </w:pPr>
            <w:r>
              <w:rPr>
                <w:rFonts w:hint="eastAsia"/>
              </w:rPr>
              <w:t>中毒窒息、爆炸</w:t>
            </w:r>
          </w:p>
        </w:tc>
        <w:tc>
          <w:tcPr>
            <w:tcW w:w="3608" w:type="dxa"/>
            <w:vAlign w:val="center"/>
          </w:tcPr>
          <w:p w14:paraId="4335EFF0">
            <w:pPr>
              <w:pStyle w:val="178"/>
            </w:pPr>
            <w:r>
              <w:rPr>
                <w:rFonts w:hint="eastAsia"/>
              </w:rPr>
              <w:t>作业许可；气体检测与连续监测；通风；监护与救援装备；严禁盲目施救</w:t>
            </w:r>
          </w:p>
        </w:tc>
        <w:tc>
          <w:tcPr>
            <w:tcW w:w="2334" w:type="dxa"/>
            <w:vAlign w:val="center"/>
          </w:tcPr>
          <w:p w14:paraId="0742A6E1">
            <w:pPr>
              <w:pStyle w:val="178"/>
            </w:pPr>
            <w:r>
              <w:rPr>
                <w:rFonts w:hint="eastAsia"/>
              </w:rPr>
              <w:t>作业票、检测记录、监护记录、救援器材检查表</w:t>
            </w:r>
          </w:p>
        </w:tc>
      </w:tr>
      <w:tr w14:paraId="175242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1EED3938">
            <w:pPr>
              <w:pStyle w:val="178"/>
            </w:pPr>
            <w:r>
              <w:rPr>
                <w:rFonts w:hint="eastAsia"/>
              </w:rPr>
              <w:t>高处作业与脚手架</w:t>
            </w:r>
          </w:p>
        </w:tc>
        <w:tc>
          <w:tcPr>
            <w:tcW w:w="1559" w:type="dxa"/>
            <w:vAlign w:val="center"/>
          </w:tcPr>
          <w:p w14:paraId="0DB8CF72">
            <w:pPr>
              <w:pStyle w:val="178"/>
            </w:pPr>
            <w:r>
              <w:rPr>
                <w:rFonts w:hint="eastAsia"/>
              </w:rPr>
              <w:t>坠落、坍塌、物体打击</w:t>
            </w:r>
          </w:p>
        </w:tc>
        <w:tc>
          <w:tcPr>
            <w:tcW w:w="3608" w:type="dxa"/>
            <w:vAlign w:val="center"/>
          </w:tcPr>
          <w:p w14:paraId="05FB0170">
            <w:pPr>
              <w:pStyle w:val="178"/>
            </w:pPr>
            <w:r>
              <w:rPr>
                <w:rFonts w:hint="eastAsia"/>
              </w:rPr>
              <w:t>作业许可；安全带与生命线；脚手架验收；防坠落措施；工具防坠</w:t>
            </w:r>
          </w:p>
        </w:tc>
        <w:tc>
          <w:tcPr>
            <w:tcW w:w="2334" w:type="dxa"/>
            <w:vAlign w:val="center"/>
          </w:tcPr>
          <w:p w14:paraId="0972E1EF">
            <w:pPr>
              <w:pStyle w:val="178"/>
            </w:pPr>
            <w:r>
              <w:rPr>
                <w:rFonts w:hint="eastAsia"/>
              </w:rPr>
              <w:t>验收记录、人员佩戴检查记录</w:t>
            </w:r>
          </w:p>
        </w:tc>
      </w:tr>
      <w:tr w14:paraId="73CA2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33" w:type="dxa"/>
            <w:vAlign w:val="center"/>
          </w:tcPr>
          <w:p w14:paraId="49D9760F">
            <w:pPr>
              <w:pStyle w:val="178"/>
            </w:pPr>
            <w:r>
              <w:rPr>
                <w:rFonts w:hint="eastAsia"/>
              </w:rPr>
              <w:t>爆破作业（适用时）</w:t>
            </w:r>
          </w:p>
        </w:tc>
        <w:tc>
          <w:tcPr>
            <w:tcW w:w="1559" w:type="dxa"/>
            <w:vAlign w:val="center"/>
          </w:tcPr>
          <w:p w14:paraId="3692F125">
            <w:pPr>
              <w:pStyle w:val="178"/>
            </w:pPr>
            <w:r>
              <w:rPr>
                <w:rFonts w:hint="eastAsia"/>
              </w:rPr>
              <w:t>误爆、飞石、震动损害</w:t>
            </w:r>
          </w:p>
        </w:tc>
        <w:tc>
          <w:tcPr>
            <w:tcW w:w="3608" w:type="dxa"/>
            <w:vAlign w:val="center"/>
          </w:tcPr>
          <w:p w14:paraId="3E39EE29">
            <w:pPr>
              <w:pStyle w:val="178"/>
            </w:pPr>
            <w:r>
              <w:rPr>
                <w:rFonts w:hint="eastAsia"/>
              </w:rPr>
              <w:t>爆破设计与审批；警戒与清场；雷管炸药管理；起爆系统检查</w:t>
            </w:r>
          </w:p>
        </w:tc>
        <w:tc>
          <w:tcPr>
            <w:tcW w:w="2334" w:type="dxa"/>
            <w:vAlign w:val="center"/>
          </w:tcPr>
          <w:p w14:paraId="4F726CF1">
            <w:pPr>
              <w:pStyle w:val="178"/>
            </w:pPr>
            <w:r>
              <w:rPr>
                <w:rFonts w:hint="eastAsia"/>
              </w:rPr>
              <w:t>爆破记录、警戒记录、器材台账</w:t>
            </w:r>
          </w:p>
        </w:tc>
      </w:tr>
    </w:tbl>
    <w:p w14:paraId="6090D6A6">
      <w:pPr>
        <w:pStyle w:val="105"/>
        <w:spacing w:before="120" w:after="120" w:line="360" w:lineRule="auto"/>
      </w:pPr>
      <w:r>
        <w:rPr>
          <w:rFonts w:hint="eastAsia"/>
        </w:rPr>
        <w:t>风险识别与专项方案控制要求</w:t>
      </w:r>
    </w:p>
    <w:p w14:paraId="7C1309DC">
      <w:pPr>
        <w:pStyle w:val="56"/>
        <w:spacing w:line="360" w:lineRule="auto"/>
        <w:ind w:firstLine="420"/>
      </w:pPr>
      <w:r>
        <w:rPr>
          <w:rFonts w:hint="eastAsia"/>
        </w:rPr>
        <w:t>施工单位应针对危险性较大分部分项工程编制专项施工方案，并按规定进行审批、交底与实施。对涉及重大危险源的作业，应组织专家论证或专项评审（适用时），并在方案中明确风险点、控制措施、监测指标、应急处置与停工条件。专项方案实施过程中如发生工况变化（地质变化、支护变更、导流条件变化、设备更换、交叉作业调整等），应及时复核并完善方案，严禁“方案不随工况变、措施不随风险变”。</w:t>
      </w:r>
    </w:p>
    <w:p w14:paraId="7B1DBDF6">
      <w:pPr>
        <w:pStyle w:val="105"/>
        <w:spacing w:before="120" w:after="120" w:line="360" w:lineRule="auto"/>
      </w:pPr>
      <w:r>
        <w:rPr>
          <w:rFonts w:hint="eastAsia"/>
        </w:rPr>
        <w:t>施工现场临水临边与防淹溺隐患防控</w:t>
      </w:r>
    </w:p>
    <w:p w14:paraId="02E823A9">
      <w:pPr>
        <w:pStyle w:val="56"/>
        <w:spacing w:line="360" w:lineRule="auto"/>
        <w:ind w:firstLine="420"/>
      </w:pPr>
      <w:r>
        <w:rPr>
          <w:rFonts w:hint="eastAsia"/>
        </w:rPr>
        <w:t>水利工程施工应将淹溺风险作为基础性红线控制事项。临水区域应设置连续可靠的临边防护、警示标识与夜间警示设施；施工便道、栈桥、浮箱平台等应满足承载与稳定要求并经验收合格后使用。水上作业应配备救生衣、救生圈、救生绳、救援杆等救生器材并保持可用状态，必要时设置救援船只或应急救援小组。汛期、夜间、雾天及流速较大条件下应提高管控等级，必要时停止相关作业并组织撤离。</w:t>
      </w:r>
    </w:p>
    <w:p w14:paraId="664FEAEA">
      <w:pPr>
        <w:pStyle w:val="65"/>
        <w:spacing w:before="120" w:after="120" w:line="360" w:lineRule="auto"/>
      </w:pPr>
      <w:r>
        <w:rPr>
          <w:rFonts w:hint="eastAsia"/>
        </w:rPr>
        <w:t>基坑、沟槽、围堰与边坡类隐患防控</w:t>
      </w:r>
    </w:p>
    <w:p w14:paraId="04D77B3B">
      <w:pPr>
        <w:pStyle w:val="56"/>
        <w:spacing w:line="360" w:lineRule="auto"/>
        <w:ind w:firstLine="420"/>
      </w:pPr>
      <w:r>
        <w:rPr>
          <w:rFonts w:hint="eastAsia"/>
        </w:rPr>
        <w:t>基坑、沟槽与围堰施工应落实地质水文核查与施工监测，支护与降排水应与开挖同步，严禁超挖、抢挖与无支护作业。基坑周边堆载、机械行走与车辆通行应受控，临边防护与上下通道应完善。围堰应设置渗漏、变形与水位监测点，明确警戒水位、预警阈值与撤离条件。边坡开挖与支护应强调分台阶、分层开挖与及时封闭，落石风险区域应设置防护网、拦石设施或危险区封控，监测预警应在雨雪融水与汛期加强。</w:t>
      </w:r>
    </w:p>
    <w:p w14:paraId="4A7DC856">
      <w:pPr>
        <w:pStyle w:val="105"/>
        <w:spacing w:before="120" w:after="120" w:line="360" w:lineRule="auto"/>
      </w:pPr>
      <w:r>
        <w:rPr>
          <w:rFonts w:hint="eastAsia"/>
        </w:rPr>
        <w:t>起重吊装、机械设备与交通组织隐患防控</w:t>
      </w:r>
    </w:p>
    <w:p w14:paraId="7234C504">
      <w:pPr>
        <w:pStyle w:val="56"/>
        <w:spacing w:line="360" w:lineRule="auto"/>
        <w:ind w:firstLine="420"/>
      </w:pPr>
      <w:r>
        <w:rPr>
          <w:rFonts w:hint="eastAsia"/>
        </w:rPr>
        <w:t>起重吊装应严格执行“方案先行、设备合格、指挥统一、禁入隔离、环境确认、过程旁站”的要求。大型吊装、跨越吊装、临水吊装、夜间吊装及大风条件下吊装应实施更高等级管控。施工机械设备应建立进场验收、定期维护保养、日检点检与故障停用制度，关键安全装置（限位、制动、报警、联锁等）应完好有效。施工现场交通组织应设置路线规划、限速、会车与倒车指挥、盲区警示与人车分流措施，运输车辆装载与行驶应满足稳定与防倾覆要求。</w:t>
      </w:r>
    </w:p>
    <w:p w14:paraId="1E7ECD56">
      <w:pPr>
        <w:pStyle w:val="104"/>
        <w:spacing w:before="240" w:after="240" w:line="360" w:lineRule="auto"/>
      </w:pPr>
      <w:bookmarkStart w:id="53" w:name="_Toc217480365"/>
      <w:r>
        <w:rPr>
          <w:rFonts w:hint="eastAsia"/>
        </w:rPr>
        <w:t>隐患排查治理与闭环管理</w:t>
      </w:r>
      <w:bookmarkEnd w:id="53"/>
    </w:p>
    <w:p w14:paraId="5782A10F">
      <w:pPr>
        <w:pStyle w:val="105"/>
        <w:spacing w:before="120" w:after="120" w:line="360" w:lineRule="auto"/>
      </w:pPr>
      <w:r>
        <w:rPr>
          <w:rFonts w:hint="eastAsia"/>
        </w:rPr>
        <w:t>一般规定</w:t>
      </w:r>
    </w:p>
    <w:p w14:paraId="499C0228">
      <w:pPr>
        <w:pStyle w:val="165"/>
        <w:spacing w:line="360" w:lineRule="auto"/>
      </w:pPr>
      <w:r>
        <w:rPr>
          <w:rFonts w:hint="eastAsia"/>
        </w:rPr>
        <w:t>项目应建立覆盖全员、全要素、全过程的隐患排查治理体系，将隐患排查治理与风险分级管控有效衔接，形成以“风险清单—隐患台账—整改闭环—复盘改进”为主线的管理机制。</w:t>
      </w:r>
    </w:p>
    <w:p w14:paraId="010B99B8">
      <w:pPr>
        <w:pStyle w:val="165"/>
        <w:spacing w:line="360" w:lineRule="auto"/>
      </w:pPr>
      <w:r>
        <w:rPr>
          <w:rFonts w:hint="eastAsia"/>
        </w:rPr>
        <w:t>隐患排查应坚持“边施工、边排查、边治理”的原则，避免以突击检查替代常态化治理。对发现的隐患应做到“发现即登记、能改即改、限期整改、复查销号”，严禁隐患久拖不改、纸面整改、以罚代管。</w:t>
      </w:r>
    </w:p>
    <w:p w14:paraId="3514CB83">
      <w:pPr>
        <w:pStyle w:val="165"/>
        <w:spacing w:line="360" w:lineRule="auto"/>
      </w:pPr>
      <w:r>
        <w:rPr>
          <w:rFonts w:hint="eastAsia"/>
        </w:rPr>
        <w:t>隐患治理应坚持“四定”要求：定责任人、定措施、定时限、定验收人；对需停工整改的，应明确停工范围、复工条件和验收程序。</w:t>
      </w:r>
    </w:p>
    <w:p w14:paraId="728F285D">
      <w:pPr>
        <w:pStyle w:val="165"/>
        <w:spacing w:line="360" w:lineRule="auto"/>
      </w:pPr>
      <w:r>
        <w:rPr>
          <w:rFonts w:hint="eastAsia"/>
        </w:rPr>
        <w:t>建设单位（项目法人）应督促参建单位落实隐患排查治理责任，对重大事故隐患应组织或参与会商、督办和验收；监理单位应将隐患排查整改纳入监理控制范围，对严重隐患应签发指令并跟踪闭环。</w:t>
      </w:r>
    </w:p>
    <w:p w14:paraId="6B789848">
      <w:pPr>
        <w:pStyle w:val="105"/>
        <w:spacing w:before="120" w:after="120" w:line="360" w:lineRule="auto"/>
      </w:pPr>
      <w:r>
        <w:rPr>
          <w:rFonts w:hint="eastAsia"/>
        </w:rPr>
        <w:t>隐患排查类型与频次要求</w:t>
      </w:r>
    </w:p>
    <w:p w14:paraId="7B935EBA">
      <w:pPr>
        <w:pStyle w:val="165"/>
        <w:spacing w:line="360" w:lineRule="auto"/>
      </w:pPr>
      <w:r>
        <w:rPr>
          <w:rFonts w:hint="eastAsia"/>
        </w:rPr>
        <w:t>项目隐患排查应至少包含以下类型，并明确频次、组织方式与输出要求：</w:t>
      </w:r>
    </w:p>
    <w:p w14:paraId="5FA5FDE7">
      <w:pPr>
        <w:pStyle w:val="56"/>
        <w:spacing w:line="360" w:lineRule="auto"/>
        <w:ind w:firstLine="420"/>
      </w:pPr>
      <w:r>
        <w:rPr>
          <w:rFonts w:hint="eastAsia"/>
        </w:rPr>
        <w:t>a) 日常巡查：由专职安全员、施工管理人员对作业面开展日常巡查，重点核查临边防护、临时用电、机械设备状态、作业许可执行、个人防护佩戴、文明施工与消防等；</w:t>
      </w:r>
    </w:p>
    <w:p w14:paraId="7E0A7C54">
      <w:pPr>
        <w:pStyle w:val="56"/>
        <w:spacing w:line="360" w:lineRule="auto"/>
        <w:ind w:firstLine="420"/>
      </w:pPr>
      <w:r>
        <w:rPr>
          <w:rFonts w:hint="eastAsia"/>
        </w:rPr>
        <w:t>b) 班组自查：班组长组织班前、班中、班后自查，重点核查作业条件变化、工具与防护用品、人员状态与交叉作业风险；</w:t>
      </w:r>
    </w:p>
    <w:p w14:paraId="7350948E">
      <w:pPr>
        <w:pStyle w:val="56"/>
        <w:spacing w:line="360" w:lineRule="auto"/>
        <w:ind w:firstLine="420"/>
      </w:pPr>
      <w:r>
        <w:rPr>
          <w:rFonts w:hint="eastAsia"/>
        </w:rPr>
        <w:t>c) 专项检查：针对深基坑、围堰导流、起重吊装、有限空间、爆破、脚手架与高处作业等高风险作业开展专项检查；</w:t>
      </w:r>
    </w:p>
    <w:p w14:paraId="755FF71B">
      <w:pPr>
        <w:pStyle w:val="56"/>
        <w:spacing w:line="360" w:lineRule="auto"/>
        <w:ind w:firstLine="420"/>
      </w:pPr>
      <w:r>
        <w:rPr>
          <w:rFonts w:hint="eastAsia"/>
        </w:rPr>
        <w:t>d) 季节性检查：汛期、冬期、高温季节、台风强对流天气等前后开展季节性隐患排查；</w:t>
      </w:r>
    </w:p>
    <w:p w14:paraId="7D97B9D2">
      <w:pPr>
        <w:pStyle w:val="56"/>
        <w:spacing w:line="360" w:lineRule="auto"/>
        <w:ind w:firstLine="420"/>
      </w:pPr>
      <w:r>
        <w:rPr>
          <w:rFonts w:hint="eastAsia"/>
        </w:rPr>
        <w:t>e) 节假日前后与复工复产检查：节前停工、节后复工、长时间停工后恢复施工前，应开展复工复产专项排查；</w:t>
      </w:r>
    </w:p>
    <w:p w14:paraId="40C0A699">
      <w:pPr>
        <w:pStyle w:val="56"/>
        <w:spacing w:line="360" w:lineRule="auto"/>
        <w:ind w:firstLine="420"/>
      </w:pPr>
      <w:r>
        <w:rPr>
          <w:rFonts w:hint="eastAsia"/>
        </w:rPr>
        <w:t>f) 工序转换与重大节点检查：围堰合龙、导流切换、基坑开挖到支护转换、关键吊装、爆破起爆等重大节点前后开展检查；</w:t>
      </w:r>
    </w:p>
    <w:p w14:paraId="39C4186B">
      <w:pPr>
        <w:pStyle w:val="56"/>
        <w:spacing w:line="360" w:lineRule="auto"/>
        <w:ind w:firstLine="420"/>
      </w:pPr>
      <w:r>
        <w:rPr>
          <w:rFonts w:hint="eastAsia"/>
        </w:rPr>
        <w:t>g) 应急后复核检查：突发涨水、险情处置、事故事件处置后，应开展复核检查，防止隐患复发。</w:t>
      </w:r>
    </w:p>
    <w:p w14:paraId="477810A9">
      <w:pPr>
        <w:pStyle w:val="165"/>
        <w:spacing w:line="360" w:lineRule="auto"/>
      </w:pPr>
      <w:r>
        <w:rPr>
          <w:rFonts w:hint="eastAsia"/>
        </w:rPr>
        <w:t>对多标段、长线路、多工点并行施工项目，应建立“片区责任制+交叉复查”机制，避免各标段各自为政导致边界区域隐患失控。</w:t>
      </w:r>
    </w:p>
    <w:p w14:paraId="51527404">
      <w:pPr>
        <w:pStyle w:val="105"/>
        <w:spacing w:before="120" w:after="120" w:line="360" w:lineRule="auto"/>
      </w:pPr>
      <w:r>
        <w:rPr>
          <w:rFonts w:hint="eastAsia"/>
        </w:rPr>
        <w:t>隐患分级分类与判定要求</w:t>
      </w:r>
    </w:p>
    <w:p w14:paraId="23018E40">
      <w:pPr>
        <w:pStyle w:val="165"/>
        <w:spacing w:line="360" w:lineRule="auto"/>
      </w:pPr>
      <w:r>
        <w:rPr>
          <w:rFonts w:hint="eastAsia"/>
        </w:rPr>
        <w:t>项目应建立隐患分级判定规则，将隐患分为一般隐患与重大事故隐患；必要时可在一般隐患中进一步细分为低、中、高风险隐患，便于整改优先级排序与资源配置。</w:t>
      </w:r>
    </w:p>
    <w:p w14:paraId="0DBAE5F9">
      <w:pPr>
        <w:pStyle w:val="165"/>
        <w:spacing w:line="360" w:lineRule="auto"/>
      </w:pPr>
      <w:r>
        <w:rPr>
          <w:rFonts w:hint="eastAsia"/>
        </w:rPr>
        <w:t>隐患判定应考虑隐患的触发条件、后果严重程度、暴露频次、控制措施有效性以及作业环境变化等因素。对可能导致群死群伤、重大财产损失或重大社会影响的隐患，应直接判定为重大事故隐患并实施严控措施。</w:t>
      </w:r>
    </w:p>
    <w:p w14:paraId="32AD5295">
      <w:pPr>
        <w:pStyle w:val="165"/>
        <w:spacing w:line="360" w:lineRule="auto"/>
      </w:pPr>
      <w:r>
        <w:rPr>
          <w:rFonts w:hint="eastAsia"/>
        </w:rPr>
        <w:t>隐患分类宜按照“管理类、人的行为类、物的状态类、环境类、工艺与方案类、设备设施类”进行归类，便于统计分析与针对性改进。</w:t>
      </w:r>
    </w:p>
    <w:p w14:paraId="1E57CA7B">
      <w:pPr>
        <w:pStyle w:val="105"/>
        <w:spacing w:before="120" w:after="120" w:line="360" w:lineRule="auto"/>
      </w:pPr>
      <w:r>
        <w:rPr>
          <w:rFonts w:hint="eastAsia"/>
        </w:rPr>
        <w:t>隐患登记、整改、复查与销号</w:t>
      </w:r>
    </w:p>
    <w:p w14:paraId="14C8E4BB">
      <w:pPr>
        <w:pStyle w:val="165"/>
        <w:spacing w:line="360" w:lineRule="auto"/>
      </w:pPr>
      <w:r>
        <w:rPr>
          <w:rFonts w:hint="eastAsia"/>
        </w:rPr>
        <w:t>隐患登记应形成台账化管理，至少记录：隐患编号、发现时间地点、隐患描述、隐患类型与等级、涉及作业/设备、可能后果、临时控制措施、责任单位/责任人、整改措施、整改期限、复查人、销号结论与证据材料。</w:t>
      </w:r>
    </w:p>
    <w:p w14:paraId="79FB8517">
      <w:pPr>
        <w:pStyle w:val="165"/>
        <w:spacing w:line="360" w:lineRule="auto"/>
      </w:pPr>
      <w:r>
        <w:rPr>
          <w:rFonts w:hint="eastAsia"/>
        </w:rPr>
        <w:t>对可立即整改的隐患应实施“立查立改”，并保留整改前后对比证据。</w:t>
      </w:r>
    </w:p>
    <w:p w14:paraId="412DB52C">
      <w:pPr>
        <w:pStyle w:val="165"/>
        <w:spacing w:line="360" w:lineRule="auto"/>
      </w:pPr>
      <w:r>
        <w:rPr>
          <w:rFonts w:hint="eastAsia"/>
        </w:rPr>
        <w:t>对需要一定周期整改的隐患，应制定整改计划，明确技术措施与资源配置；整改期间应采取临时防护或限制措施，确保风险可控。</w:t>
      </w:r>
    </w:p>
    <w:p w14:paraId="118C2F88">
      <w:pPr>
        <w:pStyle w:val="165"/>
        <w:spacing w:line="360" w:lineRule="auto"/>
      </w:pPr>
      <w:r>
        <w:rPr>
          <w:rFonts w:hint="eastAsia"/>
        </w:rPr>
        <w:t>隐患复查应由具备相应专业能力的人员实施，复查应同时核查“措施落实情况”和“风险是否实质消除”，对仅做表面整改但风险仍存在的，应判定复查不通过并重新整改。</w:t>
      </w:r>
    </w:p>
    <w:p w14:paraId="71FE96B4">
      <w:pPr>
        <w:pStyle w:val="165"/>
        <w:spacing w:line="360" w:lineRule="auto"/>
      </w:pPr>
      <w:r>
        <w:rPr>
          <w:rFonts w:hint="eastAsia"/>
        </w:rPr>
        <w:t>隐患销号应遵循“谁验收谁签字、谁签字谁负责”的原则，重大事故隐患销号应执行更严格的验收程序，必要时组织联合验收。</w:t>
      </w:r>
    </w:p>
    <w:p w14:paraId="46BF79DC">
      <w:pPr>
        <w:pStyle w:val="105"/>
        <w:spacing w:before="120" w:after="120" w:line="360" w:lineRule="auto"/>
      </w:pPr>
      <w:r>
        <w:rPr>
          <w:rFonts w:hint="eastAsia"/>
        </w:rPr>
        <w:t>重大事故隐患治理与挂牌督办</w:t>
      </w:r>
    </w:p>
    <w:p w14:paraId="3E507689">
      <w:pPr>
        <w:pStyle w:val="165"/>
        <w:spacing w:line="360" w:lineRule="auto"/>
      </w:pPr>
      <w:r>
        <w:rPr>
          <w:rFonts w:hint="eastAsia"/>
        </w:rPr>
        <w:t>对重大事故隐患应实行挂牌督办管理，挂牌信息应明确隐患性质、影响范围、整改措施、整改时限、督办责任人和验收要求。</w:t>
      </w:r>
    </w:p>
    <w:p w14:paraId="2FE047ED">
      <w:pPr>
        <w:pStyle w:val="165"/>
        <w:spacing w:line="360" w:lineRule="auto"/>
      </w:pPr>
      <w:r>
        <w:rPr>
          <w:rFonts w:hint="eastAsia"/>
        </w:rPr>
        <w:t>重大事故隐患治理应编制专项治理方案，方案应包括：隐患成因分析、治理范围、技术措施、停工或限制作业条件、施工组织与安全措施、监测预警、应急准备、验收标准与复工条件。</w:t>
      </w:r>
    </w:p>
    <w:p w14:paraId="4A3426FD">
      <w:pPr>
        <w:pStyle w:val="165"/>
        <w:spacing w:line="360" w:lineRule="auto"/>
      </w:pPr>
      <w:r>
        <w:rPr>
          <w:rFonts w:hint="eastAsia"/>
        </w:rPr>
        <w:t>重大事故隐患治理期间应加强过程监控，必要时增设监测点位（如围堰渗漏与变形、基坑位移与水位、边坡位移与裂缝等），并设定预警阈值与停工条件。</w:t>
      </w:r>
    </w:p>
    <w:p w14:paraId="78910C39">
      <w:pPr>
        <w:pStyle w:val="165"/>
        <w:spacing w:line="360" w:lineRule="auto"/>
      </w:pPr>
      <w:r>
        <w:rPr>
          <w:rFonts w:hint="eastAsia"/>
        </w:rPr>
        <w:t>对整改周期长、治理难度大或受外部条件制约的重大事故隐患，应实施阶段性控制与阶段性验收，确保全过程风险可控。</w:t>
      </w:r>
    </w:p>
    <w:p w14:paraId="56FE38AC">
      <w:pPr>
        <w:pStyle w:val="105"/>
        <w:spacing w:before="120" w:after="120" w:line="360" w:lineRule="auto"/>
      </w:pPr>
      <w:r>
        <w:rPr>
          <w:rFonts w:hint="eastAsia"/>
        </w:rPr>
        <w:t>交叉作业与分包协同闭环要求</w:t>
      </w:r>
    </w:p>
    <w:p w14:paraId="46734FA0">
      <w:pPr>
        <w:pStyle w:val="165"/>
        <w:spacing w:line="360" w:lineRule="auto"/>
      </w:pPr>
      <w:r>
        <w:rPr>
          <w:rFonts w:hint="eastAsia"/>
        </w:rPr>
        <w:t>对交叉作业区域，应建立“统一协调+边界清单+作业窗口”管理机制，明确各方责任边界、作业顺序、禁入隔离、临时通道与临电统筹规则，防止因交叉作业导致隐患叠加。</w:t>
      </w:r>
    </w:p>
    <w:p w14:paraId="50C283AB">
      <w:pPr>
        <w:pStyle w:val="165"/>
        <w:spacing w:line="360" w:lineRule="auto"/>
      </w:pPr>
      <w:r>
        <w:rPr>
          <w:rFonts w:hint="eastAsia"/>
        </w:rPr>
        <w:t>总承包单位应对分包单位隐患排查治理实施统一管理，至少包括分包准入、人员资质核查、安全交底、作业许可协同、隐患整改跟踪与绩效评价。</w:t>
      </w:r>
    </w:p>
    <w:p w14:paraId="7854DF83">
      <w:pPr>
        <w:pStyle w:val="165"/>
        <w:spacing w:line="360" w:lineRule="auto"/>
      </w:pPr>
      <w:r>
        <w:rPr>
          <w:rFonts w:hint="eastAsia"/>
        </w:rPr>
        <w:t>对外协队伍频繁更换、流动性强的项目，应强化“进场即培训、上岗即交底、作业即许可、离场即清退”的闭环管理。</w:t>
      </w:r>
    </w:p>
    <w:p w14:paraId="5093E41D">
      <w:pPr>
        <w:pStyle w:val="105"/>
        <w:spacing w:before="120" w:after="120" w:line="360" w:lineRule="auto"/>
      </w:pPr>
      <w:r>
        <w:rPr>
          <w:rFonts w:hint="eastAsia"/>
        </w:rPr>
        <w:t>数字化与可追溯管理要求</w:t>
      </w:r>
    </w:p>
    <w:p w14:paraId="7DDECBC9">
      <w:pPr>
        <w:pStyle w:val="165"/>
        <w:spacing w:line="360" w:lineRule="auto"/>
      </w:pPr>
      <w:r>
        <w:rPr>
          <w:rFonts w:hint="eastAsia"/>
        </w:rPr>
        <w:t>鼓励采用数字化系统开展移动巡检、隐患台账管理、作业许可电子化、设备点检与特种作业人员资质管理，实现隐患治理全过程留痕与统计分析。</w:t>
      </w:r>
    </w:p>
    <w:p w14:paraId="673CDF92">
      <w:pPr>
        <w:pStyle w:val="165"/>
        <w:spacing w:line="360" w:lineRule="auto"/>
      </w:pPr>
      <w:r>
        <w:rPr>
          <w:rFonts w:hint="eastAsia"/>
        </w:rPr>
        <w:t>数字化记录应确保真实性与完整性，关键记录应具备操作人、时间戳、地点或工点信息，并支持导出归档与审计追溯。</w:t>
      </w:r>
    </w:p>
    <w:p w14:paraId="10E73822">
      <w:pPr>
        <w:pStyle w:val="165"/>
        <w:spacing w:line="360" w:lineRule="auto"/>
      </w:pPr>
      <w:r>
        <w:rPr>
          <w:rFonts w:hint="eastAsia"/>
        </w:rPr>
        <w:t>对重大事故隐患、事故事件与应急处置记录应实施更高等级的数据保全与备份管理，确保可举证、可复盘。</w:t>
      </w:r>
    </w:p>
    <w:p w14:paraId="66992840">
      <w:pPr>
        <w:pStyle w:val="104"/>
        <w:spacing w:before="240" w:after="240" w:line="360" w:lineRule="auto"/>
      </w:pPr>
      <w:bookmarkStart w:id="54" w:name="_Toc217480366"/>
      <w:r>
        <w:rPr>
          <w:rFonts w:hint="eastAsia"/>
        </w:rPr>
        <w:t>重点时段与特殊环境防控</w:t>
      </w:r>
      <w:bookmarkEnd w:id="54"/>
    </w:p>
    <w:p w14:paraId="553E1DFB">
      <w:pPr>
        <w:pStyle w:val="105"/>
        <w:spacing w:before="120" w:after="120" w:line="360" w:lineRule="auto"/>
      </w:pPr>
      <w:r>
        <w:rPr>
          <w:rFonts w:hint="eastAsia"/>
        </w:rPr>
        <w:t>汛期与导流条件变化防控</w:t>
      </w:r>
    </w:p>
    <w:p w14:paraId="73123B63">
      <w:pPr>
        <w:pStyle w:val="165"/>
        <w:spacing w:line="360" w:lineRule="auto"/>
      </w:pPr>
      <w:r>
        <w:rPr>
          <w:rFonts w:hint="eastAsia"/>
        </w:rPr>
        <w:t>项目应建立汛期施工安全管理机制，实施雨情、水情与上游来水预警信息的收集、研判与发布，落实汛期值班值守与信息报送。</w:t>
      </w:r>
    </w:p>
    <w:p w14:paraId="1D7D380F">
      <w:pPr>
        <w:pStyle w:val="165"/>
        <w:spacing w:line="360" w:lineRule="auto"/>
      </w:pPr>
      <w:r>
        <w:rPr>
          <w:rFonts w:hint="eastAsia"/>
        </w:rPr>
        <w:t>围堰、导流建筑物、临时栈桥与施工便道应开展汛前专项检查，重点核查防漫顶能力、渗漏与管涌风险、排水能力、抢险物资与撤离通道。</w:t>
      </w:r>
    </w:p>
    <w:p w14:paraId="67DC4AEC">
      <w:pPr>
        <w:pStyle w:val="165"/>
        <w:spacing w:line="360" w:lineRule="auto"/>
      </w:pPr>
      <w:r>
        <w:rPr>
          <w:rFonts w:hint="eastAsia"/>
        </w:rPr>
        <w:t>当导流方式、过水断面、围堰高程或施工导排系统发生调整时，应进行风险复核与技术交底，必要时同步更新应急预案与撤离方案。</w:t>
      </w:r>
    </w:p>
    <w:p w14:paraId="693D1531">
      <w:pPr>
        <w:pStyle w:val="165"/>
        <w:spacing w:line="360" w:lineRule="auto"/>
      </w:pPr>
      <w:r>
        <w:rPr>
          <w:rFonts w:hint="eastAsia"/>
        </w:rPr>
        <w:t>遇强降雨、上游突发来水、库水位异常或预警等级提升时，应按预案采取停工、撤离、加固或抢险措施，严禁冒险作业与滞留。</w:t>
      </w:r>
    </w:p>
    <w:p w14:paraId="565CE20F">
      <w:pPr>
        <w:pStyle w:val="105"/>
        <w:spacing w:before="120" w:after="120" w:line="360" w:lineRule="auto"/>
      </w:pPr>
      <w:r>
        <w:rPr>
          <w:rFonts w:hint="eastAsia"/>
        </w:rPr>
        <w:t>冬期施工与低温冰冻条件防控</w:t>
      </w:r>
    </w:p>
    <w:p w14:paraId="65695E6A">
      <w:pPr>
        <w:pStyle w:val="165"/>
        <w:spacing w:line="360" w:lineRule="auto"/>
      </w:pPr>
      <w:r>
        <w:rPr>
          <w:rFonts w:hint="eastAsia"/>
        </w:rPr>
        <w:t>冬期施工应重点防控道路结冰、临边踏滑、机械设备低温失效、临电绝缘下降、围堰与边坡冻融失稳以及临时排水冻堵等隐患。</w:t>
      </w:r>
    </w:p>
    <w:p w14:paraId="1657E965">
      <w:pPr>
        <w:pStyle w:val="165"/>
        <w:spacing w:line="360" w:lineRule="auto"/>
      </w:pPr>
      <w:r>
        <w:rPr>
          <w:rFonts w:hint="eastAsia"/>
        </w:rPr>
        <w:t>应对临水作业通道、栈桥、脚手架踏板、上下梯道等进行防滑处理并加强清冰除雪；对临电箱、防护栏、消防通道等应保持可用状态。</w:t>
      </w:r>
    </w:p>
    <w:p w14:paraId="2D3F6D7D">
      <w:pPr>
        <w:pStyle w:val="165"/>
        <w:spacing w:line="360" w:lineRule="auto"/>
      </w:pPr>
      <w:r>
        <w:rPr>
          <w:rFonts w:hint="eastAsia"/>
        </w:rPr>
        <w:t>对混凝土冬期施工、保温养护与临时加热设备，应加强消防管理与用电安全管理，避免引发火灾与一氧化碳中毒等风险。</w:t>
      </w:r>
    </w:p>
    <w:p w14:paraId="4EC00F4A">
      <w:pPr>
        <w:pStyle w:val="105"/>
        <w:spacing w:before="120" w:after="120" w:line="360" w:lineRule="auto"/>
      </w:pPr>
      <w:r>
        <w:rPr>
          <w:rFonts w:hint="eastAsia"/>
        </w:rPr>
        <w:t>夜间施工与视线受限条件防控</w:t>
      </w:r>
    </w:p>
    <w:p w14:paraId="1DFC6E9B">
      <w:pPr>
        <w:pStyle w:val="165"/>
        <w:spacing w:line="360" w:lineRule="auto"/>
      </w:pPr>
      <w:r>
        <w:rPr>
          <w:rFonts w:hint="eastAsia"/>
        </w:rPr>
        <w:t>夜间施工应进行专项风险评估，明确照明布置、警戒隔离、交通组织、监护人员配置与应急资源。</w:t>
      </w:r>
    </w:p>
    <w:p w14:paraId="782C0174">
      <w:pPr>
        <w:pStyle w:val="165"/>
        <w:spacing w:line="360" w:lineRule="auto"/>
      </w:pPr>
      <w:r>
        <w:rPr>
          <w:rFonts w:hint="eastAsia"/>
        </w:rPr>
        <w:t>夜间吊装、临水作业、深基坑与高边坡作业、爆破相关作业等高风险活动，应提高管控等级，必要时停止夜间作业。</w:t>
      </w:r>
    </w:p>
    <w:p w14:paraId="524AF704">
      <w:pPr>
        <w:pStyle w:val="165"/>
        <w:spacing w:line="360" w:lineRule="auto"/>
      </w:pPr>
      <w:r>
        <w:rPr>
          <w:rFonts w:hint="eastAsia"/>
        </w:rPr>
        <w:t>夜间施工应强化沟通指挥与信号统一，避免因视线受限导致误操作、误入禁区与碰撞伤害。</w:t>
      </w:r>
    </w:p>
    <w:p w14:paraId="2C10073F">
      <w:pPr>
        <w:pStyle w:val="105"/>
        <w:spacing w:before="120" w:after="120" w:line="360" w:lineRule="auto"/>
      </w:pPr>
      <w:r>
        <w:rPr>
          <w:rFonts w:hint="eastAsia"/>
        </w:rPr>
        <w:t>高温、大风、雷雨与强对流天气防控</w:t>
      </w:r>
    </w:p>
    <w:p w14:paraId="39AB9172">
      <w:pPr>
        <w:pStyle w:val="165"/>
        <w:spacing w:line="360" w:lineRule="auto"/>
      </w:pPr>
      <w:r>
        <w:rPr>
          <w:rFonts w:hint="eastAsia"/>
        </w:rPr>
        <w:t>高温季节应重点防控中暑、疲劳作业与火灾风险，合理安排作业时段，提供防暑降温物资并开展健康监测。</w:t>
      </w:r>
    </w:p>
    <w:p w14:paraId="05F782C8">
      <w:pPr>
        <w:pStyle w:val="165"/>
        <w:spacing w:line="360" w:lineRule="auto"/>
      </w:pPr>
      <w:r>
        <w:rPr>
          <w:rFonts w:hint="eastAsia"/>
        </w:rPr>
        <w:t>大风条件下应严格执行停吊、停高处作业、停临边作业等控制要求，重点检查脚手架、临边防护、围挡与临时设施的抗风稳定性。</w:t>
      </w:r>
    </w:p>
    <w:p w14:paraId="678B176A">
      <w:pPr>
        <w:pStyle w:val="165"/>
        <w:spacing w:line="360" w:lineRule="auto"/>
      </w:pPr>
      <w:r>
        <w:rPr>
          <w:rFonts w:hint="eastAsia"/>
        </w:rPr>
        <w:t>雷雨天气应加强临电与高处金属结构防雷检查，避免人员在空旷水面、起重设备附近停留；对可能发生山洪、泥石流、滑坡的区域应提前预警并实施撤离。</w:t>
      </w:r>
    </w:p>
    <w:p w14:paraId="5F4BEFDD">
      <w:pPr>
        <w:pStyle w:val="105"/>
        <w:spacing w:before="120" w:after="120" w:line="360" w:lineRule="auto"/>
      </w:pPr>
      <w:r>
        <w:rPr>
          <w:rFonts w:hint="eastAsia"/>
        </w:rPr>
        <w:t>复工复产与长时间停工后恢复施工防控</w:t>
      </w:r>
    </w:p>
    <w:p w14:paraId="47B47CFE">
      <w:pPr>
        <w:pStyle w:val="165"/>
        <w:spacing w:line="360" w:lineRule="auto"/>
      </w:pPr>
      <w:r>
        <w:rPr>
          <w:rFonts w:hint="eastAsia"/>
        </w:rPr>
        <w:t>复工复产前应开展“人员状态—设备状态—现场条件—方案措施—应急资源”五项核查，核查通过后方可复工。</w:t>
      </w:r>
    </w:p>
    <w:p w14:paraId="722BE613">
      <w:pPr>
        <w:pStyle w:val="165"/>
        <w:spacing w:line="360" w:lineRule="auto"/>
      </w:pPr>
      <w:r>
        <w:rPr>
          <w:rFonts w:hint="eastAsia"/>
        </w:rPr>
        <w:t>对停工期间可能发生状态变化的工程，应重点复核围堰、支护结构、边坡、临时用电、消防设施、通道与警戒隔离等，必要时开展监测复测。</w:t>
      </w:r>
    </w:p>
    <w:p w14:paraId="012A965A">
      <w:pPr>
        <w:pStyle w:val="165"/>
        <w:spacing w:line="360" w:lineRule="auto"/>
      </w:pPr>
      <w:r>
        <w:rPr>
          <w:rFonts w:hint="eastAsia"/>
        </w:rPr>
        <w:t>复工复产应强化再培训与再交底，确保新进人员、转岗人员、分包队伍充分理解风险点与控制措施。</w:t>
      </w:r>
    </w:p>
    <w:p w14:paraId="1C299C8E">
      <w:pPr>
        <w:pStyle w:val="105"/>
        <w:spacing w:before="120" w:after="120" w:line="360" w:lineRule="auto"/>
      </w:pPr>
      <w:r>
        <w:rPr>
          <w:rFonts w:hint="eastAsia"/>
        </w:rPr>
        <w:t>临近水域、交通与公众活动环境防控</w:t>
      </w:r>
    </w:p>
    <w:p w14:paraId="780BEB9D">
      <w:pPr>
        <w:pStyle w:val="165"/>
        <w:spacing w:line="360" w:lineRule="auto"/>
      </w:pPr>
      <w:r>
        <w:rPr>
          <w:rFonts w:hint="eastAsia"/>
        </w:rPr>
        <w:t>临近通航水域、城市道路或居民区施工时，应加强警戒隔离与交通组织，设置明显标志标牌与防护设施，必要时实施导改与限行。</w:t>
      </w:r>
    </w:p>
    <w:p w14:paraId="7C5AD3CD">
      <w:pPr>
        <w:pStyle w:val="165"/>
        <w:spacing w:line="360" w:lineRule="auto"/>
      </w:pPr>
      <w:r>
        <w:rPr>
          <w:rFonts w:hint="eastAsia"/>
        </w:rPr>
        <w:t>对可能影响公众安全的高风险作业（爆破、吊装、深基坑开挖、临水作业等），应设置警戒区并安排专人值守，严格执行清场与告知要求。</w:t>
      </w:r>
    </w:p>
    <w:p w14:paraId="3E94538A">
      <w:pPr>
        <w:pStyle w:val="165"/>
        <w:spacing w:line="360" w:lineRule="auto"/>
      </w:pPr>
      <w:r>
        <w:rPr>
          <w:rFonts w:hint="eastAsia"/>
        </w:rPr>
        <w:t>对跨河（渠）作业、临近水源地或生态敏感区施工，应将安全与环境风险协同管控，避免因环境事件引发次生安全风险。</w:t>
      </w:r>
    </w:p>
    <w:p w14:paraId="2B0E9AAD">
      <w:pPr>
        <w:pStyle w:val="104"/>
        <w:spacing w:before="240" w:after="240" w:line="360" w:lineRule="auto"/>
      </w:pPr>
      <w:bookmarkStart w:id="55" w:name="_Toc217480367"/>
      <w:r>
        <w:rPr>
          <w:rFonts w:hint="eastAsia"/>
        </w:rPr>
        <w:t>应急准备与事故事件处置</w:t>
      </w:r>
      <w:bookmarkEnd w:id="55"/>
    </w:p>
    <w:p w14:paraId="011DB885">
      <w:pPr>
        <w:pStyle w:val="105"/>
        <w:spacing w:before="120" w:after="120" w:line="360" w:lineRule="auto"/>
      </w:pPr>
      <w:r>
        <w:rPr>
          <w:rFonts w:hint="eastAsia"/>
        </w:rPr>
        <w:t>应急管理体系要求</w:t>
      </w:r>
    </w:p>
    <w:p w14:paraId="6E8C887B">
      <w:pPr>
        <w:pStyle w:val="165"/>
        <w:spacing w:line="360" w:lineRule="auto"/>
      </w:pPr>
      <w:r>
        <w:rPr>
          <w:rFonts w:hint="eastAsia"/>
        </w:rPr>
        <w:t>项目应建立应急管理体系，明确应急组织机构、职责分工、应急资源配置、联动机制与信息报送流程。</w:t>
      </w:r>
    </w:p>
    <w:p w14:paraId="205CBB64">
      <w:pPr>
        <w:pStyle w:val="165"/>
        <w:spacing w:line="360" w:lineRule="auto"/>
      </w:pPr>
      <w:r>
        <w:rPr>
          <w:rFonts w:hint="eastAsia"/>
        </w:rPr>
        <w:t>应急管理应与风险分级管控相匹配，对极高风险作业应实施“应急资源前置、关键岗位到位、通信保障可靠”的要求。</w:t>
      </w:r>
    </w:p>
    <w:p w14:paraId="68E23DDB">
      <w:pPr>
        <w:pStyle w:val="165"/>
        <w:spacing w:line="360" w:lineRule="auto"/>
      </w:pPr>
      <w:r>
        <w:rPr>
          <w:rFonts w:hint="eastAsia"/>
        </w:rPr>
        <w:t>应急预案应覆盖施工期主要事故类型与险情类型，至少包括：淹溺与水上救援、围堰险情与突发来水、基坑坍塌与涌水、边坡滑塌与落石、触电事故、起重伤害、有限空间中毒窒息、火灾爆炸等。</w:t>
      </w:r>
    </w:p>
    <w:p w14:paraId="26F690C3">
      <w:pPr>
        <w:pStyle w:val="105"/>
        <w:spacing w:before="120" w:after="120" w:line="360" w:lineRule="auto"/>
      </w:pPr>
      <w:r>
        <w:rPr>
          <w:rFonts w:hint="eastAsia"/>
        </w:rPr>
        <w:t>应急预案编制与更新</w:t>
      </w:r>
    </w:p>
    <w:p w14:paraId="67D08E5D">
      <w:pPr>
        <w:pStyle w:val="165"/>
        <w:spacing w:line="360" w:lineRule="auto"/>
      </w:pPr>
      <w:r>
        <w:rPr>
          <w:rFonts w:hint="eastAsia"/>
        </w:rPr>
        <w:t>应急预案应与施工组织、导流方案、施工进度与季节性风险同步更新。发生工况重大变化、组织结构调整、关键资源变化或外部环境变化时，应及时修订预案并开展再交底。</w:t>
      </w:r>
    </w:p>
    <w:p w14:paraId="46F2659E">
      <w:pPr>
        <w:pStyle w:val="165"/>
        <w:spacing w:line="360" w:lineRule="auto"/>
      </w:pPr>
      <w:r>
        <w:rPr>
          <w:rFonts w:hint="eastAsia"/>
        </w:rPr>
        <w:t>应急预案应明确启动条件、响应级别、处置流程、集合点与撤离路线、通信联络方式、外部救援接口、医疗救护与后勤保障措施。</w:t>
      </w:r>
    </w:p>
    <w:p w14:paraId="447BE77E">
      <w:pPr>
        <w:pStyle w:val="165"/>
        <w:spacing w:line="360" w:lineRule="auto"/>
      </w:pPr>
      <w:r>
        <w:rPr>
          <w:rFonts w:hint="eastAsia"/>
        </w:rPr>
        <w:t>应急预案应与现场布置一致，集合点应避开洪水、滑坡与落石等次生灾害风险区域，并保持通达性。</w:t>
      </w:r>
    </w:p>
    <w:p w14:paraId="41A2B955">
      <w:pPr>
        <w:pStyle w:val="105"/>
        <w:spacing w:before="120" w:after="120" w:line="360" w:lineRule="auto"/>
      </w:pPr>
      <w:r>
        <w:rPr>
          <w:rFonts w:hint="eastAsia"/>
        </w:rPr>
        <w:t>应急资源配置与前置要求</w:t>
      </w:r>
    </w:p>
    <w:p w14:paraId="48ACE4B8">
      <w:pPr>
        <w:pStyle w:val="165"/>
        <w:spacing w:line="360" w:lineRule="auto"/>
      </w:pPr>
      <w:r>
        <w:rPr>
          <w:rFonts w:hint="eastAsia"/>
        </w:rPr>
        <w:t>项目应按风险配置救生、抢险、消防、医疗与通信装备，确保可用、可取、可快速调配。</w:t>
      </w:r>
    </w:p>
    <w:p w14:paraId="2BCF4B19">
      <w:pPr>
        <w:pStyle w:val="165"/>
        <w:spacing w:line="360" w:lineRule="auto"/>
      </w:pPr>
      <w:r>
        <w:rPr>
          <w:rFonts w:hint="eastAsia"/>
        </w:rPr>
        <w:t>临水作业区域应前置救生圈、救生绳、救援杆、救援船或替代救援能力；围堰与导流施工应前置抢险物资；有限空间作业应前置通风设备、气体检测仪与救援三脚架等。</w:t>
      </w:r>
    </w:p>
    <w:p w14:paraId="6EF10777">
      <w:pPr>
        <w:pStyle w:val="165"/>
        <w:spacing w:line="360" w:lineRule="auto"/>
      </w:pPr>
      <w:r>
        <w:rPr>
          <w:rFonts w:hint="eastAsia"/>
        </w:rPr>
        <w:t>应急物资应建立台账与定期检查制度，明确存放位置、责任人和检查周期，确保关键时刻可用。</w:t>
      </w:r>
    </w:p>
    <w:p w14:paraId="4E7DDDE6">
      <w:pPr>
        <w:pStyle w:val="105"/>
        <w:spacing w:before="120" w:after="120" w:line="360" w:lineRule="auto"/>
      </w:pPr>
      <w:r>
        <w:rPr>
          <w:rFonts w:hint="eastAsia"/>
        </w:rPr>
        <w:t>应急演练与能力验证</w:t>
      </w:r>
    </w:p>
    <w:p w14:paraId="5533AF03">
      <w:pPr>
        <w:pStyle w:val="165"/>
        <w:spacing w:line="360" w:lineRule="auto"/>
      </w:pPr>
      <w:r>
        <w:rPr>
          <w:rFonts w:hint="eastAsia"/>
        </w:rPr>
        <w:t>项目应制定年度与阶段性演练计划，演练类型应覆盖桌面推演、专项演练与综合演练，并结合汛期、关键节点与高风险作业开展针对性演练。</w:t>
      </w:r>
    </w:p>
    <w:p w14:paraId="3ACDDECE">
      <w:pPr>
        <w:pStyle w:val="165"/>
        <w:spacing w:line="360" w:lineRule="auto"/>
      </w:pPr>
      <w:r>
        <w:rPr>
          <w:rFonts w:hint="eastAsia"/>
        </w:rPr>
        <w:t>演练应重视实战化，至少验证：预警传递是否及时、人员撤离是否有序、装备是否可用、指挥体系是否清晰、外部联动是否顺畅。</w:t>
      </w:r>
    </w:p>
    <w:p w14:paraId="7339703F">
      <w:pPr>
        <w:pStyle w:val="165"/>
        <w:spacing w:line="360" w:lineRule="auto"/>
      </w:pPr>
      <w:r>
        <w:rPr>
          <w:rFonts w:hint="eastAsia"/>
        </w:rPr>
        <w:t>演练结束后应形成评估与整改清单，将问题纳入隐患台账闭环整改，并在复训或复演中验证改进效果。</w:t>
      </w:r>
    </w:p>
    <w:p w14:paraId="3495BA3F">
      <w:pPr>
        <w:pStyle w:val="105"/>
        <w:spacing w:before="120" w:after="120" w:line="360" w:lineRule="auto"/>
      </w:pPr>
      <w:r>
        <w:rPr>
          <w:rFonts w:hint="eastAsia"/>
        </w:rPr>
        <w:t>事故事件现场处置基本要求</w:t>
      </w:r>
    </w:p>
    <w:p w14:paraId="622D20BE">
      <w:pPr>
        <w:pStyle w:val="165"/>
        <w:spacing w:line="360" w:lineRule="auto"/>
      </w:pPr>
      <w:r>
        <w:rPr>
          <w:rFonts w:hint="eastAsia"/>
        </w:rPr>
        <w:t>事故事件发生后应坚持“先人员后财产、先控制风险后处置”的原则，迅速组织警戒隔离与人员救援，防止次生事故。</w:t>
      </w:r>
    </w:p>
    <w:p w14:paraId="784E042B">
      <w:pPr>
        <w:pStyle w:val="165"/>
        <w:spacing w:line="360" w:lineRule="auto"/>
      </w:pPr>
      <w:r>
        <w:rPr>
          <w:rFonts w:hint="eastAsia"/>
        </w:rPr>
        <w:t>严禁在未确认安全条件下盲目施救，尤其是有限空间中毒窒息、围堰险情、基坑坍塌等情形，应由受过训练的人员在防护到位情况下开展救援。</w:t>
      </w:r>
    </w:p>
    <w:p w14:paraId="5AC2A161">
      <w:pPr>
        <w:pStyle w:val="165"/>
        <w:spacing w:line="360" w:lineRule="auto"/>
      </w:pPr>
      <w:r>
        <w:rPr>
          <w:rFonts w:hint="eastAsia"/>
        </w:rPr>
        <w:t>现场处置应及时记录关键时间点、人员行动、设备状态与环境条件，保留影像与书面证据，为后续调查与复盘提供依据。</w:t>
      </w:r>
    </w:p>
    <w:p w14:paraId="19DA947D">
      <w:pPr>
        <w:pStyle w:val="105"/>
        <w:spacing w:before="120" w:after="120" w:line="360" w:lineRule="auto"/>
      </w:pPr>
      <w:r>
        <w:rPr>
          <w:rFonts w:hint="eastAsia"/>
        </w:rPr>
        <w:t>信息报告与外部联动</w:t>
      </w:r>
    </w:p>
    <w:p w14:paraId="02A8C732">
      <w:pPr>
        <w:pStyle w:val="165"/>
        <w:spacing w:line="360" w:lineRule="auto"/>
      </w:pPr>
      <w:r>
        <w:rPr>
          <w:rFonts w:hint="eastAsia"/>
        </w:rPr>
        <w:t>项目应建立信息报告机制，明确内部上报链条与外部联动接口，确保在规定时限内完成报告。</w:t>
      </w:r>
    </w:p>
    <w:p w14:paraId="1FEE8AE1">
      <w:pPr>
        <w:pStyle w:val="165"/>
        <w:spacing w:line="360" w:lineRule="auto"/>
      </w:pPr>
      <w:r>
        <w:rPr>
          <w:rFonts w:hint="eastAsia"/>
        </w:rPr>
        <w:t>对可能影响社会公共安全或涉及水域通航、城市供水、周边居民的事件，应及时启动外部联动，协同公安、消防、医疗、海事（适用时）及属地应急管理等部门开展处置。</w:t>
      </w:r>
    </w:p>
    <w:p w14:paraId="39E0E857">
      <w:pPr>
        <w:pStyle w:val="165"/>
        <w:spacing w:line="360" w:lineRule="auto"/>
      </w:pPr>
      <w:r>
        <w:rPr>
          <w:rFonts w:hint="eastAsia"/>
        </w:rPr>
        <w:t>信息发布应统一口径，避免谣言与信息混乱造成次生风险。</w:t>
      </w:r>
    </w:p>
    <w:p w14:paraId="6162F715">
      <w:pPr>
        <w:pStyle w:val="105"/>
        <w:spacing w:before="120" w:after="120" w:line="360" w:lineRule="auto"/>
      </w:pPr>
      <w:r>
        <w:rPr>
          <w:rFonts w:hint="eastAsia"/>
        </w:rPr>
        <w:t>事故事件调查、整改与复盘改进</w:t>
      </w:r>
    </w:p>
    <w:p w14:paraId="1C8F9F4F">
      <w:pPr>
        <w:pStyle w:val="165"/>
        <w:spacing w:line="360" w:lineRule="auto"/>
      </w:pPr>
      <w:r>
        <w:rPr>
          <w:rFonts w:hint="eastAsia"/>
        </w:rPr>
        <w:t>事故事件处置后应开展原因分析与复盘，识别管理缺陷、制度缺陷、培训缺陷与工程技术缺陷，形成纠正与预防措施。</w:t>
      </w:r>
    </w:p>
    <w:p w14:paraId="4CDF57E4">
      <w:pPr>
        <w:pStyle w:val="165"/>
        <w:spacing w:line="360" w:lineRule="auto"/>
      </w:pPr>
      <w:r>
        <w:rPr>
          <w:rFonts w:hint="eastAsia"/>
        </w:rPr>
        <w:t>复盘应推动风险清单更新、隐患排查重点调整、专项方案优化与应急预案完善，实现“以事件促改进”的闭环提升。</w:t>
      </w:r>
    </w:p>
    <w:p w14:paraId="22DF7C5A">
      <w:pPr>
        <w:pStyle w:val="165"/>
        <w:spacing w:line="360" w:lineRule="auto"/>
      </w:pPr>
      <w:r>
        <w:rPr>
          <w:rFonts w:hint="eastAsia"/>
        </w:rPr>
        <w:t>对同类事件重复发生的，应开展专项整治并追溯管理责任，必要时调整组织与资源配置。</w:t>
      </w:r>
    </w:p>
    <w:p w14:paraId="5A8CB279">
      <w:pPr>
        <w:pStyle w:val="104"/>
        <w:spacing w:before="240" w:after="240" w:line="360" w:lineRule="auto"/>
      </w:pPr>
      <w:bookmarkStart w:id="56" w:name="_Toc217480368"/>
      <w:r>
        <w:rPr>
          <w:rFonts w:hint="eastAsia"/>
        </w:rPr>
        <w:t>评价改进</w:t>
      </w:r>
      <w:bookmarkEnd w:id="56"/>
    </w:p>
    <w:p w14:paraId="3AA436B1">
      <w:pPr>
        <w:pStyle w:val="105"/>
        <w:spacing w:before="120" w:after="120" w:line="360" w:lineRule="auto"/>
      </w:pPr>
      <w:r>
        <w:rPr>
          <w:rFonts w:hint="eastAsia"/>
        </w:rPr>
        <w:t>绩效评价与指标体系</w:t>
      </w:r>
    </w:p>
    <w:p w14:paraId="514E77BA">
      <w:pPr>
        <w:pStyle w:val="165"/>
        <w:spacing w:line="360" w:lineRule="auto"/>
      </w:pPr>
      <w:r>
        <w:rPr>
          <w:rFonts w:hint="eastAsia"/>
        </w:rPr>
        <w:t>项目应建立安全隐患防控绩效评价机制，评价应覆盖过程管理与结果表现，作为管理评审与持续改进的依据。</w:t>
      </w:r>
    </w:p>
    <w:p w14:paraId="4A53FD1A">
      <w:pPr>
        <w:pStyle w:val="165"/>
        <w:spacing w:line="360" w:lineRule="auto"/>
      </w:pPr>
      <w:r>
        <w:rPr>
          <w:rFonts w:hint="eastAsia"/>
        </w:rPr>
        <w:t>评价指标宜包括但不限于：隐患发现率与整改闭环率、重大隐患挂牌治理完成率、作业许可执行合规率、旁站监护覆盖率、人员培训覆盖率、特种作业持证率、事故事件（含未遂事件）发生率、应急演练问题闭环率等。</w:t>
      </w:r>
    </w:p>
    <w:p w14:paraId="60920694">
      <w:pPr>
        <w:pStyle w:val="165"/>
        <w:spacing w:line="360" w:lineRule="auto"/>
      </w:pPr>
      <w:r>
        <w:rPr>
          <w:rFonts w:hint="eastAsia"/>
        </w:rPr>
        <w:t>评价结果应与分包管理、人员考核、奖惩与资源配置挂钩，避免“只考核结果、不治理过程”的片面倾向。</w:t>
      </w:r>
    </w:p>
    <w:p w14:paraId="45DC82E5">
      <w:pPr>
        <w:pStyle w:val="105"/>
        <w:spacing w:before="120" w:after="120" w:line="360" w:lineRule="auto"/>
      </w:pPr>
      <w:r>
        <w:rPr>
          <w:rFonts w:hint="eastAsia"/>
        </w:rPr>
        <w:t>内部审核与管理评审</w:t>
      </w:r>
    </w:p>
    <w:p w14:paraId="6B46A75B">
      <w:pPr>
        <w:pStyle w:val="165"/>
        <w:spacing w:line="360" w:lineRule="auto"/>
      </w:pPr>
      <w:r>
        <w:rPr>
          <w:rFonts w:hint="eastAsia"/>
        </w:rPr>
        <w:t>项目应定期组织内部审核，审核应覆盖制度执行、现场符合性、隐患闭环质量、专项方案落实、作业许可执行与应急能力等。</w:t>
      </w:r>
    </w:p>
    <w:p w14:paraId="1D6FCF72">
      <w:pPr>
        <w:pStyle w:val="165"/>
        <w:spacing w:line="360" w:lineRule="auto"/>
      </w:pPr>
      <w:r>
        <w:rPr>
          <w:rFonts w:hint="eastAsia"/>
        </w:rPr>
        <w:t>管理评审应由项目负责人组织，重点评审风险变化、隐患趋势、重大风险控制有效性、资源匹配性与改进措施落实情况，并形成评审结论与行动计划。</w:t>
      </w:r>
    </w:p>
    <w:p w14:paraId="7D04CC33">
      <w:pPr>
        <w:pStyle w:val="105"/>
        <w:spacing w:before="120" w:after="120" w:line="360" w:lineRule="auto"/>
      </w:pPr>
      <w:r>
        <w:rPr>
          <w:rFonts w:hint="eastAsia"/>
        </w:rPr>
        <w:t>持续改进与经验反馈</w:t>
      </w:r>
    </w:p>
    <w:p w14:paraId="7DFAD9D1">
      <w:pPr>
        <w:pStyle w:val="165"/>
        <w:spacing w:line="360" w:lineRule="auto"/>
      </w:pPr>
      <w:r>
        <w:rPr>
          <w:rFonts w:hint="eastAsia"/>
        </w:rPr>
        <w:t>项目应建立隐患与事件数据分析机制，开展趋势分析与根因分析，形成针对性改进措施，推动“治标”向“治本”转变。</w:t>
      </w:r>
    </w:p>
    <w:p w14:paraId="1B8311B3">
      <w:pPr>
        <w:pStyle w:val="165"/>
        <w:spacing w:line="360" w:lineRule="auto"/>
      </w:pPr>
      <w:r>
        <w:rPr>
          <w:rFonts w:hint="eastAsia"/>
        </w:rPr>
        <w:t>对典型隐患与典型事件应形成案例库与经验反馈机制，用于后续培训、交底与方案优化。</w:t>
      </w:r>
    </w:p>
    <w:p w14:paraId="69551832">
      <w:pPr>
        <w:pStyle w:val="165"/>
        <w:spacing w:line="360" w:lineRule="auto"/>
      </w:pPr>
      <w:r>
        <w:rPr>
          <w:rFonts w:hint="eastAsia"/>
        </w:rPr>
        <w:t>鼓励采用新技术提升隐患识别与防控能力，如视频智能识别、人员定位与电子围栏、设备状态监测、数字化作业许可与电子签名等，但不得以技术手段替代基本的管理责任与现场控制。</w:t>
      </w:r>
    </w:p>
    <w:p w14:paraId="687B4054">
      <w:pPr>
        <w:pStyle w:val="105"/>
        <w:spacing w:before="120" w:after="120" w:line="360" w:lineRule="auto"/>
      </w:pPr>
      <w:r>
        <w:rPr>
          <w:rFonts w:hint="eastAsia"/>
        </w:rPr>
        <w:t>文件与记录管理</w:t>
      </w:r>
    </w:p>
    <w:p w14:paraId="445382AF">
      <w:pPr>
        <w:pStyle w:val="165"/>
        <w:spacing w:line="360" w:lineRule="auto"/>
      </w:pPr>
      <w:r>
        <w:rPr>
          <w:rFonts w:hint="eastAsia"/>
        </w:rPr>
        <w:t>项目应对安全管理文件与记录实行受控管理，确保版本有效、签批齐全、存档完整。</w:t>
      </w:r>
    </w:p>
    <w:p w14:paraId="52C94133">
      <w:pPr>
        <w:pStyle w:val="165"/>
        <w:spacing w:line="360" w:lineRule="auto"/>
      </w:pPr>
      <w:r>
        <w:rPr>
          <w:rFonts w:hint="eastAsia"/>
        </w:rPr>
        <w:t>风险清单、重大隐患治理、作业许可、隐蔽验收、监测数据、应急演练与事件处置等关键记录应明确保存期限与保管责任人，确保可追溯与可审计。</w:t>
      </w:r>
    </w:p>
    <w:bookmarkEnd w:id="26"/>
    <w:p w14:paraId="134F9C1E">
      <w:pPr>
        <w:pStyle w:val="56"/>
        <w:ind w:firstLine="0" w:firstLineChars="0"/>
        <w:jc w:val="center"/>
      </w:pPr>
      <w:bookmarkStart w:id="57" w:name="BookMark8"/>
      <w:r>
        <w:rPr>
          <w:rFonts w:hint="eastAsia"/>
        </w:rPr>
        <w:drawing>
          <wp:inline distT="0" distB="0" distL="0" distR="0">
            <wp:extent cx="1485900" cy="317500"/>
            <wp:effectExtent l="0" t="0" r="0" b="6350"/>
            <wp:docPr id="1499618043" name="图片 5"/>
            <wp:cNvGraphicFramePr/>
            <a:graphic xmlns:a="http://schemas.openxmlformats.org/drawingml/2006/main">
              <a:graphicData uri="http://schemas.openxmlformats.org/drawingml/2006/picture">
                <pic:pic xmlns:pic="http://schemas.openxmlformats.org/drawingml/2006/picture">
                  <pic:nvPicPr>
                    <pic:cNvPr id="1499618043" name="图片 5"/>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7"/>
    </w:p>
    <w:sectPr>
      <w:headerReference r:id="rId23" w:type="default"/>
      <w:footerReference r:id="rId25" w:type="default"/>
      <w:headerReference r:id="rId24" w:type="even"/>
      <w:footerReference r:id="rId26"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FAB1A">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BEABE">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1F5A">
    <w:pPr>
      <w:pStyle w:val="51"/>
    </w:pPr>
    <w:r>
      <w:fldChar w:fldCharType="begin"/>
    </w:r>
    <w:r>
      <w:instrText xml:space="preserve"> PAGE   \* MERGEFORMAT \* MERGEFORMAT </w:instrText>
    </w:r>
    <w:r>
      <w:fldChar w:fldCharType="separate"/>
    </w:r>
    <w:r>
      <w:t>10</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76704">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0CD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4F55">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E8875">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E0F9C">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18A51">
    <w:pPr>
      <w:pStyle w:val="51"/>
    </w:pPr>
    <w:r>
      <w:fldChar w:fldCharType="begin"/>
    </w:r>
    <w:r>
      <w:instrText xml:space="preserve"> PAGE   \* MERGEFORMAT \* MERGEFORMAT </w:instrText>
    </w:r>
    <w:r>
      <w:fldChar w:fldCharType="separate"/>
    </w:r>
    <w:r>
      <w:t>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0159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C8283">
    <w:pPr>
      <w:pStyle w:val="51"/>
    </w:pPr>
    <w:r>
      <w:fldChar w:fldCharType="begin"/>
    </w:r>
    <w:r>
      <w:instrText xml:space="preserve"> PAGE   \* MERGEFORMAT \* MERGEFORMAT </w:instrText>
    </w:r>
    <w:r>
      <w:fldChar w:fldCharType="separate"/>
    </w:r>
    <w: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A43D4">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E166">
    <w:pPr>
      <w:pStyle w:val="61"/>
    </w:pPr>
    <w:r>
      <w:fldChar w:fldCharType="begin"/>
    </w:r>
    <w:r>
      <w:instrText xml:space="preserve"> STYLEREF  标准文件_文件编号  \* MERGEFORMAT </w:instrText>
    </w:r>
    <w:r>
      <w:fldChar w:fldCharType="separate"/>
    </w:r>
    <w:r>
      <w:t>T/XZBX 0174—2025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11FACC">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0174—2025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4F11B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A1712">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0709">
    <w:pPr>
      <w:pStyle w:val="61"/>
    </w:pPr>
    <w:r>
      <w:fldChar w:fldCharType="begin"/>
    </w:r>
    <w:r>
      <w:instrText xml:space="preserve"> STYLEREF  标准文件_文件编号  \* MERGEFORMAT </w:instrText>
    </w:r>
    <w:r>
      <w:fldChar w:fldCharType="separate"/>
    </w:r>
    <w:r>
      <w:t>T/XZBX 0174—2025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77A6">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0174—2025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E6A1">
    <w:pPr>
      <w:pStyle w:val="61"/>
    </w:pPr>
    <w:r>
      <w:fldChar w:fldCharType="begin"/>
    </w:r>
    <w:r>
      <w:instrText xml:space="preserve"> STYLEREF  标准文件_文件编号  \* MERGEFORMAT </w:instrText>
    </w:r>
    <w:r>
      <w:fldChar w:fldCharType="separate"/>
    </w:r>
    <w:r>
      <w:t>T/XZBX 0174—2025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7E184">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0174—2025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543B2">
    <w:pPr>
      <w:pStyle w:val="61"/>
    </w:pPr>
    <w:r>
      <w:fldChar w:fldCharType="begin"/>
    </w:r>
    <w:r>
      <w:instrText xml:space="preserve"> STYLEREF  标准文件_文件编号  \* MERGEFORMAT </w:instrText>
    </w:r>
    <w:r>
      <w:fldChar w:fldCharType="separate"/>
    </w:r>
    <w:r>
      <w:t>T/XZBX 0174—2025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2D613">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0174—2025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NDQwNLY0MzYwNjQ0MzJV0lEKTi0uzszPAykwrgUA5UAOHiwAAAA="/>
  </w:docVars>
  <w:rsids>
    <w:rsidRoot w:val="00552C1F"/>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4CEB"/>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243"/>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161E"/>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6E4"/>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6CC1"/>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C1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2FCD"/>
    <w:rsid w:val="00645904"/>
    <w:rsid w:val="00651ACB"/>
    <w:rsid w:val="00651C47"/>
    <w:rsid w:val="0065288E"/>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50B7"/>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4956"/>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07CE"/>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73D9"/>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1D8"/>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D7987"/>
    <w:rsid w:val="00DE0A4B"/>
    <w:rsid w:val="00DE2410"/>
    <w:rsid w:val="00DE2939"/>
    <w:rsid w:val="00DE6E81"/>
    <w:rsid w:val="00DE703F"/>
    <w:rsid w:val="00DE7595"/>
    <w:rsid w:val="00DF1961"/>
    <w:rsid w:val="00DF44DE"/>
    <w:rsid w:val="00DF5450"/>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0F65"/>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E160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3.jpeg"/><Relationship Id="rId3" Type="http://schemas.openxmlformats.org/officeDocument/2006/relationships/footnotes" Target="footnotes.xml"/><Relationship Id="rId29" Type="http://schemas.openxmlformats.org/officeDocument/2006/relationships/image" Target="media/image2.png"/><Relationship Id="rId28" Type="http://schemas.openxmlformats.org/officeDocument/2006/relationships/image" Target="media/image1.png"/><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8BBCC73F4814DF2B25CA2AC390573F6"/>
        <w:style w:val=""/>
        <w:category>
          <w:name w:val="常规"/>
          <w:gallery w:val="placeholder"/>
        </w:category>
        <w:types>
          <w:type w:val="bbPlcHdr"/>
        </w:types>
        <w:behaviors>
          <w:behavior w:val="content"/>
        </w:behaviors>
        <w:description w:val=""/>
        <w:guid w:val="{9427020E-6A06-4D66-924C-EB98A1B6DD87}"/>
      </w:docPartPr>
      <w:docPartBody>
        <w:p w14:paraId="4BD89730">
          <w:pPr>
            <w:pStyle w:val="5"/>
          </w:pPr>
          <w:r>
            <w:rPr>
              <w:rStyle w:val="4"/>
              <w:rFonts w:hint="eastAsia"/>
            </w:rPr>
            <w:t>单击或点击此处输入文字。</w:t>
          </w:r>
        </w:p>
      </w:docPartBody>
    </w:docPart>
    <w:docPart>
      <w:docPartPr>
        <w:name w:val="4197A65F6D1E4BDD9AF6599EC272F31A"/>
        <w:style w:val=""/>
        <w:category>
          <w:name w:val="常规"/>
          <w:gallery w:val="placeholder"/>
        </w:category>
        <w:types>
          <w:type w:val="bbPlcHdr"/>
        </w:types>
        <w:behaviors>
          <w:behavior w:val="content"/>
        </w:behaviors>
        <w:description w:val=""/>
        <w:guid w:val="{C8738F1D-31EE-427A-B697-1B6EDB8E2165}"/>
      </w:docPartPr>
      <w:docPartBody>
        <w:p w14:paraId="0B3BF2F9">
          <w:pPr>
            <w:pStyle w:val="6"/>
          </w:pPr>
          <w:r>
            <w:rPr>
              <w:rStyle w:val="4"/>
              <w:rFonts w:hint="eastAsia"/>
            </w:rPr>
            <w:t>选择一项。</w:t>
          </w:r>
        </w:p>
      </w:docPartBody>
    </w:docPart>
    <w:docPart>
      <w:docPartPr>
        <w:name w:val="4EDDD88E7485469AB9D97C1BDAB03DEF"/>
        <w:style w:val=""/>
        <w:category>
          <w:name w:val="常规"/>
          <w:gallery w:val="placeholder"/>
        </w:category>
        <w:types>
          <w:type w:val="bbPlcHdr"/>
        </w:types>
        <w:behaviors>
          <w:behavior w:val="content"/>
        </w:behaviors>
        <w:description w:val=""/>
        <w:guid w:val="{0BDBC170-7FAF-48FE-9B01-770DD19208EE}"/>
      </w:docPartPr>
      <w:docPartBody>
        <w:p w14:paraId="6D6DBEFE">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B0"/>
    <w:rsid w:val="00033E86"/>
    <w:rsid w:val="003E3CCE"/>
    <w:rsid w:val="005C21CB"/>
    <w:rsid w:val="006D3544"/>
    <w:rsid w:val="00C007CE"/>
    <w:rsid w:val="00D27FB0"/>
    <w:rsid w:val="00DF4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8BBCC73F4814DF2B25CA2AC390573F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197A65F6D1E4BDD9AF6599EC272F3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EDDD88E7485469AB9D97C1BDAB03DE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19</Pages>
  <Words>5696</Words>
  <Characters>6007</Characters>
  <Lines>81</Lines>
  <Paragraphs>22</Paragraphs>
  <TotalTime>65</TotalTime>
  <ScaleCrop>false</ScaleCrop>
  <LinksUpToDate>false</LinksUpToDate>
  <CharactersWithSpaces>6113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2025-12-24T01:39:00Z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2026-01-04T06:28:45Z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eyJoZGlkIjoiZjFmZWIzNDg2MmIzZjExOTIzMmViNTBmYTMwYTk0ZWYiLCJ1c2VySWQiOiIxMTMwMzM3OTUxIn0=</vt:lpwstr>
  </property>
  <property fmtid="{D5CDD505-2E9C-101B-9397-08002B2CF9AE}" pid="16" name="KSOProductBuildVer">
    <vt:lpwstr>2052-12.1.0.24034</vt:lpwstr>
  </property>
  <property fmtid="{D5CDD505-2E9C-101B-9397-08002B2CF9AE}" pid="17" name="ICV">
    <vt:lpwstr>5B24331C3DE8493BAAAF5476E3203CDF_12</vt:lpwstr>
  </property>
</Properties>
</file>