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4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13.040.01</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1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15</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3"/>
            </w:textInput>
          </w:ffData>
        </w:fldChar>
      </w:r>
      <w:bookmarkStart w:id="6" w:name="NSTD_CODE_F"/>
      <w:r>
        <w:instrText xml:space="preserve"> FORMTEXT </w:instrText>
      </w:r>
      <w:r>
        <w:fldChar w:fldCharType="separate"/>
      </w:r>
      <w:r>
        <w:t>0173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67A670EB">
      <w:pPr>
        <w:pStyle w:val="197"/>
        <w:framePr w:h="6974" w:hRule="exact" w:wrap="around" w:x="1419" w:anchorLock="1"/>
      </w:pPr>
      <w:r>
        <w:fldChar w:fldCharType="begin">
          <w:ffData>
            <w:name w:val="CSTD_NAME"/>
            <w:enabled/>
            <w:calcOnExit w:val="0"/>
            <w:textInput>
              <w:default w:val="工业园区周边环境空气特征污染物溯源技术指南"/>
            </w:textInput>
          </w:ffData>
        </w:fldChar>
      </w:r>
      <w:bookmarkStart w:id="9" w:name="CSTD_NAME"/>
      <w:r>
        <w:instrText xml:space="preserve"> FORMTEXT </w:instrText>
      </w:r>
      <w:r>
        <w:fldChar w:fldCharType="separate"/>
      </w:r>
      <w:r>
        <w:t>工业园区周边环境空气特征污染物溯源</w:t>
      </w:r>
    </w:p>
    <w:p w14:paraId="4DEF4094">
      <w:pPr>
        <w:pStyle w:val="197"/>
        <w:framePr w:h="6974" w:hRule="exact" w:wrap="around" w:x="1419" w:anchorLock="1"/>
      </w:pPr>
      <w:r>
        <w:t>技术指南</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source tracing technology of characteristic air pollutants around industrial park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source tracing technology of characteristic air pollutants around industrial parks</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051A5F4">
      <w:pPr>
        <w:pStyle w:val="91"/>
        <w:spacing w:after="360"/>
      </w:pPr>
      <w:bookmarkStart w:id="21" w:name="BookMark1"/>
      <w:r>
        <w:rPr>
          <w:rFonts w:hint="eastAsia"/>
          <w:spacing w:val="320"/>
        </w:rPr>
        <w:t>目</w:t>
      </w:r>
      <w:r>
        <w:rPr>
          <w:rFonts w:hint="eastAsia"/>
        </w:rPr>
        <w:t>次</w:t>
      </w:r>
    </w:p>
    <w:p w14:paraId="135FA2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"_Toc217477365"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_Toc217477365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6E7AD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"_Toc217477366"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_Toc217477366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0ED84A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"_Toc217477367"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_Toc217477367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06DA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"_Toc217477368"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_Toc217477368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04C6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"_Toc217477369"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_Toc217477369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2E1F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_Toc217477370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855A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"_Toc217477371" </w:instrText>
      </w:r>
      <w:r>
        <w:fldChar w:fldCharType="separate"/>
      </w:r>
      <w:r>
        <w:rPr>
          <w:rStyle w:val="32"/>
          <w:rFonts w:hint="eastAsia"/>
        </w:rPr>
        <w:t>5</w:t>
      </w:r>
      <w:r>
        <w:rPr>
          <w:rStyle w:val="32"/>
        </w:rPr>
        <w:t xml:space="preserve"> </w:t>
      </w:r>
      <w:r>
        <w:rPr>
          <w:rStyle w:val="32"/>
          <w:rFonts w:hint="eastAsia"/>
        </w:rPr>
        <w:t xml:space="preserve"> 特征污染物识别与源信息构建</w:t>
      </w:r>
      <w:r>
        <w:rPr>
          <w:rFonts w:hint="eastAsia"/>
        </w:rPr>
        <w:tab/>
      </w:r>
      <w:r>
        <w:rPr>
          <w:rFonts w:hint="eastAsia"/>
        </w:rPr>
        <w:fldChar w:fldCharType="begin"/>
      </w:r>
      <w:r>
        <w:rPr>
          <w:rFonts w:hint="eastAsia"/>
        </w:rPr>
        <w:instrText xml:space="preserve"> </w:instrText>
      </w:r>
      <w:r>
        <w:instrText xml:space="preserve">PAGEREF _Toc217477371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9E13E2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"_Toc217477372" </w:instrText>
      </w:r>
      <w:r>
        <w:fldChar w:fldCharType="separate"/>
      </w:r>
      <w:r>
        <w:rPr>
          <w:rStyle w:val="32"/>
          <w:rFonts w:hint="eastAsia"/>
        </w:rPr>
        <w:t>6</w:t>
      </w:r>
      <w:r>
        <w:rPr>
          <w:rStyle w:val="32"/>
        </w:rPr>
        <w:t xml:space="preserve"> </w:t>
      </w:r>
      <w:r>
        <w:rPr>
          <w:rStyle w:val="32"/>
          <w:rFonts w:hint="eastAsia"/>
        </w:rPr>
        <w:t xml:space="preserve"> 溯源技术方法</w:t>
      </w:r>
      <w:r>
        <w:rPr>
          <w:rFonts w:hint="eastAsia"/>
        </w:rPr>
        <w:tab/>
      </w:r>
      <w:r>
        <w:rPr>
          <w:rFonts w:hint="eastAsia"/>
        </w:rPr>
        <w:fldChar w:fldCharType="begin"/>
      </w:r>
      <w:r>
        <w:rPr>
          <w:rFonts w:hint="eastAsia"/>
        </w:rPr>
        <w:instrText xml:space="preserve"> </w:instrText>
      </w:r>
      <w:r>
        <w:instrText xml:space="preserve">PAGEREF _Toc217477372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11919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"_Toc217477373" </w:instrText>
      </w:r>
      <w:r>
        <w:fldChar w:fldCharType="separate"/>
      </w:r>
      <w:r>
        <w:rPr>
          <w:rStyle w:val="32"/>
          <w:rFonts w:hint="eastAsia"/>
        </w:rPr>
        <w:t>7</w:t>
      </w:r>
      <w:r>
        <w:rPr>
          <w:rStyle w:val="32"/>
        </w:rPr>
        <w:t xml:space="preserve"> </w:t>
      </w:r>
      <w:r>
        <w:rPr>
          <w:rStyle w:val="32"/>
          <w:rFonts w:hint="eastAsia"/>
        </w:rPr>
        <w:t xml:space="preserve"> 质量控制与不确定性分析</w:t>
      </w:r>
      <w:r>
        <w:rPr>
          <w:rFonts w:hint="eastAsia"/>
        </w:rPr>
        <w:tab/>
      </w:r>
      <w:r>
        <w:rPr>
          <w:rFonts w:hint="eastAsia"/>
        </w:rPr>
        <w:fldChar w:fldCharType="begin"/>
      </w:r>
      <w:r>
        <w:rPr>
          <w:rFonts w:hint="eastAsia"/>
        </w:rPr>
        <w:instrText xml:space="preserve"> </w:instrText>
      </w:r>
      <w:r>
        <w:instrText xml:space="preserve">PAGEREF _Toc217477373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B04A42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"_Toc217477374" </w:instrText>
      </w:r>
      <w:r>
        <w:fldChar w:fldCharType="separate"/>
      </w:r>
      <w:r>
        <w:rPr>
          <w:rStyle w:val="32"/>
          <w:rFonts w:hint="eastAsia"/>
        </w:rPr>
        <w:t>8</w:t>
      </w:r>
      <w:r>
        <w:rPr>
          <w:rStyle w:val="32"/>
        </w:rPr>
        <w:t xml:space="preserve"> </w:t>
      </w:r>
      <w:r>
        <w:rPr>
          <w:rStyle w:val="32"/>
          <w:rFonts w:hint="eastAsia"/>
        </w:rPr>
        <w:t xml:space="preserve"> 成果表达与应用</w:t>
      </w:r>
      <w:r>
        <w:rPr>
          <w:rFonts w:hint="eastAsia"/>
        </w:rPr>
        <w:tab/>
      </w:r>
      <w:r>
        <w:rPr>
          <w:rFonts w:hint="eastAsia"/>
        </w:rPr>
        <w:fldChar w:fldCharType="begin"/>
      </w:r>
      <w:r>
        <w:rPr>
          <w:rFonts w:hint="eastAsia"/>
        </w:rPr>
        <w:instrText xml:space="preserve"> </w:instrText>
      </w:r>
      <w:r>
        <w:instrText xml:space="preserve">PAGEREF _Toc217477374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C1ABD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"_Toc217477375" </w:instrText>
      </w:r>
      <w:r>
        <w:fldChar w:fldCharType="separate"/>
      </w:r>
      <w:r>
        <w:rPr>
          <w:rStyle w:val="32"/>
          <w:rFonts w:hint="eastAsia"/>
        </w:rPr>
        <w:t>9</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_Toc217477375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E99C49D">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77365"/>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本文件起草单位：江苏原木环境科技有限公司</w:t>
      </w:r>
      <w:bookmarkStart w:id="58" w:name="_GoBack"/>
      <w:bookmarkEnd w:id="58"/>
      <w:r>
        <w:rPr>
          <w:rFonts w:hint="eastAsia"/>
        </w:rPr>
        <w:t>。</w:t>
      </w:r>
    </w:p>
    <w:p w14:paraId="24C66E2A">
      <w:pPr>
        <w:pStyle w:val="56"/>
        <w:spacing w:line="360" w:lineRule="auto"/>
        <w:ind w:firstLine="420"/>
      </w:pPr>
      <w:r>
        <w:rPr>
          <w:rFonts w:hint="eastAsia"/>
        </w:rPr>
        <w:t>本文件主要起草人：侯雪。</w:t>
      </w:r>
    </w:p>
    <w:p w14:paraId="7F390A74">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77366"/>
      <w:bookmarkStart w:id="25" w:name="BookMark3"/>
      <w:r>
        <w:rPr>
          <w:spacing w:val="320"/>
        </w:rPr>
        <w:t>引</w:t>
      </w:r>
      <w:r>
        <w:t>言</w:t>
      </w:r>
      <w:bookmarkEnd w:id="24"/>
    </w:p>
    <w:p w14:paraId="522ED413">
      <w:pPr>
        <w:pStyle w:val="56"/>
        <w:spacing w:line="360" w:lineRule="auto"/>
        <w:ind w:firstLine="420"/>
      </w:pPr>
      <w:r>
        <w:rPr>
          <w:rFonts w:hint="eastAsia"/>
        </w:rPr>
        <w:t>工业园区是区域产业集聚与能源消费的重要载体，其排放源类型多样、工艺链条复杂、无组织排放与间歇性排放并存，且常与交通源、生活源、餐饮源、扬尘源等叠加耦合，导致园区周边环境空气污染呈现“组分复杂、时空变化剧烈、边界效应显著、污染过程易受气象驱动”的特点。对工业园区周边环境空气特征污染物开展科学溯源，是开展精细化监管、识别重点排放单元、优化治理路径、评估治理成效与应对突发异味或超标事件的关键基础工作。</w:t>
      </w:r>
    </w:p>
    <w:p w14:paraId="0D180017">
      <w:pPr>
        <w:pStyle w:val="56"/>
        <w:spacing w:line="360" w:lineRule="auto"/>
        <w:ind w:firstLine="420"/>
      </w:pPr>
      <w:r>
        <w:rPr>
          <w:rFonts w:hint="eastAsia"/>
        </w:rPr>
        <w:t>传统大气污染溯源多侧重常规污染物（如颗粒物、二氧化硫、氮氧化物等）及区域尺度输送贡献，对工业园区周边“特征污染物”（如典型挥发性有机物、特征恶臭物质、特征金属元素、特征卤代烃、含硫含氮有机物等）的快速识别、定量贡献解析与源单元定位存在一定局限。同时，园区周边溯源工作往往面临排放信息不完备、源清单不一致、监测数据维度不足、源谱缺失、模型适用性受限与多源混合难以分离等实际问题，易出现结论不稳定、可解释性不足或难以支撑执法与治理决策的情况。</w:t>
      </w:r>
    </w:p>
    <w:p w14:paraId="21ABEEBA">
      <w:pPr>
        <w:pStyle w:val="56"/>
        <w:spacing w:line="360" w:lineRule="auto"/>
        <w:ind w:firstLine="420"/>
      </w:pPr>
      <w:r>
        <w:rPr>
          <w:rFonts w:hint="eastAsia"/>
        </w:rPr>
        <w:t>本文件面向工业园区周边环境空气特征污染物溯源的工程化应用需求，提出溯源工作的一般原则、适用范围、数据与质量控制、监测与采样策略、源清单与源谱构建、溯源技术路线选择与组合应用、模型计算与不确定性分析、成果表达与验证评估等要求，强调以问题为导向、以证据链为核心、以多源数据融合为手段、以可复核与可追溯为目标，形成可实施、可评价、可支撑管理决策的溯源技术体系。</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736F37A0">
          <w:pPr>
            <w:pStyle w:val="177"/>
            <w:spacing w:after="0"/>
          </w:pPr>
          <w:bookmarkStart w:id="27" w:name="NEW_STAND_NAME"/>
          <w:r>
            <w:rPr>
              <w:rFonts w:hint="eastAsia"/>
            </w:rPr>
            <w:t>工业园区周边环境空气特征污染物溯源</w:t>
          </w:r>
        </w:p>
        <w:p w14:paraId="2A2AE3A7">
          <w:pPr>
            <w:pStyle w:val="177"/>
            <w:spacing w:before="0"/>
          </w:pPr>
          <w:r>
            <w:rPr>
              <w:rFonts w:hint="eastAsia"/>
            </w:rPr>
            <w:t>技术指南</w:t>
          </w:r>
        </w:p>
      </w:sdtContent>
    </w:sdt>
    <w:bookmarkEnd w:id="27"/>
    <w:p w14:paraId="4A6C50D7">
      <w:pPr>
        <w:pStyle w:val="104"/>
        <w:spacing w:before="240" w:after="240" w:line="360" w:lineRule="auto"/>
      </w:pPr>
      <w:bookmarkStart w:id="28" w:name="_Toc26648465"/>
      <w:bookmarkStart w:id="29" w:name="_Toc26718930"/>
      <w:bookmarkStart w:id="30" w:name="_Toc24884218"/>
      <w:bookmarkStart w:id="31" w:name="_Toc17233325"/>
      <w:bookmarkStart w:id="32" w:name="_Toc17233333"/>
      <w:bookmarkStart w:id="33" w:name="_Toc24884211"/>
      <w:bookmarkStart w:id="34" w:name="_Toc26986771"/>
      <w:bookmarkStart w:id="35" w:name="_Toc26986530"/>
      <w:bookmarkStart w:id="36" w:name="_Toc217477367"/>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18562AF2">
      <w:pPr>
        <w:pStyle w:val="56"/>
        <w:spacing w:line="360" w:lineRule="auto"/>
        <w:ind w:firstLine="420"/>
      </w:pPr>
      <w:bookmarkStart w:id="38" w:name="_Toc24884219"/>
      <w:bookmarkStart w:id="39" w:name="_Toc24884212"/>
      <w:bookmarkStart w:id="40" w:name="_Toc26648466"/>
      <w:bookmarkStart w:id="41" w:name="_Toc17233326"/>
      <w:bookmarkStart w:id="42" w:name="_Toc17233334"/>
      <w:r>
        <w:rPr>
          <w:rFonts w:hint="eastAsia"/>
        </w:rPr>
        <w:t>本文件规定了工业园区周边环境空气特征污染物溯源工作的总体要求、特征污染物识别与源信息构建、溯源技术方法、质量控制与不确定性分析及成果表达与应用等内容。</w:t>
      </w:r>
    </w:p>
    <w:p w14:paraId="38661369">
      <w:pPr>
        <w:pStyle w:val="56"/>
        <w:spacing w:line="360" w:lineRule="auto"/>
        <w:ind w:firstLine="420"/>
      </w:pPr>
      <w:r>
        <w:rPr>
          <w:rFonts w:hint="eastAsia"/>
        </w:rPr>
        <w:t>本文件适用于工业园区及其周边区域（含园区边界外一定影响范围）环境空气特征污染物溯源工作，可用于常态化诊断、治理评估、异味投诉核查、超标过程解析与突发事件应急溯源。对涉及特殊行业或特定污染物已有专门技术规范的，应在满足相关要求基础上参照本文件开展系统化集成应用。</w:t>
      </w:r>
    </w:p>
    <w:p w14:paraId="3F036BAD">
      <w:pPr>
        <w:pStyle w:val="104"/>
        <w:spacing w:before="240" w:after="240" w:line="360" w:lineRule="auto"/>
      </w:pPr>
      <w:bookmarkStart w:id="43" w:name="_Toc26718931"/>
      <w:bookmarkStart w:id="44" w:name="_Toc26986531"/>
      <w:bookmarkStart w:id="45" w:name="_Toc26986772"/>
      <w:bookmarkStart w:id="46" w:name="_Toc217477368"/>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0D338C">
      <w:pPr>
        <w:pStyle w:val="56"/>
        <w:spacing w:line="360" w:lineRule="auto"/>
        <w:ind w:firstLine="420"/>
      </w:pPr>
      <w:r>
        <w:rPr>
          <w:rFonts w:hint="eastAsia"/>
        </w:rPr>
        <w:t>GB 3095 环境空气质量标准</w:t>
      </w:r>
    </w:p>
    <w:p w14:paraId="40511019">
      <w:pPr>
        <w:pStyle w:val="56"/>
        <w:spacing w:line="360" w:lineRule="auto"/>
        <w:ind w:firstLine="420"/>
      </w:pPr>
      <w:r>
        <w:rPr>
          <w:rFonts w:hint="eastAsia"/>
        </w:rPr>
        <w:t>GB/T 1.1 标准化工作导则 第1部分：标准化文件的结构和起草规则</w:t>
      </w:r>
    </w:p>
    <w:p w14:paraId="7A140294">
      <w:pPr>
        <w:pStyle w:val="56"/>
        <w:spacing w:line="360" w:lineRule="auto"/>
        <w:ind w:firstLine="420"/>
      </w:pPr>
      <w:r>
        <w:rPr>
          <w:rFonts w:hint="eastAsia"/>
        </w:rPr>
        <w:t>HJ 194 环境空气质量手工监测技术规范</w:t>
      </w:r>
    </w:p>
    <w:p w14:paraId="50A5B481">
      <w:pPr>
        <w:pStyle w:val="56"/>
        <w:spacing w:line="360" w:lineRule="auto"/>
        <w:ind w:firstLine="420"/>
      </w:pPr>
      <w:r>
        <w:rPr>
          <w:rFonts w:hint="eastAsia"/>
        </w:rPr>
        <w:t>HJ 664 环境空气质量监测点位布设技术规范</w:t>
      </w:r>
    </w:p>
    <w:p w14:paraId="06EB09CD">
      <w:pPr>
        <w:pStyle w:val="56"/>
        <w:spacing w:line="360" w:lineRule="auto"/>
        <w:ind w:firstLine="420"/>
      </w:pPr>
      <w:r>
        <w:rPr>
          <w:rFonts w:hint="eastAsia"/>
        </w:rPr>
        <w:t>HJ 905 恶臭污染环境监测技术规范</w:t>
      </w:r>
    </w:p>
    <w:p w14:paraId="0D522DFE">
      <w:pPr>
        <w:pStyle w:val="56"/>
        <w:spacing w:line="360" w:lineRule="auto"/>
        <w:ind w:firstLine="420"/>
      </w:pPr>
      <w:r>
        <w:rPr>
          <w:rFonts w:hint="eastAsia"/>
        </w:rPr>
        <w:t>HJ 1262 环境空气和废气  臭气的测定  三点比较式臭袋法</w:t>
      </w:r>
    </w:p>
    <w:p w14:paraId="28DBBD7A">
      <w:pPr>
        <w:pStyle w:val="56"/>
        <w:spacing w:line="360" w:lineRule="auto"/>
        <w:ind w:firstLine="420"/>
      </w:pPr>
      <w:r>
        <w:rPr>
          <w:rFonts w:hint="eastAsia"/>
        </w:rPr>
        <w:t>HJ 1263 环境空气  总悬浮颗粒物的测定  重量法</w:t>
      </w:r>
    </w:p>
    <w:p w14:paraId="24BB2DB0">
      <w:pPr>
        <w:pStyle w:val="104"/>
        <w:spacing w:before="240" w:after="240" w:line="360" w:lineRule="auto"/>
      </w:pPr>
      <w:bookmarkStart w:id="48" w:name="_Toc97192966"/>
      <w:bookmarkStart w:id="49" w:name="_Toc217477369"/>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61461B6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工业园区 industrial park</w:t>
      </w:r>
    </w:p>
    <w:p w14:paraId="7101AD65">
      <w:pPr>
        <w:pStyle w:val="56"/>
        <w:spacing w:line="360" w:lineRule="auto"/>
        <w:ind w:firstLine="420"/>
      </w:pPr>
      <w:r>
        <w:rPr>
          <w:rFonts w:hint="eastAsia"/>
        </w:rPr>
        <w:t>以产业集聚为特征、具有明确空间边界与管理主体的工业功能区，包含化工园区、综合工业园区、经济技术开发区等。</w:t>
      </w:r>
    </w:p>
    <w:p w14:paraId="2861A92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园区周边外围影响区 surrounding impact area</w:t>
      </w:r>
    </w:p>
    <w:p w14:paraId="28A052D8">
      <w:pPr>
        <w:pStyle w:val="56"/>
        <w:spacing w:line="360" w:lineRule="auto"/>
        <w:ind w:firstLine="420"/>
      </w:pPr>
      <w:r>
        <w:rPr>
          <w:rFonts w:hint="eastAsia"/>
        </w:rPr>
        <w:t>位于园区边界外、受园区排放影响且存在敏感目标或环境管理需求的区域，影响范围应结合气象条件、地形与排放特征确定。</w:t>
      </w:r>
    </w:p>
    <w:p w14:paraId="1E2FE2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特征污染物 characteristic pollutants</w:t>
      </w:r>
    </w:p>
    <w:p w14:paraId="1DB12B5F">
      <w:pPr>
        <w:pStyle w:val="56"/>
        <w:spacing w:line="360" w:lineRule="auto"/>
        <w:ind w:firstLine="420"/>
      </w:pPr>
      <w:r>
        <w:rPr>
          <w:rFonts w:hint="eastAsia"/>
        </w:rPr>
        <w:t>能够反映特定行业、工艺或源类型排放特征，具有较强识别性或指示性的污染物或组分，包含特征挥发性有机物、恶臭物质、特征元素或离子、有机标志物等。</w:t>
      </w:r>
    </w:p>
    <w:p w14:paraId="456E63B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溯源 source apportionment and attribution</w:t>
      </w:r>
    </w:p>
    <w:p w14:paraId="258BAEDE">
      <w:pPr>
        <w:pStyle w:val="56"/>
        <w:spacing w:line="360" w:lineRule="auto"/>
        <w:ind w:firstLine="420"/>
      </w:pPr>
      <w:r>
        <w:rPr>
          <w:rFonts w:hint="eastAsia"/>
        </w:rPr>
        <w:t>通过监测、分析与模型计算等手段，识别污染来源类型、估算来源贡献并定位重点源单元的过程。</w:t>
      </w:r>
    </w:p>
    <w:p w14:paraId="082186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源清单 emission inventory</w:t>
      </w:r>
    </w:p>
    <w:p w14:paraId="3DEC42CD">
      <w:pPr>
        <w:pStyle w:val="56"/>
        <w:spacing w:line="360" w:lineRule="auto"/>
        <w:ind w:firstLine="420"/>
      </w:pPr>
      <w:r>
        <w:rPr>
          <w:rFonts w:hint="eastAsia"/>
        </w:rPr>
        <w:t>描述研究区域内各类污染源排放活动与排放量的清单，包括源类型、排放时空分布、排放高度、排放参数、控制设施与排放量等信息。</w:t>
      </w:r>
    </w:p>
    <w:p w14:paraId="3C025B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源谱 source profile</w:t>
      </w:r>
    </w:p>
    <w:p w14:paraId="39237E22">
      <w:pPr>
        <w:pStyle w:val="56"/>
        <w:spacing w:line="360" w:lineRule="auto"/>
        <w:ind w:firstLine="420"/>
      </w:pPr>
      <w:r>
        <w:rPr>
          <w:rFonts w:hint="eastAsia"/>
        </w:rPr>
        <w:t>表征特定源类型排放中污染物组成比例或特征指纹的集合，可用于受体模型与指纹匹配分析。</w:t>
      </w:r>
    </w:p>
    <w:p w14:paraId="3E38DCE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受体模型 receptor model</w:t>
      </w:r>
    </w:p>
    <w:p w14:paraId="2DFE7AC0">
      <w:pPr>
        <w:pStyle w:val="56"/>
        <w:spacing w:line="360" w:lineRule="auto"/>
        <w:ind w:firstLine="420"/>
      </w:pPr>
      <w:r>
        <w:rPr>
          <w:rFonts w:hint="eastAsia"/>
        </w:rPr>
        <w:t>基于受体点污染物浓度与组分特征，反演各来源贡献的统计模型，如因子分析与多元分解模型等。</w:t>
      </w:r>
    </w:p>
    <w:p w14:paraId="7B0445F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扩散模型 dispersion model</w:t>
      </w:r>
    </w:p>
    <w:p w14:paraId="264C671A">
      <w:pPr>
        <w:pStyle w:val="56"/>
        <w:spacing w:line="360" w:lineRule="auto"/>
        <w:ind w:firstLine="420"/>
      </w:pPr>
      <w:r>
        <w:rPr>
          <w:rFonts w:hint="eastAsia"/>
        </w:rPr>
        <w:t>基于排放源参数与气象条件，模拟污染物在空间扩散与传输并预测浓度分布的模型。</w:t>
      </w:r>
    </w:p>
    <w:p w14:paraId="6AC23D9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反轨迹 backward trajectory</w:t>
      </w:r>
    </w:p>
    <w:p w14:paraId="3EC00D81">
      <w:pPr>
        <w:pStyle w:val="56"/>
        <w:spacing w:line="360" w:lineRule="auto"/>
        <w:ind w:firstLine="420"/>
      </w:pPr>
      <w:r>
        <w:rPr>
          <w:rFonts w:hint="eastAsia"/>
        </w:rPr>
        <w:t>基于气象场反算气团路径的分析方法，用于判定污染过程的输送路径与潜在影响源区。</w:t>
      </w:r>
    </w:p>
    <w:p w14:paraId="28EEB9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证据链 evidence chain</w:t>
      </w:r>
    </w:p>
    <w:p w14:paraId="7C77886C">
      <w:pPr>
        <w:pStyle w:val="56"/>
        <w:spacing w:line="360" w:lineRule="auto"/>
        <w:ind w:firstLine="420"/>
      </w:pPr>
      <w:r>
        <w:rPr>
          <w:rFonts w:hint="eastAsia"/>
        </w:rPr>
        <w:t>由监测数据、源信息、模型结果与现场核查等多类证据构成、相互印证并可复核的支撑体系。</w:t>
      </w:r>
    </w:p>
    <w:p w14:paraId="1589108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不确定性 uncertainty</w:t>
      </w:r>
    </w:p>
    <w:p w14:paraId="3C57E566">
      <w:pPr>
        <w:pStyle w:val="56"/>
        <w:spacing w:line="360" w:lineRule="auto"/>
        <w:ind w:firstLine="420"/>
      </w:pPr>
      <w:r>
        <w:rPr>
          <w:rFonts w:hint="eastAsia"/>
        </w:rPr>
        <w:t>由监测误差、源清单误差、模型结构与参数不确定等引起的结果偏差范围或可信区间。</w:t>
      </w:r>
    </w:p>
    <w:p w14:paraId="4F7DCC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异味事件 odor episode</w:t>
      </w:r>
    </w:p>
    <w:p w14:paraId="601A9710">
      <w:pPr>
        <w:pStyle w:val="56"/>
        <w:spacing w:line="360" w:lineRule="auto"/>
        <w:ind w:firstLine="420"/>
      </w:pPr>
      <w:r>
        <w:rPr>
          <w:rFonts w:hint="eastAsia"/>
        </w:rPr>
        <w:t>因特征恶臭物质或刺激性气体导致的公众嗅觉投诉或明显异味感知事件，常具有突发性与短时高强度特征。</w:t>
      </w:r>
    </w:p>
    <w:p w14:paraId="56AFC033">
      <w:pPr>
        <w:pStyle w:val="104"/>
        <w:spacing w:before="240" w:after="240" w:line="360" w:lineRule="auto"/>
      </w:pPr>
      <w:bookmarkStart w:id="51" w:name="_Toc217477370"/>
      <w:r>
        <w:rPr>
          <w:rFonts w:hint="eastAsia"/>
        </w:rPr>
        <w:t>总体要求</w:t>
      </w:r>
      <w:bookmarkEnd w:id="51"/>
    </w:p>
    <w:p w14:paraId="40A9F3D2">
      <w:pPr>
        <w:pStyle w:val="105"/>
        <w:spacing w:before="120" w:after="120" w:line="360" w:lineRule="auto"/>
      </w:pPr>
      <w:r>
        <w:rPr>
          <w:rFonts w:hint="eastAsia"/>
        </w:rPr>
        <w:t>基本原则</w:t>
      </w:r>
    </w:p>
    <w:p w14:paraId="1AACA776">
      <w:pPr>
        <w:pStyle w:val="56"/>
        <w:spacing w:line="360" w:lineRule="auto"/>
        <w:ind w:firstLine="420"/>
      </w:pPr>
      <w:r>
        <w:rPr>
          <w:rFonts w:hint="eastAsia"/>
        </w:rPr>
        <w:t>工业园区周边环境空气特征污染物溯源应坚持问题导向、风险导向与证据导向。溯源工作应以明确的管理目标或事件目标为牵引，遵循“先识别特征、再构建证据、后定量解析、最终形成可行动建议”的路径，避免单一方法得出不可复核结论。应优先采用多源数据融合、方法交叉验证与不确定性量化的技术路线，形成可追溯、可解释、可复核的溯源结论。</w:t>
      </w:r>
    </w:p>
    <w:p w14:paraId="7D91AC36">
      <w:pPr>
        <w:pStyle w:val="105"/>
        <w:spacing w:before="120" w:after="120" w:line="360" w:lineRule="auto"/>
      </w:pPr>
      <w:r>
        <w:rPr>
          <w:rFonts w:hint="eastAsia"/>
        </w:rPr>
        <w:t>溯源对象与工作边界</w:t>
      </w:r>
    </w:p>
    <w:p w14:paraId="074E9710">
      <w:pPr>
        <w:pStyle w:val="56"/>
        <w:spacing w:line="360" w:lineRule="auto"/>
        <w:ind w:firstLine="420"/>
      </w:pPr>
      <w:r>
        <w:rPr>
          <w:rFonts w:hint="eastAsia"/>
        </w:rPr>
        <w:t>溯源对象应明确包括特征污染物种类、目标时段（常态/污染过程/投诉时段/应急时段）、目标区域（园区边界及外围影响区）与目标敏感点位。工作边界应结合园区空间布局、主导风向、地形地貌与背景源影响确定，并明确是否考虑区域输送、相邻园区或城市背景源贡献。</w:t>
      </w:r>
    </w:p>
    <w:p w14:paraId="170C7CFB">
      <w:pPr>
        <w:pStyle w:val="105"/>
        <w:spacing w:before="120" w:after="120" w:line="360" w:lineRule="auto"/>
      </w:pPr>
      <w:r>
        <w:rPr>
          <w:rFonts w:hint="eastAsia"/>
        </w:rPr>
        <w:t>数据管理与质量控制总体要求</w:t>
      </w:r>
    </w:p>
    <w:p w14:paraId="4C49E72A">
      <w:pPr>
        <w:pStyle w:val="56"/>
        <w:spacing w:line="360" w:lineRule="auto"/>
        <w:ind w:firstLine="420"/>
      </w:pPr>
      <w:r>
        <w:rPr>
          <w:rFonts w:hint="eastAsia"/>
        </w:rPr>
        <w:t>溯源工作应建立数据全生命周期管理机制，确保数据来源清晰、过程可追溯、质量可评价。应制定监测与采样质量控制计划、实验室质量控制计划、数据审核与异常处理规则、模型输入输出管理规则以及成果复核与归档规则。对用于执法或重大决策支撑的数据，应提高质量控制等级并保留原始记录。</w:t>
      </w:r>
    </w:p>
    <w:p w14:paraId="1822949A">
      <w:pPr>
        <w:pStyle w:val="105"/>
        <w:spacing w:before="120" w:after="120" w:line="360" w:lineRule="auto"/>
      </w:pPr>
      <w:r>
        <w:rPr>
          <w:rFonts w:hint="eastAsia"/>
        </w:rPr>
        <w:t>监测与采样总体要求</w:t>
      </w:r>
    </w:p>
    <w:p w14:paraId="2C6F8726">
      <w:pPr>
        <w:pStyle w:val="56"/>
        <w:spacing w:line="360" w:lineRule="auto"/>
        <w:ind w:firstLine="420"/>
      </w:pPr>
      <w:r>
        <w:rPr>
          <w:rFonts w:hint="eastAsia"/>
        </w:rPr>
        <w:t>监测与采样设计应与溯源目标相匹配，兼顾空间代表性与时效性。常态化溯源宜采用“固定站连续监测+走航与热点巡测+关键点位手工采样”的组合；应急溯源宜强化快速识别与高时效采样，必要时采用网格化加密布点与移动监测。监测指标应覆盖目标特征污染物、关键气象要素与必要的协同指标（如常规污染物、颗粒物组分等），确保后续模型可用。</w:t>
      </w:r>
    </w:p>
    <w:p w14:paraId="24C5E05C">
      <w:pPr>
        <w:pStyle w:val="105"/>
        <w:spacing w:before="120" w:after="120" w:line="360" w:lineRule="auto"/>
      </w:pPr>
      <w:r>
        <w:rPr>
          <w:rFonts w:hint="eastAsia"/>
        </w:rPr>
        <w:t>溯源技术路线总体要求</w:t>
      </w:r>
    </w:p>
    <w:p w14:paraId="7B09B1A9">
      <w:pPr>
        <w:pStyle w:val="56"/>
        <w:spacing w:line="360" w:lineRule="auto"/>
        <w:ind w:firstLine="420"/>
      </w:pPr>
      <w:r>
        <w:rPr>
          <w:rFonts w:hint="eastAsia"/>
        </w:rPr>
        <w:t>溯源技术路线应根据污染物类别、排放特征、数据条件与管理目的选择，并宜采用组合应用策略。对于VOCs与恶臭物质宜采用“指纹识别+受体模型+风向/轨迹分析+现场核查”的证据链；对于颗粒物特征组分宜采用“组分谱分析+受体模型+源清单与扩散模型验证”；对于突发事件宜采用“快速监测+风向/走航定位+扩散模拟+源端核查”的闭环路径。任何溯源结论均应说明假设条件与不确定性范围。</w:t>
      </w:r>
    </w:p>
    <w:p w14:paraId="714A4E12">
      <w:pPr>
        <w:pStyle w:val="104"/>
        <w:spacing w:before="240" w:after="240" w:line="360" w:lineRule="auto"/>
      </w:pPr>
      <w:bookmarkStart w:id="52" w:name="_Toc217477371"/>
      <w:r>
        <w:rPr>
          <w:rFonts w:hint="eastAsia"/>
        </w:rPr>
        <w:t>特征污染物识别与源信息构建</w:t>
      </w:r>
      <w:bookmarkEnd w:id="52"/>
    </w:p>
    <w:p w14:paraId="4AA2060B">
      <w:pPr>
        <w:pStyle w:val="105"/>
        <w:spacing w:before="120" w:after="120" w:line="360" w:lineRule="auto"/>
      </w:pPr>
      <w:r>
        <w:rPr>
          <w:rFonts w:hint="eastAsia"/>
        </w:rPr>
        <w:t>特征污染物筛选与识别</w:t>
      </w:r>
    </w:p>
    <w:p w14:paraId="767D63DA">
      <w:pPr>
        <w:pStyle w:val="65"/>
        <w:spacing w:before="120" w:after="120" w:line="360" w:lineRule="auto"/>
      </w:pPr>
      <w:r>
        <w:rPr>
          <w:rFonts w:hint="eastAsia"/>
        </w:rPr>
        <w:t>筛选原则</w:t>
      </w:r>
    </w:p>
    <w:p w14:paraId="7650F9E6">
      <w:pPr>
        <w:pStyle w:val="56"/>
        <w:spacing w:line="360" w:lineRule="auto"/>
        <w:ind w:firstLine="420"/>
      </w:pPr>
      <w:r>
        <w:rPr>
          <w:rFonts w:hint="eastAsia"/>
        </w:rPr>
        <w:t>特征污染物筛选应兼顾识别性、可监测性、与风险相关性。筛选宜优先考虑：</w:t>
      </w:r>
    </w:p>
    <w:p w14:paraId="1B8FEABD">
      <w:pPr>
        <w:pStyle w:val="56"/>
        <w:spacing w:line="360" w:lineRule="auto"/>
        <w:ind w:firstLine="420"/>
      </w:pPr>
      <w:r>
        <w:rPr>
          <w:rFonts w:hint="eastAsia"/>
        </w:rPr>
        <w:t>a) 与园区主导行业和关键工艺高度相关的指示性物种；</w:t>
      </w:r>
    </w:p>
    <w:p w14:paraId="7B2D03A3">
      <w:pPr>
        <w:pStyle w:val="56"/>
        <w:spacing w:line="360" w:lineRule="auto"/>
        <w:ind w:firstLine="420"/>
      </w:pPr>
      <w:r>
        <w:rPr>
          <w:rFonts w:hint="eastAsia"/>
        </w:rPr>
        <w:t>b) 在周边敏感点或投诉点出现异常升高、具有明显时空特征的物种；</w:t>
      </w:r>
    </w:p>
    <w:p w14:paraId="08F18026">
      <w:pPr>
        <w:pStyle w:val="56"/>
        <w:spacing w:line="360" w:lineRule="auto"/>
        <w:ind w:firstLine="420"/>
      </w:pPr>
      <w:r>
        <w:rPr>
          <w:rFonts w:hint="eastAsia"/>
        </w:rPr>
        <w:t>c) 具有低嗅阈、强刺激性或高健康风险的物种；</w:t>
      </w:r>
    </w:p>
    <w:p w14:paraId="33CDF611">
      <w:pPr>
        <w:pStyle w:val="56"/>
        <w:spacing w:line="360" w:lineRule="auto"/>
        <w:ind w:firstLine="420"/>
      </w:pPr>
      <w:r>
        <w:rPr>
          <w:rFonts w:hint="eastAsia"/>
        </w:rPr>
        <w:t>d) 在源端排放中稳定存在、可形成“指纹特征”的组分组合；</w:t>
      </w:r>
    </w:p>
    <w:p w14:paraId="361B3D5B">
      <w:pPr>
        <w:pStyle w:val="56"/>
        <w:spacing w:line="360" w:lineRule="auto"/>
        <w:ind w:firstLine="420"/>
      </w:pPr>
      <w:r>
        <w:rPr>
          <w:rFonts w:hint="eastAsia"/>
        </w:rPr>
        <w:t>e) 具备成熟监测方法与质量控制条件的物种。</w:t>
      </w:r>
    </w:p>
    <w:p w14:paraId="7C7CDBE8">
      <w:pPr>
        <w:pStyle w:val="65"/>
        <w:spacing w:before="120" w:after="120" w:line="360" w:lineRule="auto"/>
      </w:pPr>
      <w:r>
        <w:rPr>
          <w:rFonts w:hint="eastAsia"/>
        </w:rPr>
        <w:t>识别路径</w:t>
      </w:r>
    </w:p>
    <w:p w14:paraId="5FBF1674">
      <w:pPr>
        <w:pStyle w:val="56"/>
        <w:spacing w:line="360" w:lineRule="auto"/>
        <w:ind w:firstLine="420"/>
      </w:pPr>
      <w:r>
        <w:rPr>
          <w:rFonts w:hint="eastAsia"/>
        </w:rPr>
        <w:t>特征污染物识别宜采用“源端信息+现场嗅辨/走航+受体监测数据分析”的综合路径。源端信息包括排污许可、环评资料、企业工艺与原辅料、污染治理设施与排放口信息等；现场走航与嗅辨用于快速锁定热点区域与敏感时段；受体数据分析用于识别异常物种、相关性结构与候选指纹组合。</w:t>
      </w:r>
    </w:p>
    <w:p w14:paraId="7580148C">
      <w:pPr>
        <w:pStyle w:val="105"/>
        <w:spacing w:before="120" w:after="120" w:line="360" w:lineRule="auto"/>
      </w:pPr>
      <w:r>
        <w:rPr>
          <w:rFonts w:hint="eastAsia"/>
        </w:rPr>
        <w:t>监测网络与采样设计</w:t>
      </w:r>
    </w:p>
    <w:p w14:paraId="20F60D27">
      <w:pPr>
        <w:pStyle w:val="65"/>
        <w:spacing w:before="120" w:after="120" w:line="360" w:lineRule="auto"/>
      </w:pPr>
      <w:r>
        <w:rPr>
          <w:rFonts w:hint="eastAsia"/>
        </w:rPr>
        <w:t>点位布设原则</w:t>
      </w:r>
    </w:p>
    <w:p w14:paraId="7074FB45">
      <w:pPr>
        <w:pStyle w:val="56"/>
        <w:spacing w:line="360" w:lineRule="auto"/>
        <w:ind w:firstLine="420"/>
      </w:pPr>
      <w:r>
        <w:rPr>
          <w:rFonts w:hint="eastAsia"/>
        </w:rPr>
        <w:t>点位布设应覆盖上风向背景点、下风向影响点、敏感点与园区边界控制点。布点应体现主导风向与季节变化特征，兼顾典型源区影响路径与外围居民区、学校、医院等敏感目标。对异味投诉高发区域，应设置投诉响应点或机动点，确保能够在投诉发生后快速获得具有代表性的证据数据。</w:t>
      </w:r>
    </w:p>
    <w:p w14:paraId="568183F3">
      <w:pPr>
        <w:pStyle w:val="65"/>
        <w:spacing w:before="120" w:after="120" w:line="360" w:lineRule="auto"/>
      </w:pPr>
      <w:r>
        <w:rPr>
          <w:rFonts w:hint="eastAsia"/>
        </w:rPr>
        <w:t>监测方式组合</w:t>
      </w:r>
    </w:p>
    <w:p w14:paraId="384D37DA">
      <w:pPr>
        <w:pStyle w:val="56"/>
        <w:spacing w:line="360" w:lineRule="auto"/>
        <w:ind w:firstLine="420"/>
      </w:pPr>
      <w:r>
        <w:rPr>
          <w:rFonts w:hint="eastAsia"/>
        </w:rPr>
        <w:t>监测方式宜采用连续监测、间歇采样与移动监测的组合：</w:t>
      </w:r>
    </w:p>
    <w:p w14:paraId="05646AC2">
      <w:pPr>
        <w:pStyle w:val="56"/>
        <w:spacing w:line="360" w:lineRule="auto"/>
        <w:ind w:firstLine="420"/>
      </w:pPr>
      <w:r>
        <w:rPr>
          <w:rFonts w:hint="eastAsia"/>
        </w:rPr>
        <w:t>a) 连续监测用于捕捉过程变化与判定峰值时段；</w:t>
      </w:r>
    </w:p>
    <w:p w14:paraId="78604FAB">
      <w:pPr>
        <w:pStyle w:val="56"/>
        <w:spacing w:line="360" w:lineRule="auto"/>
        <w:ind w:firstLine="420"/>
      </w:pPr>
      <w:r>
        <w:rPr>
          <w:rFonts w:hint="eastAsia"/>
        </w:rPr>
        <w:t>b) 手工采样用于获取高质量组分谱、用于实验室分析与受体模型；</w:t>
      </w:r>
    </w:p>
    <w:p w14:paraId="21DD3FFE">
      <w:pPr>
        <w:pStyle w:val="56"/>
        <w:spacing w:line="360" w:lineRule="auto"/>
        <w:ind w:firstLine="420"/>
      </w:pPr>
      <w:r>
        <w:rPr>
          <w:rFonts w:hint="eastAsia"/>
        </w:rPr>
        <w:t>c) 走航监测用于识别空间梯度、锁定热点与推断可能源区；</w:t>
      </w:r>
    </w:p>
    <w:p w14:paraId="139DF241">
      <w:pPr>
        <w:pStyle w:val="56"/>
        <w:spacing w:line="360" w:lineRule="auto"/>
        <w:ind w:firstLine="420"/>
      </w:pPr>
      <w:r>
        <w:rPr>
          <w:rFonts w:hint="eastAsia"/>
        </w:rPr>
        <w:t>d) 对恶臭物质可结合嗅辨调查、臭气浓度测定与在线传感辅助监测（适用时）。</w:t>
      </w:r>
    </w:p>
    <w:p w14:paraId="573A3812">
      <w:pPr>
        <w:pStyle w:val="56"/>
        <w:spacing w:line="360" w:lineRule="auto"/>
        <w:ind w:firstLine="420"/>
      </w:pPr>
      <w:r>
        <w:rPr>
          <w:rFonts w:hint="eastAsia"/>
        </w:rPr>
        <w:t>监测时段应覆盖典型生产工况、检修工况、夜间间歇排放工况与气象静稳条件等，避免仅在单一工况下采样导致结论偏差。</w:t>
      </w:r>
    </w:p>
    <w:p w14:paraId="7F9CC323">
      <w:pPr>
        <w:pStyle w:val="105"/>
        <w:spacing w:before="120" w:after="120" w:line="360" w:lineRule="auto"/>
      </w:pPr>
      <w:r>
        <w:rPr>
          <w:rFonts w:hint="eastAsia"/>
        </w:rPr>
        <w:t>气象与辅助数据获取</w:t>
      </w:r>
    </w:p>
    <w:p w14:paraId="124CDBE5">
      <w:pPr>
        <w:pStyle w:val="56"/>
        <w:spacing w:line="360" w:lineRule="auto"/>
        <w:ind w:firstLine="420"/>
      </w:pPr>
      <w:r>
        <w:rPr>
          <w:rFonts w:hint="eastAsia"/>
        </w:rPr>
        <w:t>溯源应同步获取气象数据，至少包括风速、风向、温度、湿度、气压、降水与边界层相关指标（条件允许时）。应明确气象数据来源（自动站、雷达、数值预报、再分析数据等）与代表性，并开展缺测与异常处理。对于复杂地形或海陆风等局地环流显著区域，宜加密布设微型气象站或开展现场风场观测，以提高溯源可靠性。</w:t>
      </w:r>
    </w:p>
    <w:p w14:paraId="6BB96240">
      <w:pPr>
        <w:pStyle w:val="105"/>
        <w:spacing w:before="120" w:after="120" w:line="360" w:lineRule="auto"/>
      </w:pPr>
      <w:r>
        <w:rPr>
          <w:rFonts w:hint="eastAsia"/>
        </w:rPr>
        <w:t>源清单构建与更新</w:t>
      </w:r>
    </w:p>
    <w:p w14:paraId="78E22162">
      <w:pPr>
        <w:pStyle w:val="65"/>
        <w:spacing w:before="120" w:after="120" w:line="360" w:lineRule="auto"/>
      </w:pPr>
      <w:r>
        <w:rPr>
          <w:rFonts w:hint="eastAsia"/>
        </w:rPr>
        <w:t>源清单范围</w:t>
      </w:r>
    </w:p>
    <w:p w14:paraId="087F6ACB">
      <w:pPr>
        <w:pStyle w:val="56"/>
        <w:spacing w:line="360" w:lineRule="auto"/>
        <w:ind w:firstLine="420"/>
      </w:pPr>
      <w:r>
        <w:rPr>
          <w:rFonts w:hint="eastAsia"/>
        </w:rPr>
        <w:t>源清单应覆盖园区内固定源、有组织排放口、无组织排放源（装卸、储罐呼吸、泄漏、堆场等）、移动源（厂内车辆与运输车辆）以及可能影响周边的非园区源（交通干道、生活源、餐饮源、施工扬尘等）。对存在跨界影响的相邻园区或重点企业，应纳入扩展源清单范围或作为外部背景源单独处理。</w:t>
      </w:r>
    </w:p>
    <w:p w14:paraId="35D66029">
      <w:pPr>
        <w:pStyle w:val="65"/>
        <w:spacing w:before="120" w:after="120" w:line="360" w:lineRule="auto"/>
      </w:pPr>
      <w:r>
        <w:rPr>
          <w:rFonts w:hint="eastAsia"/>
        </w:rPr>
        <w:t>源清单关键字段</w:t>
      </w:r>
    </w:p>
    <w:p w14:paraId="6D310140">
      <w:pPr>
        <w:pStyle w:val="56"/>
        <w:spacing w:line="360" w:lineRule="auto"/>
        <w:ind w:firstLine="420"/>
      </w:pPr>
      <w:r>
        <w:rPr>
          <w:rFonts w:hint="eastAsia"/>
        </w:rPr>
        <w:t>源清单应包含源类型、空间位置、排放高度与排放参数、工况与时间分布、污染物排放种类与排放量、治理设施类型与效率、排放时段与间歇特征、异常排放记录等信息，并与企业生产负荷、原辅料消耗及环保设施运行记录建立一致性校验机制。源清单应建立版本管理与更新机制，确保企业新增改扩建、工艺变更或治理设施调整能够及时反映。</w:t>
      </w:r>
    </w:p>
    <w:p w14:paraId="736CE979">
      <w:pPr>
        <w:pStyle w:val="105"/>
        <w:spacing w:before="120" w:after="120" w:line="360" w:lineRule="auto"/>
      </w:pPr>
      <w:r>
        <w:rPr>
          <w:rFonts w:hint="eastAsia"/>
        </w:rPr>
        <w:t>源谱获取与指纹库建设</w:t>
      </w:r>
    </w:p>
    <w:p w14:paraId="3ED97E91">
      <w:pPr>
        <w:pStyle w:val="56"/>
        <w:spacing w:line="360" w:lineRule="auto"/>
        <w:ind w:firstLine="420"/>
      </w:pPr>
      <w:r>
        <w:rPr>
          <w:rFonts w:hint="eastAsia"/>
        </w:rPr>
        <w:t>源谱获取可采用实测源端采样分析、典型行业源谱参考与现场指纹提取相结合的方式。对于VOCs与恶臭物质，源谱宜体现关键组分比例、特征比值关系与稳定标志物；对于颗粒物特征组分，源谱宜包含元素、离子、有机碳/元素碳等组分特征。源谱应明确采样工况、采样点位、分析方法、质量控制与适用范围，并建立源谱库管理机制，支持更新与溯源复用。</w:t>
      </w:r>
    </w:p>
    <w:p w14:paraId="3FE301EF">
      <w:pPr>
        <w:pStyle w:val="104"/>
        <w:spacing w:before="240" w:after="240" w:line="360" w:lineRule="auto"/>
      </w:pPr>
      <w:bookmarkStart w:id="53" w:name="_Toc217477372"/>
      <w:r>
        <w:rPr>
          <w:rFonts w:hint="eastAsia"/>
        </w:rPr>
        <w:t>溯源技术方法</w:t>
      </w:r>
      <w:bookmarkEnd w:id="53"/>
    </w:p>
    <w:p w14:paraId="72B17054">
      <w:pPr>
        <w:pStyle w:val="105"/>
        <w:spacing w:before="120" w:after="120" w:line="360" w:lineRule="auto"/>
      </w:pPr>
      <w:r>
        <w:rPr>
          <w:rFonts w:hint="eastAsia"/>
        </w:rPr>
        <w:t>总体要求</w:t>
      </w:r>
    </w:p>
    <w:p w14:paraId="59CA946B">
      <w:pPr>
        <w:pStyle w:val="56"/>
        <w:spacing w:line="360" w:lineRule="auto"/>
        <w:ind w:firstLine="420"/>
      </w:pPr>
      <w:r>
        <w:rPr>
          <w:rFonts w:hint="eastAsia"/>
        </w:rPr>
        <w:t>特征污染物溯源应遵循“多源信息融合、方法交叉印证、结论可复核”的原则。溯源方法选择应与污染物类别、排放特征、数据维度、时空尺度及管理目标相匹配，避免仅依赖单一模型或单一证据得出结论。溯源工作宜采用“监测识别—统计解析—机理验证—现场核查”的组合路径，并形成以“监测数据—源清单/源谱—模型结果—现场证据”为核心的证据链闭环。</w:t>
      </w:r>
    </w:p>
    <w:p w14:paraId="7A2B8A75">
      <w:pPr>
        <w:pStyle w:val="105"/>
        <w:spacing w:before="120" w:after="120" w:line="360" w:lineRule="auto"/>
      </w:pPr>
      <w:r>
        <w:rPr>
          <w:rFonts w:hint="eastAsia"/>
        </w:rPr>
        <w:t>方法选型与技术路线配置</w:t>
      </w:r>
    </w:p>
    <w:p w14:paraId="3BC06C0E">
      <w:pPr>
        <w:pStyle w:val="65"/>
        <w:spacing w:before="120" w:after="120" w:line="360" w:lineRule="auto"/>
      </w:pPr>
      <w:r>
        <w:rPr>
          <w:rFonts w:hint="eastAsia"/>
        </w:rPr>
        <w:t>选型因素</w:t>
      </w:r>
    </w:p>
    <w:p w14:paraId="331905A7">
      <w:pPr>
        <w:pStyle w:val="56"/>
        <w:spacing w:line="360" w:lineRule="auto"/>
        <w:ind w:firstLine="420"/>
      </w:pPr>
      <w:r>
        <w:rPr>
          <w:rFonts w:hint="eastAsia"/>
        </w:rPr>
        <w:t>方法选型应综合考虑以下因素：</w:t>
      </w:r>
    </w:p>
    <w:p w14:paraId="61FA9C00">
      <w:pPr>
        <w:pStyle w:val="56"/>
        <w:spacing w:line="360" w:lineRule="auto"/>
        <w:ind w:firstLine="420"/>
      </w:pPr>
      <w:r>
        <w:rPr>
          <w:rFonts w:hint="eastAsia"/>
        </w:rPr>
        <w:t>a) 污染物属性：VOCs/恶臭物质/颗粒物组分/特征金属/卤代烃等；</w:t>
      </w:r>
    </w:p>
    <w:p w14:paraId="663F9F03">
      <w:pPr>
        <w:pStyle w:val="56"/>
        <w:spacing w:line="360" w:lineRule="auto"/>
        <w:ind w:firstLine="420"/>
      </w:pPr>
      <w:r>
        <w:rPr>
          <w:rFonts w:hint="eastAsia"/>
        </w:rPr>
        <w:t>b) 排放形态：有组织排放、无组织排放、间歇排放、突发排放；</w:t>
      </w:r>
    </w:p>
    <w:p w14:paraId="31C42F53">
      <w:pPr>
        <w:pStyle w:val="56"/>
        <w:spacing w:line="360" w:lineRule="auto"/>
        <w:ind w:firstLine="420"/>
      </w:pPr>
      <w:r>
        <w:rPr>
          <w:rFonts w:hint="eastAsia"/>
        </w:rPr>
        <w:t>c) 影响尺度：近场（0～3 km）/中尺度（3～20 km）/区域输送（&gt;20 km）；</w:t>
      </w:r>
    </w:p>
    <w:p w14:paraId="4E5858F2">
      <w:pPr>
        <w:pStyle w:val="56"/>
        <w:spacing w:line="360" w:lineRule="auto"/>
        <w:ind w:firstLine="420"/>
      </w:pPr>
      <w:r>
        <w:rPr>
          <w:rFonts w:hint="eastAsia"/>
        </w:rPr>
        <w:t>d) 数据条件：连续监测、组分谱、源谱库、源清单完备性、气象数据质量；</w:t>
      </w:r>
    </w:p>
    <w:p w14:paraId="2E5914EE">
      <w:pPr>
        <w:pStyle w:val="56"/>
        <w:spacing w:line="360" w:lineRule="auto"/>
        <w:ind w:firstLine="420"/>
      </w:pPr>
      <w:r>
        <w:rPr>
          <w:rFonts w:hint="eastAsia"/>
        </w:rPr>
        <w:t>e) 管理目的：常态诊断、治理成效评估、执法支撑、异味投诉核查、应急溯源；</w:t>
      </w:r>
    </w:p>
    <w:p w14:paraId="331F0582">
      <w:pPr>
        <w:pStyle w:val="56"/>
        <w:spacing w:line="360" w:lineRule="auto"/>
        <w:ind w:firstLine="420"/>
      </w:pPr>
      <w:r>
        <w:rPr>
          <w:rFonts w:hint="eastAsia"/>
        </w:rPr>
        <w:t>f) 可解释性与可举证性：是否能够形成可复核的证据链、是否可落到源单元。</w:t>
      </w:r>
    </w:p>
    <w:p w14:paraId="03D1F5E2">
      <w:pPr>
        <w:pStyle w:val="65"/>
        <w:spacing w:before="120" w:after="120" w:line="360" w:lineRule="auto"/>
      </w:pPr>
      <w:r>
        <w:rPr>
          <w:rFonts w:hint="eastAsia"/>
        </w:rPr>
        <w:t xml:space="preserve"> 组合应用建议</w:t>
      </w:r>
    </w:p>
    <w:p w14:paraId="5F97F4B5">
      <w:pPr>
        <w:pStyle w:val="56"/>
        <w:spacing w:line="360" w:lineRule="auto"/>
        <w:ind w:firstLine="420"/>
      </w:pPr>
      <w:r>
        <w:rPr>
          <w:rFonts w:hint="eastAsia"/>
        </w:rPr>
        <w:t>溯源宜按照“先快速指向、再定量解析、后定位验证”的逻辑配置方法组合：</w:t>
      </w:r>
    </w:p>
    <w:p w14:paraId="6393B664">
      <w:pPr>
        <w:pStyle w:val="56"/>
        <w:spacing w:line="360" w:lineRule="auto"/>
        <w:ind w:firstLine="420"/>
      </w:pPr>
      <w:r>
        <w:rPr>
          <w:rFonts w:hint="eastAsia"/>
        </w:rPr>
        <w:t>a) 对异味投诉与短时峰值事件，优先采用走航监测与风向分析锁定热点，再通过指纹比值与扩散模拟验证，最后进行源端核查形成闭环；</w:t>
      </w:r>
    </w:p>
    <w:p w14:paraId="34C91716">
      <w:pPr>
        <w:pStyle w:val="56"/>
        <w:spacing w:line="360" w:lineRule="auto"/>
        <w:ind w:firstLine="420"/>
      </w:pPr>
      <w:r>
        <w:rPr>
          <w:rFonts w:hint="eastAsia"/>
        </w:rPr>
        <w:t>b) 对常态化周边影响评估，宜采用固定点连续监测与组分采样形成基础数据，结合受体模型解析来源贡献，并用源清单与扩散模型进行机理验证；</w:t>
      </w:r>
    </w:p>
    <w:p w14:paraId="30BB7009">
      <w:pPr>
        <w:pStyle w:val="56"/>
        <w:spacing w:line="360" w:lineRule="auto"/>
        <w:ind w:firstLine="420"/>
      </w:pPr>
      <w:r>
        <w:rPr>
          <w:rFonts w:hint="eastAsia"/>
        </w:rPr>
        <w:t>c) 对区域输送显著过程，宜引入反轨迹分析与源区统计方法，区分“园区贡献”与“外来贡献”，避免将背景输送误判为园区排放。</w:t>
      </w:r>
    </w:p>
    <w:p w14:paraId="3C95BE26">
      <w:pPr>
        <w:pStyle w:val="56"/>
        <w:spacing w:line="360" w:lineRule="auto"/>
        <w:ind w:firstLine="420"/>
      </w:pPr>
      <w:r>
        <w:rPr>
          <w:rFonts w:hint="eastAsia"/>
        </w:rPr>
        <w:t>溯源方法选型矩阵建议见表1。</w:t>
      </w:r>
    </w:p>
    <w:p w14:paraId="7722176D">
      <w:pPr>
        <w:pStyle w:val="112"/>
        <w:spacing w:before="120" w:after="120" w:line="360" w:lineRule="auto"/>
      </w:pPr>
      <w:r>
        <w:rPr>
          <w:rFonts w:hint="eastAsia"/>
        </w:rPr>
        <w:t>溯源方法选择与适用性矩阵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704"/>
        <w:gridCol w:w="1555"/>
        <w:gridCol w:w="1555"/>
        <w:gridCol w:w="1281"/>
        <w:gridCol w:w="1831"/>
      </w:tblGrid>
      <w:tr w14:paraId="1B67D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5B40F6F4">
            <w:pPr>
              <w:pStyle w:val="178"/>
            </w:pPr>
            <w:r>
              <w:rPr>
                <w:rFonts w:hint="eastAsia"/>
              </w:rPr>
              <w:t>方法类别</w:t>
            </w:r>
          </w:p>
        </w:tc>
        <w:tc>
          <w:tcPr>
            <w:tcW w:w="1704" w:type="dxa"/>
            <w:tcBorders>
              <w:top w:val="single" w:color="auto" w:sz="8" w:space="0"/>
              <w:bottom w:val="single" w:color="auto" w:sz="8" w:space="0"/>
            </w:tcBorders>
            <w:vAlign w:val="center"/>
          </w:tcPr>
          <w:p w14:paraId="664EE34D">
            <w:pPr>
              <w:pStyle w:val="178"/>
            </w:pPr>
            <w:r>
              <w:rPr>
                <w:rFonts w:hint="eastAsia"/>
              </w:rPr>
              <w:t>典型方法</w:t>
            </w:r>
          </w:p>
        </w:tc>
        <w:tc>
          <w:tcPr>
            <w:tcW w:w="1555" w:type="dxa"/>
            <w:tcBorders>
              <w:top w:val="single" w:color="auto" w:sz="8" w:space="0"/>
              <w:bottom w:val="single" w:color="auto" w:sz="8" w:space="0"/>
            </w:tcBorders>
            <w:vAlign w:val="center"/>
          </w:tcPr>
          <w:p w14:paraId="7B72FA0E">
            <w:pPr>
              <w:pStyle w:val="178"/>
            </w:pPr>
            <w:r>
              <w:rPr>
                <w:rFonts w:hint="eastAsia"/>
              </w:rPr>
              <w:t>适用污染物/场景</w:t>
            </w:r>
          </w:p>
        </w:tc>
        <w:tc>
          <w:tcPr>
            <w:tcW w:w="1555" w:type="dxa"/>
            <w:tcBorders>
              <w:top w:val="single" w:color="auto" w:sz="8" w:space="0"/>
              <w:bottom w:val="single" w:color="auto" w:sz="8" w:space="0"/>
            </w:tcBorders>
            <w:vAlign w:val="center"/>
          </w:tcPr>
          <w:p w14:paraId="04EFD94F">
            <w:pPr>
              <w:pStyle w:val="178"/>
            </w:pPr>
            <w:r>
              <w:rPr>
                <w:rFonts w:hint="eastAsia"/>
              </w:rPr>
              <w:t>数据要求</w:t>
            </w:r>
          </w:p>
        </w:tc>
        <w:tc>
          <w:tcPr>
            <w:tcW w:w="1281" w:type="dxa"/>
            <w:tcBorders>
              <w:top w:val="single" w:color="auto" w:sz="8" w:space="0"/>
              <w:bottom w:val="single" w:color="auto" w:sz="8" w:space="0"/>
            </w:tcBorders>
            <w:vAlign w:val="center"/>
          </w:tcPr>
          <w:p w14:paraId="007066AC">
            <w:pPr>
              <w:pStyle w:val="178"/>
            </w:pPr>
            <w:r>
              <w:rPr>
                <w:rFonts w:hint="eastAsia"/>
              </w:rPr>
              <w:t>输出能力</w:t>
            </w:r>
          </w:p>
        </w:tc>
        <w:tc>
          <w:tcPr>
            <w:tcW w:w="1831" w:type="dxa"/>
            <w:tcBorders>
              <w:top w:val="single" w:color="auto" w:sz="8" w:space="0"/>
              <w:bottom w:val="single" w:color="auto" w:sz="8" w:space="0"/>
            </w:tcBorders>
            <w:vAlign w:val="center"/>
          </w:tcPr>
          <w:p w14:paraId="731F8616">
            <w:pPr>
              <w:pStyle w:val="178"/>
            </w:pPr>
            <w:r>
              <w:rPr>
                <w:rFonts w:hint="eastAsia"/>
              </w:rPr>
              <w:t>主要局限</w:t>
            </w:r>
          </w:p>
        </w:tc>
      </w:tr>
      <w:tr w14:paraId="216F2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7AA09F5E">
            <w:pPr>
              <w:pStyle w:val="178"/>
            </w:pPr>
            <w:r>
              <w:rPr>
                <w:rFonts w:hint="eastAsia"/>
              </w:rPr>
              <w:t>风向统计</w:t>
            </w:r>
          </w:p>
        </w:tc>
        <w:tc>
          <w:tcPr>
            <w:tcW w:w="1704" w:type="dxa"/>
            <w:tcBorders>
              <w:top w:val="single" w:color="auto" w:sz="8" w:space="0"/>
            </w:tcBorders>
            <w:vAlign w:val="center"/>
          </w:tcPr>
          <w:p w14:paraId="7F0ECA49">
            <w:pPr>
              <w:pStyle w:val="178"/>
            </w:pPr>
            <w:r>
              <w:rPr>
                <w:rFonts w:hint="eastAsia"/>
              </w:rPr>
              <w:t>污染玫瑰、条件概率函数等</w:t>
            </w:r>
          </w:p>
        </w:tc>
        <w:tc>
          <w:tcPr>
            <w:tcW w:w="1555" w:type="dxa"/>
            <w:tcBorders>
              <w:top w:val="single" w:color="auto" w:sz="8" w:space="0"/>
            </w:tcBorders>
            <w:vAlign w:val="center"/>
          </w:tcPr>
          <w:p w14:paraId="75735D82">
            <w:pPr>
              <w:pStyle w:val="178"/>
            </w:pPr>
            <w:r>
              <w:rPr>
                <w:rFonts w:hint="eastAsia"/>
              </w:rPr>
              <w:t>近场影响、投诉时段识别</w:t>
            </w:r>
          </w:p>
        </w:tc>
        <w:tc>
          <w:tcPr>
            <w:tcW w:w="1555" w:type="dxa"/>
            <w:tcBorders>
              <w:top w:val="single" w:color="auto" w:sz="8" w:space="0"/>
            </w:tcBorders>
            <w:vAlign w:val="center"/>
          </w:tcPr>
          <w:p w14:paraId="65D74254">
            <w:pPr>
              <w:pStyle w:val="178"/>
            </w:pPr>
            <w:r>
              <w:rPr>
                <w:rFonts w:hint="eastAsia"/>
              </w:rPr>
              <w:t>监测浓度+风向风速</w:t>
            </w:r>
          </w:p>
        </w:tc>
        <w:tc>
          <w:tcPr>
            <w:tcW w:w="1281" w:type="dxa"/>
            <w:tcBorders>
              <w:top w:val="single" w:color="auto" w:sz="8" w:space="0"/>
            </w:tcBorders>
            <w:vAlign w:val="center"/>
          </w:tcPr>
          <w:p w14:paraId="0E188555">
            <w:pPr>
              <w:pStyle w:val="178"/>
            </w:pPr>
            <w:r>
              <w:rPr>
                <w:rFonts w:hint="eastAsia"/>
              </w:rPr>
              <w:t>指向潜在源区方向</w:t>
            </w:r>
          </w:p>
        </w:tc>
        <w:tc>
          <w:tcPr>
            <w:tcW w:w="1831" w:type="dxa"/>
            <w:tcBorders>
              <w:top w:val="single" w:color="auto" w:sz="8" w:space="0"/>
            </w:tcBorders>
            <w:vAlign w:val="center"/>
          </w:tcPr>
          <w:p w14:paraId="5DBFC82C">
            <w:pPr>
              <w:pStyle w:val="178"/>
            </w:pPr>
            <w:r>
              <w:rPr>
                <w:rFonts w:hint="eastAsia"/>
              </w:rPr>
              <w:t>难区分多源叠加，难定量</w:t>
            </w:r>
          </w:p>
        </w:tc>
      </w:tr>
      <w:tr w14:paraId="1570D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0103060">
            <w:pPr>
              <w:pStyle w:val="178"/>
            </w:pPr>
            <w:r>
              <w:rPr>
                <w:rFonts w:hint="eastAsia"/>
              </w:rPr>
              <w:t>轨迹与源区分析</w:t>
            </w:r>
          </w:p>
        </w:tc>
        <w:tc>
          <w:tcPr>
            <w:tcW w:w="1704" w:type="dxa"/>
            <w:vAlign w:val="center"/>
          </w:tcPr>
          <w:p w14:paraId="481C9CD4">
            <w:pPr>
              <w:pStyle w:val="178"/>
            </w:pPr>
            <w:r>
              <w:rPr>
                <w:rFonts w:hint="eastAsia"/>
              </w:rPr>
              <w:t>反轨迹、PSCF/CWT等</w:t>
            </w:r>
          </w:p>
        </w:tc>
        <w:tc>
          <w:tcPr>
            <w:tcW w:w="1555" w:type="dxa"/>
            <w:vAlign w:val="center"/>
          </w:tcPr>
          <w:p w14:paraId="0CB95593">
            <w:pPr>
              <w:pStyle w:val="178"/>
            </w:pPr>
            <w:r>
              <w:rPr>
                <w:rFonts w:hint="eastAsia"/>
              </w:rPr>
              <w:t>区域输送、过程解析</w:t>
            </w:r>
          </w:p>
        </w:tc>
        <w:tc>
          <w:tcPr>
            <w:tcW w:w="1555" w:type="dxa"/>
            <w:vAlign w:val="center"/>
          </w:tcPr>
          <w:p w14:paraId="3D1492BD">
            <w:pPr>
              <w:pStyle w:val="178"/>
            </w:pPr>
            <w:r>
              <w:rPr>
                <w:rFonts w:hint="eastAsia"/>
              </w:rPr>
              <w:t>气象场+受体浓度</w:t>
            </w:r>
          </w:p>
        </w:tc>
        <w:tc>
          <w:tcPr>
            <w:tcW w:w="1281" w:type="dxa"/>
            <w:vAlign w:val="center"/>
          </w:tcPr>
          <w:p w14:paraId="594E2830">
            <w:pPr>
              <w:pStyle w:val="178"/>
            </w:pPr>
            <w:r>
              <w:rPr>
                <w:rFonts w:hint="eastAsia"/>
              </w:rPr>
              <w:t>识别潜在源区/输送路径</w:t>
            </w:r>
          </w:p>
        </w:tc>
        <w:tc>
          <w:tcPr>
            <w:tcW w:w="1831" w:type="dxa"/>
            <w:vAlign w:val="center"/>
          </w:tcPr>
          <w:p w14:paraId="266896E0">
            <w:pPr>
              <w:pStyle w:val="178"/>
            </w:pPr>
            <w:r>
              <w:rPr>
                <w:rFonts w:hint="eastAsia"/>
              </w:rPr>
              <w:t>分辨率受气象场影响，近场定位弱</w:t>
            </w:r>
          </w:p>
        </w:tc>
      </w:tr>
      <w:tr w14:paraId="31EAE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24D87560">
            <w:pPr>
              <w:pStyle w:val="178"/>
            </w:pPr>
            <w:r>
              <w:rPr>
                <w:rFonts w:hint="eastAsia"/>
              </w:rPr>
              <w:t>受体模型</w:t>
            </w:r>
          </w:p>
        </w:tc>
        <w:tc>
          <w:tcPr>
            <w:tcW w:w="1704" w:type="dxa"/>
            <w:vAlign w:val="center"/>
          </w:tcPr>
          <w:p w14:paraId="1F1B9DB9">
            <w:pPr>
              <w:pStyle w:val="178"/>
            </w:pPr>
            <w:r>
              <w:rPr>
                <w:rFonts w:hint="eastAsia"/>
              </w:rPr>
              <w:t>PMF、CMB等</w:t>
            </w:r>
          </w:p>
        </w:tc>
        <w:tc>
          <w:tcPr>
            <w:tcW w:w="1555" w:type="dxa"/>
            <w:vAlign w:val="center"/>
          </w:tcPr>
          <w:p w14:paraId="017E7E61">
            <w:pPr>
              <w:pStyle w:val="178"/>
            </w:pPr>
            <w:r>
              <w:rPr>
                <w:rFonts w:hint="eastAsia"/>
              </w:rPr>
              <w:t>组分谱溯源、贡献解析</w:t>
            </w:r>
          </w:p>
        </w:tc>
        <w:tc>
          <w:tcPr>
            <w:tcW w:w="1555" w:type="dxa"/>
            <w:vAlign w:val="center"/>
          </w:tcPr>
          <w:p w14:paraId="6CC2FD3E">
            <w:pPr>
              <w:pStyle w:val="178"/>
            </w:pPr>
            <w:r>
              <w:rPr>
                <w:rFonts w:hint="eastAsia"/>
              </w:rPr>
              <w:t>组分浓度矩阵、误差、源谱（CMB）</w:t>
            </w:r>
          </w:p>
        </w:tc>
        <w:tc>
          <w:tcPr>
            <w:tcW w:w="1281" w:type="dxa"/>
            <w:vAlign w:val="center"/>
          </w:tcPr>
          <w:p w14:paraId="0F7A2199">
            <w:pPr>
              <w:pStyle w:val="178"/>
            </w:pPr>
            <w:r>
              <w:rPr>
                <w:rFonts w:hint="eastAsia"/>
              </w:rPr>
              <w:t>来源类型贡献率</w:t>
            </w:r>
          </w:p>
        </w:tc>
        <w:tc>
          <w:tcPr>
            <w:tcW w:w="1831" w:type="dxa"/>
            <w:vAlign w:val="center"/>
          </w:tcPr>
          <w:p w14:paraId="5B67A327">
            <w:pPr>
              <w:pStyle w:val="178"/>
            </w:pPr>
            <w:r>
              <w:rPr>
                <w:rFonts w:hint="eastAsia"/>
              </w:rPr>
              <w:t>依赖组分数据质量；源谱不足影响稳定性</w:t>
            </w:r>
          </w:p>
        </w:tc>
      </w:tr>
      <w:tr w14:paraId="17C22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1CC5DA38">
            <w:pPr>
              <w:pStyle w:val="178"/>
            </w:pPr>
            <w:r>
              <w:rPr>
                <w:rFonts w:hint="eastAsia"/>
              </w:rPr>
              <w:t>扩散模型</w:t>
            </w:r>
          </w:p>
        </w:tc>
        <w:tc>
          <w:tcPr>
            <w:tcW w:w="1704" w:type="dxa"/>
            <w:vAlign w:val="center"/>
          </w:tcPr>
          <w:p w14:paraId="6D5157AE">
            <w:pPr>
              <w:pStyle w:val="178"/>
            </w:pPr>
            <w:r>
              <w:rPr>
                <w:rFonts w:hint="eastAsia"/>
              </w:rPr>
              <w:t>AERMOD、CALPUFF等</w:t>
            </w:r>
          </w:p>
        </w:tc>
        <w:tc>
          <w:tcPr>
            <w:tcW w:w="1555" w:type="dxa"/>
            <w:vAlign w:val="center"/>
          </w:tcPr>
          <w:p w14:paraId="649D9709">
            <w:pPr>
              <w:pStyle w:val="178"/>
            </w:pPr>
            <w:r>
              <w:rPr>
                <w:rFonts w:hint="eastAsia"/>
              </w:rPr>
              <w:t>近场/中尺度源单元验证</w:t>
            </w:r>
          </w:p>
        </w:tc>
        <w:tc>
          <w:tcPr>
            <w:tcW w:w="1555" w:type="dxa"/>
            <w:vAlign w:val="center"/>
          </w:tcPr>
          <w:p w14:paraId="0CB8129C">
            <w:pPr>
              <w:pStyle w:val="178"/>
            </w:pPr>
            <w:r>
              <w:rPr>
                <w:rFonts w:hint="eastAsia"/>
              </w:rPr>
              <w:t>源参数、气象、地形、排放量</w:t>
            </w:r>
          </w:p>
        </w:tc>
        <w:tc>
          <w:tcPr>
            <w:tcW w:w="1281" w:type="dxa"/>
            <w:vAlign w:val="center"/>
          </w:tcPr>
          <w:p w14:paraId="0CAE9216">
            <w:pPr>
              <w:pStyle w:val="178"/>
            </w:pPr>
            <w:r>
              <w:rPr>
                <w:rFonts w:hint="eastAsia"/>
              </w:rPr>
              <w:t>源单元贡献与空间浓度</w:t>
            </w:r>
          </w:p>
        </w:tc>
        <w:tc>
          <w:tcPr>
            <w:tcW w:w="1831" w:type="dxa"/>
            <w:vAlign w:val="center"/>
          </w:tcPr>
          <w:p w14:paraId="20271E4D">
            <w:pPr>
              <w:pStyle w:val="178"/>
            </w:pPr>
            <w:r>
              <w:rPr>
                <w:rFonts w:hint="eastAsia"/>
              </w:rPr>
              <w:t>源清单误差敏感；对无组织排放参数化难</w:t>
            </w:r>
          </w:p>
        </w:tc>
      </w:tr>
      <w:tr w14:paraId="4FC13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F7791B3">
            <w:pPr>
              <w:pStyle w:val="178"/>
            </w:pPr>
            <w:r>
              <w:rPr>
                <w:rFonts w:hint="eastAsia"/>
              </w:rPr>
              <w:t>指纹匹配</w:t>
            </w:r>
          </w:p>
        </w:tc>
        <w:tc>
          <w:tcPr>
            <w:tcW w:w="1704" w:type="dxa"/>
            <w:vAlign w:val="center"/>
          </w:tcPr>
          <w:p w14:paraId="791D434F">
            <w:pPr>
              <w:pStyle w:val="178"/>
            </w:pPr>
            <w:r>
              <w:rPr>
                <w:rFonts w:hint="eastAsia"/>
              </w:rPr>
              <w:t>组分比值、标志物法</w:t>
            </w:r>
          </w:p>
        </w:tc>
        <w:tc>
          <w:tcPr>
            <w:tcW w:w="1555" w:type="dxa"/>
            <w:vAlign w:val="center"/>
          </w:tcPr>
          <w:p w14:paraId="72AC323F">
            <w:pPr>
              <w:pStyle w:val="178"/>
            </w:pPr>
            <w:r>
              <w:rPr>
                <w:rFonts w:hint="eastAsia"/>
              </w:rPr>
              <w:t>VOCs/恶臭快速识别</w:t>
            </w:r>
          </w:p>
        </w:tc>
        <w:tc>
          <w:tcPr>
            <w:tcW w:w="1555" w:type="dxa"/>
            <w:vAlign w:val="center"/>
          </w:tcPr>
          <w:p w14:paraId="5310812A">
            <w:pPr>
              <w:pStyle w:val="178"/>
            </w:pPr>
            <w:r>
              <w:rPr>
                <w:rFonts w:hint="eastAsia"/>
              </w:rPr>
              <w:t>组分谱、源谱库或典型指纹</w:t>
            </w:r>
          </w:p>
        </w:tc>
        <w:tc>
          <w:tcPr>
            <w:tcW w:w="1281" w:type="dxa"/>
            <w:vAlign w:val="center"/>
          </w:tcPr>
          <w:p w14:paraId="3B37FFD9">
            <w:pPr>
              <w:pStyle w:val="178"/>
            </w:pPr>
            <w:r>
              <w:rPr>
                <w:rFonts w:hint="eastAsia"/>
              </w:rPr>
              <w:t>行业/工艺指示与快速排查</w:t>
            </w:r>
          </w:p>
        </w:tc>
        <w:tc>
          <w:tcPr>
            <w:tcW w:w="1831" w:type="dxa"/>
            <w:vAlign w:val="center"/>
          </w:tcPr>
          <w:p w14:paraId="6E5F0EA2">
            <w:pPr>
              <w:pStyle w:val="178"/>
            </w:pPr>
            <w:r>
              <w:rPr>
                <w:rFonts w:hint="eastAsia"/>
              </w:rPr>
              <w:t>需要稳定指纹；混合源时不唯一</w:t>
            </w:r>
          </w:p>
        </w:tc>
      </w:tr>
      <w:tr w14:paraId="5BDBF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3926815">
            <w:pPr>
              <w:pStyle w:val="178"/>
            </w:pPr>
            <w:r>
              <w:rPr>
                <w:rFonts w:hint="eastAsia"/>
              </w:rPr>
              <w:t>多源融合</w:t>
            </w:r>
          </w:p>
        </w:tc>
        <w:tc>
          <w:tcPr>
            <w:tcW w:w="1704" w:type="dxa"/>
            <w:vAlign w:val="center"/>
          </w:tcPr>
          <w:p w14:paraId="62AFB6E8">
            <w:pPr>
              <w:pStyle w:val="178"/>
            </w:pPr>
            <w:r>
              <w:rPr>
                <w:rFonts w:hint="eastAsia"/>
              </w:rPr>
              <w:t>数据融合与证据链评分</w:t>
            </w:r>
          </w:p>
        </w:tc>
        <w:tc>
          <w:tcPr>
            <w:tcW w:w="1555" w:type="dxa"/>
            <w:vAlign w:val="center"/>
          </w:tcPr>
          <w:p w14:paraId="0A08D4DA">
            <w:pPr>
              <w:pStyle w:val="178"/>
            </w:pPr>
            <w:r>
              <w:rPr>
                <w:rFonts w:hint="eastAsia"/>
              </w:rPr>
              <w:t>执法支撑、综合诊断</w:t>
            </w:r>
          </w:p>
        </w:tc>
        <w:tc>
          <w:tcPr>
            <w:tcW w:w="1555" w:type="dxa"/>
            <w:vAlign w:val="center"/>
          </w:tcPr>
          <w:p w14:paraId="0FDA5842">
            <w:pPr>
              <w:pStyle w:val="178"/>
            </w:pPr>
            <w:r>
              <w:rPr>
                <w:rFonts w:hint="eastAsia"/>
              </w:rPr>
              <w:t>多类型数据与现场信息</w:t>
            </w:r>
          </w:p>
        </w:tc>
        <w:tc>
          <w:tcPr>
            <w:tcW w:w="1281" w:type="dxa"/>
            <w:vAlign w:val="center"/>
          </w:tcPr>
          <w:p w14:paraId="4678A422">
            <w:pPr>
              <w:pStyle w:val="178"/>
            </w:pPr>
            <w:r>
              <w:rPr>
                <w:rFonts w:hint="eastAsia"/>
              </w:rPr>
              <w:t>结论稳健、可复核</w:t>
            </w:r>
          </w:p>
        </w:tc>
        <w:tc>
          <w:tcPr>
            <w:tcW w:w="1831" w:type="dxa"/>
            <w:vAlign w:val="center"/>
          </w:tcPr>
          <w:p w14:paraId="1D3D831F">
            <w:pPr>
              <w:pStyle w:val="178"/>
            </w:pPr>
            <w:r>
              <w:rPr>
                <w:rFonts w:hint="eastAsia"/>
              </w:rPr>
              <w:t>组织成本高、需规范流程</w:t>
            </w:r>
          </w:p>
        </w:tc>
      </w:tr>
    </w:tbl>
    <w:p w14:paraId="53CB739B">
      <w:pPr>
        <w:pStyle w:val="105"/>
        <w:spacing w:before="120" w:after="120" w:line="360" w:lineRule="auto"/>
      </w:pPr>
      <w:r>
        <w:rPr>
          <w:rFonts w:hint="eastAsia"/>
        </w:rPr>
        <w:t>风向与时空统计分析要求</w:t>
      </w:r>
    </w:p>
    <w:p w14:paraId="142B03CB">
      <w:pPr>
        <w:pStyle w:val="65"/>
        <w:spacing w:before="120" w:after="120" w:line="360" w:lineRule="auto"/>
      </w:pPr>
      <w:r>
        <w:rPr>
          <w:rFonts w:hint="eastAsia"/>
        </w:rPr>
        <w:t>风向关联分析</w:t>
      </w:r>
    </w:p>
    <w:p w14:paraId="38526C78">
      <w:pPr>
        <w:pStyle w:val="56"/>
        <w:spacing w:line="360" w:lineRule="auto"/>
        <w:ind w:firstLine="420"/>
      </w:pPr>
      <w:r>
        <w:rPr>
          <w:rFonts w:hint="eastAsia"/>
        </w:rPr>
        <w:t>应基于监测数据与气象数据开展风向关联分析，识别污染峰值与风向、风速、稳定度的耦合特征。对于异味或刺激性气体，应重点关注低风速、稳定层结条件下的高浓度峰值；对于高架源影响，可关注中等风速条件下的下风向浓度抬升。</w:t>
      </w:r>
    </w:p>
    <w:p w14:paraId="2E8A0AB2">
      <w:pPr>
        <w:pStyle w:val="65"/>
        <w:spacing w:before="120" w:after="120" w:line="360" w:lineRule="auto"/>
      </w:pPr>
      <w:r>
        <w:rPr>
          <w:rFonts w:hint="eastAsia"/>
        </w:rPr>
        <w:t>时间尺度分解</w:t>
      </w:r>
    </w:p>
    <w:p w14:paraId="4065CB90">
      <w:pPr>
        <w:pStyle w:val="56"/>
        <w:spacing w:line="360" w:lineRule="auto"/>
        <w:ind w:firstLine="420"/>
      </w:pPr>
      <w:r>
        <w:rPr>
          <w:rFonts w:hint="eastAsia"/>
        </w:rPr>
        <w:t>应对数据进行时间尺度分解与对比分析，包括小时尺度、日尺度、周尺度与季节尺度，识别与生产节拍、装置切换、检修排放、夜间作业等相关的周期特征。对间歇排放源，宜利用峰值持续时间、上升/下降速率与多点同步性作为辅助判别依据。</w:t>
      </w:r>
    </w:p>
    <w:p w14:paraId="3BEE0E3F">
      <w:pPr>
        <w:pStyle w:val="65"/>
        <w:spacing w:before="120" w:after="120" w:line="360" w:lineRule="auto"/>
      </w:pPr>
      <w:r>
        <w:rPr>
          <w:rFonts w:hint="eastAsia"/>
        </w:rPr>
        <w:t>空间梯度与热点识别</w:t>
      </w:r>
    </w:p>
    <w:p w14:paraId="03487C8E">
      <w:pPr>
        <w:pStyle w:val="56"/>
        <w:spacing w:line="360" w:lineRule="auto"/>
        <w:ind w:firstLine="420"/>
      </w:pPr>
      <w:r>
        <w:rPr>
          <w:rFonts w:hint="eastAsia"/>
        </w:rPr>
        <w:t>走航数据应形成空间梯度图、热力图或等值线图，识别热点区域与可能的排放边界。热点识别应与道路交通、施工扬尘、餐饮油烟等非园区源进行排除性核查，避免将非园区源误判为园区排放。</w:t>
      </w:r>
    </w:p>
    <w:p w14:paraId="125640E8">
      <w:pPr>
        <w:pStyle w:val="105"/>
        <w:spacing w:before="120" w:after="120" w:line="360" w:lineRule="auto"/>
      </w:pPr>
      <w:r>
        <w:rPr>
          <w:rFonts w:hint="eastAsia"/>
        </w:rPr>
        <w:t>反轨迹与源区贡献分析要求</w:t>
      </w:r>
    </w:p>
    <w:p w14:paraId="1BF98FAE">
      <w:pPr>
        <w:pStyle w:val="65"/>
        <w:spacing w:before="120" w:after="120" w:line="360" w:lineRule="auto"/>
      </w:pPr>
      <w:r>
        <w:rPr>
          <w:rFonts w:hint="eastAsia"/>
        </w:rPr>
        <w:t>反轨迹计算与分群</w:t>
      </w:r>
    </w:p>
    <w:p w14:paraId="23476288">
      <w:pPr>
        <w:pStyle w:val="56"/>
        <w:spacing w:line="360" w:lineRule="auto"/>
        <w:ind w:firstLine="420"/>
      </w:pPr>
      <w:r>
        <w:rPr>
          <w:rFonts w:hint="eastAsia"/>
        </w:rPr>
        <w:t>当存在区域输送可能时，应开展反轨迹计算并对轨迹进行分群分析，识别不同输送路径对应的浓度水平差异。轨迹计算应明确起算高度、时间分辨率、气象场来源与质量控制要求，并对关键过程开展敏感性对比，避免单一轨迹设置导致路径偏差。</w:t>
      </w:r>
    </w:p>
    <w:p w14:paraId="63AAC49C">
      <w:pPr>
        <w:pStyle w:val="65"/>
        <w:spacing w:before="120" w:after="120" w:line="360" w:lineRule="auto"/>
      </w:pPr>
      <w:r>
        <w:rPr>
          <w:rFonts w:hint="eastAsia"/>
        </w:rPr>
        <w:t>源区统计与过程归因</w:t>
      </w:r>
    </w:p>
    <w:p w14:paraId="67CD07D6">
      <w:pPr>
        <w:pStyle w:val="56"/>
        <w:spacing w:line="360" w:lineRule="auto"/>
        <w:ind w:firstLine="420"/>
      </w:pPr>
      <w:r>
        <w:rPr>
          <w:rFonts w:hint="eastAsia"/>
        </w:rPr>
        <w:t>可采用源区统计方法对潜在源区进行归因分析，输出潜在影响区域分布，并结合园区周边产业布局、道路与城市功能区进行解释。源区分析结果应作为“方向性证据”，不宜直接等同于“排放主体责任”结论，应与受体模型、扩散模型与现场核查证据交叉验证。</w:t>
      </w:r>
    </w:p>
    <w:p w14:paraId="5EAAE12C">
      <w:pPr>
        <w:pStyle w:val="105"/>
        <w:spacing w:before="120" w:after="120" w:line="360" w:lineRule="auto"/>
      </w:pPr>
      <w:r>
        <w:rPr>
          <w:rFonts w:hint="eastAsia"/>
        </w:rPr>
        <w:t>受体模型应用要求</w:t>
      </w:r>
    </w:p>
    <w:p w14:paraId="411F2E64">
      <w:pPr>
        <w:pStyle w:val="65"/>
        <w:spacing w:before="120" w:after="120" w:line="360" w:lineRule="auto"/>
      </w:pPr>
      <w:r>
        <w:rPr>
          <w:rFonts w:hint="eastAsia"/>
        </w:rPr>
        <w:t>数据准备与适用性</w:t>
      </w:r>
    </w:p>
    <w:p w14:paraId="0C3A5842">
      <w:pPr>
        <w:pStyle w:val="56"/>
        <w:spacing w:line="360" w:lineRule="auto"/>
        <w:ind w:firstLine="420"/>
      </w:pPr>
      <w:r>
        <w:rPr>
          <w:rFonts w:hint="eastAsia"/>
        </w:rPr>
        <w:t>受体模型应基于具有代表性的受体点组分数据开展。数据应满足时间覆盖与样本量要求，并明确缺测处理、检出限处理、异常值处理与不确定度估计方法。VOCs受体模型应确保关键物种覆盖度，颗粒物受体模型应尽量覆盖元素、离子与碳组分等指示性组分。</w:t>
      </w:r>
    </w:p>
    <w:p w14:paraId="1FE9194F">
      <w:pPr>
        <w:pStyle w:val="65"/>
        <w:spacing w:before="120" w:after="120" w:line="360" w:lineRule="auto"/>
      </w:pPr>
      <w:r>
        <w:rPr>
          <w:rFonts w:hint="eastAsia"/>
        </w:rPr>
        <w:t>因子解释与源类型命名</w:t>
      </w:r>
    </w:p>
    <w:p w14:paraId="65F5DBDE">
      <w:pPr>
        <w:pStyle w:val="56"/>
        <w:spacing w:line="360" w:lineRule="auto"/>
        <w:ind w:firstLine="420"/>
      </w:pPr>
      <w:r>
        <w:rPr>
          <w:rFonts w:hint="eastAsia"/>
        </w:rPr>
        <w:t>受体模型因子解释应遵循可解释性原则，综合考虑因子高载荷物种、典型标志物、与风向关联、与源清单行业分布一致性等信息进行命名。因子命名应避免过度细分导致不稳定，也应避免过度泛化失去管理指向性。对难以命名的因子，应保留“未识别因子”并提出进一步补充采样或源谱采集建议。</w:t>
      </w:r>
    </w:p>
    <w:p w14:paraId="4D6A93C6">
      <w:pPr>
        <w:pStyle w:val="65"/>
        <w:spacing w:before="120" w:after="120" w:line="360" w:lineRule="auto"/>
      </w:pPr>
      <w:r>
        <w:rPr>
          <w:rFonts w:hint="eastAsia"/>
        </w:rPr>
        <w:t>结果稳定性与交叉验证</w:t>
      </w:r>
    </w:p>
    <w:p w14:paraId="6EB725EA">
      <w:pPr>
        <w:pStyle w:val="56"/>
        <w:spacing w:line="360" w:lineRule="auto"/>
        <w:ind w:firstLine="420"/>
      </w:pPr>
      <w:r>
        <w:rPr>
          <w:rFonts w:hint="eastAsia"/>
        </w:rPr>
        <w:t>受体模型应开展参数敏感性与稳定性测试，包括因子数变化、数据筛选策略变化、不确定度设置变化等。模型输出的贡献率应与污染过程、风向特征及源清单强度进行一致性检验。必要时可采用多模型互证（如PMF与CMB对比，或不同受体点对比）提高结论稳健性。</w:t>
      </w:r>
    </w:p>
    <w:p w14:paraId="0FF43FA0">
      <w:pPr>
        <w:pStyle w:val="105"/>
        <w:spacing w:before="120" w:after="120" w:line="360" w:lineRule="auto"/>
      </w:pPr>
      <w:r>
        <w:rPr>
          <w:rFonts w:hint="eastAsia"/>
        </w:rPr>
        <w:t>扩散模型与源单元定位验证要求</w:t>
      </w:r>
    </w:p>
    <w:p w14:paraId="5CBE0855">
      <w:pPr>
        <w:pStyle w:val="65"/>
        <w:spacing w:before="120" w:after="120" w:line="360" w:lineRule="auto"/>
      </w:pPr>
      <w:r>
        <w:rPr>
          <w:rFonts w:hint="eastAsia"/>
        </w:rPr>
        <w:t>源参数与排放量输入</w:t>
      </w:r>
    </w:p>
    <w:p w14:paraId="55D9D5C0">
      <w:pPr>
        <w:pStyle w:val="56"/>
        <w:spacing w:line="360" w:lineRule="auto"/>
        <w:ind w:firstLine="420"/>
      </w:pPr>
      <w:r>
        <w:rPr>
          <w:rFonts w:hint="eastAsia"/>
        </w:rPr>
        <w:t>扩散模型输入应基于可追溯的源清单信息，明确排放口位置、高度、流量、温度、排放速度等参数；对无组织排放应采用等效面源/体源参数化方法并说明假设条件。排放量输入应优先采用实测、核算与许可排放信息综合校核结果，避免单一来源造成偏差。</w:t>
      </w:r>
    </w:p>
    <w:p w14:paraId="4C02FF8B">
      <w:pPr>
        <w:pStyle w:val="65"/>
        <w:spacing w:before="120" w:after="120" w:line="360" w:lineRule="auto"/>
      </w:pPr>
      <w:r>
        <w:rPr>
          <w:rFonts w:hint="eastAsia"/>
        </w:rPr>
        <w:t>模拟场景与对比验证</w:t>
      </w:r>
    </w:p>
    <w:p w14:paraId="1C2BBD64">
      <w:pPr>
        <w:pStyle w:val="56"/>
        <w:spacing w:line="360" w:lineRule="auto"/>
        <w:ind w:firstLine="420"/>
      </w:pPr>
      <w:r>
        <w:rPr>
          <w:rFonts w:hint="eastAsia"/>
        </w:rPr>
        <w:t>扩散模拟应至少设置“基准场景”和“敏感性场景”，用于评估排放量不确定、气象条件变化与无组织排放参数化对结果的影响。模型结果应与受体监测数据进行对比验证，验证内容包括峰值时段、空间梯度、风向响应与浓度量级。对显著不一致情形，应回溯源参数、气象输入、地形与下垫面设置，并提出修正方案。</w:t>
      </w:r>
    </w:p>
    <w:p w14:paraId="7D64F960">
      <w:pPr>
        <w:pStyle w:val="65"/>
        <w:spacing w:before="120" w:after="120" w:line="360" w:lineRule="auto"/>
      </w:pPr>
      <w:r>
        <w:rPr>
          <w:rFonts w:hint="eastAsia"/>
        </w:rPr>
        <w:t>定位输出与执法支撑边界</w:t>
      </w:r>
    </w:p>
    <w:p w14:paraId="487B8F7F">
      <w:pPr>
        <w:pStyle w:val="56"/>
        <w:spacing w:line="360" w:lineRule="auto"/>
        <w:ind w:firstLine="420"/>
      </w:pPr>
      <w:r>
        <w:rPr>
          <w:rFonts w:hint="eastAsia"/>
        </w:rPr>
        <w:t>扩散模型可用于源单元贡献排序与下风向影响区识别，但对执法支撑应明确边界条件：模型输出应与现场核查、排放记录、治理设施运行记录、走航热点与指纹证据形成组合证据链后，方可作为管理决策依据。</w:t>
      </w:r>
    </w:p>
    <w:p w14:paraId="00379DCC">
      <w:pPr>
        <w:pStyle w:val="105"/>
        <w:spacing w:before="120" w:after="120" w:line="360" w:lineRule="auto"/>
      </w:pPr>
      <w:r>
        <w:rPr>
          <w:rFonts w:hint="eastAsia"/>
        </w:rPr>
        <w:t>指纹匹配与标志物分析要求</w:t>
      </w:r>
    </w:p>
    <w:p w14:paraId="053BDB8E">
      <w:pPr>
        <w:pStyle w:val="65"/>
        <w:spacing w:before="120" w:after="120" w:line="360" w:lineRule="auto"/>
      </w:pPr>
      <w:r>
        <w:rPr>
          <w:rFonts w:hint="eastAsia"/>
        </w:rPr>
        <w:t>指纹构建</w:t>
      </w:r>
    </w:p>
    <w:p w14:paraId="32DBBF0C">
      <w:pPr>
        <w:pStyle w:val="56"/>
        <w:spacing w:line="360" w:lineRule="auto"/>
        <w:ind w:firstLine="420"/>
      </w:pPr>
      <w:r>
        <w:rPr>
          <w:rFonts w:hint="eastAsia"/>
        </w:rPr>
        <w:t>指纹分析宜采用“特征物种组合+比值关系+共变结构”的方式构建。对于化工、涂装、印刷、橡塑、油品储运等行业，应结合典型VOCs物种谱与特征比值进行识别；对于恶臭事件，应关注低嗅阈物质与其伴生组分的共现关系，并结合嗅辨信息与臭气浓度结果进行解释。</w:t>
      </w:r>
    </w:p>
    <w:p w14:paraId="4554F532">
      <w:pPr>
        <w:pStyle w:val="65"/>
        <w:spacing w:before="120" w:after="120" w:line="360" w:lineRule="auto"/>
      </w:pPr>
      <w:r>
        <w:rPr>
          <w:rFonts w:hint="eastAsia"/>
        </w:rPr>
        <w:t>混合源与非唯一性处理</w:t>
      </w:r>
    </w:p>
    <w:p w14:paraId="67AC48D7">
      <w:pPr>
        <w:pStyle w:val="56"/>
        <w:spacing w:line="360" w:lineRule="auto"/>
        <w:ind w:firstLine="420"/>
      </w:pPr>
      <w:r>
        <w:rPr>
          <w:rFonts w:hint="eastAsia"/>
        </w:rPr>
        <w:t>当存在多源混合或二次生成显著时，指纹分析结论可能非唯一。此时应采用“指纹+风向+受体模型因子+源清单工况”的组合证据，提高判别可靠性。对无法区分的源群，应输出“源群贡献”并提出进一步源端采样或加密监测建议。</w:t>
      </w:r>
    </w:p>
    <w:p w14:paraId="7AFE6506">
      <w:pPr>
        <w:pStyle w:val="105"/>
        <w:spacing w:before="120" w:after="120" w:line="360" w:lineRule="auto"/>
      </w:pPr>
      <w:r>
        <w:rPr>
          <w:rFonts w:hint="eastAsia"/>
        </w:rPr>
        <w:t>现场核查与源端排查要求</w:t>
      </w:r>
    </w:p>
    <w:p w14:paraId="38F9E60C">
      <w:pPr>
        <w:pStyle w:val="56"/>
        <w:spacing w:line="360" w:lineRule="auto"/>
        <w:ind w:firstLine="420"/>
      </w:pPr>
      <w:r>
        <w:rPr>
          <w:rFonts w:hint="eastAsia"/>
        </w:rPr>
        <w:t>溯源应将现场核查作为关键环节纳入流程，核查内容宜包括企业生产工况、原辅料使用、装置启停、储罐与装卸、泄漏检测与修复（适用时）、治理设施运行参数、旁路与异常排放记录、厂界无组织排放巡检等。现场核查应与监测峰值时段对齐，形成“时间线对照”，并保留核查记录、照片或视频证据、企业台账摘要与访谈纪要，实现可追溯管理。</w:t>
      </w:r>
    </w:p>
    <w:p w14:paraId="3E8112B6">
      <w:pPr>
        <w:pStyle w:val="104"/>
        <w:spacing w:before="240" w:after="240" w:line="360" w:lineRule="auto"/>
      </w:pPr>
      <w:bookmarkStart w:id="54" w:name="_Toc217477373"/>
      <w:r>
        <w:rPr>
          <w:rFonts w:hint="eastAsia"/>
        </w:rPr>
        <w:t>质量控制与不确定性分析</w:t>
      </w:r>
      <w:bookmarkEnd w:id="54"/>
    </w:p>
    <w:p w14:paraId="6F3F8F05">
      <w:pPr>
        <w:pStyle w:val="105"/>
        <w:spacing w:before="120" w:after="120" w:line="360" w:lineRule="auto"/>
      </w:pPr>
      <w:r>
        <w:rPr>
          <w:rFonts w:hint="eastAsia"/>
        </w:rPr>
        <w:t>总体要求</w:t>
      </w:r>
    </w:p>
    <w:p w14:paraId="6BE7A7F3">
      <w:pPr>
        <w:pStyle w:val="56"/>
        <w:spacing w:line="360" w:lineRule="auto"/>
        <w:ind w:firstLine="420"/>
      </w:pPr>
      <w:r>
        <w:rPr>
          <w:rFonts w:hint="eastAsia"/>
        </w:rPr>
        <w:t>溯源质量控制应覆盖监测采样、实验室分析、数据处理、模型计算与成果输出全过程。应制定质量控制计划并明确质量目标、关键控制点、判定准则、纠偏措施与复核机制。对用于应急决策或执法支撑的溯源，应提高质控强度并确保关键数据可复核、可追溯、可审计。</w:t>
      </w:r>
    </w:p>
    <w:p w14:paraId="269D883B">
      <w:pPr>
        <w:pStyle w:val="105"/>
        <w:spacing w:before="120" w:after="120" w:line="360" w:lineRule="auto"/>
      </w:pPr>
      <w:r>
        <w:rPr>
          <w:rFonts w:hint="eastAsia"/>
        </w:rPr>
        <w:t>监测采样质量控制要求</w:t>
      </w:r>
    </w:p>
    <w:p w14:paraId="4D173803">
      <w:pPr>
        <w:pStyle w:val="56"/>
        <w:spacing w:line="360" w:lineRule="auto"/>
        <w:ind w:firstLine="420"/>
      </w:pPr>
      <w:r>
        <w:rPr>
          <w:rFonts w:hint="eastAsia"/>
        </w:rPr>
        <w:t>监测采样应满足代表性与可比性要求，至少包括以下控制：</w:t>
      </w:r>
    </w:p>
    <w:p w14:paraId="0ECCB5B7">
      <w:pPr>
        <w:pStyle w:val="56"/>
        <w:spacing w:line="360" w:lineRule="auto"/>
        <w:ind w:firstLine="420"/>
      </w:pPr>
      <w:r>
        <w:rPr>
          <w:rFonts w:hint="eastAsia"/>
        </w:rPr>
        <w:t>a) 点位代表性：点位环境符合布点原则，周边干扰源识别清晰；</w:t>
      </w:r>
    </w:p>
    <w:p w14:paraId="5E63F32A">
      <w:pPr>
        <w:pStyle w:val="56"/>
        <w:spacing w:line="360" w:lineRule="auto"/>
        <w:ind w:firstLine="420"/>
      </w:pPr>
      <w:r>
        <w:rPr>
          <w:rFonts w:hint="eastAsia"/>
        </w:rPr>
        <w:t>b) 时间代表性：采样覆盖目标工况与气象条件，确保峰值时段样品可用于溯源；</w:t>
      </w:r>
    </w:p>
    <w:p w14:paraId="3B746940">
      <w:pPr>
        <w:pStyle w:val="56"/>
        <w:spacing w:line="360" w:lineRule="auto"/>
        <w:ind w:firstLine="420"/>
      </w:pPr>
      <w:r>
        <w:rPr>
          <w:rFonts w:hint="eastAsia"/>
        </w:rPr>
        <w:t>c) 采样过程：流量校准、采样介质批次管理、现场空白与运输空白设置（适用时）；</w:t>
      </w:r>
    </w:p>
    <w:p w14:paraId="7BF691AA">
      <w:pPr>
        <w:pStyle w:val="56"/>
        <w:spacing w:line="360" w:lineRule="auto"/>
        <w:ind w:firstLine="420"/>
      </w:pPr>
      <w:r>
        <w:rPr>
          <w:rFonts w:hint="eastAsia"/>
        </w:rPr>
        <w:t>d) 样品保存：保存温度、避光、防泄漏与交接记录符合要求；</w:t>
      </w:r>
    </w:p>
    <w:p w14:paraId="3DDE2C10">
      <w:pPr>
        <w:pStyle w:val="56"/>
        <w:spacing w:line="360" w:lineRule="auto"/>
        <w:ind w:firstLine="420"/>
      </w:pPr>
      <w:r>
        <w:rPr>
          <w:rFonts w:hint="eastAsia"/>
        </w:rPr>
        <w:t>e) 现场记录：记录风向风速、温湿度、可见污染现象、嗅辨结果（如有）等信息。</w:t>
      </w:r>
    </w:p>
    <w:p w14:paraId="22019B51">
      <w:pPr>
        <w:pStyle w:val="105"/>
        <w:spacing w:before="120" w:after="120" w:line="360" w:lineRule="auto"/>
      </w:pPr>
      <w:r>
        <w:rPr>
          <w:rFonts w:hint="eastAsia"/>
        </w:rPr>
        <w:t>实验室分析质量控制要求</w:t>
      </w:r>
    </w:p>
    <w:p w14:paraId="2AA800B9">
      <w:pPr>
        <w:pStyle w:val="56"/>
        <w:spacing w:line="360" w:lineRule="auto"/>
        <w:ind w:firstLine="420"/>
      </w:pPr>
      <w:r>
        <w:rPr>
          <w:rFonts w:hint="eastAsia"/>
        </w:rPr>
        <w:t>实验室应按照相应方法标准开展分析并实施内部质控，至少包括：仪器校准、标准曲线、质控样、加标回收、平行样、实验室空白与方法检出限确认。对VOCs与恶臭物质分析应特别关注样品污染与记忆效应控制；对元素与离子分析应关注样品损失与基体干扰控制。</w:t>
      </w:r>
    </w:p>
    <w:p w14:paraId="7F5320E8">
      <w:pPr>
        <w:pStyle w:val="105"/>
        <w:spacing w:before="120" w:after="120" w:line="360" w:lineRule="auto"/>
      </w:pPr>
      <w:r>
        <w:rPr>
          <w:rFonts w:hint="eastAsia"/>
        </w:rPr>
        <w:t>数据审核与异常处理要求</w:t>
      </w:r>
    </w:p>
    <w:p w14:paraId="47E06D1A">
      <w:pPr>
        <w:pStyle w:val="56"/>
        <w:spacing w:line="360" w:lineRule="auto"/>
        <w:ind w:firstLine="420"/>
      </w:pPr>
      <w:r>
        <w:rPr>
          <w:rFonts w:hint="eastAsia"/>
        </w:rPr>
        <w:t>数据审核应至少包含完整性审核、逻辑一致性审核、离群值识别、检出限与缺失值处理规则、时间对齐与单位一致性校核。对异常高值，应区分真实峰值与采样/分析异常：真实峰值应保留并加强证据补充；疑似异常应启动复核并形成记录，不得随意删除导致溯源偏差。</w:t>
      </w:r>
    </w:p>
    <w:p w14:paraId="6212B936">
      <w:pPr>
        <w:pStyle w:val="105"/>
        <w:spacing w:before="120" w:after="120" w:line="360" w:lineRule="auto"/>
      </w:pPr>
      <w:r>
        <w:rPr>
          <w:rFonts w:hint="eastAsia"/>
        </w:rPr>
        <w:t>不确定性与敏感性分析要求</w:t>
      </w:r>
    </w:p>
    <w:p w14:paraId="6B34E0BB">
      <w:pPr>
        <w:pStyle w:val="56"/>
        <w:spacing w:line="360" w:lineRule="auto"/>
        <w:ind w:firstLine="420"/>
      </w:pPr>
      <w:r>
        <w:rPr>
          <w:rFonts w:hint="eastAsia"/>
        </w:rPr>
        <w:t>溯源结果应开展不确定性分析，至少说明主要不确定来源：监测误差、源清单误差、源谱代表性、模型结构假设与气象输入误差等。受体模型应输出贡献率不确定范围或置信区间（可采用模型内置不确定度、重采样或场景对比等方法）；扩散模型应通过排放量、无组织参数化与气象场景变化开展敏感性分析，给出关键结论的稳健性描述。</w:t>
      </w:r>
    </w:p>
    <w:p w14:paraId="614BF1E1">
      <w:pPr>
        <w:pStyle w:val="56"/>
        <w:spacing w:line="360" w:lineRule="auto"/>
        <w:ind w:firstLine="420"/>
      </w:pPr>
      <w:r>
        <w:rPr>
          <w:rFonts w:hint="eastAsia"/>
        </w:rPr>
        <w:t>质控要点与判定准则建议见表2。</w:t>
      </w:r>
    </w:p>
    <w:p w14:paraId="71E9AFE6">
      <w:pPr>
        <w:pStyle w:val="112"/>
        <w:spacing w:before="120" w:after="120" w:line="360" w:lineRule="auto"/>
      </w:pPr>
      <w:r>
        <w:rPr>
          <w:rFonts w:hint="eastAsia"/>
        </w:rPr>
        <w:t>质量控制要点与判定准则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843"/>
        <w:gridCol w:w="3544"/>
        <w:gridCol w:w="2114"/>
      </w:tblGrid>
      <w:tr w14:paraId="4EC35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64EDAB5E">
            <w:pPr>
              <w:pStyle w:val="178"/>
            </w:pPr>
            <w:r>
              <w:rPr>
                <w:rFonts w:hint="eastAsia"/>
              </w:rPr>
              <w:t>环节</w:t>
            </w:r>
          </w:p>
        </w:tc>
        <w:tc>
          <w:tcPr>
            <w:tcW w:w="1843" w:type="dxa"/>
            <w:tcBorders>
              <w:top w:val="single" w:color="auto" w:sz="8" w:space="0"/>
              <w:bottom w:val="single" w:color="auto" w:sz="8" w:space="0"/>
            </w:tcBorders>
            <w:vAlign w:val="center"/>
          </w:tcPr>
          <w:p w14:paraId="0CD42266">
            <w:pPr>
              <w:pStyle w:val="178"/>
            </w:pPr>
            <w:r>
              <w:rPr>
                <w:rFonts w:hint="eastAsia"/>
              </w:rPr>
              <w:t>质控要点</w:t>
            </w:r>
          </w:p>
        </w:tc>
        <w:tc>
          <w:tcPr>
            <w:tcW w:w="3544" w:type="dxa"/>
            <w:tcBorders>
              <w:top w:val="single" w:color="auto" w:sz="8" w:space="0"/>
              <w:bottom w:val="single" w:color="auto" w:sz="8" w:space="0"/>
            </w:tcBorders>
            <w:vAlign w:val="center"/>
          </w:tcPr>
          <w:p w14:paraId="41385016">
            <w:pPr>
              <w:pStyle w:val="178"/>
            </w:pPr>
            <w:r>
              <w:rPr>
                <w:rFonts w:hint="eastAsia"/>
              </w:rPr>
              <w:t>判定准则（示例性表述）</w:t>
            </w:r>
          </w:p>
        </w:tc>
        <w:tc>
          <w:tcPr>
            <w:tcW w:w="2114" w:type="dxa"/>
            <w:tcBorders>
              <w:top w:val="single" w:color="auto" w:sz="8" w:space="0"/>
              <w:bottom w:val="single" w:color="auto" w:sz="8" w:space="0"/>
            </w:tcBorders>
            <w:vAlign w:val="center"/>
          </w:tcPr>
          <w:p w14:paraId="28653C34">
            <w:pPr>
              <w:pStyle w:val="178"/>
            </w:pPr>
            <w:r>
              <w:rPr>
                <w:rFonts w:hint="eastAsia"/>
              </w:rPr>
              <w:t>纠偏措施</w:t>
            </w:r>
          </w:p>
        </w:tc>
      </w:tr>
      <w:tr w14:paraId="6AFF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36563AD2">
            <w:pPr>
              <w:pStyle w:val="178"/>
            </w:pPr>
            <w:r>
              <w:rPr>
                <w:rFonts w:hint="eastAsia"/>
              </w:rPr>
              <w:t>现场采样</w:t>
            </w:r>
          </w:p>
        </w:tc>
        <w:tc>
          <w:tcPr>
            <w:tcW w:w="1843" w:type="dxa"/>
            <w:tcBorders>
              <w:top w:val="single" w:color="auto" w:sz="8" w:space="0"/>
            </w:tcBorders>
            <w:vAlign w:val="center"/>
          </w:tcPr>
          <w:p w14:paraId="251B51FF">
            <w:pPr>
              <w:pStyle w:val="178"/>
            </w:pPr>
            <w:r>
              <w:rPr>
                <w:rFonts w:hint="eastAsia"/>
              </w:rPr>
              <w:t>流量与时间准确</w:t>
            </w:r>
          </w:p>
        </w:tc>
        <w:tc>
          <w:tcPr>
            <w:tcW w:w="3544" w:type="dxa"/>
            <w:tcBorders>
              <w:top w:val="single" w:color="auto" w:sz="8" w:space="0"/>
            </w:tcBorders>
            <w:vAlign w:val="center"/>
          </w:tcPr>
          <w:p w14:paraId="242576F6">
            <w:pPr>
              <w:pStyle w:val="178"/>
            </w:pPr>
            <w:r>
              <w:rPr>
                <w:rFonts w:hint="eastAsia"/>
              </w:rPr>
              <w:t>流量校准记录齐全；采样时长满足方法要求</w:t>
            </w:r>
          </w:p>
        </w:tc>
        <w:tc>
          <w:tcPr>
            <w:tcW w:w="2114" w:type="dxa"/>
            <w:tcBorders>
              <w:top w:val="single" w:color="auto" w:sz="8" w:space="0"/>
            </w:tcBorders>
            <w:vAlign w:val="center"/>
          </w:tcPr>
          <w:p w14:paraId="4C516E3E">
            <w:pPr>
              <w:pStyle w:val="178"/>
            </w:pPr>
            <w:r>
              <w:rPr>
                <w:rFonts w:hint="eastAsia"/>
              </w:rPr>
              <w:t>重新采样或剔除并说明</w:t>
            </w:r>
          </w:p>
        </w:tc>
      </w:tr>
      <w:tr w14:paraId="2AB4A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98EBD57">
            <w:pPr>
              <w:pStyle w:val="178"/>
            </w:pPr>
            <w:r>
              <w:rPr>
                <w:rFonts w:hint="eastAsia"/>
              </w:rPr>
              <w:t>空白控制</w:t>
            </w:r>
          </w:p>
        </w:tc>
        <w:tc>
          <w:tcPr>
            <w:tcW w:w="1843" w:type="dxa"/>
            <w:vAlign w:val="center"/>
          </w:tcPr>
          <w:p w14:paraId="5402A445">
            <w:pPr>
              <w:pStyle w:val="178"/>
            </w:pPr>
            <w:r>
              <w:rPr>
                <w:rFonts w:hint="eastAsia"/>
              </w:rPr>
              <w:t>现场/运输/实验室空白</w:t>
            </w:r>
          </w:p>
        </w:tc>
        <w:tc>
          <w:tcPr>
            <w:tcW w:w="3544" w:type="dxa"/>
            <w:vAlign w:val="center"/>
          </w:tcPr>
          <w:p w14:paraId="0464D9F7">
            <w:pPr>
              <w:pStyle w:val="178"/>
            </w:pPr>
            <w:r>
              <w:rPr>
                <w:rFonts w:hint="eastAsia"/>
              </w:rPr>
              <w:t>空白值应低于规定阈值或不影响判定</w:t>
            </w:r>
          </w:p>
        </w:tc>
        <w:tc>
          <w:tcPr>
            <w:tcW w:w="2114" w:type="dxa"/>
            <w:vAlign w:val="center"/>
          </w:tcPr>
          <w:p w14:paraId="2C0A859D">
            <w:pPr>
              <w:pStyle w:val="178"/>
            </w:pPr>
            <w:r>
              <w:rPr>
                <w:rFonts w:hint="eastAsia"/>
              </w:rPr>
              <w:t>排查污染源并复测</w:t>
            </w:r>
          </w:p>
        </w:tc>
      </w:tr>
      <w:tr w14:paraId="4F2CB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6FF65D1B">
            <w:pPr>
              <w:pStyle w:val="178"/>
            </w:pPr>
            <w:r>
              <w:rPr>
                <w:rFonts w:hint="eastAsia"/>
              </w:rPr>
              <w:t>平行样</w:t>
            </w:r>
          </w:p>
        </w:tc>
        <w:tc>
          <w:tcPr>
            <w:tcW w:w="1843" w:type="dxa"/>
            <w:vAlign w:val="center"/>
          </w:tcPr>
          <w:p w14:paraId="595ECECA">
            <w:pPr>
              <w:pStyle w:val="178"/>
            </w:pPr>
            <w:r>
              <w:rPr>
                <w:rFonts w:hint="eastAsia"/>
              </w:rPr>
              <w:t>重复性</w:t>
            </w:r>
          </w:p>
        </w:tc>
        <w:tc>
          <w:tcPr>
            <w:tcW w:w="3544" w:type="dxa"/>
            <w:vAlign w:val="center"/>
          </w:tcPr>
          <w:p w14:paraId="2530107F">
            <w:pPr>
              <w:pStyle w:val="178"/>
            </w:pPr>
            <w:r>
              <w:rPr>
                <w:rFonts w:hint="eastAsia"/>
              </w:rPr>
              <w:t>平行结果偏差在可接受范围内</w:t>
            </w:r>
          </w:p>
        </w:tc>
        <w:tc>
          <w:tcPr>
            <w:tcW w:w="2114" w:type="dxa"/>
            <w:vAlign w:val="center"/>
          </w:tcPr>
          <w:p w14:paraId="3FF5AE4E">
            <w:pPr>
              <w:pStyle w:val="178"/>
            </w:pPr>
            <w:r>
              <w:rPr>
                <w:rFonts w:hint="eastAsia"/>
              </w:rPr>
              <w:t>复核流程与仪器状态</w:t>
            </w:r>
          </w:p>
        </w:tc>
      </w:tr>
      <w:tr w14:paraId="2EC83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22E9786">
            <w:pPr>
              <w:pStyle w:val="178"/>
            </w:pPr>
            <w:r>
              <w:rPr>
                <w:rFonts w:hint="eastAsia"/>
              </w:rPr>
              <w:t>校准与回收</w:t>
            </w:r>
          </w:p>
        </w:tc>
        <w:tc>
          <w:tcPr>
            <w:tcW w:w="1843" w:type="dxa"/>
            <w:vAlign w:val="center"/>
          </w:tcPr>
          <w:p w14:paraId="5077AB8C">
            <w:pPr>
              <w:pStyle w:val="178"/>
            </w:pPr>
            <w:r>
              <w:rPr>
                <w:rFonts w:hint="eastAsia"/>
              </w:rPr>
              <w:t>校准曲线、加标回收</w:t>
            </w:r>
          </w:p>
        </w:tc>
        <w:tc>
          <w:tcPr>
            <w:tcW w:w="3544" w:type="dxa"/>
            <w:vAlign w:val="center"/>
          </w:tcPr>
          <w:p w14:paraId="19FCF8B9">
            <w:pPr>
              <w:pStyle w:val="178"/>
            </w:pPr>
            <w:r>
              <w:rPr>
                <w:rFonts w:hint="eastAsia"/>
              </w:rPr>
              <w:t>线性与回收满足方法质量要求</w:t>
            </w:r>
          </w:p>
        </w:tc>
        <w:tc>
          <w:tcPr>
            <w:tcW w:w="2114" w:type="dxa"/>
            <w:vAlign w:val="center"/>
          </w:tcPr>
          <w:p w14:paraId="18DE9A0A">
            <w:pPr>
              <w:pStyle w:val="178"/>
            </w:pPr>
            <w:r>
              <w:rPr>
                <w:rFonts w:hint="eastAsia"/>
              </w:rPr>
              <w:t>重新校准或重测</w:t>
            </w:r>
          </w:p>
        </w:tc>
      </w:tr>
      <w:tr w14:paraId="4E611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274D01D">
            <w:pPr>
              <w:pStyle w:val="178"/>
            </w:pPr>
            <w:r>
              <w:rPr>
                <w:rFonts w:hint="eastAsia"/>
              </w:rPr>
              <w:t>数据审核</w:t>
            </w:r>
          </w:p>
        </w:tc>
        <w:tc>
          <w:tcPr>
            <w:tcW w:w="1843" w:type="dxa"/>
            <w:vAlign w:val="center"/>
          </w:tcPr>
          <w:p w14:paraId="6660D4CE">
            <w:pPr>
              <w:pStyle w:val="178"/>
            </w:pPr>
            <w:r>
              <w:rPr>
                <w:rFonts w:hint="eastAsia"/>
              </w:rPr>
              <w:t>缺失、离群、单位</w:t>
            </w:r>
          </w:p>
        </w:tc>
        <w:tc>
          <w:tcPr>
            <w:tcW w:w="3544" w:type="dxa"/>
            <w:vAlign w:val="center"/>
          </w:tcPr>
          <w:p w14:paraId="2BD0CEBC">
            <w:pPr>
              <w:pStyle w:val="178"/>
            </w:pPr>
            <w:r>
              <w:rPr>
                <w:rFonts w:hint="eastAsia"/>
              </w:rPr>
              <w:t>缺失与离群处理规则一致且可追溯</w:t>
            </w:r>
          </w:p>
        </w:tc>
        <w:tc>
          <w:tcPr>
            <w:tcW w:w="2114" w:type="dxa"/>
            <w:vAlign w:val="center"/>
          </w:tcPr>
          <w:p w14:paraId="0497CB5B">
            <w:pPr>
              <w:pStyle w:val="178"/>
            </w:pPr>
            <w:r>
              <w:rPr>
                <w:rFonts w:hint="eastAsia"/>
              </w:rPr>
              <w:t>修正并保留版本</w:t>
            </w:r>
          </w:p>
        </w:tc>
      </w:tr>
      <w:tr w14:paraId="118AD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E1693D8">
            <w:pPr>
              <w:pStyle w:val="178"/>
            </w:pPr>
            <w:r>
              <w:rPr>
                <w:rFonts w:hint="eastAsia"/>
              </w:rPr>
              <w:t>模型验证</w:t>
            </w:r>
          </w:p>
        </w:tc>
        <w:tc>
          <w:tcPr>
            <w:tcW w:w="1843" w:type="dxa"/>
            <w:vAlign w:val="center"/>
          </w:tcPr>
          <w:p w14:paraId="4332B2DD">
            <w:pPr>
              <w:pStyle w:val="178"/>
            </w:pPr>
            <w:r>
              <w:rPr>
                <w:rFonts w:hint="eastAsia"/>
              </w:rPr>
              <w:t>模拟与观测一致性</w:t>
            </w:r>
          </w:p>
        </w:tc>
        <w:tc>
          <w:tcPr>
            <w:tcW w:w="3544" w:type="dxa"/>
            <w:vAlign w:val="center"/>
          </w:tcPr>
          <w:p w14:paraId="0B04A99F">
            <w:pPr>
              <w:pStyle w:val="178"/>
            </w:pPr>
            <w:r>
              <w:rPr>
                <w:rFonts w:hint="eastAsia"/>
              </w:rPr>
              <w:t>峰值时段、风向响应与量级基本一致</w:t>
            </w:r>
          </w:p>
        </w:tc>
        <w:tc>
          <w:tcPr>
            <w:tcW w:w="2114" w:type="dxa"/>
            <w:vAlign w:val="center"/>
          </w:tcPr>
          <w:p w14:paraId="4CEBEA5D">
            <w:pPr>
              <w:pStyle w:val="178"/>
            </w:pPr>
            <w:r>
              <w:rPr>
                <w:rFonts w:hint="eastAsia"/>
              </w:rPr>
              <w:t>回溯参数并敏感性分析</w:t>
            </w:r>
          </w:p>
        </w:tc>
      </w:tr>
      <w:tr w14:paraId="3178E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161CBA81">
            <w:pPr>
              <w:pStyle w:val="178"/>
            </w:pPr>
            <w:r>
              <w:rPr>
                <w:rFonts w:hint="eastAsia"/>
              </w:rPr>
              <w:t>结论输出</w:t>
            </w:r>
          </w:p>
        </w:tc>
        <w:tc>
          <w:tcPr>
            <w:tcW w:w="1843" w:type="dxa"/>
            <w:vAlign w:val="center"/>
          </w:tcPr>
          <w:p w14:paraId="672BABB8">
            <w:pPr>
              <w:pStyle w:val="178"/>
            </w:pPr>
            <w:r>
              <w:rPr>
                <w:rFonts w:hint="eastAsia"/>
              </w:rPr>
              <w:t>可解释与可复核</w:t>
            </w:r>
          </w:p>
        </w:tc>
        <w:tc>
          <w:tcPr>
            <w:tcW w:w="3544" w:type="dxa"/>
            <w:vAlign w:val="center"/>
          </w:tcPr>
          <w:p w14:paraId="1167AF47">
            <w:pPr>
              <w:pStyle w:val="178"/>
            </w:pPr>
            <w:r>
              <w:rPr>
                <w:rFonts w:hint="eastAsia"/>
              </w:rPr>
              <w:t>证据链完整；关键假设与不确定性明确</w:t>
            </w:r>
          </w:p>
        </w:tc>
        <w:tc>
          <w:tcPr>
            <w:tcW w:w="2114" w:type="dxa"/>
            <w:vAlign w:val="center"/>
          </w:tcPr>
          <w:p w14:paraId="51BBECD1">
            <w:pPr>
              <w:pStyle w:val="178"/>
            </w:pPr>
            <w:r>
              <w:rPr>
                <w:rFonts w:hint="eastAsia"/>
              </w:rPr>
              <w:t>补充证据或降低结论强度</w:t>
            </w:r>
          </w:p>
        </w:tc>
      </w:tr>
    </w:tbl>
    <w:p w14:paraId="561DD1ED">
      <w:pPr>
        <w:pStyle w:val="104"/>
        <w:spacing w:before="240" w:after="240" w:line="360" w:lineRule="auto"/>
      </w:pPr>
      <w:bookmarkStart w:id="55" w:name="_Toc217477374"/>
      <w:r>
        <w:rPr>
          <w:rFonts w:hint="eastAsia"/>
        </w:rPr>
        <w:t>成果表达与应用</w:t>
      </w:r>
      <w:bookmarkEnd w:id="55"/>
    </w:p>
    <w:p w14:paraId="291E0592">
      <w:pPr>
        <w:pStyle w:val="105"/>
        <w:spacing w:before="120" w:after="120" w:line="360" w:lineRule="auto"/>
      </w:pPr>
      <w:r>
        <w:rPr>
          <w:rFonts w:hint="eastAsia"/>
        </w:rPr>
        <w:t>成果输出总体要求</w:t>
      </w:r>
    </w:p>
    <w:p w14:paraId="4678244A">
      <w:pPr>
        <w:pStyle w:val="56"/>
        <w:spacing w:line="360" w:lineRule="auto"/>
        <w:ind w:firstLine="420"/>
      </w:pPr>
      <w:r>
        <w:rPr>
          <w:rFonts w:hint="eastAsia"/>
        </w:rPr>
        <w:t>溯源成果应满足“能解释、能定位、能支撑决策、能复核”的要求。成果表达应包括溯源结论、证据链说明、不确定性范围、关键影响源排序、重点源区或源单元定位结果，以及面向治理与监管的可行动建议。对外发布或用于执法支撑的成果应统一口径，避免“只给结论不说明依据”或“只给模型图不说明假设”的表达方式。</w:t>
      </w:r>
    </w:p>
    <w:p w14:paraId="61D090FC">
      <w:pPr>
        <w:pStyle w:val="105"/>
        <w:spacing w:before="120" w:after="120" w:line="360" w:lineRule="auto"/>
      </w:pPr>
      <w:r>
        <w:rPr>
          <w:rFonts w:hint="eastAsia"/>
        </w:rPr>
        <w:t>贡献解析成果表达要求</w:t>
      </w:r>
    </w:p>
    <w:p w14:paraId="3705FED4">
      <w:pPr>
        <w:pStyle w:val="56"/>
        <w:spacing w:line="360" w:lineRule="auto"/>
        <w:ind w:firstLine="420"/>
      </w:pPr>
      <w:r>
        <w:rPr>
          <w:rFonts w:hint="eastAsia"/>
        </w:rPr>
        <w:t>贡献解析宜按“来源类型贡献—行业/工艺贡献—空间源区贡献”三级表达。对受体模型结果，应给出因子解释依据与贡献率范围，并指出高贡献因子对应的重点排放环节与典型物种。对过程性事件，应突出“峰值贡献”与“过程贡献”的差异，避免用平均贡献掩盖短时高风险来源。</w:t>
      </w:r>
    </w:p>
    <w:p w14:paraId="391A9960">
      <w:pPr>
        <w:pStyle w:val="105"/>
        <w:spacing w:before="120" w:after="120" w:line="360" w:lineRule="auto"/>
      </w:pPr>
      <w:r>
        <w:rPr>
          <w:rFonts w:hint="eastAsia"/>
        </w:rPr>
        <w:t>源区/源单元定位成果表达要求</w:t>
      </w:r>
    </w:p>
    <w:p w14:paraId="1B11D617">
      <w:pPr>
        <w:pStyle w:val="56"/>
        <w:spacing w:line="360" w:lineRule="auto"/>
        <w:ind w:firstLine="420"/>
      </w:pPr>
      <w:r>
        <w:rPr>
          <w:rFonts w:hint="eastAsia"/>
        </w:rPr>
        <w:t>定位成果应给出定位逻辑与证据链：包括风向统计指向、走航热点位置、指纹匹配结果、扩散模拟下风向影响区与现场核查发现之间的对应关系。定位表达应明确空间尺度与可信边界：对近场定位可细化至企业或装置区域；对区域输送贡献应表达为“源区范围”并说明不确定性。</w:t>
      </w:r>
    </w:p>
    <w:p w14:paraId="6F4748DA">
      <w:pPr>
        <w:pStyle w:val="105"/>
        <w:spacing w:before="120" w:after="120" w:line="360" w:lineRule="auto"/>
      </w:pPr>
      <w:r>
        <w:rPr>
          <w:rFonts w:hint="eastAsia"/>
        </w:rPr>
        <w:t>结论验证与证据链评分建议</w:t>
      </w:r>
    </w:p>
    <w:p w14:paraId="7390F1D5">
      <w:pPr>
        <w:pStyle w:val="56"/>
        <w:spacing w:line="360" w:lineRule="auto"/>
        <w:ind w:firstLine="420"/>
      </w:pPr>
      <w:r>
        <w:rPr>
          <w:rFonts w:hint="eastAsia"/>
        </w:rPr>
        <w:t>溯源结论应进行交叉验证，验证内容宜包括：</w:t>
      </w:r>
    </w:p>
    <w:p w14:paraId="1A9A7CDB">
      <w:pPr>
        <w:pStyle w:val="56"/>
        <w:spacing w:line="360" w:lineRule="auto"/>
        <w:ind w:firstLine="420"/>
      </w:pPr>
      <w:r>
        <w:rPr>
          <w:rFonts w:hint="eastAsia"/>
        </w:rPr>
        <w:t>a) 不同方法结论一致性：受体模型与扩散模型、指纹分析与风向统计是否相互支撑；</w:t>
      </w:r>
    </w:p>
    <w:p w14:paraId="33B4966E">
      <w:pPr>
        <w:pStyle w:val="56"/>
        <w:spacing w:line="360" w:lineRule="auto"/>
        <w:ind w:firstLine="420"/>
      </w:pPr>
      <w:r>
        <w:rPr>
          <w:rFonts w:hint="eastAsia"/>
        </w:rPr>
        <w:t>b) 不同点位一致性：多个受体点是否呈现合理的空间梯度；</w:t>
      </w:r>
    </w:p>
    <w:p w14:paraId="31FBCEA2">
      <w:pPr>
        <w:pStyle w:val="56"/>
        <w:spacing w:line="360" w:lineRule="auto"/>
        <w:ind w:firstLine="420"/>
      </w:pPr>
      <w:r>
        <w:rPr>
          <w:rFonts w:hint="eastAsia"/>
        </w:rPr>
        <w:t>c) 时间线一致性：监测峰值与企业工况、装置启停、装卸作业记录是否匹配；</w:t>
      </w:r>
    </w:p>
    <w:p w14:paraId="79D5BA8E">
      <w:pPr>
        <w:pStyle w:val="56"/>
        <w:spacing w:line="360" w:lineRule="auto"/>
        <w:ind w:firstLine="420"/>
      </w:pPr>
      <w:r>
        <w:rPr>
          <w:rFonts w:hint="eastAsia"/>
        </w:rPr>
        <w:t>d) 现场证据一致性：厂界巡检、泄漏排查、治理设施运行参数是否支持溯源判断。</w:t>
      </w:r>
    </w:p>
    <w:p w14:paraId="472D01FD">
      <w:pPr>
        <w:pStyle w:val="56"/>
        <w:spacing w:line="360" w:lineRule="auto"/>
        <w:ind w:firstLine="420"/>
      </w:pPr>
      <w:r>
        <w:rPr>
          <w:rFonts w:hint="eastAsia"/>
        </w:rPr>
        <w:t>必要时可采用证据链评分方式，对“指向性证据、定量证据、机理证据、现场证据”进行分层评价，并据此确定结论表述强度（明确指认/高度怀疑/可能相关/需进一步核实）。</w:t>
      </w:r>
    </w:p>
    <w:p w14:paraId="5FD8E058">
      <w:pPr>
        <w:pStyle w:val="105"/>
        <w:spacing w:before="120" w:after="120" w:line="360" w:lineRule="auto"/>
      </w:pPr>
      <w:r>
        <w:rPr>
          <w:rFonts w:hint="eastAsia"/>
        </w:rPr>
        <w:t>治理建议与管理建议形成要求</w:t>
      </w:r>
    </w:p>
    <w:p w14:paraId="51EC415C">
      <w:pPr>
        <w:pStyle w:val="56"/>
        <w:spacing w:line="360" w:lineRule="auto"/>
        <w:ind w:firstLine="420"/>
      </w:pPr>
      <w:r>
        <w:rPr>
          <w:rFonts w:hint="eastAsia"/>
        </w:rPr>
        <w:t>治理建议应从“源头减排—过程控制—末端治理—管理提升—监测与评估”全链条提出，并与溯源结论一一对应。对无组织排放、泄漏与装卸环节，应提出可操作的控制建议，如密闭收集、负压控制、LDAR管理、储罐呼吸控制、装卸气相回收、厂区异味巡检机制等。对末端治理应关注设施适配性、运行稳定性与旁路风险，并提出在线监控与运维优化建议。对管理建议应明确责任主体、整改时限建议与验证方法（如整改后加密监测与对比评估）。</w:t>
      </w:r>
    </w:p>
    <w:p w14:paraId="25413E36">
      <w:pPr>
        <w:pStyle w:val="105"/>
        <w:spacing w:before="120" w:after="120" w:line="360" w:lineRule="auto"/>
      </w:pPr>
      <w:r>
        <w:rPr>
          <w:rFonts w:hint="eastAsia"/>
        </w:rPr>
        <w:t>应急溯源与投诉处置应用建议</w:t>
      </w:r>
    </w:p>
    <w:p w14:paraId="39716155">
      <w:pPr>
        <w:pStyle w:val="56"/>
        <w:spacing w:line="360" w:lineRule="auto"/>
        <w:ind w:firstLine="420"/>
      </w:pPr>
      <w:r>
        <w:rPr>
          <w:rFonts w:hint="eastAsia"/>
        </w:rPr>
        <w:t>对异味投诉与突发超标事件，应形成“快速响应—快速定位—快速核查—快速控制—复盘改进”的处置闭环。应急溯源应优先确保数据时效与证据完整：快速采样、走航定位、风向统计与现场核查同步推进，必要时实施网格化加密布点。应急处置完成后应输出事件复盘报告，更新源清单与源谱库，并将高频情景纳入常态化监测与演练。</w:t>
      </w:r>
    </w:p>
    <w:p w14:paraId="6DD885D3">
      <w:pPr>
        <w:pStyle w:val="56"/>
        <w:spacing w:line="360" w:lineRule="auto"/>
        <w:ind w:firstLine="420"/>
      </w:pPr>
      <w:r>
        <w:rPr>
          <w:rFonts w:hint="eastAsia"/>
        </w:rPr>
        <w:t>成果交付清单建议见表3。</w:t>
      </w:r>
    </w:p>
    <w:p w14:paraId="326E055A">
      <w:pPr>
        <w:pStyle w:val="112"/>
        <w:spacing w:before="120" w:after="120" w:line="360" w:lineRule="auto"/>
      </w:pPr>
      <w:r>
        <w:rPr>
          <w:rFonts w:hint="eastAsia"/>
        </w:rPr>
        <w:t>溯源成果交付清单与内容要求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252"/>
        <w:gridCol w:w="1418"/>
        <w:gridCol w:w="2114"/>
      </w:tblGrid>
      <w:tr w14:paraId="531C8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1C278DA2">
            <w:pPr>
              <w:pStyle w:val="178"/>
            </w:pPr>
            <w:r>
              <w:rPr>
                <w:rFonts w:hint="eastAsia"/>
              </w:rPr>
              <w:t>交付物</w:t>
            </w:r>
          </w:p>
        </w:tc>
        <w:tc>
          <w:tcPr>
            <w:tcW w:w="4252" w:type="dxa"/>
            <w:tcBorders>
              <w:top w:val="single" w:color="auto" w:sz="8" w:space="0"/>
              <w:bottom w:val="single" w:color="auto" w:sz="8" w:space="0"/>
            </w:tcBorders>
            <w:vAlign w:val="center"/>
          </w:tcPr>
          <w:p w14:paraId="34714383">
            <w:pPr>
              <w:pStyle w:val="178"/>
            </w:pPr>
            <w:r>
              <w:rPr>
                <w:rFonts w:hint="eastAsia"/>
              </w:rPr>
              <w:t>主要内容</w:t>
            </w:r>
          </w:p>
        </w:tc>
        <w:tc>
          <w:tcPr>
            <w:tcW w:w="1418" w:type="dxa"/>
            <w:tcBorders>
              <w:top w:val="single" w:color="auto" w:sz="8" w:space="0"/>
              <w:bottom w:val="single" w:color="auto" w:sz="8" w:space="0"/>
            </w:tcBorders>
            <w:vAlign w:val="center"/>
          </w:tcPr>
          <w:p w14:paraId="7837D340">
            <w:pPr>
              <w:pStyle w:val="178"/>
            </w:pPr>
            <w:r>
              <w:rPr>
                <w:rFonts w:hint="eastAsia"/>
              </w:rPr>
              <w:t>适用场景</w:t>
            </w:r>
          </w:p>
        </w:tc>
        <w:tc>
          <w:tcPr>
            <w:tcW w:w="2114" w:type="dxa"/>
            <w:tcBorders>
              <w:top w:val="single" w:color="auto" w:sz="8" w:space="0"/>
              <w:bottom w:val="single" w:color="auto" w:sz="8" w:space="0"/>
            </w:tcBorders>
            <w:vAlign w:val="center"/>
          </w:tcPr>
          <w:p w14:paraId="10B03637">
            <w:pPr>
              <w:pStyle w:val="178"/>
            </w:pPr>
            <w:r>
              <w:rPr>
                <w:rFonts w:hint="eastAsia"/>
              </w:rPr>
              <w:t>质量要求</w:t>
            </w:r>
          </w:p>
        </w:tc>
      </w:tr>
      <w:tr w14:paraId="47871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089E99DA">
            <w:pPr>
              <w:pStyle w:val="178"/>
            </w:pPr>
            <w:r>
              <w:rPr>
                <w:rFonts w:hint="eastAsia"/>
              </w:rPr>
              <w:t>溯源技术报告</w:t>
            </w:r>
          </w:p>
        </w:tc>
        <w:tc>
          <w:tcPr>
            <w:tcW w:w="4252" w:type="dxa"/>
            <w:tcBorders>
              <w:top w:val="single" w:color="auto" w:sz="8" w:space="0"/>
            </w:tcBorders>
            <w:vAlign w:val="center"/>
          </w:tcPr>
          <w:p w14:paraId="47810774">
            <w:pPr>
              <w:pStyle w:val="178"/>
            </w:pPr>
            <w:r>
              <w:rPr>
                <w:rFonts w:hint="eastAsia"/>
              </w:rPr>
              <w:t>目标、方法、数据、结论、证据链、不确定性、建议</w:t>
            </w:r>
          </w:p>
        </w:tc>
        <w:tc>
          <w:tcPr>
            <w:tcW w:w="1418" w:type="dxa"/>
            <w:tcBorders>
              <w:top w:val="single" w:color="auto" w:sz="8" w:space="0"/>
            </w:tcBorders>
            <w:vAlign w:val="center"/>
          </w:tcPr>
          <w:p w14:paraId="3C07BD04">
            <w:pPr>
              <w:pStyle w:val="178"/>
            </w:pPr>
            <w:r>
              <w:rPr>
                <w:rFonts w:hint="eastAsia"/>
              </w:rPr>
              <w:t>常态/专项/应急</w:t>
            </w:r>
          </w:p>
        </w:tc>
        <w:tc>
          <w:tcPr>
            <w:tcW w:w="2114" w:type="dxa"/>
            <w:tcBorders>
              <w:top w:val="single" w:color="auto" w:sz="8" w:space="0"/>
            </w:tcBorders>
            <w:vAlign w:val="center"/>
          </w:tcPr>
          <w:p w14:paraId="0FEB0E0F">
            <w:pPr>
              <w:pStyle w:val="178"/>
            </w:pPr>
            <w:r>
              <w:rPr>
                <w:rFonts w:hint="eastAsia"/>
              </w:rPr>
              <w:t>结论可复核、假设明确</w:t>
            </w:r>
          </w:p>
        </w:tc>
      </w:tr>
      <w:tr w14:paraId="5E561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4038B89">
            <w:pPr>
              <w:pStyle w:val="178"/>
            </w:pPr>
            <w:r>
              <w:rPr>
                <w:rFonts w:hint="eastAsia"/>
              </w:rPr>
              <w:t>图件与图表</w:t>
            </w:r>
          </w:p>
        </w:tc>
        <w:tc>
          <w:tcPr>
            <w:tcW w:w="4252" w:type="dxa"/>
            <w:vAlign w:val="center"/>
          </w:tcPr>
          <w:p w14:paraId="370CDA8A">
            <w:pPr>
              <w:pStyle w:val="178"/>
            </w:pPr>
            <w:r>
              <w:rPr>
                <w:rFonts w:hint="eastAsia"/>
              </w:rPr>
              <w:t>点位图、风玫瑰、热点图、轨迹图、贡献图、模拟图</w:t>
            </w:r>
          </w:p>
        </w:tc>
        <w:tc>
          <w:tcPr>
            <w:tcW w:w="1418" w:type="dxa"/>
            <w:vAlign w:val="center"/>
          </w:tcPr>
          <w:p w14:paraId="0328BCD3">
            <w:pPr>
              <w:pStyle w:val="178"/>
            </w:pPr>
            <w:r>
              <w:rPr>
                <w:rFonts w:hint="eastAsia"/>
              </w:rPr>
              <w:t>管理沟通与决策</w:t>
            </w:r>
          </w:p>
        </w:tc>
        <w:tc>
          <w:tcPr>
            <w:tcW w:w="2114" w:type="dxa"/>
            <w:vAlign w:val="center"/>
          </w:tcPr>
          <w:p w14:paraId="4CE09237">
            <w:pPr>
              <w:pStyle w:val="178"/>
            </w:pPr>
            <w:r>
              <w:rPr>
                <w:rFonts w:hint="eastAsia"/>
              </w:rPr>
              <w:t>图件可追溯、标注清晰</w:t>
            </w:r>
          </w:p>
        </w:tc>
      </w:tr>
      <w:tr w14:paraId="22613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8D2642C">
            <w:pPr>
              <w:pStyle w:val="178"/>
            </w:pPr>
            <w:r>
              <w:rPr>
                <w:rFonts w:hint="eastAsia"/>
              </w:rPr>
              <w:t>数据包与元数据</w:t>
            </w:r>
          </w:p>
        </w:tc>
        <w:tc>
          <w:tcPr>
            <w:tcW w:w="4252" w:type="dxa"/>
            <w:vAlign w:val="center"/>
          </w:tcPr>
          <w:p w14:paraId="2A59C24E">
            <w:pPr>
              <w:pStyle w:val="178"/>
            </w:pPr>
            <w:r>
              <w:rPr>
                <w:rFonts w:hint="eastAsia"/>
              </w:rPr>
              <w:t>原始数据索引、处理数据、方法与字段口径</w:t>
            </w:r>
          </w:p>
        </w:tc>
        <w:tc>
          <w:tcPr>
            <w:tcW w:w="1418" w:type="dxa"/>
            <w:vAlign w:val="center"/>
          </w:tcPr>
          <w:p w14:paraId="507FE767">
            <w:pPr>
              <w:pStyle w:val="178"/>
            </w:pPr>
            <w:r>
              <w:rPr>
                <w:rFonts w:hint="eastAsia"/>
              </w:rPr>
              <w:t>复核与归档</w:t>
            </w:r>
          </w:p>
        </w:tc>
        <w:tc>
          <w:tcPr>
            <w:tcW w:w="2114" w:type="dxa"/>
            <w:vAlign w:val="center"/>
          </w:tcPr>
          <w:p w14:paraId="55DD35AE">
            <w:pPr>
              <w:pStyle w:val="178"/>
            </w:pPr>
            <w:r>
              <w:rPr>
                <w:rFonts w:hint="eastAsia"/>
              </w:rPr>
              <w:t>版本受控、字段说明齐全</w:t>
            </w:r>
          </w:p>
        </w:tc>
      </w:tr>
      <w:tr w14:paraId="29B70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68F2A9F">
            <w:pPr>
              <w:pStyle w:val="178"/>
            </w:pPr>
            <w:r>
              <w:rPr>
                <w:rFonts w:hint="eastAsia"/>
              </w:rPr>
              <w:t>源清单与源谱库</w:t>
            </w:r>
          </w:p>
        </w:tc>
        <w:tc>
          <w:tcPr>
            <w:tcW w:w="4252" w:type="dxa"/>
            <w:vAlign w:val="center"/>
          </w:tcPr>
          <w:p w14:paraId="3D62C4BE">
            <w:pPr>
              <w:pStyle w:val="178"/>
            </w:pPr>
            <w:r>
              <w:rPr>
                <w:rFonts w:hint="eastAsia"/>
              </w:rPr>
              <w:t>源参数、排放量、源谱字段、适用范围</w:t>
            </w:r>
          </w:p>
        </w:tc>
        <w:tc>
          <w:tcPr>
            <w:tcW w:w="1418" w:type="dxa"/>
            <w:vAlign w:val="center"/>
          </w:tcPr>
          <w:p w14:paraId="11228298">
            <w:pPr>
              <w:pStyle w:val="178"/>
            </w:pPr>
            <w:r>
              <w:rPr>
                <w:rFonts w:hint="eastAsia"/>
              </w:rPr>
              <w:t>模型与复用</w:t>
            </w:r>
          </w:p>
        </w:tc>
        <w:tc>
          <w:tcPr>
            <w:tcW w:w="2114" w:type="dxa"/>
            <w:vAlign w:val="center"/>
          </w:tcPr>
          <w:p w14:paraId="73F8C553">
            <w:pPr>
              <w:pStyle w:val="178"/>
            </w:pPr>
            <w:r>
              <w:rPr>
                <w:rFonts w:hint="eastAsia"/>
              </w:rPr>
              <w:t>来源可追溯、更新记录</w:t>
            </w:r>
          </w:p>
        </w:tc>
      </w:tr>
      <w:tr w14:paraId="62F2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6D5FAA5B">
            <w:pPr>
              <w:pStyle w:val="178"/>
            </w:pPr>
            <w:r>
              <w:rPr>
                <w:rFonts w:hint="eastAsia"/>
              </w:rPr>
              <w:t>现场核查记录</w:t>
            </w:r>
          </w:p>
        </w:tc>
        <w:tc>
          <w:tcPr>
            <w:tcW w:w="4252" w:type="dxa"/>
            <w:vAlign w:val="center"/>
          </w:tcPr>
          <w:p w14:paraId="0A176018">
            <w:pPr>
              <w:pStyle w:val="178"/>
            </w:pPr>
            <w:r>
              <w:rPr>
                <w:rFonts w:hint="eastAsia"/>
              </w:rPr>
              <w:t>时间线、工况核对、问题点、证据材料</w:t>
            </w:r>
          </w:p>
        </w:tc>
        <w:tc>
          <w:tcPr>
            <w:tcW w:w="1418" w:type="dxa"/>
            <w:vAlign w:val="center"/>
          </w:tcPr>
          <w:p w14:paraId="3DCE3616">
            <w:pPr>
              <w:pStyle w:val="178"/>
            </w:pPr>
            <w:r>
              <w:rPr>
                <w:rFonts w:hint="eastAsia"/>
              </w:rPr>
              <w:t>执法与整改</w:t>
            </w:r>
          </w:p>
        </w:tc>
        <w:tc>
          <w:tcPr>
            <w:tcW w:w="2114" w:type="dxa"/>
            <w:vAlign w:val="center"/>
          </w:tcPr>
          <w:p w14:paraId="2AFDBAC4">
            <w:pPr>
              <w:pStyle w:val="178"/>
            </w:pPr>
            <w:r>
              <w:rPr>
                <w:rFonts w:hint="eastAsia"/>
              </w:rPr>
              <w:t>记录完整、证据留存</w:t>
            </w:r>
          </w:p>
        </w:tc>
      </w:tr>
      <w:tr w14:paraId="5A926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164A8358">
            <w:pPr>
              <w:pStyle w:val="178"/>
            </w:pPr>
            <w:r>
              <w:rPr>
                <w:rFonts w:hint="eastAsia"/>
              </w:rPr>
              <w:t>整改与评估建议书</w:t>
            </w:r>
          </w:p>
        </w:tc>
        <w:tc>
          <w:tcPr>
            <w:tcW w:w="4252" w:type="dxa"/>
            <w:vAlign w:val="center"/>
          </w:tcPr>
          <w:p w14:paraId="439D8E3A">
            <w:pPr>
              <w:pStyle w:val="178"/>
            </w:pPr>
            <w:r>
              <w:rPr>
                <w:rFonts w:hint="eastAsia"/>
              </w:rPr>
              <w:t>措施清单、优先级、验证方案、监测方案</w:t>
            </w:r>
          </w:p>
        </w:tc>
        <w:tc>
          <w:tcPr>
            <w:tcW w:w="1418" w:type="dxa"/>
            <w:vAlign w:val="center"/>
          </w:tcPr>
          <w:p w14:paraId="0E6616F2">
            <w:pPr>
              <w:pStyle w:val="178"/>
            </w:pPr>
            <w:r>
              <w:rPr>
                <w:rFonts w:hint="eastAsia"/>
              </w:rPr>
              <w:t>治理落地</w:t>
            </w:r>
          </w:p>
        </w:tc>
        <w:tc>
          <w:tcPr>
            <w:tcW w:w="2114" w:type="dxa"/>
            <w:vAlign w:val="center"/>
          </w:tcPr>
          <w:p w14:paraId="7D8B0D83">
            <w:pPr>
              <w:pStyle w:val="178"/>
            </w:pPr>
            <w:r>
              <w:rPr>
                <w:rFonts w:hint="eastAsia"/>
              </w:rPr>
              <w:t>可操作、可评价</w:t>
            </w:r>
          </w:p>
        </w:tc>
      </w:tr>
    </w:tbl>
    <w:p w14:paraId="69C9E730">
      <w:pPr>
        <w:pStyle w:val="104"/>
        <w:spacing w:before="240" w:after="240" w:line="360" w:lineRule="auto"/>
      </w:pPr>
      <w:bookmarkStart w:id="56" w:name="_Toc217477375"/>
      <w:r>
        <w:rPr>
          <w:rFonts w:hint="eastAsia"/>
        </w:rPr>
        <w:t>附则</w:t>
      </w:r>
      <w:bookmarkEnd w:id="56"/>
    </w:p>
    <w:p w14:paraId="524032E2">
      <w:pPr>
        <w:pStyle w:val="162"/>
        <w:spacing w:line="360" w:lineRule="auto"/>
      </w:pPr>
      <w:r>
        <w:rPr>
          <w:rFonts w:hint="eastAsia"/>
        </w:rPr>
        <w:t>本文件由发布机构负责解释。</w:t>
      </w:r>
    </w:p>
    <w:p w14:paraId="03ECE0AC">
      <w:pPr>
        <w:pStyle w:val="162"/>
        <w:spacing w:line="360" w:lineRule="auto"/>
      </w:pPr>
      <w:r>
        <w:rPr>
          <w:rFonts w:hint="eastAsia"/>
        </w:rPr>
        <w:t>本文件实施过程中，使用者可结合园区行业结构、地形气象条件与属地管理要求制定配套实施细则，但不应降低本文件对监测代表性、证据链完整性、方法交叉验证与不确定性说明的要求。</w:t>
      </w:r>
    </w:p>
    <w:p w14:paraId="4D981689">
      <w:pPr>
        <w:pStyle w:val="162"/>
        <w:spacing w:line="360" w:lineRule="auto"/>
      </w:pPr>
      <w:r>
        <w:rPr>
          <w:rFonts w:hint="eastAsia"/>
        </w:rPr>
        <w:t>本文件未尽事项应符合国家现行有关环境保护法律法规、环境空气质量管理与污染源监管相关标准规范的要求。</w:t>
      </w:r>
    </w:p>
    <w:bookmarkEnd w:id="26"/>
    <w:p w14:paraId="4B9C34C9">
      <w:pPr>
        <w:pStyle w:val="56"/>
        <w:ind w:firstLine="0" w:firstLineChars="0"/>
        <w:jc w:val="center"/>
      </w:pPr>
      <w:bookmarkStart w:id="57" w:name="BookMark8"/>
      <w:r>
        <w:drawing>
          <wp:inline distT="0" distB="0" distL="0" distR="0">
            <wp:extent cx="1485900" cy="317500"/>
            <wp:effectExtent l="0" t="0" r="0" b="6350"/>
            <wp:docPr id="1075263797" name="图片 5"/>
            <wp:cNvGraphicFramePr/>
            <a:graphic xmlns:a="http://schemas.openxmlformats.org/drawingml/2006/main">
              <a:graphicData uri="http://schemas.openxmlformats.org/drawingml/2006/picture">
                <pic:pic xmlns:pic="http://schemas.openxmlformats.org/drawingml/2006/picture">
                  <pic:nvPicPr>
                    <pic:cNvPr id="1075263797"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8973">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0451">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E39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DF8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ED0D">
    <w:pPr>
      <w:pStyle w:val="61"/>
    </w:pPr>
    <w:r>
      <w:fldChar w:fldCharType="begin"/>
    </w:r>
    <w:r>
      <w:instrText xml:space="preserve"> STYLEREF  标准文件_文件编号  \* MERGEFORMAT </w:instrText>
    </w:r>
    <w:r>
      <w:fldChar w:fldCharType="separate"/>
    </w:r>
    <w:r>
      <w:t>T/XZBX 0173—2025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B00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0173—2025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0173—2025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qgUApHEVBy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A3C"/>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5DA"/>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BFA"/>
    <w:rsid w:val="004A12DF"/>
    <w:rsid w:val="004A1BA8"/>
    <w:rsid w:val="004A3D2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104"/>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238"/>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28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2A8"/>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72"/>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EA0"/>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062"/>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E96"/>
    <w:rsid w:val="00B049AF"/>
    <w:rsid w:val="00B07242"/>
    <w:rsid w:val="00B10534"/>
    <w:rsid w:val="00B113DB"/>
    <w:rsid w:val="00B11D8A"/>
    <w:rsid w:val="00B12981"/>
    <w:rsid w:val="00B147DD"/>
    <w:rsid w:val="00B156FD"/>
    <w:rsid w:val="00B21F61"/>
    <w:rsid w:val="00B261F1"/>
    <w:rsid w:val="00B265BC"/>
    <w:rsid w:val="00B31FB1"/>
    <w:rsid w:val="00B3355B"/>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FF5"/>
    <w:rsid w:val="00DC0321"/>
    <w:rsid w:val="00DC3067"/>
    <w:rsid w:val="00DC370B"/>
    <w:rsid w:val="00DC5B90"/>
    <w:rsid w:val="00DC686C"/>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446"/>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3E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576BDC1B">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44560BFF">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3907D4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145BF6"/>
    <w:rsid w:val="00493BFA"/>
    <w:rsid w:val="004A3D28"/>
    <w:rsid w:val="005A5806"/>
    <w:rsid w:val="0077598D"/>
    <w:rsid w:val="00C32433"/>
    <w:rsid w:val="00D27FB0"/>
    <w:rsid w:val="00F005F9"/>
    <w:rsid w:val="00F4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BCC73F4814DF2B25CA2AC39057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9106</Words>
  <Characters>9526</Characters>
  <Lines>80</Lines>
  <Paragraphs>22</Paragraphs>
  <TotalTime>46</TotalTime>
  <ScaleCrop>false</ScaleCrop>
  <LinksUpToDate>false</LinksUpToDate>
  <CharactersWithSpaces>9666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2026-01-04T06:28:25Z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6D5D508BA4454520A4F570C2F2CC681B_12</vt:lpwstr>
  </property>
</Properties>
</file>