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C110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F94BB3C">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7DFB435">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03.120.1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03.120.10</w:t>
            </w:r>
            <w:r>
              <w:rPr>
                <w:rFonts w:ascii="黑体" w:hAnsi="黑体" w:eastAsia="黑体"/>
                <w:sz w:val="21"/>
                <w:szCs w:val="21"/>
              </w:rPr>
              <w:fldChar w:fldCharType="end"/>
            </w:r>
            <w:bookmarkEnd w:id="0"/>
          </w:p>
        </w:tc>
      </w:tr>
      <w:tr w14:paraId="32D03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52118C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6421A0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21BF62E8">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0EC42EB">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C 53"/>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C 53</w:t>
            </w:r>
            <w:r>
              <w:rPr>
                <w:rFonts w:ascii="黑体" w:hAnsi="黑体" w:eastAsia="黑体"/>
                <w:sz w:val="21"/>
                <w:szCs w:val="21"/>
              </w:rPr>
              <w:fldChar w:fldCharType="end"/>
            </w:r>
            <w:bookmarkEnd w:id="2"/>
          </w:p>
        </w:tc>
      </w:tr>
    </w:tbl>
    <w:p w14:paraId="79079AC4">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33C9468B">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172"/>
            </w:textInput>
          </w:ffData>
        </w:fldChar>
      </w:r>
      <w:bookmarkStart w:id="6" w:name="NSTD_CODE_F"/>
      <w:r>
        <w:instrText xml:space="preserve"> FORMTEXT </w:instrText>
      </w:r>
      <w:r>
        <w:fldChar w:fldCharType="separate"/>
      </w:r>
      <w:r>
        <w:t>0172</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4BA4075B">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EBB051F">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17C07904">
      <w:pPr>
        <w:pStyle w:val="50"/>
        <w:framePr w:w="9639" w:h="6976" w:hRule="exact" w:hSpace="0" w:vSpace="0" w:wrap="around" w:hAnchor="page" w:y="6408"/>
        <w:jc w:val="center"/>
        <w:rPr>
          <w:rFonts w:ascii="黑体" w:hAnsi="黑体" w:eastAsia="黑体"/>
          <w:b w:val="0"/>
          <w:bCs w:val="0"/>
          <w:w w:val="100"/>
        </w:rPr>
      </w:pPr>
    </w:p>
    <w:p w14:paraId="346365B1">
      <w:pPr>
        <w:pStyle w:val="197"/>
        <w:framePr w:h="6974" w:hRule="exact" w:wrap="around" w:x="1419" w:anchorLock="1"/>
      </w:pPr>
      <w:r>
        <w:fldChar w:fldCharType="begin">
          <w:ffData>
            <w:name w:val="CSTD_NAME"/>
            <w:enabled/>
            <w:calcOnExit w:val="0"/>
            <w:textInput>
              <w:default w:val="食品质量安全全链条管控与检验数字化管理规程"/>
            </w:textInput>
          </w:ffData>
        </w:fldChar>
      </w:r>
      <w:bookmarkStart w:id="9" w:name="CSTD_NAME"/>
      <w:r>
        <w:instrText xml:space="preserve"> FORMTEXT </w:instrText>
      </w:r>
      <w:r>
        <w:fldChar w:fldCharType="separate"/>
      </w:r>
      <w:r>
        <w:t>食品质量安全全链条管控与检验数字化</w:t>
      </w:r>
    </w:p>
    <w:p w14:paraId="4DEF4094">
      <w:pPr>
        <w:pStyle w:val="197"/>
        <w:framePr w:h="6974" w:hRule="exact" w:wrap="around" w:x="1419" w:anchorLock="1"/>
      </w:pPr>
      <w:r>
        <w:t>管理规程</w:t>
      </w:r>
      <w:r>
        <w:fldChar w:fldCharType="end"/>
      </w:r>
      <w:bookmarkEnd w:id="9"/>
    </w:p>
    <w:p w14:paraId="6E8D5B75">
      <w:pPr>
        <w:framePr w:w="9639" w:h="6974" w:hRule="exact" w:wrap="around" w:vAnchor="page" w:hAnchor="page" w:x="1419" w:y="6408" w:anchorLock="1"/>
        <w:ind w:left="-1418"/>
      </w:pPr>
    </w:p>
    <w:p w14:paraId="3FFA94B6">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Code of practice for full-chain control of food quality and safety and digital management of inspection"/>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Code of practice for full-chain control of food quality and safety and digital management of inspection</w:t>
      </w:r>
      <w:r>
        <w:rPr>
          <w:rFonts w:ascii="黑体" w:hAnsi="黑体" w:eastAsia="黑体"/>
          <w:szCs w:val="28"/>
        </w:rPr>
        <w:fldChar w:fldCharType="end"/>
      </w:r>
      <w:bookmarkEnd w:id="10"/>
    </w:p>
    <w:p w14:paraId="0B27D1AD">
      <w:pPr>
        <w:framePr w:w="9639" w:h="6974" w:hRule="exact" w:wrap="around" w:vAnchor="page" w:hAnchor="page" w:x="1419" w:y="6408" w:anchorLock="1"/>
        <w:spacing w:line="760" w:lineRule="exact"/>
        <w:ind w:left="-1418"/>
      </w:pPr>
    </w:p>
    <w:p w14:paraId="11A39F3C">
      <w:pPr>
        <w:pStyle w:val="125"/>
        <w:framePr w:w="9639" w:h="6974" w:hRule="exact" w:wrap="around" w:vAnchor="page" w:hAnchor="page" w:x="1419" w:y="6408" w:anchorLock="1"/>
        <w:textAlignment w:val="bottom"/>
        <w:rPr>
          <w:rFonts w:eastAsia="黑体"/>
          <w:szCs w:val="28"/>
        </w:rPr>
      </w:pPr>
    </w:p>
    <w:p w14:paraId="4D207BEA">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23EA5E8">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686FB6AE">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0C025B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674155C">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2E641429">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066230A">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7C5DD389">
      <w:pPr>
        <w:pStyle w:val="91"/>
        <w:spacing w:after="360"/>
      </w:pPr>
      <w:bookmarkStart w:id="21" w:name="BookMark1"/>
      <w:r>
        <w:rPr>
          <w:rFonts w:hint="eastAsia"/>
          <w:spacing w:val="320"/>
        </w:rPr>
        <w:t>目</w:t>
      </w:r>
      <w:r>
        <w:rPr>
          <w:rFonts w:hint="eastAsia"/>
        </w:rPr>
        <w:t>次</w:t>
      </w:r>
    </w:p>
    <w:p w14:paraId="160E2D8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"_Toc217467356"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_Toc217467356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38F47B0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"_Toc217467357"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_Toc217467357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16210BE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"_Toc217467358"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_Toc217467358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CD315A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"_Toc217467359"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_Toc217467359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8F38FD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"_Toc217467360"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_Toc217467360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2E2574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"_Toc217467361"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_Toc217467361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03B9B7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"_Toc217467362" </w:instrText>
      </w:r>
      <w:r>
        <w:fldChar w:fldCharType="separate"/>
      </w:r>
      <w:r>
        <w:rPr>
          <w:rStyle w:val="32"/>
          <w:rFonts w:hint="eastAsia"/>
        </w:rPr>
        <w:t>5</w:t>
      </w:r>
      <w:r>
        <w:rPr>
          <w:rStyle w:val="32"/>
        </w:rPr>
        <w:t xml:space="preserve"> </w:t>
      </w:r>
      <w:r>
        <w:rPr>
          <w:rStyle w:val="32"/>
          <w:rFonts w:hint="eastAsia"/>
        </w:rPr>
        <w:t xml:space="preserve"> 全链条管控与检验数字化管理</w:t>
      </w:r>
      <w:r>
        <w:rPr>
          <w:rFonts w:hint="eastAsia"/>
        </w:rPr>
        <w:tab/>
      </w:r>
      <w:r>
        <w:rPr>
          <w:rFonts w:hint="eastAsia"/>
        </w:rPr>
        <w:fldChar w:fldCharType="begin"/>
      </w:r>
      <w:r>
        <w:rPr>
          <w:rFonts w:hint="eastAsia"/>
        </w:rPr>
        <w:instrText xml:space="preserve"> </w:instrText>
      </w:r>
      <w:r>
        <w:instrText xml:space="preserve">PAGEREF _Toc217467362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9C7AEB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"_Toc217467363" </w:instrText>
      </w:r>
      <w:r>
        <w:fldChar w:fldCharType="separate"/>
      </w:r>
      <w:r>
        <w:rPr>
          <w:rStyle w:val="32"/>
          <w:rFonts w:hint="eastAsia"/>
        </w:rPr>
        <w:t>6</w:t>
      </w:r>
      <w:r>
        <w:rPr>
          <w:rStyle w:val="32"/>
        </w:rPr>
        <w:t xml:space="preserve"> </w:t>
      </w:r>
      <w:r>
        <w:rPr>
          <w:rStyle w:val="32"/>
          <w:rFonts w:hint="eastAsia"/>
        </w:rPr>
        <w:t xml:space="preserve"> 平台互联互通与数据交换</w:t>
      </w:r>
      <w:r>
        <w:rPr>
          <w:rFonts w:hint="eastAsia"/>
        </w:rPr>
        <w:tab/>
      </w:r>
      <w:r>
        <w:rPr>
          <w:rFonts w:hint="eastAsia"/>
        </w:rPr>
        <w:fldChar w:fldCharType="begin"/>
      </w:r>
      <w:r>
        <w:rPr>
          <w:rFonts w:hint="eastAsia"/>
        </w:rPr>
        <w:instrText xml:space="preserve"> </w:instrText>
      </w:r>
      <w:r>
        <w:instrText xml:space="preserve">PAGEREF _Toc217467363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C86B32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"_Toc217467364" </w:instrText>
      </w:r>
      <w:r>
        <w:fldChar w:fldCharType="separate"/>
      </w:r>
      <w:r>
        <w:rPr>
          <w:rStyle w:val="32"/>
          <w:rFonts w:hint="eastAsia"/>
        </w:rPr>
        <w:t>7</w:t>
      </w:r>
      <w:r>
        <w:rPr>
          <w:rStyle w:val="32"/>
        </w:rPr>
        <w:t xml:space="preserve"> </w:t>
      </w:r>
      <w:r>
        <w:rPr>
          <w:rStyle w:val="32"/>
          <w:rFonts w:hint="eastAsia"/>
        </w:rPr>
        <w:t xml:space="preserve"> 运行维护与持续改进</w:t>
      </w:r>
      <w:r>
        <w:rPr>
          <w:rFonts w:hint="eastAsia"/>
        </w:rPr>
        <w:tab/>
      </w:r>
      <w:r>
        <w:rPr>
          <w:rFonts w:hint="eastAsia"/>
        </w:rPr>
        <w:fldChar w:fldCharType="begin"/>
      </w:r>
      <w:r>
        <w:rPr>
          <w:rFonts w:hint="eastAsia"/>
        </w:rPr>
        <w:instrText xml:space="preserve"> </w:instrText>
      </w:r>
      <w:r>
        <w:instrText xml:space="preserve">PAGEREF _Toc217467364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769448C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"_Toc217467365" </w:instrText>
      </w:r>
      <w:r>
        <w:fldChar w:fldCharType="separate"/>
      </w:r>
      <w:r>
        <w:rPr>
          <w:rStyle w:val="32"/>
          <w:rFonts w:hint="eastAsia"/>
        </w:rPr>
        <w:t>8</w:t>
      </w:r>
      <w:r>
        <w:rPr>
          <w:rStyle w:val="32"/>
        </w:rPr>
        <w:t xml:space="preserve"> </w:t>
      </w:r>
      <w:r>
        <w:rPr>
          <w:rStyle w:val="32"/>
          <w:rFonts w:hint="eastAsia"/>
        </w:rPr>
        <w:t xml:space="preserve"> 附则</w:t>
      </w:r>
      <w:r>
        <w:rPr>
          <w:rFonts w:hint="eastAsia"/>
        </w:rPr>
        <w:tab/>
      </w:r>
      <w:r>
        <w:rPr>
          <w:rFonts w:hint="eastAsia"/>
        </w:rPr>
        <w:fldChar w:fldCharType="begin"/>
      </w:r>
      <w:r>
        <w:rPr>
          <w:rFonts w:hint="eastAsia"/>
        </w:rPr>
        <w:instrText xml:space="preserve"> </w:instrText>
      </w:r>
      <w:r>
        <w:instrText xml:space="preserve">PAGEREF _Toc217467365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20401658">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56D2C0C5">
      <w:pPr>
        <w:pStyle w:val="89"/>
        <w:spacing w:before="900" w:after="360"/>
      </w:pPr>
      <w:bookmarkStart w:id="22" w:name="_Toc217467356"/>
      <w:bookmarkStart w:id="23" w:name="BookMark2"/>
      <w:r>
        <w:rPr>
          <w:spacing w:val="320"/>
        </w:rPr>
        <w:t>前</w:t>
      </w:r>
      <w:r>
        <w:t>言</w:t>
      </w:r>
      <w:bookmarkEnd w:id="22"/>
    </w:p>
    <w:p w14:paraId="222E6A20">
      <w:pPr>
        <w:pStyle w:val="56"/>
        <w:spacing w:line="360" w:lineRule="auto"/>
        <w:ind w:firstLine="420"/>
      </w:pPr>
      <w:r>
        <w:rPr>
          <w:rFonts w:hint="eastAsia"/>
        </w:rPr>
        <w:t>本文件按照GB/T 1.1—2020《标准化工作导则  第1部分：标准化文件的结构和起草规则》的规定起草。</w:t>
      </w:r>
    </w:p>
    <w:p w14:paraId="17FA224E">
      <w:pPr>
        <w:pStyle w:val="56"/>
        <w:spacing w:line="360" w:lineRule="auto"/>
        <w:ind w:firstLine="420"/>
      </w:pPr>
      <w:r>
        <w:rPr>
          <w:rFonts w:hint="eastAsia"/>
        </w:rPr>
        <w:t>请注意本文件的某些内容可能涉及专利。本文件的发布机构不承担识别专利的责任。</w:t>
      </w:r>
    </w:p>
    <w:p w14:paraId="3E62C14B">
      <w:pPr>
        <w:pStyle w:val="56"/>
        <w:spacing w:line="360" w:lineRule="auto"/>
        <w:ind w:firstLine="420"/>
      </w:pPr>
      <w:r>
        <w:rPr>
          <w:rFonts w:hint="eastAsia"/>
        </w:rPr>
        <w:t>本文件由西安市质量与标准化协会提出并归口。</w:t>
      </w:r>
    </w:p>
    <w:p w14:paraId="2C9E769C">
      <w:pPr>
        <w:pStyle w:val="56"/>
        <w:spacing w:line="360" w:lineRule="auto"/>
        <w:ind w:firstLine="420"/>
      </w:pPr>
      <w:r>
        <w:rPr>
          <w:rFonts w:hint="eastAsia"/>
        </w:rPr>
        <w:t>本文件起草单位：那曲市检验检测中心</w:t>
      </w:r>
      <w:bookmarkStart w:id="57" w:name="_GoBack"/>
      <w:bookmarkEnd w:id="57"/>
      <w:r>
        <w:rPr>
          <w:rFonts w:hint="eastAsia"/>
        </w:rPr>
        <w:t>。</w:t>
      </w:r>
    </w:p>
    <w:p w14:paraId="3890D037">
      <w:pPr>
        <w:pStyle w:val="56"/>
        <w:spacing w:line="360" w:lineRule="auto"/>
        <w:ind w:firstLine="420"/>
      </w:pPr>
      <w:r>
        <w:rPr>
          <w:rFonts w:hint="eastAsia"/>
        </w:rPr>
        <w:t>本文件主要起草人：索朗旦吉。</w:t>
      </w:r>
    </w:p>
    <w:p w14:paraId="24C66E2A">
      <w:pPr>
        <w:pStyle w:val="56"/>
        <w:ind w:firstLine="420"/>
      </w:pPr>
    </w:p>
    <w:p w14:paraId="25CD513D">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3"/>
    <w:p w14:paraId="5A4344C2">
      <w:pPr>
        <w:pStyle w:val="89"/>
        <w:spacing w:after="360"/>
      </w:pPr>
      <w:bookmarkStart w:id="24" w:name="_Toc217467357"/>
      <w:bookmarkStart w:id="25" w:name="BookMark3"/>
      <w:r>
        <w:rPr>
          <w:spacing w:val="320"/>
        </w:rPr>
        <w:t>引</w:t>
      </w:r>
      <w:r>
        <w:t>言</w:t>
      </w:r>
      <w:bookmarkEnd w:id="24"/>
    </w:p>
    <w:p w14:paraId="66CC1277">
      <w:pPr>
        <w:pStyle w:val="56"/>
        <w:spacing w:line="360" w:lineRule="auto"/>
        <w:ind w:firstLine="420"/>
      </w:pPr>
      <w:r>
        <w:rPr>
          <w:rFonts w:hint="eastAsia"/>
        </w:rPr>
        <w:t>食品质量安全具有高度公共属性，贯穿种养殖（或原料采购）、加工制造、仓储运输、流通销售、餐饮供给与消费终端等全链条环节。随着食品供应链延伸、跨区域流通规模扩大、产品形态与消费场景多样化，以及电商与即时零售等新渠道快速发展，食品质量安全风险呈现“链条长、环节多、主体多、批次多、信息碎片化”的特征。传统以线下台账、人工抽检与事后追责为主的治理模式，在风险前移控制、跨主体协同、异常快速定位与精准召回等方面存在明显不足，容易导致风险扩散、处置滞后与成本上升。</w:t>
      </w:r>
    </w:p>
    <w:p w14:paraId="56421932">
      <w:pPr>
        <w:pStyle w:val="56"/>
        <w:spacing w:line="360" w:lineRule="auto"/>
        <w:ind w:firstLine="420"/>
      </w:pPr>
      <w:r>
        <w:rPr>
          <w:rFonts w:hint="eastAsia"/>
        </w:rPr>
        <w:t>数字化管理为食品质量安全全链条管控提供了系统化工具基础。通过建立统一的数据标准、关键控制点数据采集机制、检验检测数据在线管理与证据链留痕、异常预警与处置闭环、追溯与召回联动等能力，可实现“风险可识别、过程可控制、信息可共享、责任可追溯、处置可闭环”。但在实际应用中仍存在数据口径不一致、采集负担重、系统孤岛、检验结果难以联动、外部协同不足以及数据真实性与安全性保障薄弱等问题，影响全链条管控成效。</w:t>
      </w:r>
    </w:p>
    <w:p w14:paraId="21ABEEBA">
      <w:pPr>
        <w:pStyle w:val="56"/>
        <w:spacing w:line="360" w:lineRule="auto"/>
        <w:ind w:firstLine="420"/>
      </w:pPr>
      <w:r>
        <w:rPr>
          <w:rFonts w:hint="eastAsia"/>
        </w:rPr>
        <w:t>本文件面向食品质量安全治理的工程化落地需求，提出全链条管控与检验数字化管理的总体原则、组织职责、关键控制点与数据要素、检验检测数字化管理要求、风险预警与召回处置机制、数据质量与安全保障等要求，强调以风险为导向、以关键控制点为核心、以数据标准为基础、以闭环管理为抓手，推动食品质量安全管理由“被动应对”向“主动预防、精准治理”提升。</w:t>
      </w:r>
    </w:p>
    <w:p w14:paraId="343DE450">
      <w:pPr>
        <w:pStyle w:val="56"/>
        <w:ind w:firstLine="420"/>
      </w:pPr>
    </w:p>
    <w:p w14:paraId="5A8E8EA9">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95B0EAC">
      <w:pPr>
        <w:spacing w:line="20" w:lineRule="exact"/>
        <w:jc w:val="center"/>
        <w:rPr>
          <w:rFonts w:ascii="黑体" w:hAnsi="黑体" w:eastAsia="黑体"/>
          <w:sz w:val="32"/>
          <w:szCs w:val="32"/>
        </w:rPr>
      </w:pPr>
      <w:bookmarkStart w:id="26" w:name="BookMark4"/>
    </w:p>
    <w:p w14:paraId="354EC6BC">
      <w:pPr>
        <w:spacing w:line="20" w:lineRule="exact"/>
        <w:jc w:val="center"/>
        <w:rPr>
          <w:rFonts w:ascii="黑体" w:hAnsi="黑体" w:eastAsia="黑体"/>
          <w:sz w:val="32"/>
          <w:szCs w:val="32"/>
        </w:rPr>
      </w:pPr>
    </w:p>
    <w:sdt>
      <w:sdtPr>
        <w:tag w:val="NEW_STAND_NAME"/>
        <w:id w:val="595910757"/>
        <w:lock w:val="sdtLocked"/>
        <w:placeholder>
          <w:docPart w:val="88BBCC73F4814DF2B25CA2AC390573F6"/>
        </w:placeholder>
      </w:sdtPr>
      <w:sdtContent>
        <w:p w14:paraId="166775DD">
          <w:pPr>
            <w:pStyle w:val="177"/>
            <w:spacing w:after="0"/>
          </w:pPr>
          <w:bookmarkStart w:id="27" w:name="NEW_STAND_NAME"/>
          <w:r>
            <w:rPr>
              <w:rFonts w:hint="eastAsia"/>
            </w:rPr>
            <w:t>食品质量安全全链条管控与检验数字化</w:t>
          </w:r>
        </w:p>
        <w:p w14:paraId="2A2AE3A7">
          <w:pPr>
            <w:pStyle w:val="177"/>
            <w:spacing w:before="0"/>
          </w:pPr>
          <w:r>
            <w:rPr>
              <w:rFonts w:hint="eastAsia"/>
            </w:rPr>
            <w:t>管理规程</w:t>
          </w:r>
        </w:p>
      </w:sdtContent>
    </w:sdt>
    <w:bookmarkEnd w:id="27"/>
    <w:p w14:paraId="4A6C50D7">
      <w:pPr>
        <w:pStyle w:val="104"/>
        <w:spacing w:before="240" w:after="240" w:line="360" w:lineRule="auto"/>
      </w:pPr>
      <w:bookmarkStart w:id="28" w:name="_Toc17233333"/>
      <w:bookmarkStart w:id="29" w:name="_Toc24884218"/>
      <w:bookmarkStart w:id="30" w:name="_Toc26718930"/>
      <w:bookmarkStart w:id="31" w:name="_Toc26986530"/>
      <w:bookmarkStart w:id="32" w:name="_Toc97192964"/>
      <w:bookmarkStart w:id="33" w:name="_Toc24884211"/>
      <w:bookmarkStart w:id="34" w:name="_Toc26986771"/>
      <w:bookmarkStart w:id="35" w:name="_Toc217467358"/>
      <w:bookmarkStart w:id="36" w:name="_Toc17233325"/>
      <w:bookmarkStart w:id="37" w:name="_Toc26648465"/>
      <w:r>
        <w:rPr>
          <w:rFonts w:hint="eastAsia"/>
        </w:rPr>
        <w:t>范围</w:t>
      </w:r>
      <w:bookmarkEnd w:id="28"/>
      <w:bookmarkEnd w:id="29"/>
      <w:bookmarkEnd w:id="30"/>
      <w:bookmarkEnd w:id="31"/>
      <w:bookmarkEnd w:id="32"/>
      <w:bookmarkEnd w:id="33"/>
      <w:bookmarkEnd w:id="34"/>
      <w:bookmarkEnd w:id="35"/>
      <w:bookmarkEnd w:id="36"/>
      <w:bookmarkEnd w:id="37"/>
    </w:p>
    <w:p w14:paraId="2BB65673">
      <w:pPr>
        <w:pStyle w:val="56"/>
        <w:spacing w:line="360" w:lineRule="auto"/>
        <w:ind w:firstLine="420"/>
      </w:pPr>
      <w:bookmarkStart w:id="38" w:name="_Toc17233326"/>
      <w:bookmarkStart w:id="39" w:name="_Toc24884212"/>
      <w:bookmarkStart w:id="40" w:name="_Toc26648466"/>
      <w:bookmarkStart w:id="41" w:name="_Toc24884219"/>
      <w:bookmarkStart w:id="42" w:name="_Toc17233334"/>
      <w:r>
        <w:rPr>
          <w:rFonts w:hint="eastAsia"/>
        </w:rPr>
        <w:t>本文件规定了食品质量安全全链条管控与检验数字化管理的总体要求、全链条管控与检验数字化管理、平台互联互通与数据交换及运行维护与持续改进等内容。</w:t>
      </w:r>
    </w:p>
    <w:p w14:paraId="38661369">
      <w:pPr>
        <w:pStyle w:val="56"/>
        <w:spacing w:line="360" w:lineRule="auto"/>
        <w:ind w:firstLine="420"/>
      </w:pPr>
      <w:r>
        <w:rPr>
          <w:rFonts w:hint="eastAsia"/>
        </w:rPr>
        <w:t>本文件适用于食品生产经营主体（含食品生产企业、食品加工企业、仓储物流企业、批发零售企业、电商平台、餐饮服务单位）、第三方检验检测机构、供应链服务机构以及相关监管与公共服务平台开展食品质量安全全链条管控与检验数字化管理体系建设、运行与评价。对特定品类已有专门强制性标准或专项监管要求的，应在满足相关要求的基础上参照本文件实施系统集成与能力提升。</w:t>
      </w:r>
    </w:p>
    <w:p w14:paraId="3F036BAD">
      <w:pPr>
        <w:pStyle w:val="104"/>
        <w:spacing w:before="240" w:after="240" w:line="360" w:lineRule="auto"/>
      </w:pPr>
      <w:bookmarkStart w:id="43" w:name="_Toc26718931"/>
      <w:bookmarkStart w:id="44" w:name="_Toc26986531"/>
      <w:bookmarkStart w:id="45" w:name="_Toc26986772"/>
      <w:bookmarkStart w:id="46" w:name="_Toc97192965"/>
      <w:bookmarkStart w:id="47" w:name="_Toc217467359"/>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4197A65F6D1E4BDD9AF6599EC272F31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1469F19">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416368B">
      <w:pPr>
        <w:pStyle w:val="56"/>
        <w:spacing w:line="360" w:lineRule="auto"/>
        <w:ind w:firstLine="420"/>
      </w:pPr>
      <w:r>
        <w:rPr>
          <w:rFonts w:hint="eastAsia"/>
        </w:rPr>
        <w:t>GB/T 1.1 标准化工作导则 第1部分：标准化文件的结构和起草规则</w:t>
      </w:r>
    </w:p>
    <w:p w14:paraId="7757E684">
      <w:pPr>
        <w:pStyle w:val="56"/>
        <w:spacing w:line="360" w:lineRule="auto"/>
        <w:ind w:firstLine="420"/>
      </w:pPr>
      <w:r>
        <w:rPr>
          <w:rFonts w:hint="eastAsia"/>
        </w:rPr>
        <w:t>GB/T 7027 信息分类和编码的基本原则与方法</w:t>
      </w:r>
    </w:p>
    <w:p w14:paraId="63371FFA">
      <w:pPr>
        <w:pStyle w:val="56"/>
        <w:spacing w:line="360" w:lineRule="auto"/>
        <w:ind w:firstLine="420"/>
      </w:pPr>
      <w:r>
        <w:rPr>
          <w:rFonts w:hint="eastAsia"/>
        </w:rPr>
        <w:t>GB/T 22005 饲料和食品链的可追溯性  体系设计与实施的通用原则和基本要求</w:t>
      </w:r>
    </w:p>
    <w:p w14:paraId="2EF01B20">
      <w:pPr>
        <w:pStyle w:val="56"/>
        <w:spacing w:line="360" w:lineRule="auto"/>
        <w:ind w:firstLine="420"/>
      </w:pPr>
      <w:r>
        <w:rPr>
          <w:rFonts w:hint="eastAsia"/>
        </w:rPr>
        <w:t>GB/T 22239 信息安全技术  网络安全等级保护基本要求</w:t>
      </w:r>
    </w:p>
    <w:p w14:paraId="3609BB03">
      <w:pPr>
        <w:pStyle w:val="56"/>
        <w:spacing w:line="360" w:lineRule="auto"/>
        <w:ind w:firstLine="420"/>
      </w:pPr>
      <w:r>
        <w:rPr>
          <w:rFonts w:hint="eastAsia"/>
        </w:rPr>
        <w:t>GB/T 35273 信息安全技术  个人信息安全规范</w:t>
      </w:r>
    </w:p>
    <w:p w14:paraId="24BB2DB0">
      <w:pPr>
        <w:pStyle w:val="104"/>
        <w:spacing w:before="240" w:after="240" w:line="360" w:lineRule="auto"/>
      </w:pPr>
      <w:bookmarkStart w:id="48" w:name="_Toc97192966"/>
      <w:bookmarkStart w:id="49" w:name="_Toc217467360"/>
      <w:r>
        <w:rPr>
          <w:rFonts w:hint="eastAsia"/>
          <w:szCs w:val="21"/>
        </w:rPr>
        <w:t>术语和定义</w:t>
      </w:r>
      <w:bookmarkEnd w:id="48"/>
      <w:bookmarkEnd w:id="49"/>
    </w:p>
    <w:sdt>
      <w:sdtPr>
        <w:id w:val="-1909835108"/>
        <w:placeholder>
          <w:docPart w:val="4EDDD88E7485469AB9D97C1BDAB03DE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BD471B2">
          <w:pPr>
            <w:pStyle w:val="56"/>
            <w:spacing w:line="360" w:lineRule="auto"/>
            <w:ind w:firstLine="420"/>
          </w:pPr>
          <w:bookmarkStart w:id="50" w:name="_Toc26986532"/>
          <w:bookmarkEnd w:id="50"/>
          <w:r>
            <w:t>下列术语和定义适用于本文件。</w:t>
          </w:r>
        </w:p>
      </w:sdtContent>
    </w:sdt>
    <w:p w14:paraId="1FB0D4E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食品质量安全 food quality and safety</w:t>
      </w:r>
    </w:p>
    <w:p w14:paraId="77F2294E">
      <w:pPr>
        <w:pStyle w:val="56"/>
        <w:spacing w:line="360" w:lineRule="auto"/>
        <w:ind w:firstLine="420"/>
      </w:pPr>
      <w:r>
        <w:rPr>
          <w:rFonts w:hint="eastAsia"/>
        </w:rPr>
        <w:t>食品在生产经营全过程中符合相关法律法规、标准规范与质量安全要求的状态，重点关注微生物、化学污染物、农兽药残留、重金属、食品添加剂合规、异物风险、过敏原管理与标签合规等。</w:t>
      </w:r>
    </w:p>
    <w:p w14:paraId="553F995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全链条管控 full-chain control</w:t>
      </w:r>
    </w:p>
    <w:p w14:paraId="2744FC0A">
      <w:pPr>
        <w:pStyle w:val="56"/>
        <w:spacing w:line="360" w:lineRule="auto"/>
        <w:ind w:firstLine="420"/>
      </w:pPr>
      <w:r>
        <w:rPr>
          <w:rFonts w:hint="eastAsia"/>
        </w:rPr>
        <w:t>对食品从原料到消费全过程的关键环节实施风险识别、过程控制、检验验证、信息记录与异常处置的系统化管理活动。</w:t>
      </w:r>
    </w:p>
    <w:p w14:paraId="18077B7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关键控制点 critical control point</w:t>
      </w:r>
    </w:p>
    <w:p w14:paraId="5631969B">
      <w:pPr>
        <w:pStyle w:val="56"/>
        <w:spacing w:line="360" w:lineRule="auto"/>
        <w:ind w:firstLine="420"/>
      </w:pPr>
      <w:r>
        <w:rPr>
          <w:rFonts w:hint="eastAsia"/>
        </w:rPr>
        <w:t>对食品质量安全风险具有显著影响、需要设置控制措施并进行记录与验证的环节或节点。</w:t>
      </w:r>
    </w:p>
    <w:p w14:paraId="5EB3AD5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检验检测 inspection and testing</w:t>
      </w:r>
    </w:p>
    <w:p w14:paraId="045CB2C8">
      <w:pPr>
        <w:pStyle w:val="56"/>
        <w:spacing w:line="360" w:lineRule="auto"/>
        <w:ind w:firstLine="420"/>
      </w:pPr>
      <w:r>
        <w:rPr>
          <w:rFonts w:hint="eastAsia"/>
        </w:rPr>
        <w:t>按照规定的程序和方法，对食品、原辅料、过程样品、环境与接触材料等开展的检验或检测活动，用于判定其是否符合要求。</w:t>
      </w:r>
    </w:p>
    <w:p w14:paraId="7AB17A7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数字化管理 digital management</w:t>
      </w:r>
    </w:p>
    <w:p w14:paraId="7B8DEE07">
      <w:pPr>
        <w:pStyle w:val="56"/>
        <w:spacing w:line="360" w:lineRule="auto"/>
        <w:ind w:firstLine="420"/>
      </w:pPr>
      <w:r>
        <w:rPr>
          <w:rFonts w:hint="eastAsia"/>
        </w:rPr>
        <w:t>通过信息系统对业务流程、数据采集、证据留痕、统计分析、预警处置与协同联动进行支撑的管理方式。</w:t>
      </w:r>
    </w:p>
    <w:p w14:paraId="0909EF6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检验数据 digital test data</w:t>
      </w:r>
    </w:p>
    <w:p w14:paraId="5EBC52F7">
      <w:pPr>
        <w:pStyle w:val="56"/>
        <w:spacing w:line="360" w:lineRule="auto"/>
        <w:ind w:firstLine="420"/>
      </w:pPr>
      <w:r>
        <w:rPr>
          <w:rFonts w:hint="eastAsia"/>
        </w:rPr>
        <w:t>检验检测活动中形成的数据集合，包括样品信息、检测项目、方法依据、原始记录、结果数据、判定结论、报告信息与签发信息等。</w:t>
      </w:r>
    </w:p>
    <w:p w14:paraId="5E55A4F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数据真实性 data authenticity</w:t>
      </w:r>
    </w:p>
    <w:p w14:paraId="7CECECC4">
      <w:pPr>
        <w:pStyle w:val="56"/>
        <w:spacing w:line="360" w:lineRule="auto"/>
        <w:ind w:firstLine="420"/>
      </w:pPr>
      <w:r>
        <w:rPr>
          <w:rFonts w:hint="eastAsia"/>
        </w:rPr>
        <w:t>数据与实际业务活动一致的属性，包含真实发生、真实记录、真实关联与真实可证。</w:t>
      </w:r>
    </w:p>
    <w:p w14:paraId="7612CEB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数据完整性 data integrity</w:t>
      </w:r>
    </w:p>
    <w:p w14:paraId="57637BF5">
      <w:pPr>
        <w:pStyle w:val="56"/>
        <w:spacing w:line="360" w:lineRule="auto"/>
        <w:ind w:firstLine="420"/>
      </w:pPr>
      <w:r>
        <w:rPr>
          <w:rFonts w:hint="eastAsia"/>
        </w:rPr>
        <w:t>数据在采集、传输、存储与使用过程中保持未被未授权修改、未缺失且可校验的属性。</w:t>
      </w:r>
    </w:p>
    <w:p w14:paraId="6529CA5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批次 batch</w:t>
      </w:r>
    </w:p>
    <w:p w14:paraId="2F644602">
      <w:pPr>
        <w:pStyle w:val="56"/>
        <w:spacing w:line="360" w:lineRule="auto"/>
        <w:ind w:firstLine="420"/>
      </w:pPr>
      <w:r>
        <w:rPr>
          <w:rFonts w:hint="eastAsia"/>
        </w:rPr>
        <w:t>在相对一致条件下形成并以同一标识进行管理的一组产品或原料单元，作为管控、检验与追溯的基本单位。</w:t>
      </w:r>
    </w:p>
    <w:p w14:paraId="69AE9D6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追溯 traceability</w:t>
      </w:r>
    </w:p>
    <w:p w14:paraId="57139195">
      <w:pPr>
        <w:pStyle w:val="56"/>
        <w:spacing w:line="360" w:lineRule="auto"/>
        <w:ind w:firstLine="420"/>
      </w:pPr>
      <w:r>
        <w:rPr>
          <w:rFonts w:hint="eastAsia"/>
        </w:rPr>
        <w:t>通过记录与关联识别信息，实现对食品来源、去向及过程信息的跟踪与追踪能力。</w:t>
      </w:r>
    </w:p>
    <w:p w14:paraId="4222781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召回 recall</w:t>
      </w:r>
    </w:p>
    <w:p w14:paraId="327DE653">
      <w:pPr>
        <w:pStyle w:val="56"/>
        <w:spacing w:line="360" w:lineRule="auto"/>
        <w:ind w:firstLine="420"/>
      </w:pPr>
      <w:r>
        <w:rPr>
          <w:rFonts w:hint="eastAsia"/>
        </w:rPr>
        <w:t>当发现食品存在质量安全风险或不符合要求时，将相关产品从供应链各环节收回并进行处置的活动。</w:t>
      </w:r>
    </w:p>
    <w:p w14:paraId="4992561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不符合 nonconformity</w:t>
      </w:r>
    </w:p>
    <w:p w14:paraId="616AD049">
      <w:pPr>
        <w:pStyle w:val="56"/>
        <w:spacing w:line="360" w:lineRule="auto"/>
        <w:ind w:firstLine="420"/>
      </w:pPr>
      <w:r>
        <w:rPr>
          <w:rFonts w:hint="eastAsia"/>
        </w:rPr>
        <w:t>未满足规定要求的情形，可来源于过程控制偏差、检验结果不合格、标签不合规、环境与设备状态异常等。</w:t>
      </w:r>
    </w:p>
    <w:p w14:paraId="0F5A1685">
      <w:pPr>
        <w:pStyle w:val="104"/>
        <w:spacing w:before="240" w:after="240" w:line="360" w:lineRule="auto"/>
      </w:pPr>
      <w:bookmarkStart w:id="51" w:name="_Toc217467361"/>
      <w:r>
        <w:rPr>
          <w:rFonts w:hint="eastAsia"/>
        </w:rPr>
        <w:t>总体要求</w:t>
      </w:r>
      <w:bookmarkEnd w:id="51"/>
    </w:p>
    <w:p w14:paraId="06CE8311">
      <w:pPr>
        <w:pStyle w:val="105"/>
        <w:spacing w:before="120" w:after="120" w:line="360" w:lineRule="auto"/>
      </w:pPr>
      <w:r>
        <w:rPr>
          <w:rFonts w:hint="eastAsia"/>
        </w:rPr>
        <w:t>基本原则</w:t>
      </w:r>
    </w:p>
    <w:p w14:paraId="3F55B14C">
      <w:pPr>
        <w:pStyle w:val="56"/>
        <w:spacing w:line="360" w:lineRule="auto"/>
        <w:ind w:firstLine="420"/>
      </w:pPr>
      <w:r>
        <w:rPr>
          <w:rFonts w:hint="eastAsia"/>
        </w:rPr>
        <w:t>食品质量安全全链条管控与检验数字化管理应坚持风险导向、预防为主、全程可追溯、数据可用可证、分级分类管控与持续改进原则。应以关键控制点为核心，将控制措施、检验验证与数字化留痕嵌入业务流程，做到“可控、可查、可证、可追、可改”。</w:t>
      </w:r>
    </w:p>
    <w:p w14:paraId="17C71CC6">
      <w:pPr>
        <w:pStyle w:val="105"/>
        <w:spacing w:before="120" w:after="120" w:line="360" w:lineRule="auto"/>
      </w:pPr>
      <w:r>
        <w:rPr>
          <w:rFonts w:hint="eastAsia"/>
        </w:rPr>
        <w:t>组织体系与职责</w:t>
      </w:r>
    </w:p>
    <w:p w14:paraId="52E982F6">
      <w:pPr>
        <w:pStyle w:val="56"/>
        <w:spacing w:line="360" w:lineRule="auto"/>
        <w:ind w:firstLine="420"/>
      </w:pPr>
      <w:r>
        <w:rPr>
          <w:rFonts w:hint="eastAsia"/>
        </w:rPr>
        <w:t>实施主体应建立与业务规模与风险等级相匹配的组织体系，明确管理层、质量安全部门、生产/采购/仓储/物流/销售等业务部门、信息化部门及检验检测相关岗位的职责分工。对于存在多主体协作（供应商、代工厂、第三方仓配、平台商家、餐饮门店连锁等）的情形，应建立跨主体协同机制，明确数据共享边界、异常处置接口与责任划分，确保链条不断点、责任不空转。</w:t>
      </w:r>
    </w:p>
    <w:p w14:paraId="5A20AA1B">
      <w:pPr>
        <w:pStyle w:val="105"/>
        <w:spacing w:before="120" w:after="120" w:line="360" w:lineRule="auto"/>
      </w:pPr>
      <w:r>
        <w:rPr>
          <w:rFonts w:hint="eastAsia"/>
        </w:rPr>
        <w:t>全链条边界与覆盖范围</w:t>
      </w:r>
    </w:p>
    <w:p w14:paraId="2A5172C3">
      <w:pPr>
        <w:pStyle w:val="56"/>
        <w:spacing w:line="360" w:lineRule="auto"/>
        <w:ind w:firstLine="420"/>
      </w:pPr>
      <w:r>
        <w:rPr>
          <w:rFonts w:hint="eastAsia"/>
        </w:rPr>
        <w:t>实施主体应明确全链条覆盖范围，包括品类范围、组织范围、地域范围、渠道范围与合作方范围，并根据风险水平确定管控深度与粒度。对高风险品类、重点监管对象或高频投诉品类，应强化关键控制点设置与检验频次，并提高数字化留痕与验证强度。</w:t>
      </w:r>
    </w:p>
    <w:p w14:paraId="1E5AF1DD">
      <w:pPr>
        <w:pStyle w:val="105"/>
        <w:spacing w:before="120" w:after="120" w:line="360" w:lineRule="auto"/>
      </w:pPr>
      <w:r>
        <w:rPr>
          <w:rFonts w:hint="eastAsia"/>
        </w:rPr>
        <w:t>数字化系统总体能力</w:t>
      </w:r>
    </w:p>
    <w:p w14:paraId="442E4CD6">
      <w:pPr>
        <w:pStyle w:val="56"/>
        <w:spacing w:line="360" w:lineRule="auto"/>
        <w:ind w:firstLine="420"/>
      </w:pPr>
      <w:r>
        <w:rPr>
          <w:rFonts w:hint="eastAsia"/>
        </w:rPr>
        <w:t>数字化管理系统应支持：</w:t>
      </w:r>
    </w:p>
    <w:p w14:paraId="3F467C91">
      <w:pPr>
        <w:pStyle w:val="56"/>
        <w:spacing w:line="360" w:lineRule="auto"/>
        <w:ind w:firstLine="420"/>
      </w:pPr>
      <w:r>
        <w:rPr>
          <w:rFonts w:hint="eastAsia"/>
        </w:rPr>
        <w:t>a) 主体与资质建档、供应商与客户管理；</w:t>
      </w:r>
    </w:p>
    <w:p w14:paraId="0E25A3D1">
      <w:pPr>
        <w:pStyle w:val="56"/>
        <w:spacing w:line="360" w:lineRule="auto"/>
        <w:ind w:firstLine="420"/>
      </w:pPr>
      <w:r>
        <w:rPr>
          <w:rFonts w:hint="eastAsia"/>
        </w:rPr>
        <w:t>b) 批次管理、关键控制点数据采集与校验；</w:t>
      </w:r>
    </w:p>
    <w:p w14:paraId="550A33EF">
      <w:pPr>
        <w:pStyle w:val="56"/>
        <w:spacing w:line="360" w:lineRule="auto"/>
        <w:ind w:firstLine="420"/>
      </w:pPr>
      <w:r>
        <w:rPr>
          <w:rFonts w:hint="eastAsia"/>
        </w:rPr>
        <w:t>c) 检验计划管理、样品管理、检测过程与报告管理；</w:t>
      </w:r>
    </w:p>
    <w:p w14:paraId="03773BB5">
      <w:pPr>
        <w:pStyle w:val="56"/>
        <w:spacing w:line="360" w:lineRule="auto"/>
        <w:ind w:firstLine="420"/>
      </w:pPr>
      <w:r>
        <w:rPr>
          <w:rFonts w:hint="eastAsia"/>
        </w:rPr>
        <w:t>d) 不符合与事件管理、预警与闭环整改；</w:t>
      </w:r>
    </w:p>
    <w:p w14:paraId="103A471A">
      <w:pPr>
        <w:pStyle w:val="56"/>
        <w:spacing w:line="360" w:lineRule="auto"/>
        <w:ind w:firstLine="420"/>
      </w:pPr>
      <w:r>
        <w:rPr>
          <w:rFonts w:hint="eastAsia"/>
        </w:rPr>
        <w:t>e) 追溯查询与召回管理；</w:t>
      </w:r>
    </w:p>
    <w:p w14:paraId="26C67AB3">
      <w:pPr>
        <w:pStyle w:val="56"/>
        <w:spacing w:line="360" w:lineRule="auto"/>
        <w:ind w:firstLine="420"/>
      </w:pPr>
      <w:r>
        <w:rPr>
          <w:rFonts w:hint="eastAsia"/>
        </w:rPr>
        <w:t>f) 统计分析与对外协同接口；</w:t>
      </w:r>
    </w:p>
    <w:p w14:paraId="1259B74C">
      <w:pPr>
        <w:pStyle w:val="56"/>
        <w:spacing w:line="360" w:lineRule="auto"/>
        <w:ind w:firstLine="420"/>
      </w:pPr>
      <w:r>
        <w:rPr>
          <w:rFonts w:hint="eastAsia"/>
        </w:rPr>
        <w:t>g) 权限控制、日志审计、备份恢复与数据安全。</w:t>
      </w:r>
    </w:p>
    <w:p w14:paraId="340284F3">
      <w:pPr>
        <w:pStyle w:val="105"/>
        <w:spacing w:before="120" w:after="120" w:line="360" w:lineRule="auto"/>
      </w:pPr>
      <w:r>
        <w:rPr>
          <w:rFonts w:hint="eastAsia"/>
        </w:rPr>
        <w:t>数据标准化与一致性</w:t>
      </w:r>
    </w:p>
    <w:p w14:paraId="77F2DA49">
      <w:pPr>
        <w:pStyle w:val="56"/>
        <w:spacing w:line="360" w:lineRule="auto"/>
        <w:ind w:firstLine="420"/>
      </w:pPr>
      <w:r>
        <w:rPr>
          <w:rFonts w:hint="eastAsia"/>
        </w:rPr>
        <w:t>实施主体应建立数据字典与编码规则，统一批次规则、时间格式、计量单位、地点与主体标识等基础要素，确保跨部门、跨系统、跨主体的数据语义一致与可交换。对用于外部协同或监管报送的数据，应明确数据口径、字段必填规则与差错更正流程。</w:t>
      </w:r>
    </w:p>
    <w:p w14:paraId="13EFF648">
      <w:pPr>
        <w:pStyle w:val="104"/>
        <w:spacing w:before="240" w:after="240" w:line="360" w:lineRule="auto"/>
      </w:pPr>
      <w:bookmarkStart w:id="52" w:name="_Toc217467362"/>
      <w:r>
        <w:rPr>
          <w:rFonts w:hint="eastAsia"/>
        </w:rPr>
        <w:t>全链条管控与检验数字化管理</w:t>
      </w:r>
      <w:bookmarkEnd w:id="52"/>
    </w:p>
    <w:p w14:paraId="77C7EE96">
      <w:pPr>
        <w:pStyle w:val="105"/>
        <w:spacing w:before="120" w:after="120" w:line="360" w:lineRule="auto"/>
      </w:pPr>
      <w:r>
        <w:rPr>
          <w:rFonts w:hint="eastAsia"/>
        </w:rPr>
        <w:t>全链条关键控制点设置与管控要求</w:t>
      </w:r>
    </w:p>
    <w:p w14:paraId="1D67D869">
      <w:pPr>
        <w:pStyle w:val="65"/>
        <w:spacing w:before="120" w:after="120" w:line="360" w:lineRule="auto"/>
      </w:pPr>
      <w:r>
        <w:rPr>
          <w:rFonts w:hint="eastAsia"/>
        </w:rPr>
        <w:t>关键控制点设置方法</w:t>
      </w:r>
    </w:p>
    <w:p w14:paraId="17272299">
      <w:pPr>
        <w:pStyle w:val="56"/>
        <w:spacing w:line="360" w:lineRule="auto"/>
        <w:ind w:firstLine="420"/>
      </w:pPr>
      <w:r>
        <w:rPr>
          <w:rFonts w:hint="eastAsia"/>
        </w:rPr>
        <w:t>实施主体应基于风险分析设置关键控制点，关键控制点应覆盖原料与供应商准入、生产加工关键工序、环境与设备卫生、包装与标签、仓储与物流条件、销售与终端供给、投诉与召回处置等环节。关键控制点应明确控制目标、控制措施、监测方式、责任岗位、必采数据要素、证据类型与处置阈值，并形成文件化信息。</w:t>
      </w:r>
    </w:p>
    <w:p w14:paraId="33917F67">
      <w:pPr>
        <w:pStyle w:val="65"/>
        <w:spacing w:before="120" w:after="120" w:line="360" w:lineRule="auto"/>
      </w:pPr>
      <w:r>
        <w:rPr>
          <w:rFonts w:hint="eastAsia"/>
        </w:rPr>
        <w:t>全链条关键控制点与数据要素</w:t>
      </w:r>
    </w:p>
    <w:p w14:paraId="4F1C1E31">
      <w:pPr>
        <w:pStyle w:val="56"/>
        <w:spacing w:line="360" w:lineRule="auto"/>
        <w:ind w:firstLine="420"/>
      </w:pPr>
      <w:r>
        <w:rPr>
          <w:rFonts w:hint="eastAsia"/>
        </w:rPr>
        <w:t>为确保链条可控与可追溯，关键控制点宜与数字化数据要素一一对应，并支持跨环节关联。全链条关键控制点与数据要素建议见表1。</w:t>
      </w:r>
    </w:p>
    <w:p w14:paraId="601A9710">
      <w:pPr>
        <w:pStyle w:val="112"/>
        <w:spacing w:before="120" w:after="120" w:line="360" w:lineRule="auto"/>
      </w:pPr>
      <w:r>
        <w:rPr>
          <w:rFonts w:hint="eastAsia"/>
        </w:rPr>
        <w:t>全链条关键控制点与必采数据要素</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1985"/>
        <w:gridCol w:w="3749"/>
        <w:gridCol w:w="2334"/>
      </w:tblGrid>
      <w:tr w14:paraId="0BF060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vAlign w:val="center"/>
          </w:tcPr>
          <w:p w14:paraId="15C4C72A">
            <w:pPr>
              <w:pStyle w:val="178"/>
            </w:pPr>
            <w:r>
              <w:rPr>
                <w:rFonts w:hint="eastAsia"/>
              </w:rPr>
              <w:t>链条环节</w:t>
            </w:r>
          </w:p>
        </w:tc>
        <w:tc>
          <w:tcPr>
            <w:tcW w:w="1985" w:type="dxa"/>
            <w:tcBorders>
              <w:top w:val="single" w:color="auto" w:sz="8" w:space="0"/>
              <w:bottom w:val="single" w:color="auto" w:sz="8" w:space="0"/>
            </w:tcBorders>
            <w:vAlign w:val="center"/>
          </w:tcPr>
          <w:p w14:paraId="39194563">
            <w:pPr>
              <w:pStyle w:val="178"/>
            </w:pPr>
            <w:r>
              <w:rPr>
                <w:rFonts w:hint="eastAsia"/>
              </w:rPr>
              <w:t>关键控制点</w:t>
            </w:r>
          </w:p>
        </w:tc>
        <w:tc>
          <w:tcPr>
            <w:tcW w:w="3749" w:type="dxa"/>
            <w:tcBorders>
              <w:top w:val="single" w:color="auto" w:sz="8" w:space="0"/>
              <w:bottom w:val="single" w:color="auto" w:sz="8" w:space="0"/>
            </w:tcBorders>
            <w:vAlign w:val="center"/>
          </w:tcPr>
          <w:p w14:paraId="1987CA79">
            <w:pPr>
              <w:pStyle w:val="178"/>
            </w:pPr>
            <w:r>
              <w:rPr>
                <w:rFonts w:hint="eastAsia"/>
              </w:rPr>
              <w:t>必采数据要素（示例）</w:t>
            </w:r>
          </w:p>
        </w:tc>
        <w:tc>
          <w:tcPr>
            <w:tcW w:w="2334" w:type="dxa"/>
            <w:tcBorders>
              <w:top w:val="single" w:color="auto" w:sz="8" w:space="0"/>
              <w:bottom w:val="single" w:color="auto" w:sz="8" w:space="0"/>
            </w:tcBorders>
            <w:vAlign w:val="center"/>
          </w:tcPr>
          <w:p w14:paraId="096F3FD4">
            <w:pPr>
              <w:pStyle w:val="178"/>
            </w:pPr>
            <w:r>
              <w:rPr>
                <w:rFonts w:hint="eastAsia"/>
              </w:rPr>
              <w:t>主要证据形式</w:t>
            </w:r>
          </w:p>
        </w:tc>
      </w:tr>
      <w:tr w14:paraId="0E78B3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vAlign w:val="center"/>
          </w:tcPr>
          <w:p w14:paraId="1FB359C8">
            <w:pPr>
              <w:pStyle w:val="178"/>
            </w:pPr>
            <w:r>
              <w:rPr>
                <w:rFonts w:hint="eastAsia"/>
              </w:rPr>
              <w:t>原料采购</w:t>
            </w:r>
          </w:p>
        </w:tc>
        <w:tc>
          <w:tcPr>
            <w:tcW w:w="1985" w:type="dxa"/>
            <w:tcBorders>
              <w:top w:val="single" w:color="auto" w:sz="8" w:space="0"/>
            </w:tcBorders>
            <w:vAlign w:val="center"/>
          </w:tcPr>
          <w:p w14:paraId="3E881F7A">
            <w:pPr>
              <w:pStyle w:val="178"/>
            </w:pPr>
            <w:r>
              <w:rPr>
                <w:rFonts w:hint="eastAsia"/>
              </w:rPr>
              <w:t>供应商准入与批次验收</w:t>
            </w:r>
          </w:p>
        </w:tc>
        <w:tc>
          <w:tcPr>
            <w:tcW w:w="3749" w:type="dxa"/>
            <w:tcBorders>
              <w:top w:val="single" w:color="auto" w:sz="8" w:space="0"/>
            </w:tcBorders>
            <w:vAlign w:val="center"/>
          </w:tcPr>
          <w:p w14:paraId="072C72A6">
            <w:pPr>
              <w:pStyle w:val="178"/>
            </w:pPr>
            <w:r>
              <w:rPr>
                <w:rFonts w:hint="eastAsia"/>
              </w:rPr>
              <w:t>供应商资质、原料批次、合格证明、到货检验结果、验收人/时间</w:t>
            </w:r>
          </w:p>
        </w:tc>
        <w:tc>
          <w:tcPr>
            <w:tcW w:w="2334" w:type="dxa"/>
            <w:tcBorders>
              <w:top w:val="single" w:color="auto" w:sz="8" w:space="0"/>
            </w:tcBorders>
            <w:vAlign w:val="center"/>
          </w:tcPr>
          <w:p w14:paraId="4F37104A">
            <w:pPr>
              <w:pStyle w:val="178"/>
            </w:pPr>
            <w:r>
              <w:rPr>
                <w:rFonts w:hint="eastAsia"/>
              </w:rPr>
              <w:t>资质文件、验收记录、照片/票据</w:t>
            </w:r>
          </w:p>
        </w:tc>
      </w:tr>
      <w:tr w14:paraId="1051B6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4786A1E6">
            <w:pPr>
              <w:pStyle w:val="178"/>
            </w:pPr>
            <w:r>
              <w:rPr>
                <w:rFonts w:hint="eastAsia"/>
              </w:rPr>
              <w:t>生产加工</w:t>
            </w:r>
          </w:p>
        </w:tc>
        <w:tc>
          <w:tcPr>
            <w:tcW w:w="1985" w:type="dxa"/>
            <w:vAlign w:val="center"/>
          </w:tcPr>
          <w:p w14:paraId="12FDD298">
            <w:pPr>
              <w:pStyle w:val="178"/>
            </w:pPr>
            <w:r>
              <w:rPr>
                <w:rFonts w:hint="eastAsia"/>
              </w:rPr>
              <w:t>关键工序参数与交叉污染控制</w:t>
            </w:r>
          </w:p>
        </w:tc>
        <w:tc>
          <w:tcPr>
            <w:tcW w:w="3749" w:type="dxa"/>
            <w:vAlign w:val="center"/>
          </w:tcPr>
          <w:p w14:paraId="2E84C31F">
            <w:pPr>
              <w:pStyle w:val="178"/>
            </w:pPr>
            <w:r>
              <w:rPr>
                <w:rFonts w:hint="eastAsia"/>
              </w:rPr>
              <w:t>工序参数、温度/时间、清洗消毒记录、过敏原隔离、人员卫生</w:t>
            </w:r>
          </w:p>
        </w:tc>
        <w:tc>
          <w:tcPr>
            <w:tcW w:w="2334" w:type="dxa"/>
            <w:vAlign w:val="center"/>
          </w:tcPr>
          <w:p w14:paraId="363E550D">
            <w:pPr>
              <w:pStyle w:val="178"/>
            </w:pPr>
            <w:r>
              <w:rPr>
                <w:rFonts w:hint="eastAsia"/>
              </w:rPr>
              <w:t>设备日志、工艺记录、点检表</w:t>
            </w:r>
          </w:p>
        </w:tc>
      </w:tr>
      <w:tr w14:paraId="563E0E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29E38ED2">
            <w:pPr>
              <w:pStyle w:val="178"/>
            </w:pPr>
            <w:r>
              <w:rPr>
                <w:rFonts w:hint="eastAsia"/>
              </w:rPr>
              <w:t>过程检验</w:t>
            </w:r>
          </w:p>
        </w:tc>
        <w:tc>
          <w:tcPr>
            <w:tcW w:w="1985" w:type="dxa"/>
            <w:vAlign w:val="center"/>
          </w:tcPr>
          <w:p w14:paraId="19EAD746">
            <w:pPr>
              <w:pStyle w:val="178"/>
            </w:pPr>
            <w:r>
              <w:rPr>
                <w:rFonts w:hint="eastAsia"/>
              </w:rPr>
              <w:t>过程样品与放行依据</w:t>
            </w:r>
          </w:p>
        </w:tc>
        <w:tc>
          <w:tcPr>
            <w:tcW w:w="3749" w:type="dxa"/>
            <w:vAlign w:val="center"/>
          </w:tcPr>
          <w:p w14:paraId="615148C2">
            <w:pPr>
              <w:pStyle w:val="178"/>
            </w:pPr>
            <w:r>
              <w:rPr>
                <w:rFonts w:hint="eastAsia"/>
              </w:rPr>
              <w:t>样品编号、项目/方法、结果/判定、放行人/时间</w:t>
            </w:r>
          </w:p>
        </w:tc>
        <w:tc>
          <w:tcPr>
            <w:tcW w:w="2334" w:type="dxa"/>
            <w:vAlign w:val="center"/>
          </w:tcPr>
          <w:p w14:paraId="06611A63">
            <w:pPr>
              <w:pStyle w:val="178"/>
            </w:pPr>
            <w:r>
              <w:rPr>
                <w:rFonts w:hint="eastAsia"/>
              </w:rPr>
              <w:t>原始记录、电子报告、签发信息</w:t>
            </w:r>
          </w:p>
        </w:tc>
      </w:tr>
      <w:tr w14:paraId="3775A0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25C3CE9E">
            <w:pPr>
              <w:pStyle w:val="178"/>
            </w:pPr>
            <w:r>
              <w:rPr>
                <w:rFonts w:hint="eastAsia"/>
              </w:rPr>
              <w:t>包装标签</w:t>
            </w:r>
          </w:p>
        </w:tc>
        <w:tc>
          <w:tcPr>
            <w:tcW w:w="1985" w:type="dxa"/>
            <w:vAlign w:val="center"/>
          </w:tcPr>
          <w:p w14:paraId="63DA499B">
            <w:pPr>
              <w:pStyle w:val="178"/>
            </w:pPr>
            <w:r>
              <w:rPr>
                <w:rFonts w:hint="eastAsia"/>
              </w:rPr>
              <w:t>标签合规与赋码</w:t>
            </w:r>
          </w:p>
        </w:tc>
        <w:tc>
          <w:tcPr>
            <w:tcW w:w="3749" w:type="dxa"/>
            <w:vAlign w:val="center"/>
          </w:tcPr>
          <w:p w14:paraId="4846A0B7">
            <w:pPr>
              <w:pStyle w:val="178"/>
            </w:pPr>
            <w:r>
              <w:rPr>
                <w:rFonts w:hint="eastAsia"/>
              </w:rPr>
              <w:t>标签版本、批次码、过敏原标识、保质期、赋码记录</w:t>
            </w:r>
          </w:p>
        </w:tc>
        <w:tc>
          <w:tcPr>
            <w:tcW w:w="2334" w:type="dxa"/>
            <w:vAlign w:val="center"/>
          </w:tcPr>
          <w:p w14:paraId="58906B6A">
            <w:pPr>
              <w:pStyle w:val="178"/>
            </w:pPr>
            <w:r>
              <w:rPr>
                <w:rFonts w:hint="eastAsia"/>
              </w:rPr>
              <w:t>标签样张、系统日志、抽检记录</w:t>
            </w:r>
          </w:p>
        </w:tc>
      </w:tr>
      <w:tr w14:paraId="572F90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36A18DD3">
            <w:pPr>
              <w:pStyle w:val="178"/>
            </w:pPr>
            <w:r>
              <w:rPr>
                <w:rFonts w:hint="eastAsia"/>
              </w:rPr>
              <w:t>仓储物流</w:t>
            </w:r>
          </w:p>
        </w:tc>
        <w:tc>
          <w:tcPr>
            <w:tcW w:w="1985" w:type="dxa"/>
            <w:vAlign w:val="center"/>
          </w:tcPr>
          <w:p w14:paraId="6ECA98FD">
            <w:pPr>
              <w:pStyle w:val="178"/>
            </w:pPr>
            <w:r>
              <w:rPr>
                <w:rFonts w:hint="eastAsia"/>
              </w:rPr>
              <w:t>温控与先进先出</w:t>
            </w:r>
          </w:p>
        </w:tc>
        <w:tc>
          <w:tcPr>
            <w:tcW w:w="3749" w:type="dxa"/>
            <w:vAlign w:val="center"/>
          </w:tcPr>
          <w:p w14:paraId="6D5C0ABB">
            <w:pPr>
              <w:pStyle w:val="178"/>
            </w:pPr>
            <w:r>
              <w:rPr>
                <w:rFonts w:hint="eastAsia"/>
              </w:rPr>
              <w:t>库位、温湿度曲线、出入库时间、承运主体、交接记录</w:t>
            </w:r>
          </w:p>
        </w:tc>
        <w:tc>
          <w:tcPr>
            <w:tcW w:w="2334" w:type="dxa"/>
            <w:vAlign w:val="center"/>
          </w:tcPr>
          <w:p w14:paraId="7F14ACA1">
            <w:pPr>
              <w:pStyle w:val="178"/>
            </w:pPr>
            <w:r>
              <w:rPr>
                <w:rFonts w:hint="eastAsia"/>
              </w:rPr>
              <w:t>温控曲线、交接单、异常处置单</w:t>
            </w:r>
          </w:p>
        </w:tc>
      </w:tr>
      <w:tr w14:paraId="438707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56CF18BD">
            <w:pPr>
              <w:pStyle w:val="178"/>
            </w:pPr>
            <w:r>
              <w:rPr>
                <w:rFonts w:hint="eastAsia"/>
              </w:rPr>
              <w:t>渠道销售</w:t>
            </w:r>
          </w:p>
        </w:tc>
        <w:tc>
          <w:tcPr>
            <w:tcW w:w="1985" w:type="dxa"/>
            <w:vAlign w:val="center"/>
          </w:tcPr>
          <w:p w14:paraId="61F4F236">
            <w:pPr>
              <w:pStyle w:val="178"/>
            </w:pPr>
            <w:r>
              <w:rPr>
                <w:rFonts w:hint="eastAsia"/>
              </w:rPr>
              <w:t>流向与终端合规</w:t>
            </w:r>
          </w:p>
        </w:tc>
        <w:tc>
          <w:tcPr>
            <w:tcW w:w="3749" w:type="dxa"/>
            <w:vAlign w:val="center"/>
          </w:tcPr>
          <w:p w14:paraId="0CFCDC82">
            <w:pPr>
              <w:pStyle w:val="178"/>
            </w:pPr>
            <w:r>
              <w:rPr>
                <w:rFonts w:hint="eastAsia"/>
              </w:rPr>
              <w:t>渠道信息、订单/门店、销售批次、退货原因</w:t>
            </w:r>
          </w:p>
        </w:tc>
        <w:tc>
          <w:tcPr>
            <w:tcW w:w="2334" w:type="dxa"/>
            <w:vAlign w:val="center"/>
          </w:tcPr>
          <w:p w14:paraId="5BA4275D">
            <w:pPr>
              <w:pStyle w:val="178"/>
            </w:pPr>
            <w:r>
              <w:rPr>
                <w:rFonts w:hint="eastAsia"/>
              </w:rPr>
              <w:t>订单记录、退货单、抽查记录</w:t>
            </w:r>
          </w:p>
        </w:tc>
      </w:tr>
      <w:tr w14:paraId="04C2BD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2E2C4FBA">
            <w:pPr>
              <w:pStyle w:val="178"/>
            </w:pPr>
            <w:r>
              <w:rPr>
                <w:rFonts w:hint="eastAsia"/>
              </w:rPr>
              <w:t>投诉召回</w:t>
            </w:r>
          </w:p>
        </w:tc>
        <w:tc>
          <w:tcPr>
            <w:tcW w:w="1985" w:type="dxa"/>
            <w:vAlign w:val="center"/>
          </w:tcPr>
          <w:p w14:paraId="74FB5361">
            <w:pPr>
              <w:pStyle w:val="178"/>
            </w:pPr>
            <w:r>
              <w:rPr>
                <w:rFonts w:hint="eastAsia"/>
              </w:rPr>
              <w:t>风险研判与召回闭环</w:t>
            </w:r>
          </w:p>
        </w:tc>
        <w:tc>
          <w:tcPr>
            <w:tcW w:w="3749" w:type="dxa"/>
            <w:vAlign w:val="center"/>
          </w:tcPr>
          <w:p w14:paraId="68BAB502">
            <w:pPr>
              <w:pStyle w:val="178"/>
            </w:pPr>
            <w:r>
              <w:rPr>
                <w:rFonts w:hint="eastAsia"/>
              </w:rPr>
              <w:t>投诉信息、涉事批次、处置措施、召回数量、复盘结论</w:t>
            </w:r>
          </w:p>
        </w:tc>
        <w:tc>
          <w:tcPr>
            <w:tcW w:w="2334" w:type="dxa"/>
            <w:vAlign w:val="center"/>
          </w:tcPr>
          <w:p w14:paraId="5DBF08D5">
            <w:pPr>
              <w:pStyle w:val="178"/>
            </w:pPr>
            <w:r>
              <w:rPr>
                <w:rFonts w:hint="eastAsia"/>
              </w:rPr>
              <w:t>事件单、召回清单、复盘报告</w:t>
            </w:r>
          </w:p>
        </w:tc>
      </w:tr>
    </w:tbl>
    <w:p w14:paraId="34566518">
      <w:pPr>
        <w:pStyle w:val="65"/>
        <w:spacing w:before="120" w:after="120" w:line="360" w:lineRule="auto"/>
      </w:pPr>
      <w:r>
        <w:rPr>
          <w:rFonts w:hint="eastAsia"/>
        </w:rPr>
        <w:t>控制措施嵌入与闭环</w:t>
      </w:r>
    </w:p>
    <w:p w14:paraId="19269C63">
      <w:pPr>
        <w:pStyle w:val="56"/>
        <w:spacing w:line="360" w:lineRule="auto"/>
        <w:ind w:firstLine="420"/>
      </w:pPr>
      <w:r>
        <w:rPr>
          <w:rFonts w:hint="eastAsia"/>
        </w:rPr>
        <w:t>实施主体应将关键控制点控制措施嵌入业务流程，形成“采集—校验—监测—处置—验证—复盘”的闭环。对关键控制点偏差，应明确处置阈值与升级路径，防止偏差扩散。对同类偏差重复发生的，应开展原因分析并实施系统性纠正与预防措施。</w:t>
      </w:r>
    </w:p>
    <w:p w14:paraId="7AEB1088">
      <w:pPr>
        <w:pStyle w:val="105"/>
        <w:spacing w:before="120" w:after="120" w:line="360" w:lineRule="auto"/>
      </w:pPr>
      <w:r>
        <w:rPr>
          <w:rFonts w:hint="eastAsia"/>
        </w:rPr>
        <w:t>检验计划与样品管理数字化要求</w:t>
      </w:r>
    </w:p>
    <w:p w14:paraId="3101E9EE">
      <w:pPr>
        <w:pStyle w:val="65"/>
        <w:spacing w:before="120" w:after="120" w:line="360" w:lineRule="auto"/>
      </w:pPr>
      <w:r>
        <w:rPr>
          <w:rFonts w:hint="eastAsia"/>
        </w:rPr>
        <w:t>检验计划管理</w:t>
      </w:r>
    </w:p>
    <w:p w14:paraId="6562F3DB">
      <w:pPr>
        <w:pStyle w:val="56"/>
        <w:spacing w:line="360" w:lineRule="auto"/>
        <w:ind w:firstLine="420"/>
      </w:pPr>
      <w:r>
        <w:rPr>
          <w:rFonts w:hint="eastAsia"/>
        </w:rPr>
        <w:t>实施主体应建立基于风险的检验计划管理机制，明确检验对象（原料、过程样品、成品、环境、接触材料等）、检验项目、频次、抽样方法、判定规则、责任部门与报告输出要求。检验计划应支持版本管理与动态调整：当发生配方变更、工艺变更、供应商变更、季节性风险变化、投诉集中或监管抽检风险上升时，应启动计划调整并形成记录。</w:t>
      </w:r>
    </w:p>
    <w:p w14:paraId="3A3521CF">
      <w:pPr>
        <w:pStyle w:val="65"/>
        <w:spacing w:before="120" w:after="120" w:line="360" w:lineRule="auto"/>
      </w:pPr>
      <w:r>
        <w:rPr>
          <w:rFonts w:hint="eastAsia"/>
        </w:rPr>
        <w:t>抽样与样品流转管理</w:t>
      </w:r>
    </w:p>
    <w:p w14:paraId="09153E58">
      <w:pPr>
        <w:pStyle w:val="56"/>
        <w:spacing w:line="360" w:lineRule="auto"/>
        <w:ind w:firstLine="420"/>
      </w:pPr>
      <w:r>
        <w:rPr>
          <w:rFonts w:hint="eastAsia"/>
        </w:rPr>
        <w:t>数字化系统应支持样品全生命周期管理，包括样品编号、抽样地点与时间、抽样人、封样信息、运输与保存条件、交接记录、留样信息与销毁记录等。样品编号应与批次、检验计划、检测项目与报告编号关联，确保从报告可回溯到样品与抽样证据。</w:t>
      </w:r>
    </w:p>
    <w:p w14:paraId="5CCAD62C">
      <w:pPr>
        <w:pStyle w:val="65"/>
        <w:spacing w:before="120" w:after="120" w:line="360" w:lineRule="auto"/>
      </w:pPr>
      <w:r>
        <w:rPr>
          <w:rFonts w:hint="eastAsia"/>
        </w:rPr>
        <w:t>检验项目与频次建议</w:t>
      </w:r>
    </w:p>
    <w:p w14:paraId="1B5EEB03">
      <w:pPr>
        <w:pStyle w:val="56"/>
        <w:spacing w:line="360" w:lineRule="auto"/>
        <w:ind w:firstLine="420"/>
      </w:pPr>
      <w:r>
        <w:rPr>
          <w:rFonts w:hint="eastAsia"/>
        </w:rPr>
        <w:t>为便于不同主体按风险选择检验配置，检验项目与频次可按品类风险、工艺风险与历史表现进行组合设置。检验项目与频次建议见表2。</w:t>
      </w:r>
    </w:p>
    <w:p w14:paraId="7722176D">
      <w:pPr>
        <w:pStyle w:val="112"/>
        <w:spacing w:before="120" w:after="120" w:line="360" w:lineRule="auto"/>
      </w:pPr>
      <w:r>
        <w:rPr>
          <w:rFonts w:hint="eastAsia"/>
        </w:rPr>
        <w:t>检验项目与频次建议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0"/>
        <w:gridCol w:w="2976"/>
        <w:gridCol w:w="2694"/>
        <w:gridCol w:w="2114"/>
      </w:tblGrid>
      <w:tr w14:paraId="413FB9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0" w:type="dxa"/>
            <w:tcBorders>
              <w:top w:val="single" w:color="auto" w:sz="8" w:space="0"/>
              <w:bottom w:val="single" w:color="auto" w:sz="8" w:space="0"/>
            </w:tcBorders>
            <w:vAlign w:val="center"/>
          </w:tcPr>
          <w:p w14:paraId="61DB549E">
            <w:pPr>
              <w:pStyle w:val="178"/>
            </w:pPr>
            <w:r>
              <w:rPr>
                <w:rFonts w:hint="eastAsia"/>
              </w:rPr>
              <w:t>检验对象</w:t>
            </w:r>
          </w:p>
        </w:tc>
        <w:tc>
          <w:tcPr>
            <w:tcW w:w="2976" w:type="dxa"/>
            <w:tcBorders>
              <w:top w:val="single" w:color="auto" w:sz="8" w:space="0"/>
              <w:bottom w:val="single" w:color="auto" w:sz="8" w:space="0"/>
            </w:tcBorders>
            <w:vAlign w:val="center"/>
          </w:tcPr>
          <w:p w14:paraId="364A1069">
            <w:pPr>
              <w:pStyle w:val="178"/>
            </w:pPr>
            <w:r>
              <w:rPr>
                <w:rFonts w:hint="eastAsia"/>
              </w:rPr>
              <w:t>建议检验项目类别</w:t>
            </w:r>
          </w:p>
        </w:tc>
        <w:tc>
          <w:tcPr>
            <w:tcW w:w="2694" w:type="dxa"/>
            <w:tcBorders>
              <w:top w:val="single" w:color="auto" w:sz="8" w:space="0"/>
              <w:bottom w:val="single" w:color="auto" w:sz="8" w:space="0"/>
            </w:tcBorders>
            <w:vAlign w:val="center"/>
          </w:tcPr>
          <w:p w14:paraId="52644BE8">
            <w:pPr>
              <w:pStyle w:val="178"/>
            </w:pPr>
            <w:r>
              <w:rPr>
                <w:rFonts w:hint="eastAsia"/>
              </w:rPr>
              <w:t>建议频次（参考）</w:t>
            </w:r>
          </w:p>
        </w:tc>
        <w:tc>
          <w:tcPr>
            <w:tcW w:w="2114" w:type="dxa"/>
            <w:tcBorders>
              <w:top w:val="single" w:color="auto" w:sz="8" w:space="0"/>
              <w:bottom w:val="single" w:color="auto" w:sz="8" w:space="0"/>
            </w:tcBorders>
            <w:vAlign w:val="center"/>
          </w:tcPr>
          <w:p w14:paraId="6CC0F339">
            <w:pPr>
              <w:pStyle w:val="178"/>
            </w:pPr>
            <w:r>
              <w:rPr>
                <w:rFonts w:hint="eastAsia"/>
              </w:rPr>
              <w:t>备注</w:t>
            </w:r>
          </w:p>
        </w:tc>
      </w:tr>
      <w:tr w14:paraId="6EF715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Borders>
              <w:top w:val="single" w:color="auto" w:sz="8" w:space="0"/>
            </w:tcBorders>
            <w:vAlign w:val="center"/>
          </w:tcPr>
          <w:p w14:paraId="44C71309">
            <w:pPr>
              <w:pStyle w:val="178"/>
            </w:pPr>
            <w:r>
              <w:rPr>
                <w:rFonts w:hint="eastAsia"/>
              </w:rPr>
              <w:t>原辅料</w:t>
            </w:r>
          </w:p>
        </w:tc>
        <w:tc>
          <w:tcPr>
            <w:tcW w:w="2976" w:type="dxa"/>
            <w:tcBorders>
              <w:top w:val="single" w:color="auto" w:sz="8" w:space="0"/>
            </w:tcBorders>
            <w:vAlign w:val="center"/>
          </w:tcPr>
          <w:p w14:paraId="243210E5">
            <w:pPr>
              <w:pStyle w:val="178"/>
            </w:pPr>
            <w:r>
              <w:rPr>
                <w:rFonts w:hint="eastAsia"/>
              </w:rPr>
              <w:t>关键风险指标、供应商一致性指标</w:t>
            </w:r>
          </w:p>
        </w:tc>
        <w:tc>
          <w:tcPr>
            <w:tcW w:w="2694" w:type="dxa"/>
            <w:tcBorders>
              <w:top w:val="single" w:color="auto" w:sz="8" w:space="0"/>
            </w:tcBorders>
            <w:vAlign w:val="center"/>
          </w:tcPr>
          <w:p w14:paraId="2FBEE5C1">
            <w:pPr>
              <w:pStyle w:val="178"/>
            </w:pPr>
            <w:r>
              <w:rPr>
                <w:rFonts w:hint="eastAsia"/>
              </w:rPr>
              <w:t>高风险原料批批；一般原料按周期抽检</w:t>
            </w:r>
          </w:p>
        </w:tc>
        <w:tc>
          <w:tcPr>
            <w:tcW w:w="2114" w:type="dxa"/>
            <w:tcBorders>
              <w:top w:val="single" w:color="auto" w:sz="8" w:space="0"/>
            </w:tcBorders>
            <w:vAlign w:val="center"/>
          </w:tcPr>
          <w:p w14:paraId="4980D84E">
            <w:pPr>
              <w:pStyle w:val="178"/>
            </w:pPr>
            <w:r>
              <w:rPr>
                <w:rFonts w:hint="eastAsia"/>
              </w:rPr>
              <w:t>结合供应商评级动态调整</w:t>
            </w:r>
          </w:p>
        </w:tc>
      </w:tr>
      <w:tr w14:paraId="3AAE66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17F5692C">
            <w:pPr>
              <w:pStyle w:val="178"/>
            </w:pPr>
            <w:r>
              <w:rPr>
                <w:rFonts w:hint="eastAsia"/>
              </w:rPr>
              <w:t>过程样品</w:t>
            </w:r>
          </w:p>
        </w:tc>
        <w:tc>
          <w:tcPr>
            <w:tcW w:w="2976" w:type="dxa"/>
            <w:vAlign w:val="center"/>
          </w:tcPr>
          <w:p w14:paraId="3CD08B6F">
            <w:pPr>
              <w:pStyle w:val="178"/>
            </w:pPr>
            <w:r>
              <w:rPr>
                <w:rFonts w:hint="eastAsia"/>
              </w:rPr>
              <w:t>工艺控制相关指标、关键限值指标</w:t>
            </w:r>
          </w:p>
        </w:tc>
        <w:tc>
          <w:tcPr>
            <w:tcW w:w="2694" w:type="dxa"/>
            <w:vAlign w:val="center"/>
          </w:tcPr>
          <w:p w14:paraId="278201FC">
            <w:pPr>
              <w:pStyle w:val="178"/>
            </w:pPr>
            <w:r>
              <w:rPr>
                <w:rFonts w:hint="eastAsia"/>
              </w:rPr>
              <w:t>关键工序每班/每批；必要时在线监测</w:t>
            </w:r>
          </w:p>
        </w:tc>
        <w:tc>
          <w:tcPr>
            <w:tcW w:w="2114" w:type="dxa"/>
            <w:vAlign w:val="center"/>
          </w:tcPr>
          <w:p w14:paraId="4192E029">
            <w:pPr>
              <w:pStyle w:val="178"/>
            </w:pPr>
            <w:r>
              <w:rPr>
                <w:rFonts w:hint="eastAsia"/>
              </w:rPr>
              <w:t>与放行机制联动</w:t>
            </w:r>
          </w:p>
        </w:tc>
      </w:tr>
      <w:tr w14:paraId="31B115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4FAE75DF">
            <w:pPr>
              <w:pStyle w:val="178"/>
            </w:pPr>
            <w:r>
              <w:rPr>
                <w:rFonts w:hint="eastAsia"/>
              </w:rPr>
              <w:t>成品放行</w:t>
            </w:r>
          </w:p>
        </w:tc>
        <w:tc>
          <w:tcPr>
            <w:tcW w:w="2976" w:type="dxa"/>
            <w:vAlign w:val="center"/>
          </w:tcPr>
          <w:p w14:paraId="72ECD090">
            <w:pPr>
              <w:pStyle w:val="178"/>
            </w:pPr>
            <w:r>
              <w:rPr>
                <w:rFonts w:hint="eastAsia"/>
              </w:rPr>
              <w:t>安全指标、标签要素核查、关键理化指标</w:t>
            </w:r>
          </w:p>
        </w:tc>
        <w:tc>
          <w:tcPr>
            <w:tcW w:w="2694" w:type="dxa"/>
            <w:vAlign w:val="center"/>
          </w:tcPr>
          <w:p w14:paraId="020A1B61">
            <w:pPr>
              <w:pStyle w:val="178"/>
            </w:pPr>
            <w:r>
              <w:rPr>
                <w:rFonts w:hint="eastAsia"/>
              </w:rPr>
              <w:t>批批放行或按风险抽检</w:t>
            </w:r>
          </w:p>
        </w:tc>
        <w:tc>
          <w:tcPr>
            <w:tcW w:w="2114" w:type="dxa"/>
            <w:vAlign w:val="center"/>
          </w:tcPr>
          <w:p w14:paraId="58C8FD7A">
            <w:pPr>
              <w:pStyle w:val="178"/>
            </w:pPr>
            <w:r>
              <w:rPr>
                <w:rFonts w:hint="eastAsia"/>
              </w:rPr>
              <w:t>放行依据须留痕</w:t>
            </w:r>
          </w:p>
        </w:tc>
      </w:tr>
      <w:tr w14:paraId="22D1CF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719B5A55">
            <w:pPr>
              <w:pStyle w:val="178"/>
            </w:pPr>
            <w:r>
              <w:rPr>
                <w:rFonts w:hint="eastAsia"/>
              </w:rPr>
              <w:t>环境与设备</w:t>
            </w:r>
          </w:p>
        </w:tc>
        <w:tc>
          <w:tcPr>
            <w:tcW w:w="2976" w:type="dxa"/>
            <w:vAlign w:val="center"/>
          </w:tcPr>
          <w:p w14:paraId="6FE55FF1">
            <w:pPr>
              <w:pStyle w:val="178"/>
            </w:pPr>
            <w:r>
              <w:rPr>
                <w:rFonts w:hint="eastAsia"/>
              </w:rPr>
              <w:t>微生物与卫生指标、清洁验证</w:t>
            </w:r>
          </w:p>
        </w:tc>
        <w:tc>
          <w:tcPr>
            <w:tcW w:w="2694" w:type="dxa"/>
            <w:vAlign w:val="center"/>
          </w:tcPr>
          <w:p w14:paraId="4D9EA480">
            <w:pPr>
              <w:pStyle w:val="178"/>
            </w:pPr>
            <w:r>
              <w:rPr>
                <w:rFonts w:hint="eastAsia"/>
              </w:rPr>
              <w:t>按区间分级频次（高风险区更高）</w:t>
            </w:r>
          </w:p>
        </w:tc>
        <w:tc>
          <w:tcPr>
            <w:tcW w:w="2114" w:type="dxa"/>
            <w:vAlign w:val="center"/>
          </w:tcPr>
          <w:p w14:paraId="5A199764">
            <w:pPr>
              <w:pStyle w:val="178"/>
            </w:pPr>
            <w:r>
              <w:rPr>
                <w:rFonts w:hint="eastAsia"/>
              </w:rPr>
              <w:t>适用时进行趋势分析</w:t>
            </w:r>
          </w:p>
        </w:tc>
      </w:tr>
      <w:tr w14:paraId="193372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661E3B66">
            <w:pPr>
              <w:pStyle w:val="178"/>
            </w:pPr>
            <w:r>
              <w:rPr>
                <w:rFonts w:hint="eastAsia"/>
              </w:rPr>
              <w:t>包装接触材料</w:t>
            </w:r>
          </w:p>
        </w:tc>
        <w:tc>
          <w:tcPr>
            <w:tcW w:w="2976" w:type="dxa"/>
            <w:vAlign w:val="center"/>
          </w:tcPr>
          <w:p w14:paraId="30D993EB">
            <w:pPr>
              <w:pStyle w:val="178"/>
            </w:pPr>
            <w:r>
              <w:rPr>
                <w:rFonts w:hint="eastAsia"/>
              </w:rPr>
              <w:t>迁移风险或合规性指标</w:t>
            </w:r>
          </w:p>
        </w:tc>
        <w:tc>
          <w:tcPr>
            <w:tcW w:w="2694" w:type="dxa"/>
            <w:vAlign w:val="center"/>
          </w:tcPr>
          <w:p w14:paraId="260C6C60">
            <w:pPr>
              <w:pStyle w:val="178"/>
            </w:pPr>
            <w:r>
              <w:rPr>
                <w:rFonts w:hint="eastAsia"/>
              </w:rPr>
              <w:t>供应商变更/批次抽检</w:t>
            </w:r>
          </w:p>
        </w:tc>
        <w:tc>
          <w:tcPr>
            <w:tcW w:w="2114" w:type="dxa"/>
            <w:vAlign w:val="center"/>
          </w:tcPr>
          <w:p w14:paraId="45A655B9">
            <w:pPr>
              <w:pStyle w:val="178"/>
            </w:pPr>
            <w:r>
              <w:rPr>
                <w:rFonts w:hint="eastAsia"/>
              </w:rPr>
              <w:t>与进货验收联动</w:t>
            </w:r>
          </w:p>
        </w:tc>
      </w:tr>
    </w:tbl>
    <w:p w14:paraId="77E1ACE5">
      <w:pPr>
        <w:pStyle w:val="105"/>
        <w:spacing w:before="120" w:after="120" w:line="360" w:lineRule="auto"/>
      </w:pPr>
      <w:r>
        <w:rPr>
          <w:rFonts w:hint="eastAsia"/>
        </w:rPr>
        <w:t>检验检测过程与报告数字化管理要求</w:t>
      </w:r>
    </w:p>
    <w:p w14:paraId="4D27A895">
      <w:pPr>
        <w:pStyle w:val="65"/>
        <w:spacing w:before="120" w:after="120" w:line="360" w:lineRule="auto"/>
      </w:pPr>
      <w:r>
        <w:rPr>
          <w:rFonts w:hint="eastAsia"/>
        </w:rPr>
        <w:t>检测过程留痕与可追溯</w:t>
      </w:r>
    </w:p>
    <w:p w14:paraId="63BDF229">
      <w:pPr>
        <w:pStyle w:val="56"/>
        <w:spacing w:line="360" w:lineRule="auto"/>
        <w:ind w:firstLine="420"/>
      </w:pPr>
      <w:r>
        <w:rPr>
          <w:rFonts w:hint="eastAsia"/>
        </w:rPr>
        <w:t>系统应支持检测过程的可追溯管理，至少包括方法依据、仪器设备信息、校准状态、试剂耗材批号、环境条件、原始记录、复核记录与偏差处理记录。对关键检测数据应保留原始数据或原始文件索引，确保可复核、可审计。</w:t>
      </w:r>
    </w:p>
    <w:p w14:paraId="5D98BA12">
      <w:pPr>
        <w:pStyle w:val="65"/>
        <w:spacing w:before="120" w:after="120" w:line="360" w:lineRule="auto"/>
      </w:pPr>
      <w:r>
        <w:rPr>
          <w:rFonts w:hint="eastAsia"/>
        </w:rPr>
        <w:t>报告签发与验真</w:t>
      </w:r>
    </w:p>
    <w:p w14:paraId="436079ED">
      <w:pPr>
        <w:pStyle w:val="56"/>
        <w:spacing w:line="360" w:lineRule="auto"/>
        <w:ind w:firstLine="420"/>
      </w:pPr>
      <w:r>
        <w:rPr>
          <w:rFonts w:hint="eastAsia"/>
        </w:rPr>
        <w:t>系统应支持检验报告电子化管理，包含报告编号、样品信息、检测项目、结果数据、判定结论、签发人、签发时间与版本信息。报告签发应与授权体系绑定，支持复核与会签机制。对对外出具报告或用于放行的关键报告，应具备验真能力，确保报告未被篡改且来源可信。</w:t>
      </w:r>
    </w:p>
    <w:p w14:paraId="11B88672">
      <w:pPr>
        <w:pStyle w:val="65"/>
        <w:spacing w:before="120" w:after="120" w:line="360" w:lineRule="auto"/>
      </w:pPr>
      <w:r>
        <w:rPr>
          <w:rFonts w:hint="eastAsia"/>
        </w:rPr>
        <w:t>不合格与复检机制</w:t>
      </w:r>
    </w:p>
    <w:p w14:paraId="03626DC2">
      <w:pPr>
        <w:pStyle w:val="56"/>
        <w:spacing w:line="360" w:lineRule="auto"/>
        <w:ind w:firstLine="420"/>
      </w:pPr>
      <w:r>
        <w:rPr>
          <w:rFonts w:hint="eastAsia"/>
        </w:rPr>
        <w:t>当检验结果不合格或临界异常时，应启动不合格处置流程，至少包括隔离与暂停放行、复检或复核、原因分析、纠正措施、影响范围评估与记录留存。复检规则应事先定义，包括复检条件、复检方法一致性要求、复检样品来源与判定原则，避免随意复检导致结论失真。</w:t>
      </w:r>
    </w:p>
    <w:p w14:paraId="76446EEA">
      <w:pPr>
        <w:pStyle w:val="105"/>
        <w:spacing w:before="120" w:after="120" w:line="360" w:lineRule="auto"/>
      </w:pPr>
      <w:r>
        <w:rPr>
          <w:rFonts w:hint="eastAsia"/>
        </w:rPr>
        <w:t>风险预警、不符合与事件处置数字化要求</w:t>
      </w:r>
    </w:p>
    <w:p w14:paraId="51541436">
      <w:pPr>
        <w:pStyle w:val="65"/>
        <w:spacing w:before="120" w:after="120" w:line="360" w:lineRule="auto"/>
      </w:pPr>
      <w:r>
        <w:rPr>
          <w:rFonts w:hint="eastAsia"/>
        </w:rPr>
        <w:t>预警规则与阈值</w:t>
      </w:r>
    </w:p>
    <w:p w14:paraId="668FA373">
      <w:pPr>
        <w:pStyle w:val="56"/>
        <w:spacing w:line="360" w:lineRule="auto"/>
        <w:ind w:firstLine="420"/>
      </w:pPr>
      <w:r>
        <w:rPr>
          <w:rFonts w:hint="eastAsia"/>
        </w:rPr>
        <w:t>实施主体应建立风险预警规则库，将关键控制点偏差、检验异常、温控异常、供应商异常、投诉集中、退货异常、监管通报等信号纳入预警触发条件，并设置分级阈值与升级路径。预警应可定位到批次、环节与责任岗位，并要求在规定时限内处置与反馈。</w:t>
      </w:r>
    </w:p>
    <w:p w14:paraId="2044A1E9">
      <w:pPr>
        <w:pStyle w:val="65"/>
        <w:spacing w:before="120" w:after="120" w:line="360" w:lineRule="auto"/>
      </w:pPr>
      <w:r>
        <w:rPr>
          <w:rFonts w:hint="eastAsia"/>
        </w:rPr>
        <w:t>不符合管理与闭环验证</w:t>
      </w:r>
    </w:p>
    <w:p w14:paraId="2F7CA44F">
      <w:pPr>
        <w:pStyle w:val="56"/>
        <w:spacing w:line="360" w:lineRule="auto"/>
        <w:ind w:firstLine="420"/>
      </w:pPr>
      <w:r>
        <w:rPr>
          <w:rFonts w:hint="eastAsia"/>
        </w:rPr>
        <w:t>系统应支持不符合登记、分级、派单、整改、验证与关闭的闭环管理。不符合记录应关联到对应批次、样品、报告、工序、设备或供应商，并保留整改前后证据。对重复性不符合应具备自动识别能力，提示开展系统性原因分析与流程优化。</w:t>
      </w:r>
    </w:p>
    <w:p w14:paraId="47806FED">
      <w:pPr>
        <w:pStyle w:val="65"/>
        <w:spacing w:before="120" w:after="120" w:line="360" w:lineRule="auto"/>
      </w:pPr>
      <w:r>
        <w:rPr>
          <w:rFonts w:hint="eastAsia"/>
        </w:rPr>
        <w:t>召回与对外协同</w:t>
      </w:r>
    </w:p>
    <w:p w14:paraId="6F01C860">
      <w:pPr>
        <w:pStyle w:val="56"/>
        <w:spacing w:line="360" w:lineRule="auto"/>
        <w:ind w:firstLine="420"/>
      </w:pPr>
      <w:r>
        <w:rPr>
          <w:rFonts w:hint="eastAsia"/>
        </w:rPr>
        <w:t>当确认存在食品安全风险或不符合要求且可能进入市场时，应启动召回管理流程。系统应支持召回批次定位、流向追踪、召回通知、回收统计、处置记录与效果评估，并支持与渠道商、平台与仓配服务方的协同接口。召回结束后应形成复盘报告，推动关键控制点与检验计划调整。</w:t>
      </w:r>
    </w:p>
    <w:p w14:paraId="7581C4B3">
      <w:pPr>
        <w:pStyle w:val="105"/>
        <w:spacing w:before="120" w:after="120" w:line="360" w:lineRule="auto"/>
      </w:pPr>
      <w:r>
        <w:rPr>
          <w:rFonts w:hint="eastAsia"/>
        </w:rPr>
        <w:t>数据质量控制、可信保障与安全要求</w:t>
      </w:r>
    </w:p>
    <w:p w14:paraId="35109808">
      <w:pPr>
        <w:pStyle w:val="65"/>
        <w:spacing w:before="120" w:after="120" w:line="360" w:lineRule="auto"/>
      </w:pPr>
      <w:r>
        <w:rPr>
          <w:rFonts w:hint="eastAsia"/>
        </w:rPr>
        <w:t>数据质量规则与校验</w:t>
      </w:r>
    </w:p>
    <w:p w14:paraId="5651104F">
      <w:pPr>
        <w:pStyle w:val="56"/>
        <w:spacing w:line="360" w:lineRule="auto"/>
        <w:ind w:firstLine="420"/>
      </w:pPr>
      <w:r>
        <w:rPr>
          <w:rFonts w:hint="eastAsia"/>
        </w:rPr>
        <w:t>系统应建立数据质量规则，覆盖必填校验、格式校验、范围校验、逻辑一致性校验、关联完整性校验与重复缺失校验等，并形成自动提示与纠错机制。数据质量规则建议见表3。</w:t>
      </w:r>
    </w:p>
    <w:p w14:paraId="7A1EB1EC">
      <w:pPr>
        <w:pStyle w:val="112"/>
        <w:spacing w:before="120" w:after="120" w:line="360" w:lineRule="auto"/>
      </w:pPr>
      <w:r>
        <w:rPr>
          <w:rFonts w:hint="eastAsia"/>
        </w:rPr>
        <w:t>数据质量规则与校验要点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1843"/>
        <w:gridCol w:w="4252"/>
        <w:gridCol w:w="1973"/>
      </w:tblGrid>
      <w:tr w14:paraId="2BA2AF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vAlign w:val="center"/>
          </w:tcPr>
          <w:p w14:paraId="7478B5A4">
            <w:pPr>
              <w:pStyle w:val="178"/>
            </w:pPr>
            <w:r>
              <w:rPr>
                <w:rFonts w:hint="eastAsia"/>
              </w:rPr>
              <w:t>规则类别</w:t>
            </w:r>
          </w:p>
        </w:tc>
        <w:tc>
          <w:tcPr>
            <w:tcW w:w="1843" w:type="dxa"/>
            <w:tcBorders>
              <w:top w:val="single" w:color="auto" w:sz="8" w:space="0"/>
              <w:bottom w:val="single" w:color="auto" w:sz="8" w:space="0"/>
            </w:tcBorders>
            <w:vAlign w:val="center"/>
          </w:tcPr>
          <w:p w14:paraId="55DD3DDA">
            <w:pPr>
              <w:pStyle w:val="178"/>
            </w:pPr>
            <w:r>
              <w:rPr>
                <w:rFonts w:hint="eastAsia"/>
              </w:rPr>
              <w:t>校验对象</w:t>
            </w:r>
          </w:p>
        </w:tc>
        <w:tc>
          <w:tcPr>
            <w:tcW w:w="4252" w:type="dxa"/>
            <w:tcBorders>
              <w:top w:val="single" w:color="auto" w:sz="8" w:space="0"/>
              <w:bottom w:val="single" w:color="auto" w:sz="8" w:space="0"/>
            </w:tcBorders>
            <w:vAlign w:val="center"/>
          </w:tcPr>
          <w:p w14:paraId="239AB5FB">
            <w:pPr>
              <w:pStyle w:val="178"/>
            </w:pPr>
            <w:r>
              <w:rPr>
                <w:rFonts w:hint="eastAsia"/>
              </w:rPr>
              <w:t>校验要点</w:t>
            </w:r>
          </w:p>
        </w:tc>
        <w:tc>
          <w:tcPr>
            <w:tcW w:w="1973" w:type="dxa"/>
            <w:tcBorders>
              <w:top w:val="single" w:color="auto" w:sz="8" w:space="0"/>
              <w:bottom w:val="single" w:color="auto" w:sz="8" w:space="0"/>
            </w:tcBorders>
            <w:vAlign w:val="center"/>
          </w:tcPr>
          <w:p w14:paraId="0144133D">
            <w:pPr>
              <w:pStyle w:val="178"/>
            </w:pPr>
            <w:r>
              <w:rPr>
                <w:rFonts w:hint="eastAsia"/>
              </w:rPr>
              <w:t>处置要求</w:t>
            </w:r>
          </w:p>
        </w:tc>
      </w:tr>
      <w:tr w14:paraId="45937C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vAlign w:val="center"/>
          </w:tcPr>
          <w:p w14:paraId="1B2DDF46">
            <w:pPr>
              <w:pStyle w:val="178"/>
            </w:pPr>
            <w:r>
              <w:rPr>
                <w:rFonts w:hint="eastAsia"/>
              </w:rPr>
              <w:t>必填与格式</w:t>
            </w:r>
          </w:p>
        </w:tc>
        <w:tc>
          <w:tcPr>
            <w:tcW w:w="1843" w:type="dxa"/>
            <w:tcBorders>
              <w:top w:val="single" w:color="auto" w:sz="8" w:space="0"/>
            </w:tcBorders>
            <w:vAlign w:val="center"/>
          </w:tcPr>
          <w:p w14:paraId="49DB3BA9">
            <w:pPr>
              <w:pStyle w:val="178"/>
            </w:pPr>
            <w:r>
              <w:rPr>
                <w:rFonts w:hint="eastAsia"/>
              </w:rPr>
              <w:t>批次、样品、报告字段</w:t>
            </w:r>
          </w:p>
        </w:tc>
        <w:tc>
          <w:tcPr>
            <w:tcW w:w="4252" w:type="dxa"/>
            <w:tcBorders>
              <w:top w:val="single" w:color="auto" w:sz="8" w:space="0"/>
            </w:tcBorders>
            <w:vAlign w:val="center"/>
          </w:tcPr>
          <w:p w14:paraId="7A8C9F91">
            <w:pPr>
              <w:pStyle w:val="178"/>
            </w:pPr>
            <w:r>
              <w:rPr>
                <w:rFonts w:hint="eastAsia"/>
              </w:rPr>
              <w:t>必填项不得为空；日期时间格式统一；单位一致</w:t>
            </w:r>
          </w:p>
        </w:tc>
        <w:tc>
          <w:tcPr>
            <w:tcW w:w="1973" w:type="dxa"/>
            <w:tcBorders>
              <w:top w:val="single" w:color="auto" w:sz="8" w:space="0"/>
            </w:tcBorders>
            <w:vAlign w:val="center"/>
          </w:tcPr>
          <w:p w14:paraId="7FD265AC">
            <w:pPr>
              <w:pStyle w:val="178"/>
            </w:pPr>
            <w:r>
              <w:rPr>
                <w:rFonts w:hint="eastAsia"/>
              </w:rPr>
              <w:t>阻断提交或提示补正</w:t>
            </w:r>
          </w:p>
        </w:tc>
      </w:tr>
      <w:tr w14:paraId="1B0268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460FE4ED">
            <w:pPr>
              <w:pStyle w:val="178"/>
            </w:pPr>
            <w:r>
              <w:rPr>
                <w:rFonts w:hint="eastAsia"/>
              </w:rPr>
              <w:t>逻辑一致性</w:t>
            </w:r>
          </w:p>
        </w:tc>
        <w:tc>
          <w:tcPr>
            <w:tcW w:w="1843" w:type="dxa"/>
            <w:vAlign w:val="center"/>
          </w:tcPr>
          <w:p w14:paraId="6ACE275F">
            <w:pPr>
              <w:pStyle w:val="178"/>
            </w:pPr>
            <w:r>
              <w:rPr>
                <w:rFonts w:hint="eastAsia"/>
              </w:rPr>
              <w:t>放行与检验结论</w:t>
            </w:r>
          </w:p>
        </w:tc>
        <w:tc>
          <w:tcPr>
            <w:tcW w:w="4252" w:type="dxa"/>
            <w:vAlign w:val="center"/>
          </w:tcPr>
          <w:p w14:paraId="01C94819">
            <w:pPr>
              <w:pStyle w:val="178"/>
            </w:pPr>
            <w:r>
              <w:rPr>
                <w:rFonts w:hint="eastAsia"/>
              </w:rPr>
              <w:t>未放行不得出库；不合格不得放行；复检规则一致</w:t>
            </w:r>
          </w:p>
        </w:tc>
        <w:tc>
          <w:tcPr>
            <w:tcW w:w="1973" w:type="dxa"/>
            <w:vAlign w:val="center"/>
          </w:tcPr>
          <w:p w14:paraId="21DF9FCE">
            <w:pPr>
              <w:pStyle w:val="178"/>
            </w:pPr>
            <w:r>
              <w:rPr>
                <w:rFonts w:hint="eastAsia"/>
              </w:rPr>
              <w:t>自动拦截并触发审批</w:t>
            </w:r>
          </w:p>
        </w:tc>
      </w:tr>
      <w:tr w14:paraId="031721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46728580">
            <w:pPr>
              <w:pStyle w:val="178"/>
            </w:pPr>
            <w:r>
              <w:rPr>
                <w:rFonts w:hint="eastAsia"/>
              </w:rPr>
              <w:t>关联完整性</w:t>
            </w:r>
          </w:p>
        </w:tc>
        <w:tc>
          <w:tcPr>
            <w:tcW w:w="1843" w:type="dxa"/>
            <w:vAlign w:val="center"/>
          </w:tcPr>
          <w:p w14:paraId="32785EE3">
            <w:pPr>
              <w:pStyle w:val="178"/>
            </w:pPr>
            <w:r>
              <w:rPr>
                <w:rFonts w:hint="eastAsia"/>
              </w:rPr>
              <w:t>样品—报告—批次</w:t>
            </w:r>
          </w:p>
        </w:tc>
        <w:tc>
          <w:tcPr>
            <w:tcW w:w="4252" w:type="dxa"/>
            <w:vAlign w:val="center"/>
          </w:tcPr>
          <w:p w14:paraId="4EDCE6B5">
            <w:pPr>
              <w:pStyle w:val="178"/>
            </w:pPr>
            <w:r>
              <w:rPr>
                <w:rFonts w:hint="eastAsia"/>
              </w:rPr>
              <w:t>报告必须关联样品；样品必须关联批次与抽样证据</w:t>
            </w:r>
          </w:p>
        </w:tc>
        <w:tc>
          <w:tcPr>
            <w:tcW w:w="1973" w:type="dxa"/>
            <w:vAlign w:val="center"/>
          </w:tcPr>
          <w:p w14:paraId="0B8B8918">
            <w:pPr>
              <w:pStyle w:val="178"/>
            </w:pPr>
            <w:r>
              <w:rPr>
                <w:rFonts w:hint="eastAsia"/>
              </w:rPr>
              <w:t>缺失则不得签发</w:t>
            </w:r>
          </w:p>
        </w:tc>
      </w:tr>
      <w:tr w14:paraId="18A6C5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29658108">
            <w:pPr>
              <w:pStyle w:val="178"/>
            </w:pPr>
            <w:r>
              <w:rPr>
                <w:rFonts w:hint="eastAsia"/>
              </w:rPr>
              <w:t>异常阈值</w:t>
            </w:r>
          </w:p>
        </w:tc>
        <w:tc>
          <w:tcPr>
            <w:tcW w:w="1843" w:type="dxa"/>
            <w:vAlign w:val="center"/>
          </w:tcPr>
          <w:p w14:paraId="3613E5A1">
            <w:pPr>
              <w:pStyle w:val="178"/>
            </w:pPr>
            <w:r>
              <w:rPr>
                <w:rFonts w:hint="eastAsia"/>
              </w:rPr>
              <w:t>温控曲线、指标结果</w:t>
            </w:r>
          </w:p>
        </w:tc>
        <w:tc>
          <w:tcPr>
            <w:tcW w:w="4252" w:type="dxa"/>
            <w:vAlign w:val="center"/>
          </w:tcPr>
          <w:p w14:paraId="345D142D">
            <w:pPr>
              <w:pStyle w:val="178"/>
            </w:pPr>
            <w:r>
              <w:rPr>
                <w:rFonts w:hint="eastAsia"/>
              </w:rPr>
              <w:t>超阈值自动告警；支持趋势异常识别</w:t>
            </w:r>
          </w:p>
        </w:tc>
        <w:tc>
          <w:tcPr>
            <w:tcW w:w="1973" w:type="dxa"/>
            <w:vAlign w:val="center"/>
          </w:tcPr>
          <w:p w14:paraId="71DBCF25">
            <w:pPr>
              <w:pStyle w:val="178"/>
            </w:pPr>
            <w:r>
              <w:rPr>
                <w:rFonts w:hint="eastAsia"/>
              </w:rPr>
              <w:t>生成预警工单闭环</w:t>
            </w:r>
          </w:p>
        </w:tc>
      </w:tr>
      <w:tr w14:paraId="6A07E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50F7E596">
            <w:pPr>
              <w:pStyle w:val="178"/>
            </w:pPr>
            <w:r>
              <w:rPr>
                <w:rFonts w:hint="eastAsia"/>
              </w:rPr>
              <w:t>版本与变更</w:t>
            </w:r>
          </w:p>
        </w:tc>
        <w:tc>
          <w:tcPr>
            <w:tcW w:w="1843" w:type="dxa"/>
            <w:vAlign w:val="center"/>
          </w:tcPr>
          <w:p w14:paraId="512F8541">
            <w:pPr>
              <w:pStyle w:val="178"/>
            </w:pPr>
            <w:r>
              <w:rPr>
                <w:rFonts w:hint="eastAsia"/>
              </w:rPr>
              <w:t>标签版本、配方工艺</w:t>
            </w:r>
          </w:p>
        </w:tc>
        <w:tc>
          <w:tcPr>
            <w:tcW w:w="4252" w:type="dxa"/>
            <w:vAlign w:val="center"/>
          </w:tcPr>
          <w:p w14:paraId="2717FFAF">
            <w:pPr>
              <w:pStyle w:val="178"/>
            </w:pPr>
            <w:r>
              <w:rPr>
                <w:rFonts w:hint="eastAsia"/>
              </w:rPr>
              <w:t>变更需审批；历史版本可追溯</w:t>
            </w:r>
          </w:p>
        </w:tc>
        <w:tc>
          <w:tcPr>
            <w:tcW w:w="1973" w:type="dxa"/>
            <w:vAlign w:val="center"/>
          </w:tcPr>
          <w:p w14:paraId="5EB893B8">
            <w:pPr>
              <w:pStyle w:val="178"/>
            </w:pPr>
            <w:r>
              <w:rPr>
                <w:rFonts w:hint="eastAsia"/>
              </w:rPr>
              <w:t>留痕并通知相关方</w:t>
            </w:r>
          </w:p>
        </w:tc>
      </w:tr>
    </w:tbl>
    <w:p w14:paraId="2D9A89B1">
      <w:pPr>
        <w:pStyle w:val="65"/>
        <w:spacing w:before="120" w:after="120" w:line="360" w:lineRule="auto"/>
      </w:pPr>
      <w:r>
        <w:rPr>
          <w:rFonts w:hint="eastAsia"/>
        </w:rPr>
        <w:t>真实性与防篡改</w:t>
      </w:r>
    </w:p>
    <w:p w14:paraId="6AED00D6">
      <w:pPr>
        <w:pStyle w:val="56"/>
        <w:spacing w:line="360" w:lineRule="auto"/>
        <w:ind w:firstLine="420"/>
      </w:pPr>
      <w:r>
        <w:rPr>
          <w:rFonts w:hint="eastAsia"/>
        </w:rPr>
        <w:t>实施主体应通过权限控制、操作留痕、审批复核与证据绑定保障数据真实性。对关键数据修改应记录修改人、修改时间、修改原因与修改前后值，并支持审计追踪。对检验报告、放行记录与召回记录等关键数据应建立更高强度的受控机制，确保不可抵赖与可追溯。</w:t>
      </w:r>
    </w:p>
    <w:p w14:paraId="172E4E0B">
      <w:pPr>
        <w:pStyle w:val="65"/>
        <w:spacing w:before="120" w:after="120" w:line="360" w:lineRule="auto"/>
      </w:pPr>
      <w:r>
        <w:rPr>
          <w:rFonts w:hint="eastAsia"/>
        </w:rPr>
        <w:t>数据安全与权限管理</w:t>
      </w:r>
    </w:p>
    <w:p w14:paraId="0CC78FB4">
      <w:pPr>
        <w:pStyle w:val="56"/>
        <w:spacing w:line="360" w:lineRule="auto"/>
        <w:ind w:firstLine="420"/>
      </w:pPr>
      <w:r>
        <w:rPr>
          <w:rFonts w:hint="eastAsia"/>
        </w:rPr>
        <w:t>系统应实施分级分类保护与最小权限原则，区分录入、审核、查询、导出、配置与管理权限。对涉及个人信息、商业秘密与敏感经营数据的，应采取脱敏展示、受控导出、接口鉴权与传输加密等措施，并建立安全审计与应急处置机制。系统应具备备份恢复能力并定期验证有效性，确保业务连续性。</w:t>
      </w:r>
    </w:p>
    <w:p w14:paraId="5DC0D4D8">
      <w:pPr>
        <w:pStyle w:val="104"/>
        <w:spacing w:before="240" w:after="240" w:line="360" w:lineRule="auto"/>
      </w:pPr>
      <w:bookmarkStart w:id="53" w:name="_Toc217467363"/>
      <w:r>
        <w:rPr>
          <w:rFonts w:hint="eastAsia"/>
        </w:rPr>
        <w:t>平台互联互通与数据交换</w:t>
      </w:r>
      <w:bookmarkEnd w:id="53"/>
    </w:p>
    <w:p w14:paraId="29117D60">
      <w:pPr>
        <w:pStyle w:val="105"/>
        <w:spacing w:before="120" w:after="120" w:line="360" w:lineRule="auto"/>
      </w:pPr>
      <w:r>
        <w:rPr>
          <w:rFonts w:hint="eastAsia"/>
        </w:rPr>
        <w:t>总体要求</w:t>
      </w:r>
    </w:p>
    <w:p w14:paraId="685E21A5">
      <w:pPr>
        <w:pStyle w:val="165"/>
        <w:spacing w:line="360" w:lineRule="auto"/>
      </w:pPr>
      <w:r>
        <w:rPr>
          <w:rFonts w:hint="eastAsia"/>
        </w:rPr>
        <w:t>全链条管控与检验数字化管理应支持跨组织、跨系统、跨场景的数据协同与业务联动。实施主体应根据供应链协作模式与监管要求，建立互联互通策略，明确对接对象、数据共享范围、数据口径、接口协议、鉴权方式、交换频率、异常处置与责任边界，确保数据“可交换、可理解、可追溯、可审计”。</w:t>
      </w:r>
    </w:p>
    <w:p w14:paraId="1CEAA32E">
      <w:pPr>
        <w:pStyle w:val="165"/>
        <w:spacing w:line="360" w:lineRule="auto"/>
      </w:pPr>
      <w:r>
        <w:rPr>
          <w:rFonts w:hint="eastAsia"/>
        </w:rPr>
        <w:t>互联互通应遵循最小必要原则，面向不同对象采用分级共享策略：对监管平台侧应满足规定报送与协同处置要求；对上下游协作侧应满足批次流转、检验结果与风险提示的必要共享；对消费者或公众侧应严格控制公开范围，避免泄露商业秘密与个人信息。</w:t>
      </w:r>
    </w:p>
    <w:p w14:paraId="69B443AC">
      <w:pPr>
        <w:pStyle w:val="105"/>
        <w:spacing w:before="120" w:after="120" w:line="360" w:lineRule="auto"/>
      </w:pPr>
      <w:r>
        <w:rPr>
          <w:rFonts w:hint="eastAsia"/>
        </w:rPr>
        <w:t>对接对象与协同场景</w:t>
      </w:r>
    </w:p>
    <w:p w14:paraId="2ED62884">
      <w:pPr>
        <w:pStyle w:val="56"/>
        <w:spacing w:line="360" w:lineRule="auto"/>
        <w:ind w:firstLine="420"/>
      </w:pPr>
      <w:r>
        <w:rPr>
          <w:rFonts w:hint="eastAsia"/>
        </w:rPr>
        <w:t>系统对接对象宜包括但不限于：</w:t>
      </w:r>
    </w:p>
    <w:p w14:paraId="68DD2D29">
      <w:pPr>
        <w:pStyle w:val="56"/>
        <w:spacing w:line="360" w:lineRule="auto"/>
        <w:ind w:firstLine="420"/>
      </w:pPr>
      <w:r>
        <w:rPr>
          <w:rFonts w:hint="eastAsia"/>
        </w:rPr>
        <w:t>a) 监管或公共服务平台，用于数据报送、抽检协同、风险通报与召回联动；</w:t>
      </w:r>
    </w:p>
    <w:p w14:paraId="081A7C9A">
      <w:pPr>
        <w:pStyle w:val="56"/>
        <w:spacing w:line="360" w:lineRule="auto"/>
        <w:ind w:firstLine="420"/>
      </w:pPr>
      <w:r>
        <w:rPr>
          <w:rFonts w:hint="eastAsia"/>
        </w:rPr>
        <w:t>b) 上游供应商系统，用于资质核验、原料批次与合格证明传递、质量异常协同；</w:t>
      </w:r>
    </w:p>
    <w:p w14:paraId="7B2AD956">
      <w:pPr>
        <w:pStyle w:val="56"/>
        <w:spacing w:line="360" w:lineRule="auto"/>
        <w:ind w:firstLine="420"/>
      </w:pPr>
      <w:r>
        <w:rPr>
          <w:rFonts w:hint="eastAsia"/>
        </w:rPr>
        <w:t>c) 生产制造系统，用于批次管理、工序记录、仓储物流与放行联动；</w:t>
      </w:r>
    </w:p>
    <w:p w14:paraId="35E0BDB1">
      <w:pPr>
        <w:pStyle w:val="56"/>
        <w:spacing w:line="360" w:lineRule="auto"/>
        <w:ind w:firstLine="420"/>
      </w:pPr>
      <w:r>
        <w:rPr>
          <w:rFonts w:hint="eastAsia"/>
        </w:rPr>
        <w:t>d) 第三方检验检测机构系统，用于委托检验、样品流转、报告交付与验真；</w:t>
      </w:r>
    </w:p>
    <w:p w14:paraId="09D9F61D">
      <w:pPr>
        <w:pStyle w:val="56"/>
        <w:spacing w:line="360" w:lineRule="auto"/>
        <w:ind w:firstLine="420"/>
      </w:pPr>
      <w:r>
        <w:rPr>
          <w:rFonts w:hint="eastAsia"/>
        </w:rPr>
        <w:t>e) 仓配与冷链系统，用于温控数据、交接记录与异常事件联动；</w:t>
      </w:r>
    </w:p>
    <w:p w14:paraId="09C35C9A">
      <w:pPr>
        <w:pStyle w:val="56"/>
        <w:spacing w:line="360" w:lineRule="auto"/>
        <w:ind w:firstLine="420"/>
      </w:pPr>
      <w:r>
        <w:rPr>
          <w:rFonts w:hint="eastAsia"/>
        </w:rPr>
        <w:t>f) 电商平台、连锁门店或渠道系统，用于流向追踪、下架处置与召回触达；</w:t>
      </w:r>
    </w:p>
    <w:p w14:paraId="456AF69E">
      <w:pPr>
        <w:pStyle w:val="56"/>
        <w:spacing w:line="360" w:lineRule="auto"/>
        <w:ind w:firstLine="420"/>
      </w:pPr>
      <w:r>
        <w:rPr>
          <w:rFonts w:hint="eastAsia"/>
        </w:rPr>
        <w:t>g) 客诉与工单系统，用于投诉事件、证据留存与闭环管理。</w:t>
      </w:r>
    </w:p>
    <w:p w14:paraId="6506F1F4">
      <w:pPr>
        <w:pStyle w:val="56"/>
        <w:spacing w:line="360" w:lineRule="auto"/>
        <w:ind w:firstLine="420"/>
      </w:pPr>
      <w:r>
        <w:rPr>
          <w:rFonts w:hint="eastAsia"/>
        </w:rPr>
        <w:t>系统应对不同协同场景制定数据交互与处置规则，避免出现“仅交换结果不交换依据”或“仅有信息流无处置闭环”的情况。</w:t>
      </w:r>
    </w:p>
    <w:p w14:paraId="147C6C5B">
      <w:pPr>
        <w:pStyle w:val="105"/>
        <w:spacing w:before="120" w:after="120" w:line="360" w:lineRule="auto"/>
      </w:pPr>
      <w:r>
        <w:rPr>
          <w:rFonts w:hint="eastAsia"/>
        </w:rPr>
        <w:t>数据标准与语义一致性要求</w:t>
      </w:r>
    </w:p>
    <w:p w14:paraId="7538E36A">
      <w:pPr>
        <w:pStyle w:val="165"/>
        <w:spacing w:line="360" w:lineRule="auto"/>
      </w:pPr>
      <w:r>
        <w:rPr>
          <w:rFonts w:hint="eastAsia"/>
        </w:rPr>
        <w:t>系统应建立统一的数据标准体系，至少包括数据字典、编码规则、字段口径说明、单位与时间格式规则、批次划分规则、检验项目与方法标识规则等。对外交换数据应保证语义一致性，至少满足以下要求：</w:t>
      </w:r>
    </w:p>
    <w:p w14:paraId="22794A80">
      <w:pPr>
        <w:pStyle w:val="56"/>
        <w:spacing w:line="360" w:lineRule="auto"/>
        <w:ind w:firstLine="420"/>
      </w:pPr>
      <w:r>
        <w:rPr>
          <w:rFonts w:hint="eastAsia"/>
        </w:rPr>
        <w:t>a) 同一对象（主体、产品、批次、样品、报告、事件）在不同系统间可唯一映射；</w:t>
      </w:r>
    </w:p>
    <w:p w14:paraId="222BE70B">
      <w:pPr>
        <w:pStyle w:val="56"/>
        <w:spacing w:line="360" w:lineRule="auto"/>
        <w:ind w:firstLine="420"/>
      </w:pPr>
      <w:r>
        <w:rPr>
          <w:rFonts w:hint="eastAsia"/>
        </w:rPr>
        <w:t>b) 同一字段在不同系统间含义一致、取值范围一致、单位一致；</w:t>
      </w:r>
    </w:p>
    <w:p w14:paraId="094B62F9">
      <w:pPr>
        <w:pStyle w:val="56"/>
        <w:spacing w:line="360" w:lineRule="auto"/>
        <w:ind w:firstLine="420"/>
      </w:pPr>
      <w:r>
        <w:rPr>
          <w:rFonts w:hint="eastAsia"/>
        </w:rPr>
        <w:t>c) 关键结论数据具备必要的上下文要素，能够解释其产生依据与适用范围；</w:t>
      </w:r>
    </w:p>
    <w:p w14:paraId="64EB8085">
      <w:pPr>
        <w:pStyle w:val="56"/>
        <w:spacing w:line="360" w:lineRule="auto"/>
        <w:ind w:firstLine="420"/>
      </w:pPr>
      <w:r>
        <w:rPr>
          <w:rFonts w:hint="eastAsia"/>
        </w:rPr>
        <w:t>d) 数据版本可识别，可区分历史版本与现行版本，避免使用过期口径造成误判。</w:t>
      </w:r>
    </w:p>
    <w:p w14:paraId="73BBB705">
      <w:pPr>
        <w:pStyle w:val="165"/>
        <w:spacing w:line="360" w:lineRule="auto"/>
      </w:pPr>
      <w:r>
        <w:rPr>
          <w:rFonts w:hint="eastAsia"/>
        </w:rPr>
        <w:t>当无法实现字段一一对应时，应建立映射规则与转换逻辑，并保留映射表、变更记录与校验机制。</w:t>
      </w:r>
    </w:p>
    <w:p w14:paraId="1C2873D2">
      <w:pPr>
        <w:pStyle w:val="105"/>
        <w:spacing w:before="120" w:after="120" w:line="360" w:lineRule="auto"/>
      </w:pPr>
      <w:r>
        <w:rPr>
          <w:rFonts w:hint="eastAsia"/>
        </w:rPr>
        <w:t>接口与交换机制要求</w:t>
      </w:r>
    </w:p>
    <w:p w14:paraId="7629CAA6">
      <w:pPr>
        <w:pStyle w:val="65"/>
        <w:spacing w:before="120" w:after="120" w:line="360" w:lineRule="auto"/>
      </w:pPr>
      <w:r>
        <w:rPr>
          <w:rFonts w:hint="eastAsia"/>
        </w:rPr>
        <w:t>接口类型</w:t>
      </w:r>
    </w:p>
    <w:p w14:paraId="7F8A1B9B">
      <w:pPr>
        <w:pStyle w:val="56"/>
        <w:spacing w:line="360" w:lineRule="auto"/>
        <w:ind w:firstLine="420"/>
      </w:pPr>
      <w:r>
        <w:rPr>
          <w:rFonts w:hint="eastAsia"/>
        </w:rPr>
        <w:t>系统宜提供以下接口能力：</w:t>
      </w:r>
    </w:p>
    <w:p w14:paraId="7051F427">
      <w:pPr>
        <w:pStyle w:val="56"/>
        <w:spacing w:line="360" w:lineRule="auto"/>
        <w:ind w:firstLine="420"/>
      </w:pPr>
      <w:r>
        <w:rPr>
          <w:rFonts w:hint="eastAsia"/>
        </w:rPr>
        <w:t>a) 数据推送与订阅接口，用于事件驱动的实时或准实时交换；</w:t>
      </w:r>
    </w:p>
    <w:p w14:paraId="13107D46">
      <w:pPr>
        <w:pStyle w:val="56"/>
        <w:spacing w:line="360" w:lineRule="auto"/>
        <w:ind w:firstLine="420"/>
      </w:pPr>
      <w:r>
        <w:rPr>
          <w:rFonts w:hint="eastAsia"/>
        </w:rPr>
        <w:t>b) 批量交换接口，用于周期性报送或历史数据同步；</w:t>
      </w:r>
    </w:p>
    <w:p w14:paraId="7AA298B4">
      <w:pPr>
        <w:pStyle w:val="56"/>
        <w:spacing w:line="360" w:lineRule="auto"/>
        <w:ind w:firstLine="420"/>
      </w:pPr>
      <w:r>
        <w:rPr>
          <w:rFonts w:hint="eastAsia"/>
        </w:rPr>
        <w:t>c) 查询接口，用于跨系统联合查询与验真；</w:t>
      </w:r>
    </w:p>
    <w:p w14:paraId="4AC92D06">
      <w:pPr>
        <w:pStyle w:val="56"/>
        <w:spacing w:line="360" w:lineRule="auto"/>
        <w:ind w:firstLine="420"/>
      </w:pPr>
      <w:r>
        <w:rPr>
          <w:rFonts w:hint="eastAsia"/>
        </w:rPr>
        <w:t>d) 文件交换接口，用于合格证明、报告附件、图片证据等文件类数据受控传递；</w:t>
      </w:r>
    </w:p>
    <w:p w14:paraId="6B7C44C5">
      <w:pPr>
        <w:pStyle w:val="56"/>
        <w:spacing w:line="360" w:lineRule="auto"/>
        <w:ind w:firstLine="420"/>
      </w:pPr>
      <w:r>
        <w:rPr>
          <w:rFonts w:hint="eastAsia"/>
        </w:rPr>
        <w:t>e) 统一身份认证或单点登录接口，用于跨系统授权访问。</w:t>
      </w:r>
    </w:p>
    <w:p w14:paraId="26FDB974">
      <w:pPr>
        <w:pStyle w:val="65"/>
        <w:spacing w:before="120" w:after="120" w:line="360" w:lineRule="auto"/>
      </w:pPr>
      <w:r>
        <w:rPr>
          <w:rFonts w:hint="eastAsia"/>
        </w:rPr>
        <w:t>接口管理与版本控制</w:t>
      </w:r>
    </w:p>
    <w:p w14:paraId="632373BF">
      <w:pPr>
        <w:pStyle w:val="56"/>
        <w:spacing w:line="360" w:lineRule="auto"/>
        <w:ind w:firstLine="420"/>
      </w:pPr>
      <w:r>
        <w:rPr>
          <w:rFonts w:hint="eastAsia"/>
        </w:rPr>
        <w:t>系统应对外发布接口说明文档并受控管理，至少包括字段说明、必填规则、错误码、调用频率限制、幂等规则、签名与加密要求、回执机制与异常重试策略。接口变更应实施评审与版本控制，明确兼容策略、迁移周期与回退方案，避免接口变更导致业务中断或数据丢失。</w:t>
      </w:r>
    </w:p>
    <w:p w14:paraId="762B4570">
      <w:pPr>
        <w:pStyle w:val="65"/>
        <w:spacing w:before="120" w:after="120" w:line="360" w:lineRule="auto"/>
      </w:pPr>
      <w:r>
        <w:rPr>
          <w:rFonts w:hint="eastAsia"/>
        </w:rPr>
        <w:t>交换日志与审计</w:t>
      </w:r>
    </w:p>
    <w:p w14:paraId="16024CEC">
      <w:pPr>
        <w:pStyle w:val="56"/>
        <w:spacing w:line="360" w:lineRule="auto"/>
        <w:ind w:firstLine="420"/>
      </w:pPr>
      <w:r>
        <w:rPr>
          <w:rFonts w:hint="eastAsia"/>
        </w:rPr>
        <w:t>系统应对数据交换全过程留痕，至少记录：对接方标识、接口名称与版本、请求时间、响应时间、处理状态、失败原因、重试次数、回执信息与数据摘要。日志应便于检索与追溯，并满足审计与事件调查需要。对涉及召回、下架、抽检协同与监管报送的关键交换，应具备更高强度的留痕与复核机制。</w:t>
      </w:r>
    </w:p>
    <w:p w14:paraId="4DBB2E1D">
      <w:pPr>
        <w:pStyle w:val="105"/>
        <w:spacing w:before="120" w:after="120" w:line="360" w:lineRule="auto"/>
      </w:pPr>
      <w:r>
        <w:rPr>
          <w:rFonts w:hint="eastAsia"/>
        </w:rPr>
        <w:t>数据验真与可信传递要求</w:t>
      </w:r>
    </w:p>
    <w:p w14:paraId="3CD64665">
      <w:pPr>
        <w:pStyle w:val="165"/>
        <w:spacing w:line="360" w:lineRule="auto"/>
      </w:pPr>
      <w:r>
        <w:rPr>
          <w:rFonts w:hint="eastAsia"/>
        </w:rPr>
        <w:t>当系统用于跨主体传递检验结果、合格证明或召回处置指令时，应建立验真与可信传递机制，至少满足：</w:t>
      </w:r>
    </w:p>
    <w:p w14:paraId="035753AE">
      <w:pPr>
        <w:pStyle w:val="56"/>
        <w:spacing w:line="360" w:lineRule="auto"/>
        <w:ind w:firstLine="420"/>
      </w:pPr>
      <w:r>
        <w:rPr>
          <w:rFonts w:hint="eastAsia"/>
        </w:rPr>
        <w:t>a) 对报告类数据应能校验来源、签发信息与版本信息；</w:t>
      </w:r>
    </w:p>
    <w:p w14:paraId="4831FC86">
      <w:pPr>
        <w:pStyle w:val="56"/>
        <w:spacing w:line="360" w:lineRule="auto"/>
        <w:ind w:firstLine="420"/>
      </w:pPr>
      <w:r>
        <w:rPr>
          <w:rFonts w:hint="eastAsia"/>
        </w:rPr>
        <w:t>b) 对关键附件应保持文件完整性，防止传输或转存过程被篡改；</w:t>
      </w:r>
    </w:p>
    <w:p w14:paraId="40B17101">
      <w:pPr>
        <w:pStyle w:val="56"/>
        <w:spacing w:line="360" w:lineRule="auto"/>
        <w:ind w:firstLine="420"/>
      </w:pPr>
      <w:r>
        <w:rPr>
          <w:rFonts w:hint="eastAsia"/>
        </w:rPr>
        <w:t>c) 对关键指令（如召回、下架）应保证指令可追溯、可确认、可回执；</w:t>
      </w:r>
    </w:p>
    <w:p w14:paraId="0A0C6D08">
      <w:pPr>
        <w:pStyle w:val="56"/>
        <w:spacing w:line="360" w:lineRule="auto"/>
        <w:ind w:firstLine="420"/>
      </w:pPr>
      <w:r>
        <w:rPr>
          <w:rFonts w:hint="eastAsia"/>
        </w:rPr>
        <w:t>d) 对外部导入数据应实施校验与风险提示，避免将错误数据引入内部决策。</w:t>
      </w:r>
    </w:p>
    <w:p w14:paraId="63165DCE">
      <w:pPr>
        <w:pStyle w:val="165"/>
        <w:spacing w:line="360" w:lineRule="auto"/>
      </w:pPr>
      <w:r>
        <w:rPr>
          <w:rFonts w:hint="eastAsia"/>
        </w:rPr>
        <w:t>对第三方检验检测机构交付的报告数据，宜通过统一的报告编号规则、验真码或校验机制建立可信链路，并将报告与样品、批次、放行记录建立关联。</w:t>
      </w:r>
    </w:p>
    <w:p w14:paraId="14DE90AC">
      <w:pPr>
        <w:pStyle w:val="104"/>
        <w:spacing w:before="240" w:after="240" w:line="360" w:lineRule="auto"/>
      </w:pPr>
      <w:bookmarkStart w:id="54" w:name="_Toc217467364"/>
      <w:r>
        <w:rPr>
          <w:rFonts w:hint="eastAsia"/>
        </w:rPr>
        <w:t>运行维护与持续改进</w:t>
      </w:r>
      <w:bookmarkEnd w:id="54"/>
    </w:p>
    <w:p w14:paraId="2D1CF2A7">
      <w:pPr>
        <w:pStyle w:val="105"/>
        <w:spacing w:before="120" w:after="120" w:line="360" w:lineRule="auto"/>
      </w:pPr>
      <w:r>
        <w:rPr>
          <w:rFonts w:hint="eastAsia"/>
        </w:rPr>
        <w:t>运行管理与职责</w:t>
      </w:r>
    </w:p>
    <w:p w14:paraId="6FCBABCB">
      <w:pPr>
        <w:pStyle w:val="165"/>
        <w:spacing w:line="360" w:lineRule="auto"/>
      </w:pPr>
      <w:r>
        <w:rPr>
          <w:rFonts w:hint="eastAsia"/>
        </w:rPr>
        <w:t>实施主体应建立数字化系统运行管理机制，明确系统管理员、数据管理员、质量管理人员、业务部门责任人、检验岗位与外部协同接口人的职责分工。职责应覆盖账号与权限管理、数据质量治理、主数据维护、接口管理、异常工单处置、系统监控与安全审计等内容，确保出现问题可定位责任、可快速处置、可闭环改进。</w:t>
      </w:r>
    </w:p>
    <w:p w14:paraId="219D4515">
      <w:pPr>
        <w:pStyle w:val="165"/>
        <w:spacing w:line="360" w:lineRule="auto"/>
      </w:pPr>
      <w:r>
        <w:rPr>
          <w:rFonts w:hint="eastAsia"/>
        </w:rPr>
        <w:t>对连锁企业、多工厂或多仓多门店场景，应建立统一的运行管理规则与指标体系，形成总部统筹与属地执行的协同机制，避免不同单位口径不一致导致数据不可比与治理失效。</w:t>
      </w:r>
    </w:p>
    <w:p w14:paraId="48FB76DF">
      <w:pPr>
        <w:pStyle w:val="105"/>
        <w:spacing w:before="120" w:after="120" w:line="360" w:lineRule="auto"/>
      </w:pPr>
      <w:r>
        <w:rPr>
          <w:rFonts w:hint="eastAsia"/>
        </w:rPr>
        <w:t>权限管理与账号治理</w:t>
      </w:r>
    </w:p>
    <w:p w14:paraId="581D45CC">
      <w:pPr>
        <w:pStyle w:val="56"/>
        <w:spacing w:line="360" w:lineRule="auto"/>
        <w:ind w:firstLine="420"/>
      </w:pPr>
      <w:r>
        <w:rPr>
          <w:rFonts w:hint="eastAsia"/>
        </w:rPr>
        <w:t>系统应实施最小权限原则与按岗授权，区分录入、审核、放行、签发、导出、配置与管理权限。权限变更应受控管理并留痕，关键权限应定期复核并及时回收不再需要的权限。对外部协作方账号（供应商、代工厂、第三方仓配、第三方检测等）应设置访问边界、有效期与数据范围隔离，避免越权访问与数据泄露。</w:t>
      </w:r>
    </w:p>
    <w:p w14:paraId="30B1545E">
      <w:pPr>
        <w:pStyle w:val="105"/>
        <w:spacing w:before="120" w:after="120" w:line="360" w:lineRule="auto"/>
      </w:pPr>
      <w:r>
        <w:rPr>
          <w:rFonts w:hint="eastAsia"/>
        </w:rPr>
        <w:t>数据质量治理与主数据维护</w:t>
      </w:r>
    </w:p>
    <w:p w14:paraId="7E32566C">
      <w:pPr>
        <w:pStyle w:val="56"/>
        <w:spacing w:line="360" w:lineRule="auto"/>
        <w:ind w:firstLine="420"/>
      </w:pPr>
      <w:r>
        <w:rPr>
          <w:rFonts w:hint="eastAsia"/>
        </w:rPr>
        <w:t>实施主体应建立数据质量治理机制，以数据质量规则为基础，形成异常识别、纠错与复核闭环。数据质量治理应重点覆盖：</w:t>
      </w:r>
    </w:p>
    <w:p w14:paraId="6C2A772D">
      <w:pPr>
        <w:pStyle w:val="56"/>
        <w:spacing w:line="360" w:lineRule="auto"/>
        <w:ind w:firstLine="420"/>
      </w:pPr>
      <w:r>
        <w:rPr>
          <w:rFonts w:hint="eastAsia"/>
        </w:rPr>
        <w:t>a) 批次规则执行一致性与批次映射关系正确性；</w:t>
      </w:r>
    </w:p>
    <w:p w14:paraId="342AE29F">
      <w:pPr>
        <w:pStyle w:val="56"/>
        <w:spacing w:line="360" w:lineRule="auto"/>
        <w:ind w:firstLine="420"/>
      </w:pPr>
      <w:r>
        <w:rPr>
          <w:rFonts w:hint="eastAsia"/>
        </w:rPr>
        <w:t>b) 样品—报告—放行—流向之间的关联完整性；</w:t>
      </w:r>
    </w:p>
    <w:p w14:paraId="6C44CF8A">
      <w:pPr>
        <w:pStyle w:val="56"/>
        <w:spacing w:line="360" w:lineRule="auto"/>
        <w:ind w:firstLine="420"/>
      </w:pPr>
      <w:r>
        <w:rPr>
          <w:rFonts w:hint="eastAsia"/>
        </w:rPr>
        <w:t>c) 关键控制点数据的完整性与逻辑一致性；</w:t>
      </w:r>
    </w:p>
    <w:p w14:paraId="26DAE2E9">
      <w:pPr>
        <w:pStyle w:val="56"/>
        <w:spacing w:line="360" w:lineRule="auto"/>
        <w:ind w:firstLine="420"/>
      </w:pPr>
      <w:r>
        <w:rPr>
          <w:rFonts w:hint="eastAsia"/>
        </w:rPr>
        <w:t>d) 标签版本、配方工艺版本与实际生产批次的一致性；</w:t>
      </w:r>
    </w:p>
    <w:p w14:paraId="41B5309F">
      <w:pPr>
        <w:pStyle w:val="56"/>
        <w:spacing w:line="360" w:lineRule="auto"/>
        <w:ind w:firstLine="420"/>
      </w:pPr>
      <w:r>
        <w:rPr>
          <w:rFonts w:hint="eastAsia"/>
        </w:rPr>
        <w:t>e) 温控与物流数据的连续性、异常阈值与处置闭环。</w:t>
      </w:r>
    </w:p>
    <w:p w14:paraId="162A9F5C">
      <w:pPr>
        <w:pStyle w:val="56"/>
        <w:spacing w:line="360" w:lineRule="auto"/>
        <w:ind w:firstLine="420"/>
      </w:pPr>
      <w:r>
        <w:rPr>
          <w:rFonts w:hint="eastAsia"/>
        </w:rPr>
        <w:t>主数据维护应受控管理，对供应商、产品、检验项目、缺陷代码、处置措施等主数据的新增、变更与停用应履行评审与审批，并保留历史版本与生效时间。</w:t>
      </w:r>
    </w:p>
    <w:p w14:paraId="63DC1788">
      <w:pPr>
        <w:pStyle w:val="105"/>
        <w:spacing w:before="120" w:after="120" w:line="360" w:lineRule="auto"/>
      </w:pPr>
      <w:r>
        <w:rPr>
          <w:rFonts w:hint="eastAsia"/>
        </w:rPr>
        <w:t>系统监控、备份恢复与连续性</w:t>
      </w:r>
    </w:p>
    <w:p w14:paraId="77540B46">
      <w:pPr>
        <w:pStyle w:val="56"/>
        <w:spacing w:line="360" w:lineRule="auto"/>
        <w:ind w:firstLine="420"/>
      </w:pPr>
      <w:r>
        <w:rPr>
          <w:rFonts w:hint="eastAsia"/>
        </w:rPr>
        <w:t>系统应具备运行监控与告警能力，至少对关键服务可用性、接口调用异常、数据交换失败、存储容量、关键任务队列与安全审计告警进行监测。系统应制定备份策略与恢复策略，定期开展恢复演练，验证数据与系统的可恢复性。对检验报告、召回事件与放行记录等关键数据，应采取更高等级的备份与保全措施，确保可追溯与可举证。</w:t>
      </w:r>
    </w:p>
    <w:p w14:paraId="5FCA7672">
      <w:pPr>
        <w:pStyle w:val="105"/>
        <w:spacing w:before="120" w:after="120" w:line="360" w:lineRule="auto"/>
      </w:pPr>
      <w:r>
        <w:rPr>
          <w:rFonts w:hint="eastAsia"/>
        </w:rPr>
        <w:t>绩效评价与体系有效性评估</w:t>
      </w:r>
    </w:p>
    <w:p w14:paraId="1625798C">
      <w:pPr>
        <w:pStyle w:val="165"/>
        <w:spacing w:line="360" w:lineRule="auto"/>
      </w:pPr>
      <w:r>
        <w:rPr>
          <w:rFonts w:hint="eastAsia"/>
        </w:rPr>
        <w:t>实施主体应建立数字化全链条管控的绩效评价机制，评价应覆盖过程能力、结果表现与协同效果，并形成管理评审输入。评价指标宜包括：</w:t>
      </w:r>
    </w:p>
    <w:p w14:paraId="36B4AA28">
      <w:pPr>
        <w:pStyle w:val="56"/>
        <w:spacing w:line="360" w:lineRule="auto"/>
        <w:ind w:firstLine="420"/>
      </w:pPr>
      <w:r>
        <w:rPr>
          <w:rFonts w:hint="eastAsia"/>
        </w:rPr>
        <w:t>a) 关键控制点执行合规率、数据完整率、数据一致性通过率；</w:t>
      </w:r>
    </w:p>
    <w:p w14:paraId="4BF08025">
      <w:pPr>
        <w:pStyle w:val="56"/>
        <w:spacing w:line="360" w:lineRule="auto"/>
        <w:ind w:firstLine="420"/>
      </w:pPr>
      <w:r>
        <w:rPr>
          <w:rFonts w:hint="eastAsia"/>
        </w:rPr>
        <w:t>b) 检验计划执行率、报告出具时效、复核签发合规率；</w:t>
      </w:r>
    </w:p>
    <w:p w14:paraId="6470ED72">
      <w:pPr>
        <w:pStyle w:val="56"/>
        <w:spacing w:line="360" w:lineRule="auto"/>
        <w:ind w:firstLine="420"/>
      </w:pPr>
      <w:r>
        <w:rPr>
          <w:rFonts w:hint="eastAsia"/>
        </w:rPr>
        <w:t>c) 不符合闭环率、整改按期完成率、重复性问题下降趋势；</w:t>
      </w:r>
    </w:p>
    <w:p w14:paraId="5B521EBB">
      <w:pPr>
        <w:pStyle w:val="56"/>
        <w:spacing w:line="360" w:lineRule="auto"/>
        <w:ind w:firstLine="420"/>
      </w:pPr>
      <w:r>
        <w:rPr>
          <w:rFonts w:hint="eastAsia"/>
        </w:rPr>
        <w:t>d) 预警响应及时率、事件处置时效、召回触达率与召回完成率；</w:t>
      </w:r>
    </w:p>
    <w:p w14:paraId="7871D07C">
      <w:pPr>
        <w:pStyle w:val="56"/>
        <w:spacing w:line="360" w:lineRule="auto"/>
        <w:ind w:firstLine="420"/>
      </w:pPr>
      <w:r>
        <w:rPr>
          <w:rFonts w:hint="eastAsia"/>
        </w:rPr>
        <w:t>e) 追溯定位时长、批次定位准确率、流向覆盖率；</w:t>
      </w:r>
    </w:p>
    <w:p w14:paraId="1F7F488C">
      <w:pPr>
        <w:pStyle w:val="56"/>
        <w:spacing w:line="360" w:lineRule="auto"/>
        <w:ind w:firstLine="420"/>
      </w:pPr>
      <w:r>
        <w:rPr>
          <w:rFonts w:hint="eastAsia"/>
        </w:rPr>
        <w:t>f) 外部协同成功率、接口稳定性与回执闭环率。</w:t>
      </w:r>
    </w:p>
    <w:p w14:paraId="626C6576">
      <w:pPr>
        <w:pStyle w:val="165"/>
        <w:spacing w:line="360" w:lineRule="auto"/>
      </w:pPr>
      <w:r>
        <w:rPr>
          <w:rFonts w:hint="eastAsia"/>
        </w:rPr>
        <w:t>评价应突出“能否降低风险、能否缩短处置时间、能否减少重复问题、能否提升召回精准性”的实效导向，避免仅以数据量或系统使用次数评价。</w:t>
      </w:r>
    </w:p>
    <w:p w14:paraId="2AD2F01C">
      <w:pPr>
        <w:pStyle w:val="105"/>
        <w:spacing w:before="120" w:after="120" w:line="360" w:lineRule="auto"/>
      </w:pPr>
      <w:r>
        <w:rPr>
          <w:rFonts w:hint="eastAsia"/>
        </w:rPr>
        <w:t>持续改进与变更管理</w:t>
      </w:r>
    </w:p>
    <w:p w14:paraId="621D1909">
      <w:pPr>
        <w:pStyle w:val="165"/>
        <w:spacing w:line="360" w:lineRule="auto"/>
      </w:pPr>
      <w:r>
        <w:rPr>
          <w:rFonts w:hint="eastAsia"/>
        </w:rPr>
        <w:t>实施主体应建立持续改进机制，将监管要求变化、产品与工艺变更、供应商变更、渠道变化、客户投诉与事件复盘结论等纳入改进输入。对制度、流程、数据口径、接口与系统功能的变更，应实施评审与验证，确保变更不降低控制强度、不破坏数据一致性与可追溯性。</w:t>
      </w:r>
    </w:p>
    <w:p w14:paraId="3B15726C">
      <w:pPr>
        <w:pStyle w:val="165"/>
        <w:spacing w:line="360" w:lineRule="auto"/>
      </w:pPr>
      <w:r>
        <w:rPr>
          <w:rFonts w:hint="eastAsia"/>
        </w:rPr>
        <w:t>当发生重大食品安全事件或重大不符合时，应启动专项改进，至少包括风险再评估、关键控制点再设计、检验项目与频次调整、供应商与渠道管理强化、追溯召回演练与人员再培训等措施。</w:t>
      </w:r>
    </w:p>
    <w:p w14:paraId="0CA19E2E">
      <w:pPr>
        <w:pStyle w:val="104"/>
        <w:spacing w:before="240" w:after="240" w:line="360" w:lineRule="auto"/>
      </w:pPr>
      <w:bookmarkStart w:id="55" w:name="_Toc217467365"/>
      <w:r>
        <w:rPr>
          <w:rFonts w:hint="eastAsia"/>
        </w:rPr>
        <w:t>附则</w:t>
      </w:r>
      <w:bookmarkEnd w:id="55"/>
    </w:p>
    <w:p w14:paraId="13EEBAE9">
      <w:pPr>
        <w:pStyle w:val="162"/>
        <w:spacing w:line="360" w:lineRule="auto"/>
      </w:pPr>
      <w:r>
        <w:rPr>
          <w:rFonts w:hint="eastAsia"/>
        </w:rPr>
        <w:t>本文件由发布机构负责解释。</w:t>
      </w:r>
    </w:p>
    <w:p w14:paraId="4885494C">
      <w:pPr>
        <w:pStyle w:val="162"/>
        <w:spacing w:line="360" w:lineRule="auto"/>
      </w:pPr>
      <w:r>
        <w:rPr>
          <w:rFonts w:hint="eastAsia"/>
        </w:rPr>
        <w:t>本文件实施过程中，使用者可结合食品品类特点、组织规模与属地监管要求制定配套实施细则，但不应降低本文件对关键控制点设置、检验数字化留痕、数据一致性、预警闭环与召回联动的要求。</w:t>
      </w:r>
    </w:p>
    <w:p w14:paraId="6E28AA6B">
      <w:pPr>
        <w:pStyle w:val="162"/>
        <w:spacing w:line="360" w:lineRule="auto"/>
      </w:pPr>
      <w:r>
        <w:rPr>
          <w:rFonts w:hint="eastAsia"/>
        </w:rPr>
        <w:t>本文件未尽事项应符合国家现行有关法律法规及食品安全相关标准规范的要求。</w:t>
      </w:r>
    </w:p>
    <w:bookmarkEnd w:id="26"/>
    <w:p w14:paraId="359556A9">
      <w:pPr>
        <w:pStyle w:val="56"/>
        <w:ind w:firstLine="0" w:firstLineChars="0"/>
        <w:jc w:val="center"/>
      </w:pPr>
      <w:bookmarkStart w:id="56" w:name="BookMark8"/>
      <w:r>
        <w:drawing>
          <wp:inline distT="0" distB="0" distL="0" distR="0">
            <wp:extent cx="1485900" cy="317500"/>
            <wp:effectExtent l="0" t="0" r="0" b="6350"/>
            <wp:docPr id="1433196590" name="图片 3"/>
            <wp:cNvGraphicFramePr/>
            <a:graphic xmlns:a="http://schemas.openxmlformats.org/drawingml/2006/main">
              <a:graphicData uri="http://schemas.openxmlformats.org/drawingml/2006/picture">
                <pic:pic xmlns:pic="http://schemas.openxmlformats.org/drawingml/2006/picture">
                  <pic:nvPicPr>
                    <pic:cNvPr id="1433196590" name="图片 3"/>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6"/>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6F606">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BEABE">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1F5A">
    <w:pPr>
      <w:pStyle w:val="51"/>
    </w:pPr>
    <w:r>
      <w:fldChar w:fldCharType="begin"/>
    </w:r>
    <w:r>
      <w:instrText xml:space="preserve"> PAGE   \* MERGEFORMAT \* MERGEFORMAT </w:instrText>
    </w:r>
    <w:r>
      <w:fldChar w:fldCharType="separate"/>
    </w:r>
    <w: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7670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F0CD6">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C4F55">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E8875">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72364">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525B7">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01592">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C8283">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A43D4">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4E166">
    <w:pPr>
      <w:pStyle w:val="61"/>
    </w:pPr>
    <w:r>
      <w:fldChar w:fldCharType="begin"/>
    </w:r>
    <w:r>
      <w:instrText xml:space="preserve"> STYLEREF  标准文件_文件编号  \* MERGEFORMAT </w:instrText>
    </w:r>
    <w:r>
      <w:fldChar w:fldCharType="separate"/>
    </w:r>
    <w:r>
      <w:t>T/XZBX 0172—2025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1FACC">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0172—2025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2ECA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A1712">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B0709">
    <w:pPr>
      <w:pStyle w:val="61"/>
    </w:pPr>
    <w:r>
      <w:fldChar w:fldCharType="begin"/>
    </w:r>
    <w:r>
      <w:instrText xml:space="preserve"> STYLEREF  标准文件_文件编号  \* MERGEFORMAT </w:instrText>
    </w:r>
    <w:r>
      <w:fldChar w:fldCharType="separate"/>
    </w:r>
    <w:r>
      <w:t>T/XZBX 0172—2025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677A6">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0172—2025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0559F">
    <w:pPr>
      <w:pStyle w:val="61"/>
    </w:pPr>
    <w:r>
      <w:fldChar w:fldCharType="begin"/>
    </w:r>
    <w:r>
      <w:instrText xml:space="preserve"> STYLEREF  标准文件_文件编号  \* MERGEFORMAT </w:instrText>
    </w:r>
    <w:r>
      <w:fldChar w:fldCharType="separate"/>
    </w:r>
    <w:r>
      <w:t>T/XZBX 0172—2025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E633F">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0172—2025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543B2">
    <w:pPr>
      <w:pStyle w:val="61"/>
    </w:pPr>
    <w:r>
      <w:fldChar w:fldCharType="begin"/>
    </w:r>
    <w:r>
      <w:instrText xml:space="preserve"> STYLEREF  标准文件_文件编号  \* MERGEFORMAT </w:instrText>
    </w:r>
    <w:r>
      <w:fldChar w:fldCharType="separate"/>
    </w:r>
    <w:r>
      <w:t>T/XZBX 0172—2025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2D613">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0172—2025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QwNLY0MzYwNjQ0MzJV0lEKTi0uzszPAykwrgUA5UAOHiwAAAA="/>
  </w:docVars>
  <w:rsids>
    <w:rsidRoot w:val="00552C1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4A9A"/>
    <w:rsid w:val="000A7311"/>
    <w:rsid w:val="000B060F"/>
    <w:rsid w:val="000B1592"/>
    <w:rsid w:val="000B1FF2"/>
    <w:rsid w:val="000B3CDA"/>
    <w:rsid w:val="000B6A0B"/>
    <w:rsid w:val="000C0F6C"/>
    <w:rsid w:val="000C11DB"/>
    <w:rsid w:val="000C1492"/>
    <w:rsid w:val="000C2FBD"/>
    <w:rsid w:val="000C4B41"/>
    <w:rsid w:val="000C5082"/>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163C"/>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394B"/>
    <w:rsid w:val="001F4816"/>
    <w:rsid w:val="001F69B4"/>
    <w:rsid w:val="001F77C7"/>
    <w:rsid w:val="00200183"/>
    <w:rsid w:val="00200333"/>
    <w:rsid w:val="0020107D"/>
    <w:rsid w:val="002012E0"/>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5272"/>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C1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2FCD"/>
    <w:rsid w:val="00645904"/>
    <w:rsid w:val="00651ACB"/>
    <w:rsid w:val="00651C47"/>
    <w:rsid w:val="00652AB2"/>
    <w:rsid w:val="00653FED"/>
    <w:rsid w:val="00654EC0"/>
    <w:rsid w:val="0065525B"/>
    <w:rsid w:val="00655D4F"/>
    <w:rsid w:val="00656D29"/>
    <w:rsid w:val="00657172"/>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3685"/>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B55"/>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1976"/>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6078"/>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A5D"/>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3A32"/>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162E"/>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D923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uiPriority="39" w:semiHidden="0" w:name="toc 5"/>
    <w:lsdException w:qFormat="1" w:uiPriority="39" w:semiHidden="0" w:name="toc 6"/>
    <w:lsdException w:qFormat="1"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8BBCC73F4814DF2B25CA2AC390573F6"/>
        <w:style w:val=""/>
        <w:category>
          <w:name w:val="常规"/>
          <w:gallery w:val="placeholder"/>
        </w:category>
        <w:types>
          <w:type w:val="bbPlcHdr"/>
        </w:types>
        <w:behaviors>
          <w:behavior w:val="content"/>
        </w:behaviors>
        <w:description w:val=""/>
        <w:guid w:val="{9427020E-6A06-4D66-924C-EB98A1B6DD87}"/>
      </w:docPartPr>
      <w:docPartBody>
        <w:p w14:paraId="400F1D2C">
          <w:pPr>
            <w:pStyle w:val="5"/>
          </w:pPr>
          <w:r>
            <w:rPr>
              <w:rStyle w:val="4"/>
              <w:rFonts w:hint="eastAsia"/>
            </w:rPr>
            <w:t>单击或点击此处输入文字。</w:t>
          </w:r>
        </w:p>
      </w:docPartBody>
    </w:docPart>
    <w:docPart>
      <w:docPartPr>
        <w:name w:val="4197A65F6D1E4BDD9AF6599EC272F31A"/>
        <w:style w:val=""/>
        <w:category>
          <w:name w:val="常规"/>
          <w:gallery w:val="placeholder"/>
        </w:category>
        <w:types>
          <w:type w:val="bbPlcHdr"/>
        </w:types>
        <w:behaviors>
          <w:behavior w:val="content"/>
        </w:behaviors>
        <w:description w:val=""/>
        <w:guid w:val="{C8738F1D-31EE-427A-B697-1B6EDB8E2165}"/>
      </w:docPartPr>
      <w:docPartBody>
        <w:p w14:paraId="45FE45D2">
          <w:pPr>
            <w:pStyle w:val="6"/>
          </w:pPr>
          <w:r>
            <w:rPr>
              <w:rStyle w:val="4"/>
              <w:rFonts w:hint="eastAsia"/>
            </w:rPr>
            <w:t>选择一项。</w:t>
          </w:r>
        </w:p>
      </w:docPartBody>
    </w:docPart>
    <w:docPart>
      <w:docPartPr>
        <w:name w:val="4EDDD88E7485469AB9D97C1BDAB03DEF"/>
        <w:style w:val=""/>
        <w:category>
          <w:name w:val="常规"/>
          <w:gallery w:val="placeholder"/>
        </w:category>
        <w:types>
          <w:type w:val="bbPlcHdr"/>
        </w:types>
        <w:behaviors>
          <w:behavior w:val="content"/>
        </w:behaviors>
        <w:description w:val=""/>
        <w:guid w:val="{0BDBC170-7FAF-48FE-9B01-770DD19208EE}"/>
      </w:docPartPr>
      <w:docPartBody>
        <w:p w14:paraId="24D7831C">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B0"/>
    <w:rsid w:val="000A081D"/>
    <w:rsid w:val="001F394B"/>
    <w:rsid w:val="005139F9"/>
    <w:rsid w:val="006735F8"/>
    <w:rsid w:val="007553CD"/>
    <w:rsid w:val="00C53417"/>
    <w:rsid w:val="00D27FB0"/>
    <w:rsid w:val="00EA3A32"/>
    <w:rsid w:val="00FC6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8BBCC73F4814DF2B25CA2AC390573F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197A65F6D1E4BDD9AF6599EC272F31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EDDD88E7485469AB9D97C1BDAB03DE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18</Pages>
  <Words>6235</Words>
  <Characters>6562</Characters>
  <Lines>71</Lines>
  <Paragraphs>20</Paragraphs>
  <TotalTime>7</TotalTime>
  <ScaleCrop>false</ScaleCrop>
  <LinksUpToDate>false</LinksUpToDate>
  <CharactersWithSpaces>6681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2025-12-24T03:18:00Z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2026-01-04T06:27:53Z</dcterms:modified>
  <dc:title>团体标准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eyJoZGlkIjoiZjFmZWIzNDg2MmIzZjExOTIzMmViNTBmYTMwYTk0ZWYiLCJ1c2VySWQiOiIxMTMwMzM3OTUxIn0=</vt:lpwstr>
  </property>
  <property fmtid="{D5CDD505-2E9C-101B-9397-08002B2CF9AE}" pid="16" name="KSOProductBuildVer">
    <vt:lpwstr>2052-12.1.0.24034</vt:lpwstr>
  </property>
  <property fmtid="{D5CDD505-2E9C-101B-9397-08002B2CF9AE}" pid="17" name="ICV">
    <vt:lpwstr>D3179B4F49694133992066D6AB52ABFC_12</vt:lpwstr>
  </property>
</Properties>
</file>