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5.2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35.240.50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31"/>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31</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0"/>
            </w:textInput>
          </w:ffData>
        </w:fldChar>
      </w:r>
      <w:bookmarkStart w:id="6" w:name="NSTD_CODE_F"/>
      <w:r>
        <w:instrText xml:space="preserve"> FORMTEXT </w:instrText>
      </w:r>
      <w:r>
        <w:fldChar w:fldCharType="separate"/>
      </w:r>
      <w:r>
        <w:t>0170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4EF353F6">
      <w:pPr>
        <w:pStyle w:val="197"/>
        <w:framePr w:h="6974" w:hRule="exact" w:wrap="around" w:x="1419" w:anchorLock="1"/>
      </w:pPr>
      <w:r>
        <w:fldChar w:fldCharType="begin">
          <w:ffData>
            <w:name w:val="CSTD_NAME"/>
            <w:enabled/>
            <w:calcOnExit w:val="0"/>
            <w:textInput>
              <w:default w:val="特种设备智慧检验与数字化服务系统技术规范"/>
            </w:textInput>
          </w:ffData>
        </w:fldChar>
      </w:r>
      <w:bookmarkStart w:id="9" w:name="CSTD_NAME"/>
      <w:r>
        <w:instrText xml:space="preserve"> FORMTEXT </w:instrText>
      </w:r>
      <w:r>
        <w:fldChar w:fldCharType="separate"/>
      </w:r>
      <w:r>
        <w:t>特种设备智慧检验与数字化服务系统</w:t>
      </w:r>
    </w:p>
    <w:p w14:paraId="4DEF4094">
      <w:pPr>
        <w:pStyle w:val="197"/>
        <w:framePr w:h="6974" w:hRule="exact" w:wrap="around" w:x="1419" w:anchorLock="1"/>
      </w:pPr>
      <w:r>
        <w:t>技术规范</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intelligent inspection and digital service system technology of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intelligent inspection and digital service system technology of special equipment</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B5B0823">
      <w:pPr>
        <w:pStyle w:val="91"/>
        <w:spacing w:after="360"/>
      </w:pPr>
      <w:bookmarkStart w:id="21" w:name="BookMark1"/>
      <w:r>
        <w:rPr>
          <w:rFonts w:hint="eastAsia"/>
          <w:spacing w:val="320"/>
        </w:rPr>
        <w:t>目</w:t>
      </w:r>
      <w:r>
        <w:rPr>
          <w:rFonts w:hint="eastAsia"/>
        </w:rPr>
        <w:t>次</w:t>
      </w:r>
    </w:p>
    <w:p w14:paraId="4411AC3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"_Toc217465338"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_Toc217465338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5084E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"_Toc217465339"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_Toc217465339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AB308D8">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"_Toc217465340" </w:instrText>
      </w:r>
      <w:r>
        <w:rPr>
          <w:rStyle w:val="32"/>
          <w:rFonts w:hint="eastAsia"/>
          <w:dstrike w:val="0"/>
        </w:rPr>
        <w:fldChar w:fldCharType="separate"/>
      </w:r>
      <w:r>
        <w:rPr>
          <w:rStyle w:val="32"/>
          <w:rFonts w:hint="eastAsia"/>
          <w:dstrike w:val="0"/>
        </w:rPr>
        <w:t>1  范围</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_Toc217465340 \h </w:instrText>
      </w:r>
      <w:r>
        <w:rPr>
          <w:rStyle w:val="32"/>
          <w:rFonts w:hint="eastAsia"/>
          <w:dstrike w:val="0"/>
        </w:rPr>
        <w:fldChar w:fldCharType="separate"/>
      </w:r>
      <w:r>
        <w:rPr>
          <w:rStyle w:val="32"/>
          <w:rFonts w:hint="eastAsia"/>
          <w:dstrike w:val="0"/>
        </w:rPr>
        <w:t>1</w:t>
      </w:r>
      <w:r>
        <w:rPr>
          <w:rStyle w:val="32"/>
          <w:rFonts w:hint="eastAsia"/>
          <w:dstrike w:val="0"/>
        </w:rPr>
        <w:fldChar w:fldCharType="end"/>
      </w:r>
      <w:r>
        <w:rPr>
          <w:rStyle w:val="32"/>
          <w:rFonts w:hint="eastAsia"/>
          <w:dstrike w:val="0"/>
        </w:rPr>
        <w:fldChar w:fldCharType="end"/>
      </w:r>
    </w:p>
    <w:p w14:paraId="21673630">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"_Toc217465341" </w:instrText>
      </w:r>
      <w:r>
        <w:rPr>
          <w:rStyle w:val="32"/>
          <w:rFonts w:hint="eastAsia"/>
          <w:dstrike w:val="0"/>
        </w:rPr>
        <w:fldChar w:fldCharType="separate"/>
      </w:r>
      <w:r>
        <w:rPr>
          <w:rStyle w:val="32"/>
          <w:rFonts w:hint="eastAsia"/>
          <w:dstrike w:val="0"/>
        </w:rPr>
        <w:t>2  规范性引用文件</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_Toc217465341 \h </w:instrText>
      </w:r>
      <w:r>
        <w:rPr>
          <w:rStyle w:val="32"/>
          <w:rFonts w:hint="eastAsia"/>
          <w:dstrike w:val="0"/>
        </w:rPr>
        <w:fldChar w:fldCharType="separate"/>
      </w:r>
      <w:r>
        <w:rPr>
          <w:rStyle w:val="32"/>
          <w:rFonts w:hint="eastAsia"/>
          <w:dstrike w:val="0"/>
        </w:rPr>
        <w:t>1</w:t>
      </w:r>
      <w:r>
        <w:rPr>
          <w:rStyle w:val="32"/>
          <w:rFonts w:hint="eastAsia"/>
          <w:dstrike w:val="0"/>
        </w:rPr>
        <w:fldChar w:fldCharType="end"/>
      </w:r>
      <w:r>
        <w:rPr>
          <w:rStyle w:val="32"/>
          <w:rFonts w:hint="eastAsia"/>
          <w:dstrike w:val="0"/>
        </w:rPr>
        <w:fldChar w:fldCharType="end"/>
      </w:r>
    </w:p>
    <w:p w14:paraId="0F96A29C">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"_Toc217465342" </w:instrText>
      </w:r>
      <w:r>
        <w:rPr>
          <w:rStyle w:val="32"/>
          <w:rFonts w:hint="eastAsia"/>
          <w:dstrike w:val="0"/>
        </w:rPr>
        <w:fldChar w:fldCharType="separate"/>
      </w:r>
      <w:r>
        <w:rPr>
          <w:rStyle w:val="32"/>
          <w:rFonts w:hint="eastAsia"/>
          <w:dstrike w:val="0"/>
        </w:rPr>
        <w:t>3  术语和定义</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_Toc217465342 \h </w:instrText>
      </w:r>
      <w:r>
        <w:rPr>
          <w:rStyle w:val="32"/>
          <w:rFonts w:hint="eastAsia"/>
          <w:dstrike w:val="0"/>
        </w:rPr>
        <w:fldChar w:fldCharType="separate"/>
      </w:r>
      <w:r>
        <w:rPr>
          <w:rStyle w:val="32"/>
          <w:rFonts w:hint="eastAsia"/>
          <w:dstrike w:val="0"/>
        </w:rPr>
        <w:t>1</w:t>
      </w:r>
      <w:r>
        <w:rPr>
          <w:rStyle w:val="32"/>
          <w:rFonts w:hint="eastAsia"/>
          <w:dstrike w:val="0"/>
        </w:rPr>
        <w:fldChar w:fldCharType="end"/>
      </w:r>
      <w:r>
        <w:rPr>
          <w:rStyle w:val="32"/>
          <w:rFonts w:hint="eastAsia"/>
          <w:dstrike w:val="0"/>
        </w:rPr>
        <w:fldChar w:fldCharType="end"/>
      </w:r>
    </w:p>
    <w:p w14:paraId="20E905FA">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"_Toc217465343" </w:instrText>
      </w:r>
      <w:r>
        <w:rPr>
          <w:rStyle w:val="32"/>
          <w:rFonts w:hint="eastAsia"/>
          <w:dstrike w:val="0"/>
        </w:rPr>
        <w:fldChar w:fldCharType="separate"/>
      </w:r>
      <w:r>
        <w:rPr>
          <w:rStyle w:val="32"/>
          <w:rFonts w:hint="eastAsia"/>
          <w:dstrike w:val="0"/>
        </w:rPr>
        <w:t>4  总体要求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_Toc217465343 \h </w:instrText>
      </w:r>
      <w:r>
        <w:rPr>
          <w:rStyle w:val="32"/>
          <w:rFonts w:hint="eastAsia"/>
          <w:dstrike w:val="0"/>
        </w:rPr>
        <w:fldChar w:fldCharType="separate"/>
      </w:r>
      <w:r>
        <w:rPr>
          <w:rStyle w:val="32"/>
          <w:rFonts w:hint="eastAsia"/>
          <w:dstrike w:val="0"/>
        </w:rPr>
        <w:t>3</w:t>
      </w:r>
      <w:r>
        <w:rPr>
          <w:rStyle w:val="32"/>
          <w:rFonts w:hint="eastAsia"/>
          <w:dstrike w:val="0"/>
        </w:rPr>
        <w:fldChar w:fldCharType="end"/>
      </w:r>
      <w:r>
        <w:rPr>
          <w:rStyle w:val="32"/>
          <w:rFonts w:hint="eastAsia"/>
          <w:dstrike w:val="0"/>
        </w:rPr>
        <w:fldChar w:fldCharType="end"/>
      </w:r>
    </w:p>
    <w:p w14:paraId="2697105A">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"_Toc217465344" </w:instrText>
      </w:r>
      <w:r>
        <w:rPr>
          <w:rStyle w:val="32"/>
          <w:rFonts w:hint="eastAsia"/>
          <w:dstrike w:val="0"/>
        </w:rPr>
        <w:fldChar w:fldCharType="separate"/>
      </w:r>
      <w:r>
        <w:rPr>
          <w:rStyle w:val="32"/>
          <w:rFonts w:hint="eastAsia"/>
          <w:dstrike w:val="0"/>
        </w:rPr>
        <w:t>5  技术要求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_Toc217465344 \h </w:instrText>
      </w:r>
      <w:r>
        <w:rPr>
          <w:rStyle w:val="32"/>
          <w:rFonts w:hint="eastAsia"/>
          <w:dstrike w:val="0"/>
        </w:rPr>
        <w:fldChar w:fldCharType="separate"/>
      </w:r>
      <w:r>
        <w:rPr>
          <w:rStyle w:val="32"/>
          <w:rFonts w:hint="eastAsia"/>
          <w:dstrike w:val="0"/>
        </w:rPr>
        <w:t>4</w:t>
      </w:r>
      <w:r>
        <w:rPr>
          <w:rStyle w:val="32"/>
          <w:rFonts w:hint="eastAsia"/>
          <w:dstrike w:val="0"/>
        </w:rPr>
        <w:fldChar w:fldCharType="end"/>
      </w:r>
      <w:r>
        <w:rPr>
          <w:rStyle w:val="32"/>
          <w:rFonts w:hint="eastAsia"/>
          <w:dstrike w:val="0"/>
        </w:rPr>
        <w:fldChar w:fldCharType="end"/>
      </w:r>
    </w:p>
    <w:p w14:paraId="0C5B1FF2">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"_Toc217465345" </w:instrText>
      </w:r>
      <w:r>
        <w:rPr>
          <w:rStyle w:val="32"/>
          <w:rFonts w:hint="eastAsia"/>
          <w:dstrike w:val="0"/>
        </w:rPr>
        <w:fldChar w:fldCharType="separate"/>
      </w:r>
      <w:r>
        <w:rPr>
          <w:rStyle w:val="32"/>
          <w:rFonts w:hint="eastAsia"/>
          <w:dstrike w:val="0"/>
        </w:rPr>
        <w:t>6  信息安全与可信要求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_Toc217465345 \h </w:instrText>
      </w:r>
      <w:r>
        <w:rPr>
          <w:rStyle w:val="32"/>
          <w:rFonts w:hint="eastAsia"/>
          <w:dstrike w:val="0"/>
        </w:rPr>
        <w:fldChar w:fldCharType="separate"/>
      </w:r>
      <w:r>
        <w:rPr>
          <w:rStyle w:val="32"/>
          <w:rFonts w:hint="eastAsia"/>
          <w:dstrike w:val="0"/>
        </w:rPr>
        <w:t>7</w:t>
      </w:r>
      <w:r>
        <w:rPr>
          <w:rStyle w:val="32"/>
          <w:rFonts w:hint="eastAsia"/>
          <w:dstrike w:val="0"/>
        </w:rPr>
        <w:fldChar w:fldCharType="end"/>
      </w:r>
      <w:r>
        <w:rPr>
          <w:rStyle w:val="32"/>
          <w:rFonts w:hint="eastAsia"/>
          <w:dstrike w:val="0"/>
        </w:rPr>
        <w:fldChar w:fldCharType="end"/>
      </w:r>
    </w:p>
    <w:p w14:paraId="1EE532D3">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"_Toc217465346" </w:instrText>
      </w:r>
      <w:r>
        <w:rPr>
          <w:rStyle w:val="32"/>
          <w:rFonts w:hint="eastAsia"/>
          <w:dstrike w:val="0"/>
        </w:rPr>
        <w:fldChar w:fldCharType="separate"/>
      </w:r>
      <w:r>
        <w:rPr>
          <w:rStyle w:val="32"/>
          <w:rFonts w:hint="eastAsia"/>
          <w:dstrike w:val="0"/>
        </w:rPr>
        <w:t>7  可靠性、性能与软件质量要求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_Toc217465346 \h </w:instrText>
      </w:r>
      <w:r>
        <w:rPr>
          <w:rStyle w:val="32"/>
          <w:rFonts w:hint="eastAsia"/>
          <w:dstrike w:val="0"/>
        </w:rPr>
        <w:fldChar w:fldCharType="separate"/>
      </w:r>
      <w:r>
        <w:rPr>
          <w:rStyle w:val="32"/>
          <w:rFonts w:hint="eastAsia"/>
          <w:dstrike w:val="0"/>
        </w:rPr>
        <w:t>9</w:t>
      </w:r>
      <w:r>
        <w:rPr>
          <w:rStyle w:val="32"/>
          <w:rFonts w:hint="eastAsia"/>
          <w:dstrike w:val="0"/>
        </w:rPr>
        <w:fldChar w:fldCharType="end"/>
      </w:r>
      <w:r>
        <w:rPr>
          <w:rStyle w:val="32"/>
          <w:rFonts w:hint="eastAsia"/>
          <w:dstrike w:val="0"/>
        </w:rPr>
        <w:fldChar w:fldCharType="end"/>
      </w:r>
    </w:p>
    <w:p w14:paraId="59DB8D10">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"_Toc217465347" </w:instrText>
      </w:r>
      <w:r>
        <w:rPr>
          <w:rStyle w:val="32"/>
          <w:rFonts w:hint="eastAsia"/>
          <w:dstrike w:val="0"/>
        </w:rPr>
        <w:fldChar w:fldCharType="separate"/>
      </w:r>
      <w:r>
        <w:rPr>
          <w:rStyle w:val="32"/>
          <w:rFonts w:hint="eastAsia"/>
          <w:dstrike w:val="0"/>
        </w:rPr>
        <w:t>8  运行维护与服务管理要求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_Toc217465347 \h </w:instrText>
      </w:r>
      <w:r>
        <w:rPr>
          <w:rStyle w:val="32"/>
          <w:rFonts w:hint="eastAsia"/>
          <w:dstrike w:val="0"/>
        </w:rPr>
        <w:fldChar w:fldCharType="separate"/>
      </w:r>
      <w:r>
        <w:rPr>
          <w:rStyle w:val="32"/>
          <w:rFonts w:hint="eastAsia"/>
          <w:dstrike w:val="0"/>
        </w:rPr>
        <w:t>10</w:t>
      </w:r>
      <w:r>
        <w:rPr>
          <w:rStyle w:val="32"/>
          <w:rFonts w:hint="eastAsia"/>
          <w:dstrike w:val="0"/>
        </w:rPr>
        <w:fldChar w:fldCharType="end"/>
      </w:r>
      <w:r>
        <w:rPr>
          <w:rStyle w:val="32"/>
          <w:rFonts w:hint="eastAsia"/>
          <w:dstrike w:val="0"/>
        </w:rPr>
        <w:fldChar w:fldCharType="end"/>
      </w:r>
    </w:p>
    <w:p w14:paraId="56BF726E">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"_Toc217465348" </w:instrText>
      </w:r>
      <w:r>
        <w:rPr>
          <w:rStyle w:val="32"/>
          <w:rFonts w:hint="eastAsia"/>
          <w:dstrike w:val="0"/>
        </w:rPr>
        <w:fldChar w:fldCharType="separate"/>
      </w:r>
      <w:r>
        <w:rPr>
          <w:rStyle w:val="32"/>
          <w:rFonts w:hint="eastAsia"/>
          <w:dstrike w:val="0"/>
        </w:rPr>
        <w:t>9  测试、验收与评价要求</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_Toc217465348 \h </w:instrText>
      </w:r>
      <w:r>
        <w:rPr>
          <w:rStyle w:val="32"/>
          <w:rFonts w:hint="eastAsia"/>
          <w:dstrike w:val="0"/>
        </w:rPr>
        <w:fldChar w:fldCharType="separate"/>
      </w:r>
      <w:r>
        <w:rPr>
          <w:rStyle w:val="32"/>
          <w:rFonts w:hint="eastAsia"/>
          <w:dstrike w:val="0"/>
        </w:rPr>
        <w:t>11</w:t>
      </w:r>
      <w:r>
        <w:rPr>
          <w:rStyle w:val="32"/>
          <w:rFonts w:hint="eastAsia"/>
          <w:dstrike w:val="0"/>
        </w:rPr>
        <w:fldChar w:fldCharType="end"/>
      </w:r>
      <w:r>
        <w:rPr>
          <w:rStyle w:val="32"/>
          <w:rFonts w:hint="eastAsia"/>
          <w:dstrike w:val="0"/>
        </w:rPr>
        <w:fldChar w:fldCharType="end"/>
      </w:r>
    </w:p>
    <w:p w14:paraId="0995DB14">
      <w:pPr>
        <w:pStyle w:val="19"/>
        <w:tabs>
          <w:tab w:val="right" w:leader="dot" w:pos="9344"/>
        </w:tabs>
        <w:rPr>
          <w:rStyle w:val="32"/>
          <w:rFonts w:hint="eastAsia"/>
          <w:dstrike w:val="0"/>
        </w:rPr>
      </w:pPr>
      <w:r>
        <w:rPr>
          <w:rStyle w:val="32"/>
          <w:rFonts w:hint="eastAsia"/>
          <w:dstrike w:val="0"/>
        </w:rPr>
        <w:fldChar w:fldCharType="begin"/>
      </w:r>
      <w:r>
        <w:rPr>
          <w:rStyle w:val="32"/>
          <w:rFonts w:hint="eastAsia"/>
          <w:dstrike w:val="0"/>
        </w:rPr>
        <w:instrText xml:space="preserve"> HYPERLINK \l "_Toc217465349" </w:instrText>
      </w:r>
      <w:r>
        <w:rPr>
          <w:rStyle w:val="32"/>
          <w:rFonts w:hint="eastAsia"/>
          <w:dstrike w:val="0"/>
        </w:rPr>
        <w:fldChar w:fldCharType="separate"/>
      </w:r>
      <w:r>
        <w:rPr>
          <w:rStyle w:val="32"/>
          <w:rFonts w:hint="eastAsia"/>
          <w:dstrike w:val="0"/>
        </w:rPr>
        <w:t>10  附则</w:t>
      </w:r>
      <w:r>
        <w:rPr>
          <w:rStyle w:val="32"/>
          <w:rFonts w:hint="eastAsia"/>
          <w:dstrike w:val="0"/>
        </w:rPr>
        <w:tab/>
      </w:r>
      <w:r>
        <w:rPr>
          <w:rStyle w:val="32"/>
          <w:rFonts w:hint="eastAsia"/>
          <w:dstrike w:val="0"/>
        </w:rPr>
        <w:fldChar w:fldCharType="begin"/>
      </w:r>
      <w:r>
        <w:rPr>
          <w:rStyle w:val="32"/>
          <w:rFonts w:hint="eastAsia"/>
          <w:dstrike w:val="0"/>
        </w:rPr>
        <w:instrText xml:space="preserve"> PAGEREF _Toc217465349 \h </w:instrText>
      </w:r>
      <w:r>
        <w:rPr>
          <w:rStyle w:val="32"/>
          <w:rFonts w:hint="eastAsia"/>
          <w:dstrike w:val="0"/>
        </w:rPr>
        <w:fldChar w:fldCharType="separate"/>
      </w:r>
      <w:r>
        <w:rPr>
          <w:rStyle w:val="32"/>
          <w:rFonts w:hint="eastAsia"/>
          <w:dstrike w:val="0"/>
        </w:rPr>
        <w:t>11</w:t>
      </w:r>
      <w:r>
        <w:rPr>
          <w:rStyle w:val="32"/>
          <w:rFonts w:hint="eastAsia"/>
          <w:dstrike w:val="0"/>
        </w:rPr>
        <w:fldChar w:fldCharType="end"/>
      </w:r>
      <w:r>
        <w:rPr>
          <w:rStyle w:val="32"/>
          <w:rFonts w:hint="eastAsia"/>
          <w:dstrike w:val="0"/>
        </w:rPr>
        <w:fldChar w:fldCharType="end"/>
      </w:r>
    </w:p>
    <w:p w14:paraId="50C6A4CE">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65338"/>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本文件起草单位：辽宁星之火软件有限公司</w:t>
      </w:r>
      <w:bookmarkStart w:id="59" w:name="_GoBack"/>
      <w:bookmarkEnd w:id="59"/>
      <w:r>
        <w:rPr>
          <w:rFonts w:hint="eastAsia"/>
        </w:rPr>
        <w:t>。</w:t>
      </w:r>
    </w:p>
    <w:p w14:paraId="3890D037">
      <w:pPr>
        <w:pStyle w:val="56"/>
        <w:spacing w:line="360" w:lineRule="auto"/>
        <w:ind w:firstLine="420"/>
      </w:pPr>
      <w:r>
        <w:rPr>
          <w:rFonts w:hint="eastAsia"/>
        </w:rPr>
        <w:t>本文件主要起草人：李栋。</w:t>
      </w:r>
    </w:p>
    <w:p w14:paraId="24C66E2A">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65339"/>
      <w:bookmarkStart w:id="25" w:name="BookMark3"/>
      <w:r>
        <w:rPr>
          <w:spacing w:val="320"/>
        </w:rPr>
        <w:t>引</w:t>
      </w:r>
      <w:r>
        <w:t>言</w:t>
      </w:r>
      <w:bookmarkEnd w:id="24"/>
    </w:p>
    <w:p w14:paraId="265BFCE3">
      <w:pPr>
        <w:pStyle w:val="56"/>
        <w:spacing w:line="360" w:lineRule="auto"/>
        <w:ind w:firstLine="420"/>
      </w:pPr>
      <w:r>
        <w:rPr>
          <w:rFonts w:hint="eastAsia"/>
        </w:rPr>
        <w:t>特种设备具有高风险、高能量密度与强公共安全属性等特征，其安全运行依赖于全过程监管、定期检验检测与风险防控。随着设备数量增长、服役环境复杂化、使用管理主体多元化以及监管精细化要求提升，传统以人工现场检验与分散记录为主的检验模式在检验资源统筹、过程一致性、证据链完整性、跨区域协同与风险预警能力等方面面临挑战。推动特种设备智慧检验与数字化服务系统建设，通过数据贯通、在线协同、智能辅助、证据留痕和监管联动，已成为提升检验质量、提高治理效率与增强风险防控能力的重要路径。</w:t>
      </w:r>
    </w:p>
    <w:p w14:paraId="7AC56A9A">
      <w:pPr>
        <w:pStyle w:val="56"/>
        <w:spacing w:line="360" w:lineRule="auto"/>
        <w:ind w:firstLine="420"/>
      </w:pPr>
      <w:r>
        <w:rPr>
          <w:rFonts w:hint="eastAsia"/>
        </w:rPr>
        <w:t>智慧检验与数字化服务系统不仅需要覆盖检验业务全流程（受理、计划、实施、出证、归档、复核、整改闭环），还需要面向现场作业的真实性、可靠性与可追溯性建立统一的技术底座，确保人员、设备、方法、数据与证据在统一标准下可共享、可验证。同时，系统建设还需兼顾特种设备类别差异、地区监管差异、检验机构组织形态差异，以及与监管平台、企业设备管理系统、计量检测系统等多系统的互联互通与数据安全要求，避免出现“数据口径不一致、接口不统一、留痕不足、算法不可控、系统孤岛”等问题。</w:t>
      </w:r>
    </w:p>
    <w:p w14:paraId="21ABEEBA">
      <w:pPr>
        <w:pStyle w:val="56"/>
        <w:spacing w:line="360" w:lineRule="auto"/>
        <w:ind w:firstLine="420"/>
      </w:pPr>
      <w:r>
        <w:rPr>
          <w:rFonts w:hint="eastAsia"/>
        </w:rPr>
        <w:t>本文件面向特种设备检验机构、相关服务机构、使用单位及监管支撑平台的建设与应用需求，规定智慧检验与数字化服务系统的总体架构、功能要求、数据与接口要求、智能化应用要求、信息安全与可靠性要求等，强调以“业务可落地、过程可控制、结果可验证、风险可预警、服务可评价”为目标，推动检验服务从“数字化记录”向“智慧化治理”提升。</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2F0E66A3">
          <w:pPr>
            <w:pStyle w:val="177"/>
            <w:spacing w:after="0"/>
          </w:pPr>
          <w:bookmarkStart w:id="27" w:name="NEW_STAND_NAME"/>
          <w:r>
            <w:rPr>
              <w:rFonts w:hint="eastAsia"/>
            </w:rPr>
            <w:t>特种设备智慧检验与数字化服务系统</w:t>
          </w:r>
        </w:p>
        <w:p w14:paraId="2A2AE3A7">
          <w:pPr>
            <w:pStyle w:val="177"/>
            <w:spacing w:before="0"/>
          </w:pPr>
          <w:r>
            <w:rPr>
              <w:rFonts w:hint="eastAsia"/>
            </w:rPr>
            <w:t>技术规范</w:t>
          </w:r>
        </w:p>
      </w:sdtContent>
    </w:sdt>
    <w:bookmarkEnd w:id="27"/>
    <w:p w14:paraId="4A6C50D7">
      <w:pPr>
        <w:pStyle w:val="104"/>
        <w:spacing w:before="240" w:after="240" w:line="360" w:lineRule="auto"/>
      </w:pPr>
      <w:bookmarkStart w:id="28" w:name="_Toc26986530"/>
      <w:bookmarkStart w:id="29" w:name="_Toc17233333"/>
      <w:bookmarkStart w:id="30" w:name="_Toc24884211"/>
      <w:bookmarkStart w:id="31" w:name="_Toc26648465"/>
      <w:bookmarkStart w:id="32" w:name="_Toc26986771"/>
      <w:bookmarkStart w:id="33" w:name="_Toc217465340"/>
      <w:bookmarkStart w:id="34" w:name="_Toc26718930"/>
      <w:bookmarkStart w:id="35" w:name="_Toc17233325"/>
      <w:bookmarkStart w:id="36" w:name="_Toc97192964"/>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25FBFAA5">
      <w:pPr>
        <w:pStyle w:val="56"/>
        <w:spacing w:line="360" w:lineRule="auto"/>
        <w:ind w:firstLine="420"/>
      </w:pPr>
      <w:bookmarkStart w:id="38" w:name="_Toc26648466"/>
      <w:bookmarkStart w:id="39" w:name="_Toc24884219"/>
      <w:bookmarkStart w:id="40" w:name="_Toc17233326"/>
      <w:bookmarkStart w:id="41" w:name="_Toc17233334"/>
      <w:bookmarkStart w:id="42" w:name="_Toc24884212"/>
      <w:r>
        <w:rPr>
          <w:rFonts w:hint="eastAsia"/>
        </w:rPr>
        <w:t>本文件规定了特种设备智慧检验与数字化服务系统的总体要求，技术要求，信息安全与可信要求，可靠性、性能与软件质量要求，行维护与服务管理要求及测试、验收与评价要求等内容。</w:t>
      </w:r>
    </w:p>
    <w:p w14:paraId="38661369">
      <w:pPr>
        <w:pStyle w:val="56"/>
        <w:spacing w:line="360" w:lineRule="auto"/>
        <w:ind w:firstLine="420"/>
      </w:pPr>
      <w:r>
        <w:rPr>
          <w:rFonts w:hint="eastAsia"/>
        </w:rPr>
        <w:t>本文件适用于特种设备检验检测机构、特种设备相关技术服务机构、特种设备使用单位以及为检验业务提供信息化平台与软件服务的单位开展智慧检验与数字化服务系统的规划、建设、实施、运行维护与评价。对于特定设备类别已有专门信息化或检验业务系统要求的，可在满足相关专用文件要求基础上参照本文件进行系统集成与能力提升。</w:t>
      </w:r>
    </w:p>
    <w:p w14:paraId="3F036BAD">
      <w:pPr>
        <w:pStyle w:val="104"/>
        <w:spacing w:before="240" w:after="240" w:line="360" w:lineRule="auto"/>
      </w:pPr>
      <w:bookmarkStart w:id="43" w:name="_Toc26986772"/>
      <w:bookmarkStart w:id="44" w:name="_Toc217465341"/>
      <w:bookmarkStart w:id="45" w:name="_Toc26718931"/>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BB2179">
      <w:pPr>
        <w:pStyle w:val="56"/>
        <w:spacing w:line="360" w:lineRule="auto"/>
        <w:ind w:firstLine="420"/>
      </w:pPr>
      <w:r>
        <w:rPr>
          <w:rFonts w:hint="eastAsia"/>
        </w:rPr>
        <w:t>GB/T 1.1 标准化工作导则 第1部分：标准化文件的结构和起草规则</w:t>
      </w:r>
    </w:p>
    <w:p w14:paraId="12E88312">
      <w:pPr>
        <w:pStyle w:val="56"/>
        <w:spacing w:line="360" w:lineRule="auto"/>
        <w:ind w:firstLine="420"/>
      </w:pPr>
      <w:r>
        <w:rPr>
          <w:rFonts w:hint="eastAsia"/>
        </w:rPr>
        <w:t>GB/T 7027 信息分类和编码的基本原则与方法</w:t>
      </w:r>
    </w:p>
    <w:p w14:paraId="5DF10CBD">
      <w:pPr>
        <w:pStyle w:val="56"/>
        <w:spacing w:line="360" w:lineRule="auto"/>
        <w:ind w:firstLine="420"/>
      </w:pPr>
      <w:r>
        <w:rPr>
          <w:rFonts w:hint="eastAsia"/>
        </w:rPr>
        <w:t>GB/T 22239 信息安全技术  网络安全等级保护基本要求</w:t>
      </w:r>
    </w:p>
    <w:p w14:paraId="0382917F">
      <w:pPr>
        <w:pStyle w:val="56"/>
        <w:spacing w:line="360" w:lineRule="auto"/>
        <w:ind w:firstLine="420"/>
      </w:pPr>
      <w:r>
        <w:rPr>
          <w:rFonts w:hint="eastAsia"/>
        </w:rPr>
        <w:t>GB/T 28448 信息安全技术  网络安全等级保护测评要求</w:t>
      </w:r>
    </w:p>
    <w:p w14:paraId="37533F2C">
      <w:pPr>
        <w:pStyle w:val="56"/>
        <w:spacing w:line="360" w:lineRule="auto"/>
        <w:ind w:firstLine="420"/>
      </w:pPr>
      <w:r>
        <w:rPr>
          <w:rFonts w:hint="eastAsia"/>
        </w:rPr>
        <w:t>GB/T 35273 信息安全技术  个人信息安全规范</w:t>
      </w:r>
    </w:p>
    <w:p w14:paraId="431458A7">
      <w:pPr>
        <w:pStyle w:val="56"/>
        <w:spacing w:line="360" w:lineRule="auto"/>
        <w:ind w:firstLine="420"/>
      </w:pPr>
      <w:r>
        <w:rPr>
          <w:rFonts w:hint="eastAsia"/>
        </w:rPr>
        <w:t>GB/T 39786 信息安全技术  信息系统密码应用基本要求</w:t>
      </w:r>
    </w:p>
    <w:p w14:paraId="24BB2DB0">
      <w:pPr>
        <w:pStyle w:val="104"/>
        <w:spacing w:before="240" w:after="240" w:line="360" w:lineRule="auto"/>
      </w:pPr>
      <w:bookmarkStart w:id="48" w:name="_Toc217465342"/>
      <w:bookmarkStart w:id="49" w:name="_Toc97192966"/>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15B261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特种设备 special equipment</w:t>
      </w:r>
    </w:p>
    <w:p w14:paraId="774390E9">
      <w:pPr>
        <w:pStyle w:val="56"/>
        <w:spacing w:line="360" w:lineRule="auto"/>
        <w:ind w:firstLine="420"/>
      </w:pPr>
      <w:r>
        <w:rPr>
          <w:rFonts w:hint="eastAsia"/>
        </w:rPr>
        <w:t>涉及生命安全、危险性较大的设备，包含锅炉、压力容器、压力管道、电梯、起重机械、客运索道、大型游乐设施、场（厂）内专用机动车辆等类别，具体以现行监管定义为准。</w:t>
      </w:r>
    </w:p>
    <w:p w14:paraId="0AC7C9F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智慧检验 intelligent inspection</w:t>
      </w:r>
    </w:p>
    <w:p w14:paraId="2D9B1E69">
      <w:pPr>
        <w:pStyle w:val="56"/>
        <w:spacing w:line="360" w:lineRule="auto"/>
        <w:ind w:firstLine="420"/>
      </w:pPr>
      <w:r>
        <w:rPr>
          <w:rFonts w:hint="eastAsia"/>
        </w:rPr>
        <w:t>以数字化业务流程为基础，综合应用物联网、移动计算、数据分析与智能辅助技术，实现检验任务组织、现场实施、证据留痕、风险识别与服务协同的检验模式。</w:t>
      </w:r>
    </w:p>
    <w:p w14:paraId="645655C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数字化服务 digital service</w:t>
      </w:r>
    </w:p>
    <w:p w14:paraId="5F24859C">
      <w:pPr>
        <w:pStyle w:val="56"/>
        <w:spacing w:line="360" w:lineRule="auto"/>
        <w:ind w:firstLine="420"/>
      </w:pPr>
      <w:r>
        <w:rPr>
          <w:rFonts w:hint="eastAsia"/>
        </w:rPr>
        <w:t>围绕检验业务与安全管理需求，通过信息系统向内部人员或外部相关方提供在线办理、信息查询、过程协同、提醒预警、报告交付与数据服务等能力。</w:t>
      </w:r>
    </w:p>
    <w:p w14:paraId="3C83B5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检验业务流程 inspection workflow</w:t>
      </w:r>
    </w:p>
    <w:p w14:paraId="23C7B423">
      <w:pPr>
        <w:pStyle w:val="56"/>
        <w:spacing w:line="360" w:lineRule="auto"/>
        <w:ind w:firstLine="420"/>
      </w:pPr>
      <w:r>
        <w:rPr>
          <w:rFonts w:hint="eastAsia"/>
        </w:rPr>
        <w:t>检验业务从受理、策划、实施、复核、出证、归档到整改闭环的全过程活动及其规则集合。</w:t>
      </w:r>
    </w:p>
    <w:p w14:paraId="70FB67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现场留痕现场取证 onsite evidence capture</w:t>
      </w:r>
    </w:p>
    <w:p w14:paraId="77BF9156">
      <w:pPr>
        <w:pStyle w:val="56"/>
        <w:spacing w:line="360" w:lineRule="auto"/>
        <w:ind w:firstLine="420"/>
      </w:pPr>
      <w:r>
        <w:rPr>
          <w:rFonts w:hint="eastAsia"/>
        </w:rPr>
        <w:t>在检验现场对关键操作、关键参数、关键部位与结论依据进行记录并形成可验证证据的过程，包括图片、视频、音频、测量数据、仪器日志与电子签名等。</w:t>
      </w:r>
    </w:p>
    <w:p w14:paraId="6E4E2F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电子检验记录 electronic inspection record</w:t>
      </w:r>
    </w:p>
    <w:p w14:paraId="48912A21">
      <w:pPr>
        <w:pStyle w:val="56"/>
        <w:spacing w:line="360" w:lineRule="auto"/>
        <w:ind w:firstLine="420"/>
      </w:pPr>
      <w:r>
        <w:rPr>
          <w:rFonts w:hint="eastAsia"/>
        </w:rPr>
        <w:t>以电子化方式形成并存储的检验原始记录及其附件集合，满足完整性、可追溯性与防篡改要求。</w:t>
      </w:r>
    </w:p>
    <w:p w14:paraId="119046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电子检验报告 electronic inspection report</w:t>
      </w:r>
    </w:p>
    <w:p w14:paraId="66E8B474">
      <w:pPr>
        <w:pStyle w:val="56"/>
        <w:spacing w:line="360" w:lineRule="auto"/>
        <w:ind w:firstLine="420"/>
      </w:pPr>
      <w:r>
        <w:rPr>
          <w:rFonts w:hint="eastAsia"/>
        </w:rPr>
        <w:t>基于检验记录与判定规则生成并经授权签发的电子化报告，包含报告编号、检验结论、判定依据与签发信息等。</w:t>
      </w:r>
    </w:p>
    <w:p w14:paraId="59D677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数据字典 data dictionary</w:t>
      </w:r>
    </w:p>
    <w:p w14:paraId="13AD4389">
      <w:pPr>
        <w:pStyle w:val="56"/>
        <w:spacing w:line="360" w:lineRule="auto"/>
        <w:ind w:firstLine="420"/>
      </w:pPr>
      <w:r>
        <w:rPr>
          <w:rFonts w:hint="eastAsia"/>
        </w:rPr>
        <w:t>对系统内数据元素的名称、含义、类型、取值范围、口径、来源、责任与质量规则进行统一定义的集合。</w:t>
      </w:r>
    </w:p>
    <w:p w14:paraId="43705E4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主数据 master data</w:t>
      </w:r>
    </w:p>
    <w:p w14:paraId="48DCF832">
      <w:pPr>
        <w:pStyle w:val="56"/>
        <w:spacing w:line="360" w:lineRule="auto"/>
        <w:ind w:firstLine="420"/>
      </w:pPr>
      <w:r>
        <w:rPr>
          <w:rFonts w:hint="eastAsia"/>
        </w:rPr>
        <w:t>在系统范围内相对稳定、需要统一标识与共享的基础数据，如设备档案、单位信息、人员资质、检验项目与缺陷代码等。</w:t>
      </w:r>
    </w:p>
    <w:p w14:paraId="58343B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互联互通 interoperability</w:t>
      </w:r>
    </w:p>
    <w:p w14:paraId="66D12DD5">
      <w:pPr>
        <w:pStyle w:val="56"/>
        <w:spacing w:line="360" w:lineRule="auto"/>
        <w:ind w:firstLine="420"/>
      </w:pPr>
      <w:r>
        <w:rPr>
          <w:rFonts w:hint="eastAsia"/>
        </w:rPr>
        <w:t>不同系统之间通过标准接口、统一标识与数据语义映射，实现数据交换、业务协同与联合查询的能力。</w:t>
      </w:r>
    </w:p>
    <w:p w14:paraId="5EDD70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风险预警 risk early warning</w:t>
      </w:r>
    </w:p>
    <w:p w14:paraId="702041AB">
      <w:pPr>
        <w:pStyle w:val="56"/>
        <w:spacing w:line="360" w:lineRule="auto"/>
        <w:ind w:firstLine="420"/>
      </w:pPr>
      <w:r>
        <w:rPr>
          <w:rFonts w:hint="eastAsia"/>
        </w:rPr>
        <w:t>基于设备状态、检验发现、运行工况、历史缺陷与外部事件等信息，对潜在风险进行识别、分级提示与处置联动的能力。</w:t>
      </w:r>
    </w:p>
    <w:p w14:paraId="09FE04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可信时间戳 trusted timestamp</w:t>
      </w:r>
    </w:p>
    <w:p w14:paraId="70F5C757">
      <w:pPr>
        <w:pStyle w:val="56"/>
        <w:spacing w:line="360" w:lineRule="auto"/>
        <w:ind w:firstLine="420"/>
      </w:pPr>
      <w:r>
        <w:rPr>
          <w:rFonts w:hint="eastAsia"/>
        </w:rPr>
        <w:t>用于证明数据在特定时间已经存在且未被篡改的时间证明机制。</w:t>
      </w:r>
    </w:p>
    <w:p w14:paraId="6CFE30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电子签名 electronic signature</w:t>
      </w:r>
    </w:p>
    <w:p w14:paraId="6E942C6B">
      <w:pPr>
        <w:pStyle w:val="56"/>
        <w:spacing w:line="360" w:lineRule="auto"/>
        <w:ind w:firstLine="420"/>
      </w:pPr>
      <w:r>
        <w:rPr>
          <w:rFonts w:hint="eastAsia"/>
        </w:rPr>
        <w:t>用于识别签名人身份并表明其对电子数据认可的电子形式签名信息。</w:t>
      </w:r>
    </w:p>
    <w:p w14:paraId="4E967D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算法模型 algorithmic model</w:t>
      </w:r>
    </w:p>
    <w:p w14:paraId="601A9710">
      <w:pPr>
        <w:pStyle w:val="56"/>
        <w:spacing w:line="360" w:lineRule="auto"/>
        <w:ind w:firstLine="420"/>
      </w:pPr>
      <w:r>
        <w:rPr>
          <w:rFonts w:hint="eastAsia"/>
        </w:rPr>
        <w:t>用于对检验辅助判断、缺陷识别、风险评分、工单推荐等任务进行计算的规则、统计或机器学习模型及其参数集合。</w:t>
      </w:r>
    </w:p>
    <w:p w14:paraId="6B48FDAB">
      <w:pPr>
        <w:pStyle w:val="104"/>
        <w:spacing w:before="240" w:after="240" w:line="360" w:lineRule="auto"/>
      </w:pPr>
      <w:bookmarkStart w:id="51" w:name="_Toc217465343"/>
      <w:r>
        <w:rPr>
          <w:rFonts w:hint="eastAsia"/>
        </w:rPr>
        <w:t>总体要求</w:t>
      </w:r>
      <w:bookmarkEnd w:id="51"/>
    </w:p>
    <w:p w14:paraId="6A388713">
      <w:pPr>
        <w:pStyle w:val="105"/>
        <w:spacing w:before="120" w:after="120" w:line="360" w:lineRule="auto"/>
      </w:pPr>
      <w:r>
        <w:rPr>
          <w:rFonts w:hint="eastAsia"/>
        </w:rPr>
        <w:t>基本原则</w:t>
      </w:r>
    </w:p>
    <w:p w14:paraId="214A1D32">
      <w:pPr>
        <w:pStyle w:val="56"/>
        <w:spacing w:line="360" w:lineRule="auto"/>
        <w:ind w:firstLine="420"/>
      </w:pPr>
      <w:r>
        <w:rPr>
          <w:rFonts w:hint="eastAsia"/>
        </w:rPr>
        <w:t>特种设备智慧检验与数字化服务系统建设与应用应坚持业务导向、风险导向、证据导向与安全导向。系统应以检验业务标准化为前提，以现场可执行与证据可追溯为核心，以数据贯通与协同服务为目标，确保系统功能与检验质量提升、监管协同和风险防控直接相关，避免形式化建设与重复录入。</w:t>
      </w:r>
    </w:p>
    <w:p w14:paraId="28B6C215">
      <w:pPr>
        <w:pStyle w:val="105"/>
        <w:spacing w:before="120" w:after="120" w:line="360" w:lineRule="auto"/>
      </w:pPr>
      <w:r>
        <w:rPr>
          <w:rFonts w:hint="eastAsia"/>
        </w:rPr>
        <w:t>建设范围与边界</w:t>
      </w:r>
    </w:p>
    <w:p w14:paraId="53029FB3">
      <w:pPr>
        <w:pStyle w:val="56"/>
        <w:spacing w:line="360" w:lineRule="auto"/>
        <w:ind w:firstLine="420"/>
      </w:pPr>
      <w:r>
        <w:rPr>
          <w:rFonts w:hint="eastAsia"/>
        </w:rPr>
        <w:t>系统建设应明确适用组织范围、设备类别范围、业务范围与地域范围。业务范围宜覆盖检验受理、任务派工、现场实施、缺陷管理、报告签发、整改复检、档案管理、收费结算、客户服务、统计分析与监管报送等。对涉及外部合作与外包作业的，应明确数据边界、责任边界与证据交付要求，确保链条不断裂。</w:t>
      </w:r>
    </w:p>
    <w:p w14:paraId="71F3E89A">
      <w:pPr>
        <w:pStyle w:val="105"/>
        <w:spacing w:before="120" w:after="120" w:line="360" w:lineRule="auto"/>
      </w:pPr>
      <w:r>
        <w:rPr>
          <w:rFonts w:hint="eastAsia"/>
        </w:rPr>
        <w:t>统一标识与标准化</w:t>
      </w:r>
    </w:p>
    <w:p w14:paraId="08ED9C8B">
      <w:pPr>
        <w:pStyle w:val="56"/>
        <w:spacing w:line="360" w:lineRule="auto"/>
        <w:ind w:firstLine="420"/>
      </w:pPr>
      <w:r>
        <w:rPr>
          <w:rFonts w:hint="eastAsia"/>
        </w:rPr>
        <w:t>系统应建立统一的设备标识、单位标识、人员标识、任务标识与报告编号规则，并形成数据字典与主数据管理机制。对跨系统共享的数据要素应实现语义一致、口径一致、编码一致，确保同一对象在不同环节可唯一映射与可追溯。</w:t>
      </w:r>
    </w:p>
    <w:p w14:paraId="70A20101">
      <w:pPr>
        <w:pStyle w:val="105"/>
        <w:spacing w:before="120" w:after="120" w:line="360" w:lineRule="auto"/>
      </w:pPr>
      <w:r>
        <w:rPr>
          <w:rFonts w:hint="eastAsia"/>
        </w:rPr>
        <w:t>过程控制与可追溯性</w:t>
      </w:r>
    </w:p>
    <w:p w14:paraId="2FFEE714">
      <w:pPr>
        <w:pStyle w:val="56"/>
        <w:spacing w:line="360" w:lineRule="auto"/>
        <w:ind w:firstLine="420"/>
      </w:pPr>
      <w:r>
        <w:rPr>
          <w:rFonts w:hint="eastAsia"/>
        </w:rPr>
        <w:t>系统应支撑检验全过程的过程控制要求，确保关键节点“可记录、可校验、可追踪”。对受理审批、任务派工、现场关键操作、关键测量数据、缺陷判定依据、复核签发、报告发放与整改闭环等节点，应具备强制留痕与审计追踪能力，并支持对记录版本与变更原因进行追溯。</w:t>
      </w:r>
    </w:p>
    <w:p w14:paraId="2C3DBAD6">
      <w:pPr>
        <w:pStyle w:val="105"/>
        <w:spacing w:before="120" w:after="120" w:line="360" w:lineRule="auto"/>
      </w:pPr>
      <w:r>
        <w:rPr>
          <w:rFonts w:hint="eastAsia"/>
        </w:rPr>
        <w:t>可靠性与安全性</w:t>
      </w:r>
    </w:p>
    <w:p w14:paraId="3542E6CD">
      <w:pPr>
        <w:pStyle w:val="56"/>
        <w:spacing w:line="360" w:lineRule="auto"/>
        <w:ind w:firstLine="420"/>
      </w:pPr>
      <w:r>
        <w:rPr>
          <w:rFonts w:hint="eastAsia"/>
        </w:rPr>
        <w:t>系统应具备适用的信息安全能力与可靠性保障能力。应实施身份鉴别、访问控制、数据加密、日志审计、漏洞管理、备份恢复与应急处置等措施，确保数据的机密性、完整性与可用性。对个人信息、企业敏感信息与关键基础设施相关数据，应实施分级分类保护与最小必要原则。</w:t>
      </w:r>
    </w:p>
    <w:p w14:paraId="3979F509">
      <w:pPr>
        <w:pStyle w:val="104"/>
        <w:spacing w:before="240" w:after="240" w:line="360" w:lineRule="auto"/>
      </w:pPr>
      <w:bookmarkStart w:id="52" w:name="_Toc217465344"/>
      <w:r>
        <w:rPr>
          <w:rFonts w:hint="eastAsia"/>
        </w:rPr>
        <w:t>技术要求</w:t>
      </w:r>
      <w:bookmarkEnd w:id="52"/>
    </w:p>
    <w:p w14:paraId="16BA2773">
      <w:pPr>
        <w:pStyle w:val="105"/>
        <w:spacing w:before="120" w:after="120" w:line="360" w:lineRule="auto"/>
      </w:pPr>
      <w:r>
        <w:rPr>
          <w:rFonts w:hint="eastAsia"/>
        </w:rPr>
        <w:t>系统架构与部署要求</w:t>
      </w:r>
    </w:p>
    <w:p w14:paraId="3E106FB6">
      <w:pPr>
        <w:pStyle w:val="65"/>
        <w:spacing w:before="120" w:after="120" w:line="360" w:lineRule="auto"/>
      </w:pPr>
      <w:r>
        <w:rPr>
          <w:rFonts w:hint="eastAsia"/>
        </w:rPr>
        <w:t>总体架构</w:t>
      </w:r>
    </w:p>
    <w:p w14:paraId="56392DE1">
      <w:pPr>
        <w:pStyle w:val="56"/>
        <w:spacing w:line="360" w:lineRule="auto"/>
        <w:ind w:firstLine="420"/>
      </w:pPr>
      <w:r>
        <w:rPr>
          <w:rFonts w:hint="eastAsia"/>
        </w:rPr>
        <w:t>系统宜采用分层分域架构，至少包括业务应用层、服务支撑层、数据资源层与安全运维层。业务应用层支撑检验业务全流程与外部服务；服务支撑层提供工作流引擎、规则引擎、消息通知、电子签章与报表引擎等通用能力；数据资源层提供主数据、业务数据、日志数据与数据仓库；安全运维层提供身份认证、权限管理、审计追踪、监控告警、备份恢复与配置管理。</w:t>
      </w:r>
    </w:p>
    <w:p w14:paraId="1D697976">
      <w:pPr>
        <w:pStyle w:val="65"/>
        <w:spacing w:before="120" w:after="120" w:line="360" w:lineRule="auto"/>
      </w:pPr>
      <w:r>
        <w:rPr>
          <w:rFonts w:hint="eastAsia"/>
        </w:rPr>
        <w:t>部署模式</w:t>
      </w:r>
    </w:p>
    <w:p w14:paraId="29F1EFB3">
      <w:pPr>
        <w:pStyle w:val="56"/>
        <w:spacing w:line="360" w:lineRule="auto"/>
        <w:ind w:firstLine="420"/>
      </w:pPr>
      <w:r>
        <w:rPr>
          <w:rFonts w:hint="eastAsia"/>
        </w:rPr>
        <w:t>系统可采用本地部署、私有云部署或符合要求的混合部署模式。部署模式应与组织规模、网络环境、监管对接要求与数据安全要求相适配。对跨地域、多机构协同场景，应支持多租户或多组织隔离，并保证组织间数据访问可控、接口调用可审计。</w:t>
      </w:r>
    </w:p>
    <w:p w14:paraId="3510F9ED">
      <w:pPr>
        <w:pStyle w:val="65"/>
        <w:spacing w:before="120" w:after="120" w:line="360" w:lineRule="auto"/>
      </w:pPr>
      <w:r>
        <w:rPr>
          <w:rFonts w:hint="eastAsia"/>
        </w:rPr>
        <w:t>终端与现场作业支持</w:t>
      </w:r>
    </w:p>
    <w:p w14:paraId="0C33C0C8">
      <w:pPr>
        <w:pStyle w:val="56"/>
        <w:spacing w:line="360" w:lineRule="auto"/>
        <w:ind w:firstLine="420"/>
      </w:pPr>
      <w:r>
        <w:rPr>
          <w:rFonts w:hint="eastAsia"/>
        </w:rPr>
        <w:t>系统应支持桌面端与移动端协同。移动端应满足现场离线作业、网络恢复自动补传、扫码识别、拍照录像取证、仪器数据接入、定位与时间戳采集、电子签名/确认等能力。现场终端应具备基本防护能力与安全策略，满足账号安全与数据本地缓存保护要求。</w:t>
      </w:r>
    </w:p>
    <w:p w14:paraId="5B36BD97">
      <w:pPr>
        <w:pStyle w:val="105"/>
        <w:spacing w:before="120" w:after="120" w:line="360" w:lineRule="auto"/>
      </w:pPr>
      <w:r>
        <w:rPr>
          <w:rFonts w:hint="eastAsia"/>
        </w:rPr>
        <w:t>业务功能要求</w:t>
      </w:r>
    </w:p>
    <w:p w14:paraId="21322473">
      <w:pPr>
        <w:pStyle w:val="65"/>
        <w:spacing w:before="120" w:after="120" w:line="360" w:lineRule="auto"/>
      </w:pPr>
      <w:r>
        <w:rPr>
          <w:rFonts w:hint="eastAsia"/>
        </w:rPr>
        <w:t>受理与任务管理</w:t>
      </w:r>
    </w:p>
    <w:p w14:paraId="5101EFA3">
      <w:pPr>
        <w:pStyle w:val="56"/>
        <w:spacing w:line="360" w:lineRule="auto"/>
        <w:ind w:firstLine="420"/>
      </w:pPr>
      <w:r>
        <w:rPr>
          <w:rFonts w:hint="eastAsia"/>
        </w:rPr>
        <w:t>系统应支持检验业务受理、资料提交、合同或委托信息管理、设备清单导入与核验、计划编制、任务派工、资源调度与进度跟踪。系统应支持按设备类别、区域、资质范围、人员能力与工作量等规则进行派工，并记录派工依据与变更原因，确保任务管理可追溯。</w:t>
      </w:r>
    </w:p>
    <w:p w14:paraId="5AD23EB6">
      <w:pPr>
        <w:pStyle w:val="65"/>
        <w:spacing w:before="120" w:after="120" w:line="360" w:lineRule="auto"/>
      </w:pPr>
      <w:r>
        <w:rPr>
          <w:rFonts w:hint="eastAsia"/>
        </w:rPr>
        <w:t>现场检验与电子记录</w:t>
      </w:r>
    </w:p>
    <w:p w14:paraId="26A53867">
      <w:pPr>
        <w:pStyle w:val="56"/>
        <w:spacing w:line="360" w:lineRule="auto"/>
        <w:ind w:firstLine="420"/>
      </w:pPr>
      <w:r>
        <w:rPr>
          <w:rFonts w:hint="eastAsia"/>
        </w:rPr>
        <w:t>系统应支持检验项目清单化配置与模板化管理，支持按检验规程生成检查表与数据录入界面。对于现场作业，系统应支持结构化记录与附件关联，至少包括：检验对象信息、检验条件确认、检验项目结果、测量数据、缺陷描述、风险提示、处置建议与现场确认信息。系统应具备必填校验、逻辑校验与异常提示能力，防止漏项、错填与结论不一致。</w:t>
      </w:r>
    </w:p>
    <w:p w14:paraId="36E3F1EB">
      <w:pPr>
        <w:pStyle w:val="65"/>
        <w:spacing w:before="120" w:after="120" w:line="360" w:lineRule="auto"/>
      </w:pPr>
      <w:r>
        <w:rPr>
          <w:rFonts w:hint="eastAsia"/>
        </w:rPr>
        <w:t>缺陷与隐患管理</w:t>
      </w:r>
    </w:p>
    <w:p w14:paraId="1A2465A2">
      <w:pPr>
        <w:pStyle w:val="56"/>
        <w:spacing w:line="360" w:lineRule="auto"/>
        <w:ind w:firstLine="420"/>
      </w:pPr>
      <w:r>
        <w:rPr>
          <w:rFonts w:hint="eastAsia"/>
        </w:rPr>
        <w:t>系统应支持缺陷分级、缺陷编码、缺陷位置标注、整改要求生成、复检计划与闭环验证。缺陷管理应与设备档案关联，支持同类缺陷统计、重复缺陷识别、整改超期预警与风险升级报告。对重大缺陷或重大隐患的处置，应支持应急流程与对外报告口径管理。</w:t>
      </w:r>
    </w:p>
    <w:p w14:paraId="4C55AD8D">
      <w:pPr>
        <w:pStyle w:val="65"/>
        <w:spacing w:before="120" w:after="120" w:line="360" w:lineRule="auto"/>
      </w:pPr>
      <w:r>
        <w:rPr>
          <w:rFonts w:hint="eastAsia"/>
        </w:rPr>
        <w:t>复核签发与报告交付</w:t>
      </w:r>
    </w:p>
    <w:p w14:paraId="4875C979">
      <w:pPr>
        <w:pStyle w:val="56"/>
        <w:spacing w:line="360" w:lineRule="auto"/>
        <w:ind w:firstLine="420"/>
      </w:pPr>
      <w:r>
        <w:rPr>
          <w:rFonts w:hint="eastAsia"/>
        </w:rPr>
        <w:t>系统应支持检验记录复核、报告自动生成、报告校验、签发授权控制与电子签章。报告签发应与人员资质、授权范围与岗位职责相匹配，支持多级复核与会签。系统应支持报告在线交付、下载水印、查验码校验与报告真伪验证，并保留交付记录与访问日志。</w:t>
      </w:r>
    </w:p>
    <w:p w14:paraId="455F3335">
      <w:pPr>
        <w:pStyle w:val="65"/>
        <w:spacing w:before="120" w:after="120" w:line="360" w:lineRule="auto"/>
      </w:pPr>
      <w:r>
        <w:rPr>
          <w:rFonts w:hint="eastAsia"/>
        </w:rPr>
        <w:t>档案与证据链管理</w:t>
      </w:r>
    </w:p>
    <w:p w14:paraId="3B1204EA">
      <w:pPr>
        <w:pStyle w:val="56"/>
        <w:spacing w:line="360" w:lineRule="auto"/>
        <w:ind w:firstLine="420"/>
      </w:pPr>
      <w:r>
        <w:rPr>
          <w:rFonts w:hint="eastAsia"/>
        </w:rPr>
        <w:t>系统应支持检验档案全生命周期管理，包括归档、调阅、封存、到期销毁与移交。档案应包含检验记录、附件证据、报告、整改资料、沟通记录与相关日志。系统应支持证据链视图化追溯，实现从报告结论回溯到原始记录、现场证据与仪器数据来源。</w:t>
      </w:r>
    </w:p>
    <w:p w14:paraId="55CCECE4">
      <w:pPr>
        <w:pStyle w:val="65"/>
        <w:spacing w:before="120" w:after="120" w:line="360" w:lineRule="auto"/>
      </w:pPr>
      <w:r>
        <w:rPr>
          <w:rFonts w:hint="eastAsia"/>
        </w:rPr>
        <w:t>客户服务与通知提醒</w:t>
      </w:r>
    </w:p>
    <w:p w14:paraId="26F4D8EB">
      <w:pPr>
        <w:pStyle w:val="56"/>
        <w:spacing w:line="360" w:lineRule="auto"/>
        <w:ind w:firstLine="420"/>
      </w:pPr>
      <w:r>
        <w:rPr>
          <w:rFonts w:hint="eastAsia"/>
        </w:rPr>
        <w:t>系统应面向使用单位提供在线服务门户，支持检验预约、资料补正、进度查询、报告查询、整改闭环提交与咨询反馈。系统应具备消息通知能力，支持到期提醒、任务变更提醒、整改超期提醒、风险预警提示等，并支持短信、邮件、应用消息等多通道配置（使用者可按合规要求启用）。</w:t>
      </w:r>
    </w:p>
    <w:p w14:paraId="1D6DE952">
      <w:pPr>
        <w:pStyle w:val="105"/>
        <w:spacing w:before="120" w:after="120" w:line="360" w:lineRule="auto"/>
      </w:pPr>
      <w:r>
        <w:rPr>
          <w:rFonts w:hint="eastAsia"/>
        </w:rPr>
        <w:t>数据要求与编码规则</w:t>
      </w:r>
    </w:p>
    <w:p w14:paraId="308FC1D5">
      <w:pPr>
        <w:pStyle w:val="65"/>
        <w:spacing w:before="120" w:after="120" w:line="360" w:lineRule="auto"/>
      </w:pPr>
      <w:r>
        <w:rPr>
          <w:rFonts w:hint="eastAsia"/>
        </w:rPr>
        <w:t>数据分类与数据字典</w:t>
      </w:r>
    </w:p>
    <w:p w14:paraId="413B39AA">
      <w:pPr>
        <w:pStyle w:val="56"/>
        <w:spacing w:line="360" w:lineRule="auto"/>
        <w:ind w:firstLine="420"/>
      </w:pPr>
      <w:r>
        <w:rPr>
          <w:rFonts w:hint="eastAsia"/>
        </w:rPr>
        <w:t>系统应建立数据分类分级与数据字典，明确数据元素的名称、定义、类型、取值范围、单位、口径说明、来源与质量规则。数据字典应受控管理，支持版本管理与变更评审，确保新增字段与接口字段保持一致。</w:t>
      </w:r>
    </w:p>
    <w:p w14:paraId="5CF8BDCC">
      <w:pPr>
        <w:pStyle w:val="65"/>
        <w:spacing w:before="120" w:after="120" w:line="360" w:lineRule="auto"/>
      </w:pPr>
      <w:r>
        <w:rPr>
          <w:rFonts w:hint="eastAsia"/>
        </w:rPr>
        <w:t>主数据管理</w:t>
      </w:r>
    </w:p>
    <w:p w14:paraId="658703A3">
      <w:pPr>
        <w:pStyle w:val="56"/>
        <w:spacing w:line="360" w:lineRule="auto"/>
        <w:ind w:firstLine="420"/>
      </w:pPr>
      <w:r>
        <w:rPr>
          <w:rFonts w:hint="eastAsia"/>
        </w:rPr>
        <w:t>系统应建立主数据管理机制，至少覆盖：设备基础档案、使用单位信息、检验机构组织与人员、资质与授权、检验项目与判定规则、缺陷代码与处置建议、仪器设备台账等。主数据应支持唯一标识、变更留痕与历史版本追溯，避免多源冲突。</w:t>
      </w:r>
    </w:p>
    <w:p w14:paraId="11C57EEB">
      <w:pPr>
        <w:pStyle w:val="65"/>
        <w:spacing w:before="120" w:after="120" w:line="360" w:lineRule="auto"/>
      </w:pPr>
      <w:r>
        <w:rPr>
          <w:rFonts w:hint="eastAsia"/>
        </w:rPr>
        <w:t>核心数据要素要求</w:t>
      </w:r>
    </w:p>
    <w:p w14:paraId="2F699F1C">
      <w:pPr>
        <w:pStyle w:val="56"/>
        <w:spacing w:line="360" w:lineRule="auto"/>
        <w:ind w:firstLine="420"/>
      </w:pPr>
      <w:r>
        <w:rPr>
          <w:rFonts w:hint="eastAsia"/>
        </w:rPr>
        <w:t>为确保业务可追溯与统计可用，系统核心数据要素宜满足“对象可定位、过程可复现、结论可解释、责任可追究”的要求。核心数据要素建议见表1。</w:t>
      </w:r>
    </w:p>
    <w:p w14:paraId="7722176D">
      <w:pPr>
        <w:pStyle w:val="112"/>
        <w:spacing w:before="120" w:after="120"/>
      </w:pPr>
      <w:r>
        <w:rPr>
          <w:rFonts w:hint="eastAsia"/>
        </w:rPr>
        <w:t>核心数据要素与质量规则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544"/>
        <w:gridCol w:w="3957"/>
      </w:tblGrid>
      <w:tr w14:paraId="4C36B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75711004">
            <w:pPr>
              <w:pStyle w:val="178"/>
            </w:pPr>
            <w:r>
              <w:rPr>
                <w:rFonts w:hint="eastAsia"/>
              </w:rPr>
              <w:t>数据类别</w:t>
            </w:r>
          </w:p>
        </w:tc>
        <w:tc>
          <w:tcPr>
            <w:tcW w:w="3544" w:type="dxa"/>
            <w:tcBorders>
              <w:top w:val="single" w:color="auto" w:sz="8" w:space="0"/>
              <w:bottom w:val="single" w:color="auto" w:sz="8" w:space="0"/>
            </w:tcBorders>
            <w:vAlign w:val="center"/>
          </w:tcPr>
          <w:p w14:paraId="0D806A42">
            <w:pPr>
              <w:pStyle w:val="178"/>
            </w:pPr>
            <w:r>
              <w:rPr>
                <w:rFonts w:hint="eastAsia"/>
              </w:rPr>
              <w:t>关键数据要素</w:t>
            </w:r>
          </w:p>
        </w:tc>
        <w:tc>
          <w:tcPr>
            <w:tcW w:w="3957" w:type="dxa"/>
            <w:tcBorders>
              <w:top w:val="single" w:color="auto" w:sz="8" w:space="0"/>
              <w:bottom w:val="single" w:color="auto" w:sz="8" w:space="0"/>
            </w:tcBorders>
            <w:vAlign w:val="center"/>
          </w:tcPr>
          <w:p w14:paraId="127922BF">
            <w:pPr>
              <w:pStyle w:val="178"/>
            </w:pPr>
            <w:r>
              <w:rPr>
                <w:rFonts w:hint="eastAsia"/>
              </w:rPr>
              <w:t>质量规则要求</w:t>
            </w:r>
          </w:p>
        </w:tc>
      </w:tr>
      <w:tr w14:paraId="388A1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6A5B7764">
            <w:pPr>
              <w:pStyle w:val="178"/>
            </w:pPr>
            <w:r>
              <w:rPr>
                <w:rFonts w:hint="eastAsia"/>
              </w:rPr>
              <w:t>设备档案</w:t>
            </w:r>
          </w:p>
        </w:tc>
        <w:tc>
          <w:tcPr>
            <w:tcW w:w="3544" w:type="dxa"/>
            <w:tcBorders>
              <w:top w:val="single" w:color="auto" w:sz="8" w:space="0"/>
            </w:tcBorders>
            <w:vAlign w:val="center"/>
          </w:tcPr>
          <w:p w14:paraId="52003402">
            <w:pPr>
              <w:pStyle w:val="178"/>
            </w:pPr>
            <w:r>
              <w:rPr>
                <w:rFonts w:hint="eastAsia"/>
              </w:rPr>
              <w:t>设备类别、编号/注册码、出厂信息、安装地点、投用日期、使用状态</w:t>
            </w:r>
          </w:p>
        </w:tc>
        <w:tc>
          <w:tcPr>
            <w:tcW w:w="3957" w:type="dxa"/>
            <w:tcBorders>
              <w:top w:val="single" w:color="auto" w:sz="8" w:space="0"/>
            </w:tcBorders>
            <w:vAlign w:val="center"/>
          </w:tcPr>
          <w:p w14:paraId="6CD81427">
            <w:pPr>
              <w:pStyle w:val="178"/>
            </w:pPr>
            <w:r>
              <w:rPr>
                <w:rFonts w:hint="eastAsia"/>
              </w:rPr>
              <w:t>唯一标识；变更需留痕；地点与单位需可校验</w:t>
            </w:r>
          </w:p>
        </w:tc>
      </w:tr>
      <w:tr w14:paraId="02684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25A5D7E1">
            <w:pPr>
              <w:pStyle w:val="178"/>
            </w:pPr>
            <w:r>
              <w:rPr>
                <w:rFonts w:hint="eastAsia"/>
              </w:rPr>
              <w:t>任务信息</w:t>
            </w:r>
          </w:p>
        </w:tc>
        <w:tc>
          <w:tcPr>
            <w:tcW w:w="3544" w:type="dxa"/>
            <w:vAlign w:val="center"/>
          </w:tcPr>
          <w:p w14:paraId="66579220">
            <w:pPr>
              <w:pStyle w:val="178"/>
            </w:pPr>
            <w:r>
              <w:rPr>
                <w:rFonts w:hint="eastAsia"/>
              </w:rPr>
              <w:t>任务编号、受理来源、检验类型、计划日期、派工规则、执行人员</w:t>
            </w:r>
          </w:p>
        </w:tc>
        <w:tc>
          <w:tcPr>
            <w:tcW w:w="3957" w:type="dxa"/>
            <w:vAlign w:val="center"/>
          </w:tcPr>
          <w:p w14:paraId="488DC917">
            <w:pPr>
              <w:pStyle w:val="178"/>
            </w:pPr>
            <w:r>
              <w:rPr>
                <w:rFonts w:hint="eastAsia"/>
              </w:rPr>
              <w:t>任务编号唯一；派工与变更记录可追溯</w:t>
            </w:r>
          </w:p>
        </w:tc>
      </w:tr>
      <w:tr w14:paraId="4B578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678A2E9">
            <w:pPr>
              <w:pStyle w:val="178"/>
            </w:pPr>
            <w:r>
              <w:rPr>
                <w:rFonts w:hint="eastAsia"/>
              </w:rPr>
              <w:t>现场记录</w:t>
            </w:r>
          </w:p>
        </w:tc>
        <w:tc>
          <w:tcPr>
            <w:tcW w:w="3544" w:type="dxa"/>
            <w:vAlign w:val="center"/>
          </w:tcPr>
          <w:p w14:paraId="0D0EC647">
            <w:pPr>
              <w:pStyle w:val="178"/>
            </w:pPr>
            <w:r>
              <w:rPr>
                <w:rFonts w:hint="eastAsia"/>
              </w:rPr>
              <w:t>检验项目结果、测量数据、判定依据、现场证据附件、时间地点</w:t>
            </w:r>
          </w:p>
        </w:tc>
        <w:tc>
          <w:tcPr>
            <w:tcW w:w="3957" w:type="dxa"/>
            <w:vAlign w:val="center"/>
          </w:tcPr>
          <w:p w14:paraId="0AD93F21">
            <w:pPr>
              <w:pStyle w:val="178"/>
            </w:pPr>
            <w:r>
              <w:rPr>
                <w:rFonts w:hint="eastAsia"/>
              </w:rPr>
              <w:t>必填校验；逻辑一致性校验；附件与项目关联</w:t>
            </w:r>
          </w:p>
        </w:tc>
      </w:tr>
      <w:tr w14:paraId="608A1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77CF603">
            <w:pPr>
              <w:pStyle w:val="178"/>
            </w:pPr>
            <w:r>
              <w:rPr>
                <w:rFonts w:hint="eastAsia"/>
              </w:rPr>
              <w:t>缺陷隐患</w:t>
            </w:r>
          </w:p>
        </w:tc>
        <w:tc>
          <w:tcPr>
            <w:tcW w:w="3544" w:type="dxa"/>
            <w:vAlign w:val="center"/>
          </w:tcPr>
          <w:p w14:paraId="0FF6CD53">
            <w:pPr>
              <w:pStyle w:val="178"/>
            </w:pPr>
            <w:r>
              <w:rPr>
                <w:rFonts w:hint="eastAsia"/>
              </w:rPr>
              <w:t>缺陷等级、代码、位置、描述、整改要求、期限、闭环状态</w:t>
            </w:r>
          </w:p>
        </w:tc>
        <w:tc>
          <w:tcPr>
            <w:tcW w:w="3957" w:type="dxa"/>
            <w:vAlign w:val="center"/>
          </w:tcPr>
          <w:p w14:paraId="0A2FA2ED">
            <w:pPr>
              <w:pStyle w:val="178"/>
            </w:pPr>
            <w:r>
              <w:rPr>
                <w:rFonts w:hint="eastAsia"/>
              </w:rPr>
              <w:t>分级规则一致；整改期限可配置；闭环证据必备</w:t>
            </w:r>
          </w:p>
        </w:tc>
      </w:tr>
      <w:tr w14:paraId="5A722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2C13231A">
            <w:pPr>
              <w:pStyle w:val="178"/>
            </w:pPr>
            <w:r>
              <w:rPr>
                <w:rFonts w:hint="eastAsia"/>
              </w:rPr>
              <w:t>报告出证</w:t>
            </w:r>
          </w:p>
        </w:tc>
        <w:tc>
          <w:tcPr>
            <w:tcW w:w="3544" w:type="dxa"/>
            <w:vAlign w:val="center"/>
          </w:tcPr>
          <w:p w14:paraId="753663C6">
            <w:pPr>
              <w:pStyle w:val="178"/>
            </w:pPr>
            <w:r>
              <w:rPr>
                <w:rFonts w:hint="eastAsia"/>
              </w:rPr>
              <w:t>报告编号、结论、签发人、签发时间、电子签章、查验信息</w:t>
            </w:r>
          </w:p>
        </w:tc>
        <w:tc>
          <w:tcPr>
            <w:tcW w:w="3957" w:type="dxa"/>
            <w:vAlign w:val="center"/>
          </w:tcPr>
          <w:p w14:paraId="429EA023">
            <w:pPr>
              <w:pStyle w:val="178"/>
            </w:pPr>
            <w:r>
              <w:rPr>
                <w:rFonts w:hint="eastAsia"/>
              </w:rPr>
              <w:t>签发权限校验；报告可验真；版本受控</w:t>
            </w:r>
          </w:p>
        </w:tc>
      </w:tr>
      <w:tr w14:paraId="43C85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683310D0">
            <w:pPr>
              <w:pStyle w:val="178"/>
            </w:pPr>
            <w:r>
              <w:rPr>
                <w:rFonts w:hint="eastAsia"/>
              </w:rPr>
              <w:t>交互日志</w:t>
            </w:r>
          </w:p>
        </w:tc>
        <w:tc>
          <w:tcPr>
            <w:tcW w:w="3544" w:type="dxa"/>
            <w:vAlign w:val="center"/>
          </w:tcPr>
          <w:p w14:paraId="0A18DD0C">
            <w:pPr>
              <w:pStyle w:val="178"/>
            </w:pPr>
            <w:r>
              <w:rPr>
                <w:rFonts w:hint="eastAsia"/>
              </w:rPr>
              <w:t>登录日志、操作日志、接口调用日志、数据导出记录</w:t>
            </w:r>
          </w:p>
        </w:tc>
        <w:tc>
          <w:tcPr>
            <w:tcW w:w="3957" w:type="dxa"/>
            <w:vAlign w:val="center"/>
          </w:tcPr>
          <w:p w14:paraId="76E4D4E5">
            <w:pPr>
              <w:pStyle w:val="178"/>
            </w:pPr>
            <w:r>
              <w:rPr>
                <w:rFonts w:hint="eastAsia"/>
              </w:rPr>
              <w:t>日志不可篡改；保存期限满足要求；可审计</w:t>
            </w:r>
          </w:p>
        </w:tc>
      </w:tr>
    </w:tbl>
    <w:p w14:paraId="12522CE8">
      <w:pPr>
        <w:pStyle w:val="65"/>
        <w:spacing w:before="120" w:after="120" w:line="360" w:lineRule="auto"/>
      </w:pPr>
      <w:r>
        <w:rPr>
          <w:rFonts w:hint="eastAsia"/>
        </w:rPr>
        <w:t>编码与编号规则</w:t>
      </w:r>
    </w:p>
    <w:p w14:paraId="6A79CF78">
      <w:pPr>
        <w:pStyle w:val="56"/>
        <w:spacing w:line="360" w:lineRule="auto"/>
        <w:ind w:firstLine="420"/>
      </w:pPr>
      <w:r>
        <w:rPr>
          <w:rFonts w:hint="eastAsia"/>
        </w:rPr>
        <w:t>系统应对设备、任务、记录、报告、缺陷与工单建立统一编码规则，编码应满足唯一性、可读性与可扩展性要求。编码规则应形成文件化说明并支持版本管理；当组织结构调整、系统迁移或跨平台对接时，应提供映射机制，确保历史数据可追溯。</w:t>
      </w:r>
    </w:p>
    <w:p w14:paraId="072519C9">
      <w:pPr>
        <w:pStyle w:val="105"/>
        <w:spacing w:before="120" w:after="120" w:line="360" w:lineRule="auto"/>
      </w:pPr>
      <w:r>
        <w:rPr>
          <w:rFonts w:hint="eastAsia"/>
        </w:rPr>
        <w:t>接口与互联互通要求</w:t>
      </w:r>
    </w:p>
    <w:p w14:paraId="355AE70C">
      <w:pPr>
        <w:pStyle w:val="65"/>
        <w:spacing w:before="120" w:after="120" w:line="360" w:lineRule="auto"/>
      </w:pPr>
      <w:r>
        <w:rPr>
          <w:rFonts w:hint="eastAsia"/>
        </w:rPr>
        <w:t>接口类型</w:t>
      </w:r>
    </w:p>
    <w:p w14:paraId="7437973E">
      <w:pPr>
        <w:pStyle w:val="56"/>
        <w:spacing w:line="360" w:lineRule="auto"/>
        <w:ind w:firstLine="420"/>
      </w:pPr>
      <w:r>
        <w:rPr>
          <w:rFonts w:hint="eastAsia"/>
        </w:rPr>
        <w:t>系统应支持与监管平台、计量与检测系统、设备管理系统、客户服务系统、电子签章平台、财务收费系统等进行对接。接口宜包括数据交换接口、业务协同接口与统一身份认证接口三类，并支持批量交换与实时交换两种模式。</w:t>
      </w:r>
    </w:p>
    <w:p w14:paraId="24DC7E1B">
      <w:pPr>
        <w:pStyle w:val="65"/>
        <w:spacing w:before="120" w:after="120" w:line="360" w:lineRule="auto"/>
      </w:pPr>
      <w:r>
        <w:rPr>
          <w:rFonts w:hint="eastAsia"/>
        </w:rPr>
        <w:t>数据交换要求</w:t>
      </w:r>
    </w:p>
    <w:p w14:paraId="45DC0CD1">
      <w:pPr>
        <w:pStyle w:val="56"/>
        <w:spacing w:line="360" w:lineRule="auto"/>
        <w:ind w:firstLine="420"/>
      </w:pPr>
      <w:r>
        <w:rPr>
          <w:rFonts w:hint="eastAsia"/>
        </w:rPr>
        <w:t>接口应明确数据格式、字段口径、编码规则、时间格式、传输协议、鉴权方式、加密方式、调用频率限制与异常重试策略。系统应支持接口调用留痕与追踪，记录调用方、调用时间、请求参数摘要、响应状态与错误码，便于审计与故障定位。</w:t>
      </w:r>
    </w:p>
    <w:p w14:paraId="2B58346A">
      <w:pPr>
        <w:pStyle w:val="65"/>
        <w:spacing w:before="120" w:after="120" w:line="360" w:lineRule="auto"/>
      </w:pPr>
      <w:r>
        <w:rPr>
          <w:rFonts w:hint="eastAsia"/>
        </w:rPr>
        <w:t>跨系统一致性与对账</w:t>
      </w:r>
    </w:p>
    <w:p w14:paraId="200221F8">
      <w:pPr>
        <w:pStyle w:val="56"/>
        <w:spacing w:line="360" w:lineRule="auto"/>
        <w:ind w:firstLine="420"/>
      </w:pPr>
      <w:r>
        <w:rPr>
          <w:rFonts w:hint="eastAsia"/>
        </w:rPr>
        <w:t>对跨系统共享的关键对象（设备、单位、人员、报告、缺陷等），系统应具备一致性校验与对账机制，避免出现“同设备多档案、同报告多版本、同缺陷多口径”等问题。对监管报送类数据，应支持报送前校验、报送后回执管理与差错更正流程。</w:t>
      </w:r>
    </w:p>
    <w:p w14:paraId="3963FEB1">
      <w:pPr>
        <w:pStyle w:val="105"/>
        <w:spacing w:before="120" w:after="120" w:line="360" w:lineRule="auto"/>
      </w:pPr>
      <w:r>
        <w:rPr>
          <w:rFonts w:hint="eastAsia"/>
        </w:rPr>
        <w:t>智能化应用与数字化服务要求</w:t>
      </w:r>
    </w:p>
    <w:p w14:paraId="27C46E49">
      <w:pPr>
        <w:pStyle w:val="65"/>
        <w:spacing w:before="120" w:after="120" w:line="360" w:lineRule="auto"/>
      </w:pPr>
      <w:r>
        <w:rPr>
          <w:rFonts w:hint="eastAsia"/>
        </w:rPr>
        <w:t>智能辅助范围与边界</w:t>
      </w:r>
    </w:p>
    <w:p w14:paraId="4C5BD461">
      <w:pPr>
        <w:pStyle w:val="56"/>
        <w:spacing w:line="360" w:lineRule="auto"/>
        <w:ind w:firstLine="420"/>
      </w:pPr>
      <w:r>
        <w:rPr>
          <w:rFonts w:hint="eastAsia"/>
        </w:rPr>
        <w:t>系统可提供智能辅助能力，如缺陷识别辅助、记录完整性检查、判定规则提示、风险评分、任务排程推荐、报告一致性核验等。智能辅助应以“辅助决策、可解释、可追溯”为原则，不应替代法定检验责任主体的专业判断与签发责任。对涉及安全结论的关键判定，应保留人工复核与最终确认机制。</w:t>
      </w:r>
    </w:p>
    <w:p w14:paraId="49F4E910">
      <w:pPr>
        <w:pStyle w:val="65"/>
        <w:spacing w:before="120" w:after="120" w:line="360" w:lineRule="auto"/>
      </w:pPr>
      <w:r>
        <w:rPr>
          <w:rFonts w:hint="eastAsia"/>
        </w:rPr>
        <w:t>模型管理与可解释性</w:t>
      </w:r>
    </w:p>
    <w:p w14:paraId="5B7132C0">
      <w:pPr>
        <w:pStyle w:val="56"/>
        <w:spacing w:line="360" w:lineRule="auto"/>
        <w:ind w:firstLine="420"/>
      </w:pPr>
      <w:r>
        <w:rPr>
          <w:rFonts w:hint="eastAsia"/>
        </w:rPr>
        <w:t>系统应对算法模型建立管理机制，至少包括模型版本、训练数据来源说明、适用范围、性能指标、偏差风险提示与上线审批流程。模型输出应提供必要的可解释信息，如依据的特征提示、置信度或规则命中情况，并支持对错误输出的反馈与闭环改进。</w:t>
      </w:r>
    </w:p>
    <w:p w14:paraId="68FE077F">
      <w:pPr>
        <w:pStyle w:val="65"/>
        <w:spacing w:before="120" w:after="120" w:line="360" w:lineRule="auto"/>
      </w:pPr>
      <w:r>
        <w:rPr>
          <w:rFonts w:hint="eastAsia"/>
        </w:rPr>
        <w:t>风险预警与服务指标</w:t>
      </w:r>
    </w:p>
    <w:p w14:paraId="67F06047">
      <w:pPr>
        <w:pStyle w:val="56"/>
        <w:spacing w:line="360" w:lineRule="auto"/>
        <w:ind w:firstLine="420"/>
      </w:pPr>
      <w:r>
        <w:rPr>
          <w:rFonts w:hint="eastAsia"/>
        </w:rPr>
        <w:t>系统应具备风险预警能力，基于缺陷分布、整改超期、重复缺陷、关键参数异常、设备高龄服役、检验结论趋势等信息进行分级预警，并明确预警触发、处置责任与升级路径。为保障数字化服务可用性与可评价性，系统服务指标建议见表2。</w:t>
      </w:r>
    </w:p>
    <w:p w14:paraId="71E9AFE6">
      <w:pPr>
        <w:pStyle w:val="112"/>
        <w:spacing w:before="120" w:after="120" w:line="360" w:lineRule="auto"/>
      </w:pPr>
      <w:r>
        <w:rPr>
          <w:rFonts w:hint="eastAsia"/>
        </w:rPr>
        <w:t>数字化服务能力指标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2693"/>
        <w:gridCol w:w="4524"/>
      </w:tblGrid>
      <w:tr w14:paraId="7D837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vAlign w:val="center"/>
          </w:tcPr>
          <w:p w14:paraId="06D7D347">
            <w:pPr>
              <w:pStyle w:val="178"/>
            </w:pPr>
            <w:r>
              <w:rPr>
                <w:rFonts w:hint="eastAsia"/>
              </w:rPr>
              <w:t>指标类别</w:t>
            </w:r>
          </w:p>
        </w:tc>
        <w:tc>
          <w:tcPr>
            <w:tcW w:w="2693" w:type="dxa"/>
            <w:tcBorders>
              <w:top w:val="single" w:color="auto" w:sz="8" w:space="0"/>
              <w:bottom w:val="single" w:color="auto" w:sz="8" w:space="0"/>
            </w:tcBorders>
            <w:vAlign w:val="center"/>
          </w:tcPr>
          <w:p w14:paraId="20D110A1">
            <w:pPr>
              <w:pStyle w:val="178"/>
            </w:pPr>
            <w:r>
              <w:rPr>
                <w:rFonts w:hint="eastAsia"/>
              </w:rPr>
              <w:t>指标名称</w:t>
            </w:r>
          </w:p>
        </w:tc>
        <w:tc>
          <w:tcPr>
            <w:tcW w:w="4524" w:type="dxa"/>
            <w:tcBorders>
              <w:top w:val="single" w:color="auto" w:sz="8" w:space="0"/>
              <w:bottom w:val="single" w:color="auto" w:sz="8" w:space="0"/>
            </w:tcBorders>
            <w:vAlign w:val="center"/>
          </w:tcPr>
          <w:p w14:paraId="0F77AF0F">
            <w:pPr>
              <w:pStyle w:val="178"/>
            </w:pPr>
            <w:r>
              <w:rPr>
                <w:rFonts w:hint="eastAsia"/>
              </w:rPr>
              <w:t>指标定义与要求</w:t>
            </w:r>
          </w:p>
        </w:tc>
      </w:tr>
      <w:tr w14:paraId="7DCF3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vAlign w:val="center"/>
          </w:tcPr>
          <w:p w14:paraId="37CFDCA0">
            <w:pPr>
              <w:pStyle w:val="178"/>
            </w:pPr>
            <w:r>
              <w:rPr>
                <w:rFonts w:hint="eastAsia"/>
              </w:rPr>
              <w:t>可用性</w:t>
            </w:r>
          </w:p>
        </w:tc>
        <w:tc>
          <w:tcPr>
            <w:tcW w:w="2693" w:type="dxa"/>
            <w:tcBorders>
              <w:top w:val="single" w:color="auto" w:sz="8" w:space="0"/>
            </w:tcBorders>
            <w:vAlign w:val="center"/>
          </w:tcPr>
          <w:p w14:paraId="3C4FC582">
            <w:pPr>
              <w:pStyle w:val="178"/>
            </w:pPr>
            <w:r>
              <w:rPr>
                <w:rFonts w:hint="eastAsia"/>
              </w:rPr>
              <w:t>系统可用率</w:t>
            </w:r>
          </w:p>
        </w:tc>
        <w:tc>
          <w:tcPr>
            <w:tcW w:w="4524" w:type="dxa"/>
            <w:tcBorders>
              <w:top w:val="single" w:color="auto" w:sz="8" w:space="0"/>
            </w:tcBorders>
            <w:vAlign w:val="center"/>
          </w:tcPr>
          <w:p w14:paraId="5B58EED5">
            <w:pPr>
              <w:pStyle w:val="178"/>
            </w:pPr>
            <w:r>
              <w:rPr>
                <w:rFonts w:hint="eastAsia"/>
              </w:rPr>
              <w:t>按统计周期计算；关键业务时段应满足既定目标</w:t>
            </w:r>
          </w:p>
        </w:tc>
      </w:tr>
      <w:tr w14:paraId="5B74D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259226F">
            <w:pPr>
              <w:pStyle w:val="178"/>
            </w:pPr>
            <w:r>
              <w:rPr>
                <w:rFonts w:hint="eastAsia"/>
              </w:rPr>
              <w:t>时效性</w:t>
            </w:r>
          </w:p>
        </w:tc>
        <w:tc>
          <w:tcPr>
            <w:tcW w:w="2693" w:type="dxa"/>
            <w:vAlign w:val="center"/>
          </w:tcPr>
          <w:p w14:paraId="008AA9CF">
            <w:pPr>
              <w:pStyle w:val="178"/>
            </w:pPr>
            <w:r>
              <w:rPr>
                <w:rFonts w:hint="eastAsia"/>
              </w:rPr>
              <w:t>报告出具时效</w:t>
            </w:r>
          </w:p>
        </w:tc>
        <w:tc>
          <w:tcPr>
            <w:tcW w:w="4524" w:type="dxa"/>
            <w:vAlign w:val="center"/>
          </w:tcPr>
          <w:p w14:paraId="62A1277D">
            <w:pPr>
              <w:pStyle w:val="178"/>
            </w:pPr>
            <w:r>
              <w:rPr>
                <w:rFonts w:hint="eastAsia"/>
              </w:rPr>
              <w:t>从检验完成到报告签发的时长；支持按类别统计</w:t>
            </w:r>
          </w:p>
        </w:tc>
      </w:tr>
      <w:tr w14:paraId="1BD5A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C58CDD9">
            <w:pPr>
              <w:pStyle w:val="178"/>
            </w:pPr>
            <w:r>
              <w:rPr>
                <w:rFonts w:hint="eastAsia"/>
              </w:rPr>
              <w:t>完整性</w:t>
            </w:r>
          </w:p>
        </w:tc>
        <w:tc>
          <w:tcPr>
            <w:tcW w:w="2693" w:type="dxa"/>
            <w:vAlign w:val="center"/>
          </w:tcPr>
          <w:p w14:paraId="65DDCEC1">
            <w:pPr>
              <w:pStyle w:val="178"/>
            </w:pPr>
            <w:r>
              <w:rPr>
                <w:rFonts w:hint="eastAsia"/>
              </w:rPr>
              <w:t>记录完整率</w:t>
            </w:r>
          </w:p>
        </w:tc>
        <w:tc>
          <w:tcPr>
            <w:tcW w:w="4524" w:type="dxa"/>
            <w:vAlign w:val="center"/>
          </w:tcPr>
          <w:p w14:paraId="0951A28D">
            <w:pPr>
              <w:pStyle w:val="178"/>
            </w:pPr>
            <w:r>
              <w:rPr>
                <w:rFonts w:hint="eastAsia"/>
              </w:rPr>
              <w:t>关键项目必填项填写完整比例；低于阈值触发整改</w:t>
            </w:r>
          </w:p>
        </w:tc>
      </w:tr>
      <w:tr w14:paraId="436F8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E4B89D4">
            <w:pPr>
              <w:pStyle w:val="178"/>
            </w:pPr>
            <w:r>
              <w:rPr>
                <w:rFonts w:hint="eastAsia"/>
              </w:rPr>
              <w:t>真实性</w:t>
            </w:r>
          </w:p>
        </w:tc>
        <w:tc>
          <w:tcPr>
            <w:tcW w:w="2693" w:type="dxa"/>
            <w:vAlign w:val="center"/>
          </w:tcPr>
          <w:p w14:paraId="62F37935">
            <w:pPr>
              <w:pStyle w:val="178"/>
            </w:pPr>
            <w:r>
              <w:rPr>
                <w:rFonts w:hint="eastAsia"/>
              </w:rPr>
              <w:t>现场证据匹配率</w:t>
            </w:r>
          </w:p>
        </w:tc>
        <w:tc>
          <w:tcPr>
            <w:tcW w:w="4524" w:type="dxa"/>
            <w:vAlign w:val="center"/>
          </w:tcPr>
          <w:p w14:paraId="317DD560">
            <w:pPr>
              <w:pStyle w:val="178"/>
            </w:pPr>
            <w:r>
              <w:rPr>
                <w:rFonts w:hint="eastAsia"/>
              </w:rPr>
              <w:t>关键项目与证据附件关联满足规则的比例</w:t>
            </w:r>
          </w:p>
        </w:tc>
      </w:tr>
      <w:tr w14:paraId="019AA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86790AB">
            <w:pPr>
              <w:pStyle w:val="178"/>
            </w:pPr>
            <w:r>
              <w:rPr>
                <w:rFonts w:hint="eastAsia"/>
              </w:rPr>
              <w:t>安全性</w:t>
            </w:r>
          </w:p>
        </w:tc>
        <w:tc>
          <w:tcPr>
            <w:tcW w:w="2693" w:type="dxa"/>
            <w:vAlign w:val="center"/>
          </w:tcPr>
          <w:p w14:paraId="2825B5A8">
            <w:pPr>
              <w:pStyle w:val="178"/>
            </w:pPr>
            <w:r>
              <w:rPr>
                <w:rFonts w:hint="eastAsia"/>
              </w:rPr>
              <w:t>高风险操作审计覆盖率</w:t>
            </w:r>
          </w:p>
        </w:tc>
        <w:tc>
          <w:tcPr>
            <w:tcW w:w="4524" w:type="dxa"/>
            <w:vAlign w:val="center"/>
          </w:tcPr>
          <w:p w14:paraId="49B6B716">
            <w:pPr>
              <w:pStyle w:val="178"/>
            </w:pPr>
            <w:r>
              <w:rPr>
                <w:rFonts w:hint="eastAsia"/>
              </w:rPr>
              <w:t>导出、删除、权限变更等高风险操作审计留痕比例</w:t>
            </w:r>
          </w:p>
        </w:tc>
      </w:tr>
      <w:tr w14:paraId="772B7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4AB7675">
            <w:pPr>
              <w:pStyle w:val="178"/>
            </w:pPr>
            <w:r>
              <w:rPr>
                <w:rFonts w:hint="eastAsia"/>
              </w:rPr>
              <w:t>协同性</w:t>
            </w:r>
          </w:p>
        </w:tc>
        <w:tc>
          <w:tcPr>
            <w:tcW w:w="2693" w:type="dxa"/>
            <w:vAlign w:val="center"/>
          </w:tcPr>
          <w:p w14:paraId="60EC2D89">
            <w:pPr>
              <w:pStyle w:val="178"/>
            </w:pPr>
            <w:r>
              <w:rPr>
                <w:rFonts w:hint="eastAsia"/>
              </w:rPr>
              <w:t>对接成功率</w:t>
            </w:r>
          </w:p>
        </w:tc>
        <w:tc>
          <w:tcPr>
            <w:tcW w:w="4524" w:type="dxa"/>
            <w:vAlign w:val="center"/>
          </w:tcPr>
          <w:p w14:paraId="5F9BCD9A">
            <w:pPr>
              <w:pStyle w:val="178"/>
            </w:pPr>
            <w:r>
              <w:rPr>
                <w:rFonts w:hint="eastAsia"/>
              </w:rPr>
              <w:t>与外部平台接口调用成功率与回执闭环率</w:t>
            </w:r>
          </w:p>
        </w:tc>
      </w:tr>
    </w:tbl>
    <w:p w14:paraId="10EF7639">
      <w:pPr>
        <w:pStyle w:val="65"/>
        <w:spacing w:before="120" w:after="120" w:line="360" w:lineRule="auto"/>
      </w:pPr>
      <w:r>
        <w:rPr>
          <w:rFonts w:hint="eastAsia"/>
        </w:rPr>
        <w:t>远程协同与在线服务</w:t>
      </w:r>
    </w:p>
    <w:p w14:paraId="3DC37FCB">
      <w:pPr>
        <w:pStyle w:val="56"/>
        <w:spacing w:line="360" w:lineRule="auto"/>
        <w:ind w:firstLine="420"/>
      </w:pPr>
      <w:r>
        <w:rPr>
          <w:rFonts w:hint="eastAsia"/>
        </w:rPr>
        <w:t>系统可支持远程协同能力，如远程视频协助、在线会审、在线整改提交与复核、在线咨询与工单流转等。远程协同应满足身份可信、过程留痕、资料受控与权限隔离要求；涉及现场结论的，应明确适用边界与证据要求，确保合规与可追溯。</w:t>
      </w:r>
    </w:p>
    <w:p w14:paraId="4B3DF4C3">
      <w:pPr>
        <w:pStyle w:val="104"/>
        <w:spacing w:before="240" w:after="240" w:line="360" w:lineRule="auto"/>
      </w:pPr>
      <w:bookmarkStart w:id="53" w:name="_Toc217465345"/>
      <w:r>
        <w:rPr>
          <w:rFonts w:hint="eastAsia"/>
        </w:rPr>
        <w:t>信息安全与可信要求</w:t>
      </w:r>
      <w:bookmarkEnd w:id="53"/>
    </w:p>
    <w:p w14:paraId="22E3ADFD">
      <w:pPr>
        <w:pStyle w:val="105"/>
        <w:spacing w:before="120" w:after="120" w:line="360" w:lineRule="auto"/>
      </w:pPr>
      <w:r>
        <w:rPr>
          <w:rFonts w:hint="eastAsia"/>
        </w:rPr>
        <w:t>总体要求</w:t>
      </w:r>
    </w:p>
    <w:p w14:paraId="1267762D">
      <w:pPr>
        <w:pStyle w:val="165"/>
        <w:spacing w:line="360" w:lineRule="auto"/>
      </w:pPr>
      <w:r>
        <w:rPr>
          <w:rFonts w:hint="eastAsia"/>
        </w:rPr>
        <w:t>系统应建立覆盖“人员—终端—网络—平台—数据—接口—运维”的纵深防护体系，满足业务连续性与安全合规要求。系统安全建设应遵循分级分类、最小必要、边界清晰、责任可追、审计可证的原则，确保检验数据在采集、传输、存储、使用、共享、归档与销毁全过程的机密性、完整性与可用性。</w:t>
      </w:r>
    </w:p>
    <w:p w14:paraId="369ADDF3">
      <w:pPr>
        <w:pStyle w:val="165"/>
        <w:spacing w:line="360" w:lineRule="auto"/>
      </w:pPr>
      <w:r>
        <w:rPr>
          <w:rFonts w:hint="eastAsia"/>
        </w:rPr>
        <w:t>系统应结合组织信息化管理体系与安全等级保护相关要求，明确安全目标、适用范围、风险评估方法与控制措施，并形成可验证的文件化信息。对涉及公共安全、关键基础设施或监管报送的重要数据，应按更高等级控制要求进行设计与实施。</w:t>
      </w:r>
    </w:p>
    <w:p w14:paraId="637C2D52">
      <w:pPr>
        <w:pStyle w:val="105"/>
        <w:spacing w:before="120" w:after="120" w:line="360" w:lineRule="auto"/>
      </w:pPr>
      <w:r>
        <w:rPr>
          <w:rFonts w:hint="eastAsia"/>
        </w:rPr>
        <w:t>身份鉴别与访问控制</w:t>
      </w:r>
    </w:p>
    <w:p w14:paraId="0BCC372E">
      <w:pPr>
        <w:pStyle w:val="56"/>
        <w:spacing w:line="360" w:lineRule="auto"/>
        <w:ind w:firstLine="420"/>
      </w:pPr>
      <w:r>
        <w:rPr>
          <w:rFonts w:hint="eastAsia"/>
        </w:rPr>
        <w:t>系统应建立统一身份认证机制，支持账号生命周期管理与身份唯一性校验，并满足不同角色、不同组织、不同业务域的隔离要求。为保证访问控制可落地且可审计，系统应至少满足以下要求：</w:t>
      </w:r>
    </w:p>
    <w:p w14:paraId="346D9A61">
      <w:pPr>
        <w:pStyle w:val="56"/>
        <w:spacing w:line="360" w:lineRule="auto"/>
        <w:ind w:firstLine="420"/>
      </w:pPr>
      <w:r>
        <w:rPr>
          <w:rFonts w:hint="eastAsia"/>
        </w:rPr>
        <w:t>a) 基于角色的访问控制，按“岗位职责—业务范围—数据范围”三维授权；</w:t>
      </w:r>
    </w:p>
    <w:p w14:paraId="6BC85DB1">
      <w:pPr>
        <w:pStyle w:val="56"/>
        <w:spacing w:line="360" w:lineRule="auto"/>
        <w:ind w:firstLine="420"/>
      </w:pPr>
      <w:r>
        <w:rPr>
          <w:rFonts w:hint="eastAsia"/>
        </w:rPr>
        <w:t>b) 支持最小权限与按需授权，避免“默认全开”或授权失控；</w:t>
      </w:r>
    </w:p>
    <w:p w14:paraId="00BF4312">
      <w:pPr>
        <w:pStyle w:val="56"/>
        <w:spacing w:line="360" w:lineRule="auto"/>
        <w:ind w:firstLine="420"/>
      </w:pPr>
      <w:r>
        <w:rPr>
          <w:rFonts w:hint="eastAsia"/>
        </w:rPr>
        <w:t>c) 对高风险操作实施二次确认或增强认证，必要时启用多因素认证；</w:t>
      </w:r>
    </w:p>
    <w:p w14:paraId="447CAF14">
      <w:pPr>
        <w:pStyle w:val="56"/>
        <w:spacing w:line="360" w:lineRule="auto"/>
        <w:ind w:firstLine="420"/>
      </w:pPr>
      <w:r>
        <w:rPr>
          <w:rFonts w:hint="eastAsia"/>
        </w:rPr>
        <w:t>d) 支持权限变更留痕与权限定期复核，权限回收及时；</w:t>
      </w:r>
    </w:p>
    <w:p w14:paraId="7E556C2D">
      <w:pPr>
        <w:pStyle w:val="56"/>
        <w:spacing w:line="360" w:lineRule="auto"/>
        <w:ind w:firstLine="420"/>
      </w:pPr>
      <w:r>
        <w:rPr>
          <w:rFonts w:hint="eastAsia"/>
        </w:rPr>
        <w:t>e) 支持组织级、项目级、设备类别级的数据隔离与访问边界控制。</w:t>
      </w:r>
    </w:p>
    <w:p w14:paraId="36D9932E">
      <w:pPr>
        <w:pStyle w:val="105"/>
        <w:spacing w:before="120" w:after="120" w:line="360" w:lineRule="auto"/>
      </w:pPr>
      <w:r>
        <w:rPr>
          <w:rFonts w:hint="eastAsia"/>
        </w:rPr>
        <w:t>数据安全与隐私保护</w:t>
      </w:r>
    </w:p>
    <w:p w14:paraId="3AAD3422">
      <w:pPr>
        <w:pStyle w:val="165"/>
        <w:spacing w:line="360" w:lineRule="auto"/>
      </w:pPr>
      <w:r>
        <w:rPr>
          <w:rFonts w:hint="eastAsia"/>
        </w:rPr>
        <w:t>系统应对数据进行分类分级管理，明确敏感数据范围、共享边界与脱敏策略。对涉及个人信息、企业敏感经营信息、关键部位影像资料、设备运行状态与缺陷细节等数据，应实施访问控制、加密存储、脱敏展示与受控导出等措施。系统应明确对外服务端可展示的内容范围，避免因过度公开导致安全风险或商业秘密泄露。</w:t>
      </w:r>
    </w:p>
    <w:p w14:paraId="583A43B9">
      <w:pPr>
        <w:pStyle w:val="165"/>
        <w:spacing w:line="360" w:lineRule="auto"/>
      </w:pPr>
      <w:r>
        <w:rPr>
          <w:rFonts w:hint="eastAsia"/>
        </w:rPr>
        <w:t>系统应具备数据导出审批与水印策略，对导出行为至少记录导出人、导出时间、导出范围、导出原因与导出文件摘要信息。系统应支持按法规或制度要求对数据进行留存与删除，确保数据处理可追溯、可证明、可审计。</w:t>
      </w:r>
    </w:p>
    <w:p w14:paraId="4418C870">
      <w:pPr>
        <w:pStyle w:val="105"/>
        <w:spacing w:before="120" w:after="120" w:line="360" w:lineRule="auto"/>
      </w:pPr>
      <w:r>
        <w:rPr>
          <w:rFonts w:hint="eastAsia"/>
        </w:rPr>
        <w:t>数据完整性与防篡改</w:t>
      </w:r>
    </w:p>
    <w:p w14:paraId="55E2D0A7">
      <w:pPr>
        <w:pStyle w:val="56"/>
        <w:spacing w:line="360" w:lineRule="auto"/>
        <w:ind w:firstLine="420"/>
      </w:pPr>
      <w:r>
        <w:rPr>
          <w:rFonts w:hint="eastAsia"/>
        </w:rPr>
        <w:t>系统应建立数据完整性控制机制，确保关键业务数据“可校验、可追踪、可还原”。针对检验记录、附件证据、仪器测量数据、报告签发数据、整改闭环资料等关键数据，系统应满足以下要求：</w:t>
      </w:r>
    </w:p>
    <w:p w14:paraId="796B8782">
      <w:pPr>
        <w:pStyle w:val="56"/>
        <w:spacing w:line="360" w:lineRule="auto"/>
        <w:ind w:firstLine="420"/>
      </w:pPr>
      <w:r>
        <w:rPr>
          <w:rFonts w:hint="eastAsia"/>
        </w:rPr>
        <w:t>a) 支持记录版本控制，保留历史版本与差异信息；</w:t>
      </w:r>
    </w:p>
    <w:p w14:paraId="2D3A7532">
      <w:pPr>
        <w:pStyle w:val="56"/>
        <w:spacing w:line="360" w:lineRule="auto"/>
        <w:ind w:firstLine="420"/>
      </w:pPr>
      <w:r>
        <w:rPr>
          <w:rFonts w:hint="eastAsia"/>
        </w:rPr>
        <w:t>b) 支持修改审批或复核，记录修改前后值、修改原因、修改人及时间；</w:t>
      </w:r>
    </w:p>
    <w:p w14:paraId="36AED974">
      <w:pPr>
        <w:pStyle w:val="56"/>
        <w:spacing w:line="360" w:lineRule="auto"/>
        <w:ind w:firstLine="420"/>
      </w:pPr>
      <w:r>
        <w:rPr>
          <w:rFonts w:hint="eastAsia"/>
        </w:rPr>
        <w:t>c) 支持日志审计与不可抵赖性，关键链路日志应具备防篡改能力；</w:t>
      </w:r>
    </w:p>
    <w:p w14:paraId="6CD90C42">
      <w:pPr>
        <w:pStyle w:val="56"/>
        <w:spacing w:line="360" w:lineRule="auto"/>
        <w:ind w:firstLine="420"/>
      </w:pPr>
      <w:r>
        <w:rPr>
          <w:rFonts w:hint="eastAsia"/>
        </w:rPr>
        <w:t>d) 对关键结论数据宜采用校验机制（如摘要校验、可信时间戳或电子签名等）增强防篡改能力；</w:t>
      </w:r>
    </w:p>
    <w:p w14:paraId="5DB82700">
      <w:pPr>
        <w:pStyle w:val="56"/>
        <w:spacing w:line="360" w:lineRule="auto"/>
        <w:ind w:firstLine="420"/>
      </w:pPr>
      <w:r>
        <w:rPr>
          <w:rFonts w:hint="eastAsia"/>
        </w:rPr>
        <w:t>e) 支持证据链一致性校验，确保报告结论可回溯至原始记录与证据来源。</w:t>
      </w:r>
    </w:p>
    <w:p w14:paraId="7ECACB98">
      <w:pPr>
        <w:pStyle w:val="105"/>
        <w:spacing w:before="120" w:after="120" w:line="360" w:lineRule="auto"/>
      </w:pPr>
      <w:r>
        <w:rPr>
          <w:rFonts w:hint="eastAsia"/>
        </w:rPr>
        <w:t>网络与接口安全</w:t>
      </w:r>
    </w:p>
    <w:p w14:paraId="028A9A4B">
      <w:pPr>
        <w:pStyle w:val="165"/>
        <w:spacing w:line="360" w:lineRule="auto"/>
      </w:pPr>
      <w:r>
        <w:rPr>
          <w:rFonts w:hint="eastAsia"/>
        </w:rPr>
        <w:t>系统应对接口调用实施鉴权与加密传输，明确接口调用方身份、授权范围与调用频率限制，并具备异常访问检测与阻断能力。对跨网访问、跨域对接或互联网服务门户，应通过安全网关、反向代理或隔离区等方式实施边界防护。</w:t>
      </w:r>
    </w:p>
    <w:p w14:paraId="38E5C60C">
      <w:pPr>
        <w:pStyle w:val="165"/>
        <w:spacing w:line="360" w:lineRule="auto"/>
      </w:pPr>
      <w:r>
        <w:rPr>
          <w:rFonts w:hint="eastAsia"/>
        </w:rPr>
        <w:t>系统应具备接口安全审计能力，记录接口调用的关键要素，包括调用方标识、调用时间、请求摘要、响应状态与错误原因，并支持按事件追踪与溯源分析。接口数据交换应支持重放防护与签名校验（或同等强度机制），防止篡改与伪造。</w:t>
      </w:r>
    </w:p>
    <w:p w14:paraId="2311D7B0">
      <w:pPr>
        <w:pStyle w:val="105"/>
        <w:spacing w:before="120" w:after="120" w:line="360" w:lineRule="auto"/>
      </w:pPr>
      <w:r>
        <w:rPr>
          <w:rFonts w:hint="eastAsia"/>
        </w:rPr>
        <w:t>安全运维与漏洞管理</w:t>
      </w:r>
    </w:p>
    <w:p w14:paraId="65A08A5D">
      <w:pPr>
        <w:pStyle w:val="165"/>
        <w:spacing w:line="360" w:lineRule="auto"/>
      </w:pPr>
      <w:r>
        <w:rPr>
          <w:rFonts w:hint="eastAsia"/>
        </w:rPr>
        <w:t>系统应建立安全运维制度与应急处置机制，至少包括安全基线、补丁管理、漏洞扫描、入侵检测、告警处置、应急预案与演练要求。对关键组件、第三方库与移动端应用，应开展供应链安全评估与版本可控管理，避免引入高风险依赖。</w:t>
      </w:r>
    </w:p>
    <w:p w14:paraId="37E0058D">
      <w:pPr>
        <w:pStyle w:val="165"/>
        <w:spacing w:line="360" w:lineRule="auto"/>
      </w:pPr>
      <w:r>
        <w:rPr>
          <w:rFonts w:hint="eastAsia"/>
        </w:rPr>
        <w:t>系统应对安全事件建立分级处置流程，明确发现、研判、隔离、止损、恢复与复盘要求。复盘结论应形成纠正与预防措施，并纳入系统改进计划。</w:t>
      </w:r>
    </w:p>
    <w:p w14:paraId="7F89101E">
      <w:pPr>
        <w:pStyle w:val="104"/>
        <w:spacing w:before="240" w:after="240" w:line="360" w:lineRule="auto"/>
      </w:pPr>
      <w:bookmarkStart w:id="54" w:name="_Toc217465346"/>
      <w:r>
        <w:rPr>
          <w:rFonts w:hint="eastAsia"/>
        </w:rPr>
        <w:t>可靠性、性能与软件质量要求</w:t>
      </w:r>
      <w:bookmarkEnd w:id="54"/>
    </w:p>
    <w:p w14:paraId="483C5698">
      <w:pPr>
        <w:pStyle w:val="105"/>
        <w:spacing w:before="120" w:after="120" w:line="360" w:lineRule="auto"/>
      </w:pPr>
      <w:r>
        <w:rPr>
          <w:rFonts w:hint="eastAsia"/>
        </w:rPr>
        <w:t>总体要求</w:t>
      </w:r>
    </w:p>
    <w:p w14:paraId="2D7F173A">
      <w:pPr>
        <w:pStyle w:val="56"/>
        <w:spacing w:line="360" w:lineRule="auto"/>
        <w:ind w:firstLine="420"/>
      </w:pPr>
      <w:r>
        <w:rPr>
          <w:rFonts w:hint="eastAsia"/>
        </w:rPr>
        <w:t>系统应满足检验业务高并发、跨地域协同与现场离线作业等典型场景的可靠性与性能要求。系统应建立软件质量管理机制，确保功能正确、性能稳定、易用可维护，并支持持续迭代升级而不影响业务连续性。</w:t>
      </w:r>
    </w:p>
    <w:p w14:paraId="57C4CA07">
      <w:pPr>
        <w:pStyle w:val="105"/>
        <w:spacing w:before="120" w:after="120" w:line="360" w:lineRule="auto"/>
      </w:pPr>
      <w:r>
        <w:rPr>
          <w:rFonts w:hint="eastAsia"/>
        </w:rPr>
        <w:t>可用性与容错能力</w:t>
      </w:r>
    </w:p>
    <w:p w14:paraId="66FF3422">
      <w:pPr>
        <w:pStyle w:val="56"/>
        <w:spacing w:line="360" w:lineRule="auto"/>
        <w:ind w:firstLine="420"/>
      </w:pPr>
      <w:r>
        <w:rPr>
          <w:rFonts w:hint="eastAsia"/>
        </w:rPr>
        <w:t>系统应具备高可用设计与故障容错能力，至少满足以下要求：</w:t>
      </w:r>
    </w:p>
    <w:p w14:paraId="677FFD00">
      <w:pPr>
        <w:pStyle w:val="56"/>
        <w:spacing w:line="360" w:lineRule="auto"/>
        <w:ind w:firstLine="420"/>
      </w:pPr>
      <w:r>
        <w:rPr>
          <w:rFonts w:hint="eastAsia"/>
        </w:rPr>
        <w:t>a) 关键服务组件支持冗余部署或快速切换，避免单点故障；</w:t>
      </w:r>
    </w:p>
    <w:p w14:paraId="3419E47C">
      <w:pPr>
        <w:pStyle w:val="56"/>
        <w:spacing w:line="360" w:lineRule="auto"/>
        <w:ind w:firstLine="420"/>
      </w:pPr>
      <w:r>
        <w:rPr>
          <w:rFonts w:hint="eastAsia"/>
        </w:rPr>
        <w:t>b) 支持业务降级策略，在部分组件异常时保障核心业务可运行；</w:t>
      </w:r>
    </w:p>
    <w:p w14:paraId="605F29B5">
      <w:pPr>
        <w:pStyle w:val="56"/>
        <w:spacing w:line="360" w:lineRule="auto"/>
        <w:ind w:firstLine="420"/>
      </w:pPr>
      <w:r>
        <w:rPr>
          <w:rFonts w:hint="eastAsia"/>
        </w:rPr>
        <w:t>c) 支持故障自检与健康监测，告警信息可定位到组件与链路；</w:t>
      </w:r>
    </w:p>
    <w:p w14:paraId="3DCFFB97">
      <w:pPr>
        <w:pStyle w:val="56"/>
        <w:spacing w:line="360" w:lineRule="auto"/>
        <w:ind w:firstLine="420"/>
      </w:pPr>
      <w:r>
        <w:rPr>
          <w:rFonts w:hint="eastAsia"/>
        </w:rPr>
        <w:t>d) 支持断点续传与任务状态恢复，确保现场数据不丢失；</w:t>
      </w:r>
    </w:p>
    <w:p w14:paraId="6EF3ACD7">
      <w:pPr>
        <w:pStyle w:val="56"/>
        <w:spacing w:line="360" w:lineRule="auto"/>
        <w:ind w:firstLine="420"/>
      </w:pPr>
      <w:r>
        <w:rPr>
          <w:rFonts w:hint="eastAsia"/>
        </w:rPr>
        <w:t>e) 支持明确的服务窗口与变更窗口管理，减少对现场作业影响。</w:t>
      </w:r>
    </w:p>
    <w:p w14:paraId="04C8930B">
      <w:pPr>
        <w:pStyle w:val="105"/>
        <w:spacing w:before="120" w:after="120" w:line="360" w:lineRule="auto"/>
      </w:pPr>
      <w:r>
        <w:rPr>
          <w:rFonts w:hint="eastAsia"/>
        </w:rPr>
        <w:t>性能要求</w:t>
      </w:r>
    </w:p>
    <w:p w14:paraId="142BCC85">
      <w:pPr>
        <w:pStyle w:val="56"/>
        <w:spacing w:line="360" w:lineRule="auto"/>
        <w:ind w:firstLine="420"/>
      </w:pPr>
      <w:r>
        <w:rPr>
          <w:rFonts w:hint="eastAsia"/>
        </w:rPr>
        <w:t>系统应能够在规定响应时间内完成主要业务操作，并支持按组织规模与设备数量水平扩展。性能要求应覆盖登录鉴权、任务检索、记录保存、附件上传、报告生成、批量导入导出、接口交换与统计报表等关键功能。系统应支持性能压测与容量评估，形成性能基线并随版本迭代更新。</w:t>
      </w:r>
    </w:p>
    <w:p w14:paraId="2E60C11E">
      <w:pPr>
        <w:pStyle w:val="105"/>
        <w:spacing w:before="120" w:after="120" w:line="360" w:lineRule="auto"/>
      </w:pPr>
      <w:r>
        <w:rPr>
          <w:rFonts w:hint="eastAsia"/>
        </w:rPr>
        <w:t>兼容性与可扩展性</w:t>
      </w:r>
    </w:p>
    <w:p w14:paraId="589940BF">
      <w:pPr>
        <w:pStyle w:val="56"/>
        <w:spacing w:line="360" w:lineRule="auto"/>
        <w:ind w:firstLine="420"/>
      </w:pPr>
      <w:r>
        <w:rPr>
          <w:rFonts w:hint="eastAsia"/>
        </w:rPr>
        <w:t>系统应支持主流浏览器与移动终端适配，并满足跨平台部署需求。系统应具备模块化与组件化架构，支持设备类别扩展、检验项目模板扩展、缺陷代码扩展、报表扩展与接口扩展。扩展应避免对既有数据结构造成破坏性影响，并应保留兼容策略与迁移方案。</w:t>
      </w:r>
    </w:p>
    <w:p w14:paraId="3AF8738A">
      <w:pPr>
        <w:pStyle w:val="105"/>
        <w:spacing w:before="120" w:after="120" w:line="360" w:lineRule="auto"/>
      </w:pPr>
      <w:r>
        <w:rPr>
          <w:rFonts w:hint="eastAsia"/>
        </w:rPr>
        <w:t>易用性与现场可操作性</w:t>
      </w:r>
    </w:p>
    <w:p w14:paraId="6B9F58CF">
      <w:pPr>
        <w:pStyle w:val="56"/>
        <w:spacing w:line="360" w:lineRule="auto"/>
        <w:ind w:firstLine="420"/>
      </w:pPr>
      <w:r>
        <w:rPr>
          <w:rFonts w:hint="eastAsia"/>
        </w:rPr>
        <w:t>系统界面与交互设计应满足检验现场作业特点，减少输入负担与误操作。系统宜提供模板化录入、默认值、语音输入、拍照自动关联、扫码自动带入信息等能力，并对关键操作提供引导提示与异常提醒。系统应支持无障碍与低网速场景的可用性优化，确保在复杂环境下仍可稳定完成记录与取证。</w:t>
      </w:r>
    </w:p>
    <w:p w14:paraId="4DF4F549">
      <w:pPr>
        <w:pStyle w:val="104"/>
        <w:spacing w:before="240" w:after="240" w:line="360" w:lineRule="auto"/>
      </w:pPr>
      <w:bookmarkStart w:id="55" w:name="_Toc217465347"/>
      <w:r>
        <w:rPr>
          <w:rFonts w:hint="eastAsia"/>
        </w:rPr>
        <w:t>运行维护与服务管理要求</w:t>
      </w:r>
      <w:bookmarkEnd w:id="55"/>
    </w:p>
    <w:p w14:paraId="73C5E1C5">
      <w:pPr>
        <w:pStyle w:val="105"/>
        <w:spacing w:before="120" w:after="120" w:line="360" w:lineRule="auto"/>
      </w:pPr>
      <w:r>
        <w:rPr>
          <w:rFonts w:hint="eastAsia"/>
        </w:rPr>
        <w:t>维组织与职责</w:t>
      </w:r>
    </w:p>
    <w:p w14:paraId="4E399742">
      <w:pPr>
        <w:pStyle w:val="56"/>
        <w:spacing w:line="360" w:lineRule="auto"/>
        <w:ind w:firstLine="420"/>
      </w:pPr>
      <w:r>
        <w:rPr>
          <w:rFonts w:hint="eastAsia"/>
        </w:rPr>
        <w:t>系统建设单位或运维单位应建立与系统规模相匹配的运维组织与职责体系，明确应用运维、数据运维、安全运维与接口运维责任边界。运维职责应覆盖日常监控、故障处理、版本发布、配置管理、数据质量治理、权限管理与用户支持等内容，并形成可追溯的运维记录。</w:t>
      </w:r>
    </w:p>
    <w:p w14:paraId="23686D40">
      <w:pPr>
        <w:pStyle w:val="105"/>
        <w:spacing w:before="120" w:after="120" w:line="360" w:lineRule="auto"/>
      </w:pPr>
      <w:r>
        <w:rPr>
          <w:rFonts w:hint="eastAsia"/>
        </w:rPr>
        <w:t>配置管理与变更控制</w:t>
      </w:r>
    </w:p>
    <w:p w14:paraId="10008484">
      <w:pPr>
        <w:pStyle w:val="56"/>
        <w:spacing w:line="360" w:lineRule="auto"/>
        <w:ind w:firstLine="420"/>
      </w:pPr>
      <w:r>
        <w:rPr>
          <w:rFonts w:hint="eastAsia"/>
        </w:rPr>
        <w:t>系统应建立配置项清单，至少包括系统参数、编码规则、模板配置、规则引擎配置、接口配置、组织与角色配置等。系统变更应实施评审与审批，明确变更范围、风险评估、回退方案、验证策略与发布窗口。对影响现场作业与报告出证的关键变更，应开展灰度发布或分批发布，并确保业务不中断。</w:t>
      </w:r>
    </w:p>
    <w:p w14:paraId="7BD92F8A">
      <w:pPr>
        <w:pStyle w:val="105"/>
        <w:spacing w:before="120" w:after="120" w:line="360" w:lineRule="auto"/>
      </w:pPr>
      <w:r>
        <w:rPr>
          <w:rFonts w:hint="eastAsia"/>
        </w:rPr>
        <w:t>日志管理与审计追踪</w:t>
      </w:r>
    </w:p>
    <w:p w14:paraId="774CB1DA">
      <w:pPr>
        <w:pStyle w:val="56"/>
        <w:spacing w:line="360" w:lineRule="auto"/>
        <w:ind w:firstLine="420"/>
      </w:pPr>
      <w:r>
        <w:rPr>
          <w:rFonts w:hint="eastAsia"/>
        </w:rPr>
        <w:t>系统应建立日志分级与留存策略，至少包括访问日志、操作日志、业务日志、接口日志、安全日志与异常日志。日志应满足可检索、可关联与可分析要求，支持按人员、任务、设备、时间与事件维度的追踪。对关键日志应设置防篡改与备份机制，并明确保存期限与调阅流程。</w:t>
      </w:r>
    </w:p>
    <w:p w14:paraId="195AB4E9">
      <w:pPr>
        <w:pStyle w:val="105"/>
        <w:spacing w:before="120" w:after="120" w:line="360" w:lineRule="auto"/>
      </w:pPr>
      <w:r>
        <w:rPr>
          <w:rFonts w:hint="eastAsia"/>
        </w:rPr>
        <w:t>备份恢复与业务连续性</w:t>
      </w:r>
    </w:p>
    <w:p w14:paraId="4895B5EF">
      <w:pPr>
        <w:pStyle w:val="56"/>
        <w:spacing w:line="360" w:lineRule="auto"/>
        <w:ind w:firstLine="420"/>
      </w:pPr>
      <w:r>
        <w:rPr>
          <w:rFonts w:hint="eastAsia"/>
        </w:rPr>
        <w:t>系统应制定备份策略与恢复策略，至少包括数据备份、配置备份与关键文件备份。备份应满足异地或离线保存要求（视安全等级与业务重要性确定），并定期开展恢复演练，验证可用性与恢复时间目标。对现场移动端缓存数据，应建立本地加密与安全清除策略，防止终端丢失导致数据泄露。</w:t>
      </w:r>
    </w:p>
    <w:p w14:paraId="38ED056D">
      <w:pPr>
        <w:pStyle w:val="105"/>
        <w:spacing w:before="120" w:after="120" w:line="360" w:lineRule="auto"/>
      </w:pPr>
      <w:r>
        <w:rPr>
          <w:rFonts w:hint="eastAsia"/>
        </w:rPr>
        <w:t>数据质量治理与主数据维护</w:t>
      </w:r>
    </w:p>
    <w:p w14:paraId="0484AB9F">
      <w:pPr>
        <w:pStyle w:val="56"/>
        <w:spacing w:line="360" w:lineRule="auto"/>
        <w:ind w:firstLine="420"/>
      </w:pPr>
      <w:r>
        <w:rPr>
          <w:rFonts w:hint="eastAsia"/>
        </w:rPr>
        <w:t>系统应建立数据质量管理机制，明确数据质量规则、异常识别、纠错流程与责任分工。对主数据的新增、变更与停用应实施审批与版本管理，避免因主数据不一致造成检验记录无法关联、报告统计失真或对外报送错误。数据治理应形成周期性报告，作为管理评审与持续改进输入。</w:t>
      </w:r>
    </w:p>
    <w:p w14:paraId="30316041">
      <w:pPr>
        <w:pStyle w:val="105"/>
        <w:spacing w:before="120" w:after="120" w:line="360" w:lineRule="auto"/>
      </w:pPr>
      <w:r>
        <w:rPr>
          <w:rFonts w:hint="eastAsia"/>
        </w:rPr>
        <w:t>用户支持与服务水平管理</w:t>
      </w:r>
    </w:p>
    <w:p w14:paraId="6C079F11">
      <w:pPr>
        <w:pStyle w:val="56"/>
        <w:spacing w:line="360" w:lineRule="auto"/>
        <w:ind w:firstLine="420"/>
      </w:pPr>
      <w:r>
        <w:rPr>
          <w:rFonts w:hint="eastAsia"/>
        </w:rPr>
        <w:t>系统应建立用户服务台或支持渠道，提供账号开通、权限申请、使用咨询、故障报修、培训支持与需求收集。对外服务门户应明确服务时间、响应时限与升级路径。系统宜建立服务水平指标并持续监测，指标可覆盖响应时效、故障修复时长、用户满意度与培训覆盖率等，用于推动服务改进。</w:t>
      </w:r>
    </w:p>
    <w:p w14:paraId="4FAC07A5">
      <w:pPr>
        <w:pStyle w:val="104"/>
        <w:spacing w:before="240" w:after="240" w:line="360" w:lineRule="auto"/>
      </w:pPr>
      <w:bookmarkStart w:id="56" w:name="_Toc217465348"/>
      <w:r>
        <w:rPr>
          <w:rFonts w:hint="eastAsia"/>
        </w:rPr>
        <w:t>测试、验收与评价要求</w:t>
      </w:r>
      <w:bookmarkEnd w:id="56"/>
    </w:p>
    <w:p w14:paraId="15AE2CDF">
      <w:pPr>
        <w:pStyle w:val="105"/>
        <w:spacing w:before="120" w:after="120" w:line="360" w:lineRule="auto"/>
      </w:pPr>
      <w:r>
        <w:rPr>
          <w:rFonts w:hint="eastAsia"/>
        </w:rPr>
        <w:t>测试要求</w:t>
      </w:r>
    </w:p>
    <w:p w14:paraId="4332235A">
      <w:pPr>
        <w:pStyle w:val="165"/>
        <w:spacing w:line="360" w:lineRule="auto"/>
      </w:pPr>
      <w:r>
        <w:rPr>
          <w:rFonts w:hint="eastAsia"/>
        </w:rPr>
        <w:t>系统上线前应开展覆盖功能、性能、安全、兼容性与可用性的测试，并形成测试计划、测试用例、测试报告与缺陷闭环记录。测试应包含典型业务场景穿行验证，确保从受理到出证、从缺陷管理到整改闭环、从数据对接到报送回执等链路可用且数据一致。</w:t>
      </w:r>
    </w:p>
    <w:p w14:paraId="3CFC115A">
      <w:pPr>
        <w:pStyle w:val="165"/>
        <w:spacing w:line="360" w:lineRule="auto"/>
      </w:pPr>
      <w:r>
        <w:rPr>
          <w:rFonts w:hint="eastAsia"/>
        </w:rPr>
        <w:t>对智能化功能的测试应重点验证适用边界、错误输出的可识别性与人工复核机制有效性，并对模型版本、参数与输出记录进行留痕管理，确保可追溯与可解释。</w:t>
      </w:r>
    </w:p>
    <w:p w14:paraId="03FE86B0">
      <w:pPr>
        <w:pStyle w:val="105"/>
        <w:spacing w:before="120" w:after="120" w:line="360" w:lineRule="auto"/>
      </w:pPr>
      <w:r>
        <w:rPr>
          <w:rFonts w:hint="eastAsia"/>
        </w:rPr>
        <w:t>验收要求</w:t>
      </w:r>
    </w:p>
    <w:p w14:paraId="4D91F266">
      <w:pPr>
        <w:pStyle w:val="165"/>
      </w:pPr>
      <w:r>
        <w:rPr>
          <w:rFonts w:hint="eastAsia"/>
        </w:rPr>
        <w:t>系统验收应以需求与本文件要求为依据，至少包括资料验收、功能验收、数据验收、接口验收、安全验收与运维交接验收。验收应关注以下方面：</w:t>
      </w:r>
    </w:p>
    <w:p w14:paraId="730D1D13">
      <w:pPr>
        <w:pStyle w:val="56"/>
        <w:spacing w:line="360" w:lineRule="auto"/>
        <w:ind w:firstLine="420"/>
      </w:pPr>
      <w:r>
        <w:rPr>
          <w:rFonts w:hint="eastAsia"/>
        </w:rPr>
        <w:t>a) 业务流程覆盖完整、关键控制点留痕有效；</w:t>
      </w:r>
    </w:p>
    <w:p w14:paraId="592162ED">
      <w:pPr>
        <w:pStyle w:val="56"/>
        <w:spacing w:line="360" w:lineRule="auto"/>
        <w:ind w:firstLine="420"/>
      </w:pPr>
      <w:r>
        <w:rPr>
          <w:rFonts w:hint="eastAsia"/>
        </w:rPr>
        <w:t>b) 编码规则、数据字典与主数据机制可用；</w:t>
      </w:r>
    </w:p>
    <w:p w14:paraId="70DD1634">
      <w:pPr>
        <w:pStyle w:val="56"/>
        <w:spacing w:line="360" w:lineRule="auto"/>
        <w:ind w:firstLine="420"/>
      </w:pPr>
      <w:r>
        <w:rPr>
          <w:rFonts w:hint="eastAsia"/>
        </w:rPr>
        <w:t>c) 电子记录、电子报告、电子签章与验真机制可运行；</w:t>
      </w:r>
    </w:p>
    <w:p w14:paraId="6CA9CF9C">
      <w:pPr>
        <w:pStyle w:val="56"/>
        <w:spacing w:line="360" w:lineRule="auto"/>
        <w:ind w:firstLine="420"/>
      </w:pPr>
      <w:r>
        <w:rPr>
          <w:rFonts w:hint="eastAsia"/>
        </w:rPr>
        <w:t>d) 接口对接数据口径一致、日志留痕齐全、异常处置可闭环；</w:t>
      </w:r>
    </w:p>
    <w:p w14:paraId="498E844A">
      <w:pPr>
        <w:pStyle w:val="56"/>
        <w:spacing w:line="360" w:lineRule="auto"/>
        <w:ind w:firstLine="420"/>
      </w:pPr>
      <w:r>
        <w:rPr>
          <w:rFonts w:hint="eastAsia"/>
        </w:rPr>
        <w:t>e) 安全控制措施满足既定安全目标，审计追踪可用；</w:t>
      </w:r>
    </w:p>
    <w:p w14:paraId="7B75E505">
      <w:pPr>
        <w:pStyle w:val="56"/>
        <w:spacing w:line="360" w:lineRule="auto"/>
        <w:ind w:firstLine="420"/>
      </w:pPr>
      <w:r>
        <w:rPr>
          <w:rFonts w:hint="eastAsia"/>
        </w:rPr>
        <w:t>f) 运维体系与交接资料完备，备份恢复演练通过。</w:t>
      </w:r>
    </w:p>
    <w:p w14:paraId="4B625ED7">
      <w:pPr>
        <w:pStyle w:val="165"/>
      </w:pPr>
      <w:r>
        <w:rPr>
          <w:rFonts w:hint="eastAsia"/>
        </w:rPr>
        <w:t>验收应输出验收报告与问题整改清单，对未通过项应明确整改责任、整改时限与复验要求。</w:t>
      </w:r>
    </w:p>
    <w:p w14:paraId="1D4D89DD">
      <w:pPr>
        <w:pStyle w:val="105"/>
        <w:spacing w:before="120" w:after="120" w:line="360" w:lineRule="auto"/>
      </w:pPr>
      <w:r>
        <w:rPr>
          <w:rFonts w:hint="eastAsia"/>
        </w:rPr>
        <w:t>运行评价与持续改进</w:t>
      </w:r>
    </w:p>
    <w:p w14:paraId="412AADDF">
      <w:pPr>
        <w:pStyle w:val="56"/>
        <w:spacing w:line="360" w:lineRule="auto"/>
        <w:ind w:firstLine="420"/>
      </w:pPr>
      <w:r>
        <w:rPr>
          <w:rFonts w:hint="eastAsia"/>
        </w:rPr>
        <w:t>系统上线运行后，检验机构应建立运行评价机制，定期对系统支撑检验质量、效率提升、风险防控与服务体验的效果进行评价。评价输入宜包括：系统运行指标、数据质量指标、用户反馈、审计与检查发现、监管反馈、典型事件复盘等。评价结论应形成改进计划并纳入版本迭代，推动系统持续优化。</w:t>
      </w:r>
    </w:p>
    <w:p w14:paraId="17800F2E">
      <w:pPr>
        <w:pStyle w:val="104"/>
        <w:spacing w:before="240" w:after="240" w:line="360" w:lineRule="auto"/>
      </w:pPr>
      <w:bookmarkStart w:id="57" w:name="_Toc217465349"/>
      <w:r>
        <w:rPr>
          <w:rFonts w:hint="eastAsia"/>
        </w:rPr>
        <w:t>附则</w:t>
      </w:r>
      <w:bookmarkEnd w:id="57"/>
    </w:p>
    <w:p w14:paraId="0D889243">
      <w:pPr>
        <w:pStyle w:val="162"/>
        <w:spacing w:line="360" w:lineRule="auto"/>
      </w:pPr>
      <w:r>
        <w:rPr>
          <w:rFonts w:hint="eastAsia"/>
        </w:rPr>
        <w:t>本文件由发布机构负责解释。</w:t>
      </w:r>
    </w:p>
    <w:p w14:paraId="4B5FD11B">
      <w:pPr>
        <w:pStyle w:val="162"/>
        <w:spacing w:line="360" w:lineRule="auto"/>
      </w:pPr>
      <w:r>
        <w:rPr>
          <w:rFonts w:hint="eastAsia"/>
        </w:rPr>
        <w:t>本文件实施过程中，使用者可结合设备类别、机构规模与属地监管要求制定配套实施细则，但不应降低本文件对关键节点留痕、数据一致性、安全控制与审计追踪的要求。</w:t>
      </w:r>
    </w:p>
    <w:p w14:paraId="5A8C54CB">
      <w:pPr>
        <w:pStyle w:val="162"/>
        <w:spacing w:line="360" w:lineRule="auto"/>
      </w:pPr>
      <w:r>
        <w:rPr>
          <w:rFonts w:hint="eastAsia"/>
        </w:rPr>
        <w:t>本文件未尽事项应符合国家现行有关法律法规、行政规章及特种设备安全技术规范的要求。</w:t>
      </w:r>
    </w:p>
    <w:bookmarkEnd w:id="26"/>
    <w:p w14:paraId="2D0DFBC6">
      <w:pPr>
        <w:pStyle w:val="56"/>
        <w:ind w:firstLine="0" w:firstLineChars="0"/>
        <w:jc w:val="center"/>
      </w:pPr>
      <w:bookmarkStart w:id="58" w:name="BookMark8"/>
      <w:r>
        <w:drawing>
          <wp:inline distT="0" distB="0" distL="0" distR="0">
            <wp:extent cx="1485900" cy="317500"/>
            <wp:effectExtent l="0" t="0" r="0" b="6350"/>
            <wp:docPr id="718816474" name="图片 5"/>
            <wp:cNvGraphicFramePr/>
            <a:graphic xmlns:a="http://schemas.openxmlformats.org/drawingml/2006/main">
              <a:graphicData uri="http://schemas.openxmlformats.org/drawingml/2006/picture">
                <pic:pic xmlns:pic="http://schemas.openxmlformats.org/drawingml/2006/picture">
                  <pic:nvPicPr>
                    <pic:cNvPr id="718816474"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FF68">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024D">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657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0170—2025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0170—2025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21BA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0170—2025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2D5B">
    <w:pPr>
      <w:pStyle w:val="61"/>
    </w:pPr>
    <w:r>
      <w:fldChar w:fldCharType="begin"/>
    </w:r>
    <w:r>
      <w:instrText xml:space="preserve"> STYLEREF  标准文件_文件编号  \* MERGEFORMAT </w:instrText>
    </w:r>
    <w:r>
      <w:fldChar w:fldCharType="separate"/>
    </w:r>
    <w:r>
      <w:t>T/XZBX 0170—2025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37A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0170—2025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0170—2025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qgUApHEVBy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10B"/>
    <w:rsid w:val="0016770A"/>
    <w:rsid w:val="00170804"/>
    <w:rsid w:val="001708E9"/>
    <w:rsid w:val="0017340B"/>
    <w:rsid w:val="00173FB1"/>
    <w:rsid w:val="00176DFD"/>
    <w:rsid w:val="001837B5"/>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2DF"/>
    <w:rsid w:val="00292D60"/>
    <w:rsid w:val="00293B30"/>
    <w:rsid w:val="00294529"/>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0B1"/>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6C0"/>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508"/>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E0E"/>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43E"/>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B3A"/>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BAA"/>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87B"/>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409"/>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50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DB9"/>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93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1AEBAD52">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62BCCC0E">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4F78FBE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112362"/>
    <w:rsid w:val="0016710B"/>
    <w:rsid w:val="00390C1B"/>
    <w:rsid w:val="003F7276"/>
    <w:rsid w:val="005729BB"/>
    <w:rsid w:val="007A3DC8"/>
    <w:rsid w:val="00C55E7A"/>
    <w:rsid w:val="00D27FB0"/>
    <w:rsid w:val="00F9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BCC73F4814DF2B25CA2AC39057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9486</Words>
  <Characters>9900</Characters>
  <Lines>80</Lines>
  <Paragraphs>22</Paragraphs>
  <TotalTime>39</TotalTime>
  <ScaleCrop>false</ScaleCrop>
  <LinksUpToDate>false</LinksUpToDate>
  <CharactersWithSpaces>10038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2026-01-04T06:26:44Z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860F44050EBE43E19571CA71C5FCD098_12</vt:lpwstr>
  </property>
</Properties>
</file>