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2"/>
        <w:framePr w:hSpace="0" w:vSpace="0" w:wrap="auto" w:vAnchor="margin" w:hAnchor="text" w:yAlign="inline"/>
        <w:ind w:left="5460" w:hanging="5460" w:hangingChars="2600"/>
        <w:rPr>
          <w:szCs w:val="21"/>
        </w:rPr>
      </w:pPr>
      <w:r>
        <w:rPr>
          <w:szCs w:val="21"/>
        </w:rPr>
        <w:t xml:space="preserve">ICS号                                 </w:t>
      </w:r>
    </w:p>
    <w:p>
      <w:pPr>
        <w:pStyle w:val="42"/>
        <w:framePr w:hSpace="0" w:vSpace="0" w:wrap="auto" w:vAnchor="margin" w:hAnchor="text" w:yAlign="inline"/>
        <w:ind w:left="5460" w:hanging="5460" w:hangingChars="2600"/>
        <w:rPr>
          <w:sz w:val="72"/>
          <w:szCs w:val="72"/>
        </w:rPr>
      </w:pPr>
      <w:r>
        <w:rPr>
          <w:rFonts w:hint="eastAsia"/>
          <w:szCs w:val="21"/>
          <w:lang w:val="en-US" w:eastAsia="zh-CN"/>
        </w:rPr>
        <w:t>CCS号</w:t>
      </w:r>
      <w:r>
        <w:rPr>
          <w:szCs w:val="21"/>
        </w:rPr>
        <w:t xml:space="preserve">                                </w:t>
      </w:r>
      <w:r>
        <w:rPr>
          <w:rFonts w:hint="eastAsia"/>
          <w:szCs w:val="21"/>
          <w:lang w:val="en-US" w:eastAsia="zh-CN"/>
        </w:rPr>
        <w:t xml:space="preserve">         </w:t>
      </w:r>
      <w:r>
        <w:rPr>
          <w:w w:val="130"/>
          <w:sz w:val="72"/>
          <w:szCs w:val="72"/>
        </w:rPr>
        <w:t>T/CAB</w:t>
      </w:r>
      <w:r>
        <w:rPr>
          <w:szCs w:val="21"/>
        </w:rPr>
        <w:t xml:space="preserve">                                </w:t>
      </w:r>
      <w:r>
        <w:rPr>
          <w:sz w:val="52"/>
          <w:szCs w:val="52"/>
        </w:rPr>
        <w:t xml:space="preserve"> </w:t>
      </w:r>
    </w:p>
    <w:p>
      <w:pPr>
        <w:pStyle w:val="42"/>
        <w:framePr w:hSpace="0" w:vSpace="0" w:wrap="auto" w:vAnchor="margin" w:hAnchor="text" w:yAlign="inline"/>
      </w:pPr>
      <w:r>
        <w:rPr>
          <w:szCs w:val="21"/>
        </w:rPr>
        <w:t xml:space="preserve">                               </w:t>
      </w:r>
    </w:p>
    <w:p>
      <w:pPr>
        <w:pStyle w:val="50"/>
        <w:framePr w:h="899" w:hRule="exact" w:x="1271" w:y="4316"/>
        <w:spacing w:before="120" w:after="120"/>
        <w:jc w:val="both"/>
        <w:rPr>
          <w:rFonts w:ascii="Times New Roman" w:eastAsia="黑体"/>
          <w:b w:val="0"/>
          <w:bCs w:val="0"/>
          <w:w w:val="100"/>
          <w:sz w:val="52"/>
          <w:szCs w:val="52"/>
        </w:rPr>
      </w:pPr>
      <w:r>
        <w:rPr>
          <w:rFonts w:ascii="Times New Roman" w:eastAsia="黑体"/>
          <w:b w:val="0"/>
          <w:spacing w:val="80"/>
          <w:w w:val="100"/>
          <w:kern w:val="0"/>
          <w:sz w:val="52"/>
          <w:szCs w:val="52"/>
          <w:fitText w:val="9360" w:id="896555236"/>
        </w:rPr>
        <w:t>中国产学研合作促进会团体</w:t>
      </w:r>
      <w:r>
        <w:rPr>
          <w:rFonts w:ascii="Times New Roman" w:eastAsia="黑体"/>
          <w:b w:val="0"/>
          <w:bCs w:val="0"/>
          <w:spacing w:val="80"/>
          <w:w w:val="100"/>
          <w:kern w:val="0"/>
          <w:sz w:val="52"/>
          <w:szCs w:val="52"/>
          <w:fitText w:val="9360" w:id="896555236"/>
        </w:rPr>
        <w:t>标</w:t>
      </w:r>
      <w:r>
        <w:rPr>
          <w:rFonts w:ascii="Times New Roman" w:eastAsia="黑体"/>
          <w:b w:val="0"/>
          <w:bCs w:val="0"/>
          <w:spacing w:val="0"/>
          <w:w w:val="100"/>
          <w:kern w:val="0"/>
          <w:sz w:val="52"/>
          <w:szCs w:val="52"/>
          <w:fitText w:val="9360" w:id="896555236"/>
        </w:rPr>
        <w:t>准</w:t>
      </w:r>
    </w:p>
    <w:p>
      <w:pPr>
        <w:pStyle w:val="41"/>
        <w:spacing w:before="0"/>
        <w:rPr>
          <w:rFonts w:eastAsia="黑体"/>
          <w:szCs w:val="28"/>
        </w:rPr>
      </w:pPr>
      <w:r>
        <w:rPr>
          <w:rFonts w:eastAsia="黑体"/>
          <w:szCs w:val="28"/>
        </w:rPr>
        <w:t xml:space="preserve">     T/ CAB XXXX—20XX</w:t>
      </w:r>
    </w:p>
    <w:p>
      <w:pPr>
        <w:pStyle w:val="41"/>
        <w:spacing w:before="0"/>
        <w:rPr>
          <w:lang w:val="fr-FR"/>
        </w:rPr>
      </w:pPr>
      <w:r>
        <w:rPr>
          <w:sz w:val="20"/>
        </w:rPr>
        <mc:AlternateContent>
          <mc:Choice Requires="wps">
            <w:drawing>
              <wp:anchor distT="0" distB="0" distL="114300" distR="114300" simplePos="0" relativeHeight="251659264" behindDoc="0" locked="0" layoutInCell="1" allowOverlap="1">
                <wp:simplePos x="0" y="0"/>
                <wp:positionH relativeFrom="margin">
                  <wp:posOffset>-295275</wp:posOffset>
                </wp:positionH>
                <wp:positionV relativeFrom="paragraph">
                  <wp:posOffset>48895</wp:posOffset>
                </wp:positionV>
                <wp:extent cx="5988050" cy="10160"/>
                <wp:effectExtent l="0" t="9525" r="12700" b="18415"/>
                <wp:wrapNone/>
                <wp:docPr id="32" name="直接连接符 32"/>
                <wp:cNvGraphicFramePr/>
                <a:graphic xmlns:a="http://schemas.openxmlformats.org/drawingml/2006/main">
                  <a:graphicData uri="http://schemas.microsoft.com/office/word/2010/wordprocessingShape">
                    <wps:wsp>
                      <wps:cNvCnPr>
                        <a:cxnSpLocks noChangeShapeType="1"/>
                      </wps:cNvCnPr>
                      <wps:spPr bwMode="auto">
                        <a:xfrm>
                          <a:off x="0" y="0"/>
                          <a:ext cx="5988050" cy="1016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23.25pt;margin-top:3.85pt;height:0.8pt;width:471.5pt;mso-position-horizontal-relative:margin;z-index:251659264;mso-width-relative:page;mso-height-relative:page;" filled="f" stroked="t" coordsize="21600,21600" o:gfxdata="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qWyzB1QAAAAcBAAAPAAAAAAAAAAEAIAAAACIAAABkcnMv&#10;ZG93bnJldi54bWxQSwECFAAUAAAACACHTuJASGSMZs0BAABjAwAADgAAAAAAAAABACAAAAAkAQAA&#10;ZHJzL2Uyb0RvYy54bWxQSwUGAAAAAAYABgBZAQAAYwUAAAAA&#10;">
                <v:fill on="f" focussize="0,0"/>
                <v:stroke weight="1.5pt" color="#000000" joinstyle="round"/>
                <v:imagedata o:title=""/>
                <o:lock v:ext="edit" aspectratio="f"/>
              </v:line>
            </w:pict>
          </mc:Fallback>
        </mc:AlternateContent>
      </w:r>
    </w:p>
    <w:p>
      <w:pPr>
        <w:pStyle w:val="33"/>
        <w:spacing w:line="360" w:lineRule="auto"/>
        <w:ind w:right="512"/>
        <w:jc w:val="center"/>
        <w:rPr>
          <w:rFonts w:hint="eastAsia" w:ascii="黑体" w:hAnsi="黑体" w:eastAsia="黑体" w:cs="黑体"/>
          <w:b w:val="0"/>
          <w:bCs/>
          <w:spacing w:val="0"/>
          <w:sz w:val="52"/>
        </w:rPr>
      </w:pPr>
      <w:r>
        <w:rPr>
          <w:b/>
          <w:sz w:val="52"/>
          <w:szCs w:val="52"/>
        </w:rPr>
        <w:t xml:space="preserve"> </w:t>
      </w:r>
      <w:r>
        <w:rPr>
          <w:rFonts w:hint="eastAsia" w:ascii="黑体" w:hAnsi="黑体" w:eastAsia="黑体" w:cs="黑体"/>
          <w:b w:val="0"/>
          <w:bCs/>
          <w:spacing w:val="0"/>
          <w:sz w:val="52"/>
        </w:rPr>
        <w:t>低龄儿童龋</w:t>
      </w:r>
    </w:p>
    <w:p>
      <w:pPr>
        <w:pStyle w:val="33"/>
        <w:spacing w:line="360" w:lineRule="auto"/>
        <w:ind w:right="512"/>
        <w:jc w:val="center"/>
        <w:rPr>
          <w:rFonts w:hint="eastAsia" w:ascii="黑体" w:hAnsi="黑体" w:eastAsia="黑体" w:cs="黑体"/>
          <w:b w:val="0"/>
          <w:bCs/>
          <w:spacing w:val="0"/>
          <w:sz w:val="52"/>
        </w:rPr>
      </w:pPr>
      <w:r>
        <w:rPr>
          <w:rFonts w:hint="eastAsia" w:ascii="黑体" w:hAnsi="黑体" w:eastAsia="黑体" w:cs="黑体"/>
          <w:b w:val="0"/>
          <w:bCs/>
          <w:spacing w:val="0"/>
          <w:sz w:val="52"/>
        </w:rPr>
        <w:t>第1部分：预防规程</w:t>
      </w:r>
    </w:p>
    <w:p>
      <w:pPr>
        <w:pStyle w:val="46"/>
        <w:spacing w:line="360" w:lineRule="auto"/>
        <w:rPr>
          <w:rFonts w:ascii="Times New Roman"/>
          <w:spacing w:val="20"/>
          <w:sz w:val="36"/>
          <w:szCs w:val="36"/>
        </w:rPr>
      </w:pPr>
      <w:r>
        <w:rPr>
          <w:rFonts w:ascii="Times New Roman"/>
          <w:spacing w:val="20"/>
          <w:sz w:val="36"/>
          <w:szCs w:val="36"/>
        </w:rPr>
        <w:t>Early</w:t>
      </w:r>
      <w:r>
        <w:rPr>
          <w:rFonts w:hint="eastAsia" w:ascii="Times New Roman"/>
          <w:spacing w:val="20"/>
          <w:sz w:val="36"/>
          <w:szCs w:val="36"/>
          <w:lang w:val="en-US" w:eastAsia="zh-CN"/>
        </w:rPr>
        <w:t xml:space="preserve"> c</w:t>
      </w:r>
      <w:r>
        <w:rPr>
          <w:rFonts w:ascii="Times New Roman"/>
          <w:spacing w:val="20"/>
          <w:sz w:val="36"/>
          <w:szCs w:val="36"/>
        </w:rPr>
        <w:t xml:space="preserve">hildhood </w:t>
      </w:r>
      <w:r>
        <w:rPr>
          <w:rFonts w:hint="eastAsia" w:ascii="Times New Roman"/>
          <w:spacing w:val="20"/>
          <w:sz w:val="36"/>
          <w:szCs w:val="36"/>
          <w:lang w:val="en-US" w:eastAsia="zh-CN"/>
        </w:rPr>
        <w:t>c</w:t>
      </w:r>
      <w:r>
        <w:rPr>
          <w:rFonts w:ascii="Times New Roman"/>
          <w:spacing w:val="20"/>
          <w:sz w:val="36"/>
          <w:szCs w:val="36"/>
        </w:rPr>
        <w:t xml:space="preserve">aries </w:t>
      </w:r>
    </w:p>
    <w:p>
      <w:pPr>
        <w:pStyle w:val="46"/>
        <w:spacing w:line="360" w:lineRule="auto"/>
        <w:rPr>
          <w:rFonts w:ascii="Times New Roman"/>
          <w:spacing w:val="20"/>
          <w:sz w:val="36"/>
          <w:szCs w:val="36"/>
        </w:rPr>
      </w:pPr>
      <w:r>
        <w:rPr>
          <w:rFonts w:hint="eastAsia" w:ascii="Times New Roman"/>
          <w:spacing w:val="20"/>
          <w:sz w:val="36"/>
          <w:szCs w:val="36"/>
          <w:lang w:val="en-US" w:eastAsia="zh-CN"/>
        </w:rPr>
        <w:t>p</w:t>
      </w:r>
      <w:r>
        <w:rPr>
          <w:rFonts w:ascii="Times New Roman"/>
          <w:spacing w:val="20"/>
          <w:sz w:val="36"/>
          <w:szCs w:val="36"/>
        </w:rPr>
        <w:t>art 1</w:t>
      </w:r>
      <w:r>
        <w:rPr>
          <w:rFonts w:hint="eastAsia" w:ascii="Times New Roman"/>
          <w:spacing w:val="20"/>
          <w:sz w:val="36"/>
          <w:szCs w:val="36"/>
          <w:lang w:eastAsia="zh-CN"/>
        </w:rPr>
        <w:t>：</w:t>
      </w:r>
      <w:r>
        <w:rPr>
          <w:rFonts w:hint="eastAsia" w:ascii="Times New Roman"/>
          <w:spacing w:val="20"/>
          <w:sz w:val="36"/>
          <w:szCs w:val="36"/>
          <w:lang w:val="en-US" w:eastAsia="zh-CN"/>
        </w:rPr>
        <w:t>g</w:t>
      </w:r>
      <w:r>
        <w:rPr>
          <w:rFonts w:ascii="Times New Roman"/>
          <w:spacing w:val="20"/>
          <w:sz w:val="36"/>
          <w:szCs w:val="36"/>
        </w:rPr>
        <w:t xml:space="preserve">uideline </w:t>
      </w:r>
      <w:r>
        <w:rPr>
          <w:rFonts w:hint="eastAsia" w:ascii="Times New Roman"/>
          <w:spacing w:val="20"/>
          <w:sz w:val="36"/>
          <w:szCs w:val="36"/>
        </w:rPr>
        <w:t>of</w:t>
      </w:r>
      <w:r>
        <w:rPr>
          <w:rFonts w:ascii="Times New Roman"/>
          <w:spacing w:val="20"/>
          <w:sz w:val="36"/>
          <w:szCs w:val="36"/>
        </w:rPr>
        <w:t xml:space="preserve"> </w:t>
      </w:r>
      <w:r>
        <w:rPr>
          <w:rFonts w:hint="eastAsia" w:ascii="Times New Roman"/>
          <w:spacing w:val="20"/>
          <w:sz w:val="36"/>
          <w:szCs w:val="36"/>
          <w:lang w:val="en-US" w:eastAsia="zh-CN"/>
        </w:rPr>
        <w:t>p</w:t>
      </w:r>
      <w:r>
        <w:rPr>
          <w:rFonts w:ascii="Times New Roman"/>
          <w:spacing w:val="20"/>
          <w:sz w:val="36"/>
          <w:szCs w:val="36"/>
        </w:rPr>
        <w:t>revention</w:t>
      </w:r>
      <w:r>
        <w:rPr>
          <w:rFonts w:hint="eastAsia" w:ascii="Times New Roman"/>
          <w:spacing w:val="20"/>
          <w:sz w:val="36"/>
          <w:szCs w:val="36"/>
        </w:rPr>
        <w:t xml:space="preserve"> </w:t>
      </w:r>
    </w:p>
    <w:p>
      <w:pPr>
        <w:pStyle w:val="46"/>
        <w:spacing w:line="360" w:lineRule="auto"/>
        <w:rPr>
          <w:rFonts w:hint="eastAsia" w:ascii="宋体" w:hAnsi="宋体" w:eastAsia="宋体" w:cs="宋体"/>
          <w:b w:val="0"/>
          <w:bCs w:val="0"/>
          <w:spacing w:val="20"/>
          <w:sz w:val="28"/>
          <w:szCs w:val="28"/>
          <w:lang w:eastAsia="zh-CN"/>
        </w:rPr>
      </w:pPr>
      <w:r>
        <w:rPr>
          <w:rFonts w:hint="eastAsia" w:ascii="宋体" w:hAnsi="宋体" w:eastAsia="宋体" w:cs="宋体"/>
          <w:b w:val="0"/>
          <w:bCs w:val="0"/>
          <w:spacing w:val="20"/>
          <w:sz w:val="28"/>
          <w:szCs w:val="28"/>
          <w:lang w:eastAsia="zh-CN"/>
        </w:rPr>
        <w:t>（</w:t>
      </w:r>
      <w:r>
        <w:rPr>
          <w:rFonts w:hint="eastAsia" w:ascii="宋体" w:hAnsi="宋体" w:eastAsia="宋体" w:cs="宋体"/>
          <w:b w:val="0"/>
          <w:bCs w:val="0"/>
          <w:spacing w:val="20"/>
          <w:sz w:val="28"/>
          <w:szCs w:val="28"/>
        </w:rPr>
        <w:t>征求意见稿</w:t>
      </w:r>
      <w:r>
        <w:rPr>
          <w:rFonts w:hint="eastAsia" w:ascii="宋体" w:hAnsi="宋体" w:eastAsia="宋体" w:cs="宋体"/>
          <w:b w:val="0"/>
          <w:bCs w:val="0"/>
          <w:spacing w:val="20"/>
          <w:sz w:val="28"/>
          <w:szCs w:val="28"/>
          <w:lang w:eastAsia="zh-CN"/>
        </w:rPr>
        <w:t>）</w:t>
      </w:r>
    </w:p>
    <w:p>
      <w:pPr>
        <w:pStyle w:val="46"/>
        <w:spacing w:line="360" w:lineRule="auto"/>
        <w:jc w:val="both"/>
        <w:rPr>
          <w:rFonts w:ascii="Times New Roman"/>
          <w:lang w:val="fr-FR"/>
        </w:rPr>
      </w:pPr>
    </w:p>
    <w:p>
      <w:pPr>
        <w:pStyle w:val="46"/>
        <w:spacing w:line="360" w:lineRule="auto"/>
        <w:jc w:val="both"/>
        <w:rPr>
          <w:rFonts w:ascii="Times New Roman"/>
          <w:lang w:val="fr-FR"/>
        </w:rPr>
      </w:pPr>
    </w:p>
    <w:p>
      <w:pPr>
        <w:pStyle w:val="46"/>
        <w:spacing w:line="360" w:lineRule="auto"/>
        <w:rPr>
          <w:rFonts w:ascii="Times New Roman"/>
        </w:rPr>
      </w:pPr>
      <w:r>
        <w:rPr>
          <w:rFonts w:ascii="Times New Roman"/>
          <w:spacing w:val="0"/>
        </w:rPr>
        <mc:AlternateContent>
          <mc:Choice Requires="wps">
            <w:drawing>
              <wp:anchor distT="0" distB="0" distL="114300" distR="114300" simplePos="0" relativeHeight="251660288" behindDoc="0" locked="0" layoutInCell="1" allowOverlap="1">
                <wp:simplePos x="0" y="0"/>
                <wp:positionH relativeFrom="margin">
                  <wp:posOffset>-120650</wp:posOffset>
                </wp:positionH>
                <wp:positionV relativeFrom="paragraph">
                  <wp:posOffset>370840</wp:posOffset>
                </wp:positionV>
                <wp:extent cx="5486400" cy="0"/>
                <wp:effectExtent l="0" t="0" r="1905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5pt;margin-top:29.2pt;height:0pt;width:432pt;mso-position-horizontal-relative:margin;z-index:251660288;mso-width-relative:page;mso-height-relative:page;" filled="f" stroked="t" coordsize="21600,21600" o:gfxdata="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HZR4tcAAAAJAQAADwAAAAAAAAABACAAAAAiAAAAZHJzL2Rv&#10;d25yZXYueG1sUEsBAhQAFAAAAAgAh07iQHaTEYjJAQAAXAMAAA4AAAAAAAAAAQAgAAAAJgEAAGRy&#10;cy9lMm9Eb2MueG1sUEsFBgAAAAAGAAYAWQEAAGEFAAAAAA==&#10;">
                <v:fill on="f" focussize="0,0"/>
                <v:stroke color="#000000" joinstyle="round"/>
                <v:imagedata o:title=""/>
                <o:lock v:ext="edit" aspectratio="f"/>
              </v:line>
            </w:pict>
          </mc:Fallback>
        </mc:AlternateContent>
      </w:r>
      <w:r>
        <w:rPr>
          <w:rFonts w:ascii="Times New Roman"/>
          <w:spacing w:val="0"/>
        </w:rPr>
        <w:t>20XX-XX-XX发布</w:t>
      </w:r>
      <w:r>
        <w:rPr>
          <w:rFonts w:ascii="Times New Roman"/>
          <w:lang w:val="fr-FR"/>
        </w:rPr>
        <w:t xml:space="preserve">                       </w:t>
      </w:r>
      <w:r>
        <w:rPr>
          <w:rFonts w:ascii="Times New Roman"/>
          <w:spacing w:val="0"/>
        </w:rPr>
        <w:t>20XX-XX-XX实施</w:t>
      </w:r>
    </w:p>
    <w:p>
      <w:pPr>
        <w:pStyle w:val="46"/>
        <w:spacing w:line="360" w:lineRule="auto"/>
        <w:rPr>
          <w:rFonts w:ascii="Times New Roman"/>
          <w:spacing w:val="22"/>
          <w:kern w:val="2"/>
          <w:position w:val="3"/>
          <w:szCs w:val="22"/>
        </w:rPr>
      </w:pPr>
      <w:r>
        <w:rPr>
          <w:rFonts w:ascii="Times New Roman" w:eastAsia="宋体"/>
          <w:b/>
          <w:spacing w:val="60"/>
          <w:sz w:val="32"/>
        </w:rPr>
        <w:t>中国产学研合作促进会</w:t>
      </w:r>
      <w:r>
        <w:rPr>
          <w:rFonts w:ascii="Times New Roman" w:eastAsia="宋体"/>
          <w:b/>
          <w:spacing w:val="0"/>
          <w:sz w:val="32"/>
        </w:rPr>
        <w:t xml:space="preserve"> </w:t>
      </w:r>
      <w:r>
        <w:rPr>
          <w:rStyle w:val="39"/>
          <w:rFonts w:ascii="Times New Roman"/>
          <w:spacing w:val="85"/>
          <w:szCs w:val="28"/>
        </w:rPr>
        <w:t>发布</w:t>
      </w:r>
    </w:p>
    <w:p>
      <w:pPr>
        <w:rPr>
          <w:rFonts w:ascii="Times New Roman" w:hAnsi="Times New Roman" w:cs="Times New Roman"/>
        </w:rPr>
        <w:sectPr>
          <w:footerReference r:id="rId3" w:type="default"/>
          <w:footerReference r:id="rId4" w:type="even"/>
          <w:pgSz w:w="11906" w:h="16838"/>
          <w:pgMar w:top="1440" w:right="1800" w:bottom="1440" w:left="1800" w:header="851" w:footer="992" w:gutter="0"/>
          <w:cols w:space="425" w:num="1"/>
          <w:titlePg/>
          <w:docGrid w:type="lines" w:linePitch="312" w:charSpace="0"/>
        </w:sectPr>
      </w:pPr>
    </w:p>
    <w:p>
      <w:pPr>
        <w:rPr>
          <w:rFonts w:ascii="Times New Roman" w:hAnsi="Times New Roman" w:cs="Times New Roman"/>
          <w:sz w:val="24"/>
          <w:szCs w:val="24"/>
        </w:rPr>
      </w:pPr>
      <w:r>
        <w:rPr>
          <w:rFonts w:ascii="Times New Roman" w:hAnsi="Times New Roman" w:cs="Times New Roman"/>
          <w:sz w:val="24"/>
          <w:szCs w:val="24"/>
        </w:rPr>
        <w:drawing>
          <wp:inline distT="0" distB="0" distL="0" distR="0">
            <wp:extent cx="803275" cy="76263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03275" cy="762635"/>
                    </a:xfrm>
                    <a:prstGeom prst="rect">
                      <a:avLst/>
                    </a:prstGeom>
                    <a:noFill/>
                    <a:ln>
                      <a:noFill/>
                    </a:ln>
                  </pic:spPr>
                </pic:pic>
              </a:graphicData>
            </a:graphic>
          </wp:inline>
        </w:drawing>
      </w:r>
      <w:r>
        <w:rPr>
          <w:rFonts w:ascii="Times New Roman" w:hAnsi="Times New Roman" w:cs="Times New Roman"/>
          <w:sz w:val="24"/>
          <w:szCs w:val="24"/>
        </w:rPr>
        <w:t xml:space="preserve"> 版权保护文件</w:t>
      </w:r>
    </w:p>
    <w:p>
      <w:pPr>
        <w:spacing w:before="156" w:beforeLines="50" w:after="156" w:afterLines="50"/>
        <w:rPr>
          <w:rFonts w:ascii="Times New Roman" w:hAnsi="Times New Roman" w:cs="Times New Roman"/>
          <w:sz w:val="24"/>
          <w:szCs w:val="24"/>
        </w:rPr>
        <w:sectPr>
          <w:headerReference r:id="rId5" w:type="default"/>
          <w:headerReference r:id="rId6" w:type="even"/>
          <w:pgSz w:w="11906" w:h="16838"/>
          <w:pgMar w:top="1440" w:right="1800" w:bottom="1440" w:left="1800" w:header="851" w:footer="992" w:gutter="0"/>
          <w:pgNumType w:start="1"/>
          <w:cols w:space="425" w:num="1"/>
          <w:docGrid w:type="lines" w:linePitch="312" w:charSpace="0"/>
        </w:sectPr>
      </w:pPr>
      <w:r>
        <w:rPr>
          <w:rFonts w:ascii="Times New Roman" w:hAnsi="Times New Roman" w:cs="Times New Roman"/>
          <w:sz w:val="24"/>
          <w:szCs w:val="24"/>
        </w:rPr>
        <w:t>版权所有归属于该标准的发布机构。除非有其他规定，否则未经许可，此发行物及其章节不得以其他形式或任何手段进行复制、再版或使用，包括电子版，影印件，或发布在互联网及内部网络等。使用许可可于发布机构获取。</w:t>
      </w:r>
    </w:p>
    <w:p>
      <w:pPr>
        <w:spacing w:before="156" w:beforeLines="50" w:after="156" w:afterLines="50"/>
        <w:rPr>
          <w:rFonts w:ascii="Times New Roman" w:hAnsi="Times New Roman" w:cs="Times New Roman"/>
          <w:b/>
          <w:bCs/>
          <w:sz w:val="24"/>
          <w:szCs w:val="24"/>
        </w:rPr>
      </w:pPr>
    </w:p>
    <w:p>
      <w:pPr>
        <w:spacing w:before="312" w:beforeLines="100" w:after="312" w:afterLines="100" w:line="400" w:lineRule="exact"/>
        <w:jc w:val="center"/>
        <w:rPr>
          <w:rFonts w:ascii="Times New Roman" w:hAnsi="Times New Roman" w:eastAsia="黑体" w:cs="Times New Roman"/>
          <w:b w:val="0"/>
          <w:bCs w:val="0"/>
          <w:sz w:val="32"/>
          <w:szCs w:val="32"/>
        </w:rPr>
      </w:pPr>
      <w:r>
        <w:rPr>
          <w:rFonts w:ascii="Times New Roman" w:hAnsi="Times New Roman" w:eastAsia="黑体" w:cs="Times New Roman"/>
          <w:b w:val="0"/>
          <w:bCs w:val="0"/>
          <w:sz w:val="32"/>
          <w:szCs w:val="32"/>
        </w:rPr>
        <w:t>目  次</w:t>
      </w:r>
    </w:p>
    <w:p>
      <w:pPr>
        <w:pStyle w:val="11"/>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TOC \o "1-2" \h \z \u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"_Toc217652888"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引</w:t>
      </w:r>
      <w:r>
        <w:rPr>
          <w:rStyle w:val="22"/>
          <w:rFonts w:hint="eastAsia" w:ascii="宋体" w:hAnsi="宋体" w:eastAsia="宋体" w:cs="宋体"/>
          <w:b w:val="0"/>
          <w:bCs w:val="0"/>
          <w:sz w:val="21"/>
          <w:szCs w:val="21"/>
          <w:lang w:val="de-DE"/>
        </w:rPr>
        <w:t xml:space="preserve">  </w:t>
      </w:r>
      <w:r>
        <w:rPr>
          <w:rStyle w:val="22"/>
          <w:rFonts w:hint="eastAsia" w:ascii="宋体" w:hAnsi="宋体" w:eastAsia="宋体" w:cs="宋体"/>
          <w:b w:val="0"/>
          <w:bCs w:val="0"/>
          <w:sz w:val="21"/>
          <w:szCs w:val="21"/>
        </w:rPr>
        <w:t>言</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_Toc217652888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4</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"_Toc217652889"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1  范围</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_Toc217652889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"_Toc217652890"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2  规范性引用文件</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_Toc217652890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"_Toc217652891"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3  术语和定义</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_Toc217652891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5</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"_Toc217652892"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4  家庭预防</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_Toc217652892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"_Toc217652893"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4.1 总则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_Toc217652893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"_Toc217652894"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4.2 家庭预防流程</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_Toc217652894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"_Toc217652895"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kern w:val="0"/>
          <w:sz w:val="21"/>
          <w:szCs w:val="21"/>
        </w:rPr>
        <w:t>4.3 家庭预防要点</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_Toc217652895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"_Toc217652896"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4.3.1 儿童口腔健康教育</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_Toc217652896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6</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"_Toc217652897"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4.3.2 孕期口腔健康维护</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_Toc217652897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"_Toc217652898"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4.3.3 口腔健康行为</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_Toc217652898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7</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"_Toc217652899"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5 临床预防</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_Toc217652899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"_Toc217652900"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5.1 总则</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_Toc217652900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"_Toc217652901"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5.2 临床预防流程</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_Toc217652901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8</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"_Toc217652902"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5.3 临床预防要点</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_Toc217652902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"_Toc217652903"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5.3.1 口腔检查</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_Toc217652903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"_Toc217652904"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5.3.2 ECC风险评估</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_Toc217652904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9</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"_Toc217652905"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5.3.3 预防性清洁</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_Toc217652905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10</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"_Toc217652906"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5.3.4 氟化物应用</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_Toc217652906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"_Toc217652907"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5.3.5 窝沟封闭</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_Toc217652907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11</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"_Toc217652908"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6 质量保证</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_Toc217652908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12</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pStyle w:val="15"/>
        <w:tabs>
          <w:tab w:val="right" w:leader="dot" w:pos="8296"/>
        </w:tabs>
        <w:rPr>
          <w:rFonts w:hint="eastAsia" w:ascii="宋体" w:hAnsi="宋体" w:eastAsia="宋体" w:cs="宋体"/>
          <w:b w:val="0"/>
          <w:bCs w:val="0"/>
          <w:sz w:val="21"/>
          <w:szCs w:val="21"/>
          <w14:ligatures w14:val="standardContextual"/>
        </w:rPr>
      </w:pP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HYPERLINK \l "_Toc217652909" </w:instrText>
      </w:r>
      <w:r>
        <w:rPr>
          <w:rFonts w:hint="eastAsia" w:ascii="宋体" w:hAnsi="宋体" w:eastAsia="宋体" w:cs="宋体"/>
          <w:b w:val="0"/>
          <w:bCs w:val="0"/>
          <w:sz w:val="21"/>
          <w:szCs w:val="21"/>
        </w:rPr>
        <w:fldChar w:fldCharType="separate"/>
      </w:r>
      <w:r>
        <w:rPr>
          <w:rStyle w:val="22"/>
          <w:rFonts w:hint="eastAsia" w:ascii="宋体" w:hAnsi="宋体" w:eastAsia="宋体" w:cs="宋体"/>
          <w:b w:val="0"/>
          <w:bCs w:val="0"/>
          <w:sz w:val="21"/>
          <w:szCs w:val="21"/>
        </w:rPr>
        <w:t>参 考 文 献</w:t>
      </w:r>
      <w:r>
        <w:rPr>
          <w:rFonts w:hint="eastAsia" w:ascii="宋体" w:hAnsi="宋体" w:eastAsia="宋体" w:cs="宋体"/>
          <w:b w:val="0"/>
          <w:bCs w:val="0"/>
          <w:sz w:val="21"/>
          <w:szCs w:val="21"/>
        </w:rPr>
        <w:tab/>
      </w:r>
      <w:r>
        <w:rPr>
          <w:rFonts w:hint="eastAsia" w:ascii="宋体" w:hAnsi="宋体" w:eastAsia="宋体" w:cs="宋体"/>
          <w:b w:val="0"/>
          <w:bCs w:val="0"/>
          <w:sz w:val="21"/>
          <w:szCs w:val="21"/>
        </w:rPr>
        <w:fldChar w:fldCharType="begin"/>
      </w:r>
      <w:r>
        <w:rPr>
          <w:rFonts w:hint="eastAsia" w:ascii="宋体" w:hAnsi="宋体" w:eastAsia="宋体" w:cs="宋体"/>
          <w:b w:val="0"/>
          <w:bCs w:val="0"/>
          <w:sz w:val="21"/>
          <w:szCs w:val="21"/>
        </w:rPr>
        <w:instrText xml:space="preserve"> PAGEREF _Toc217652909 \h </w:instrText>
      </w:r>
      <w:r>
        <w:rPr>
          <w:rFonts w:hint="eastAsia" w:ascii="宋体" w:hAnsi="宋体" w:eastAsia="宋体" w:cs="宋体"/>
          <w:b w:val="0"/>
          <w:bCs w:val="0"/>
          <w:sz w:val="21"/>
          <w:szCs w:val="21"/>
        </w:rPr>
        <w:fldChar w:fldCharType="separate"/>
      </w:r>
      <w:r>
        <w:rPr>
          <w:rFonts w:hint="eastAsia" w:ascii="宋体" w:hAnsi="宋体" w:eastAsia="宋体" w:cs="宋体"/>
          <w:b w:val="0"/>
          <w:bCs w:val="0"/>
          <w:sz w:val="21"/>
          <w:szCs w:val="21"/>
        </w:rPr>
        <w:t>13</w:t>
      </w:r>
      <w:r>
        <w:rPr>
          <w:rFonts w:hint="eastAsia" w:ascii="宋体" w:hAnsi="宋体" w:eastAsia="宋体" w:cs="宋体"/>
          <w:b w:val="0"/>
          <w:bCs w:val="0"/>
          <w:sz w:val="21"/>
          <w:szCs w:val="21"/>
        </w:rPr>
        <w:fldChar w:fldCharType="end"/>
      </w:r>
      <w:r>
        <w:rPr>
          <w:rFonts w:hint="eastAsia" w:ascii="宋体" w:hAnsi="宋体" w:eastAsia="宋体" w:cs="宋体"/>
          <w:b w:val="0"/>
          <w:bCs w:val="0"/>
          <w:sz w:val="21"/>
          <w:szCs w:val="21"/>
        </w:rPr>
        <w:fldChar w:fldCharType="end"/>
      </w:r>
    </w:p>
    <w:p>
      <w:pPr>
        <w:tabs>
          <w:tab w:val="right" w:leader="dot" w:pos="8810"/>
        </w:tabs>
        <w:ind w:left="422" w:hanging="420" w:hangingChars="200"/>
        <w:rPr>
          <w:rFonts w:ascii="Times New Roman" w:hAnsi="Times New Roman" w:cs="Times New Roman"/>
        </w:rPr>
      </w:pPr>
      <w:r>
        <w:rPr>
          <w:rFonts w:hint="eastAsia" w:ascii="宋体" w:hAnsi="宋体" w:eastAsia="宋体" w:cs="宋体"/>
          <w:b w:val="0"/>
          <w:bCs w:val="0"/>
          <w:sz w:val="21"/>
          <w:szCs w:val="21"/>
        </w:rPr>
        <w:fldChar w:fldCharType="end"/>
      </w:r>
    </w:p>
    <w:p>
      <w:pPr>
        <w:widowControl/>
        <w:spacing w:after="0" w:line="240" w:lineRule="auto"/>
        <w:jc w:val="center"/>
        <w:rPr>
          <w:rFonts w:eastAsia="黑体"/>
          <w:b/>
          <w:sz w:val="32"/>
          <w:szCs w:val="32"/>
        </w:rPr>
      </w:pPr>
      <w:bookmarkStart w:id="0" w:name="_Toc493770476"/>
      <w:r>
        <w:rPr>
          <w:rFonts w:eastAsia="黑体"/>
          <w:b/>
          <w:sz w:val="32"/>
          <w:szCs w:val="32"/>
        </w:rPr>
        <w:br w:type="page"/>
      </w:r>
      <w:r>
        <w:rPr>
          <w:rFonts w:eastAsia="黑体"/>
          <w:b w:val="0"/>
          <w:bCs w:val="0"/>
          <w:sz w:val="32"/>
          <w:szCs w:val="32"/>
        </w:rPr>
        <w:t>前  言</w:t>
      </w:r>
      <w:bookmarkEnd w:id="0"/>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本文件按照 GB/T 1.1─2020《标准化工作导则 第 1 部分：标准化文件的结构和起草规则》的规定起草。</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请注意本文件的某些内容可能涉及专利。本文件的发布机构不承担识别这些专利的责任。</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本文件由</w:t>
      </w:r>
      <w:bookmarkStart w:id="1" w:name="_Hlk208765795"/>
      <w:r>
        <w:rPr>
          <w:rFonts w:hint="eastAsia" w:ascii="宋体" w:hAnsi="宋体" w:eastAsia="宋体" w:cs="宋体"/>
          <w:color w:val="000000"/>
          <w:sz w:val="21"/>
          <w:szCs w:val="21"/>
        </w:rPr>
        <w:t>四川大学华西口腔医院</w:t>
      </w:r>
      <w:bookmarkEnd w:id="1"/>
      <w:r>
        <w:rPr>
          <w:rFonts w:hint="eastAsia" w:ascii="宋体" w:hAnsi="宋体" w:eastAsia="宋体" w:cs="宋体"/>
          <w:sz w:val="21"/>
          <w:szCs w:val="21"/>
        </w:rPr>
        <w:t>提出。</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本文件由中国产学研合作促进会归口。</w:t>
      </w:r>
    </w:p>
    <w:p>
      <w:pPr>
        <w:spacing w:line="480" w:lineRule="exact"/>
        <w:ind w:firstLine="420" w:firstLineChars="200"/>
        <w:rPr>
          <w:rFonts w:hint="eastAsia" w:ascii="宋体" w:hAnsi="宋体" w:eastAsia="宋体" w:cs="宋体"/>
          <w:color w:val="000000"/>
          <w:sz w:val="21"/>
          <w:szCs w:val="21"/>
        </w:rPr>
      </w:pPr>
      <w:r>
        <w:rPr>
          <w:rFonts w:hint="eastAsia" w:ascii="宋体" w:hAnsi="宋体" w:eastAsia="宋体" w:cs="宋体"/>
          <w:sz w:val="21"/>
          <w:szCs w:val="21"/>
        </w:rPr>
        <w:t>本文件</w:t>
      </w:r>
      <w:r>
        <w:rPr>
          <w:rFonts w:hint="eastAsia" w:ascii="宋体" w:hAnsi="宋体" w:eastAsia="宋体" w:cs="宋体"/>
          <w:color w:val="000000"/>
          <w:sz w:val="21"/>
          <w:szCs w:val="21"/>
        </w:rPr>
        <w:t>起草单位：四川大学华西口腔医院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上海交通大学医学院附属第九人民医院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武汉大学口腔医院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复旦大学附属口腔医院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同济大学附属口腔医院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首都医科大学附属北京口腔医院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中国医科大学附属口腔医院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昆明医科大学附属口腔医院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重庆医科大学附属口腔医院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遵义医科大学附属口腔医院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成都格登特科技有限公司</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四川倍乐齿科技有限公司。</w:t>
      </w:r>
    </w:p>
    <w:p>
      <w:pPr>
        <w:spacing w:line="48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本文件主要起草人：邹静</w:t>
      </w:r>
      <w:r>
        <w:rPr>
          <w:rFonts w:hint="eastAsia" w:ascii="宋体" w:hAnsi="宋体" w:eastAsia="宋体" w:cs="宋体"/>
          <w:sz w:val="21"/>
          <w:szCs w:val="21"/>
          <w:lang w:eastAsia="zh-CN"/>
        </w:rPr>
        <w:t>、</w:t>
      </w:r>
      <w:r>
        <w:rPr>
          <w:rFonts w:hint="eastAsia" w:ascii="宋体" w:hAnsi="宋体" w:eastAsia="宋体" w:cs="宋体"/>
          <w:sz w:val="21"/>
          <w:szCs w:val="21"/>
        </w:rPr>
        <w:t>梁静鸥</w:t>
      </w:r>
      <w:r>
        <w:rPr>
          <w:rFonts w:hint="eastAsia" w:ascii="宋体" w:hAnsi="宋体" w:eastAsia="宋体" w:cs="宋体"/>
          <w:sz w:val="21"/>
          <w:szCs w:val="21"/>
          <w:lang w:eastAsia="zh-CN"/>
        </w:rPr>
        <w:t>、</w:t>
      </w:r>
      <w:r>
        <w:rPr>
          <w:rFonts w:hint="eastAsia" w:ascii="宋体" w:hAnsi="宋体" w:eastAsia="宋体" w:cs="宋体"/>
          <w:sz w:val="21"/>
          <w:szCs w:val="21"/>
        </w:rPr>
        <w:t>张琼</w:t>
      </w:r>
      <w:r>
        <w:rPr>
          <w:rFonts w:hint="eastAsia" w:ascii="宋体" w:hAnsi="宋体" w:eastAsia="宋体" w:cs="宋体"/>
          <w:sz w:val="21"/>
          <w:szCs w:val="21"/>
          <w:lang w:eastAsia="zh-CN"/>
        </w:rPr>
        <w:t>、</w:t>
      </w:r>
      <w:r>
        <w:rPr>
          <w:rFonts w:hint="eastAsia" w:ascii="宋体" w:hAnsi="宋体" w:eastAsia="宋体" w:cs="宋体"/>
          <w:sz w:val="21"/>
          <w:szCs w:val="21"/>
        </w:rPr>
        <w:t>王艳</w:t>
      </w:r>
      <w:r>
        <w:rPr>
          <w:rFonts w:hint="eastAsia" w:ascii="宋体" w:hAnsi="宋体" w:eastAsia="宋体" w:cs="宋体"/>
          <w:sz w:val="21"/>
          <w:szCs w:val="21"/>
          <w:lang w:eastAsia="zh-CN"/>
        </w:rPr>
        <w:t>、</w:t>
      </w:r>
      <w:r>
        <w:rPr>
          <w:rFonts w:hint="eastAsia" w:ascii="宋体" w:hAnsi="宋体" w:eastAsia="宋体" w:cs="宋体"/>
          <w:sz w:val="21"/>
          <w:szCs w:val="21"/>
        </w:rPr>
        <w:t>曹竞巍</w:t>
      </w:r>
      <w:r>
        <w:rPr>
          <w:rFonts w:hint="eastAsia" w:ascii="宋体" w:hAnsi="宋体" w:eastAsia="宋体" w:cs="宋体"/>
          <w:sz w:val="21"/>
          <w:szCs w:val="21"/>
          <w:lang w:eastAsia="zh-CN"/>
        </w:rPr>
        <w:t>、</w:t>
      </w:r>
      <w:r>
        <w:rPr>
          <w:rFonts w:hint="eastAsia" w:ascii="宋体" w:hAnsi="宋体" w:eastAsia="宋体" w:cs="宋体"/>
          <w:sz w:val="21"/>
          <w:szCs w:val="21"/>
        </w:rPr>
        <w:t>马其钊</w:t>
      </w:r>
      <w:r>
        <w:rPr>
          <w:rFonts w:hint="eastAsia" w:ascii="宋体" w:hAnsi="宋体" w:eastAsia="宋体" w:cs="宋体"/>
          <w:sz w:val="21"/>
          <w:szCs w:val="21"/>
          <w:lang w:eastAsia="zh-CN"/>
        </w:rPr>
        <w:t>、</w:t>
      </w:r>
      <w:r>
        <w:rPr>
          <w:rFonts w:hint="eastAsia" w:ascii="宋体" w:hAnsi="宋体" w:eastAsia="宋体" w:cs="宋体"/>
          <w:sz w:val="21"/>
          <w:szCs w:val="21"/>
        </w:rPr>
        <w:t>汪俊</w:t>
      </w:r>
      <w:r>
        <w:rPr>
          <w:rFonts w:hint="eastAsia" w:ascii="宋体" w:hAnsi="宋体" w:eastAsia="宋体" w:cs="宋体"/>
          <w:sz w:val="21"/>
          <w:szCs w:val="21"/>
          <w:lang w:eastAsia="zh-CN"/>
        </w:rPr>
        <w:t>、</w:t>
      </w:r>
      <w:r>
        <w:rPr>
          <w:rFonts w:hint="eastAsia" w:ascii="宋体" w:hAnsi="宋体" w:eastAsia="宋体" w:cs="宋体"/>
          <w:sz w:val="21"/>
          <w:szCs w:val="21"/>
        </w:rPr>
        <w:t>袁国华</w:t>
      </w:r>
      <w:r>
        <w:rPr>
          <w:rFonts w:hint="eastAsia" w:ascii="宋体" w:hAnsi="宋体" w:eastAsia="宋体" w:cs="宋体"/>
          <w:sz w:val="21"/>
          <w:szCs w:val="21"/>
          <w:lang w:eastAsia="zh-CN"/>
        </w:rPr>
        <w:t>、</w:t>
      </w:r>
      <w:r>
        <w:rPr>
          <w:rFonts w:hint="eastAsia" w:ascii="宋体" w:hAnsi="宋体" w:eastAsia="宋体" w:cs="宋体"/>
          <w:sz w:val="21"/>
          <w:szCs w:val="21"/>
        </w:rPr>
        <w:t>陈旭</w:t>
      </w:r>
      <w:r>
        <w:rPr>
          <w:rFonts w:hint="eastAsia" w:ascii="宋体" w:hAnsi="宋体" w:eastAsia="宋体" w:cs="宋体"/>
          <w:sz w:val="21"/>
          <w:szCs w:val="21"/>
          <w:lang w:eastAsia="zh-CN"/>
        </w:rPr>
        <w:t>、</w:t>
      </w:r>
      <w:r>
        <w:rPr>
          <w:rFonts w:hint="eastAsia" w:ascii="宋体" w:hAnsi="宋体" w:eastAsia="宋体" w:cs="宋体"/>
          <w:sz w:val="21"/>
          <w:szCs w:val="21"/>
        </w:rPr>
        <w:t>尚佳健</w:t>
      </w:r>
      <w:r>
        <w:rPr>
          <w:rFonts w:hint="eastAsia" w:ascii="宋体" w:hAnsi="宋体" w:eastAsia="宋体" w:cs="宋体"/>
          <w:sz w:val="21"/>
          <w:szCs w:val="21"/>
          <w:lang w:eastAsia="zh-CN"/>
        </w:rPr>
        <w:t>、</w:t>
      </w:r>
      <w:r>
        <w:rPr>
          <w:rFonts w:hint="eastAsia" w:ascii="宋体" w:hAnsi="宋体" w:eastAsia="宋体" w:cs="宋体"/>
          <w:sz w:val="21"/>
          <w:szCs w:val="21"/>
        </w:rPr>
        <w:t>李艳红</w:t>
      </w:r>
      <w:r>
        <w:rPr>
          <w:rFonts w:hint="eastAsia" w:ascii="宋体" w:hAnsi="宋体" w:eastAsia="宋体" w:cs="宋体"/>
          <w:sz w:val="21"/>
          <w:szCs w:val="21"/>
          <w:lang w:eastAsia="zh-CN"/>
        </w:rPr>
        <w:t>、</w:t>
      </w:r>
      <w:r>
        <w:rPr>
          <w:rFonts w:hint="eastAsia" w:ascii="宋体" w:hAnsi="宋体" w:eastAsia="宋体" w:cs="宋体"/>
          <w:sz w:val="21"/>
          <w:szCs w:val="21"/>
        </w:rPr>
        <w:t>冯靳秋</w:t>
      </w:r>
      <w:r>
        <w:rPr>
          <w:rFonts w:hint="eastAsia" w:ascii="宋体" w:hAnsi="宋体" w:eastAsia="宋体" w:cs="宋体"/>
          <w:sz w:val="21"/>
          <w:szCs w:val="21"/>
          <w:lang w:eastAsia="zh-CN"/>
        </w:rPr>
        <w:t>、</w:t>
      </w:r>
      <w:r>
        <w:rPr>
          <w:rFonts w:hint="eastAsia" w:ascii="宋体" w:hAnsi="宋体" w:eastAsia="宋体" w:cs="宋体"/>
          <w:sz w:val="21"/>
          <w:szCs w:val="21"/>
        </w:rPr>
        <w:t>蒋备战</w:t>
      </w:r>
      <w:r>
        <w:rPr>
          <w:rFonts w:hint="eastAsia" w:ascii="宋体" w:hAnsi="宋体" w:eastAsia="宋体" w:cs="宋体"/>
          <w:sz w:val="21"/>
          <w:szCs w:val="21"/>
          <w:lang w:eastAsia="zh-CN"/>
        </w:rPr>
        <w:t>、</w:t>
      </w:r>
      <w:r>
        <w:rPr>
          <w:rFonts w:hint="eastAsia" w:ascii="宋体" w:hAnsi="宋体" w:eastAsia="宋体" w:cs="宋体"/>
          <w:sz w:val="21"/>
          <w:szCs w:val="21"/>
        </w:rPr>
        <w:t>张红梅</w:t>
      </w:r>
      <w:r>
        <w:rPr>
          <w:rFonts w:hint="eastAsia" w:ascii="宋体" w:hAnsi="宋体" w:eastAsia="宋体" w:cs="宋体"/>
          <w:sz w:val="21"/>
          <w:szCs w:val="21"/>
          <w:lang w:eastAsia="zh-CN"/>
        </w:rPr>
        <w:t>、</w:t>
      </w:r>
      <w:r>
        <w:rPr>
          <w:rFonts w:hint="eastAsia" w:ascii="宋体" w:hAnsi="宋体" w:eastAsia="宋体" w:cs="宋体"/>
          <w:sz w:val="21"/>
          <w:szCs w:val="21"/>
        </w:rPr>
        <w:t>李杨</w:t>
      </w:r>
      <w:r>
        <w:rPr>
          <w:rFonts w:hint="eastAsia" w:ascii="宋体" w:hAnsi="宋体" w:eastAsia="宋体" w:cs="宋体"/>
          <w:sz w:val="21"/>
          <w:szCs w:val="21"/>
          <w:lang w:eastAsia="zh-CN"/>
        </w:rPr>
        <w:t>、</w:t>
      </w:r>
      <w:r>
        <w:rPr>
          <w:rFonts w:hint="eastAsia" w:ascii="宋体" w:hAnsi="宋体" w:eastAsia="宋体" w:cs="宋体"/>
          <w:sz w:val="21"/>
          <w:szCs w:val="21"/>
        </w:rPr>
        <w:t>华菊玲</w:t>
      </w:r>
      <w:r>
        <w:rPr>
          <w:rFonts w:hint="eastAsia" w:ascii="宋体" w:hAnsi="宋体" w:eastAsia="宋体" w:cs="宋体"/>
          <w:sz w:val="21"/>
          <w:szCs w:val="21"/>
          <w:lang w:eastAsia="zh-CN"/>
        </w:rPr>
        <w:t>、</w:t>
      </w:r>
      <w:r>
        <w:rPr>
          <w:rFonts w:hint="eastAsia" w:ascii="宋体" w:hAnsi="宋体" w:eastAsia="宋体" w:cs="宋体"/>
          <w:sz w:val="21"/>
          <w:szCs w:val="21"/>
        </w:rPr>
        <w:t>宗伟。</w:t>
      </w:r>
    </w:p>
    <w:p>
      <w:pPr>
        <w:spacing w:line="480" w:lineRule="exact"/>
        <w:ind w:firstLine="480" w:firstLineChars="200"/>
        <w:rPr>
          <w:rFonts w:ascii="Times New Roman" w:hAnsi="Times New Roman" w:cs="Times New Roman"/>
          <w:sz w:val="24"/>
          <w:szCs w:val="24"/>
          <w:lang w:val="de-DE"/>
        </w:rPr>
      </w:pPr>
    </w:p>
    <w:p>
      <w:pPr>
        <w:spacing w:line="480" w:lineRule="exact"/>
        <w:rPr>
          <w:rFonts w:ascii="Times New Roman" w:hAnsi="Times New Roman" w:cs="Times New Roman"/>
          <w:sz w:val="24"/>
          <w:szCs w:val="24"/>
          <w:lang w:val="de-DE"/>
        </w:rPr>
      </w:pPr>
    </w:p>
    <w:p>
      <w:pPr>
        <w:spacing w:line="480" w:lineRule="exact"/>
        <w:rPr>
          <w:rFonts w:ascii="Times New Roman" w:hAnsi="Times New Roman" w:cs="Times New Roman"/>
          <w:sz w:val="24"/>
          <w:szCs w:val="24"/>
          <w:lang w:val="de-DE"/>
        </w:rPr>
      </w:pPr>
    </w:p>
    <w:p>
      <w:pPr>
        <w:widowControl/>
        <w:jc w:val="left"/>
        <w:rPr>
          <w:rFonts w:ascii="Times New Roman" w:hAnsi="Times New Roman" w:eastAsia="黑体" w:cs="Times New Roman"/>
          <w:bCs/>
          <w:kern w:val="44"/>
          <w:sz w:val="32"/>
          <w:szCs w:val="32"/>
        </w:rPr>
      </w:pPr>
      <w:bookmarkStart w:id="2" w:name="_Toc493770477"/>
      <w:r>
        <w:rPr>
          <w:rFonts w:ascii="Times New Roman" w:hAnsi="Times New Roman" w:eastAsia="黑体" w:cs="Times New Roman"/>
          <w:b/>
          <w:sz w:val="32"/>
          <w:szCs w:val="32"/>
        </w:rPr>
        <w:br w:type="page"/>
      </w:r>
    </w:p>
    <w:p>
      <w:pPr>
        <w:pStyle w:val="2"/>
        <w:jc w:val="center"/>
        <w:rPr>
          <w:sz w:val="32"/>
          <w:szCs w:val="32"/>
          <w:lang w:val="de-DE"/>
        </w:rPr>
      </w:pPr>
      <w:bookmarkStart w:id="3" w:name="_Toc217652888"/>
      <w:r>
        <w:rPr>
          <w:rFonts w:eastAsia="黑体"/>
          <w:b w:val="0"/>
          <w:sz w:val="32"/>
          <w:szCs w:val="32"/>
        </w:rPr>
        <w:t>引</w:t>
      </w:r>
      <w:r>
        <w:rPr>
          <w:rFonts w:eastAsia="黑体"/>
          <w:b w:val="0"/>
          <w:sz w:val="32"/>
          <w:szCs w:val="32"/>
          <w:lang w:val="de-DE"/>
        </w:rPr>
        <w:t xml:space="preserve">  </w:t>
      </w:r>
      <w:r>
        <w:rPr>
          <w:rFonts w:eastAsia="黑体"/>
          <w:b w:val="0"/>
          <w:sz w:val="32"/>
          <w:szCs w:val="32"/>
        </w:rPr>
        <w:t>言</w:t>
      </w:r>
      <w:bookmarkEnd w:id="2"/>
      <w:bookmarkEnd w:id="3"/>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Cs w:val="21"/>
          <w:lang w:val="de-DE"/>
        </w:rPr>
      </w:pPr>
      <w:r>
        <w:rPr>
          <w:rFonts w:hint="eastAsia" w:ascii="宋体" w:hAnsi="宋体" w:eastAsia="宋体" w:cs="宋体"/>
          <w:szCs w:val="21"/>
          <w:lang w:val="de-DE"/>
        </w:rPr>
        <w:t>低龄儿童龋（Early Childhood Caries, ECC）发病早、患病高，尤其是重度低龄儿童龋（Severe Eearly Childhood Caries,S-ECC）严重影响儿童的口腔健康乃至全身健康，是目前世界范围内需要面对和解决的重要儿童公共卫生问题。2025年发布的全球口腔疾病负担调查报告显示，乳牙龋患病例数超过5亿</w:t>
      </w:r>
      <w:r>
        <w:rPr>
          <w:rFonts w:hint="eastAsia" w:ascii="宋体" w:hAnsi="宋体" w:eastAsia="宋体" w:cs="宋体"/>
          <w:szCs w:val="21"/>
          <w:lang w:val="de-DE"/>
        </w:rPr>
        <w:fldChar w:fldCharType="begin">
          <w:fldData xml:space="preserve">PEVuZE5vdGU+PENpdGU+PEF1dGhvcj5CZXJuYWJlPC9BdXRob3I+PFllYXI+MjAyNTwvWWVhcj48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</w:fldData>
        </w:fldChar>
      </w:r>
      <w:r>
        <w:rPr>
          <w:rFonts w:hint="eastAsia" w:ascii="宋体" w:hAnsi="宋体" w:eastAsia="宋体" w:cs="宋体"/>
          <w:szCs w:val="21"/>
          <w:lang w:val="de-DE"/>
        </w:rPr>
        <w:instrText xml:space="preserve"> ADDIN EN.CITE </w:instrText>
      </w:r>
      <w:r>
        <w:rPr>
          <w:rFonts w:hint="eastAsia" w:ascii="宋体" w:hAnsi="宋体" w:eastAsia="宋体" w:cs="宋体"/>
          <w:szCs w:val="21"/>
          <w:lang w:val="de-DE"/>
        </w:rPr>
        <w:fldChar w:fldCharType="begin">
          <w:fldData xml:space="preserve">PEVuZE5vdGU+PENpdGU+PEF1dGhvcj5CZXJuYWJlPC9BdXRob3I+PFllYXI+MjAyNTwvWWVhcj48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</w:fldData>
        </w:fldChar>
      </w:r>
      <w:r>
        <w:rPr>
          <w:rFonts w:hint="eastAsia" w:ascii="宋体" w:hAnsi="宋体" w:eastAsia="宋体" w:cs="宋体"/>
          <w:szCs w:val="21"/>
          <w:lang w:val="de-DE"/>
        </w:rPr>
        <w:instrText xml:space="preserve"> ADDIN EN.CITE.DATA </w:instrText>
      </w:r>
      <w:r>
        <w:rPr>
          <w:rFonts w:hint="eastAsia" w:ascii="宋体" w:hAnsi="宋体" w:eastAsia="宋体" w:cs="宋体"/>
          <w:szCs w:val="21"/>
          <w:lang w:val="de-DE"/>
        </w:rPr>
        <w:fldChar w:fldCharType="end"/>
      </w:r>
      <w:r>
        <w:rPr>
          <w:rFonts w:hint="eastAsia" w:ascii="宋体" w:hAnsi="宋体" w:eastAsia="宋体" w:cs="宋体"/>
          <w:szCs w:val="21"/>
          <w:lang w:val="de-DE"/>
        </w:rPr>
        <w:fldChar w:fldCharType="separate"/>
      </w:r>
      <w:r>
        <w:rPr>
          <w:rFonts w:hint="eastAsia" w:ascii="宋体" w:hAnsi="宋体" w:eastAsia="宋体" w:cs="宋体"/>
          <w:szCs w:val="21"/>
          <w:vertAlign w:val="superscript"/>
          <w:lang w:val="de-DE"/>
        </w:rPr>
        <w:t>[1]</w:t>
      </w:r>
      <w:r>
        <w:rPr>
          <w:rFonts w:hint="eastAsia" w:ascii="宋体" w:hAnsi="宋体" w:eastAsia="宋体" w:cs="宋体"/>
          <w:szCs w:val="21"/>
          <w:lang w:val="de-DE"/>
        </w:rPr>
        <w:fldChar w:fldCharType="end"/>
      </w:r>
      <w:r>
        <w:rPr>
          <w:rFonts w:hint="eastAsia" w:ascii="宋体" w:hAnsi="宋体" w:eastAsia="宋体" w:cs="宋体"/>
          <w:szCs w:val="21"/>
          <w:lang w:val="de-DE"/>
        </w:rPr>
        <w:t>。第四次全国口腔健康流行病学的调查结果显示，我国3岁、4岁、5岁组儿童患龋率分别为50.8%、63.6%、71.9%，儿童龋病患病率呈上升趋势，仍然是危害儿童口腔健康的第一大疾病</w:t>
      </w:r>
      <w:r>
        <w:rPr>
          <w:rFonts w:hint="eastAsia" w:ascii="宋体" w:hAnsi="宋体" w:eastAsia="宋体" w:cs="宋体"/>
          <w:szCs w:val="21"/>
          <w:lang w:val="de-DE"/>
        </w:rPr>
        <w:fldChar w:fldCharType="begin"/>
      </w:r>
      <w:r>
        <w:rPr>
          <w:rFonts w:hint="eastAsia" w:ascii="宋体" w:hAnsi="宋体" w:eastAsia="宋体" w:cs="宋体"/>
          <w:szCs w:val="21"/>
          <w:lang w:val="de-DE"/>
        </w:rPr>
        <w:instrText xml:space="preserve"> ADDIN EN.CITE &lt;EndNote&gt;&lt;Cite&gt;&lt;Author&gt;王兴&lt;/Author&gt;&lt;Year&gt;2018&lt;/Year&gt;&lt;RecNum&gt;240&lt;/RecNum&gt;&lt;DisplayText&gt;&lt;style face="superscript" font="Times New Roman"&gt;[2]&lt;/style&gt;&lt;/DisplayText&gt;&lt;record&gt;&lt;rec-number&gt;240&lt;/rec-number&gt;&lt;foreign-keys&gt;&lt;key app="EN" db-id="2sdpxsv92tpp51evx91prr5x52zr2x0erxsp" timestamp="1613384747"&gt;240&lt;/key&gt;&lt;/foreign-keys&gt;&lt;ref-type name="Book"&gt;6&lt;/ref-type&gt;&lt;contributors&gt;&lt;authors&gt;&lt;author&gt;&lt;style face="normal" font="default" charset="134" size="100%"&gt;王兴&lt;/style&gt;&lt;/author&gt;&lt;/authors&gt;&lt;/contributors&gt;&lt;titles&gt;&lt;title&gt;&lt;style face="normal" font="default" charset="134" size="100%"&gt;第四次全国口腔流行病学调查报告&lt;/style&gt;&lt;/title&gt;&lt;/titles&gt;&lt;dates&gt;&lt;year&gt;2018&lt;/year&gt;&lt;/dates&gt;&lt;pub-location&gt;&lt;style face="normal" font="default" charset="134" size="100%"&gt;北京&lt;/style&gt;&lt;/pub-location&gt;&lt;publisher&gt;&lt;style face="normal" font="default" charset="134" size="100%"&gt;人民卫生出版社&lt;/style&gt;&lt;/publisher&gt;&lt;urls&gt;&lt;/urls&gt;&lt;/record&gt;&lt;/Cite&gt;&lt;/EndNote&gt;</w:instrText>
      </w:r>
      <w:r>
        <w:rPr>
          <w:rFonts w:hint="eastAsia" w:ascii="宋体" w:hAnsi="宋体" w:eastAsia="宋体" w:cs="宋体"/>
          <w:szCs w:val="21"/>
          <w:lang w:val="de-DE"/>
        </w:rPr>
        <w:fldChar w:fldCharType="separate"/>
      </w:r>
      <w:r>
        <w:rPr>
          <w:rFonts w:hint="eastAsia" w:ascii="宋体" w:hAnsi="宋体" w:eastAsia="宋体" w:cs="宋体"/>
          <w:szCs w:val="21"/>
          <w:vertAlign w:val="superscript"/>
          <w:lang w:val="de-DE"/>
        </w:rPr>
        <w:t>[2]</w:t>
      </w:r>
      <w:r>
        <w:rPr>
          <w:rFonts w:hint="eastAsia" w:ascii="宋体" w:hAnsi="宋体" w:eastAsia="宋体" w:cs="宋体"/>
          <w:szCs w:val="21"/>
          <w:lang w:val="de-DE"/>
        </w:rPr>
        <w:fldChar w:fldCharType="end"/>
      </w:r>
      <w:r>
        <w:rPr>
          <w:rFonts w:hint="eastAsia" w:ascii="宋体" w:hAnsi="宋体" w:eastAsia="宋体" w:cs="宋体"/>
          <w:szCs w:val="21"/>
          <w:lang w:val="de-DE"/>
        </w:rPr>
        <w:t>。</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Cs w:val="21"/>
          <w:lang w:val="de-DE"/>
        </w:rPr>
      </w:pPr>
      <w:r>
        <w:rPr>
          <w:rFonts w:hint="eastAsia" w:ascii="宋体" w:hAnsi="宋体" w:eastAsia="宋体" w:cs="宋体"/>
          <w:szCs w:val="21"/>
          <w:lang w:val="de-DE"/>
        </w:rPr>
        <w:t>ECC严重影响儿童的口腔健康相关生活质量，ECC继发的牙髓根尖周病可引发颌面部肿痛及病灶感染，也可能造成多颗乳牙缺损或缺失，降低患儿咀嚼功能、引发错</w:t>
      </w:r>
      <w:r>
        <w:rPr>
          <w:rFonts w:hint="eastAsia" w:ascii="宋体" w:hAnsi="宋体" w:eastAsia="宋体" w:cs="宋体"/>
        </w:rPr>
        <w:t>𬌗</w:t>
      </w:r>
      <w:r>
        <w:rPr>
          <w:rFonts w:hint="eastAsia" w:ascii="宋体" w:hAnsi="宋体" w:eastAsia="宋体" w:cs="宋体"/>
          <w:szCs w:val="21"/>
          <w:lang w:val="de-DE"/>
        </w:rPr>
        <w:t>畸形，甚至影响颌面部生长发育及患儿身心健康，增加家庭经济负担和社会公共卫生负担</w:t>
      </w:r>
      <w:r>
        <w:rPr>
          <w:rFonts w:hint="eastAsia" w:ascii="宋体" w:hAnsi="宋体" w:eastAsia="宋体" w:cs="宋体"/>
          <w:szCs w:val="21"/>
          <w:lang w:val="de-DE"/>
        </w:rPr>
        <w:fldChar w:fldCharType="begin"/>
      </w:r>
      <w:r>
        <w:rPr>
          <w:rFonts w:hint="eastAsia" w:ascii="宋体" w:hAnsi="宋体" w:eastAsia="宋体" w:cs="宋体"/>
          <w:szCs w:val="21"/>
          <w:lang w:val="de-DE"/>
        </w:rPr>
        <w:instrText xml:space="preserve"> ADDIN EN.CITE &lt;EndNote&gt;&lt;Cite&gt;&lt;Author&gt;Zou&lt;/Author&gt;&lt;Year&gt;2022&lt;/Year&gt;&lt;RecNum&gt;1564&lt;/RecNum&gt;&lt;DisplayText&gt;&lt;style face="superscript" font="Times New Roman"&gt;[3]&lt;/style&gt;&lt;/DisplayText&gt;&lt;record&gt;&lt;rec-number&gt;1564&lt;/rec-number&gt;&lt;foreign-keys&gt;&lt;key app="EN" db-id="2sdpxsv92tpp51evx91prr5x52zr2x0erxsp" timestamp="1751205006"&gt;1564&lt;/key&gt;&lt;key app="ENWeb" db-id=""&gt;0&lt;/key&gt;&lt;/foreign-keys&gt;&lt;ref-type name="Journal Article"&gt;17&lt;/ref-type&gt;&lt;contributors&gt;&lt;authors&gt;&lt;author&gt;Zou, Jing&lt;/author&gt;&lt;author&gt;Du, Qin&lt;/author&gt;&lt;author&gt;Ge, Lihong&lt;/author&gt;&lt;author&gt;Wang, Jun&lt;/author&gt;&lt;author&gt;Wang, Xiaojing&lt;/author&gt;&lt;author&gt;Li, Yuqing&lt;/author&gt;&lt;author&gt;Song, Guangtai&lt;/author&gt;&lt;author&gt;Zhao, Wei&lt;/author&gt;&lt;author&gt;Chen, Xu&lt;/author&gt;&lt;author&gt;Jiang, Beizhan&lt;/author&gt;&lt;author&gt;Mei, Yufeng&lt;/author&gt;&lt;author&gt;Huang, Yang&lt;/author&gt;&lt;author&gt;Deng, Shuli&lt;/author&gt;&lt;author&gt;Zhang, Hongmei&lt;/author&gt;&lt;author&gt;Li, Yanhong&lt;/author&gt;&lt;author&gt;Zhou, Xuedong&lt;/author&gt;&lt;/authors&gt;&lt;/contributors&gt;&lt;titles&gt;&lt;title&gt;Expert consensus on early childhood caries management&lt;/title&gt;&lt;secondary-title&gt;International Journal of Oral Science&lt;/secondary-title&gt;&lt;/titles&gt;&lt;periodical&gt;&lt;full-title&gt;International Journal of Oral Science&lt;/full-title&gt;&lt;/periodical&gt;&lt;volume&gt;14&lt;/volume&gt;&lt;number&gt;1&lt;/number&gt;&lt;dates&gt;&lt;year&gt;2022&lt;/year&gt;&lt;/dates&gt;&lt;isbn&gt;1674-2818&amp;#xD;2049-3169&lt;/isbn&gt;&lt;urls&gt;&lt;/urls&gt;&lt;electronic-resource-num&gt;10.1038/s41368-022-00186-0&lt;/electronic-resource-num&gt;&lt;/record&gt;&lt;/Cite&gt;&lt;/EndNote&gt;</w:instrText>
      </w:r>
      <w:r>
        <w:rPr>
          <w:rFonts w:hint="eastAsia" w:ascii="宋体" w:hAnsi="宋体" w:eastAsia="宋体" w:cs="宋体"/>
          <w:szCs w:val="21"/>
          <w:lang w:val="de-DE"/>
        </w:rPr>
        <w:fldChar w:fldCharType="separate"/>
      </w:r>
      <w:r>
        <w:rPr>
          <w:rFonts w:hint="eastAsia" w:ascii="宋体" w:hAnsi="宋体" w:eastAsia="宋体" w:cs="宋体"/>
          <w:szCs w:val="21"/>
          <w:vertAlign w:val="superscript"/>
          <w:lang w:val="de-DE"/>
        </w:rPr>
        <w:t>[3]</w:t>
      </w:r>
      <w:r>
        <w:rPr>
          <w:rFonts w:hint="eastAsia" w:ascii="宋体" w:hAnsi="宋体" w:eastAsia="宋体" w:cs="宋体"/>
          <w:szCs w:val="21"/>
          <w:lang w:val="de-DE"/>
        </w:rPr>
        <w:fldChar w:fldCharType="end"/>
      </w:r>
      <w:r>
        <w:rPr>
          <w:rFonts w:hint="eastAsia" w:ascii="宋体" w:hAnsi="宋体" w:eastAsia="宋体" w:cs="宋体"/>
          <w:szCs w:val="21"/>
          <w:lang w:val="de-DE"/>
        </w:rPr>
        <w:t>。</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Cs w:val="21"/>
          <w:lang w:val="de-DE"/>
        </w:rPr>
      </w:pPr>
      <w:r>
        <w:rPr>
          <w:rFonts w:hint="eastAsia" w:ascii="宋体" w:hAnsi="宋体" w:eastAsia="宋体" w:cs="宋体"/>
          <w:szCs w:val="21"/>
          <w:lang w:val="de-DE"/>
        </w:rPr>
        <w:t>ECC防治对儿童口腔健康促进具有重要的意义。目前，国内尚缺乏系统的指南指导ECC防治，基层口腔医生、口腔全科医生及妇幼保健人员等对ECC防治理念不够了解、对规范的防治方法缺乏认知，无法给予患儿及监护人有效的龋病管理建议。本部分的规程阐述了ECC预防相关术语及方法，ECC治疗技术规程将在第二部分予以阐述，旨在帮助儿童及其监护人、相关医务人员开展ECC预防，为儿童全生命周期口腔健康管理奠定基础。</w:t>
      </w:r>
    </w:p>
    <w:p>
      <w:pPr>
        <w:spacing w:line="480" w:lineRule="exact"/>
        <w:ind w:firstLine="420" w:firstLineChars="200"/>
        <w:rPr>
          <w:rFonts w:ascii="Times New Roman" w:hAnsi="Times New Roman" w:cs="Times New Roman"/>
          <w:szCs w:val="21"/>
        </w:rPr>
      </w:pPr>
    </w:p>
    <w:p>
      <w:pPr>
        <w:widowControl/>
        <w:jc w:val="left"/>
        <w:rPr>
          <w:rFonts w:ascii="Times New Roman" w:hAnsi="Times New Roman" w:cs="Times New Roman"/>
          <w:sz w:val="24"/>
          <w:szCs w:val="24"/>
          <w:lang w:val="de-DE"/>
        </w:rPr>
      </w:pPr>
      <w:r>
        <w:rPr>
          <w:rFonts w:ascii="Times New Roman" w:hAnsi="Times New Roman" w:cs="Times New Roman"/>
          <w:sz w:val="24"/>
          <w:szCs w:val="24"/>
          <w:lang w:val="de-DE"/>
        </w:rPr>
        <w:br w:type="page"/>
      </w:r>
    </w:p>
    <w:p>
      <w:pPr>
        <w:spacing w:line="480" w:lineRule="exact"/>
        <w:ind w:firstLine="640" w:firstLineChars="200"/>
        <w:jc w:val="center"/>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低龄儿童龋 第</w:t>
      </w:r>
      <w:r>
        <w:rPr>
          <w:rFonts w:hint="eastAsia" w:ascii="黑体" w:hAnsi="黑体" w:eastAsia="黑体" w:cs="黑体"/>
          <w:b w:val="0"/>
          <w:bCs/>
          <w:color w:val="000000"/>
          <w:sz w:val="32"/>
          <w:szCs w:val="32"/>
          <w:lang w:val="en-US" w:eastAsia="zh-CN"/>
        </w:rPr>
        <w:t>1</w:t>
      </w:r>
      <w:r>
        <w:rPr>
          <w:rFonts w:hint="eastAsia" w:ascii="黑体" w:hAnsi="黑体" w:eastAsia="黑体" w:cs="黑体"/>
          <w:b w:val="0"/>
          <w:bCs/>
          <w:color w:val="000000"/>
          <w:sz w:val="32"/>
          <w:szCs w:val="32"/>
        </w:rPr>
        <w:t>部分：预防规程</w:t>
      </w:r>
    </w:p>
    <w:p>
      <w:pPr>
        <w:pStyle w:val="3"/>
        <w:spacing w:before="312" w:beforeLines="100" w:after="312" w:afterLines="100" w:line="400" w:lineRule="exact"/>
        <w:rPr>
          <w:rFonts w:hint="eastAsia" w:ascii="黑体" w:hAnsi="黑体" w:eastAsia="黑体" w:cs="黑体"/>
          <w:b w:val="0"/>
          <w:bCs/>
          <w:sz w:val="21"/>
          <w:szCs w:val="21"/>
        </w:rPr>
      </w:pPr>
      <w:bookmarkStart w:id="4" w:name="_Toc493770478"/>
      <w:bookmarkStart w:id="5" w:name="_Toc217652889"/>
      <w:r>
        <w:rPr>
          <w:rFonts w:hint="eastAsia" w:ascii="黑体" w:hAnsi="黑体" w:eastAsia="黑体" w:cs="黑体"/>
          <w:b w:val="0"/>
          <w:bCs/>
          <w:sz w:val="21"/>
          <w:szCs w:val="21"/>
        </w:rPr>
        <w:t>1  范围</w:t>
      </w:r>
      <w:bookmarkEnd w:id="4"/>
      <w:bookmarkEnd w:id="5"/>
    </w:p>
    <w:p>
      <w:pPr>
        <w:pStyle w:val="47"/>
        <w:spacing w:line="400" w:lineRule="exact"/>
        <w:ind w:firstLine="420" w:firstLineChars="200"/>
        <w:rPr>
          <w:rFonts w:ascii="Times New Roman" w:eastAsia="宋体"/>
          <w:color w:val="000000"/>
          <w:szCs w:val="21"/>
        </w:rPr>
      </w:pPr>
      <w:r>
        <w:rPr>
          <w:rFonts w:ascii="Times New Roman" w:eastAsia="宋体"/>
          <w:color w:val="000000"/>
          <w:szCs w:val="21"/>
        </w:rPr>
        <w:t>本文件规定了低龄儿童龋预防的术语，给出ECC家庭预防</w:t>
      </w:r>
      <w:r>
        <w:rPr>
          <w:rFonts w:hint="eastAsia" w:ascii="Times New Roman" w:eastAsia="宋体"/>
          <w:color w:val="000000"/>
          <w:szCs w:val="21"/>
        </w:rPr>
        <w:t>理念及</w:t>
      </w:r>
      <w:r>
        <w:rPr>
          <w:rFonts w:ascii="Times New Roman" w:eastAsia="宋体"/>
          <w:color w:val="000000"/>
          <w:szCs w:val="21"/>
        </w:rPr>
        <w:t>措施，并描述ECC临床预防技术的适应证与方法</w:t>
      </w:r>
      <w:r>
        <w:rPr>
          <w:rFonts w:hint="eastAsia" w:ascii="Times New Roman" w:eastAsia="宋体"/>
          <w:color w:val="000000"/>
          <w:szCs w:val="21"/>
        </w:rPr>
        <w:t>。</w:t>
      </w:r>
    </w:p>
    <w:p>
      <w:pPr>
        <w:pStyle w:val="47"/>
        <w:spacing w:line="400" w:lineRule="exact"/>
        <w:ind w:firstLine="420" w:firstLineChars="200"/>
        <w:rPr>
          <w:rFonts w:ascii="Times New Roman" w:eastAsia="宋体"/>
          <w:color w:val="000000"/>
          <w:szCs w:val="21"/>
        </w:rPr>
      </w:pPr>
      <w:r>
        <w:rPr>
          <w:rFonts w:ascii="Times New Roman" w:eastAsia="宋体"/>
          <w:color w:val="000000"/>
          <w:szCs w:val="21"/>
        </w:rPr>
        <w:t>本文件适用于各层级医疗单位开展低龄儿童龋</w:t>
      </w:r>
      <w:r>
        <w:rPr>
          <w:rFonts w:hint="eastAsia" w:ascii="Times New Roman" w:eastAsia="宋体"/>
          <w:color w:val="000000"/>
          <w:szCs w:val="21"/>
        </w:rPr>
        <w:t>预防</w:t>
      </w:r>
      <w:r>
        <w:rPr>
          <w:rFonts w:ascii="Times New Roman" w:eastAsia="宋体"/>
          <w:color w:val="000000"/>
          <w:szCs w:val="21"/>
        </w:rPr>
        <w:t>的口腔</w:t>
      </w:r>
      <w:r>
        <w:rPr>
          <w:rFonts w:hint="eastAsia" w:ascii="Times New Roman" w:eastAsia="宋体"/>
          <w:color w:val="000000"/>
          <w:szCs w:val="21"/>
        </w:rPr>
        <w:t>医务工作者</w:t>
      </w:r>
      <w:r>
        <w:rPr>
          <w:rFonts w:ascii="Times New Roman" w:eastAsia="宋体"/>
          <w:color w:val="000000"/>
          <w:szCs w:val="21"/>
        </w:rPr>
        <w:t>及妇幼保健人员。</w:t>
      </w:r>
    </w:p>
    <w:p>
      <w:pPr>
        <w:pStyle w:val="3"/>
        <w:spacing w:before="312" w:beforeLines="100" w:after="312" w:afterLines="100" w:line="400" w:lineRule="exact"/>
        <w:rPr>
          <w:rFonts w:ascii="Times New Roman" w:hAnsi="Times New Roman"/>
          <w:bCs w:val="0"/>
          <w:color w:val="FF0000"/>
          <w:sz w:val="24"/>
        </w:rPr>
      </w:pPr>
      <w:bookmarkStart w:id="6" w:name="_Toc217652890"/>
      <w:bookmarkStart w:id="7" w:name="_Toc493770479"/>
      <w:r>
        <w:rPr>
          <w:rFonts w:hint="eastAsia" w:ascii="黑体" w:hAnsi="黑体" w:eastAsia="黑体" w:cs="黑体"/>
          <w:b w:val="0"/>
          <w:bCs/>
          <w:sz w:val="21"/>
          <w:szCs w:val="21"/>
        </w:rPr>
        <w:t>2  规范性引用文件</w:t>
      </w:r>
      <w:bookmarkEnd w:id="6"/>
      <w:bookmarkEnd w:id="7"/>
      <w:r>
        <w:rPr>
          <w:rFonts w:hint="eastAsia" w:ascii="黑体" w:hAnsi="黑体" w:eastAsia="黑体" w:cs="黑体"/>
          <w:b w:val="0"/>
          <w:bCs/>
          <w:color w:val="FF0000"/>
          <w:szCs w:val="21"/>
        </w:rPr>
        <w:t xml:space="preserve"> </w:t>
      </w:r>
      <w:r>
        <w:rPr>
          <w:rFonts w:hint="eastAsia" w:ascii="黑体" w:hAnsi="黑体" w:eastAsia="黑体" w:cs="黑体"/>
          <w:b w:val="0"/>
          <w:bCs/>
          <w:color w:val="FF0000"/>
          <w:sz w:val="24"/>
        </w:rPr>
        <w:t xml:space="preserve"> </w:t>
      </w:r>
      <w:r>
        <w:rPr>
          <w:rFonts w:ascii="Times New Roman" w:hAnsi="Times New Roman"/>
          <w:bCs w:val="0"/>
          <w:color w:val="FF0000"/>
          <w:sz w:val="24"/>
        </w:rPr>
        <w:t xml:space="preserve">  </w:t>
      </w:r>
    </w:p>
    <w:p>
      <w:pPr>
        <w:pStyle w:val="47"/>
        <w:spacing w:line="400" w:lineRule="exact"/>
        <w:ind w:firstLine="420" w:firstLineChars="200"/>
        <w:rPr>
          <w:rFonts w:ascii="Times New Roman" w:eastAsia="宋体"/>
          <w:color w:val="000000"/>
          <w:szCs w:val="21"/>
        </w:rPr>
      </w:pPr>
      <w:r>
        <w:rPr>
          <w:rFonts w:ascii="Times New Roman" w:eastAsia="宋体"/>
          <w:color w:val="000000"/>
          <w:szCs w:val="21"/>
        </w:rPr>
        <w:t>下列文件对于本文件的应用是必不可少的。凡是</w:t>
      </w:r>
      <w:r>
        <w:rPr>
          <w:rFonts w:hint="eastAsia" w:ascii="Times New Roman" w:eastAsia="宋体"/>
          <w:color w:val="000000"/>
          <w:szCs w:val="21"/>
        </w:rPr>
        <w:t>标</w:t>
      </w:r>
      <w:r>
        <w:rPr>
          <w:rFonts w:ascii="Times New Roman" w:eastAsia="宋体"/>
          <w:color w:val="000000"/>
          <w:szCs w:val="21"/>
        </w:rPr>
        <w:t>注日期的引用文件，仅</w:t>
      </w:r>
      <w:r>
        <w:rPr>
          <w:rFonts w:hint="eastAsia" w:ascii="Times New Roman" w:eastAsia="宋体"/>
          <w:color w:val="000000"/>
          <w:szCs w:val="21"/>
        </w:rPr>
        <w:t>标</w:t>
      </w:r>
      <w:r>
        <w:rPr>
          <w:rFonts w:ascii="Times New Roman" w:eastAsia="宋体"/>
          <w:color w:val="000000"/>
          <w:szCs w:val="21"/>
        </w:rPr>
        <w:t>注日期的版本适用于本文件。凡是</w:t>
      </w:r>
      <w:r>
        <w:rPr>
          <w:rFonts w:hint="eastAsia" w:ascii="Times New Roman" w:eastAsia="宋体"/>
          <w:color w:val="000000"/>
          <w:szCs w:val="21"/>
        </w:rPr>
        <w:t>未标</w:t>
      </w:r>
      <w:r>
        <w:rPr>
          <w:rFonts w:ascii="Times New Roman" w:eastAsia="宋体"/>
          <w:color w:val="000000"/>
          <w:szCs w:val="21"/>
        </w:rPr>
        <w:t>注日期的引用文件，其最新版本（包括所有的修改单）适用于本文件。</w:t>
      </w:r>
    </w:p>
    <w:p>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GB/T 9937-2020  牙科学 名词术语</w:t>
      </w:r>
    </w:p>
    <w:p>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GB/T 30002-2024  儿童牙刷通用技术要求</w:t>
      </w:r>
    </w:p>
    <w:p>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GB 24567-2009  牙膏工业用单氟磷酸钠</w:t>
      </w:r>
    </w:p>
    <w:p>
      <w:pPr>
        <w:spacing w:line="400" w:lineRule="exact"/>
        <w:ind w:firstLine="420" w:firstLineChars="200"/>
        <w:rPr>
          <w:rFonts w:ascii="Times New Roman" w:hAnsi="Times New Roman" w:cs="Times New Roman"/>
          <w:szCs w:val="21"/>
        </w:rPr>
      </w:pPr>
      <w:r>
        <w:rPr>
          <w:rFonts w:hint="eastAsia" w:ascii="Times New Roman" w:hAnsi="Times New Roman" w:cs="Times New Roman"/>
          <w:szCs w:val="21"/>
        </w:rPr>
        <w:t>YY/T 0823-2020  牙科学 氟化物防龋材料</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YY 0055-2018</w:t>
      </w:r>
      <w:r>
        <w:rPr>
          <w:rFonts w:hint="eastAsia" w:ascii="Times New Roman" w:hAnsi="Times New Roman" w:cs="Times New Roman"/>
          <w:szCs w:val="21"/>
        </w:rPr>
        <w:t xml:space="preserve"> 牙科学 光固化机</w:t>
      </w:r>
    </w:p>
    <w:p>
      <w:pPr>
        <w:spacing w:line="400" w:lineRule="exact"/>
        <w:ind w:firstLine="420" w:firstLineChars="200"/>
        <w:rPr>
          <w:rFonts w:ascii="Times New Roman" w:hAnsi="Times New Roman" w:cs="Times New Roman"/>
          <w:szCs w:val="21"/>
        </w:rPr>
      </w:pPr>
      <w:r>
        <w:rPr>
          <w:rFonts w:ascii="Times New Roman" w:hAnsi="Times New Roman" w:cs="Times New Roman"/>
          <w:szCs w:val="21"/>
        </w:rPr>
        <w:t>YY 0622-2008</w:t>
      </w:r>
      <w:r>
        <w:rPr>
          <w:rFonts w:hint="eastAsia" w:ascii="Times New Roman" w:hAnsi="Times New Roman" w:cs="Times New Roman"/>
          <w:szCs w:val="21"/>
        </w:rPr>
        <w:t>牙科树脂基窝沟封闭剂</w:t>
      </w:r>
    </w:p>
    <w:p>
      <w:pPr>
        <w:pStyle w:val="3"/>
        <w:spacing w:before="312" w:beforeLines="100" w:after="312" w:afterLines="100" w:line="400" w:lineRule="exact"/>
        <w:rPr>
          <w:rFonts w:hint="eastAsia" w:ascii="黑体" w:hAnsi="黑体" w:eastAsia="黑体" w:cs="黑体"/>
          <w:b w:val="0"/>
          <w:bCs/>
          <w:sz w:val="21"/>
          <w:szCs w:val="21"/>
        </w:rPr>
      </w:pPr>
      <w:bookmarkStart w:id="8" w:name="_Toc217652891"/>
      <w:bookmarkStart w:id="9" w:name="_Toc493770480"/>
      <w:r>
        <w:rPr>
          <w:rFonts w:hint="eastAsia" w:ascii="黑体" w:hAnsi="黑体" w:eastAsia="黑体" w:cs="黑体"/>
          <w:b w:val="0"/>
          <w:bCs/>
          <w:sz w:val="21"/>
          <w:szCs w:val="21"/>
        </w:rPr>
        <w:t>3  术语和定义</w:t>
      </w:r>
      <w:bookmarkEnd w:id="8"/>
      <w:bookmarkEnd w:id="9"/>
    </w:p>
    <w:p>
      <w:pPr>
        <w:pStyle w:val="47"/>
        <w:spacing w:line="400" w:lineRule="exact"/>
        <w:rPr>
          <w:rFonts w:ascii="Times New Roman"/>
          <w:color w:val="000000"/>
          <w:sz w:val="24"/>
        </w:rPr>
      </w:pPr>
      <w:r>
        <w:rPr>
          <w:rFonts w:ascii="Times New Roman"/>
          <w:color w:val="000000"/>
        </w:rPr>
        <w:t xml:space="preserve">  </w:t>
      </w:r>
      <w:r>
        <w:rPr>
          <w:rFonts w:ascii="Times New Roman"/>
          <w:color w:val="000000"/>
          <w:sz w:val="24"/>
        </w:rPr>
        <w:t xml:space="preserve"> </w:t>
      </w:r>
      <w:r>
        <w:rPr>
          <w:rFonts w:ascii="Times New Roman" w:eastAsia="宋体"/>
          <w:color w:val="000000"/>
          <w:szCs w:val="21"/>
        </w:rPr>
        <w:t>下列术语和定义适用于本文件。</w:t>
      </w:r>
    </w:p>
    <w:p>
      <w:pPr>
        <w:pStyle w:val="34"/>
        <w:ind w:firstLine="0" w:firstLineChars="0"/>
        <w:jc w:val="left"/>
        <w:rPr>
          <w:rFonts w:hint="eastAsia" w:ascii="黑体" w:hAnsi="黑体" w:eastAsia="黑体" w:cs="黑体"/>
          <w:b w:val="0"/>
          <w:bCs w:val="0"/>
          <w:sz w:val="21"/>
          <w:szCs w:val="21"/>
        </w:rPr>
      </w:pPr>
      <w:bookmarkStart w:id="10" w:name="_Toc210978326"/>
      <w:bookmarkStart w:id="11" w:name="_Toc208771651"/>
      <w:bookmarkStart w:id="12" w:name="_Toc210978069"/>
      <w:bookmarkStart w:id="13" w:name="_Toc210977339"/>
      <w:bookmarkStart w:id="14" w:name="_Toc493770481"/>
      <w:r>
        <w:rPr>
          <w:rFonts w:hint="eastAsia" w:ascii="黑体" w:hAnsi="黑体" w:eastAsia="黑体" w:cs="黑体"/>
          <w:b w:val="0"/>
          <w:bCs w:val="0"/>
          <w:sz w:val="21"/>
          <w:szCs w:val="21"/>
        </w:rPr>
        <w:t xml:space="preserve">3.1 </w:t>
      </w:r>
    </w:p>
    <w:p>
      <w:pPr>
        <w:pStyle w:val="34"/>
        <w:ind w:firstLine="420" w:firstLineChars="200"/>
        <w:jc w:val="left"/>
        <w:rPr>
          <w:rFonts w:hint="eastAsia" w:ascii="黑体" w:hAnsi="黑体" w:eastAsia="黑体" w:cs="黑体"/>
          <w:b w:val="0"/>
          <w:bCs w:val="0"/>
          <w:sz w:val="21"/>
          <w:szCs w:val="21"/>
        </w:rPr>
      </w:pPr>
      <w:r>
        <w:rPr>
          <w:rFonts w:hint="eastAsia" w:ascii="黑体" w:hAnsi="黑体" w:eastAsia="黑体" w:cs="黑体"/>
          <w:b w:val="0"/>
          <w:bCs w:val="0"/>
          <w:sz w:val="21"/>
          <w:szCs w:val="21"/>
        </w:rPr>
        <w:t xml:space="preserve">低龄儿童龋 </w:t>
      </w:r>
      <w:r>
        <w:rPr>
          <w:rFonts w:hint="eastAsia" w:ascii="黑体" w:hAnsi="黑体" w:eastAsia="黑体" w:cs="黑体"/>
          <w:b w:val="0"/>
          <w:bCs w:val="0"/>
          <w:sz w:val="21"/>
          <w:szCs w:val="21"/>
          <w:lang w:val="en-US" w:eastAsia="zh-CN"/>
        </w:rPr>
        <w:t>e</w:t>
      </w:r>
      <w:r>
        <w:rPr>
          <w:rFonts w:hint="eastAsia" w:ascii="黑体" w:hAnsi="黑体" w:eastAsia="黑体" w:cs="黑体"/>
          <w:b w:val="0"/>
          <w:bCs w:val="0"/>
          <w:sz w:val="21"/>
          <w:szCs w:val="21"/>
        </w:rPr>
        <w:t xml:space="preserve">arly </w:t>
      </w:r>
      <w:r>
        <w:rPr>
          <w:rFonts w:hint="eastAsia" w:ascii="黑体" w:hAnsi="黑体" w:eastAsia="黑体" w:cs="黑体"/>
          <w:b w:val="0"/>
          <w:bCs w:val="0"/>
          <w:sz w:val="21"/>
          <w:szCs w:val="21"/>
          <w:lang w:val="en-US" w:eastAsia="zh-CN"/>
        </w:rPr>
        <w:t>c</w:t>
      </w:r>
      <w:r>
        <w:rPr>
          <w:rFonts w:hint="eastAsia" w:ascii="黑体" w:hAnsi="黑体" w:eastAsia="黑体" w:cs="黑体"/>
          <w:b w:val="0"/>
          <w:bCs w:val="0"/>
          <w:sz w:val="21"/>
          <w:szCs w:val="21"/>
        </w:rPr>
        <w:t xml:space="preserve">hildhood </w:t>
      </w:r>
      <w:r>
        <w:rPr>
          <w:rFonts w:hint="eastAsia" w:ascii="黑体" w:hAnsi="黑体" w:eastAsia="黑体" w:cs="黑体"/>
          <w:b w:val="0"/>
          <w:bCs w:val="0"/>
          <w:sz w:val="21"/>
          <w:szCs w:val="21"/>
          <w:lang w:val="en-US" w:eastAsia="zh-CN"/>
        </w:rPr>
        <w:t>c</w:t>
      </w:r>
      <w:r>
        <w:rPr>
          <w:rFonts w:hint="eastAsia" w:ascii="黑体" w:hAnsi="黑体" w:eastAsia="黑体" w:cs="黑体"/>
          <w:b w:val="0"/>
          <w:bCs w:val="0"/>
          <w:sz w:val="21"/>
          <w:szCs w:val="21"/>
        </w:rPr>
        <w:t>aries, ECC</w:t>
      </w:r>
      <w:bookmarkEnd w:id="10"/>
      <w:bookmarkEnd w:id="11"/>
      <w:bookmarkEnd w:id="12"/>
      <w:bookmarkEnd w:id="13"/>
      <w:r>
        <w:rPr>
          <w:rFonts w:hint="eastAsia" w:ascii="黑体" w:hAnsi="黑体" w:eastAsia="黑体" w:cs="黑体"/>
          <w:b w:val="0"/>
          <w:bCs w:val="0"/>
          <w:sz w:val="21"/>
          <w:szCs w:val="21"/>
        </w:rPr>
        <w:t xml:space="preserve"> </w:t>
      </w:r>
    </w:p>
    <w:p>
      <w:pPr>
        <w:ind w:firstLine="420" w:firstLineChars="200"/>
        <w:rPr>
          <w:rFonts w:hint="eastAsia" w:ascii="宋体" w:hAnsi="宋体" w:eastAsia="宋体" w:cs="宋体"/>
          <w:szCs w:val="21"/>
          <w:lang w:val="de-DE"/>
        </w:rPr>
      </w:pPr>
      <w:bookmarkStart w:id="15" w:name="_Hlk201685288"/>
      <w:r>
        <w:rPr>
          <w:rFonts w:hint="eastAsia" w:ascii="宋体" w:hAnsi="宋体" w:eastAsia="宋体" w:cs="宋体"/>
          <w:szCs w:val="21"/>
          <w:lang w:val="de-DE"/>
        </w:rPr>
        <w:t>6岁以下儿童的任何一颗乳牙上出现1个或以上的龋（成洞或未成洞）、失（因龋所致）、补牙面（Decayed，missing，filled surface，dmfs）。</w:t>
      </w:r>
    </w:p>
    <w:p>
      <w:pPr>
        <w:ind w:firstLine="360" w:firstLineChars="200"/>
        <w:rPr>
          <w:rFonts w:hint="eastAsia" w:ascii="宋体" w:hAnsi="宋体" w:eastAsia="宋体" w:cs="宋体"/>
          <w:sz w:val="18"/>
          <w:szCs w:val="18"/>
          <w:lang w:val="de-DE"/>
        </w:rPr>
      </w:pPr>
      <w:r>
        <w:rPr>
          <w:rFonts w:hint="eastAsia" w:ascii="黑体" w:hAnsi="黑体" w:eastAsia="黑体" w:cs="黑体"/>
          <w:sz w:val="18"/>
          <w:szCs w:val="18"/>
          <w:lang w:val="en-US" w:eastAsia="zh-CN"/>
        </w:rPr>
        <w:t>注：</w:t>
      </w:r>
      <w:r>
        <w:rPr>
          <w:rFonts w:hint="eastAsia" w:ascii="宋体" w:hAnsi="宋体" w:eastAsia="宋体" w:cs="宋体"/>
          <w:sz w:val="18"/>
          <w:szCs w:val="18"/>
          <w:lang w:val="de-DE"/>
        </w:rPr>
        <w:t>3岁及以下儿童出现光滑面龋，或dmfs≥4（3岁），dmfs≥5 （4 岁），dmfs≥6 （5岁）为重度低龄儿童龋 （Severe Early Childhood Caries，S-ECC）</w:t>
      </w:r>
      <w:bookmarkEnd w:id="15"/>
      <w:r>
        <w:rPr>
          <w:rFonts w:hint="eastAsia" w:ascii="宋体" w:hAnsi="宋体" w:eastAsia="宋体" w:cs="宋体"/>
          <w:sz w:val="18"/>
          <w:szCs w:val="18"/>
          <w:lang w:val="de-DE"/>
        </w:rPr>
        <w:t>。</w:t>
      </w:r>
    </w:p>
    <w:p>
      <w:pPr>
        <w:pStyle w:val="34"/>
        <w:ind w:firstLine="0" w:firstLineChars="0"/>
        <w:jc w:val="left"/>
        <w:rPr>
          <w:rFonts w:hint="eastAsia" w:ascii="黑体" w:hAnsi="黑体" w:eastAsia="黑体" w:cs="黑体"/>
          <w:b w:val="0"/>
          <w:bCs w:val="0"/>
          <w:sz w:val="21"/>
          <w:szCs w:val="21"/>
          <w:lang w:val="de-DE"/>
        </w:rPr>
      </w:pPr>
      <w:bookmarkStart w:id="16" w:name="_Toc210978070"/>
      <w:bookmarkStart w:id="17" w:name="_Toc208771652"/>
      <w:bookmarkStart w:id="18" w:name="_Toc210978327"/>
      <w:bookmarkStart w:id="19" w:name="_Toc210977340"/>
    </w:p>
    <w:p>
      <w:pPr>
        <w:pStyle w:val="34"/>
        <w:ind w:firstLine="0" w:firstLineChars="0"/>
        <w:jc w:val="left"/>
        <w:rPr>
          <w:rFonts w:hint="eastAsia" w:ascii="黑体" w:hAnsi="黑体" w:eastAsia="黑体" w:cs="黑体"/>
          <w:b w:val="0"/>
          <w:bCs w:val="0"/>
          <w:sz w:val="21"/>
          <w:szCs w:val="21"/>
          <w:lang w:val="de-DE"/>
        </w:rPr>
      </w:pPr>
      <w:r>
        <w:rPr>
          <w:rFonts w:hint="eastAsia" w:ascii="黑体" w:hAnsi="黑体" w:eastAsia="黑体" w:cs="黑体"/>
          <w:b w:val="0"/>
          <w:bCs w:val="0"/>
          <w:sz w:val="21"/>
          <w:szCs w:val="21"/>
          <w:lang w:val="de-DE"/>
        </w:rPr>
        <w:t xml:space="preserve">3.2 </w:t>
      </w:r>
    </w:p>
    <w:p>
      <w:pPr>
        <w:pStyle w:val="34"/>
        <w:ind w:firstLine="420" w:firstLineChars="200"/>
        <w:jc w:val="left"/>
        <w:rPr>
          <w:rFonts w:hint="eastAsia" w:ascii="黑体" w:hAnsi="黑体" w:eastAsia="黑体" w:cs="黑体"/>
          <w:b w:val="0"/>
          <w:bCs w:val="0"/>
          <w:sz w:val="21"/>
          <w:szCs w:val="21"/>
          <w:lang w:val="de-DE"/>
        </w:rPr>
      </w:pPr>
      <w:r>
        <w:rPr>
          <w:rFonts w:hint="eastAsia" w:ascii="黑体" w:hAnsi="黑体" w:eastAsia="黑体" w:cs="黑体"/>
          <w:b w:val="0"/>
          <w:bCs w:val="0"/>
          <w:sz w:val="21"/>
          <w:szCs w:val="21"/>
        </w:rPr>
        <w:t>家庭口腔护理</w:t>
      </w:r>
      <w:r>
        <w:rPr>
          <w:rFonts w:hint="eastAsia" w:ascii="黑体" w:hAnsi="黑体" w:eastAsia="黑体" w:cs="黑体"/>
          <w:b w:val="0"/>
          <w:bCs w:val="0"/>
          <w:sz w:val="21"/>
          <w:szCs w:val="21"/>
          <w:lang w:val="de-DE"/>
        </w:rPr>
        <w:t xml:space="preserve"> </w:t>
      </w:r>
      <w:r>
        <w:rPr>
          <w:rFonts w:hint="eastAsia" w:ascii="黑体" w:hAnsi="黑体" w:eastAsia="黑体" w:cs="黑体"/>
          <w:b w:val="0"/>
          <w:bCs w:val="0"/>
          <w:sz w:val="21"/>
          <w:szCs w:val="21"/>
          <w:lang w:val="en-US" w:eastAsia="zh-CN"/>
        </w:rPr>
        <w:t>d</w:t>
      </w:r>
      <w:r>
        <w:rPr>
          <w:rFonts w:hint="eastAsia" w:ascii="黑体" w:hAnsi="黑体" w:eastAsia="黑体" w:cs="黑体"/>
          <w:b w:val="0"/>
          <w:bCs w:val="0"/>
          <w:sz w:val="21"/>
          <w:szCs w:val="21"/>
          <w:lang w:val="de-DE"/>
        </w:rPr>
        <w:t xml:space="preserve">ental </w:t>
      </w:r>
      <w:r>
        <w:rPr>
          <w:rFonts w:hint="eastAsia" w:ascii="黑体" w:hAnsi="黑体" w:eastAsia="黑体" w:cs="黑体"/>
          <w:b w:val="0"/>
          <w:bCs w:val="0"/>
          <w:sz w:val="21"/>
          <w:szCs w:val="21"/>
          <w:lang w:val="en-US" w:eastAsia="zh-CN"/>
        </w:rPr>
        <w:t>h</w:t>
      </w:r>
      <w:r>
        <w:rPr>
          <w:rFonts w:hint="eastAsia" w:ascii="黑体" w:hAnsi="黑体" w:eastAsia="黑体" w:cs="黑体"/>
          <w:b w:val="0"/>
          <w:bCs w:val="0"/>
          <w:sz w:val="21"/>
          <w:szCs w:val="21"/>
          <w:lang w:val="de-DE"/>
        </w:rPr>
        <w:t>ome</w:t>
      </w:r>
      <w:bookmarkEnd w:id="16"/>
      <w:bookmarkEnd w:id="17"/>
      <w:bookmarkEnd w:id="18"/>
      <w:bookmarkEnd w:id="19"/>
    </w:p>
    <w:p>
      <w:pPr>
        <w:ind w:firstLine="420" w:firstLineChars="200"/>
      </w:pPr>
      <w:r>
        <w:rPr>
          <w:rFonts w:hint="eastAsia"/>
        </w:rPr>
        <w:t>口腔医生及团队与患者建立</w:t>
      </w:r>
      <w:r>
        <w:t>并维持</w:t>
      </w:r>
      <w:r>
        <w:rPr>
          <w:rFonts w:hint="eastAsia"/>
        </w:rPr>
        <w:t>一种持续性的关系，从而使患者能接受以家庭为中心的、全面协调的口腔健康护理。</w:t>
      </w:r>
      <w:r>
        <w:t>建议在</w:t>
      </w:r>
      <w:r>
        <w:rPr>
          <w:rFonts w:hint="eastAsia"/>
        </w:rPr>
        <w:t>儿童1周岁</w:t>
      </w:r>
      <w:r>
        <w:t>前</w:t>
      </w:r>
      <w:r>
        <w:rPr>
          <w:rFonts w:hint="eastAsia"/>
        </w:rPr>
        <w:t>建立家庭口腔护理，并在</w:t>
      </w:r>
      <w:r>
        <w:t>必要</w:t>
      </w:r>
      <w:r>
        <w:rPr>
          <w:rFonts w:hint="eastAsia"/>
        </w:rPr>
        <w:t>的时候</w:t>
      </w:r>
      <w:r>
        <w:t>转诊至专科医生</w:t>
      </w:r>
      <w:r>
        <w:rPr>
          <w:rFonts w:hint="eastAsia"/>
        </w:rPr>
        <w:t>。</w:t>
      </w:r>
    </w:p>
    <w:p>
      <w:pPr>
        <w:pStyle w:val="34"/>
        <w:ind w:firstLine="0" w:firstLineChars="0"/>
        <w:jc w:val="left"/>
        <w:rPr>
          <w:rFonts w:hint="eastAsia" w:ascii="黑体" w:hAnsi="黑体" w:eastAsia="黑体" w:cs="黑体"/>
          <w:b w:val="0"/>
          <w:bCs w:val="0"/>
          <w:sz w:val="21"/>
          <w:szCs w:val="21"/>
        </w:rPr>
      </w:pPr>
      <w:bookmarkStart w:id="20" w:name="_Toc210978328"/>
      <w:bookmarkStart w:id="21" w:name="_Toc210977341"/>
      <w:bookmarkStart w:id="22" w:name="_Toc210978071"/>
      <w:bookmarkStart w:id="23" w:name="_Toc208771653"/>
      <w:r>
        <w:rPr>
          <w:rFonts w:hint="eastAsia" w:ascii="黑体" w:hAnsi="黑体" w:eastAsia="黑体" w:cs="黑体"/>
          <w:b w:val="0"/>
          <w:bCs w:val="0"/>
          <w:sz w:val="21"/>
          <w:szCs w:val="21"/>
        </w:rPr>
        <w:t xml:space="preserve">3.3 </w:t>
      </w:r>
      <w:bookmarkStart w:id="24" w:name="OLE_LINK10"/>
      <w:bookmarkStart w:id="25" w:name="OLE_LINK1"/>
    </w:p>
    <w:p>
      <w:pPr>
        <w:pStyle w:val="34"/>
        <w:ind w:firstLine="420" w:firstLineChars="200"/>
        <w:jc w:val="left"/>
        <w:rPr>
          <w:rFonts w:hint="eastAsia" w:ascii="黑体" w:hAnsi="黑体" w:eastAsia="黑体" w:cs="黑体"/>
          <w:b w:val="0"/>
          <w:bCs w:val="0"/>
          <w:sz w:val="21"/>
          <w:szCs w:val="21"/>
        </w:rPr>
      </w:pPr>
      <w:r>
        <w:rPr>
          <w:rFonts w:hint="eastAsia" w:ascii="黑体" w:hAnsi="黑体" w:eastAsia="黑体" w:cs="黑体"/>
          <w:b w:val="0"/>
          <w:bCs w:val="0"/>
          <w:sz w:val="21"/>
          <w:szCs w:val="21"/>
        </w:rPr>
        <w:t>专业的机械性菌斑控制</w:t>
      </w:r>
      <w:r>
        <w:rPr>
          <w:rFonts w:hint="eastAsia" w:ascii="黑体" w:hAnsi="黑体" w:eastAsia="黑体" w:cs="黑体"/>
          <w:b w:val="0"/>
          <w:bCs w:val="0"/>
          <w:sz w:val="21"/>
          <w:szCs w:val="21"/>
          <w:lang w:val="en-US" w:eastAsia="zh-CN"/>
        </w:rPr>
        <w:t xml:space="preserve"> p</w:t>
      </w:r>
      <w:r>
        <w:rPr>
          <w:rFonts w:hint="eastAsia" w:ascii="黑体" w:hAnsi="黑体" w:eastAsia="黑体" w:cs="黑体"/>
          <w:b w:val="0"/>
          <w:bCs w:val="0"/>
          <w:sz w:val="21"/>
          <w:szCs w:val="21"/>
        </w:rPr>
        <w:t xml:space="preserve">rofessional </w:t>
      </w:r>
      <w:r>
        <w:rPr>
          <w:rFonts w:hint="eastAsia" w:ascii="黑体" w:hAnsi="黑体" w:eastAsia="黑体" w:cs="黑体"/>
          <w:b w:val="0"/>
          <w:bCs w:val="0"/>
          <w:sz w:val="21"/>
          <w:szCs w:val="21"/>
          <w:lang w:val="en-US" w:eastAsia="zh-CN"/>
        </w:rPr>
        <w:t>m</w:t>
      </w:r>
      <w:r>
        <w:rPr>
          <w:rFonts w:hint="eastAsia" w:ascii="黑体" w:hAnsi="黑体" w:eastAsia="黑体" w:cs="黑体"/>
          <w:b w:val="0"/>
          <w:bCs w:val="0"/>
          <w:sz w:val="21"/>
          <w:szCs w:val="21"/>
        </w:rPr>
        <w:t xml:space="preserve">echanical </w:t>
      </w:r>
      <w:r>
        <w:rPr>
          <w:rFonts w:hint="eastAsia" w:ascii="黑体" w:hAnsi="黑体" w:eastAsia="黑体" w:cs="黑体"/>
          <w:b w:val="0"/>
          <w:bCs w:val="0"/>
          <w:sz w:val="21"/>
          <w:szCs w:val="21"/>
          <w:lang w:val="en-US" w:eastAsia="zh-CN"/>
        </w:rPr>
        <w:t>t</w:t>
      </w:r>
      <w:r>
        <w:rPr>
          <w:rFonts w:hint="eastAsia" w:ascii="黑体" w:hAnsi="黑体" w:eastAsia="黑体" w:cs="黑体"/>
          <w:b w:val="0"/>
          <w:bCs w:val="0"/>
          <w:sz w:val="21"/>
          <w:szCs w:val="21"/>
        </w:rPr>
        <w:t xml:space="preserve">ooth </w:t>
      </w:r>
      <w:r>
        <w:rPr>
          <w:rFonts w:hint="eastAsia" w:ascii="黑体" w:hAnsi="黑体" w:eastAsia="黑体" w:cs="黑体"/>
          <w:b w:val="0"/>
          <w:bCs w:val="0"/>
          <w:sz w:val="21"/>
          <w:szCs w:val="21"/>
          <w:lang w:val="en-US" w:eastAsia="zh-CN"/>
        </w:rPr>
        <w:t>c</w:t>
      </w:r>
      <w:r>
        <w:rPr>
          <w:rFonts w:hint="eastAsia" w:ascii="黑体" w:hAnsi="黑体" w:eastAsia="黑体" w:cs="黑体"/>
          <w:b w:val="0"/>
          <w:bCs w:val="0"/>
          <w:sz w:val="21"/>
          <w:szCs w:val="21"/>
        </w:rPr>
        <w:t>leaning</w:t>
      </w:r>
      <w:bookmarkEnd w:id="24"/>
      <w:r>
        <w:rPr>
          <w:rFonts w:hint="eastAsia" w:ascii="黑体" w:hAnsi="黑体" w:eastAsia="黑体" w:cs="黑体"/>
          <w:b w:val="0"/>
          <w:bCs w:val="0"/>
          <w:sz w:val="21"/>
          <w:szCs w:val="21"/>
        </w:rPr>
        <w:t>, PMTC</w:t>
      </w:r>
      <w:bookmarkEnd w:id="20"/>
      <w:bookmarkEnd w:id="21"/>
      <w:bookmarkEnd w:id="22"/>
      <w:bookmarkEnd w:id="23"/>
      <w:bookmarkEnd w:id="25"/>
    </w:p>
    <w:p>
      <w:pPr>
        <w:ind w:firstLine="420" w:firstLineChars="200"/>
        <w:rPr>
          <w:rFonts w:ascii="Times New Roman" w:hAnsi="Times New Roman" w:cs="Times New Roman"/>
        </w:rPr>
      </w:pPr>
      <w:r>
        <w:rPr>
          <w:rFonts w:ascii="Times New Roman" w:hAnsi="Times New Roman" w:cs="Times New Roman"/>
        </w:rPr>
        <w:t>使用牙科小毛刷、橡皮杯、牙邻面清洁器等工具配合牙面清洁剂，去除牙面菌斑、软垢、色素等达到牙面</w:t>
      </w:r>
      <w:r>
        <w:rPr>
          <w:rFonts w:hint="eastAsia" w:ascii="Times New Roman" w:hAnsi="Times New Roman" w:cs="Times New Roman"/>
        </w:rPr>
        <w:t>清</w:t>
      </w:r>
      <w:r>
        <w:rPr>
          <w:rFonts w:ascii="Times New Roman" w:hAnsi="Times New Roman" w:cs="Times New Roman"/>
        </w:rPr>
        <w:t>洁的技术。</w:t>
      </w:r>
    </w:p>
    <w:p>
      <w:pPr>
        <w:pStyle w:val="34"/>
        <w:ind w:firstLine="0" w:firstLineChars="0"/>
        <w:jc w:val="left"/>
        <w:rPr>
          <w:rFonts w:hint="eastAsia" w:ascii="黑体" w:hAnsi="黑体" w:eastAsia="黑体" w:cs="黑体"/>
          <w:b w:val="0"/>
          <w:bCs w:val="0"/>
          <w:sz w:val="21"/>
          <w:szCs w:val="21"/>
        </w:rPr>
      </w:pPr>
      <w:bookmarkStart w:id="26" w:name="_Toc210978329"/>
      <w:bookmarkStart w:id="27" w:name="_Toc208771654"/>
      <w:bookmarkStart w:id="28" w:name="_Toc210978072"/>
      <w:bookmarkStart w:id="29" w:name="_Toc210977342"/>
      <w:r>
        <w:rPr>
          <w:rFonts w:hint="eastAsia" w:ascii="黑体" w:hAnsi="黑体" w:eastAsia="黑体" w:cs="黑体"/>
          <w:b w:val="0"/>
          <w:bCs w:val="0"/>
          <w:sz w:val="21"/>
          <w:szCs w:val="21"/>
        </w:rPr>
        <w:t xml:space="preserve">3.4 </w:t>
      </w:r>
    </w:p>
    <w:p>
      <w:pPr>
        <w:pStyle w:val="34"/>
        <w:ind w:firstLine="420" w:firstLineChars="200"/>
        <w:jc w:val="left"/>
        <w:rPr>
          <w:rFonts w:hint="eastAsia" w:ascii="黑体" w:hAnsi="黑体" w:eastAsia="黑体" w:cs="黑体"/>
          <w:b w:val="0"/>
          <w:bCs w:val="0"/>
          <w:sz w:val="21"/>
          <w:szCs w:val="21"/>
        </w:rPr>
      </w:pPr>
      <w:r>
        <w:rPr>
          <w:rFonts w:hint="eastAsia" w:ascii="黑体" w:hAnsi="黑体" w:eastAsia="黑体" w:cs="黑体"/>
          <w:b w:val="0"/>
          <w:bCs w:val="0"/>
          <w:sz w:val="21"/>
          <w:szCs w:val="21"/>
        </w:rPr>
        <w:t xml:space="preserve">局部用氟 </w:t>
      </w:r>
      <w:r>
        <w:rPr>
          <w:rFonts w:hint="eastAsia" w:ascii="黑体" w:hAnsi="黑体" w:eastAsia="黑体" w:cs="黑体"/>
          <w:b w:val="0"/>
          <w:bCs w:val="0"/>
          <w:sz w:val="21"/>
          <w:szCs w:val="21"/>
          <w:lang w:val="en-US" w:eastAsia="zh-CN"/>
        </w:rPr>
        <w:t>t</w:t>
      </w:r>
      <w:r>
        <w:rPr>
          <w:rFonts w:hint="eastAsia" w:ascii="黑体" w:hAnsi="黑体" w:eastAsia="黑体" w:cs="黑体"/>
          <w:b w:val="0"/>
          <w:bCs w:val="0"/>
          <w:sz w:val="21"/>
          <w:szCs w:val="21"/>
        </w:rPr>
        <w:t xml:space="preserve">opical </w:t>
      </w:r>
      <w:r>
        <w:rPr>
          <w:rFonts w:hint="eastAsia" w:ascii="黑体" w:hAnsi="黑体" w:eastAsia="黑体" w:cs="黑体"/>
          <w:b w:val="0"/>
          <w:bCs w:val="0"/>
          <w:sz w:val="21"/>
          <w:szCs w:val="21"/>
          <w:lang w:val="en-US" w:eastAsia="zh-CN"/>
        </w:rPr>
        <w:t>a</w:t>
      </w:r>
      <w:r>
        <w:rPr>
          <w:rFonts w:hint="eastAsia" w:ascii="黑体" w:hAnsi="黑体" w:eastAsia="黑体" w:cs="黑体"/>
          <w:b w:val="0"/>
          <w:bCs w:val="0"/>
          <w:sz w:val="21"/>
          <w:szCs w:val="21"/>
        </w:rPr>
        <w:t>pplication of</w:t>
      </w:r>
      <w:r>
        <w:rPr>
          <w:rFonts w:hint="eastAsia" w:ascii="黑体" w:hAnsi="黑体" w:eastAsia="黑体" w:cs="黑体"/>
          <w:b w:val="0"/>
          <w:bCs w:val="0"/>
          <w:sz w:val="21"/>
          <w:szCs w:val="21"/>
          <w:lang w:val="en-US" w:eastAsia="zh-CN"/>
        </w:rPr>
        <w:t xml:space="preserve"> f</w:t>
      </w:r>
      <w:r>
        <w:rPr>
          <w:rFonts w:hint="eastAsia" w:ascii="黑体" w:hAnsi="黑体" w:eastAsia="黑体" w:cs="黑体"/>
          <w:b w:val="0"/>
          <w:bCs w:val="0"/>
          <w:sz w:val="21"/>
          <w:szCs w:val="21"/>
        </w:rPr>
        <w:t>luoride</w:t>
      </w:r>
      <w:bookmarkEnd w:id="26"/>
      <w:bookmarkEnd w:id="27"/>
      <w:bookmarkEnd w:id="28"/>
      <w:bookmarkEnd w:id="29"/>
      <w:r>
        <w:rPr>
          <w:rFonts w:hint="eastAsia" w:ascii="黑体" w:hAnsi="黑体" w:eastAsia="黑体" w:cs="黑体"/>
          <w:b w:val="0"/>
          <w:bCs w:val="0"/>
          <w:sz w:val="21"/>
          <w:szCs w:val="21"/>
        </w:rPr>
        <w:t xml:space="preserve"> </w:t>
      </w:r>
    </w:p>
    <w:p>
      <w:pPr>
        <w:ind w:firstLine="420" w:firstLineChars="200"/>
        <w:rPr>
          <w:rFonts w:ascii="Times New Roman" w:hAnsi="Times New Roman" w:cs="Times New Roman"/>
        </w:rPr>
      </w:pPr>
      <w:r>
        <w:rPr>
          <w:rFonts w:ascii="Times New Roman" w:hAnsi="Times New Roman" w:cs="Times New Roman"/>
        </w:rPr>
        <w:t>通过不同方法将氟化物制剂直接用于牙</w:t>
      </w:r>
      <w:r>
        <w:rPr>
          <w:rFonts w:hint="eastAsia" w:ascii="Times New Roman" w:hAnsi="Times New Roman" w:cs="Times New Roman"/>
        </w:rPr>
        <w:t>的</w:t>
      </w:r>
      <w:r>
        <w:rPr>
          <w:rFonts w:ascii="Times New Roman" w:hAnsi="Times New Roman" w:cs="Times New Roman"/>
        </w:rPr>
        <w:t>表面，抑制</w:t>
      </w:r>
      <w:r>
        <w:rPr>
          <w:rFonts w:hint="eastAsia" w:ascii="Times New Roman" w:hAnsi="Times New Roman" w:cs="Times New Roman"/>
        </w:rPr>
        <w:t>牙面</w:t>
      </w:r>
      <w:r>
        <w:rPr>
          <w:rFonts w:ascii="Times New Roman" w:hAnsi="Times New Roman" w:cs="Times New Roman"/>
        </w:rPr>
        <w:t>脱矿和促进再矿化，从而提高牙齿抗龋能力，预防龋病发生。</w:t>
      </w:r>
    </w:p>
    <w:p>
      <w:pPr>
        <w:pStyle w:val="34"/>
        <w:ind w:firstLine="0" w:firstLineChars="0"/>
        <w:jc w:val="left"/>
        <w:rPr>
          <w:rFonts w:hint="eastAsia" w:ascii="黑体" w:hAnsi="黑体" w:eastAsia="黑体" w:cs="黑体"/>
          <w:b w:val="0"/>
          <w:bCs w:val="0"/>
          <w:sz w:val="21"/>
          <w:szCs w:val="21"/>
        </w:rPr>
      </w:pPr>
      <w:bookmarkStart w:id="30" w:name="_Toc210978330"/>
      <w:bookmarkStart w:id="31" w:name="_Toc210978073"/>
      <w:bookmarkStart w:id="32" w:name="_Toc208771655"/>
      <w:bookmarkStart w:id="33" w:name="_Toc210977343"/>
      <w:r>
        <w:rPr>
          <w:rFonts w:hint="eastAsia" w:ascii="黑体" w:hAnsi="黑体" w:eastAsia="黑体" w:cs="黑体"/>
          <w:b w:val="0"/>
          <w:bCs w:val="0"/>
          <w:sz w:val="21"/>
          <w:szCs w:val="21"/>
        </w:rPr>
        <w:t xml:space="preserve">3.5 </w:t>
      </w:r>
    </w:p>
    <w:p>
      <w:pPr>
        <w:pStyle w:val="34"/>
        <w:ind w:firstLine="420" w:firstLineChars="200"/>
        <w:jc w:val="left"/>
        <w:rPr>
          <w:rFonts w:hint="eastAsia" w:ascii="黑体" w:hAnsi="黑体" w:eastAsia="黑体" w:cs="黑体"/>
          <w:b w:val="0"/>
          <w:bCs w:val="0"/>
          <w:sz w:val="21"/>
          <w:szCs w:val="21"/>
        </w:rPr>
      </w:pPr>
      <w:r>
        <w:rPr>
          <w:rFonts w:hint="eastAsia" w:ascii="黑体" w:hAnsi="黑体" w:eastAsia="黑体" w:cs="黑体"/>
          <w:b w:val="0"/>
          <w:bCs w:val="0"/>
          <w:sz w:val="21"/>
          <w:szCs w:val="21"/>
        </w:rPr>
        <w:t xml:space="preserve">窝沟封闭 </w:t>
      </w:r>
      <w:r>
        <w:rPr>
          <w:rFonts w:hint="eastAsia" w:ascii="黑体" w:hAnsi="黑体" w:eastAsia="黑体" w:cs="黑体"/>
          <w:b w:val="0"/>
          <w:bCs w:val="0"/>
          <w:sz w:val="21"/>
          <w:szCs w:val="21"/>
          <w:lang w:val="en-US" w:eastAsia="zh-CN"/>
        </w:rPr>
        <w:t>p</w:t>
      </w:r>
      <w:r>
        <w:rPr>
          <w:rFonts w:hint="eastAsia" w:ascii="黑体" w:hAnsi="黑体" w:eastAsia="黑体" w:cs="黑体"/>
          <w:b w:val="0"/>
          <w:bCs w:val="0"/>
          <w:sz w:val="21"/>
          <w:szCs w:val="21"/>
        </w:rPr>
        <w:t xml:space="preserve">it and </w:t>
      </w:r>
      <w:r>
        <w:rPr>
          <w:rFonts w:hint="eastAsia" w:ascii="黑体" w:hAnsi="黑体" w:eastAsia="黑体" w:cs="黑体"/>
          <w:b w:val="0"/>
          <w:bCs w:val="0"/>
          <w:sz w:val="21"/>
          <w:szCs w:val="21"/>
          <w:lang w:val="en-US" w:eastAsia="zh-CN"/>
        </w:rPr>
        <w:t>f</w:t>
      </w:r>
      <w:r>
        <w:rPr>
          <w:rFonts w:hint="eastAsia" w:ascii="黑体" w:hAnsi="黑体" w:eastAsia="黑体" w:cs="黑体"/>
          <w:b w:val="0"/>
          <w:bCs w:val="0"/>
          <w:sz w:val="21"/>
          <w:szCs w:val="21"/>
        </w:rPr>
        <w:t xml:space="preserve">issure </w:t>
      </w:r>
      <w:r>
        <w:rPr>
          <w:rFonts w:hint="eastAsia" w:ascii="黑体" w:hAnsi="黑体" w:eastAsia="黑体" w:cs="黑体"/>
          <w:b w:val="0"/>
          <w:bCs w:val="0"/>
          <w:sz w:val="21"/>
          <w:szCs w:val="21"/>
          <w:lang w:val="en-US" w:eastAsia="zh-CN"/>
        </w:rPr>
        <w:t>s</w:t>
      </w:r>
      <w:r>
        <w:rPr>
          <w:rFonts w:hint="eastAsia" w:ascii="黑体" w:hAnsi="黑体" w:eastAsia="黑体" w:cs="黑体"/>
          <w:b w:val="0"/>
          <w:bCs w:val="0"/>
          <w:sz w:val="21"/>
          <w:szCs w:val="21"/>
        </w:rPr>
        <w:t>ealing</w:t>
      </w:r>
      <w:bookmarkEnd w:id="30"/>
      <w:bookmarkEnd w:id="31"/>
      <w:bookmarkEnd w:id="32"/>
      <w:bookmarkEnd w:id="33"/>
    </w:p>
    <w:p>
      <w:pPr>
        <w:ind w:firstLine="420"/>
        <w:rPr>
          <w:rFonts w:hint="eastAsia" w:ascii="宋体" w:hAnsi="宋体" w:eastAsia="宋体" w:cs="宋体"/>
        </w:rPr>
      </w:pPr>
      <w:r>
        <w:rPr>
          <w:rFonts w:hint="eastAsia" w:ascii="宋体" w:hAnsi="宋体" w:eastAsia="宋体" w:cs="宋体"/>
        </w:rPr>
        <w:t>清洁有发生龋病风险牙齿的点隙裂沟后，涂布一层以树脂或玻璃离子水门汀（Glass Ionomer Cement，GIC）为基质的封闭剂，达到预防龋病发生的龋病管理方法。</w:t>
      </w:r>
    </w:p>
    <w:bookmarkEnd w:id="14"/>
    <w:p>
      <w:pPr>
        <w:pStyle w:val="3"/>
        <w:spacing w:before="312" w:beforeLines="100" w:after="312" w:afterLines="100" w:line="400" w:lineRule="exact"/>
        <w:rPr>
          <w:rFonts w:hint="eastAsia" w:ascii="黑体" w:hAnsi="黑体" w:eastAsia="黑体" w:cs="黑体"/>
          <w:b w:val="0"/>
          <w:bCs/>
          <w:sz w:val="21"/>
          <w:szCs w:val="21"/>
        </w:rPr>
      </w:pPr>
      <w:bookmarkStart w:id="34" w:name="_Toc217652892"/>
      <w:r>
        <w:rPr>
          <w:rFonts w:hint="eastAsia" w:ascii="黑体" w:hAnsi="黑体" w:eastAsia="黑体" w:cs="黑体"/>
          <w:b w:val="0"/>
          <w:bCs/>
          <w:sz w:val="21"/>
          <w:szCs w:val="21"/>
        </w:rPr>
        <w:t>4  家庭预防</w:t>
      </w:r>
      <w:bookmarkEnd w:id="34"/>
    </w:p>
    <w:p>
      <w:pPr>
        <w:pStyle w:val="12"/>
        <w:rPr>
          <w:rFonts w:hint="eastAsia" w:ascii="黑体" w:hAnsi="黑体" w:eastAsia="黑体" w:cs="黑体"/>
          <w:b w:val="0"/>
          <w:bCs/>
        </w:rPr>
      </w:pPr>
      <w:bookmarkStart w:id="35" w:name="_Toc217652893"/>
      <w:r>
        <w:rPr>
          <w:rFonts w:hint="eastAsia" w:ascii="黑体" w:hAnsi="黑体" w:eastAsia="黑体" w:cs="黑体"/>
          <w:b w:val="0"/>
          <w:bCs/>
        </w:rPr>
        <w:t>4.1 总则</w:t>
      </w:r>
      <w:bookmarkEnd w:id="35"/>
    </w:p>
    <w:p>
      <w:pPr>
        <w:pStyle w:val="45"/>
        <w:spacing w:after="156"/>
        <w:ind w:firstLine="420"/>
        <w:rPr>
          <w:rFonts w:hint="eastAsia" w:ascii="宋体" w:hAnsi="宋体" w:eastAsia="宋体" w:cs="宋体"/>
          <w:bCs/>
          <w:color w:val="000000"/>
          <w:sz w:val="21"/>
          <w:szCs w:val="21"/>
        </w:rPr>
      </w:pPr>
      <w:r>
        <w:rPr>
          <w:rFonts w:hint="eastAsia" w:ascii="宋体" w:hAnsi="宋体" w:eastAsia="宋体" w:cs="宋体"/>
          <w:color w:val="000000"/>
          <w:sz w:val="21"/>
          <w:szCs w:val="21"/>
        </w:rPr>
        <w:t>监护人参与的口腔预防保健对预防ECC发生十分重要。儿童口腔医务工作者或妇幼保健人员可通过口腔健康教育提升监护人口腔保健意识、树立定期到专业医疗机构进行口腔检查的理念。ECC的家庭预防包括从孕期开始的口腔健康促进，孩子出生后的科学喂养，良好饮食习惯及口腔卫生习惯的建立。</w:t>
      </w:r>
    </w:p>
    <w:p>
      <w:pPr>
        <w:pStyle w:val="3"/>
        <w:spacing w:before="312" w:beforeLines="100" w:after="312" w:afterLines="100" w:line="400" w:lineRule="exact"/>
        <w:rPr>
          <w:rFonts w:hint="eastAsia" w:ascii="黑体" w:hAnsi="黑体" w:eastAsia="黑体" w:cs="黑体"/>
          <w:b w:val="0"/>
          <w:bCs/>
          <w:sz w:val="21"/>
          <w:szCs w:val="21"/>
        </w:rPr>
      </w:pPr>
      <w:bookmarkStart w:id="36" w:name="_Toc217652894"/>
      <w:r>
        <w:rPr>
          <w:rFonts w:hint="eastAsia" w:ascii="黑体" w:hAnsi="黑体" w:eastAsia="黑体" w:cs="黑体"/>
          <w:b w:val="0"/>
          <w:bCs/>
          <w:sz w:val="21"/>
          <w:szCs w:val="21"/>
        </w:rPr>
        <w:t>4.2 家庭预防流程</w:t>
      </w:r>
      <w:bookmarkEnd w:id="36"/>
    </w:p>
    <w:p>
      <w:pPr>
        <w:pStyle w:val="45"/>
        <w:spacing w:after="156"/>
        <w:ind w:firstLine="0" w:firstLineChars="0"/>
      </w:pPr>
      <w:r>
        <w:rPr>
          <w:rFonts w:hint="eastAsia"/>
        </w:rPr>
        <w:drawing>
          <wp:anchor distT="0" distB="0" distL="114300" distR="114300" simplePos="0" relativeHeight="251661312" behindDoc="0" locked="0" layoutInCell="1" allowOverlap="1">
            <wp:simplePos x="0" y="0"/>
            <wp:positionH relativeFrom="column">
              <wp:posOffset>656590</wp:posOffset>
            </wp:positionH>
            <wp:positionV relativeFrom="paragraph">
              <wp:posOffset>497205</wp:posOffset>
            </wp:positionV>
            <wp:extent cx="4123055" cy="2003425"/>
            <wp:effectExtent l="0" t="0" r="0" b="0"/>
            <wp:wrapTopAndBottom/>
            <wp:docPr id="65488520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885209"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23055" cy="2003425"/>
                    </a:xfrm>
                    <a:prstGeom prst="rect">
                      <a:avLst/>
                    </a:prstGeom>
                    <a:noFill/>
                  </pic:spPr>
                </pic:pic>
              </a:graphicData>
            </a:graphic>
          </wp:anchor>
        </w:drawing>
      </w:r>
      <w:r>
        <w:rPr>
          <w:rFonts w:hint="eastAsia"/>
        </w:rPr>
        <w:t xml:space="preserve"> </w:t>
      </w:r>
      <w:r>
        <w:rPr>
          <w:rFonts w:hint="eastAsia"/>
          <w:sz w:val="21"/>
          <w:szCs w:val="21"/>
        </w:rPr>
        <w:t xml:space="preserve">  </w:t>
      </w:r>
      <w:r>
        <w:rPr>
          <w:sz w:val="21"/>
          <w:szCs w:val="21"/>
        </w:rPr>
        <w:t>家庭预防流程包括自孕期开始的口腔健康促进、婴幼儿科学喂养、饮食习惯与口腔卫生行为建立等环节，具体流程见图1</w:t>
      </w:r>
      <w:r>
        <w:rPr>
          <w:rFonts w:hint="eastAsia"/>
          <w:sz w:val="21"/>
          <w:szCs w:val="21"/>
        </w:rPr>
        <w:t>。</w:t>
      </w:r>
    </w:p>
    <w:p>
      <w:pPr>
        <w:spacing w:after="156"/>
        <w:jc w:val="center"/>
        <w:rPr>
          <w:b/>
          <w:bCs/>
        </w:rPr>
      </w:pPr>
      <w:r>
        <w:rPr>
          <w:b/>
          <w:bCs/>
        </w:rPr>
        <w:t>图</w:t>
      </w:r>
      <w:r>
        <w:rPr>
          <w:rFonts w:hint="eastAsia"/>
          <w:b/>
          <w:bCs/>
        </w:rPr>
        <w:t>1</w:t>
      </w:r>
      <w:r>
        <w:rPr>
          <w:b/>
          <w:bCs/>
        </w:rPr>
        <w:t>：家庭预防流程</w:t>
      </w:r>
    </w:p>
    <w:p>
      <w:pPr>
        <w:pStyle w:val="12"/>
        <w:rPr>
          <w:rFonts w:hint="eastAsia" w:ascii="黑体" w:hAnsi="黑体" w:eastAsia="黑体" w:cs="黑体"/>
          <w:b w:val="0"/>
          <w:bCs/>
          <w:kern w:val="0"/>
          <w:szCs w:val="21"/>
        </w:rPr>
      </w:pPr>
      <w:bookmarkStart w:id="37" w:name="_Toc217652895"/>
      <w:r>
        <w:rPr>
          <w:rFonts w:hint="eastAsia" w:ascii="黑体" w:hAnsi="黑体" w:eastAsia="黑体" w:cs="黑体"/>
          <w:b w:val="0"/>
          <w:bCs/>
          <w:kern w:val="0"/>
          <w:szCs w:val="21"/>
        </w:rPr>
        <w:t>4.3 家庭预防要点</w:t>
      </w:r>
      <w:bookmarkEnd w:id="37"/>
    </w:p>
    <w:p>
      <w:pPr>
        <w:pStyle w:val="12"/>
        <w:rPr>
          <w:rFonts w:hint="eastAsia" w:ascii="黑体" w:hAnsi="黑体" w:eastAsia="黑体" w:cs="黑体"/>
          <w:b w:val="0"/>
          <w:bCs/>
          <w:szCs w:val="21"/>
        </w:rPr>
      </w:pPr>
      <w:bookmarkStart w:id="38" w:name="_Toc217652896"/>
      <w:r>
        <w:rPr>
          <w:rFonts w:hint="eastAsia" w:ascii="黑体" w:hAnsi="黑体" w:eastAsia="黑体" w:cs="黑体"/>
          <w:b w:val="0"/>
          <w:bCs/>
          <w:szCs w:val="21"/>
        </w:rPr>
        <w:t>4.3.1 儿童口腔健康教育</w:t>
      </w:r>
      <w:bookmarkEnd w:id="38"/>
    </w:p>
    <w:p>
      <w:pPr>
        <w:pStyle w:val="43"/>
        <w:spacing w:line="360" w:lineRule="auto"/>
        <w:ind w:firstLine="420"/>
        <w:rPr>
          <w:rFonts w:hint="eastAsia" w:ascii="宋体" w:hAnsi="宋体" w:eastAsia="宋体" w:cs="宋体"/>
          <w:color w:val="000000"/>
          <w:szCs w:val="21"/>
        </w:rPr>
      </w:pPr>
      <w:r>
        <w:rPr>
          <w:rFonts w:hint="eastAsia" w:ascii="宋体" w:hAnsi="宋体" w:eastAsia="宋体" w:cs="宋体"/>
          <w:color w:val="000000"/>
          <w:szCs w:val="21"/>
        </w:rPr>
        <w:t>通过各种形式的科普宣教、定期检查时的口腔健康指导，针对性地传播口腔健康知识和口腔保健方法，鼓励儿童及其监护人树立正确的口腔健康意识，并指导其掌握正确的日常口腔保健措施。对儿童进行口腔健康教育的内容需兼顾科学性、准确性、通俗性和趣味性，以激发其主动维护口腔健康的意愿</w:t>
      </w:r>
      <w:r>
        <w:rPr>
          <w:rFonts w:hint="eastAsia" w:ascii="宋体" w:hAnsi="宋体" w:eastAsia="宋体" w:cs="宋体"/>
          <w:color w:val="000000"/>
          <w:szCs w:val="21"/>
        </w:rPr>
        <w:fldChar w:fldCharType="begin"/>
      </w:r>
      <w:r>
        <w:rPr>
          <w:rFonts w:hint="eastAsia" w:ascii="宋体" w:hAnsi="宋体" w:eastAsia="宋体" w:cs="宋体"/>
          <w:color w:val="000000"/>
          <w:szCs w:val="21"/>
        </w:rPr>
        <w:instrText xml:space="preserve"> ADDIN EN.CITE &lt;EndNote&gt;&lt;Cite&gt;&lt;Author&gt;Dentistry.&lt;/Author&gt;&lt;Year&gt;2022&lt;/Year&gt;&lt;RecNum&gt;1568&lt;/RecNum&gt;&lt;DisplayText&gt;&lt;style face="superscript" font="Times New Roman"&gt;[4]&lt;/style&gt;&lt;/DisplayText&gt;&lt;record&gt;&lt;rec-number&gt;1568&lt;/rec-number&gt;&lt;foreign-keys&gt;&lt;key app="EN" db-id="2sdpxsv92tpp51evx91prr5x52zr2x0erxsp" timestamp="1751205017"&gt;1568&lt;/key&gt;&lt;key app="ENWeb" db-id=""&gt;0&lt;/key&gt;&lt;/foreign-keys&gt;&lt;ref-type name="Journal Article"&gt;17&lt;/ref-type&gt;&lt;contributors&gt;&lt;authors&gt;&lt;author&gt;American Academy of Pediatric Dentistry. &lt;/author&gt;&lt;/authors&gt;&lt;/contributors&gt;&lt;titles&gt;&lt;title&gt;Policy on early childhood caries (ECC): Consequences and preventive strategies. The Reference Manual of Pediatric Dentistry. Chicago, Ill.: American Academy of Pediatric Dentistry.&lt;/title&gt;&lt;/titles&gt;&lt;volume&gt;90-3&lt;/volume&gt;&lt;dates&gt;&lt;year&gt;2022&lt;/year&gt;&lt;/dates&gt;&lt;urls&gt;&lt;/urls&gt;&lt;/record&gt;&lt;/Cite&gt;&lt;/EndNote&gt;</w:instrText>
      </w:r>
      <w:r>
        <w:rPr>
          <w:rFonts w:hint="eastAsia" w:ascii="宋体" w:hAnsi="宋体" w:eastAsia="宋体" w:cs="宋体"/>
          <w:color w:val="000000"/>
          <w:szCs w:val="21"/>
        </w:rPr>
        <w:fldChar w:fldCharType="separate"/>
      </w:r>
      <w:r>
        <w:rPr>
          <w:rFonts w:hint="eastAsia" w:ascii="宋体" w:hAnsi="宋体" w:eastAsia="宋体" w:cs="宋体"/>
          <w:color w:val="000000"/>
          <w:szCs w:val="21"/>
          <w:vertAlign w:val="superscript"/>
        </w:rPr>
        <w:t>[4]</w:t>
      </w:r>
      <w:r>
        <w:rPr>
          <w:rFonts w:hint="eastAsia" w:ascii="宋体" w:hAnsi="宋体" w:eastAsia="宋体" w:cs="宋体"/>
          <w:color w:val="000000"/>
          <w:szCs w:val="21"/>
        </w:rPr>
        <w:fldChar w:fldCharType="end"/>
      </w:r>
      <w:r>
        <w:rPr>
          <w:rFonts w:hint="eastAsia" w:ascii="宋体" w:hAnsi="宋体" w:eastAsia="宋体" w:cs="宋体"/>
          <w:color w:val="000000"/>
          <w:szCs w:val="21"/>
        </w:rPr>
        <w:t xml:space="preserve">。 </w:t>
      </w:r>
    </w:p>
    <w:p>
      <w:pPr>
        <w:pStyle w:val="12"/>
        <w:rPr>
          <w:rFonts w:hint="eastAsia" w:ascii="黑体" w:hAnsi="黑体" w:eastAsia="黑体" w:cs="黑体"/>
          <w:b w:val="0"/>
          <w:bCs/>
        </w:rPr>
      </w:pPr>
      <w:bookmarkStart w:id="39" w:name="_Toc217652897"/>
      <w:r>
        <w:rPr>
          <w:rFonts w:hint="eastAsia" w:ascii="黑体" w:hAnsi="黑体" w:eastAsia="黑体" w:cs="黑体"/>
          <w:b w:val="0"/>
          <w:bCs/>
        </w:rPr>
        <w:t>4.3.2 孕期口腔健康维护</w:t>
      </w:r>
      <w:bookmarkEnd w:id="39"/>
    </w:p>
    <w:p>
      <w:pPr>
        <w:pStyle w:val="43"/>
        <w:spacing w:line="360" w:lineRule="auto"/>
        <w:ind w:firstLine="420"/>
        <w:rPr>
          <w:rFonts w:hint="eastAsia" w:ascii="宋体" w:hAnsi="宋体" w:eastAsia="宋体" w:cs="宋体"/>
          <w:color w:val="000000"/>
          <w:szCs w:val="21"/>
        </w:rPr>
      </w:pPr>
      <w:r>
        <w:rPr>
          <w:rFonts w:hint="eastAsia" w:ascii="宋体" w:hAnsi="宋体" w:eastAsia="宋体" w:cs="宋体"/>
          <w:color w:val="000000"/>
          <w:szCs w:val="21"/>
        </w:rPr>
        <w:t>备孕妇女应进行口腔健康检查，及时治疗活跃性龋、牙周病及其它口腔疾病。孕期女性应坚持每天有效刷牙两次、使用牙线；定期进行口腔检查，均衡饮食，摄取优质蛋白质、微量元素和维生素。若出现孕期呕吐，避免立即刷牙，可用清水或小苏打水漱口。若发生龋病，建议咨询专业的口腔科医生及妇产科医生，必要时可在相对稳定的孕中期进行治疗。妊娠期维生素 D 的缺乏、主动或被动吸烟均会增加ECC的风险</w:t>
      </w:r>
      <w:r>
        <w:rPr>
          <w:rFonts w:hint="eastAsia" w:ascii="宋体" w:hAnsi="宋体" w:eastAsia="宋体" w:cs="宋体"/>
          <w:color w:val="000000"/>
          <w:szCs w:val="21"/>
        </w:rPr>
        <w:fldChar w:fldCharType="begin">
          <w:fldData xml:space="preserve">PEVuZE5vdGU+PENpdGU+PEF1dGhvcj5YaWFvPC9BdXRob3I+PFllYXI+MjAxOTwvWWVhcj48UmVj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</w:fldData>
        </w:fldChar>
      </w:r>
      <w:r>
        <w:rPr>
          <w:rFonts w:hint="eastAsia" w:ascii="宋体" w:hAnsi="宋体" w:eastAsia="宋体" w:cs="宋体"/>
          <w:color w:val="000000"/>
          <w:szCs w:val="21"/>
        </w:rPr>
        <w:instrText xml:space="preserve"> ADDIN EN.CITE </w:instrText>
      </w:r>
      <w:r>
        <w:rPr>
          <w:rFonts w:hint="eastAsia" w:ascii="宋体" w:hAnsi="宋体" w:eastAsia="宋体" w:cs="宋体"/>
          <w:color w:val="000000"/>
          <w:szCs w:val="21"/>
        </w:rPr>
        <w:fldChar w:fldCharType="begin">
          <w:fldData xml:space="preserve">PEVuZE5vdGU+PENpdGU+PEF1dGhvcj5YaWFvPC9BdXRob3I+PFllYXI+MjAxOTwvWWVhcj48UmVj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</w:fldData>
        </w:fldChar>
      </w:r>
      <w:r>
        <w:rPr>
          <w:rFonts w:hint="eastAsia" w:ascii="宋体" w:hAnsi="宋体" w:eastAsia="宋体" w:cs="宋体"/>
          <w:color w:val="000000"/>
          <w:szCs w:val="21"/>
        </w:rPr>
        <w:instrText xml:space="preserve"> ADDIN EN.CITE.DATA </w:instrText>
      </w:r>
      <w:r>
        <w:rPr>
          <w:rFonts w:hint="eastAsia" w:ascii="宋体" w:hAnsi="宋体" w:eastAsia="宋体" w:cs="宋体"/>
          <w:color w:val="000000"/>
          <w:szCs w:val="21"/>
        </w:rPr>
        <w:fldChar w:fldCharType="end"/>
      </w:r>
      <w:r>
        <w:rPr>
          <w:rFonts w:hint="eastAsia" w:ascii="宋体" w:hAnsi="宋体" w:eastAsia="宋体" w:cs="宋体"/>
          <w:color w:val="000000"/>
          <w:szCs w:val="21"/>
        </w:rPr>
        <w:fldChar w:fldCharType="separate"/>
      </w:r>
      <w:r>
        <w:rPr>
          <w:rFonts w:hint="eastAsia" w:ascii="宋体" w:hAnsi="宋体" w:eastAsia="宋体" w:cs="宋体"/>
          <w:color w:val="000000"/>
          <w:szCs w:val="21"/>
          <w:vertAlign w:val="superscript"/>
        </w:rPr>
        <w:t>[3, 5]</w:t>
      </w:r>
      <w:r>
        <w:rPr>
          <w:rFonts w:hint="eastAsia" w:ascii="宋体" w:hAnsi="宋体" w:eastAsia="宋体" w:cs="宋体"/>
          <w:color w:val="000000"/>
          <w:szCs w:val="21"/>
        </w:rPr>
        <w:fldChar w:fldCharType="end"/>
      </w:r>
      <w:r>
        <w:rPr>
          <w:rFonts w:hint="eastAsia" w:ascii="宋体" w:hAnsi="宋体" w:eastAsia="宋体" w:cs="宋体"/>
          <w:color w:val="000000"/>
          <w:szCs w:val="21"/>
        </w:rPr>
        <w:t>。</w:t>
      </w:r>
    </w:p>
    <w:p>
      <w:pPr>
        <w:pStyle w:val="12"/>
        <w:rPr>
          <w:rFonts w:hint="eastAsia" w:ascii="黑体" w:hAnsi="黑体" w:eastAsia="黑体" w:cs="黑体"/>
          <w:b w:val="0"/>
          <w:bCs/>
        </w:rPr>
      </w:pPr>
      <w:bookmarkStart w:id="40" w:name="_Toc217652898"/>
      <w:r>
        <w:rPr>
          <w:rFonts w:hint="eastAsia" w:ascii="黑体" w:hAnsi="黑体" w:eastAsia="黑体" w:cs="黑体"/>
          <w:b w:val="0"/>
          <w:bCs/>
        </w:rPr>
        <w:t>4.3.3 口腔健康行为</w:t>
      </w:r>
      <w:bookmarkEnd w:id="40"/>
    </w:p>
    <w:p>
      <w:pPr>
        <w:pStyle w:val="43"/>
        <w:spacing w:line="420" w:lineRule="exact"/>
        <w:ind w:firstLine="0" w:firstLineChars="0"/>
        <w:rPr>
          <w:rFonts w:hint="eastAsia" w:ascii="黑体" w:hAnsi="黑体" w:eastAsia="黑体" w:cs="黑体"/>
          <w:b w:val="0"/>
          <w:bCs/>
          <w:szCs w:val="21"/>
        </w:rPr>
      </w:pPr>
      <w:r>
        <w:rPr>
          <w:rFonts w:hint="eastAsia" w:ascii="黑体" w:hAnsi="黑体" w:eastAsia="黑体" w:cs="黑体"/>
          <w:b w:val="0"/>
          <w:bCs/>
          <w:szCs w:val="21"/>
        </w:rPr>
        <w:t>4.3.3.1 喂养及饮食</w:t>
      </w:r>
    </w:p>
    <w:p>
      <w:pPr>
        <w:pStyle w:val="43"/>
        <w:spacing w:line="360" w:lineRule="auto"/>
        <w:ind w:firstLine="420"/>
        <w:rPr>
          <w:rFonts w:ascii="Times New Roman"/>
          <w:color w:val="000000"/>
          <w:szCs w:val="21"/>
        </w:rPr>
      </w:pPr>
      <w:r>
        <w:rPr>
          <w:rFonts w:hint="eastAsia" w:ascii="Times New Roman"/>
          <w:color w:val="000000"/>
          <w:szCs w:val="21"/>
          <w:lang w:val="en-US" w:eastAsia="zh-CN"/>
        </w:rPr>
        <w:t>4.3.3.1.1</w:t>
      </w:r>
      <w:r>
        <w:rPr>
          <w:rFonts w:ascii="Times New Roman"/>
          <w:color w:val="000000"/>
          <w:szCs w:val="21"/>
        </w:rPr>
        <w:t>建议纯母乳喂养到婴儿6月</w:t>
      </w:r>
      <w:r>
        <w:rPr>
          <w:rFonts w:hint="eastAsia" w:ascii="Times New Roman"/>
          <w:color w:val="000000"/>
          <w:szCs w:val="21"/>
        </w:rPr>
        <w:t>龄</w:t>
      </w:r>
      <w:r>
        <w:rPr>
          <w:rFonts w:ascii="Times New Roman"/>
          <w:color w:val="000000"/>
          <w:szCs w:val="21"/>
        </w:rPr>
        <w:t>，之后结合辅食添加情况，母乳喂养可延长至2</w:t>
      </w:r>
      <w:r>
        <w:rPr>
          <w:rFonts w:hint="eastAsia" w:ascii="Times New Roman"/>
          <w:color w:val="000000"/>
          <w:szCs w:val="21"/>
        </w:rPr>
        <w:t>周</w:t>
      </w:r>
      <w:r>
        <w:rPr>
          <w:rFonts w:ascii="Times New Roman"/>
          <w:color w:val="000000"/>
          <w:szCs w:val="21"/>
        </w:rPr>
        <w:t>岁。夜间喂养应陆续减少，3个月内可夜间喂养2次，4个</w:t>
      </w:r>
      <w:r>
        <w:rPr>
          <w:rFonts w:hint="eastAsia" w:ascii="Times New Roman" w:hAnsi="Times New Roman" w:cs="Times New Roman"/>
        </w:rPr>
        <w:t>~</w:t>
      </w:r>
      <w:r>
        <w:rPr>
          <w:rFonts w:ascii="Times New Roman"/>
          <w:color w:val="000000"/>
          <w:szCs w:val="21"/>
        </w:rPr>
        <w:t>6个月减少到1次，6个月以后建议尽早戒除夜间喂养</w:t>
      </w:r>
      <w:r>
        <w:rPr>
          <w:rFonts w:ascii="Times New Roman"/>
          <w:color w:val="000000"/>
          <w:szCs w:val="21"/>
        </w:rPr>
        <w:fldChar w:fldCharType="begin">
          <w:fldData xml:space="preserve">PEVuZE5vdGU+PENpdGU+PEF1dGhvcj5EZW50aXN0cnkuPC9BdXRob3I+PFllYXI+MjAyMjwvWWVh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</w:fldData>
        </w:fldChar>
      </w:r>
      <w:r>
        <w:rPr>
          <w:rFonts w:ascii="Times New Roman"/>
          <w:color w:val="000000"/>
          <w:szCs w:val="21"/>
        </w:rPr>
        <w:instrText xml:space="preserve"> ADDIN EN.CITE </w:instrText>
      </w:r>
      <w:r>
        <w:rPr>
          <w:rFonts w:ascii="Times New Roman"/>
          <w:color w:val="000000"/>
          <w:szCs w:val="21"/>
        </w:rPr>
        <w:fldChar w:fldCharType="begin">
          <w:fldData xml:space="preserve">PEVuZE5vdGU+PENpdGU+PEF1dGhvcj5EZW50aXN0cnkuPC9BdXRob3I+PFllYXI+MjAyMjwvWWVh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</w:fldData>
        </w:fldChar>
      </w:r>
      <w:r>
        <w:rPr>
          <w:rFonts w:ascii="Times New Roman"/>
          <w:color w:val="000000"/>
          <w:szCs w:val="21"/>
        </w:rPr>
        <w:instrText xml:space="preserve"> ADDIN EN.CITE.DATA </w:instrText>
      </w:r>
      <w:r>
        <w:rPr>
          <w:rFonts w:ascii="Times New Roman"/>
          <w:color w:val="000000"/>
          <w:szCs w:val="21"/>
        </w:rPr>
        <w:fldChar w:fldCharType="end"/>
      </w:r>
      <w:r>
        <w:rPr>
          <w:rFonts w:ascii="Times New Roman"/>
          <w:color w:val="000000"/>
          <w:szCs w:val="21"/>
        </w:rPr>
        <w:fldChar w:fldCharType="separate"/>
      </w:r>
      <w:r>
        <w:rPr>
          <w:rFonts w:ascii="Times New Roman"/>
          <w:color w:val="000000"/>
          <w:szCs w:val="21"/>
          <w:vertAlign w:val="superscript"/>
        </w:rPr>
        <w:t>[4, 6]</w:t>
      </w:r>
      <w:r>
        <w:rPr>
          <w:rFonts w:ascii="Times New Roman"/>
          <w:color w:val="000000"/>
          <w:szCs w:val="21"/>
        </w:rPr>
        <w:fldChar w:fldCharType="end"/>
      </w:r>
      <w:r>
        <w:rPr>
          <w:rFonts w:ascii="Times New Roman"/>
          <w:color w:val="000000"/>
          <w:szCs w:val="21"/>
        </w:rPr>
        <w:t>。</w:t>
      </w:r>
    </w:p>
    <w:p>
      <w:pPr>
        <w:pStyle w:val="43"/>
        <w:spacing w:line="360" w:lineRule="auto"/>
        <w:ind w:firstLine="420"/>
        <w:rPr>
          <w:rFonts w:ascii="Times New Roman"/>
          <w:color w:val="000000"/>
          <w:szCs w:val="21"/>
        </w:rPr>
      </w:pPr>
      <w:r>
        <w:rPr>
          <w:rFonts w:hint="eastAsia" w:ascii="Times New Roman"/>
          <w:color w:val="000000"/>
          <w:szCs w:val="21"/>
          <w:lang w:val="en-US" w:eastAsia="zh-CN"/>
        </w:rPr>
        <w:t>4.3.3.1.2</w:t>
      </w:r>
      <w:r>
        <w:rPr>
          <w:rFonts w:ascii="Times New Roman"/>
          <w:color w:val="000000"/>
          <w:szCs w:val="21"/>
        </w:rPr>
        <w:t>建议在婴幼儿哺乳后喂服少量清水，看护人在婴幼儿睡觉前用纱布等擦拭孩子的口腔黏膜及牙面，并避免让孩子含着奶瓶入睡和非必需的夜间喂养。母亲及看护人在做好自身日常口腔卫生维护的同时，应避免和儿童共用牙刷、嘴对嘴喂食或亲吻等产生唾液交换</w:t>
      </w:r>
      <w:r>
        <w:rPr>
          <w:rFonts w:hint="eastAsia" w:ascii="Times New Roman"/>
          <w:color w:val="000000"/>
          <w:szCs w:val="21"/>
        </w:rPr>
        <w:t>的行为</w:t>
      </w:r>
      <w:r>
        <w:rPr>
          <w:rFonts w:ascii="Times New Roman"/>
          <w:color w:val="000000"/>
          <w:szCs w:val="21"/>
        </w:rPr>
        <w:fldChar w:fldCharType="begin"/>
      </w:r>
      <w:r>
        <w:rPr>
          <w:rFonts w:ascii="Times New Roman"/>
          <w:color w:val="000000"/>
          <w:szCs w:val="21"/>
        </w:rPr>
        <w:instrText xml:space="preserve"> ADDIN EN.CITE &lt;EndNote&gt;&lt;Cite&gt;&lt;RecNum&gt;1580&lt;/RecNum&gt;&lt;DisplayText&gt;&lt;style face="superscript" font="Times New Roman"&gt;[7]&lt;/style&gt;&lt;/DisplayText&gt;&lt;record&gt;&lt;rec-number&gt;1580&lt;/rec-number&gt;&lt;foreign-keys&gt;&lt;key app="EN" db-id="2sdpxsv92tpp51evx91prr5x52zr2x0erxsp" timestamp="1751210982"&gt;1580&lt;/key&gt;&lt;/foreign-keys&gt;&lt;ref-type name="Journal Article"&gt;17&lt;/ref-type&gt;&lt;contributors&gt;&lt;/contributors&gt;&lt;titles&gt;&lt;title&gt;Wright J T, Hanson N, Ristic H, et al. Fluoride toothpaste efficacy and safety in children younger than 6 years: a systematic review. The Journal of the American Dental Association, 2014, 145(2): 182-189.&lt;/title&gt;&lt;/titles&gt;&lt;dates&gt;&lt;/dates&gt;&lt;urls&gt;&lt;/urls&gt;&lt;/record&gt;&lt;/Cite&gt;&lt;/EndNote&gt;</w:instrText>
      </w:r>
      <w:r>
        <w:rPr>
          <w:rFonts w:ascii="Times New Roman"/>
          <w:color w:val="000000"/>
          <w:szCs w:val="21"/>
        </w:rPr>
        <w:fldChar w:fldCharType="separate"/>
      </w:r>
      <w:r>
        <w:rPr>
          <w:rFonts w:ascii="Times New Roman"/>
          <w:color w:val="000000"/>
          <w:szCs w:val="21"/>
          <w:vertAlign w:val="superscript"/>
        </w:rPr>
        <w:t>[7]</w:t>
      </w:r>
      <w:r>
        <w:rPr>
          <w:rFonts w:ascii="Times New Roman"/>
          <w:color w:val="000000"/>
          <w:szCs w:val="21"/>
        </w:rPr>
        <w:fldChar w:fldCharType="end"/>
      </w:r>
      <w:r>
        <w:rPr>
          <w:rFonts w:ascii="Times New Roman"/>
          <w:color w:val="000000"/>
          <w:szCs w:val="21"/>
        </w:rPr>
        <w:t>。</w:t>
      </w:r>
    </w:p>
    <w:p>
      <w:pPr>
        <w:pStyle w:val="43"/>
        <w:spacing w:line="360" w:lineRule="auto"/>
        <w:ind w:firstLine="420"/>
        <w:rPr>
          <w:rFonts w:ascii="Times New Roman"/>
          <w:color w:val="000000"/>
          <w:szCs w:val="21"/>
        </w:rPr>
      </w:pPr>
      <w:r>
        <w:rPr>
          <w:rFonts w:hint="eastAsia" w:ascii="Times New Roman"/>
          <w:color w:val="000000"/>
          <w:szCs w:val="21"/>
          <w:lang w:val="en-US" w:eastAsia="zh-CN"/>
        </w:rPr>
        <w:t>4.3.3.1.3</w:t>
      </w:r>
      <w:r>
        <w:rPr>
          <w:rFonts w:ascii="Times New Roman"/>
          <w:color w:val="000000"/>
          <w:szCs w:val="21"/>
        </w:rPr>
        <w:t>精细化、较高频率的高糖饮食</w:t>
      </w:r>
      <w:r>
        <w:rPr>
          <w:rFonts w:hint="eastAsia" w:ascii="Times New Roman"/>
          <w:color w:val="000000"/>
          <w:szCs w:val="21"/>
        </w:rPr>
        <w:t>，</w:t>
      </w:r>
      <w:r>
        <w:rPr>
          <w:rFonts w:ascii="Times New Roman"/>
          <w:color w:val="000000"/>
          <w:szCs w:val="21"/>
        </w:rPr>
        <w:t>如经常摄入糖和/或果汁会增加儿童 ECC 患病风险和治疗后的复发率。WHO建议儿童每日</w:t>
      </w:r>
      <w:r>
        <w:rPr>
          <w:rFonts w:hint="eastAsia" w:ascii="Times New Roman"/>
          <w:color w:val="000000"/>
          <w:szCs w:val="21"/>
        </w:rPr>
        <w:t>游离</w:t>
      </w:r>
      <w:r>
        <w:rPr>
          <w:rFonts w:ascii="Times New Roman"/>
          <w:color w:val="000000"/>
          <w:szCs w:val="21"/>
        </w:rPr>
        <w:t>糖的摄入量应低于总能量的 5%，以降低患龋和肥胖的风险</w:t>
      </w:r>
      <w:r>
        <w:rPr>
          <w:rFonts w:ascii="Times New Roman"/>
          <w:color w:val="000000"/>
          <w:szCs w:val="21"/>
        </w:rPr>
        <w:fldChar w:fldCharType="begin"/>
      </w:r>
      <w:r>
        <w:rPr>
          <w:rFonts w:ascii="Times New Roman"/>
          <w:color w:val="000000"/>
          <w:szCs w:val="21"/>
        </w:rPr>
        <w:instrText xml:space="preserve"> ADDIN EN.CITE &lt;EndNote&gt;&lt;Cite&gt;&lt;RecNum&gt;1582&lt;/RecNum&gt;&lt;DisplayText&gt;&lt;style face="superscript" font="Times New Roman"&gt;[8, 9]&lt;/style&gt;&lt;/DisplayText&gt;&lt;record&gt;&lt;rec-number&gt;1582&lt;/rec-number&gt;&lt;foreign-keys&gt;&lt;key app="EN" db-id="2sdpxsv92tpp51evx91prr5x52zr2x0erxsp" timestamp="1751211339"&gt;1582&lt;/key&gt;&lt;/foreign-keys&gt;&lt;ref-type name="Journal Article"&gt;17&lt;/ref-type&gt;&lt;contributors&gt;&lt;/contributors&gt;&lt;titles&gt;&lt;title&gt;Heyman M B, Abrams S A, Heitlinger L A, et al. Fruit juice in infants, children, and adolescents: current recommendations. Pediatrics, 2017, 139(6).&lt;/title&gt;&lt;/titles&gt;&lt;dates&gt;&lt;/dates&gt;&lt;urls&gt;&lt;/urls&gt;&lt;/record&gt;&lt;/Cite&gt;&lt;Cite&gt;&lt;RecNum&gt;1581&lt;/RecNum&gt;&lt;record&gt;&lt;rec-number&gt;1581&lt;/rec-number&gt;&lt;foreign-keys&gt;&lt;key app="EN" db-id="2sdpxsv92tpp51evx91prr5x52zr2x0erxsp" timestamp="1751211204"&gt;1581&lt;/key&gt;&lt;/foreign-keys&gt;&lt;ref-type name="Journal Article"&gt;17&lt;/ref-type&gt;&lt;contributors&gt;&lt;/contributors&gt;&lt;titles&gt;&lt;title&gt;World Health Organization. Guideline: Sugars intake for adults and children. Geneva, Switzerland: World Health Organization, 2015.&lt;/title&gt;&lt;/titles&gt;&lt;dates&gt;&lt;/dates&gt;&lt;urls&gt;&lt;/urls&gt;&lt;/record&gt;&lt;/Cite&gt;&lt;/EndNote&gt;</w:instrText>
      </w:r>
      <w:r>
        <w:rPr>
          <w:rFonts w:ascii="Times New Roman"/>
          <w:color w:val="000000"/>
          <w:szCs w:val="21"/>
        </w:rPr>
        <w:fldChar w:fldCharType="separate"/>
      </w:r>
      <w:r>
        <w:rPr>
          <w:rFonts w:ascii="Times New Roman"/>
          <w:color w:val="000000"/>
          <w:szCs w:val="21"/>
          <w:vertAlign w:val="superscript"/>
        </w:rPr>
        <w:t>[8, 9]</w:t>
      </w:r>
      <w:r>
        <w:rPr>
          <w:rFonts w:ascii="Times New Roman"/>
          <w:color w:val="000000"/>
          <w:szCs w:val="21"/>
        </w:rPr>
        <w:fldChar w:fldCharType="end"/>
      </w:r>
      <w:r>
        <w:rPr>
          <w:rFonts w:ascii="Times New Roman"/>
          <w:color w:val="000000"/>
          <w:szCs w:val="21"/>
        </w:rPr>
        <w:t>。</w:t>
      </w:r>
    </w:p>
    <w:p>
      <w:pPr>
        <w:pStyle w:val="43"/>
        <w:spacing w:line="360" w:lineRule="auto"/>
        <w:ind w:firstLine="0" w:firstLineChars="0"/>
        <w:rPr>
          <w:rFonts w:hint="eastAsia" w:ascii="黑体" w:hAnsi="黑体" w:eastAsia="黑体" w:cs="黑体"/>
          <w:szCs w:val="21"/>
        </w:rPr>
      </w:pPr>
      <w:r>
        <w:rPr>
          <w:rFonts w:hint="eastAsia" w:ascii="黑体" w:hAnsi="黑体" w:eastAsia="黑体" w:cs="黑体"/>
          <w:szCs w:val="21"/>
        </w:rPr>
        <w:t xml:space="preserve">4.3.3.2 </w:t>
      </w:r>
      <w:bookmarkStart w:id="41" w:name="OLE_LINK5"/>
      <w:r>
        <w:rPr>
          <w:rFonts w:hint="eastAsia" w:ascii="黑体" w:hAnsi="黑体" w:eastAsia="黑体" w:cs="黑体"/>
          <w:szCs w:val="21"/>
        </w:rPr>
        <w:t>口腔卫生行为</w:t>
      </w:r>
      <w:bookmarkEnd w:id="41"/>
    </w:p>
    <w:p>
      <w:pPr>
        <w:pStyle w:val="43"/>
        <w:keepNext w:val="0"/>
        <w:keepLines w:val="0"/>
        <w:pageBreakBefore w:val="0"/>
        <w:widowControl/>
        <w:kinsoku/>
        <w:wordWrap/>
        <w:overflowPunct/>
        <w:topLinePunct w:val="0"/>
        <w:autoSpaceDE w:val="0"/>
        <w:autoSpaceDN w:val="0"/>
        <w:bidi w:val="0"/>
        <w:adjustRightInd/>
        <w:snapToGrid/>
        <w:spacing w:after="0" w:line="360" w:lineRule="auto"/>
        <w:ind w:firstLine="420"/>
        <w:textAlignment w:val="auto"/>
        <w:rPr>
          <w:rFonts w:ascii="Times New Roman"/>
          <w:color w:val="000000"/>
          <w:szCs w:val="21"/>
        </w:rPr>
      </w:pPr>
      <w:r>
        <w:rPr>
          <w:rFonts w:hint="eastAsia" w:ascii="Times New Roman"/>
          <w:color w:val="000000"/>
          <w:szCs w:val="21"/>
          <w:lang w:val="en-US" w:eastAsia="zh-CN"/>
        </w:rPr>
        <w:t>4.3.3.2.1</w:t>
      </w:r>
      <w:r>
        <w:rPr>
          <w:rFonts w:ascii="Times New Roman"/>
          <w:color w:val="000000"/>
          <w:szCs w:val="21"/>
        </w:rPr>
        <w:t>乳牙一旦萌出于口腔，</w:t>
      </w:r>
      <w:r>
        <w:rPr>
          <w:rFonts w:hint="eastAsia" w:ascii="Times New Roman"/>
          <w:color w:val="000000"/>
          <w:szCs w:val="21"/>
        </w:rPr>
        <w:t>看护人</w:t>
      </w:r>
      <w:r>
        <w:rPr>
          <w:rFonts w:ascii="Times New Roman"/>
          <w:color w:val="000000"/>
          <w:szCs w:val="21"/>
        </w:rPr>
        <w:t>就</w:t>
      </w:r>
      <w:r>
        <w:rPr>
          <w:rFonts w:hint="eastAsia" w:ascii="Times New Roman"/>
          <w:color w:val="000000"/>
          <w:szCs w:val="21"/>
        </w:rPr>
        <w:t>应</w:t>
      </w:r>
      <w:r>
        <w:rPr>
          <w:rFonts w:ascii="Times New Roman"/>
          <w:color w:val="000000"/>
          <w:szCs w:val="21"/>
        </w:rPr>
        <w:t>为婴幼儿刷牙</w:t>
      </w:r>
      <w:r>
        <w:rPr>
          <w:rFonts w:hint="eastAsia" w:ascii="Times New Roman"/>
          <w:color w:val="000000"/>
          <w:szCs w:val="21"/>
        </w:rPr>
        <w:t>，</w:t>
      </w:r>
      <w:r>
        <w:rPr>
          <w:rFonts w:ascii="Times New Roman"/>
          <w:color w:val="000000"/>
          <w:szCs w:val="21"/>
        </w:rPr>
        <w:t>可用纱布、指套牙刷或儿童牙刷，每天至少2次</w:t>
      </w:r>
      <w:r>
        <w:rPr>
          <w:rFonts w:hint="eastAsia" w:ascii="Times New Roman"/>
          <w:color w:val="000000"/>
          <w:szCs w:val="21"/>
        </w:rPr>
        <w:t>，早晚各1次</w:t>
      </w:r>
      <w:r>
        <w:rPr>
          <w:rFonts w:ascii="Times New Roman"/>
          <w:color w:val="000000"/>
          <w:szCs w:val="21"/>
        </w:rPr>
        <w:t>，以机械清洁为主。清洁上下颌牙齿所有牙面，特别是接近牙</w:t>
      </w:r>
      <w:r>
        <w:rPr>
          <w:rFonts w:hint="eastAsia" w:ascii="Times New Roman"/>
          <w:color w:val="000000"/>
          <w:szCs w:val="21"/>
        </w:rPr>
        <w:t>齿</w:t>
      </w:r>
      <w:r>
        <w:rPr>
          <w:rFonts w:ascii="Times New Roman"/>
          <w:color w:val="000000"/>
          <w:szCs w:val="21"/>
        </w:rPr>
        <w:t>龈缘的部位。有效刷牙的时间比刷牙频率更重要</w:t>
      </w:r>
      <w:r>
        <w:rPr>
          <w:rFonts w:hint="eastAsia" w:ascii="Times New Roman"/>
          <w:color w:val="000000"/>
          <w:szCs w:val="21"/>
        </w:rPr>
        <w:t>。可</w:t>
      </w:r>
      <w:r>
        <w:rPr>
          <w:rFonts w:ascii="Times New Roman"/>
          <w:color w:val="000000"/>
          <w:szCs w:val="21"/>
        </w:rPr>
        <w:t>采用改良巴氏刷牙法</w:t>
      </w:r>
      <w:r>
        <w:rPr>
          <w:rFonts w:hint="eastAsia" w:ascii="Times New Roman"/>
          <w:color w:val="000000"/>
          <w:szCs w:val="21"/>
        </w:rPr>
        <w:t>或</w:t>
      </w:r>
      <w:r>
        <w:rPr>
          <w:rFonts w:ascii="Times New Roman"/>
          <w:color w:val="000000"/>
          <w:szCs w:val="21"/>
        </w:rPr>
        <w:t>圆弧</w:t>
      </w:r>
      <w:r>
        <w:rPr>
          <w:rFonts w:hint="eastAsia" w:ascii="Times New Roman"/>
          <w:color w:val="000000"/>
          <w:szCs w:val="21"/>
        </w:rPr>
        <w:t>刷牙</w:t>
      </w:r>
      <w:r>
        <w:rPr>
          <w:rFonts w:ascii="Times New Roman"/>
          <w:color w:val="000000"/>
          <w:szCs w:val="21"/>
        </w:rPr>
        <w:t>法</w:t>
      </w:r>
      <w:r>
        <w:rPr>
          <w:rFonts w:hint="eastAsia" w:ascii="Times New Roman"/>
          <w:color w:val="000000"/>
          <w:szCs w:val="21"/>
        </w:rPr>
        <w:t>，</w:t>
      </w:r>
      <w:r>
        <w:rPr>
          <w:rFonts w:ascii="Times New Roman"/>
          <w:color w:val="000000"/>
          <w:szCs w:val="21"/>
        </w:rPr>
        <w:t>宜配合使用含氟牙膏，建议使用氟浓度为500mg/kg～1100mg/kg的含氟牙膏，3岁</w:t>
      </w:r>
      <w:r>
        <w:rPr>
          <w:rFonts w:hint="eastAsia" w:ascii="Times New Roman"/>
          <w:color w:val="000000"/>
          <w:szCs w:val="21"/>
        </w:rPr>
        <w:t>以下</w:t>
      </w:r>
      <w:r>
        <w:rPr>
          <w:rFonts w:ascii="Times New Roman"/>
          <w:color w:val="000000"/>
          <w:szCs w:val="21"/>
        </w:rPr>
        <w:t>幼儿每次使用量为米粒大小，刷牙后使用纱布去除口内余留牙膏；3岁～6岁儿童可使用豌豆大小牙膏</w:t>
      </w:r>
      <w:r>
        <w:rPr>
          <w:rFonts w:ascii="Times New Roman"/>
          <w:color w:val="000000"/>
          <w:szCs w:val="21"/>
        </w:rPr>
        <w:fldChar w:fldCharType="begin">
          <w:fldData xml:space="preserve">PEVuZE5vdGU+PENpdGU+PEF1dGhvcj5Ub3VtYmE8L0F1dGhvcj48WWVhcj4yMDE5PC9ZZWFyPjxS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</w:fldData>
        </w:fldChar>
      </w:r>
      <w:r>
        <w:rPr>
          <w:rFonts w:ascii="Times New Roman"/>
          <w:color w:val="000000"/>
          <w:szCs w:val="21"/>
        </w:rPr>
        <w:instrText xml:space="preserve"> ADDIN EN.CITE </w:instrText>
      </w:r>
      <w:r>
        <w:rPr>
          <w:rFonts w:ascii="Times New Roman"/>
          <w:color w:val="000000"/>
          <w:szCs w:val="21"/>
        </w:rPr>
        <w:fldChar w:fldCharType="begin">
          <w:fldData xml:space="preserve">PEVuZE5vdGU+PENpdGU+PEF1dGhvcj5Ub3VtYmE8L0F1dGhvcj48WWVhcj4yMDE5PC9ZZWFyPjxS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</w:fldData>
        </w:fldChar>
      </w:r>
      <w:r>
        <w:rPr>
          <w:rFonts w:ascii="Times New Roman"/>
          <w:color w:val="000000"/>
          <w:szCs w:val="21"/>
        </w:rPr>
        <w:instrText xml:space="preserve"> ADDIN EN.CITE.DATA </w:instrText>
      </w:r>
      <w:r>
        <w:rPr>
          <w:rFonts w:ascii="Times New Roman"/>
          <w:color w:val="000000"/>
          <w:szCs w:val="21"/>
        </w:rPr>
        <w:fldChar w:fldCharType="end"/>
      </w:r>
      <w:r>
        <w:rPr>
          <w:rFonts w:ascii="Times New Roman"/>
          <w:color w:val="000000"/>
          <w:szCs w:val="21"/>
        </w:rPr>
        <w:fldChar w:fldCharType="separate"/>
      </w:r>
      <w:r>
        <w:rPr>
          <w:rFonts w:ascii="Times New Roman"/>
          <w:color w:val="000000"/>
          <w:szCs w:val="21"/>
          <w:vertAlign w:val="superscript"/>
        </w:rPr>
        <w:t>[10-12]</w:t>
      </w:r>
      <w:r>
        <w:rPr>
          <w:rFonts w:ascii="Times New Roman"/>
          <w:color w:val="000000"/>
          <w:szCs w:val="21"/>
        </w:rPr>
        <w:fldChar w:fldCharType="end"/>
      </w:r>
      <w:r>
        <w:rPr>
          <w:rFonts w:ascii="Times New Roman"/>
          <w:color w:val="000000"/>
          <w:szCs w:val="21"/>
        </w:rPr>
        <w:t>。</w:t>
      </w:r>
    </w:p>
    <w:p>
      <w:pPr>
        <w:pStyle w:val="43"/>
        <w:keepNext w:val="0"/>
        <w:keepLines w:val="0"/>
        <w:pageBreakBefore w:val="0"/>
        <w:widowControl/>
        <w:kinsoku/>
        <w:wordWrap/>
        <w:overflowPunct/>
        <w:topLinePunct w:val="0"/>
        <w:autoSpaceDE w:val="0"/>
        <w:autoSpaceDN w:val="0"/>
        <w:bidi w:val="0"/>
        <w:adjustRightInd/>
        <w:snapToGrid/>
        <w:spacing w:after="0" w:line="360" w:lineRule="auto"/>
        <w:ind w:firstLine="420"/>
        <w:textAlignment w:val="auto"/>
        <w:rPr>
          <w:rFonts w:ascii="Times New Roman"/>
          <w:color w:val="000000"/>
          <w:szCs w:val="21"/>
        </w:rPr>
      </w:pPr>
      <w:r>
        <w:rPr>
          <w:rFonts w:hint="eastAsia" w:ascii="Times New Roman"/>
          <w:color w:val="000000"/>
          <w:szCs w:val="21"/>
          <w:lang w:val="en-US" w:eastAsia="zh-CN"/>
        </w:rPr>
        <w:t>4.3.3.2.2</w:t>
      </w:r>
      <w:r>
        <w:rPr>
          <w:rFonts w:ascii="Times New Roman"/>
          <w:color w:val="000000"/>
          <w:szCs w:val="21"/>
        </w:rPr>
        <w:t>使用牙线是清除</w:t>
      </w:r>
      <w:r>
        <w:rPr>
          <w:rFonts w:hint="eastAsia" w:ascii="Times New Roman"/>
          <w:color w:val="000000"/>
          <w:szCs w:val="21"/>
        </w:rPr>
        <w:t>牙齿</w:t>
      </w:r>
      <w:r>
        <w:rPr>
          <w:rFonts w:ascii="Times New Roman"/>
          <w:color w:val="000000"/>
          <w:szCs w:val="21"/>
        </w:rPr>
        <w:t>邻面菌斑的有效</w:t>
      </w:r>
      <w:r>
        <w:rPr>
          <w:rFonts w:hint="eastAsia" w:ascii="Times New Roman"/>
          <w:color w:val="000000"/>
          <w:szCs w:val="21"/>
        </w:rPr>
        <w:t>方法</w:t>
      </w:r>
      <w:r>
        <w:rPr>
          <w:rFonts w:ascii="Times New Roman"/>
          <w:color w:val="000000"/>
          <w:szCs w:val="21"/>
        </w:rPr>
        <w:t>，在两颗相邻牙萌出后，</w:t>
      </w:r>
      <w:r>
        <w:rPr>
          <w:rFonts w:hint="eastAsia" w:ascii="Times New Roman"/>
          <w:color w:val="000000"/>
          <w:szCs w:val="21"/>
        </w:rPr>
        <w:t>看护人</w:t>
      </w:r>
      <w:r>
        <w:rPr>
          <w:rFonts w:ascii="Times New Roman"/>
          <w:color w:val="000000"/>
          <w:szCs w:val="21"/>
        </w:rPr>
        <w:t>应帮助孩子常规使用牙线，尤其在乳磨牙萌出</w:t>
      </w:r>
      <w:r>
        <w:rPr>
          <w:rFonts w:hint="eastAsia" w:ascii="Times New Roman"/>
          <w:color w:val="000000"/>
          <w:szCs w:val="21"/>
        </w:rPr>
        <w:t>后</w:t>
      </w:r>
      <w:r>
        <w:rPr>
          <w:rFonts w:ascii="Times New Roman"/>
          <w:color w:val="000000"/>
          <w:szCs w:val="21"/>
        </w:rPr>
        <w:t>。</w:t>
      </w:r>
    </w:p>
    <w:p>
      <w:pPr>
        <w:pStyle w:val="43"/>
        <w:keepNext w:val="0"/>
        <w:keepLines w:val="0"/>
        <w:pageBreakBefore w:val="0"/>
        <w:widowControl/>
        <w:kinsoku/>
        <w:wordWrap/>
        <w:overflowPunct/>
        <w:topLinePunct w:val="0"/>
        <w:autoSpaceDE w:val="0"/>
        <w:autoSpaceDN w:val="0"/>
        <w:bidi w:val="0"/>
        <w:adjustRightInd/>
        <w:snapToGrid/>
        <w:spacing w:after="0" w:line="360" w:lineRule="auto"/>
        <w:ind w:firstLine="420"/>
        <w:textAlignment w:val="auto"/>
        <w:rPr>
          <w:rFonts w:ascii="Times New Roman"/>
          <w:color w:val="000000"/>
          <w:szCs w:val="21"/>
        </w:rPr>
      </w:pPr>
      <w:r>
        <w:rPr>
          <w:rFonts w:hint="eastAsia" w:ascii="Times New Roman"/>
          <w:color w:val="000000"/>
          <w:szCs w:val="21"/>
          <w:lang w:val="en-US" w:eastAsia="zh-CN"/>
        </w:rPr>
        <w:t>4</w:t>
      </w:r>
      <w:bookmarkStart w:id="59" w:name="_GoBack"/>
      <w:bookmarkEnd w:id="59"/>
      <w:r>
        <w:rPr>
          <w:rFonts w:hint="eastAsia" w:ascii="Times New Roman"/>
          <w:color w:val="000000"/>
          <w:szCs w:val="21"/>
          <w:lang w:val="en-US" w:eastAsia="zh-CN"/>
        </w:rPr>
        <w:t>.3.3.2.3</w:t>
      </w:r>
      <w:r>
        <w:rPr>
          <w:rFonts w:ascii="Times New Roman"/>
          <w:color w:val="000000"/>
          <w:szCs w:val="21"/>
        </w:rPr>
        <w:t>对于特殊儿童</w:t>
      </w:r>
      <w:r>
        <w:rPr>
          <w:rFonts w:hint="eastAsia" w:ascii="Times New Roman"/>
          <w:color w:val="000000"/>
          <w:szCs w:val="21"/>
        </w:rPr>
        <w:t>，</w:t>
      </w:r>
      <w:r>
        <w:rPr>
          <w:rFonts w:hint="eastAsia" w:ascii="Times New Roman"/>
        </w:rPr>
        <w:t>包括但不限于视力障碍、听力障碍、智力障碍、肢体障碍、言语和语言障碍儿童等，</w:t>
      </w:r>
      <w:r>
        <w:rPr>
          <w:rFonts w:ascii="Times New Roman"/>
          <w:color w:val="000000"/>
          <w:szCs w:val="21"/>
        </w:rPr>
        <w:t>应注意减少餐间食</w:t>
      </w:r>
      <w:r>
        <w:rPr>
          <w:rFonts w:hint="eastAsia" w:ascii="Times New Roman"/>
          <w:color w:val="000000"/>
          <w:szCs w:val="21"/>
        </w:rPr>
        <w:t>及</w:t>
      </w:r>
      <w:r>
        <w:rPr>
          <w:rFonts w:ascii="Times New Roman"/>
          <w:color w:val="000000"/>
          <w:szCs w:val="21"/>
        </w:rPr>
        <w:t>甜食摄入</w:t>
      </w:r>
      <w:r>
        <w:rPr>
          <w:rFonts w:hint="eastAsia" w:ascii="Times New Roman"/>
          <w:color w:val="000000"/>
          <w:szCs w:val="21"/>
        </w:rPr>
        <w:t>，</w:t>
      </w:r>
      <w:r>
        <w:rPr>
          <w:rFonts w:ascii="Times New Roman"/>
          <w:color w:val="000000"/>
          <w:szCs w:val="21"/>
        </w:rPr>
        <w:t>主要由</w:t>
      </w:r>
      <w:r>
        <w:rPr>
          <w:rFonts w:hint="eastAsia" w:ascii="Times New Roman"/>
          <w:color w:val="000000"/>
          <w:szCs w:val="21"/>
        </w:rPr>
        <w:t>看护人</w:t>
      </w:r>
      <w:r>
        <w:rPr>
          <w:rFonts w:ascii="Times New Roman"/>
          <w:color w:val="000000"/>
          <w:szCs w:val="21"/>
        </w:rPr>
        <w:t>承担口腔卫生保健措施，根据儿童的接受程度选择手动牙刷或电动牙刷。</w:t>
      </w:r>
    </w:p>
    <w:p>
      <w:pPr>
        <w:pStyle w:val="3"/>
        <w:spacing w:before="312" w:beforeLines="100" w:after="312" w:afterLines="100" w:line="360" w:lineRule="auto"/>
        <w:rPr>
          <w:rFonts w:hint="eastAsia" w:ascii="黑体" w:hAnsi="黑体" w:eastAsia="黑体" w:cs="黑体"/>
          <w:b w:val="0"/>
          <w:bCs/>
          <w:sz w:val="21"/>
          <w:szCs w:val="21"/>
        </w:rPr>
      </w:pPr>
      <w:bookmarkStart w:id="42" w:name="_Toc217652899"/>
      <w:r>
        <w:rPr>
          <w:rFonts w:hint="eastAsia" w:ascii="黑体" w:hAnsi="黑体" w:eastAsia="黑体" w:cs="黑体"/>
          <w:b w:val="0"/>
          <w:bCs/>
          <w:sz w:val="21"/>
          <w:szCs w:val="21"/>
        </w:rPr>
        <w:t>5 临床预防</w:t>
      </w:r>
      <w:bookmarkEnd w:id="42"/>
    </w:p>
    <w:p>
      <w:pPr>
        <w:pStyle w:val="12"/>
        <w:rPr>
          <w:rFonts w:hint="eastAsia" w:ascii="黑体" w:hAnsi="黑体" w:eastAsia="黑体" w:cs="黑体"/>
          <w:b w:val="0"/>
          <w:bCs/>
          <w:szCs w:val="21"/>
        </w:rPr>
      </w:pPr>
      <w:bookmarkStart w:id="43" w:name="_Toc217652900"/>
      <w:r>
        <w:rPr>
          <w:rFonts w:hint="eastAsia" w:ascii="黑体" w:hAnsi="黑体" w:eastAsia="黑体" w:cs="黑体"/>
          <w:b w:val="0"/>
          <w:bCs/>
          <w:szCs w:val="21"/>
        </w:rPr>
        <w:t>5.1 总则</w:t>
      </w:r>
      <w:bookmarkEnd w:id="43"/>
    </w:p>
    <w:p>
      <w:pPr>
        <w:pStyle w:val="7"/>
        <w:rPr>
          <w:rFonts w:ascii="Times New Roman" w:hAnsi="Times New Roman"/>
        </w:rPr>
      </w:pPr>
      <w:r>
        <w:rPr>
          <w:rFonts w:hint="eastAsia" w:ascii="Times New Roman" w:hAnsi="Times New Roman"/>
        </w:rPr>
        <w:t>5.1.1儿童口腔</w:t>
      </w:r>
      <w:r>
        <w:rPr>
          <w:rFonts w:ascii="Times New Roman" w:hAnsi="Times New Roman"/>
        </w:rPr>
        <w:t>医务</w:t>
      </w:r>
      <w:r>
        <w:rPr>
          <w:rFonts w:hint="eastAsia" w:ascii="Times New Roman" w:hAnsi="Times New Roman"/>
        </w:rPr>
        <w:t>工作者或妇幼保健人员</w:t>
      </w:r>
      <w:r>
        <w:rPr>
          <w:rFonts w:ascii="Times New Roman" w:hAnsi="Times New Roman"/>
        </w:rPr>
        <w:t>结合龋风险评估</w:t>
      </w:r>
      <w:r>
        <w:rPr>
          <w:rFonts w:hint="eastAsia" w:ascii="Times New Roman" w:hAnsi="Times New Roman"/>
        </w:rPr>
        <w:t>结果</w:t>
      </w:r>
      <w:r>
        <w:rPr>
          <w:rFonts w:ascii="Times New Roman" w:hAnsi="Times New Roman"/>
        </w:rPr>
        <w:t>，对儿童</w:t>
      </w:r>
      <w:r>
        <w:rPr>
          <w:rFonts w:hint="eastAsia" w:ascii="Times New Roman" w:hAnsi="Times New Roman"/>
        </w:rPr>
        <w:t>进行</w:t>
      </w:r>
      <w:r>
        <w:rPr>
          <w:rFonts w:ascii="Times New Roman" w:hAnsi="Times New Roman"/>
        </w:rPr>
        <w:t>个性化预防</w:t>
      </w:r>
      <w:r>
        <w:rPr>
          <w:rFonts w:hint="eastAsia" w:ascii="Times New Roman" w:hAnsi="Times New Roman"/>
        </w:rPr>
        <w:t>。</w:t>
      </w:r>
      <w:r>
        <w:rPr>
          <w:rFonts w:ascii="Times New Roman" w:hAnsi="Times New Roman"/>
        </w:rPr>
        <w:t>临床预防措施</w:t>
      </w:r>
      <w:r>
        <w:rPr>
          <w:rFonts w:hint="eastAsia" w:ascii="Times New Roman" w:hAnsi="Times New Roman"/>
        </w:rPr>
        <w:t>主要</w:t>
      </w:r>
      <w:r>
        <w:rPr>
          <w:rFonts w:ascii="Times New Roman" w:hAnsi="Times New Roman"/>
        </w:rPr>
        <w:t>包括</w:t>
      </w:r>
      <w:r>
        <w:rPr>
          <w:rFonts w:hint="eastAsia" w:ascii="Times New Roman" w:hAnsi="Times New Roman"/>
        </w:rPr>
        <w:t>PMTC</w:t>
      </w:r>
      <w:r>
        <w:rPr>
          <w:rFonts w:ascii="Times New Roman" w:hAnsi="Times New Roman"/>
        </w:rPr>
        <w:t>、氟化物应用</w:t>
      </w:r>
      <w:r>
        <w:rPr>
          <w:rFonts w:hint="eastAsia" w:ascii="Times New Roman" w:hAnsi="Times New Roman"/>
        </w:rPr>
        <w:t>和</w:t>
      </w:r>
      <w:r>
        <w:rPr>
          <w:rFonts w:ascii="Times New Roman" w:hAnsi="Times New Roman"/>
        </w:rPr>
        <w:t>窝沟封闭。</w:t>
      </w:r>
      <w:r>
        <w:rPr>
          <w:rFonts w:hint="eastAsia" w:ascii="Times New Roman" w:hAnsi="Times New Roman"/>
        </w:rPr>
        <w:t>相关适应证与禁忌证将在5.3分点介绍。</w:t>
      </w:r>
    </w:p>
    <w:p>
      <w:pPr>
        <w:pStyle w:val="7"/>
        <w:rPr>
          <w:rFonts w:hint="eastAsia" w:ascii="黑体" w:hAnsi="黑体" w:eastAsia="黑体" w:cs="黑体"/>
        </w:rPr>
      </w:pPr>
      <w:r>
        <w:rPr>
          <w:rFonts w:hint="eastAsia" w:ascii="黑体" w:hAnsi="黑体" w:eastAsia="黑体" w:cs="黑体"/>
        </w:rPr>
        <w:t>5.1.2 技术所需资源与环境</w:t>
      </w:r>
    </w:p>
    <w:p>
      <w:pPr>
        <w:pStyle w:val="7"/>
        <w:rPr>
          <w:rFonts w:hint="eastAsia" w:ascii="黑体" w:hAnsi="黑体" w:eastAsia="黑体" w:cs="黑体"/>
        </w:rPr>
      </w:pPr>
      <w:r>
        <w:rPr>
          <w:rFonts w:hint="eastAsia" w:ascii="黑体" w:hAnsi="黑体" w:eastAsia="黑体" w:cs="黑体"/>
        </w:rPr>
        <w:t>5.1.2.1 所需环境与设备</w:t>
      </w:r>
    </w:p>
    <w:p>
      <w:pPr>
        <w:pStyle w:val="7"/>
        <w:ind w:firstLine="420" w:firstLineChars="200"/>
        <w:rPr>
          <w:rFonts w:ascii="Times New Roman" w:hAnsi="Times New Roman"/>
        </w:rPr>
      </w:pPr>
      <w:r>
        <w:rPr>
          <w:rFonts w:hint="eastAsia" w:ascii="Times New Roman" w:hAnsi="Times New Roman"/>
        </w:rPr>
        <w:t>口腔诊室环境应舒适、安静，有利于减少儿童牙科畏惧；所需设备包括但不限于牙科手机及相关动力设备、光固化机等，</w:t>
      </w:r>
      <w:r>
        <w:rPr>
          <w:rFonts w:hint="eastAsia" w:ascii="Times New Roman" w:hAnsi="Times New Roman"/>
          <w:highlight w:val="yellow"/>
        </w:rPr>
        <w:t>均应符合国家或行业相关标准</w:t>
      </w:r>
      <w:r>
        <w:rPr>
          <w:rFonts w:hint="eastAsia" w:ascii="Times New Roman" w:hAnsi="Times New Roman"/>
        </w:rPr>
        <w:t>。</w:t>
      </w:r>
    </w:p>
    <w:p>
      <w:pPr>
        <w:pStyle w:val="7"/>
        <w:rPr>
          <w:rFonts w:hint="eastAsia" w:ascii="黑体" w:hAnsi="黑体" w:eastAsia="黑体" w:cs="黑体"/>
        </w:rPr>
      </w:pPr>
      <w:r>
        <w:rPr>
          <w:rFonts w:hint="eastAsia" w:ascii="黑体" w:hAnsi="黑体" w:eastAsia="黑体" w:cs="黑体"/>
        </w:rPr>
        <w:t>5.1.2.2 所需器械</w:t>
      </w:r>
    </w:p>
    <w:p>
      <w:pPr>
        <w:ind w:firstLine="420"/>
        <w:rPr>
          <w:rFonts w:ascii="Times New Roman" w:hAnsi="Times New Roman"/>
          <w:sz w:val="21"/>
          <w:szCs w:val="21"/>
          <w:highlight w:val="yellow"/>
        </w:rPr>
      </w:pPr>
      <w:r>
        <w:rPr>
          <w:rFonts w:hint="eastAsia"/>
          <w:sz w:val="21"/>
          <w:szCs w:val="21"/>
        </w:rPr>
        <w:t>应配备常规口腔检查器械，包括但不限于口镜、探针、镊子；开展相关</w:t>
      </w:r>
      <w:r>
        <w:rPr>
          <w:rFonts w:ascii="Times New Roman" w:hAnsi="Times New Roman"/>
          <w:sz w:val="21"/>
          <w:szCs w:val="21"/>
        </w:rPr>
        <w:t>临床预防</w:t>
      </w:r>
      <w:r>
        <w:rPr>
          <w:rFonts w:hint="eastAsia" w:ascii="Times New Roman" w:hAnsi="Times New Roman"/>
          <w:sz w:val="21"/>
          <w:szCs w:val="21"/>
        </w:rPr>
        <w:t>技术时应配备常规口腔治疗器械，包括但不限于车针、小毛刷、矽离子、棉卷等，</w:t>
      </w:r>
      <w:r>
        <w:rPr>
          <w:rFonts w:hint="eastAsia" w:ascii="Times New Roman" w:hAnsi="Times New Roman"/>
          <w:sz w:val="21"/>
          <w:szCs w:val="21"/>
          <w:highlight w:val="yellow"/>
        </w:rPr>
        <w:t>均应符合国家或行业相关标准。</w:t>
      </w:r>
    </w:p>
    <w:p>
      <w:pPr>
        <w:rPr>
          <w:rFonts w:hint="eastAsia" w:ascii="黑体" w:hAnsi="黑体" w:eastAsia="黑体" w:cs="黑体"/>
        </w:rPr>
      </w:pPr>
      <w:r>
        <w:rPr>
          <w:rFonts w:hint="eastAsia" w:ascii="黑体" w:hAnsi="黑体" w:eastAsia="黑体" w:cs="黑体"/>
        </w:rPr>
        <w:t>5.1.2.3 所需材料</w:t>
      </w:r>
    </w:p>
    <w:p>
      <w:pPr>
        <w:rPr>
          <w:bCs/>
        </w:rPr>
      </w:pPr>
      <w:r>
        <w:rPr>
          <w:rFonts w:hint="eastAsia" w:ascii="Times New Roman" w:hAnsi="Times New Roman"/>
        </w:rPr>
        <w:t xml:space="preserve">    </w:t>
      </w:r>
      <w:r>
        <w:rPr>
          <w:rFonts w:hint="eastAsia"/>
        </w:rPr>
        <w:t>开展相关</w:t>
      </w:r>
      <w:r>
        <w:rPr>
          <w:rFonts w:ascii="Times New Roman" w:hAnsi="Times New Roman"/>
        </w:rPr>
        <w:t>临床预防</w:t>
      </w:r>
      <w:r>
        <w:rPr>
          <w:rFonts w:hint="eastAsia" w:ascii="Times New Roman" w:hAnsi="Times New Roman"/>
        </w:rPr>
        <w:t>技术时应配备相关材料，包括但不限于抛光膏、氟化物、窝沟封闭剂、酸蚀剂等，</w:t>
      </w:r>
      <w:r>
        <w:rPr>
          <w:rFonts w:hint="eastAsia" w:ascii="Times New Roman" w:hAnsi="Times New Roman"/>
          <w:highlight w:val="yellow"/>
        </w:rPr>
        <w:t>均应符合国家或行业相关标准。</w:t>
      </w:r>
    </w:p>
    <w:p>
      <w:pPr>
        <w:pStyle w:val="12"/>
        <w:rPr>
          <w:rFonts w:hint="eastAsia" w:ascii="黑体" w:hAnsi="黑体" w:eastAsia="黑体" w:cs="黑体"/>
          <w:b w:val="0"/>
          <w:bCs/>
        </w:rPr>
      </w:pPr>
      <w:bookmarkStart w:id="44" w:name="_Toc217652901"/>
      <w:r>
        <w:rPr>
          <w:rFonts w:hint="eastAsia" w:ascii="黑体" w:hAnsi="黑体" w:eastAsia="黑体" w:cs="黑体"/>
          <w:b w:val="0"/>
          <w:bCs/>
        </w:rPr>
        <w:t>5.2 临床预防流程</w:t>
      </w:r>
      <w:bookmarkEnd w:id="44"/>
    </w:p>
    <w:p>
      <w:pPr>
        <w:ind w:firstLine="420" w:firstLineChars="200"/>
        <w:rPr>
          <w:bCs/>
        </w:rPr>
      </w:pPr>
      <w:r>
        <w:rPr>
          <w:rFonts w:ascii="Times New Roman" w:hAnsi="Times New Roman"/>
          <w:bCs/>
        </w:rPr>
        <w:t>临床预防流程包括定期口腔检查、龋风险评估及适宜预防措施，具体流程见图2</w:t>
      </w:r>
      <w:r>
        <w:rPr>
          <w:rFonts w:hint="eastAsia" w:ascii="Times New Roman" w:hAnsi="Times New Roman"/>
          <w:bCs/>
        </w:rPr>
        <w:t>。</w:t>
      </w:r>
    </w:p>
    <w:p>
      <w:pPr>
        <w:jc w:val="center"/>
      </w:pPr>
      <w:r>
        <w:drawing>
          <wp:inline distT="0" distB="0" distL="0" distR="0">
            <wp:extent cx="3142615" cy="3244850"/>
            <wp:effectExtent l="0" t="0" r="635" b="0"/>
            <wp:docPr id="4634516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451630" name="图片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145047" cy="3246976"/>
                    </a:xfrm>
                    <a:prstGeom prst="rect">
                      <a:avLst/>
                    </a:prstGeom>
                    <a:noFill/>
                  </pic:spPr>
                </pic:pic>
              </a:graphicData>
            </a:graphic>
          </wp:inline>
        </w:drawing>
      </w:r>
    </w:p>
    <w:p>
      <w:pPr>
        <w:jc w:val="center"/>
      </w:pPr>
      <w:r>
        <w:t>图2 临床预防流程</w:t>
      </w:r>
    </w:p>
    <w:p>
      <w:pPr>
        <w:pStyle w:val="12"/>
        <w:rPr>
          <w:rFonts w:hint="eastAsia" w:ascii="黑体" w:hAnsi="黑体" w:eastAsia="黑体" w:cs="黑体"/>
          <w:b w:val="0"/>
          <w:bCs/>
        </w:rPr>
      </w:pPr>
      <w:bookmarkStart w:id="45" w:name="_Toc217652902"/>
      <w:r>
        <w:rPr>
          <w:rFonts w:hint="eastAsia" w:ascii="黑体" w:hAnsi="黑体" w:eastAsia="黑体" w:cs="黑体"/>
          <w:b w:val="0"/>
          <w:bCs/>
        </w:rPr>
        <w:t>5.3 临床预防要点</w:t>
      </w:r>
      <w:bookmarkEnd w:id="45"/>
    </w:p>
    <w:p>
      <w:pPr>
        <w:pStyle w:val="12"/>
        <w:rPr>
          <w:rFonts w:hint="eastAsia" w:ascii="黑体" w:hAnsi="黑体" w:eastAsia="黑体" w:cs="黑体"/>
          <w:b w:val="0"/>
          <w:bCs/>
        </w:rPr>
      </w:pPr>
      <w:bookmarkStart w:id="46" w:name="_Toc217652903"/>
      <w:r>
        <w:rPr>
          <w:rFonts w:hint="eastAsia" w:ascii="黑体" w:hAnsi="黑体" w:eastAsia="黑体" w:cs="黑体"/>
          <w:b w:val="0"/>
          <w:bCs/>
        </w:rPr>
        <w:t>5.3.1 口腔检查</w:t>
      </w:r>
      <w:bookmarkEnd w:id="46"/>
    </w:p>
    <w:p>
      <w:pPr>
        <w:rPr>
          <w:rFonts w:ascii="Times New Roman" w:hAnsi="Times New Roman" w:cs="Times New Roman"/>
        </w:rPr>
      </w:pPr>
      <w:r>
        <w:rPr>
          <w:rFonts w:ascii="Times New Roman" w:hAnsi="Times New Roman" w:cs="Times New Roman"/>
        </w:rPr>
        <w:t xml:space="preserve">   儿童第一次口腔检查应</w:t>
      </w:r>
      <w:r>
        <w:rPr>
          <w:rFonts w:hint="eastAsia" w:ascii="Times New Roman" w:hAnsi="Times New Roman" w:cs="Times New Roman"/>
        </w:rPr>
        <w:t>在</w:t>
      </w:r>
      <w:r>
        <w:rPr>
          <w:rFonts w:ascii="Times New Roman" w:hAnsi="Times New Roman" w:cs="Times New Roman"/>
        </w:rPr>
        <w:t>第一颗牙齿萌出</w:t>
      </w:r>
      <w:r>
        <w:rPr>
          <w:rFonts w:hint="eastAsia" w:ascii="Times New Roman" w:hAnsi="Times New Roman" w:cs="Times New Roman"/>
        </w:rPr>
        <w:t>后，</w:t>
      </w:r>
      <w:r>
        <w:rPr>
          <w:rFonts w:ascii="Times New Roman" w:hAnsi="Times New Roman" w:cs="Times New Roman"/>
        </w:rPr>
        <w:t>最迟</w:t>
      </w:r>
      <w:r>
        <w:rPr>
          <w:rFonts w:hint="eastAsia" w:ascii="Times New Roman" w:hAnsi="Times New Roman" w:cs="Times New Roman"/>
        </w:rPr>
        <w:t>不超过</w:t>
      </w:r>
      <w:r>
        <w:rPr>
          <w:rFonts w:ascii="Times New Roman" w:hAnsi="Times New Roman" w:cs="Times New Roman"/>
        </w:rPr>
        <w:t>1</w:t>
      </w:r>
      <w:r>
        <w:rPr>
          <w:rFonts w:hint="eastAsia" w:ascii="Times New Roman" w:hAnsi="Times New Roman" w:cs="Times New Roman"/>
        </w:rPr>
        <w:t>周</w:t>
      </w:r>
      <w:r>
        <w:rPr>
          <w:rFonts w:ascii="Times New Roman" w:hAnsi="Times New Roman" w:cs="Times New Roman"/>
        </w:rPr>
        <w:t>岁，</w:t>
      </w:r>
      <w:r>
        <w:rPr>
          <w:rFonts w:hint="eastAsia" w:ascii="Times New Roman" w:hAnsi="Times New Roman" w:cs="Times New Roman"/>
        </w:rPr>
        <w:t>并建立家庭口腔护理</w:t>
      </w:r>
      <w:r>
        <w:rPr>
          <w:rFonts w:ascii="Times New Roman" w:hAnsi="Times New Roman" w:cs="Times New Roman"/>
        </w:rPr>
        <w:fldChar w:fldCharType="begin"/>
      </w:r>
      <w:r>
        <w:rPr>
          <w:rFonts w:ascii="Times New Roman" w:hAnsi="Times New Roman" w:cs="Times New Roman"/>
        </w:rPr>
        <w:instrText xml:space="preserve"> ADDIN EN.CITE &lt;EndNote&gt;&lt;Cite&gt;&lt;RecNum&gt;1586&lt;/RecNum&gt;&lt;DisplayText&gt;&lt;style face="superscript" font="Times New Roman"&gt;[13]&lt;/style&gt;&lt;/DisplayText&gt;&lt;record&gt;&lt;rec-number&gt;1586&lt;/rec-number&gt;&lt;foreign-keys&gt;&lt;key app="EN" db-id="2sdpxsv92tpp51evx91prr5x52zr2x0erxsp" timestamp="1757849356"&gt;1586&lt;/key&gt;&lt;key app="ENWeb" db-id=""&gt;0&lt;/key&gt;&lt;/foreign-keys&gt;&lt;ref-type name="Journal Article"&gt;17&lt;/ref-type&gt;&lt;contributors&gt;&lt;/contributors&gt;&lt;titles&gt;&lt;title&gt;American Academy of Pediatric Dentistry. Definition ofdental home. The Reference Manual of Pediatric Dentistry. Chicago,Ill.: American Academy of Pediatric Dentistry; 2024:16.&lt;/title&gt;&lt;/titles&gt;&lt;dates&gt;&lt;/dates&gt;&lt;urls&gt;&lt;/urls&gt;&lt;/record&gt;&lt;/Cite&gt;&lt;/EndNote&gt;</w:instrText>
      </w:r>
      <w:r>
        <w:rPr>
          <w:rFonts w:ascii="Times New Roman" w:hAnsi="Times New Roman" w:cs="Times New Roman"/>
        </w:rPr>
        <w:fldChar w:fldCharType="separate"/>
      </w:r>
      <w:r>
        <w:rPr>
          <w:rFonts w:ascii="Times New Roman" w:hAnsi="Times New Roman" w:cs="Times New Roman"/>
          <w:vertAlign w:val="superscript"/>
        </w:rPr>
        <w:t>[13]</w:t>
      </w:r>
      <w:r>
        <w:rPr>
          <w:rFonts w:ascii="Times New Roman" w:hAnsi="Times New Roman" w:cs="Times New Roman"/>
        </w:rPr>
        <w:fldChar w:fldCharType="end"/>
      </w:r>
      <w:r>
        <w:rPr>
          <w:rFonts w:ascii="Times New Roman" w:hAnsi="Times New Roman" w:cs="Times New Roman"/>
        </w:rPr>
        <w:t>流程</w:t>
      </w:r>
      <w:r>
        <w:rPr>
          <w:rFonts w:hint="eastAsia" w:ascii="Times New Roman" w:hAnsi="Times New Roman" w:cs="Times New Roman"/>
        </w:rPr>
        <w:t>，每3个~6个月定期进行口腔检查，在此过程中，医务人员可对监护人及儿童进行口腔健康教育，对儿童进行龋风险评估，个性化开展相应的临床预防措施。</w:t>
      </w:r>
    </w:p>
    <w:p>
      <w:pPr>
        <w:pStyle w:val="12"/>
        <w:rPr>
          <w:rFonts w:hint="eastAsia" w:ascii="黑体" w:hAnsi="黑体" w:eastAsia="黑体" w:cs="黑体"/>
          <w:b w:val="0"/>
          <w:bCs/>
        </w:rPr>
      </w:pPr>
      <w:bookmarkStart w:id="47" w:name="_Toc217652904"/>
      <w:r>
        <w:rPr>
          <w:rFonts w:hint="eastAsia" w:ascii="黑体" w:hAnsi="黑体" w:eastAsia="黑体" w:cs="黑体"/>
          <w:b w:val="0"/>
          <w:bCs/>
        </w:rPr>
        <w:t>5.3.2 ECC风险评估</w:t>
      </w:r>
      <w:bookmarkEnd w:id="47"/>
    </w:p>
    <w:p>
      <w:pPr>
        <w:spacing w:line="360" w:lineRule="auto"/>
        <w:ind w:firstLine="420" w:firstLineChars="200"/>
        <w:rPr>
          <w:rFonts w:hint="eastAsia" w:ascii="Times New Roman" w:eastAsiaTheme="minorEastAsia"/>
          <w:b/>
          <w:bCs/>
          <w:color w:val="000000"/>
          <w:kern w:val="2"/>
          <w:szCs w:val="21"/>
          <w:lang w:eastAsia="zh-CN"/>
        </w:rPr>
      </w:pPr>
      <w:r>
        <w:rPr>
          <w:rFonts w:ascii="Times New Roman" w:hAnsi="Times New Roman" w:cs="Times New Roman"/>
          <w:color w:val="000000"/>
          <w:szCs w:val="21"/>
        </w:rPr>
        <w:t>儿童因个体的患龋经历、口腔微生物组成、唾液成分及流速、饮食及口腔卫生习惯、氟化物应用、遗传、家庭环境等因素的差异，</w:t>
      </w:r>
      <w:r>
        <w:rPr>
          <w:rFonts w:hint="eastAsia" w:ascii="Times New Roman" w:hAnsi="Times New Roman" w:cs="Times New Roman"/>
          <w:color w:val="000000"/>
          <w:szCs w:val="21"/>
        </w:rPr>
        <w:t>可</w:t>
      </w:r>
      <w:r>
        <w:rPr>
          <w:rFonts w:ascii="Times New Roman" w:hAnsi="Times New Roman" w:cs="Times New Roman"/>
          <w:color w:val="000000"/>
          <w:szCs w:val="21"/>
        </w:rPr>
        <w:t>表现个性化的患龋风险，且随着各种因素变化出现动态改变。根据国内外相关文献及我国情况，</w:t>
      </w:r>
      <w:r>
        <w:rPr>
          <w:rFonts w:hint="eastAsia" w:ascii="Times New Roman" w:hAnsi="Times New Roman" w:cs="Times New Roman"/>
          <w:color w:val="000000"/>
          <w:szCs w:val="21"/>
        </w:rPr>
        <w:t>推荐</w:t>
      </w:r>
      <w:r>
        <w:rPr>
          <w:rFonts w:ascii="Times New Roman" w:hAnsi="Times New Roman" w:cs="Times New Roman"/>
          <w:color w:val="000000"/>
          <w:szCs w:val="21"/>
        </w:rPr>
        <w:t>ECC风险评估表（见表 1）</w:t>
      </w:r>
      <w:r>
        <w:rPr>
          <w:rFonts w:ascii="Times New Roman" w:hAnsi="Times New Roman" w:cs="Times New Roman"/>
          <w:color w:val="000000"/>
          <w:szCs w:val="21"/>
        </w:rPr>
        <w:fldChar w:fldCharType="begin"/>
      </w:r>
      <w:r>
        <w:rPr>
          <w:rFonts w:ascii="Times New Roman" w:hAnsi="Times New Roman" w:cs="Times New Roman"/>
          <w:color w:val="000000"/>
          <w:szCs w:val="21"/>
        </w:rPr>
        <w:instrText xml:space="preserve"> ADDIN EN.CITE &lt;EndNote&gt;&lt;Cite&gt;&lt;Author&gt;Dentistry.&lt;/Author&gt;&lt;Year&gt;2024&lt;/Year&gt;&lt;RecNum&gt;1558&lt;/RecNum&gt;&lt;DisplayText&gt;&lt;style face="superscript" font="Times New Roman"&gt;[14, 15]&lt;/style&gt;&lt;/DisplayText&gt;&lt;record&gt;&lt;rec-number&gt;1558&lt;/rec-number&gt;&lt;foreign-keys&gt;&lt;key app="EN" db-id="2sdpxsv92tpp51evx91prr5x52zr2x0erxsp" timestamp="1751204758"&gt;1558&lt;/key&gt;&lt;key app="ENWeb" db-id=""&gt;0&lt;/key&gt;&lt;/foreign-keys&gt;&lt;ref-type name="Journal Article"&gt;17&lt;/ref-type&gt;&lt;contributors&gt;&lt;authors&gt;&lt;author&gt;American Academy of Pediatric Dentistry. &lt;/author&gt;&lt;/authors&gt;&lt;/contributors&gt;&lt;titles&gt;&lt;title&gt;Caries-risk assessment and management for infants, children, and adolescents. The Reference Manual of Pediatric Dentistry. Chicago, Ill.: American Academy of Pediatric Dentistry; 2024.&lt;/title&gt;&lt;/titles&gt;&lt;volume&gt;306-12&lt;/vol</w:instrText>
      </w:r>
      <w:r>
        <w:rPr>
          <w:rFonts w:hint="eastAsia" w:ascii="Times New Roman" w:hAnsi="Times New Roman" w:cs="Times New Roman"/>
          <w:color w:val="000000"/>
          <w:szCs w:val="21"/>
        </w:rPr>
        <w:instrText xml:space="preserve">ume&gt;&lt;dates&gt;&lt;year&gt;2024&lt;/year&gt;&lt;/dates&gt;&lt;urls&gt;&lt;/urls&gt;&lt;/record&gt;&lt;/Cite&gt;&lt;Cite&gt;&lt;Author&gt;邹静&lt;/Author&gt;&lt;Year&gt;2014&lt;/Year&gt;&lt;RecNum&gt;57&lt;/RecNum&gt;&lt;record&gt;&lt;rec-number&gt;57&lt;/rec-number&gt;&lt;foreign-keys&gt;&lt;key app="EN" db-id="2sdpxsv92tpp51evx91prr5x52zr2x0erxsp" timestamp="1611815988"&gt;57&lt;/key&gt;&lt;key app="ENWeb" db-id=""&gt;0&lt;/key&gt;&lt;/foreign-keys&gt;&lt;ref-type name="Journal Article"&gt;17&lt;/ref-type&gt;&lt;contributors&gt;&lt;authors&gt;&lt;author&gt;&lt;style face="normal" font="default" charset="134" size="100%"&gt;邹静&lt;/style&gt;&lt;/author&gt;&lt;/authors&gt;&lt;/contributors&gt;&lt;titles&gt;&lt;title&gt;&lt;style face="normal" font="default" charset="134" size="100%"&gt;儿童龋病的风险性评估&lt;/style&gt;&lt;/title&gt;&lt;secondary-title&gt;&lt;style face="normal" font="default" charset="134" size="100%"&gt;华西口腔医学杂志&lt;/style&gt;&lt;/secondary-title&gt;&lt;/titles&gt;&lt;periodical&gt;&lt;full-title&gt;华西口腔医学杂志&lt;/full-title</w:instrText>
      </w:r>
      <w:r>
        <w:rPr>
          <w:rFonts w:ascii="Times New Roman" w:hAnsi="Times New Roman" w:cs="Times New Roman"/>
          <w:color w:val="000000"/>
          <w:szCs w:val="21"/>
        </w:rPr>
        <w:instrText xml:space="preserve">&gt;&lt;/periodical&gt;&lt;pages&gt;1&lt;/pages&gt;&lt;volume&gt;32&lt;/volume&gt;&lt;number&gt;1&lt;/number&gt;&lt;dates&gt;&lt;year&gt;2014&lt;/year&gt;&lt;/dates&gt;&lt;urls&gt;&lt;/urls&gt;&lt;electronic-resource-num&gt;10.7518/hxkq.2014.01.001&lt;/electronic-resource-num&gt;&lt;/record&gt;&lt;/Cite&gt;&lt;/EndNote&gt;</w:instrText>
      </w:r>
      <w:r>
        <w:rPr>
          <w:rFonts w:ascii="Times New Roman" w:hAnsi="Times New Roman" w:cs="Times New Roman"/>
          <w:color w:val="000000"/>
          <w:szCs w:val="21"/>
        </w:rPr>
        <w:fldChar w:fldCharType="separate"/>
      </w:r>
      <w:r>
        <w:rPr>
          <w:rFonts w:ascii="Times New Roman" w:hAnsi="Times New Roman" w:cs="Times New Roman"/>
          <w:color w:val="000000"/>
          <w:szCs w:val="21"/>
          <w:vertAlign w:val="superscript"/>
        </w:rPr>
        <w:t>[14, 15]</w:t>
      </w:r>
      <w:r>
        <w:rPr>
          <w:rFonts w:ascii="Times New Roman" w:hAnsi="Times New Roman" w:cs="Times New Roman"/>
          <w:color w:val="000000"/>
          <w:szCs w:val="21"/>
        </w:rPr>
        <w:fldChar w:fldCharType="end"/>
      </w:r>
      <w:r>
        <w:rPr>
          <w:rFonts w:ascii="Times New Roman" w:hAnsi="Times New Roman" w:cs="Times New Roman"/>
          <w:color w:val="000000"/>
          <w:szCs w:val="21"/>
        </w:rPr>
        <w:t>。</w:t>
      </w:r>
      <w:r>
        <w:rPr>
          <w:rFonts w:hint="eastAsia" w:ascii="Times New Roman" w:hAnsi="Times New Roman" w:cs="Times New Roman"/>
          <w:color w:val="000000"/>
          <w:szCs w:val="21"/>
        </w:rPr>
        <w:t>如风险因素均为低风险则判定为ECC低风险，如有≥1项中风险因素判定为ECC中风险，如有≥1项高风险因素判定为ECC高风险</w:t>
      </w:r>
      <w:r>
        <w:rPr>
          <w:rFonts w:hint="eastAsia" w:ascii="Times New Roman" w:hAnsi="Times New Roman" w:cs="Times New Roman"/>
          <w:color w:val="000000"/>
          <w:szCs w:val="21"/>
          <w:lang w:eastAsia="zh-CN"/>
        </w:rPr>
        <w:t>。</w:t>
      </w:r>
    </w:p>
    <w:p>
      <w:pPr>
        <w:pStyle w:val="43"/>
        <w:spacing w:line="420" w:lineRule="exact"/>
        <w:ind w:firstLine="0" w:firstLineChars="0"/>
        <w:jc w:val="center"/>
        <w:rPr>
          <w:rFonts w:ascii="Times New Roman" w:eastAsiaTheme="minorEastAsia"/>
          <w:b/>
          <w:bCs/>
          <w:color w:val="000000"/>
          <w:kern w:val="2"/>
          <w:szCs w:val="21"/>
        </w:rPr>
      </w:pPr>
      <w:r>
        <w:rPr>
          <w:rFonts w:ascii="Times New Roman" w:eastAsiaTheme="minorEastAsia"/>
          <w:b/>
          <w:bCs/>
          <w:color w:val="000000"/>
          <w:kern w:val="2"/>
          <w:szCs w:val="21"/>
        </w:rPr>
        <w:t xml:space="preserve">表 1 </w:t>
      </w:r>
      <w:r>
        <w:rPr>
          <w:rFonts w:hint="eastAsia" w:ascii="Times New Roman" w:eastAsiaTheme="minorEastAsia"/>
          <w:b/>
          <w:bCs/>
          <w:color w:val="000000"/>
          <w:kern w:val="2"/>
          <w:szCs w:val="21"/>
        </w:rPr>
        <w:t xml:space="preserve"> </w:t>
      </w:r>
      <w:r>
        <w:rPr>
          <w:rFonts w:ascii="Times New Roman" w:eastAsiaTheme="minorEastAsia"/>
          <w:b/>
          <w:bCs/>
          <w:color w:val="000000"/>
          <w:kern w:val="2"/>
          <w:szCs w:val="21"/>
        </w:rPr>
        <w:t>ECC风险评估表</w:t>
      </w:r>
    </w:p>
    <w:tbl>
      <w:tblPr>
        <w:tblStyle w:val="19"/>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4"/>
        <w:gridCol w:w="1560"/>
        <w:gridCol w:w="1417"/>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64" w:type="dxa"/>
          </w:tcPr>
          <w:p>
            <w:pPr>
              <w:rPr>
                <w:rFonts w:ascii="Times New Roman" w:hAnsi="Times New Roman" w:cs="Times New Roman"/>
              </w:rPr>
            </w:pPr>
            <w:r>
              <w:rPr>
                <w:rFonts w:ascii="Times New Roman" w:hAnsi="Times New Roman" w:cs="Times New Roman"/>
              </w:rPr>
              <w:t xml:space="preserve">因素 </w:t>
            </w:r>
          </w:p>
        </w:tc>
        <w:tc>
          <w:tcPr>
            <w:tcW w:w="1560" w:type="dxa"/>
          </w:tcPr>
          <w:p>
            <w:pPr>
              <w:jc w:val="center"/>
              <w:rPr>
                <w:rFonts w:ascii="Times New Roman" w:hAnsi="Times New Roman" w:cs="Times New Roman"/>
              </w:rPr>
            </w:pPr>
            <w:r>
              <w:rPr>
                <w:rFonts w:ascii="Times New Roman" w:hAnsi="Times New Roman" w:cs="Times New Roman"/>
              </w:rPr>
              <w:t>高风险因素</w:t>
            </w:r>
          </w:p>
        </w:tc>
        <w:tc>
          <w:tcPr>
            <w:tcW w:w="1417" w:type="dxa"/>
          </w:tcPr>
          <w:p>
            <w:pPr>
              <w:jc w:val="center"/>
              <w:rPr>
                <w:rFonts w:ascii="Times New Roman" w:hAnsi="Times New Roman" w:cs="Times New Roman"/>
              </w:rPr>
            </w:pPr>
            <w:r>
              <w:rPr>
                <w:rFonts w:ascii="Times New Roman" w:hAnsi="Times New Roman" w:cs="Times New Roman"/>
              </w:rPr>
              <w:t>中风险因素</w:t>
            </w:r>
          </w:p>
        </w:tc>
        <w:tc>
          <w:tcPr>
            <w:tcW w:w="1276" w:type="dxa"/>
          </w:tcPr>
          <w:p>
            <w:pPr>
              <w:jc w:val="center"/>
              <w:rPr>
                <w:rFonts w:ascii="Times New Roman" w:hAnsi="Times New Roman" w:cs="Times New Roman"/>
              </w:rPr>
            </w:pPr>
            <w:r>
              <w:rPr>
                <w:rFonts w:ascii="Times New Roman" w:hAnsi="Times New Roman" w:cs="Times New Roman"/>
              </w:rPr>
              <w:t>低风险因素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17" w:type="dxa"/>
            <w:gridSpan w:val="4"/>
          </w:tcPr>
          <w:p>
            <w:pPr>
              <w:rPr>
                <w:rFonts w:ascii="Times New Roman" w:hAnsi="Times New Roman" w:cs="Times New Roman"/>
              </w:rPr>
            </w:pPr>
            <w:r>
              <w:rPr>
                <w:rFonts w:ascii="Times New Roman" w:hAnsi="Times New Roman" w:cs="Times New Roman"/>
              </w:rPr>
              <w:t>生物学因素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64" w:type="dxa"/>
          </w:tcPr>
          <w:p>
            <w:pPr>
              <w:ind w:left="210" w:leftChars="100"/>
              <w:rPr>
                <w:rFonts w:ascii="Times New Roman" w:hAnsi="Times New Roman" w:cs="Times New Roman"/>
              </w:rPr>
            </w:pPr>
            <w:r>
              <w:rPr>
                <w:rFonts w:ascii="Times New Roman" w:hAnsi="Times New Roman" w:cs="Times New Roman"/>
              </w:rPr>
              <w:t>母亲/主要看护者过去 12 个月内患龋</w:t>
            </w:r>
          </w:p>
        </w:tc>
        <w:tc>
          <w:tcPr>
            <w:tcW w:w="1560" w:type="dxa"/>
          </w:tcPr>
          <w:p>
            <w:pPr>
              <w:jc w:val="center"/>
              <w:rPr>
                <w:rFonts w:ascii="Times New Roman" w:hAnsi="Times New Roman" w:cs="Times New Roman"/>
              </w:rPr>
            </w:pPr>
            <w:r>
              <w:rPr>
                <w:rFonts w:ascii="Times New Roman" w:hAnsi="Times New Roman" w:cs="Times New Roman"/>
              </w:rPr>
              <w:t>是</w:t>
            </w:r>
          </w:p>
        </w:tc>
        <w:tc>
          <w:tcPr>
            <w:tcW w:w="1417" w:type="dxa"/>
          </w:tcPr>
          <w:p>
            <w:pPr>
              <w:jc w:val="center"/>
              <w:rPr>
                <w:rFonts w:ascii="Times New Roman" w:hAnsi="Times New Roman" w:cs="Times New Roman"/>
              </w:rPr>
            </w:pPr>
            <w:r>
              <w:rPr>
                <w:rFonts w:ascii="Times New Roman" w:hAnsi="Times New Roman" w:cs="Times New Roman"/>
              </w:rPr>
              <w:t>-</w:t>
            </w:r>
          </w:p>
        </w:tc>
        <w:tc>
          <w:tcPr>
            <w:tcW w:w="1276" w:type="dxa"/>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64" w:type="dxa"/>
          </w:tcPr>
          <w:p>
            <w:pPr>
              <w:ind w:left="210" w:leftChars="100"/>
              <w:rPr>
                <w:rFonts w:ascii="Times New Roman" w:hAnsi="Times New Roman" w:cs="Times New Roman"/>
              </w:rPr>
            </w:pPr>
            <w:r>
              <w:rPr>
                <w:rFonts w:ascii="Times New Roman" w:hAnsi="Times New Roman" w:cs="Times New Roman"/>
              </w:rPr>
              <w:t>儿童每天 2 次以上进食含糖食品或饮料</w:t>
            </w:r>
          </w:p>
        </w:tc>
        <w:tc>
          <w:tcPr>
            <w:tcW w:w="1560" w:type="dxa"/>
          </w:tcPr>
          <w:p>
            <w:pPr>
              <w:jc w:val="center"/>
              <w:rPr>
                <w:rFonts w:ascii="Times New Roman" w:hAnsi="Times New Roman" w:cs="Times New Roman"/>
              </w:rPr>
            </w:pPr>
            <w:r>
              <w:rPr>
                <w:rFonts w:ascii="Times New Roman" w:hAnsi="Times New Roman" w:cs="Times New Roman"/>
              </w:rPr>
              <w:t>是</w:t>
            </w:r>
          </w:p>
        </w:tc>
        <w:tc>
          <w:tcPr>
            <w:tcW w:w="1417" w:type="dxa"/>
          </w:tcPr>
          <w:p>
            <w:pPr>
              <w:jc w:val="center"/>
              <w:rPr>
                <w:rFonts w:ascii="Times New Roman" w:hAnsi="Times New Roman" w:cs="Times New Roman"/>
              </w:rPr>
            </w:pPr>
            <w:r>
              <w:rPr>
                <w:rFonts w:ascii="Times New Roman" w:hAnsi="Times New Roman" w:cs="Times New Roman"/>
              </w:rPr>
              <w:t>-</w:t>
            </w:r>
          </w:p>
        </w:tc>
        <w:tc>
          <w:tcPr>
            <w:tcW w:w="1276" w:type="dxa"/>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64" w:type="dxa"/>
          </w:tcPr>
          <w:p>
            <w:pPr>
              <w:ind w:left="210" w:leftChars="100"/>
              <w:rPr>
                <w:rFonts w:ascii="Times New Roman" w:hAnsi="Times New Roman" w:cs="Times New Roman"/>
              </w:rPr>
            </w:pPr>
            <w:r>
              <w:rPr>
                <w:rFonts w:ascii="Times New Roman" w:hAnsi="Times New Roman" w:cs="Times New Roman"/>
              </w:rPr>
              <w:t>儿童每天含奶瓶入睡或睡前进食甜食</w:t>
            </w:r>
          </w:p>
        </w:tc>
        <w:tc>
          <w:tcPr>
            <w:tcW w:w="1560" w:type="dxa"/>
          </w:tcPr>
          <w:p>
            <w:pPr>
              <w:jc w:val="center"/>
              <w:rPr>
                <w:rFonts w:ascii="Times New Roman" w:hAnsi="Times New Roman" w:cs="Times New Roman"/>
              </w:rPr>
            </w:pPr>
            <w:r>
              <w:rPr>
                <w:rFonts w:ascii="Times New Roman" w:hAnsi="Times New Roman" w:cs="Times New Roman"/>
              </w:rPr>
              <w:t>是</w:t>
            </w:r>
          </w:p>
        </w:tc>
        <w:tc>
          <w:tcPr>
            <w:tcW w:w="1417" w:type="dxa"/>
          </w:tcPr>
          <w:p>
            <w:pPr>
              <w:jc w:val="center"/>
              <w:rPr>
                <w:rFonts w:ascii="Times New Roman" w:hAnsi="Times New Roman" w:cs="Times New Roman"/>
              </w:rPr>
            </w:pPr>
            <w:r>
              <w:rPr>
                <w:rFonts w:ascii="Times New Roman" w:hAnsi="Times New Roman" w:cs="Times New Roman"/>
              </w:rPr>
              <w:t>-</w:t>
            </w:r>
          </w:p>
        </w:tc>
        <w:tc>
          <w:tcPr>
            <w:tcW w:w="1276" w:type="dxa"/>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64" w:type="dxa"/>
          </w:tcPr>
          <w:p>
            <w:pPr>
              <w:ind w:firstLine="210" w:firstLineChars="100"/>
              <w:rPr>
                <w:rFonts w:ascii="Times New Roman" w:hAnsi="Times New Roman" w:cs="Times New Roman"/>
              </w:rPr>
            </w:pPr>
            <w:r>
              <w:rPr>
                <w:rFonts w:ascii="Times New Roman" w:hAnsi="Times New Roman" w:cs="Times New Roman"/>
              </w:rPr>
              <w:t>需要特殊健康护理</w:t>
            </w:r>
          </w:p>
        </w:tc>
        <w:tc>
          <w:tcPr>
            <w:tcW w:w="1560" w:type="dxa"/>
          </w:tcPr>
          <w:p>
            <w:pPr>
              <w:jc w:val="center"/>
              <w:rPr>
                <w:rFonts w:ascii="Times New Roman" w:hAnsi="Times New Roman" w:cs="Times New Roman"/>
              </w:rPr>
            </w:pPr>
            <w:r>
              <w:rPr>
                <w:rFonts w:ascii="Times New Roman" w:hAnsi="Times New Roman" w:cs="Times New Roman"/>
              </w:rPr>
              <w:t>-</w:t>
            </w:r>
          </w:p>
        </w:tc>
        <w:tc>
          <w:tcPr>
            <w:tcW w:w="1417" w:type="dxa"/>
          </w:tcPr>
          <w:p>
            <w:pPr>
              <w:jc w:val="center"/>
              <w:rPr>
                <w:rFonts w:ascii="Times New Roman" w:hAnsi="Times New Roman" w:cs="Times New Roman"/>
              </w:rPr>
            </w:pPr>
            <w:r>
              <w:rPr>
                <w:rFonts w:ascii="Times New Roman" w:hAnsi="Times New Roman" w:cs="Times New Roman"/>
              </w:rPr>
              <w:t>是</w:t>
            </w:r>
          </w:p>
        </w:tc>
        <w:tc>
          <w:tcPr>
            <w:tcW w:w="1276" w:type="dxa"/>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17" w:type="dxa"/>
            <w:gridSpan w:val="4"/>
          </w:tcPr>
          <w:p>
            <w:pPr>
              <w:rPr>
                <w:rFonts w:ascii="Times New Roman" w:hAnsi="Times New Roman" w:cs="Times New Roman"/>
              </w:rPr>
            </w:pPr>
            <w:r>
              <w:rPr>
                <w:rFonts w:ascii="Times New Roman" w:hAnsi="Times New Roman" w:cs="Times New Roman"/>
              </w:rPr>
              <w:t>保护性因素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64" w:type="dxa"/>
          </w:tcPr>
          <w:p>
            <w:pPr>
              <w:ind w:firstLine="210" w:firstLineChars="100"/>
              <w:rPr>
                <w:rFonts w:ascii="Times New Roman" w:hAnsi="Times New Roman" w:cs="Times New Roman"/>
              </w:rPr>
            </w:pPr>
            <w:r>
              <w:rPr>
                <w:rFonts w:ascii="Times New Roman" w:hAnsi="Times New Roman" w:cs="Times New Roman"/>
              </w:rPr>
              <w:t>看护者每天为儿童刷牙</w:t>
            </w:r>
          </w:p>
        </w:tc>
        <w:tc>
          <w:tcPr>
            <w:tcW w:w="1560" w:type="dxa"/>
          </w:tcPr>
          <w:p>
            <w:pPr>
              <w:jc w:val="center"/>
              <w:rPr>
                <w:rFonts w:ascii="Times New Roman" w:hAnsi="Times New Roman" w:cs="Times New Roman"/>
              </w:rPr>
            </w:pPr>
            <w:r>
              <w:rPr>
                <w:rFonts w:ascii="Times New Roman" w:hAnsi="Times New Roman" w:cs="Times New Roman"/>
              </w:rPr>
              <w:t>-</w:t>
            </w:r>
          </w:p>
        </w:tc>
        <w:tc>
          <w:tcPr>
            <w:tcW w:w="1417" w:type="dxa"/>
          </w:tcPr>
          <w:p>
            <w:pPr>
              <w:jc w:val="center"/>
              <w:rPr>
                <w:rFonts w:ascii="Times New Roman" w:hAnsi="Times New Roman" w:cs="Times New Roman"/>
              </w:rPr>
            </w:pPr>
            <w:r>
              <w:rPr>
                <w:rFonts w:ascii="Times New Roman" w:hAnsi="Times New Roman" w:cs="Times New Roman"/>
              </w:rPr>
              <w:t>-</w:t>
            </w:r>
          </w:p>
        </w:tc>
        <w:tc>
          <w:tcPr>
            <w:tcW w:w="1276" w:type="dxa"/>
          </w:tcPr>
          <w:p>
            <w:pPr>
              <w:jc w:val="center"/>
              <w:rPr>
                <w:rFonts w:ascii="Times New Roman" w:hAnsi="Times New Roman" w:cs="Times New Roman"/>
              </w:rPr>
            </w:pPr>
            <w:r>
              <w:rPr>
                <w:rFonts w:ascii="Times New Roman" w:hAnsi="Times New Roman" w:cs="Times New Roma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64" w:type="dxa"/>
          </w:tcPr>
          <w:p>
            <w:pPr>
              <w:ind w:firstLine="210" w:firstLineChars="100"/>
              <w:rPr>
                <w:rFonts w:ascii="Times New Roman" w:hAnsi="Times New Roman" w:cs="Times New Roman"/>
              </w:rPr>
            </w:pPr>
            <w:r>
              <w:rPr>
                <w:rFonts w:ascii="Times New Roman" w:hAnsi="Times New Roman" w:cs="Times New Roman"/>
              </w:rPr>
              <w:t>每天使用含氟牙膏刷牙</w:t>
            </w:r>
          </w:p>
        </w:tc>
        <w:tc>
          <w:tcPr>
            <w:tcW w:w="1560" w:type="dxa"/>
          </w:tcPr>
          <w:p>
            <w:pPr>
              <w:jc w:val="center"/>
              <w:rPr>
                <w:rFonts w:ascii="Times New Roman" w:hAnsi="Times New Roman" w:cs="Times New Roman"/>
              </w:rPr>
            </w:pPr>
            <w:r>
              <w:rPr>
                <w:rFonts w:ascii="Times New Roman" w:hAnsi="Times New Roman" w:cs="Times New Roman"/>
              </w:rPr>
              <w:t>-</w:t>
            </w:r>
          </w:p>
        </w:tc>
        <w:tc>
          <w:tcPr>
            <w:tcW w:w="1417" w:type="dxa"/>
          </w:tcPr>
          <w:p>
            <w:pPr>
              <w:jc w:val="center"/>
              <w:rPr>
                <w:rFonts w:ascii="Times New Roman" w:hAnsi="Times New Roman" w:cs="Times New Roman"/>
              </w:rPr>
            </w:pPr>
            <w:r>
              <w:rPr>
                <w:rFonts w:ascii="Times New Roman" w:hAnsi="Times New Roman" w:cs="Times New Roman"/>
              </w:rPr>
              <w:t>-</w:t>
            </w:r>
          </w:p>
        </w:tc>
        <w:tc>
          <w:tcPr>
            <w:tcW w:w="1276" w:type="dxa"/>
          </w:tcPr>
          <w:p>
            <w:pPr>
              <w:jc w:val="center"/>
              <w:rPr>
                <w:rFonts w:ascii="Times New Roman" w:hAnsi="Times New Roman" w:cs="Times New Roman"/>
              </w:rPr>
            </w:pPr>
            <w:r>
              <w:rPr>
                <w:rFonts w:ascii="Times New Roman" w:hAnsi="Times New Roman" w:cs="Times New Roma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64" w:type="dxa"/>
          </w:tcPr>
          <w:p>
            <w:pPr>
              <w:ind w:left="210" w:leftChars="100"/>
              <w:rPr>
                <w:rFonts w:ascii="Times New Roman" w:hAnsi="Times New Roman" w:cs="Times New Roman"/>
              </w:rPr>
            </w:pPr>
            <w:r>
              <w:rPr>
                <w:rFonts w:ascii="Times New Roman" w:hAnsi="Times New Roman" w:cs="Times New Roman"/>
              </w:rPr>
              <w:t>过去 12 个月内接受过专业涂氟</w:t>
            </w:r>
          </w:p>
        </w:tc>
        <w:tc>
          <w:tcPr>
            <w:tcW w:w="1560" w:type="dxa"/>
          </w:tcPr>
          <w:p>
            <w:pPr>
              <w:jc w:val="center"/>
              <w:rPr>
                <w:rFonts w:ascii="Times New Roman" w:hAnsi="Times New Roman" w:cs="Times New Roman"/>
              </w:rPr>
            </w:pPr>
            <w:r>
              <w:rPr>
                <w:rFonts w:ascii="Times New Roman" w:hAnsi="Times New Roman" w:cs="Times New Roman"/>
              </w:rPr>
              <w:t>-</w:t>
            </w:r>
          </w:p>
        </w:tc>
        <w:tc>
          <w:tcPr>
            <w:tcW w:w="1417" w:type="dxa"/>
          </w:tcPr>
          <w:p>
            <w:pPr>
              <w:jc w:val="center"/>
              <w:rPr>
                <w:rFonts w:ascii="Times New Roman" w:hAnsi="Times New Roman" w:cs="Times New Roman"/>
              </w:rPr>
            </w:pPr>
            <w:r>
              <w:rPr>
                <w:rFonts w:ascii="Times New Roman" w:hAnsi="Times New Roman" w:cs="Times New Roman"/>
              </w:rPr>
              <w:t>-</w:t>
            </w:r>
          </w:p>
        </w:tc>
        <w:tc>
          <w:tcPr>
            <w:tcW w:w="1276" w:type="dxa"/>
          </w:tcPr>
          <w:p>
            <w:pPr>
              <w:jc w:val="center"/>
              <w:rPr>
                <w:rFonts w:ascii="Times New Roman" w:hAnsi="Times New Roman" w:cs="Times New Roman"/>
              </w:rPr>
            </w:pPr>
            <w:r>
              <w:rPr>
                <w:rFonts w:ascii="Times New Roman" w:hAnsi="Times New Roman" w:cs="Times New Roma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64" w:type="dxa"/>
          </w:tcPr>
          <w:p>
            <w:pPr>
              <w:ind w:left="210" w:leftChars="100"/>
              <w:rPr>
                <w:rFonts w:ascii="Times New Roman" w:hAnsi="Times New Roman" w:cs="Times New Roman"/>
              </w:rPr>
            </w:pPr>
            <w:r>
              <w:rPr>
                <w:rFonts w:ascii="Times New Roman" w:hAnsi="Times New Roman" w:cs="Times New Roman"/>
              </w:rPr>
              <w:t>定期口腔检查（至少每半年一次</w:t>
            </w:r>
            <w:r>
              <w:rPr>
                <w:rFonts w:hint="eastAsia" w:ascii="Times New Roman" w:hAnsi="Times New Roman" w:cs="Times New Roman"/>
              </w:rPr>
              <w:t>）</w:t>
            </w:r>
          </w:p>
        </w:tc>
        <w:tc>
          <w:tcPr>
            <w:tcW w:w="1560" w:type="dxa"/>
          </w:tcPr>
          <w:p>
            <w:pPr>
              <w:jc w:val="center"/>
              <w:rPr>
                <w:rFonts w:ascii="Times New Roman" w:hAnsi="Times New Roman" w:cs="Times New Roman"/>
              </w:rPr>
            </w:pPr>
            <w:r>
              <w:rPr>
                <w:rFonts w:ascii="Times New Roman" w:hAnsi="Times New Roman" w:cs="Times New Roman"/>
              </w:rPr>
              <w:t>-</w:t>
            </w:r>
          </w:p>
        </w:tc>
        <w:tc>
          <w:tcPr>
            <w:tcW w:w="1417" w:type="dxa"/>
          </w:tcPr>
          <w:p>
            <w:pPr>
              <w:jc w:val="center"/>
              <w:rPr>
                <w:rFonts w:ascii="Times New Roman" w:hAnsi="Times New Roman" w:cs="Times New Roman"/>
              </w:rPr>
            </w:pPr>
            <w:r>
              <w:rPr>
                <w:rFonts w:ascii="Times New Roman" w:hAnsi="Times New Roman" w:cs="Times New Roman"/>
              </w:rPr>
              <w:t>-</w:t>
            </w:r>
          </w:p>
        </w:tc>
        <w:tc>
          <w:tcPr>
            <w:tcW w:w="1276" w:type="dxa"/>
          </w:tcPr>
          <w:p>
            <w:pPr>
              <w:jc w:val="center"/>
              <w:rPr>
                <w:rFonts w:ascii="Times New Roman" w:hAnsi="Times New Roman" w:cs="Times New Roman"/>
              </w:rPr>
            </w:pPr>
            <w:r>
              <w:rPr>
                <w:rFonts w:ascii="Times New Roman" w:hAnsi="Times New Roman" w:cs="Times New Roma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217" w:type="dxa"/>
            <w:gridSpan w:val="4"/>
          </w:tcPr>
          <w:p>
            <w:pPr>
              <w:rPr>
                <w:rFonts w:ascii="Times New Roman" w:hAnsi="Times New Roman" w:cs="Times New Roman"/>
              </w:rPr>
            </w:pPr>
            <w:r>
              <w:rPr>
                <w:rFonts w:ascii="Times New Roman" w:hAnsi="Times New Roman" w:cs="Times New Roman"/>
              </w:rPr>
              <w:t>临床检查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64" w:type="dxa"/>
          </w:tcPr>
          <w:p>
            <w:pPr>
              <w:ind w:firstLine="210" w:firstLineChars="100"/>
              <w:rPr>
                <w:rFonts w:ascii="Times New Roman" w:hAnsi="Times New Roman" w:cs="Times New Roman"/>
              </w:rPr>
            </w:pPr>
            <w:r>
              <w:rPr>
                <w:rFonts w:hint="eastAsia" w:ascii="Times New Roman" w:hAnsi="Times New Roman" w:cs="Times New Roman"/>
              </w:rPr>
              <w:t>患</w:t>
            </w:r>
            <w:r>
              <w:rPr>
                <w:rFonts w:ascii="Times New Roman" w:hAnsi="Times New Roman" w:cs="Times New Roman"/>
              </w:rPr>
              <w:t>龋病史</w:t>
            </w:r>
          </w:p>
        </w:tc>
        <w:tc>
          <w:tcPr>
            <w:tcW w:w="1560" w:type="dxa"/>
          </w:tcPr>
          <w:p>
            <w:pPr>
              <w:jc w:val="center"/>
              <w:rPr>
                <w:rFonts w:ascii="Times New Roman" w:hAnsi="Times New Roman" w:cs="Times New Roman"/>
              </w:rPr>
            </w:pPr>
            <w:r>
              <w:rPr>
                <w:rFonts w:ascii="Times New Roman" w:hAnsi="Times New Roman" w:cs="Times New Roman"/>
                <w:sz w:val="18"/>
                <w:szCs w:val="20"/>
              </w:rPr>
              <w:t>12个月内</w:t>
            </w:r>
          </w:p>
        </w:tc>
        <w:tc>
          <w:tcPr>
            <w:tcW w:w="1417" w:type="dxa"/>
          </w:tcPr>
          <w:p>
            <w:pPr>
              <w:jc w:val="center"/>
              <w:rPr>
                <w:rFonts w:ascii="Times New Roman" w:hAnsi="Times New Roman" w:cs="Times New Roman"/>
              </w:rPr>
            </w:pPr>
            <w:r>
              <w:rPr>
                <w:rFonts w:ascii="Times New Roman" w:hAnsi="Times New Roman" w:cs="Times New Roman"/>
                <w:sz w:val="18"/>
                <w:szCs w:val="20"/>
              </w:rPr>
              <w:t>24个月内</w:t>
            </w:r>
          </w:p>
        </w:tc>
        <w:tc>
          <w:tcPr>
            <w:tcW w:w="1276" w:type="dxa"/>
          </w:tcPr>
          <w:p>
            <w:pPr>
              <w:jc w:val="center"/>
              <w:rPr>
                <w:rFonts w:ascii="Times New Roman" w:hAnsi="Times New Roman" w:cs="Times New Roman"/>
              </w:rPr>
            </w:pPr>
            <w:r>
              <w:rPr>
                <w:rFonts w:ascii="Times New Roman" w:hAnsi="Times New Roman" w:cs="Times New Roman"/>
                <w:sz w:val="18"/>
                <w:szCs w:val="20"/>
              </w:rPr>
              <w:t>大于24个月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64" w:type="dxa"/>
          </w:tcPr>
          <w:p>
            <w:pPr>
              <w:ind w:firstLine="210" w:firstLineChars="100"/>
              <w:rPr>
                <w:rFonts w:ascii="Times New Roman" w:hAnsi="Times New Roman" w:cs="Times New Roman"/>
              </w:rPr>
            </w:pPr>
            <w:r>
              <w:rPr>
                <w:rFonts w:hint="eastAsia" w:ascii="Times New Roman" w:hAnsi="Times New Roman" w:cs="Times New Roman"/>
              </w:rPr>
              <w:t xml:space="preserve">龋失补牙数（decayed missing filled teeth, </w:t>
            </w:r>
            <w:r>
              <w:rPr>
                <w:rFonts w:ascii="Times New Roman" w:hAnsi="Times New Roman" w:cs="Times New Roman"/>
              </w:rPr>
              <w:t>dmft</w:t>
            </w:r>
            <w:r>
              <w:rPr>
                <w:rFonts w:hint="eastAsia" w:ascii="Times New Roman" w:hAnsi="Times New Roman" w:cs="Times New Roman"/>
              </w:rPr>
              <w:t>）</w:t>
            </w:r>
            <w:r>
              <w:rPr>
                <w:rFonts w:ascii="Times New Roman" w:hAnsi="Times New Roman" w:cs="Times New Roman"/>
              </w:rPr>
              <w:t xml:space="preserve"> ≥ 1</w:t>
            </w:r>
          </w:p>
        </w:tc>
        <w:tc>
          <w:tcPr>
            <w:tcW w:w="1560" w:type="dxa"/>
          </w:tcPr>
          <w:p>
            <w:pPr>
              <w:jc w:val="center"/>
              <w:rPr>
                <w:rFonts w:ascii="Times New Roman" w:hAnsi="Times New Roman" w:cs="Times New Roman"/>
              </w:rPr>
            </w:pPr>
            <w:r>
              <w:rPr>
                <w:rFonts w:ascii="Times New Roman" w:hAnsi="Times New Roman" w:cs="Times New Roman"/>
              </w:rPr>
              <w:t>是</w:t>
            </w:r>
          </w:p>
        </w:tc>
        <w:tc>
          <w:tcPr>
            <w:tcW w:w="1417" w:type="dxa"/>
          </w:tcPr>
          <w:p>
            <w:pPr>
              <w:jc w:val="center"/>
              <w:rPr>
                <w:rFonts w:ascii="Times New Roman" w:hAnsi="Times New Roman" w:cs="Times New Roman"/>
              </w:rPr>
            </w:pPr>
            <w:r>
              <w:rPr>
                <w:rFonts w:ascii="Times New Roman" w:hAnsi="Times New Roman" w:cs="Times New Roman"/>
              </w:rPr>
              <w:t>-</w:t>
            </w:r>
          </w:p>
        </w:tc>
        <w:tc>
          <w:tcPr>
            <w:tcW w:w="1276" w:type="dxa"/>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64" w:type="dxa"/>
          </w:tcPr>
          <w:p>
            <w:pPr>
              <w:ind w:firstLine="210" w:firstLineChars="100"/>
              <w:rPr>
                <w:rFonts w:ascii="Times New Roman" w:hAnsi="Times New Roman" w:cs="Times New Roman"/>
              </w:rPr>
            </w:pPr>
            <w:r>
              <w:rPr>
                <w:rFonts w:ascii="Times New Roman" w:hAnsi="Times New Roman" w:cs="Times New Roman"/>
              </w:rPr>
              <w:t>牙齿上有白垩斑或釉质脱矿</w:t>
            </w:r>
          </w:p>
        </w:tc>
        <w:tc>
          <w:tcPr>
            <w:tcW w:w="1560" w:type="dxa"/>
          </w:tcPr>
          <w:p>
            <w:pPr>
              <w:jc w:val="center"/>
              <w:rPr>
                <w:rFonts w:ascii="Times New Roman" w:hAnsi="Times New Roman" w:cs="Times New Roman"/>
              </w:rPr>
            </w:pPr>
            <w:r>
              <w:rPr>
                <w:rFonts w:ascii="Times New Roman" w:hAnsi="Times New Roman" w:cs="Times New Roman"/>
              </w:rPr>
              <w:t>-</w:t>
            </w:r>
          </w:p>
        </w:tc>
        <w:tc>
          <w:tcPr>
            <w:tcW w:w="1417" w:type="dxa"/>
          </w:tcPr>
          <w:p>
            <w:pPr>
              <w:jc w:val="center"/>
              <w:rPr>
                <w:rFonts w:ascii="Times New Roman" w:hAnsi="Times New Roman" w:cs="Times New Roman"/>
              </w:rPr>
            </w:pPr>
            <w:r>
              <w:rPr>
                <w:rFonts w:ascii="Times New Roman" w:hAnsi="Times New Roman" w:cs="Times New Roman"/>
              </w:rPr>
              <w:t>是</w:t>
            </w:r>
          </w:p>
        </w:tc>
        <w:tc>
          <w:tcPr>
            <w:tcW w:w="1276" w:type="dxa"/>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64" w:type="dxa"/>
          </w:tcPr>
          <w:p>
            <w:pPr>
              <w:ind w:firstLine="210" w:firstLineChars="100"/>
              <w:rPr>
                <w:rFonts w:ascii="Times New Roman" w:hAnsi="Times New Roman" w:cs="Times New Roman"/>
              </w:rPr>
            </w:pPr>
            <w:r>
              <w:rPr>
                <w:rFonts w:ascii="Times New Roman" w:hAnsi="Times New Roman" w:cs="Times New Roman"/>
              </w:rPr>
              <w:t>龋活跃性检测数值高</w:t>
            </w:r>
          </w:p>
        </w:tc>
        <w:tc>
          <w:tcPr>
            <w:tcW w:w="1560" w:type="dxa"/>
          </w:tcPr>
          <w:p>
            <w:pPr>
              <w:jc w:val="center"/>
              <w:rPr>
                <w:rFonts w:ascii="Times New Roman" w:hAnsi="Times New Roman" w:cs="Times New Roman"/>
              </w:rPr>
            </w:pPr>
            <w:r>
              <w:rPr>
                <w:rFonts w:ascii="Times New Roman" w:hAnsi="Times New Roman" w:cs="Times New Roman"/>
              </w:rPr>
              <w:t>是</w:t>
            </w:r>
          </w:p>
        </w:tc>
        <w:tc>
          <w:tcPr>
            <w:tcW w:w="1417" w:type="dxa"/>
          </w:tcPr>
          <w:p>
            <w:pPr>
              <w:jc w:val="center"/>
              <w:rPr>
                <w:rFonts w:ascii="Times New Roman" w:hAnsi="Times New Roman" w:cs="Times New Roman"/>
              </w:rPr>
            </w:pPr>
          </w:p>
        </w:tc>
        <w:tc>
          <w:tcPr>
            <w:tcW w:w="1276" w:type="dxa"/>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64" w:type="dxa"/>
          </w:tcPr>
          <w:p>
            <w:pPr>
              <w:ind w:firstLine="210" w:firstLineChars="100"/>
              <w:rPr>
                <w:rFonts w:ascii="Times New Roman" w:hAnsi="Times New Roman" w:cs="Times New Roman"/>
              </w:rPr>
            </w:pPr>
            <w:r>
              <w:rPr>
                <w:rFonts w:ascii="Times New Roman" w:hAnsi="Times New Roman" w:cs="Times New Roman"/>
              </w:rPr>
              <w:t>牙面可见菌斑</w:t>
            </w:r>
          </w:p>
        </w:tc>
        <w:tc>
          <w:tcPr>
            <w:tcW w:w="1560" w:type="dxa"/>
          </w:tcPr>
          <w:p>
            <w:pPr>
              <w:jc w:val="center"/>
              <w:rPr>
                <w:rFonts w:ascii="Times New Roman" w:hAnsi="Times New Roman" w:cs="Times New Roman"/>
              </w:rPr>
            </w:pPr>
            <w:r>
              <w:rPr>
                <w:rFonts w:ascii="Times New Roman" w:hAnsi="Times New Roman" w:cs="Times New Roman"/>
              </w:rPr>
              <w:t>-</w:t>
            </w:r>
          </w:p>
        </w:tc>
        <w:tc>
          <w:tcPr>
            <w:tcW w:w="1417" w:type="dxa"/>
          </w:tcPr>
          <w:p>
            <w:pPr>
              <w:jc w:val="center"/>
              <w:rPr>
                <w:rFonts w:ascii="Times New Roman" w:hAnsi="Times New Roman" w:cs="Times New Roman"/>
              </w:rPr>
            </w:pPr>
            <w:r>
              <w:rPr>
                <w:rFonts w:ascii="Times New Roman" w:hAnsi="Times New Roman" w:cs="Times New Roman"/>
              </w:rPr>
              <w:t>是</w:t>
            </w:r>
          </w:p>
        </w:tc>
        <w:tc>
          <w:tcPr>
            <w:tcW w:w="1276" w:type="dxa"/>
          </w:tcPr>
          <w:p>
            <w:pPr>
              <w:jc w:val="center"/>
              <w:rPr>
                <w:rFonts w:ascii="Times New Roman" w:hAnsi="Times New Roman" w:cs="Times New Roman"/>
              </w:rPr>
            </w:pPr>
            <w:r>
              <w:rPr>
                <w:rFonts w:ascii="Times New Roman" w:hAnsi="Times New Roman"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3964" w:type="dxa"/>
          </w:tcPr>
          <w:p>
            <w:pPr>
              <w:ind w:firstLine="210" w:firstLineChars="100"/>
              <w:rPr>
                <w:rFonts w:ascii="Times New Roman" w:hAnsi="Times New Roman" w:cs="Times New Roman"/>
              </w:rPr>
            </w:pPr>
            <w:r>
              <w:rPr>
                <w:rFonts w:ascii="Times New Roman" w:hAnsi="Times New Roman" w:cs="Times New Roman"/>
              </w:rPr>
              <w:t>有口内矫治器</w:t>
            </w:r>
          </w:p>
        </w:tc>
        <w:tc>
          <w:tcPr>
            <w:tcW w:w="1560" w:type="dxa"/>
          </w:tcPr>
          <w:p>
            <w:pPr>
              <w:jc w:val="center"/>
              <w:rPr>
                <w:rFonts w:ascii="Times New Roman" w:hAnsi="Times New Roman" w:cs="Times New Roman"/>
              </w:rPr>
            </w:pPr>
            <w:r>
              <w:rPr>
                <w:rFonts w:ascii="Times New Roman" w:hAnsi="Times New Roman" w:cs="Times New Roman"/>
              </w:rPr>
              <w:t>-</w:t>
            </w:r>
          </w:p>
        </w:tc>
        <w:tc>
          <w:tcPr>
            <w:tcW w:w="1417" w:type="dxa"/>
          </w:tcPr>
          <w:p>
            <w:pPr>
              <w:jc w:val="center"/>
              <w:rPr>
                <w:rFonts w:ascii="Times New Roman" w:hAnsi="Times New Roman" w:cs="Times New Roman"/>
              </w:rPr>
            </w:pPr>
            <w:r>
              <w:rPr>
                <w:rFonts w:ascii="Times New Roman" w:hAnsi="Times New Roman" w:cs="Times New Roman"/>
              </w:rPr>
              <w:t>是</w:t>
            </w:r>
          </w:p>
        </w:tc>
        <w:tc>
          <w:tcPr>
            <w:tcW w:w="1276" w:type="dxa"/>
          </w:tcPr>
          <w:p>
            <w:pPr>
              <w:jc w:val="center"/>
              <w:rPr>
                <w:rFonts w:ascii="Times New Roman" w:hAnsi="Times New Roman" w:cs="Times New Roman"/>
              </w:rPr>
            </w:pPr>
            <w:r>
              <w:rPr>
                <w:rFonts w:ascii="Times New Roman" w:hAnsi="Times New Roman" w:cs="Times New Roman"/>
              </w:rPr>
              <w:t>-</w:t>
            </w:r>
          </w:p>
        </w:tc>
      </w:tr>
    </w:tbl>
    <w:p>
      <w:pPr>
        <w:pStyle w:val="12"/>
        <w:rPr>
          <w:rFonts w:hint="eastAsia" w:ascii="黑体" w:hAnsi="黑体" w:eastAsia="黑体" w:cs="黑体"/>
          <w:b w:val="0"/>
          <w:bCs/>
        </w:rPr>
      </w:pPr>
      <w:bookmarkStart w:id="48" w:name="_Toc217652905"/>
      <w:r>
        <w:rPr>
          <w:rFonts w:hint="eastAsia" w:ascii="黑体" w:hAnsi="黑体" w:eastAsia="黑体" w:cs="黑体"/>
          <w:b w:val="0"/>
          <w:bCs/>
        </w:rPr>
        <w:t>5.3.3 预防性清洁</w:t>
      </w:r>
      <w:bookmarkEnd w:id="48"/>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5.3.3.1</w:t>
      </w:r>
      <w:r>
        <w:rPr>
          <w:rFonts w:ascii="Times New Roman" w:hAnsi="Times New Roman" w:cs="Times New Roman"/>
        </w:rPr>
        <w:t>儿童每次就诊时，采用PMTC技术清洁牙面</w:t>
      </w:r>
      <w:r>
        <w:rPr>
          <w:rFonts w:ascii="Times New Roman" w:hAnsi="Times New Roman" w:cs="Times New Roman"/>
        </w:rPr>
        <w:fldChar w:fldCharType="begin"/>
      </w:r>
      <w:r>
        <w:rPr>
          <w:rFonts w:ascii="Times New Roman" w:hAnsi="Times New Roman" w:cs="Times New Roman"/>
        </w:rPr>
        <w:instrText xml:space="preserve"> ADDIN EN.CITE &lt;EndNote&gt;&lt;Cite&gt;&lt;Author&gt;Akitomo&lt;/Author&gt;&lt;Year&gt;2024&lt;/Year&gt;&lt;RecNum&gt;1556&lt;/RecNum&gt;&lt;DisplayText&gt;&lt;style face="superscript" font="Times New Roman"&gt;[16, 17]&lt;/style&gt;&lt;/DisplayText&gt;&lt;record&gt;&lt;rec-number&gt;1556&lt;/rec-number&gt;&lt;foreign-keys&gt;&lt;key app="EN" db-id="2sdpxsv92tpp51evx91prr5x52zr2x0erxsp" timestamp="1751204750"&gt;1556&lt;/key&gt;&lt;key app="ENWeb" db-id=""&gt;0&lt;/key&gt;&lt;/foreign-keys&gt;&lt;ref-type name="Journal Article"&gt;17&lt;/ref-type&gt;&lt;contributors&gt;&lt;authors&gt;&lt;author&gt;Akitomo, Tatsuya&lt;/author&gt;&lt;author&gt;Kusaka, Satoru&lt;/author&gt;&lt;author&gt;Kametani, Mariko&lt;/author&gt;&lt;author&gt;Mitsuhata, Chieko&lt;/author&gt;&lt;author&gt;Naka, Shuhei&lt;/author&gt;&lt;author&gt;Matsumoto-Nakano, Michiyo&lt;/author&gt;&lt;author&gt;Nakano, Kazuhiko&lt;/author&gt;&lt;author&gt;Nomura, Ryota&lt;/author&gt;&lt;/authors&gt;&lt;/contributors&gt;&lt;titles&gt;&lt;title&gt;High-performance silica-containing professional mechanical tooth-cleaning paste that effectively adsorbs pigments&lt;/title&gt;&lt;secondary-title&gt;Pediatric Dental Journal&lt;/secondary-title&gt;&lt;/titles&gt;&lt;periodical&gt;&lt;full-title&gt;Pediatric Dental Journal&lt;/full-title&gt;&lt;/periodical&gt;&lt;pages&gt;62-69&lt;/pages&gt;&lt;volume&gt;34&lt;/volume&gt;&lt;number&gt;2&lt;/number&gt;&lt;section&gt;62&lt;/section&gt;&lt;dates&gt;&lt;year&gt;2024&lt;/year&gt;&lt;/dates&gt;&lt;isbn&gt;09172394&lt;/isbn&gt;&lt;urls&gt;&lt;/urls&gt;&lt;electronic-resource-num&gt;10.1016/j.pdj.2024.03.004&lt;/electronic-resource-num&gt;&lt;/record&gt;&lt;/Cite&gt;&lt;Cite&gt;&lt;Author&gt;Dentistry.&lt;/Author&gt;&lt;Year&gt;2024&lt;/Year&gt;&lt;RecNum&gt;1557&lt;/RecNum&gt;&lt;record&gt;&lt;rec-number&gt;1557&lt;/rec-number&gt;&lt;foreign-keys&gt;&lt;key app="EN" db-id="2sdpxsv92tpp51evx91prr5x52zr2x0erxsp" timestamp="1751204756"&gt;1557&lt;/key&gt;&lt;key app="ENWeb" db-id=""&gt;0&lt;/key&gt;&lt;/foreign-keys&gt;&lt;ref-type name="Journal Article"&gt;17&lt;/ref-type&gt;&lt;contributors&gt;&lt;authors&gt;&lt;author&gt;American Academy of Pediatric Dentistry. &lt;/author&gt;&lt;/authors&gt;&lt;/contributors&gt;&lt;titles&gt;&lt;title&gt;Policy on the role of dental prophylaxis in pediatric dentistry. The Reference Manual of Pediatric Dentistry. Chicago, Ill.: American Academy of Pediatric Dentistry;&lt;/title&gt;&lt;/titles&gt;&lt;volume&gt;95-7&lt;/volume&gt;&lt;dates&gt;&lt;year&gt;2024&lt;/year&gt;&lt;/dates&gt;&lt;urls&gt;&lt;/urls&gt;&lt;/record&gt;&lt;/Cite&gt;&lt;/EndNote&gt;</w:instrText>
      </w:r>
      <w:r>
        <w:rPr>
          <w:rFonts w:ascii="Times New Roman" w:hAnsi="Times New Roman" w:cs="Times New Roman"/>
        </w:rPr>
        <w:fldChar w:fldCharType="separate"/>
      </w:r>
      <w:r>
        <w:rPr>
          <w:rFonts w:ascii="Times New Roman" w:hAnsi="Times New Roman" w:cs="Times New Roman"/>
          <w:vertAlign w:val="superscript"/>
        </w:rPr>
        <w:t>[16, 17]</w:t>
      </w:r>
      <w:r>
        <w:rPr>
          <w:rFonts w:ascii="Times New Roman" w:hAnsi="Times New Roman" w:cs="Times New Roman"/>
        </w:rPr>
        <w:fldChar w:fldCharType="end"/>
      </w:r>
      <w:r>
        <w:rPr>
          <w:rFonts w:ascii="Times New Roman" w:hAnsi="Times New Roman" w:cs="Times New Roman"/>
        </w:rPr>
        <w:t>。</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5.3.3.2</w:t>
      </w:r>
      <w:r>
        <w:rPr>
          <w:rFonts w:hint="eastAsia" w:ascii="Times New Roman" w:hAnsi="Times New Roman" w:cs="Times New Roman"/>
        </w:rPr>
        <w:t>适应证包括但不限于：牙已萌出，牙面存在软垢、菌斑。</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5.3.3.3</w:t>
      </w:r>
      <w:r>
        <w:rPr>
          <w:rFonts w:hint="eastAsia" w:ascii="Times New Roman" w:hAnsi="Times New Roman" w:cs="Times New Roman"/>
        </w:rPr>
        <w:t>禁忌证包括但不限于：难以配合临床操作。</w:t>
      </w:r>
    </w:p>
    <w:p>
      <w:pPr>
        <w:spacing w:after="0" w:line="360" w:lineRule="auto"/>
        <w:ind w:firstLine="420" w:firstLineChars="200"/>
        <w:rPr>
          <w:rFonts w:ascii="Times New Roman" w:hAnsi="Times New Roman" w:cs="Times New Roman"/>
        </w:rPr>
      </w:pPr>
      <w:r>
        <w:rPr>
          <w:rFonts w:hint="eastAsia" w:ascii="Times New Roman" w:hAnsi="Times New Roman" w:cs="Times New Roman"/>
          <w:lang w:val="en-US" w:eastAsia="zh-CN"/>
        </w:rPr>
        <w:t>5.3.3.4</w:t>
      </w:r>
      <w:r>
        <w:rPr>
          <w:rFonts w:ascii="Times New Roman" w:hAnsi="Times New Roman" w:cs="Times New Roman"/>
        </w:rPr>
        <w:t>操作要点</w:t>
      </w:r>
      <w:r>
        <w:rPr>
          <w:rFonts w:hint="eastAsia" w:ascii="Times New Roman" w:hAnsi="Times New Roman" w:cs="Times New Roman"/>
          <w:lang w:val="en-US" w:eastAsia="zh-CN"/>
        </w:rPr>
        <w:t>如下</w:t>
      </w:r>
      <w:r>
        <w:rPr>
          <w:rFonts w:ascii="Times New Roman" w:hAnsi="Times New Roman" w:cs="Times New Roman"/>
        </w:rPr>
        <w:t>：</w:t>
      </w:r>
    </w:p>
    <w:p>
      <w:pPr>
        <w:pStyle w:val="28"/>
        <w:numPr>
          <w:ilvl w:val="0"/>
          <w:numId w:val="0"/>
        </w:numPr>
        <w:spacing w:after="0" w:line="360" w:lineRule="auto"/>
        <w:ind w:left="420" w:leftChars="0"/>
        <w:rPr>
          <w:rFonts w:hint="eastAsia" w:ascii="Times New Roman" w:hAnsi="Times New Roman" w:cs="Times New Roman" w:eastAsiaTheme="minorEastAsia"/>
          <w:lang w:eastAsia="zh-CN"/>
        </w:rPr>
      </w:pPr>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ascii="Times New Roman" w:hAnsi="Times New Roman" w:cs="Times New Roman"/>
        </w:rPr>
        <w:t>进行非药物</w:t>
      </w:r>
      <w:r>
        <w:rPr>
          <w:rFonts w:hint="eastAsia" w:ascii="Times New Roman" w:hAnsi="Times New Roman" w:cs="Times New Roman"/>
        </w:rPr>
        <w:t>性</w:t>
      </w:r>
      <w:r>
        <w:rPr>
          <w:rFonts w:ascii="Times New Roman" w:hAnsi="Times New Roman" w:cs="Times New Roman"/>
        </w:rPr>
        <w:t>行为管理</w:t>
      </w:r>
      <w:r>
        <w:rPr>
          <w:rFonts w:hint="eastAsia" w:ascii="Times New Roman" w:hAnsi="Times New Roman" w:cs="Times New Roman"/>
        </w:rPr>
        <w:t>，</w:t>
      </w:r>
      <w:r>
        <w:rPr>
          <w:rFonts w:ascii="Times New Roman" w:hAnsi="Times New Roman" w:cs="Times New Roman"/>
        </w:rPr>
        <w:t>减少</w:t>
      </w:r>
      <w:r>
        <w:rPr>
          <w:rFonts w:hint="eastAsia" w:ascii="Times New Roman" w:hAnsi="Times New Roman" w:cs="Times New Roman"/>
        </w:rPr>
        <w:t>牙</w:t>
      </w:r>
      <w:r>
        <w:rPr>
          <w:rFonts w:ascii="Times New Roman" w:hAnsi="Times New Roman" w:cs="Times New Roman"/>
        </w:rPr>
        <w:t>科</w:t>
      </w:r>
      <w:r>
        <w:rPr>
          <w:rFonts w:hint="eastAsia" w:ascii="Times New Roman" w:hAnsi="Times New Roman" w:cs="Times New Roman"/>
        </w:rPr>
        <w:t>畏惧</w:t>
      </w:r>
      <w:r>
        <w:rPr>
          <w:rFonts w:hint="eastAsia" w:ascii="Times New Roman" w:hAnsi="Times New Roman" w:cs="Times New Roman"/>
          <w:lang w:eastAsia="zh-CN"/>
        </w:rPr>
        <w:t>；</w:t>
      </w:r>
    </w:p>
    <w:p>
      <w:pPr>
        <w:pStyle w:val="28"/>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ascii="Times New Roman" w:hAnsi="Times New Roman" w:cs="Times New Roman"/>
        </w:rPr>
        <w:t>口腔检查及龋风险评估，制定和调整相应的 ECC防治策略</w:t>
      </w:r>
      <w:r>
        <w:rPr>
          <w:rFonts w:hint="eastAsia" w:ascii="Times New Roman" w:hAnsi="Times New Roman" w:cs="Times New Roman"/>
        </w:rPr>
        <w:t>；</w:t>
      </w:r>
      <w:r>
        <w:rPr>
          <w:rFonts w:ascii="Times New Roman" w:hAnsi="Times New Roman" w:cs="Times New Roman"/>
        </w:rPr>
        <w:t xml:space="preserve"> </w:t>
      </w:r>
    </w:p>
    <w:p>
      <w:pPr>
        <w:pStyle w:val="28"/>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hint="eastAsia" w:ascii="Times New Roman" w:hAnsi="Times New Roman" w:cs="Times New Roman"/>
        </w:rPr>
        <w:t>告知监护人</w:t>
      </w:r>
      <w:r>
        <w:rPr>
          <w:rFonts w:ascii="Times New Roman" w:hAnsi="Times New Roman" w:cs="Times New Roman"/>
        </w:rPr>
        <w:t>儿童的口腔</w:t>
      </w:r>
      <w:r>
        <w:rPr>
          <w:rFonts w:hint="eastAsia" w:ascii="Times New Roman" w:hAnsi="Times New Roman" w:cs="Times New Roman"/>
        </w:rPr>
        <w:t>健康</w:t>
      </w:r>
      <w:r>
        <w:rPr>
          <w:rFonts w:ascii="Times New Roman" w:hAnsi="Times New Roman" w:cs="Times New Roman"/>
        </w:rPr>
        <w:t>状况</w:t>
      </w:r>
      <w:r>
        <w:rPr>
          <w:rFonts w:hint="eastAsia" w:ascii="Times New Roman" w:hAnsi="Times New Roman" w:cs="Times New Roman"/>
        </w:rPr>
        <w:t>，</w:t>
      </w:r>
      <w:r>
        <w:rPr>
          <w:rFonts w:ascii="Times New Roman" w:hAnsi="Times New Roman" w:cs="Times New Roman"/>
        </w:rPr>
        <w:t>进行</w:t>
      </w:r>
      <w:r>
        <w:rPr>
          <w:rFonts w:hint="eastAsia" w:ascii="Times New Roman" w:hAnsi="Times New Roman" w:cs="Times New Roman"/>
        </w:rPr>
        <w:t>针对性的</w:t>
      </w:r>
      <w:r>
        <w:rPr>
          <w:rFonts w:ascii="Times New Roman" w:hAnsi="Times New Roman" w:cs="Times New Roman"/>
        </w:rPr>
        <w:t>口腔卫生行为指导，</w:t>
      </w:r>
      <w:r>
        <w:rPr>
          <w:rFonts w:ascii="Times New Roman" w:hAnsi="Times New Roman" w:eastAsia="宋体" w:cs="Times New Roman"/>
          <w:color w:val="000000"/>
          <w:kern w:val="0"/>
          <w:szCs w:val="21"/>
        </w:rPr>
        <w:t>PMTC技</w:t>
      </w:r>
    </w:p>
    <w:p>
      <w:pPr>
        <w:spacing w:after="0" w:line="360" w:lineRule="auto"/>
        <w:ind w:left="420"/>
        <w:rPr>
          <w:rFonts w:hint="eastAsia" w:ascii="Times New Roman" w:hAnsi="Times New Roman" w:eastAsia="宋体" w:cs="Times New Roman"/>
          <w:lang w:eastAsia="zh-CN"/>
        </w:rPr>
      </w:pPr>
      <w:r>
        <w:rPr>
          <w:rFonts w:ascii="Times New Roman" w:hAnsi="Times New Roman" w:eastAsia="宋体" w:cs="Times New Roman"/>
          <w:color w:val="000000"/>
          <w:kern w:val="0"/>
          <w:szCs w:val="21"/>
        </w:rPr>
        <w:t>术清洁牙面</w:t>
      </w:r>
      <w:r>
        <w:rPr>
          <w:rFonts w:hint="eastAsia" w:ascii="Times New Roman" w:hAnsi="Times New Roman" w:eastAsia="宋体" w:cs="Times New Roman"/>
          <w:lang w:eastAsia="zh-CN"/>
        </w:rPr>
        <w:t>；</w:t>
      </w:r>
    </w:p>
    <w:p>
      <w:pPr>
        <w:pStyle w:val="28"/>
        <w:numPr>
          <w:ilvl w:val="0"/>
          <w:numId w:val="0"/>
        </w:numPr>
        <w:spacing w:after="0" w:line="360" w:lineRule="auto"/>
        <w:ind w:left="420" w:leftChars="0"/>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hint="eastAsia" w:ascii="Times New Roman" w:hAnsi="Times New Roman" w:cs="Times New Roman"/>
        </w:rPr>
        <w:t>根据儿童患龋风险，确定复查时间</w:t>
      </w:r>
      <w:r>
        <w:rPr>
          <w:rFonts w:ascii="Times New Roman" w:hAnsi="Times New Roman" w:cs="Times New Roman"/>
        </w:rPr>
        <w:t>。</w:t>
      </w:r>
    </w:p>
    <w:p>
      <w:pPr>
        <w:pStyle w:val="12"/>
        <w:rPr>
          <w:rFonts w:hint="eastAsia" w:ascii="黑体" w:hAnsi="黑体" w:eastAsia="黑体" w:cs="黑体"/>
          <w:b w:val="0"/>
          <w:bCs/>
        </w:rPr>
      </w:pPr>
      <w:bookmarkStart w:id="49" w:name="_Toc217652906"/>
      <w:r>
        <w:rPr>
          <w:rFonts w:hint="eastAsia" w:ascii="黑体" w:hAnsi="黑体" w:eastAsia="黑体" w:cs="黑体"/>
          <w:b w:val="0"/>
          <w:bCs/>
        </w:rPr>
        <w:t>5.3.4 氟化物应用</w:t>
      </w:r>
      <w:bookmarkEnd w:id="49"/>
    </w:p>
    <w:p>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hAnsi="Times New Roman" w:cs="Times New Roman"/>
        </w:rPr>
      </w:pPr>
      <w:r>
        <w:rPr>
          <w:rFonts w:ascii="Times New Roman" w:hAnsi="Times New Roman" w:cs="Times New Roman"/>
        </w:rPr>
        <w:tab/>
      </w:r>
      <w:bookmarkStart w:id="50" w:name="OLE_LINK9"/>
      <w:r>
        <w:rPr>
          <w:rFonts w:hint="eastAsia" w:ascii="Times New Roman" w:hAnsi="Times New Roman" w:cs="Times New Roman"/>
          <w:lang w:val="en-US" w:eastAsia="zh-CN"/>
        </w:rPr>
        <w:t>5.3.4.1</w:t>
      </w:r>
      <w:r>
        <w:rPr>
          <w:rFonts w:ascii="Times New Roman" w:hAnsi="Times New Roman" w:cs="Times New Roman"/>
        </w:rPr>
        <w:t>局部用氟</w:t>
      </w:r>
      <w:bookmarkEnd w:id="50"/>
      <w:r>
        <w:rPr>
          <w:rFonts w:ascii="Times New Roman" w:hAnsi="Times New Roman" w:cs="Times New Roman"/>
        </w:rPr>
        <w:t>可有效预防光滑面龋，对邻面龋、窝沟点隙龋也有一定预防作用。适用于低氟地区和适氟地区（饮水氟浓度&lt;1.0 mg/L）。</w:t>
      </w:r>
      <w:r>
        <w:rPr>
          <w:rFonts w:hint="eastAsia" w:ascii="Times New Roman" w:hAnsi="Times New Roman" w:cs="Times New Roman"/>
        </w:rPr>
        <w:t>临床</w:t>
      </w:r>
      <w:r>
        <w:rPr>
          <w:rFonts w:ascii="Times New Roman" w:hAnsi="Times New Roman" w:cs="Times New Roman"/>
        </w:rPr>
        <w:t>常用的局部含氟制剂有含5%氟化钠的含氟涂料（氟浓度为22600 mg/L）和1.23%的酸性磷酸氟盐凝胶（氟浓度为 12300 mg/L）</w:t>
      </w:r>
      <w:r>
        <w:rPr>
          <w:rFonts w:ascii="Times New Roman" w:hAnsi="Times New Roman" w:cs="Times New Roman"/>
        </w:rPr>
        <w:fldChar w:fldCharType="begin"/>
      </w:r>
      <w:r>
        <w:rPr>
          <w:rFonts w:ascii="Times New Roman" w:hAnsi="Times New Roman" w:cs="Times New Roman"/>
        </w:rPr>
        <w:instrText xml:space="preserve"> ADDIN EN.CITE &lt;EndNote&gt;&lt;Cite&gt;&lt;Author&gt;Dentistry.&lt;/Author&gt;&lt;Year&gt;2024&lt;/Year&gt;&lt;RecNum&gt;1559&lt;/RecNum&gt;&lt;DisplayText&gt;&lt;style face="superscript" font="Times New Roman"&gt;[18, 19]&lt;/style&gt;&lt;/DisplayText&gt;&lt;record&gt;&lt;rec-number&gt;1559&lt;/rec-number&gt;&lt;foreign-keys&gt;&lt;key app="EN" db-id="2sdpxsv92tpp51evx91prr5x52zr2x0erxsp" timestamp="1751204759"&gt;1559&lt;/key&gt;&lt;key app="ENWeb" db-id=""&gt;0&lt;/key&gt;&lt;/foreign-keys&gt;&lt;ref-type name="Journal Article"&gt;17&lt;/ref-type&gt;&lt;contributors&gt;&lt;authors&gt;&lt;author&gt;American Academy of Pediatric Dentistry.&lt;/author&gt;&lt;/authors&gt;&lt;/contributors&gt;&lt;titles&gt;&lt;title&gt;Fluoride therapy. The Reference Manual of Pediatric Dentistry. Chicago, Ill.: American Academy of Pediatric Dentistry;&lt;/title&gt;&lt;/titles&gt;&lt;volume&gt;351&lt;/volume&gt;&lt;number&gt;7&lt;/number&gt;&lt;dates&gt;&lt;year&gt;2024&lt;/year&gt;&lt;/dates&gt;&lt;urls&gt;&lt;/urls&gt;&lt;/record&gt;&lt;/Cite&gt;&lt;Cite&gt;&lt;Author&gt;Marinho V C C&lt;/Author&gt;&lt;Year&gt;2013&lt;/Year&gt;&lt;RecNum&gt;1566&lt;/RecNum&gt;&lt;record&gt;&lt;rec-number&gt;1566&lt;/rec-number&gt;&lt;foreign-keys&gt;&lt;key app="EN" db-id="2sdpxsv92tpp51evx91prr5x52zr2x0erxsp" timestamp="1751205012"&gt;1566&lt;/key&gt;&lt;key app="ENWeb" db-id=""&gt;0&lt;/key&gt;&lt;/foreign-keys&gt;&lt;ref-type name="Journal Article"&gt;17&lt;/ref-type&gt;&lt;contributors&gt;&lt;authors&gt;&lt;author&gt;Marinho V C C, Worthington H V, Walsh T, et al. &lt;/author&gt;&lt;/authors&gt;&lt;/contributors&gt;&lt;titles&gt;&lt;title&gt;Fluoride varnishes for preventing dental caries in children and adolescents.&lt;/title&gt;&lt;secondary-title&gt;Cochrane Database of Systematic Reviews&lt;/secondary-title&gt;&lt;/titles&gt;&lt;periodical&gt;&lt;full-title&gt;Cochrane Database of Systematic Reviews&lt;/full-title&gt;&lt;abbr-1&gt;Cochrane Database Syst. Rev.&lt;/abbr-1&gt;&lt;abbr-2&gt;Cochrane Database Syst Rev&lt;/abbr-2&gt;&lt;/periodical&gt;&lt;volume&gt;7&lt;/volume&gt;&lt;dates&gt;&lt;year&gt;2013&lt;/year&gt;&lt;/dates&gt;&lt;urls&gt;&lt;/urls&gt;&lt;/record&gt;&lt;/Cite&gt;&lt;/EndNote&gt;</w:instrText>
      </w:r>
      <w:r>
        <w:rPr>
          <w:rFonts w:ascii="Times New Roman" w:hAnsi="Times New Roman" w:cs="Times New Roman"/>
        </w:rPr>
        <w:fldChar w:fldCharType="separate"/>
      </w:r>
      <w:r>
        <w:rPr>
          <w:rFonts w:ascii="Times New Roman" w:hAnsi="Times New Roman" w:cs="Times New Roman"/>
          <w:vertAlign w:val="superscript"/>
        </w:rPr>
        <w:t>[18, 19]</w:t>
      </w:r>
      <w:r>
        <w:rPr>
          <w:rFonts w:ascii="Times New Roman" w:hAnsi="Times New Roman" w:cs="Times New Roman"/>
        </w:rPr>
        <w:fldChar w:fldCharType="end"/>
      </w:r>
      <w:r>
        <w:rPr>
          <w:rFonts w:ascii="Times New Roman" w:hAnsi="Times New Roman" w:cs="Times New Roman"/>
        </w:rPr>
        <w:t>。</w:t>
      </w:r>
    </w:p>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Times New Roman" w:hAnsi="Times New Roman" w:cs="Times New Roman"/>
        </w:rPr>
      </w:pPr>
      <w:bookmarkStart w:id="51" w:name="OLE_LINK3"/>
      <w:r>
        <w:rPr>
          <w:rFonts w:hint="eastAsia" w:ascii="Times New Roman" w:hAnsi="Times New Roman" w:cs="Times New Roman"/>
          <w:lang w:val="en-US" w:eastAsia="zh-CN"/>
        </w:rPr>
        <w:t>5.3.4.2</w:t>
      </w:r>
      <w:r>
        <w:rPr>
          <w:rFonts w:hint="eastAsia" w:ascii="Times New Roman" w:hAnsi="Times New Roman" w:cs="Times New Roman"/>
        </w:rPr>
        <w:t>禁忌证包括但不限于：难以配合临床操作；存在未控制的严重系统性疾病；地方性氟中毒病区儿童。产品说明书中规定的其它禁忌证。</w:t>
      </w:r>
    </w:p>
    <w:bookmarkEnd w:id="51"/>
    <w:p>
      <w:pPr>
        <w:keepNext w:val="0"/>
        <w:keepLines w:val="0"/>
        <w:pageBreakBefore w:val="0"/>
        <w:widowControl w:val="0"/>
        <w:kinsoku/>
        <w:wordWrap/>
        <w:overflowPunct/>
        <w:topLinePunct w:val="0"/>
        <w:autoSpaceDE/>
        <w:autoSpaceDN/>
        <w:bidi w:val="0"/>
        <w:adjustRightInd/>
        <w:snapToGrid/>
        <w:spacing w:after="0" w:line="360" w:lineRule="auto"/>
        <w:ind w:firstLine="420" w:firstLineChars="200"/>
        <w:textAlignment w:val="auto"/>
        <w:rPr>
          <w:rFonts w:ascii="Times New Roman" w:hAnsi="Times New Roman" w:cs="Times New Roman"/>
        </w:rPr>
      </w:pPr>
      <w:r>
        <w:rPr>
          <w:rFonts w:hint="eastAsia" w:ascii="Times New Roman" w:hAnsi="Times New Roman" w:cs="Times New Roman"/>
          <w:lang w:val="en-US" w:eastAsia="zh-CN"/>
        </w:rPr>
        <w:t>5.3.4.3</w:t>
      </w:r>
      <w:r>
        <w:rPr>
          <w:rFonts w:ascii="Times New Roman" w:hAnsi="Times New Roman" w:cs="Times New Roman"/>
        </w:rPr>
        <w:t>操作要点</w:t>
      </w:r>
      <w:r>
        <w:rPr>
          <w:rFonts w:hint="eastAsia" w:ascii="Times New Roman" w:hAnsi="Times New Roman" w:cs="Times New Roman"/>
          <w:lang w:val="en-US" w:eastAsia="zh-CN"/>
        </w:rPr>
        <w:t>如下</w:t>
      </w:r>
      <w:r>
        <w:rPr>
          <w:rFonts w:ascii="Times New Roman" w:hAnsi="Times New Roman" w:cs="Times New Roma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420" w:leftChars="0"/>
        <w:textAlignment w:val="auto"/>
        <w:rPr>
          <w:rFonts w:hint="eastAsia" w:ascii="Times New Roman" w:hAnsi="Times New Roman" w:cs="Times New Roman" w:eastAsiaTheme="minorEastAsia"/>
          <w:lang w:eastAsia="zh-CN"/>
        </w:rPr>
      </w:pPr>
      <w:bookmarkStart w:id="52" w:name="OLE_LINK8"/>
      <w:r>
        <w:rPr>
          <w:rFonts w:hint="eastAsia" w:ascii="Times New Roman" w:hAnsi="Times New Roman" w:cs="Times New Roman"/>
          <w:lang w:val="en-US" w:eastAsia="zh-CN"/>
        </w:rPr>
        <w:t>a</w:t>
      </w:r>
      <w:r>
        <w:rPr>
          <w:rFonts w:hint="eastAsia" w:ascii="Times New Roman" w:hAnsi="Times New Roman" w:cs="Times New Roman"/>
          <w:lang w:eastAsia="zh-CN"/>
        </w:rPr>
        <w:t>）</w:t>
      </w:r>
      <w:r>
        <w:rPr>
          <w:rFonts w:ascii="Times New Roman" w:hAnsi="Times New Roman" w:cs="Times New Roman"/>
        </w:rPr>
        <w:t>使用</w:t>
      </w:r>
      <w:bookmarkEnd w:id="52"/>
      <w:r>
        <w:rPr>
          <w:rFonts w:ascii="Times New Roman" w:hAnsi="Times New Roman" w:cs="Times New Roman"/>
        </w:rPr>
        <w:t>含氟涂料前，先清洁牙面，隔湿，</w:t>
      </w:r>
      <w:r>
        <w:rPr>
          <w:rFonts w:hint="eastAsia" w:ascii="Times New Roman" w:hAnsi="Times New Roman" w:cs="Times New Roman"/>
        </w:rPr>
        <w:t>轻吹，</w:t>
      </w:r>
      <w:r>
        <w:rPr>
          <w:rFonts w:ascii="Times New Roman" w:hAnsi="Times New Roman" w:cs="Times New Roman"/>
        </w:rPr>
        <w:t>将含氟涂料涂布于牙面上</w:t>
      </w:r>
      <w:r>
        <w:rPr>
          <w:rFonts w:hint="eastAsia" w:ascii="Times New Roman" w:hAnsi="Times New Roman" w:cs="Times New Roman"/>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420" w:leftChars="0"/>
        <w:textAlignment w:val="auto"/>
        <w:rPr>
          <w:rFonts w:ascii="Times New Roman" w:hAnsi="Times New Roman" w:cs="Times New Roman"/>
        </w:rPr>
      </w:pPr>
      <w:r>
        <w:rPr>
          <w:rFonts w:hint="eastAsia" w:ascii="Times New Roman" w:hAnsi="Times New Roman" w:cs="Times New Roman"/>
          <w:lang w:val="en-US" w:eastAsia="zh-CN"/>
        </w:rPr>
        <w:t>b</w:t>
      </w:r>
      <w:r>
        <w:rPr>
          <w:rFonts w:hint="eastAsia" w:ascii="Times New Roman" w:hAnsi="Times New Roman" w:cs="Times New Roman"/>
          <w:lang w:eastAsia="zh-CN"/>
        </w:rPr>
        <w:t>）</w:t>
      </w:r>
      <w:r>
        <w:rPr>
          <w:rFonts w:ascii="Times New Roman" w:hAnsi="Times New Roman" w:cs="Times New Roman"/>
        </w:rPr>
        <w:t>使用含氟凝胶、含氟泡沫前，儿童取坐位，取</w:t>
      </w:r>
      <w:r>
        <w:rPr>
          <w:rFonts w:hint="eastAsia" w:ascii="Times New Roman" w:hAnsi="Times New Roman" w:cs="Times New Roman"/>
        </w:rPr>
        <w:t>氟化物</w:t>
      </w:r>
      <w:r>
        <w:rPr>
          <w:rFonts w:ascii="Times New Roman" w:hAnsi="Times New Roman" w:cs="Times New Roman"/>
        </w:rPr>
        <w:t>装入合适的托盘、避免溢出。3岁以下婴幼儿不建议使用含氟泡沫、含氟凝胶和含氟漱口水</w:t>
      </w:r>
      <w:r>
        <w:rPr>
          <w:rFonts w:hint="eastAsia" w:ascii="Times New Roman" w:hAnsi="Times New Roman" w:cs="Times New Roman"/>
          <w:lang w:eastAsia="zh-CN"/>
        </w:rPr>
        <w:t>；</w:t>
      </w:r>
      <w:r>
        <w:rPr>
          <w:rFonts w:ascii="Times New Roman" w:hAnsi="Times New Roman" w:cs="Times New Roman"/>
        </w:rPr>
        <w:t xml:space="preserve"> </w:t>
      </w:r>
    </w:p>
    <w:p>
      <w:pPr>
        <w:pStyle w:val="2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420" w:leftChars="0"/>
        <w:textAlignment w:val="auto"/>
        <w:rPr>
          <w:rFonts w:hint="eastAsia" w:ascii="Times New Roman" w:hAnsi="Times New Roman" w:cs="Times New Roman"/>
          <w:lang w:eastAsia="zh-CN"/>
        </w:rPr>
      </w:pPr>
      <w:r>
        <w:rPr>
          <w:rFonts w:hint="eastAsia" w:ascii="Times New Roman" w:hAnsi="Times New Roman" w:cs="Times New Roman"/>
          <w:lang w:val="en-US" w:eastAsia="zh-CN"/>
        </w:rPr>
        <w:t>c</w:t>
      </w:r>
      <w:r>
        <w:rPr>
          <w:rFonts w:hint="eastAsia" w:ascii="Times New Roman" w:hAnsi="Times New Roman" w:cs="Times New Roman"/>
          <w:lang w:eastAsia="zh-CN"/>
        </w:rPr>
        <w:t>）</w:t>
      </w:r>
      <w:r>
        <w:rPr>
          <w:rFonts w:ascii="Times New Roman" w:hAnsi="Times New Roman" w:cs="Times New Roman"/>
        </w:rPr>
        <w:t>局部用氟后注意30</w:t>
      </w:r>
      <w:r>
        <w:rPr>
          <w:rFonts w:hint="eastAsia" w:ascii="Times New Roman" w:hAnsi="Times New Roman" w:cs="Times New Roman"/>
          <w:lang w:val="en-US" w:eastAsia="zh-CN"/>
        </w:rPr>
        <w:t>min</w:t>
      </w:r>
      <w:r>
        <w:rPr>
          <w:rFonts w:ascii="Times New Roman" w:hAnsi="Times New Roman" w:cs="Times New Roman"/>
        </w:rPr>
        <w:t>不</w:t>
      </w:r>
      <w:r>
        <w:rPr>
          <w:rFonts w:hint="eastAsia" w:ascii="Times New Roman" w:hAnsi="Times New Roman" w:cs="Times New Roman"/>
        </w:rPr>
        <w:t>宜</w:t>
      </w:r>
      <w:r>
        <w:rPr>
          <w:rFonts w:ascii="Times New Roman" w:hAnsi="Times New Roman" w:cs="Times New Roman"/>
        </w:rPr>
        <w:t>漱口进食饮水，4</w:t>
      </w:r>
      <w:r>
        <w:rPr>
          <w:rFonts w:hint="eastAsia" w:ascii="Times New Roman" w:hAnsi="Times New Roman" w:cs="Times New Roman"/>
          <w:lang w:val="en-US" w:eastAsia="zh-CN"/>
        </w:rPr>
        <w:t>h</w:t>
      </w:r>
      <w:r>
        <w:rPr>
          <w:rFonts w:ascii="Times New Roman" w:hAnsi="Times New Roman" w:cs="Times New Roman"/>
        </w:rPr>
        <w:t>不</w:t>
      </w:r>
      <w:r>
        <w:rPr>
          <w:rFonts w:hint="eastAsia" w:ascii="Times New Roman" w:hAnsi="Times New Roman" w:cs="Times New Roman"/>
        </w:rPr>
        <w:t>宜</w:t>
      </w:r>
      <w:r>
        <w:rPr>
          <w:rFonts w:ascii="Times New Roman" w:hAnsi="Times New Roman" w:cs="Times New Roman"/>
        </w:rPr>
        <w:t>进热食、不刷牙；</w:t>
      </w:r>
      <w:r>
        <w:rPr>
          <w:rFonts w:hint="eastAsia" w:ascii="Times New Roman" w:hAnsi="Times New Roman" w:cs="Times New Roman"/>
        </w:rPr>
        <w:t>具体注意事项应同时参考相关产品说明书</w:t>
      </w:r>
      <w:r>
        <w:rPr>
          <w:rFonts w:hint="eastAsia" w:ascii="Times New Roman" w:hAnsi="Times New Roman" w:cs="Times New Roman"/>
          <w:lang w:eastAsia="zh-CN"/>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420" w:leftChars="0"/>
        <w:textAlignment w:val="auto"/>
        <w:rPr>
          <w:rFonts w:ascii="Times New Roman" w:hAnsi="Times New Roman" w:cs="Times New Roman"/>
        </w:rPr>
      </w:pPr>
      <w:r>
        <w:rPr>
          <w:rFonts w:hint="eastAsia" w:ascii="Times New Roman" w:hAnsi="Times New Roman" w:cs="Times New Roman"/>
          <w:lang w:val="en-US" w:eastAsia="zh-CN"/>
        </w:rPr>
        <w:t>d</w:t>
      </w:r>
      <w:r>
        <w:rPr>
          <w:rFonts w:hint="eastAsia" w:ascii="Times New Roman" w:hAnsi="Times New Roman" w:cs="Times New Roman"/>
          <w:lang w:eastAsia="zh-CN"/>
        </w:rPr>
        <w:t>）</w:t>
      </w:r>
      <w:r>
        <w:rPr>
          <w:rFonts w:ascii="Times New Roman" w:hAnsi="Times New Roman" w:cs="Times New Roman"/>
        </w:rPr>
        <w:t>在定期口腔检查和龋风险评估的基础上确定局部用氟的必要性和频次。</w:t>
      </w:r>
      <w:r>
        <w:rPr>
          <w:rFonts w:hint="eastAsia" w:ascii="Times New Roman" w:hAnsi="Times New Roman" w:cs="Times New Roman"/>
        </w:rPr>
        <w:t>ECC</w:t>
      </w:r>
      <w:r>
        <w:rPr>
          <w:rFonts w:ascii="Times New Roman" w:hAnsi="Times New Roman" w:cs="Times New Roman"/>
        </w:rPr>
        <w:t>中、低风险的儿童，建议每年使用</w:t>
      </w:r>
      <w:r>
        <w:rPr>
          <w:rFonts w:hint="eastAsia" w:ascii="Times New Roman" w:hAnsi="Times New Roman" w:cs="Times New Roman"/>
        </w:rPr>
        <w:t>涂氟</w:t>
      </w:r>
      <w:r>
        <w:rPr>
          <w:rFonts w:ascii="Times New Roman" w:hAnsi="Times New Roman" w:cs="Times New Roman"/>
        </w:rPr>
        <w:t>2次</w:t>
      </w:r>
      <w:r>
        <w:rPr>
          <w:rFonts w:hint="eastAsia" w:ascii="Times New Roman" w:hAnsi="Times New Roman" w:cs="Times New Roman"/>
        </w:rPr>
        <w:t>，每6个月1次</w:t>
      </w:r>
      <w:r>
        <w:rPr>
          <w:rFonts w:ascii="Times New Roman" w:hAnsi="Times New Roman" w:cs="Times New Roman"/>
        </w:rPr>
        <w:t>；</w:t>
      </w:r>
      <w:r>
        <w:rPr>
          <w:rFonts w:hint="eastAsia" w:ascii="Times New Roman" w:hAnsi="Times New Roman" w:cs="Times New Roman"/>
        </w:rPr>
        <w:t>ECC</w:t>
      </w:r>
      <w:r>
        <w:rPr>
          <w:rFonts w:ascii="Times New Roman" w:hAnsi="Times New Roman" w:cs="Times New Roman"/>
        </w:rPr>
        <w:t>高风险的儿童，建议每年涂氟4次</w:t>
      </w:r>
      <w:r>
        <w:rPr>
          <w:rFonts w:hint="eastAsia" w:ascii="Times New Roman" w:hAnsi="Times New Roman" w:cs="Times New Roman"/>
        </w:rPr>
        <w:t>，每3个月1次</w:t>
      </w:r>
      <w:r>
        <w:rPr>
          <w:rFonts w:ascii="Times New Roman" w:hAnsi="Times New Roman" w:cs="Times New Roman"/>
        </w:rPr>
        <w:t>。</w:t>
      </w:r>
    </w:p>
    <w:p>
      <w:pPr>
        <w:pStyle w:val="12"/>
        <w:rPr>
          <w:rFonts w:hint="eastAsia" w:ascii="黑体" w:hAnsi="黑体" w:eastAsia="黑体" w:cs="黑体"/>
          <w:b w:val="0"/>
          <w:bCs/>
        </w:rPr>
      </w:pPr>
      <w:bookmarkStart w:id="53" w:name="_Toc217652907"/>
      <w:r>
        <w:rPr>
          <w:rFonts w:hint="eastAsia" w:ascii="黑体" w:hAnsi="黑体" w:eastAsia="黑体" w:cs="黑体"/>
          <w:b w:val="0"/>
          <w:bCs/>
        </w:rPr>
        <w:t>5.3.5 窝沟封闭</w:t>
      </w:r>
      <w:bookmarkEnd w:id="53"/>
    </w:p>
    <w:p>
      <w:pPr>
        <w:keepNext w:val="0"/>
        <w:keepLines w:val="0"/>
        <w:pageBreakBefore w:val="0"/>
        <w:widowControl w:val="0"/>
        <w:kinsoku/>
        <w:wordWrap/>
        <w:overflowPunct/>
        <w:topLinePunct w:val="0"/>
        <w:autoSpaceDE/>
        <w:autoSpaceDN/>
        <w:bidi w:val="0"/>
        <w:adjustRightInd/>
        <w:snapToGrid/>
        <w:spacing w:after="0" w:line="360" w:lineRule="auto"/>
        <w:ind w:firstLine="630" w:firstLineChars="300"/>
        <w:textAlignment w:val="auto"/>
        <w:rPr>
          <w:rFonts w:hint="eastAsia" w:ascii="宋体" w:hAnsi="宋体" w:eastAsia="宋体" w:cs="宋体"/>
        </w:rPr>
      </w:pPr>
      <w:bookmarkStart w:id="54" w:name="OLE_LINK2"/>
      <w:r>
        <w:rPr>
          <w:rFonts w:hint="eastAsia" w:ascii="宋体" w:hAnsi="宋体" w:eastAsia="宋体" w:cs="宋体"/>
          <w:b w:val="0"/>
          <w:bCs/>
        </w:rPr>
        <w:t>5.3.5</w:t>
      </w:r>
      <w:r>
        <w:rPr>
          <w:rFonts w:hint="eastAsia" w:ascii="宋体" w:hAnsi="宋体" w:eastAsia="宋体" w:cs="宋体"/>
          <w:b w:val="0"/>
          <w:bCs/>
          <w:lang w:val="en-US" w:eastAsia="zh-CN"/>
        </w:rPr>
        <w:t>.1</w:t>
      </w:r>
      <w:r>
        <w:rPr>
          <w:rFonts w:hint="eastAsia" w:ascii="宋体" w:hAnsi="宋体" w:eastAsia="宋体" w:cs="宋体"/>
        </w:rPr>
        <w:t>窝沟封闭</w:t>
      </w:r>
      <w:bookmarkEnd w:id="54"/>
      <w:r>
        <w:rPr>
          <w:rFonts w:hint="eastAsia" w:ascii="宋体" w:hAnsi="宋体" w:eastAsia="宋体" w:cs="宋体"/>
        </w:rPr>
        <w:t>能够有效预防窝沟点隙龋。</w:t>
      </w:r>
      <w:r>
        <w:rPr>
          <w:rFonts w:hint="eastAsia" w:ascii="宋体" w:hAnsi="宋体" w:eastAsia="宋体" w:cs="宋体"/>
          <w:highlight w:val="none"/>
        </w:rPr>
        <w:t>3岁</w:t>
      </w:r>
      <w:r>
        <w:rPr>
          <w:rFonts w:hint="eastAsia" w:ascii="Times New Roman" w:hAnsi="Times New Roman" w:cs="Times New Roman"/>
        </w:rPr>
        <w:t>~</w:t>
      </w:r>
      <w:r>
        <w:rPr>
          <w:rFonts w:hint="eastAsia" w:ascii="宋体" w:hAnsi="宋体" w:eastAsia="宋体" w:cs="宋体"/>
          <w:highlight w:val="none"/>
        </w:rPr>
        <w:t>4岁</w:t>
      </w:r>
      <w:r>
        <w:rPr>
          <w:rFonts w:hint="eastAsia" w:ascii="宋体" w:hAnsi="宋体" w:eastAsia="宋体" w:cs="宋体"/>
        </w:rPr>
        <w:t>是乳牙窝沟龋好发年龄，此时行窝沟封闭可有效降低 ECC 的发生率</w:t>
      </w:r>
      <w:r>
        <w:rPr>
          <w:rFonts w:hint="eastAsia" w:ascii="宋体" w:hAnsi="宋体" w:eastAsia="宋体" w:cs="宋体"/>
        </w:rPr>
        <w:fldChar w:fldCharType="begin"/>
      </w:r>
      <w:r>
        <w:rPr>
          <w:rFonts w:hint="eastAsia" w:ascii="宋体" w:hAnsi="宋体" w:eastAsia="宋体" w:cs="宋体"/>
        </w:rPr>
        <w:instrText xml:space="preserve"> ADDIN EN.CITE &lt;EndNote&gt;&lt;Cite&gt;&lt;Author&gt;Wright JT&lt;/Author&gt;&lt;Year&gt;2016&lt;/Year&gt;&lt;RecNum&gt;1563&lt;/RecNum&gt;&lt;DisplayText&gt;&lt;style face="superscript" font="Times New Roman"&gt;[20]&lt;/style&gt;&lt;/DisplayText&gt;&lt;record&gt;&lt;rec-number&gt;1563&lt;/rec-number&gt;&lt;foreign-keys&gt;&lt;key app="EN" db-id="2sdpxsv92tpp51evx91prr5x52zr2x0erxsp" timestamp="1751204912"&gt;1563&lt;/key&gt;&lt;key app="ENWeb" db-id=""&gt;0&lt;/key&gt;&lt;/foreign-keys&gt;&lt;ref-type name="Journal Article"&gt;17&lt;/ref-type&gt;&lt;contributors&gt;&lt;authors&gt;&lt;author&gt;Wright JT, Crall JJ, Fontana M, et al.&lt;/author&gt;&lt;/authors&gt;&lt;/contributors&gt;&lt;titles&gt;&lt;title&gt;Evidence-based Clinical Practice Guideline for the Use of Pit-and-Fissure Sealants. American Academy of Pediatric Dentistry, American Dental Association.&lt;/title&gt;&lt;secondary-title&gt;Pediatric Dentistry&lt;/secondary-title&gt;&lt;/titles&gt;&lt;periodical&gt;&lt;full-title&gt;Pediatric Dentistry&lt;/full-title&gt;&lt;abbr-1&gt;Pediatr. Dent.&lt;/abbr-1&gt;&lt;abbr-2&gt;Pediatr Dent&lt;/abbr-2&gt;&lt;/periodical&gt;&lt;pages&gt;E120-E136&lt;/pages&gt;&lt;volume&gt;38&lt;/volume&gt;&lt;number&gt;5&lt;/number&gt;&lt;dates&gt;&lt;year&gt;2016&lt;/year&gt;&lt;/dates&gt;&lt;urls&gt;&lt;/urls&gt;&lt;/record&gt;&lt;/Cite&gt;&lt;/EndNote&gt;</w:instrText>
      </w:r>
      <w:r>
        <w:rPr>
          <w:rFonts w:hint="eastAsia" w:ascii="宋体" w:hAnsi="宋体" w:eastAsia="宋体" w:cs="宋体"/>
        </w:rPr>
        <w:fldChar w:fldCharType="separate"/>
      </w:r>
      <w:r>
        <w:rPr>
          <w:rFonts w:hint="eastAsia" w:ascii="宋体" w:hAnsi="宋体" w:eastAsia="宋体" w:cs="宋体"/>
          <w:vertAlign w:val="superscript"/>
        </w:rPr>
        <w:t>[20]</w:t>
      </w:r>
      <w:r>
        <w:rPr>
          <w:rFonts w:hint="eastAsia" w:ascii="宋体" w:hAnsi="宋体" w:eastAsia="宋体" w:cs="宋体"/>
        </w:rPr>
        <w:fldChar w:fldCharType="end"/>
      </w:r>
      <w:r>
        <w:rPr>
          <w:rFonts w:hint="eastAsia" w:ascii="宋体" w:hAnsi="宋体" w:eastAsia="宋体" w:cs="宋体"/>
        </w:rPr>
        <w:t>。</w:t>
      </w:r>
    </w:p>
    <w:p>
      <w:pPr>
        <w:keepNext w:val="0"/>
        <w:keepLines w:val="0"/>
        <w:pageBreakBefore w:val="0"/>
        <w:widowControl w:val="0"/>
        <w:kinsoku/>
        <w:wordWrap/>
        <w:overflowPunct/>
        <w:topLinePunct w:val="0"/>
        <w:autoSpaceDE/>
        <w:autoSpaceDN/>
        <w:bidi w:val="0"/>
        <w:adjustRightInd/>
        <w:snapToGrid/>
        <w:spacing w:after="0" w:line="360" w:lineRule="auto"/>
        <w:ind w:firstLine="630" w:firstLineChars="300"/>
        <w:textAlignment w:val="auto"/>
        <w:rPr>
          <w:rFonts w:hint="eastAsia" w:ascii="宋体" w:hAnsi="宋体" w:eastAsia="宋体" w:cs="宋体"/>
        </w:rPr>
      </w:pPr>
      <w:r>
        <w:rPr>
          <w:rFonts w:hint="eastAsia" w:ascii="宋体" w:hAnsi="宋体" w:eastAsia="宋体" w:cs="宋体"/>
          <w:b w:val="0"/>
          <w:bCs/>
        </w:rPr>
        <w:t>5.3.5</w:t>
      </w:r>
      <w:r>
        <w:rPr>
          <w:rFonts w:hint="eastAsia" w:ascii="宋体" w:hAnsi="宋体" w:eastAsia="宋体" w:cs="宋体"/>
          <w:b w:val="0"/>
          <w:bCs/>
          <w:lang w:val="en-US" w:eastAsia="zh-CN"/>
        </w:rPr>
        <w:t>.2</w:t>
      </w:r>
      <w:r>
        <w:rPr>
          <w:rFonts w:hint="eastAsia" w:ascii="宋体" w:hAnsi="宋体" w:eastAsia="宋体" w:cs="宋体"/>
        </w:rPr>
        <w:t>适应证包括但不限于：新萌牙的深窝沟，特别是能够插入或卡住探针的窝沟。</w:t>
      </w:r>
    </w:p>
    <w:p>
      <w:pPr>
        <w:keepNext w:val="0"/>
        <w:keepLines w:val="0"/>
        <w:pageBreakBefore w:val="0"/>
        <w:widowControl w:val="0"/>
        <w:kinsoku/>
        <w:wordWrap/>
        <w:overflowPunct/>
        <w:topLinePunct w:val="0"/>
        <w:autoSpaceDE/>
        <w:autoSpaceDN/>
        <w:bidi w:val="0"/>
        <w:adjustRightInd/>
        <w:snapToGrid/>
        <w:spacing w:after="0" w:line="360" w:lineRule="auto"/>
        <w:ind w:firstLine="630" w:firstLineChars="300"/>
        <w:textAlignment w:val="auto"/>
        <w:rPr>
          <w:rFonts w:hint="eastAsia" w:ascii="宋体" w:hAnsi="宋体" w:eastAsia="宋体" w:cs="宋体"/>
        </w:rPr>
      </w:pPr>
      <w:r>
        <w:rPr>
          <w:rFonts w:hint="eastAsia" w:ascii="宋体" w:hAnsi="宋体" w:eastAsia="宋体" w:cs="宋体"/>
          <w:b w:val="0"/>
          <w:bCs/>
        </w:rPr>
        <w:t>5.3.5</w:t>
      </w:r>
      <w:r>
        <w:rPr>
          <w:rFonts w:hint="eastAsia" w:ascii="宋体" w:hAnsi="宋体" w:eastAsia="宋体" w:cs="宋体"/>
          <w:b w:val="0"/>
          <w:bCs/>
          <w:lang w:val="en-US" w:eastAsia="zh-CN"/>
        </w:rPr>
        <w:t>.3</w:t>
      </w:r>
      <w:r>
        <w:rPr>
          <w:rFonts w:hint="eastAsia" w:ascii="宋体" w:hAnsi="宋体" w:eastAsia="宋体" w:cs="宋体"/>
        </w:rPr>
        <w:t>禁忌证包括但不限于：难以配合临床操作；存在未控制的严重系统性疾病的儿童。产品说明书中规定的禁忌证。</w:t>
      </w:r>
    </w:p>
    <w:p>
      <w:pPr>
        <w:keepNext w:val="0"/>
        <w:keepLines w:val="0"/>
        <w:pageBreakBefore w:val="0"/>
        <w:widowControl w:val="0"/>
        <w:kinsoku/>
        <w:wordWrap/>
        <w:overflowPunct/>
        <w:topLinePunct w:val="0"/>
        <w:autoSpaceDE/>
        <w:autoSpaceDN/>
        <w:bidi w:val="0"/>
        <w:adjustRightInd/>
        <w:snapToGrid/>
        <w:spacing w:after="0" w:line="360" w:lineRule="auto"/>
        <w:ind w:firstLine="630" w:firstLineChars="300"/>
        <w:textAlignment w:val="auto"/>
        <w:rPr>
          <w:rFonts w:hint="eastAsia" w:ascii="宋体" w:hAnsi="宋体" w:eastAsia="宋体" w:cs="宋体"/>
        </w:rPr>
      </w:pPr>
      <w:r>
        <w:rPr>
          <w:rFonts w:hint="eastAsia" w:ascii="宋体" w:hAnsi="宋体" w:eastAsia="宋体" w:cs="宋体"/>
          <w:b w:val="0"/>
          <w:bCs/>
        </w:rPr>
        <w:t>5.3.5</w:t>
      </w:r>
      <w:r>
        <w:rPr>
          <w:rFonts w:hint="eastAsia" w:ascii="宋体" w:hAnsi="宋体" w:eastAsia="宋体" w:cs="宋体"/>
          <w:b w:val="0"/>
          <w:bCs/>
          <w:lang w:val="en-US" w:eastAsia="zh-CN"/>
        </w:rPr>
        <w:t>.4</w:t>
      </w:r>
      <w:r>
        <w:rPr>
          <w:rFonts w:hint="eastAsia" w:ascii="宋体" w:hAnsi="宋体" w:eastAsia="宋体" w:cs="宋体"/>
        </w:rPr>
        <w:t>操作要点</w:t>
      </w:r>
      <w:r>
        <w:rPr>
          <w:rFonts w:hint="eastAsia" w:ascii="宋体" w:hAnsi="宋体" w:eastAsia="宋体" w:cs="宋体"/>
          <w:lang w:val="en-US" w:eastAsia="zh-CN"/>
        </w:rPr>
        <w:t>如下</w:t>
      </w:r>
      <w:r>
        <w:rPr>
          <w:rFonts w:hint="eastAsia" w:ascii="宋体" w:hAnsi="宋体" w:eastAsia="宋体" w:cs="宋体"/>
        </w:rPr>
        <w:t>：</w:t>
      </w:r>
    </w:p>
    <w:p>
      <w:pPr>
        <w:pStyle w:val="2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630" w:leftChars="0"/>
        <w:textAlignment w:val="auto"/>
        <w:rPr>
          <w:rFonts w:hint="eastAsia" w:ascii="宋体" w:hAnsi="宋体" w:eastAsia="宋体" w:cs="宋体"/>
        </w:rPr>
      </w:pPr>
      <w:r>
        <w:rPr>
          <w:rFonts w:hint="eastAsia" w:ascii="宋体" w:hAnsi="宋体" w:eastAsia="宋体" w:cs="宋体"/>
          <w:lang w:val="en-US" w:eastAsia="zh-CN"/>
        </w:rPr>
        <w:t>a</w:t>
      </w:r>
      <w:r>
        <w:rPr>
          <w:rFonts w:hint="eastAsia" w:ascii="宋体" w:hAnsi="宋体" w:eastAsia="宋体" w:cs="宋体"/>
          <w:lang w:eastAsia="zh-CN"/>
        </w:rPr>
        <w:t>）</w:t>
      </w:r>
      <w:r>
        <w:rPr>
          <w:rFonts w:hint="eastAsia" w:ascii="宋体" w:hAnsi="宋体" w:eastAsia="宋体" w:cs="宋体"/>
        </w:rPr>
        <w:t>进行非药物性行为管理；</w:t>
      </w:r>
    </w:p>
    <w:p>
      <w:pPr>
        <w:pStyle w:val="2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630" w:leftChars="0"/>
        <w:textAlignment w:val="auto"/>
        <w:rPr>
          <w:rFonts w:hint="eastAsia" w:ascii="宋体" w:hAnsi="宋体" w:eastAsia="宋体" w:cs="宋体"/>
        </w:rPr>
      </w:pPr>
      <w:r>
        <w:rPr>
          <w:rFonts w:hint="eastAsia" w:ascii="宋体" w:hAnsi="宋体" w:eastAsia="宋体" w:cs="宋体"/>
          <w:lang w:val="en-US" w:eastAsia="zh-CN"/>
        </w:rPr>
        <w:t>b</w:t>
      </w:r>
      <w:r>
        <w:rPr>
          <w:rFonts w:hint="eastAsia" w:ascii="宋体" w:hAnsi="宋体" w:eastAsia="宋体" w:cs="宋体"/>
          <w:lang w:eastAsia="zh-CN"/>
        </w:rPr>
        <w:t>）</w:t>
      </w:r>
      <w:r>
        <w:rPr>
          <w:rFonts w:hint="eastAsia" w:ascii="宋体" w:hAnsi="宋体" w:eastAsia="宋体" w:cs="宋体"/>
        </w:rPr>
        <w:t>清洁牙面及窝沟，使用棉卷隔离术区；</w:t>
      </w:r>
    </w:p>
    <w:p>
      <w:pPr>
        <w:pStyle w:val="2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630" w:leftChars="0"/>
        <w:textAlignment w:val="auto"/>
        <w:rPr>
          <w:rFonts w:hint="eastAsia" w:ascii="宋体" w:hAnsi="宋体" w:eastAsia="宋体" w:cs="宋体"/>
        </w:rPr>
      </w:pPr>
      <w:r>
        <w:rPr>
          <w:rFonts w:hint="eastAsia" w:ascii="宋体" w:hAnsi="宋体" w:eastAsia="宋体" w:cs="宋体"/>
          <w:lang w:val="en-US" w:eastAsia="zh-CN"/>
        </w:rPr>
        <w:t>c</w:t>
      </w:r>
      <w:r>
        <w:rPr>
          <w:rFonts w:hint="eastAsia" w:ascii="宋体" w:hAnsi="宋体" w:eastAsia="宋体" w:cs="宋体"/>
          <w:lang w:eastAsia="zh-CN"/>
        </w:rPr>
        <w:t>）</w:t>
      </w:r>
      <w:r>
        <w:rPr>
          <w:rFonts w:hint="eastAsia" w:ascii="宋体" w:hAnsi="宋体" w:eastAsia="宋体" w:cs="宋体"/>
        </w:rPr>
        <w:t>酸蚀、冲洗、干燥牙面，观察牙面吹干后呈现白垩色改变，如酸蚀不充分，应重复该步骤；</w:t>
      </w:r>
    </w:p>
    <w:p>
      <w:pPr>
        <w:pStyle w:val="2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630" w:leftChars="0"/>
        <w:textAlignment w:val="auto"/>
        <w:rPr>
          <w:rFonts w:hint="eastAsia" w:ascii="宋体" w:hAnsi="宋体" w:eastAsia="宋体" w:cs="宋体"/>
        </w:rPr>
      </w:pPr>
      <w:r>
        <w:rPr>
          <w:rFonts w:hint="eastAsia" w:ascii="宋体" w:hAnsi="宋体" w:eastAsia="宋体" w:cs="宋体"/>
          <w:lang w:val="en-US" w:eastAsia="zh-CN"/>
        </w:rPr>
        <w:t>c</w:t>
      </w:r>
      <w:r>
        <w:rPr>
          <w:rFonts w:hint="eastAsia" w:ascii="宋体" w:hAnsi="宋体" w:eastAsia="宋体" w:cs="宋体"/>
          <w:lang w:eastAsia="zh-CN"/>
        </w:rPr>
        <w:t>）</w:t>
      </w:r>
      <w:r>
        <w:rPr>
          <w:rFonts w:hint="eastAsia" w:ascii="宋体" w:hAnsi="宋体" w:eastAsia="宋体" w:cs="宋体"/>
        </w:rPr>
        <w:t xml:space="preserve">隔湿，使用树脂基类窝沟封闭剂覆盖所有窝沟，无法取得良好的隔湿条件时，推荐使用玻璃离子水门汀类疏水性窝沟封闭剂； </w:t>
      </w:r>
    </w:p>
    <w:p>
      <w:pPr>
        <w:pStyle w:val="28"/>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630" w:leftChars="0"/>
        <w:textAlignment w:val="auto"/>
        <w:rPr>
          <w:rFonts w:hint="eastAsia" w:ascii="宋体" w:hAnsi="宋体" w:eastAsia="宋体" w:cs="宋体"/>
        </w:rPr>
      </w:pPr>
      <w:r>
        <w:rPr>
          <w:rFonts w:hint="eastAsia" w:ascii="宋体" w:hAnsi="宋体" w:eastAsia="宋体" w:cs="宋体"/>
          <w:lang w:val="en-US" w:eastAsia="zh-CN"/>
        </w:rPr>
        <w:t>d</w:t>
      </w:r>
      <w:r>
        <w:rPr>
          <w:rFonts w:hint="eastAsia" w:ascii="宋体" w:hAnsi="宋体" w:eastAsia="宋体" w:cs="宋体"/>
          <w:lang w:eastAsia="zh-CN"/>
        </w:rPr>
        <w:t>）</w:t>
      </w:r>
      <w:r>
        <w:rPr>
          <w:rFonts w:hint="eastAsia" w:ascii="宋体" w:hAnsi="宋体" w:eastAsia="宋体" w:cs="宋体"/>
        </w:rPr>
        <w:t>咬合检查、</w:t>
      </w:r>
      <w:r>
        <w:rPr>
          <w:rFonts w:hint="eastAsia" w:ascii="宋体" w:hAnsi="宋体" w:eastAsia="宋体" w:cs="宋体"/>
          <w:highlight w:val="none"/>
        </w:rPr>
        <w:t>调</w:t>
      </w:r>
      <w:r>
        <w:rPr>
          <w:rFonts w:hint="eastAsia" w:ascii="微软雅黑" w:hAnsi="微软雅黑" w:eastAsia="微软雅黑" w:cs="微软雅黑"/>
          <w:highlight w:val="none"/>
        </w:rPr>
        <w:t>𬌗</w:t>
      </w:r>
      <w:r>
        <w:rPr>
          <w:rFonts w:hint="eastAsia" w:ascii="宋体" w:hAnsi="宋体" w:eastAsia="宋体" w:cs="宋体"/>
        </w:rPr>
        <w:t>、抛光。</w:t>
      </w:r>
    </w:p>
    <w:p>
      <w:pPr>
        <w:keepNext w:val="0"/>
        <w:keepLines w:val="0"/>
        <w:pageBreakBefore w:val="0"/>
        <w:widowControl w:val="0"/>
        <w:kinsoku/>
        <w:wordWrap/>
        <w:overflowPunct/>
        <w:topLinePunct w:val="0"/>
        <w:autoSpaceDE/>
        <w:autoSpaceDN/>
        <w:bidi w:val="0"/>
        <w:adjustRightInd/>
        <w:snapToGrid/>
        <w:spacing w:after="0" w:line="360" w:lineRule="auto"/>
        <w:ind w:firstLine="630" w:firstLineChars="300"/>
        <w:textAlignment w:val="auto"/>
        <w:rPr>
          <w:rFonts w:hint="eastAsia" w:ascii="宋体" w:hAnsi="宋体" w:eastAsia="宋体" w:cs="宋体"/>
        </w:rPr>
      </w:pPr>
      <w:r>
        <w:rPr>
          <w:rFonts w:hint="eastAsia" w:ascii="宋体" w:hAnsi="宋体" w:eastAsia="宋体" w:cs="宋体"/>
          <w:lang w:val="en-US" w:eastAsia="zh-CN"/>
        </w:rPr>
        <w:t>注：</w:t>
      </w:r>
      <w:r>
        <w:rPr>
          <w:rFonts w:hint="eastAsia" w:ascii="宋体" w:hAnsi="宋体" w:eastAsia="宋体" w:cs="宋体"/>
        </w:rPr>
        <w:t>窝沟封闭剂覆盖所有深窝沟、点隙，牙体光滑面及牙龈、龈沟内无多余封闭剂。术后应定期复查，如出现窝沟封闭剂脱落，及时重新行窝沟封闭。</w:t>
      </w:r>
    </w:p>
    <w:p>
      <w:pPr>
        <w:pStyle w:val="12"/>
        <w:rPr>
          <w:rFonts w:hint="eastAsia" w:ascii="黑体" w:hAnsi="黑体" w:eastAsia="黑体" w:cs="黑体"/>
          <w:b w:val="0"/>
          <w:bCs/>
        </w:rPr>
      </w:pPr>
      <w:bookmarkStart w:id="55" w:name="_Toc493770490"/>
      <w:r>
        <w:rPr>
          <w:rFonts w:hint="eastAsia" w:ascii="黑体" w:hAnsi="黑体" w:eastAsia="黑体" w:cs="黑体"/>
          <w:b w:val="0"/>
          <w:bCs/>
        </w:rPr>
        <w:t>5.3.6 特殊儿童的临床预防</w:t>
      </w:r>
    </w:p>
    <w:p>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Times New Roman" w:hAnsi="Times New Roman" w:cs="Times New Roman"/>
          <w:b/>
          <w:szCs w:val="21"/>
        </w:rPr>
      </w:pPr>
      <w:r>
        <w:rPr>
          <w:rFonts w:hint="eastAsia" w:ascii="Times New Roman" w:hAnsi="Times New Roman" w:cs="Times New Roman"/>
          <w:b/>
          <w:szCs w:val="21"/>
        </w:rPr>
        <w:t xml:space="preserve">  </w:t>
      </w:r>
      <w:r>
        <w:rPr>
          <w:rFonts w:hint="eastAsia" w:ascii="Times New Roman" w:hAnsi="Times New Roman" w:cs="Times New Roman"/>
        </w:rPr>
        <w:t xml:space="preserve">   特殊儿童属于特殊卫生保健需求个体。在临床预防中，医务人员应当充分利用非药物行为管理措施，尽可能帮助儿童及家长克服恐惧心理，开展口腔检查和预防措施，运用家庭口腔护理流程与儿童及家长建立长期医患关系和良好沟通。若需进行药物性行为管理下口腔治疗时，可在充分知情同意和临床评估前提下，开展相关临床预防技术。</w:t>
      </w:r>
    </w:p>
    <w:p>
      <w:pPr>
        <w:pStyle w:val="12"/>
        <w:rPr>
          <w:rFonts w:hint="eastAsia" w:ascii="黑体" w:hAnsi="黑体" w:eastAsia="黑体" w:cs="黑体"/>
          <w:b w:val="0"/>
          <w:bCs/>
        </w:rPr>
      </w:pPr>
      <w:bookmarkStart w:id="56" w:name="_Toc217652908"/>
      <w:bookmarkStart w:id="57" w:name="_Hlk216180627"/>
      <w:r>
        <w:rPr>
          <w:rFonts w:hint="eastAsia" w:ascii="黑体" w:hAnsi="黑体" w:eastAsia="黑体" w:cs="黑体"/>
          <w:b w:val="0"/>
          <w:bCs/>
        </w:rPr>
        <w:t>6 质量保证</w:t>
      </w:r>
      <w:bookmarkEnd w:id="56"/>
      <w:r>
        <w:rPr>
          <w:rFonts w:hint="eastAsia" w:ascii="黑体" w:hAnsi="黑体" w:eastAsia="黑体" w:cs="黑体"/>
          <w:b w:val="0"/>
          <w:bCs/>
        </w:rPr>
        <w:t xml:space="preserve"> </w:t>
      </w:r>
    </w:p>
    <w:p>
      <w:pPr>
        <w:pStyle w:val="12"/>
        <w:rPr>
          <w:rFonts w:hint="eastAsia" w:ascii="黑体" w:hAnsi="黑体" w:eastAsia="黑体" w:cs="黑体"/>
          <w:b w:val="0"/>
          <w:bCs/>
        </w:rPr>
      </w:pPr>
      <w:r>
        <w:rPr>
          <w:rFonts w:hint="eastAsia" w:ascii="黑体" w:hAnsi="黑体" w:eastAsia="黑体" w:cs="黑体"/>
          <w:b w:val="0"/>
          <w:bCs/>
        </w:rPr>
        <w:t xml:space="preserve">6.1 总则 </w:t>
      </w:r>
    </w:p>
    <w:p>
      <w:pPr>
        <w:widowControl/>
        <w:ind w:firstLine="420" w:firstLineChars="200"/>
        <w:jc w:val="left"/>
        <w:rPr>
          <w:rFonts w:ascii="Times New Roman" w:hAnsi="Times New Roman" w:cs="Times New Roman"/>
          <w:bCs/>
          <w:szCs w:val="21"/>
        </w:rPr>
      </w:pPr>
      <w:r>
        <w:rPr>
          <w:rFonts w:hint="eastAsia" w:ascii="Times New Roman" w:hAnsi="Times New Roman" w:cs="Times New Roman"/>
          <w:bCs/>
          <w:szCs w:val="21"/>
        </w:rPr>
        <w:t>应建立并维护临床预防质量管理体系，保证包括但不限于窝沟封闭等预防措施的质量稳定；最终实现有效降低患龋风险、预防ECC发生。</w:t>
      </w:r>
      <w:r>
        <w:rPr>
          <w:rFonts w:ascii="Times New Roman" w:hAnsi="Times New Roman" w:cs="Times New Roman"/>
          <w:bCs/>
          <w:szCs w:val="21"/>
        </w:rPr>
        <w:t xml:space="preserve"> </w:t>
      </w:r>
    </w:p>
    <w:p>
      <w:pPr>
        <w:pStyle w:val="12"/>
        <w:rPr>
          <w:rFonts w:hint="eastAsia" w:ascii="黑体" w:hAnsi="黑体" w:eastAsia="黑体" w:cs="黑体"/>
          <w:b w:val="0"/>
          <w:bCs/>
        </w:rPr>
      </w:pPr>
      <w:r>
        <w:rPr>
          <w:rFonts w:hint="eastAsia" w:ascii="黑体" w:hAnsi="黑体" w:eastAsia="黑体" w:cs="黑体"/>
          <w:b w:val="0"/>
          <w:bCs/>
        </w:rPr>
        <w:t xml:space="preserve">6.2 质量管理体系 </w:t>
      </w:r>
    </w:p>
    <w:p>
      <w:pPr>
        <w:pStyle w:val="12"/>
        <w:rPr>
          <w:rFonts w:hint="eastAsia" w:ascii="黑体" w:hAnsi="黑体" w:eastAsia="黑体" w:cs="黑体"/>
          <w:b w:val="0"/>
          <w:bCs/>
        </w:rPr>
      </w:pPr>
      <w:r>
        <w:rPr>
          <w:rFonts w:hint="eastAsia" w:ascii="黑体" w:hAnsi="黑体" w:eastAsia="黑体" w:cs="黑体"/>
          <w:b w:val="0"/>
          <w:bCs/>
        </w:rPr>
        <w:t xml:space="preserve">6.2.1 人员资质与培训 </w:t>
      </w:r>
    </w:p>
    <w:p>
      <w:pPr>
        <w:widowControl/>
        <w:ind w:firstLine="420" w:firstLineChars="200"/>
        <w:jc w:val="left"/>
        <w:rPr>
          <w:rFonts w:ascii="Times New Roman" w:hAnsi="Times New Roman" w:cs="Times New Roman"/>
          <w:bCs/>
          <w:szCs w:val="21"/>
        </w:rPr>
      </w:pPr>
      <w:r>
        <w:rPr>
          <w:rFonts w:hint="eastAsia" w:ascii="Times New Roman" w:hAnsi="Times New Roman" w:cs="Times New Roman"/>
          <w:bCs/>
          <w:szCs w:val="21"/>
        </w:rPr>
        <w:t>从事本技术的口腔医务工作者及妇幼保健人员应接受过相关的专业技能培训，并保留培训与授权记录。</w:t>
      </w:r>
      <w:r>
        <w:rPr>
          <w:rFonts w:ascii="Times New Roman" w:hAnsi="Times New Roman" w:cs="Times New Roman"/>
          <w:bCs/>
          <w:szCs w:val="21"/>
        </w:rPr>
        <w:t xml:space="preserve"> </w:t>
      </w:r>
    </w:p>
    <w:p>
      <w:pPr>
        <w:pStyle w:val="12"/>
        <w:rPr>
          <w:rFonts w:hint="eastAsia" w:ascii="黑体" w:hAnsi="黑体" w:eastAsia="黑体" w:cs="黑体"/>
          <w:b w:val="0"/>
          <w:bCs/>
        </w:rPr>
      </w:pPr>
      <w:r>
        <w:rPr>
          <w:rFonts w:hint="eastAsia" w:ascii="黑体" w:hAnsi="黑体" w:eastAsia="黑体" w:cs="黑体"/>
          <w:b w:val="0"/>
          <w:bCs/>
        </w:rPr>
        <w:t xml:space="preserve">6.2.2 文件与记录 </w:t>
      </w:r>
    </w:p>
    <w:p>
      <w:pPr>
        <w:widowControl/>
        <w:ind w:firstLine="420" w:firstLineChars="200"/>
        <w:jc w:val="left"/>
        <w:rPr>
          <w:rFonts w:ascii="Times New Roman" w:hAnsi="Times New Roman" w:cs="Times New Roman"/>
          <w:bCs/>
          <w:szCs w:val="21"/>
        </w:rPr>
      </w:pPr>
      <w:r>
        <w:rPr>
          <w:rFonts w:hint="eastAsia" w:ascii="Times New Roman" w:hAnsi="Times New Roman" w:cs="Times New Roman"/>
          <w:bCs/>
          <w:szCs w:val="21"/>
        </w:rPr>
        <w:t>应制定并管理全套标准操作程序文件，包括但不限于：患者病历、患者知情同意书等。所有记录应妥善保存，保存期限应符合国家医疗管理规定。</w:t>
      </w:r>
      <w:r>
        <w:rPr>
          <w:rFonts w:ascii="Times New Roman" w:hAnsi="Times New Roman" w:cs="Times New Roman"/>
          <w:bCs/>
          <w:szCs w:val="21"/>
        </w:rPr>
        <w:t xml:space="preserve"> </w:t>
      </w:r>
    </w:p>
    <w:p>
      <w:pPr>
        <w:pStyle w:val="12"/>
        <w:rPr>
          <w:rFonts w:hint="eastAsia" w:ascii="黑体" w:hAnsi="黑体" w:eastAsia="黑体" w:cs="黑体"/>
          <w:b w:val="0"/>
          <w:bCs/>
        </w:rPr>
      </w:pPr>
      <w:r>
        <w:rPr>
          <w:rFonts w:hint="eastAsia" w:ascii="黑体" w:hAnsi="黑体" w:eastAsia="黑体" w:cs="黑体"/>
          <w:b w:val="0"/>
          <w:bCs/>
        </w:rPr>
        <w:t xml:space="preserve">6.2.3 工具管理 </w:t>
      </w:r>
    </w:p>
    <w:p>
      <w:pPr>
        <w:widowControl/>
        <w:ind w:firstLine="420" w:firstLineChars="200"/>
        <w:jc w:val="left"/>
        <w:rPr>
          <w:rFonts w:ascii="Times New Roman" w:hAnsi="Times New Roman" w:cs="Times New Roman"/>
          <w:bCs/>
          <w:szCs w:val="21"/>
        </w:rPr>
      </w:pPr>
      <w:r>
        <w:rPr>
          <w:rFonts w:hint="eastAsia" w:ascii="Times New Roman" w:hAnsi="Times New Roman" w:cs="Times New Roman"/>
          <w:bCs/>
          <w:szCs w:val="21"/>
        </w:rPr>
        <w:t>相关使用的设备、器械、材料应定期进行维护和确认，并保留相关记录。</w:t>
      </w:r>
      <w:r>
        <w:rPr>
          <w:rFonts w:ascii="Times New Roman" w:hAnsi="Times New Roman" w:cs="Times New Roman"/>
          <w:bCs/>
          <w:szCs w:val="21"/>
        </w:rPr>
        <w:t xml:space="preserve"> </w:t>
      </w:r>
    </w:p>
    <w:p>
      <w:pPr>
        <w:pStyle w:val="12"/>
        <w:rPr>
          <w:rFonts w:hint="eastAsia" w:ascii="黑体" w:hAnsi="黑体" w:eastAsia="黑体" w:cs="黑体"/>
          <w:b w:val="0"/>
          <w:bCs/>
        </w:rPr>
      </w:pPr>
      <w:r>
        <w:rPr>
          <w:rFonts w:hint="eastAsia" w:ascii="黑体" w:hAnsi="黑体" w:eastAsia="黑体" w:cs="黑体"/>
          <w:b w:val="0"/>
          <w:bCs/>
        </w:rPr>
        <w:t xml:space="preserve">6.2.4 过程质量管理 </w:t>
      </w:r>
    </w:p>
    <w:p>
      <w:pPr>
        <w:widowControl/>
        <w:ind w:firstLine="420" w:firstLineChars="200"/>
        <w:jc w:val="left"/>
        <w:rPr>
          <w:rFonts w:ascii="Times New Roman" w:hAnsi="Times New Roman" w:cs="Times New Roman"/>
          <w:bCs/>
          <w:szCs w:val="21"/>
        </w:rPr>
      </w:pPr>
      <w:r>
        <w:rPr>
          <w:rFonts w:hint="eastAsia" w:ascii="Times New Roman" w:hAnsi="Times New Roman" w:cs="Times New Roman"/>
          <w:bCs/>
          <w:szCs w:val="21"/>
        </w:rPr>
        <w:t>应在以下关键环节设置质量控制点，并进行记录。</w:t>
      </w:r>
      <w:r>
        <w:rPr>
          <w:rFonts w:ascii="Times New Roman" w:hAnsi="Times New Roman" w:cs="Times New Roman"/>
          <w:bCs/>
          <w:szCs w:val="21"/>
        </w:rPr>
        <w:t xml:space="preserve"> </w:t>
      </w:r>
    </w:p>
    <w:p>
      <w:pPr>
        <w:pStyle w:val="12"/>
        <w:rPr>
          <w:rFonts w:hint="eastAsia" w:ascii="黑体" w:hAnsi="黑体" w:eastAsia="黑体" w:cs="黑体"/>
          <w:b w:val="0"/>
          <w:bCs/>
        </w:rPr>
      </w:pPr>
      <w:r>
        <w:rPr>
          <w:rFonts w:hint="eastAsia" w:ascii="黑体" w:hAnsi="黑体" w:eastAsia="黑体" w:cs="黑体"/>
          <w:b w:val="0"/>
          <w:bCs/>
        </w:rPr>
        <w:t xml:space="preserve">6.2.4.1 适应证与禁忌证评估 </w:t>
      </w:r>
    </w:p>
    <w:p>
      <w:pPr>
        <w:widowControl/>
        <w:ind w:firstLine="420" w:firstLineChars="200"/>
        <w:jc w:val="left"/>
        <w:rPr>
          <w:rFonts w:ascii="Times New Roman" w:hAnsi="Times New Roman" w:cs="Times New Roman"/>
          <w:bCs/>
          <w:szCs w:val="21"/>
        </w:rPr>
      </w:pPr>
      <w:r>
        <w:rPr>
          <w:rFonts w:hint="eastAsia" w:ascii="Times New Roman" w:hAnsi="Times New Roman" w:cs="Times New Roman"/>
          <w:bCs/>
          <w:szCs w:val="21"/>
        </w:rPr>
        <w:t>基于病史采集和ECC风险评估，选择适应证，排除禁忌证。监护人和医师共同签署知情同意书。</w:t>
      </w:r>
      <w:r>
        <w:rPr>
          <w:rFonts w:ascii="Times New Roman" w:hAnsi="Times New Roman" w:cs="Times New Roman"/>
          <w:bCs/>
          <w:szCs w:val="21"/>
        </w:rPr>
        <w:t xml:space="preserve"> </w:t>
      </w:r>
    </w:p>
    <w:p>
      <w:pPr>
        <w:pStyle w:val="12"/>
        <w:rPr>
          <w:rFonts w:hint="eastAsia" w:ascii="黑体" w:hAnsi="黑体" w:eastAsia="黑体" w:cs="黑体"/>
          <w:b w:val="0"/>
          <w:bCs/>
        </w:rPr>
      </w:pPr>
      <w:r>
        <w:rPr>
          <w:rFonts w:hint="eastAsia" w:ascii="黑体" w:hAnsi="黑体" w:eastAsia="黑体" w:cs="黑体"/>
          <w:b w:val="0"/>
          <w:bCs/>
        </w:rPr>
        <w:t>6.2.4.2 临床技术实施</w:t>
      </w:r>
    </w:p>
    <w:p>
      <w:pPr>
        <w:widowControl/>
        <w:ind w:firstLine="420" w:firstLineChars="200"/>
        <w:jc w:val="left"/>
        <w:rPr>
          <w:rFonts w:ascii="Times New Roman" w:hAnsi="Times New Roman" w:cs="Times New Roman"/>
          <w:bCs/>
          <w:szCs w:val="21"/>
        </w:rPr>
      </w:pPr>
      <w:r>
        <w:rPr>
          <w:rFonts w:hint="eastAsia" w:ascii="Times New Roman" w:hAnsi="Times New Roman" w:cs="Times New Roman"/>
          <w:bCs/>
          <w:szCs w:val="21"/>
        </w:rPr>
        <w:t>术前应执行安全核对，术中应严格按照标准操作规程，并详细记录。</w:t>
      </w:r>
      <w:r>
        <w:rPr>
          <w:rFonts w:ascii="Times New Roman" w:hAnsi="Times New Roman" w:cs="Times New Roman"/>
          <w:bCs/>
          <w:szCs w:val="21"/>
        </w:rPr>
        <w:t xml:space="preserve"> </w:t>
      </w:r>
    </w:p>
    <w:p>
      <w:pPr>
        <w:pStyle w:val="12"/>
        <w:rPr>
          <w:rFonts w:hint="eastAsia" w:ascii="黑体" w:hAnsi="黑体" w:eastAsia="黑体" w:cs="黑体"/>
          <w:b w:val="0"/>
          <w:bCs/>
        </w:rPr>
      </w:pPr>
      <w:r>
        <w:rPr>
          <w:rFonts w:hint="eastAsia" w:ascii="黑体" w:hAnsi="黑体" w:eastAsia="黑体" w:cs="黑体"/>
          <w:b w:val="0"/>
          <w:bCs/>
        </w:rPr>
        <w:t>6.2.4.3 术后随访与管理</w:t>
      </w:r>
    </w:p>
    <w:p>
      <w:pPr>
        <w:widowControl/>
        <w:ind w:firstLine="420" w:firstLineChars="200"/>
        <w:jc w:val="left"/>
        <w:rPr>
          <w:rFonts w:ascii="Times New Roman" w:hAnsi="Times New Roman" w:cs="Times New Roman"/>
          <w:bCs/>
          <w:szCs w:val="21"/>
        </w:rPr>
      </w:pPr>
      <w:r>
        <w:rPr>
          <w:rFonts w:hint="eastAsia" w:ascii="Times New Roman" w:hAnsi="Times New Roman" w:cs="Times New Roman"/>
          <w:bCs/>
          <w:szCs w:val="21"/>
        </w:rPr>
        <w:t>按规程定期进行口腔检查和ECC风险评估，及时更进预防措施。</w:t>
      </w:r>
    </w:p>
    <w:bookmarkEnd w:id="57"/>
    <w:p>
      <w:pPr>
        <w:rPr>
          <w:rFonts w:ascii="Times New Roman" w:hAnsi="Times New Roman"/>
          <w:b w:val="0"/>
          <w:sz w:val="21"/>
          <w:szCs w:val="21"/>
        </w:rPr>
      </w:pPr>
      <w:bookmarkStart w:id="58" w:name="_Toc217652909"/>
      <w:r>
        <w:rPr>
          <w:rFonts w:ascii="Times New Roman" w:hAnsi="Times New Roman"/>
          <w:b w:val="0"/>
          <w:sz w:val="21"/>
          <w:szCs w:val="21"/>
        </w:rPr>
        <w:br w:type="page"/>
      </w:r>
    </w:p>
    <w:p>
      <w:pPr>
        <w:pStyle w:val="3"/>
        <w:spacing w:before="312" w:beforeLines="100" w:after="312" w:afterLines="100" w:line="400" w:lineRule="exact"/>
        <w:jc w:val="center"/>
        <w:rPr>
          <w:rFonts w:hint="eastAsia" w:ascii="黑体" w:hAnsi="黑体" w:eastAsia="黑体" w:cs="黑体"/>
          <w:b w:val="0"/>
          <w:sz w:val="21"/>
          <w:szCs w:val="21"/>
        </w:rPr>
      </w:pPr>
      <w:r>
        <w:rPr>
          <w:rFonts w:hint="eastAsia" w:ascii="黑体" w:hAnsi="黑体" w:eastAsia="黑体" w:cs="黑体"/>
          <w:b w:val="0"/>
          <w:sz w:val="21"/>
          <w:szCs w:val="21"/>
        </w:rPr>
        <w:t>参 考 文 献</w:t>
      </w:r>
      <w:bookmarkEnd w:id="55"/>
      <w:bookmarkEnd w:id="58"/>
    </w:p>
    <w:p>
      <w:pPr>
        <w:pStyle w:val="63"/>
        <w:spacing w:after="0"/>
        <w:rPr>
          <w:rFonts w:hint="eastAsia" w:ascii="宋体" w:hAnsi="宋体" w:eastAsia="宋体" w:cs="宋体"/>
          <w:sz w:val="21"/>
          <w:szCs w:val="21"/>
        </w:rPr>
      </w:pPr>
      <w:r>
        <w:rPr>
          <w:rFonts w:hint="eastAsia" w:ascii="宋体" w:hAnsi="宋体" w:eastAsia="宋体" w:cs="宋体"/>
          <w:b/>
          <w:sz w:val="21"/>
          <w:szCs w:val="21"/>
        </w:rPr>
        <w:fldChar w:fldCharType="begin"/>
      </w:r>
      <w:r>
        <w:rPr>
          <w:rFonts w:hint="eastAsia" w:ascii="宋体" w:hAnsi="宋体" w:eastAsia="宋体" w:cs="宋体"/>
          <w:b/>
          <w:sz w:val="21"/>
          <w:szCs w:val="21"/>
        </w:rPr>
        <w:instrText xml:space="preserve"> ADDIN EN.REFLIST </w:instrText>
      </w:r>
      <w:r>
        <w:rPr>
          <w:rFonts w:hint="eastAsia" w:ascii="宋体" w:hAnsi="宋体" w:eastAsia="宋体" w:cs="宋体"/>
          <w:b/>
          <w:sz w:val="21"/>
          <w:szCs w:val="21"/>
        </w:rPr>
        <w:fldChar w:fldCharType="separate"/>
      </w:r>
      <w:r>
        <w:rPr>
          <w:rFonts w:hint="eastAsia" w:ascii="宋体" w:hAnsi="宋体" w:eastAsia="宋体" w:cs="宋体"/>
          <w:sz w:val="21"/>
          <w:szCs w:val="21"/>
        </w:rPr>
        <w:t>[1] Bernabe E, Marcenes W, Abdulkader RS, Abreu LG, Afzal S, Alhalaiqa FN, et al. Trends in the global, regional, and national burden of oral conditions from 1990 to 2021: a systematic analysis for the Global Burden of Disease Study 2021. The Lancet. 2025;405:897-910.</w:t>
      </w:r>
    </w:p>
    <w:p>
      <w:pPr>
        <w:pStyle w:val="63"/>
        <w:spacing w:after="0"/>
        <w:rPr>
          <w:rFonts w:hint="eastAsia" w:ascii="宋体" w:hAnsi="宋体" w:eastAsia="宋体" w:cs="宋体"/>
          <w:sz w:val="21"/>
          <w:szCs w:val="21"/>
        </w:rPr>
      </w:pPr>
      <w:r>
        <w:rPr>
          <w:rFonts w:hint="eastAsia" w:ascii="宋体" w:hAnsi="宋体" w:eastAsia="宋体" w:cs="宋体"/>
          <w:sz w:val="21"/>
          <w:szCs w:val="21"/>
        </w:rPr>
        <w:t>[2] 王兴. 第四次全国口腔流行病学调查报告. 北京: 人民卫生出版社; 2018.</w:t>
      </w:r>
    </w:p>
    <w:p>
      <w:pPr>
        <w:pStyle w:val="63"/>
        <w:spacing w:after="0"/>
        <w:rPr>
          <w:rFonts w:hint="eastAsia" w:ascii="宋体" w:hAnsi="宋体" w:eastAsia="宋体" w:cs="宋体"/>
          <w:sz w:val="21"/>
          <w:szCs w:val="21"/>
        </w:rPr>
      </w:pPr>
      <w:r>
        <w:rPr>
          <w:rFonts w:hint="eastAsia" w:ascii="宋体" w:hAnsi="宋体" w:eastAsia="宋体" w:cs="宋体"/>
          <w:sz w:val="21"/>
          <w:szCs w:val="21"/>
        </w:rPr>
        <w:t>[3] Zou J, Du Q, Ge L, Wang J, Wang X, Li Y, et al. Expert consensus on early childhood caries management. International Journal of Oral Science. 2022;14.</w:t>
      </w:r>
    </w:p>
    <w:p>
      <w:pPr>
        <w:pStyle w:val="63"/>
        <w:spacing w:after="0"/>
        <w:rPr>
          <w:rFonts w:hint="eastAsia" w:ascii="宋体" w:hAnsi="宋体" w:eastAsia="宋体" w:cs="宋体"/>
          <w:sz w:val="21"/>
          <w:szCs w:val="21"/>
        </w:rPr>
      </w:pPr>
      <w:r>
        <w:rPr>
          <w:rFonts w:hint="eastAsia" w:ascii="宋体" w:hAnsi="宋体" w:eastAsia="宋体" w:cs="宋体"/>
          <w:sz w:val="21"/>
          <w:szCs w:val="21"/>
        </w:rPr>
        <w:t>[4] Dentistry. AAoP. Policy on early childhood caries (ECC): Consequences and preventive strategies. The Reference Manual of Pediatric Dentistry. Chicago, Ill.: American Academy of Pediatric Dentistry. 2022;90-3.</w:t>
      </w:r>
    </w:p>
    <w:p>
      <w:pPr>
        <w:pStyle w:val="63"/>
        <w:spacing w:after="0"/>
        <w:rPr>
          <w:rFonts w:hint="eastAsia" w:ascii="宋体" w:hAnsi="宋体" w:eastAsia="宋体" w:cs="宋体"/>
          <w:sz w:val="21"/>
          <w:szCs w:val="21"/>
        </w:rPr>
      </w:pPr>
      <w:r>
        <w:rPr>
          <w:rFonts w:hint="eastAsia" w:ascii="宋体" w:hAnsi="宋体" w:eastAsia="宋体" w:cs="宋体"/>
          <w:sz w:val="21"/>
          <w:szCs w:val="21"/>
        </w:rPr>
        <w:t>[5] Xiao J, Alkhers N, Kopycka-Kedzierawski Dorota T, Billings Ronald J, Wu Tong T, Castillo Daniel A, et al. Prenatal Oral Health Care and Early Childhood Caries Prevention: A Systematic Review and Meta-Analysis. Caries Res. 2019;53:411-21.</w:t>
      </w:r>
    </w:p>
    <w:p>
      <w:pPr>
        <w:pStyle w:val="63"/>
        <w:spacing w:after="0"/>
        <w:rPr>
          <w:rFonts w:hint="eastAsia" w:ascii="宋体" w:hAnsi="宋体" w:eastAsia="宋体" w:cs="宋体"/>
          <w:sz w:val="21"/>
          <w:szCs w:val="21"/>
        </w:rPr>
      </w:pPr>
      <w:r>
        <w:rPr>
          <w:rFonts w:hint="eastAsia" w:ascii="宋体" w:hAnsi="宋体" w:eastAsia="宋体" w:cs="宋体"/>
          <w:sz w:val="21"/>
          <w:szCs w:val="21"/>
        </w:rPr>
        <w:t>[6] Phantumvanit P, Makino Y, Ogawa H, Rugg-Gunn A, Moynihan P, Petersen PE, et al. WHO Global Consultation on Public Health Intervention against Early Childhood Caries. Community Dent Oral Epidemiol. 2018;46:280-7.</w:t>
      </w:r>
    </w:p>
    <w:p>
      <w:pPr>
        <w:pStyle w:val="63"/>
        <w:spacing w:after="0"/>
        <w:rPr>
          <w:rFonts w:hint="eastAsia" w:ascii="宋体" w:hAnsi="宋体" w:eastAsia="宋体" w:cs="宋体"/>
          <w:sz w:val="21"/>
          <w:szCs w:val="21"/>
        </w:rPr>
      </w:pPr>
      <w:r>
        <w:rPr>
          <w:rFonts w:hint="eastAsia" w:ascii="宋体" w:hAnsi="宋体" w:eastAsia="宋体" w:cs="宋体"/>
          <w:sz w:val="21"/>
          <w:szCs w:val="21"/>
        </w:rPr>
        <w:t>[7] Wright J T, Hanson N, Ristic H, et al. Fluoride toothpaste efficacy and safety in children younger than 6 years: a systematic review. The Journal of the American Dental Association, 2014, 145(2): 182-189.</w:t>
      </w:r>
    </w:p>
    <w:p>
      <w:pPr>
        <w:pStyle w:val="63"/>
        <w:spacing w:after="0"/>
        <w:rPr>
          <w:rFonts w:hint="eastAsia" w:ascii="宋体" w:hAnsi="宋体" w:eastAsia="宋体" w:cs="宋体"/>
          <w:sz w:val="21"/>
          <w:szCs w:val="21"/>
        </w:rPr>
      </w:pPr>
      <w:r>
        <w:rPr>
          <w:rFonts w:hint="eastAsia" w:ascii="宋体" w:hAnsi="宋体" w:eastAsia="宋体" w:cs="宋体"/>
          <w:sz w:val="21"/>
          <w:szCs w:val="21"/>
        </w:rPr>
        <w:t>[8] Heyman M B, Abrams S A, Heitlinger L A, et al. Fruit juice in infants, children, and adolescents: current recommendations. Pediatrics, 2017, 139(6).</w:t>
      </w:r>
    </w:p>
    <w:p>
      <w:pPr>
        <w:pStyle w:val="63"/>
        <w:spacing w:after="0"/>
        <w:rPr>
          <w:rFonts w:hint="eastAsia" w:ascii="宋体" w:hAnsi="宋体" w:eastAsia="宋体" w:cs="宋体"/>
          <w:sz w:val="21"/>
          <w:szCs w:val="21"/>
        </w:rPr>
      </w:pPr>
      <w:r>
        <w:rPr>
          <w:rFonts w:hint="eastAsia" w:ascii="宋体" w:hAnsi="宋体" w:eastAsia="宋体" w:cs="宋体"/>
          <w:sz w:val="21"/>
          <w:szCs w:val="21"/>
        </w:rPr>
        <w:t>[9] World Health Organization. Guideline: Sugars intake for adults and children. Geneva, Switzerland: World Health Organization, 2015.</w:t>
      </w:r>
    </w:p>
    <w:p>
      <w:pPr>
        <w:pStyle w:val="63"/>
        <w:spacing w:after="0"/>
        <w:rPr>
          <w:rFonts w:hint="eastAsia" w:ascii="宋体" w:hAnsi="宋体" w:eastAsia="宋体" w:cs="宋体"/>
          <w:sz w:val="21"/>
          <w:szCs w:val="21"/>
        </w:rPr>
      </w:pPr>
      <w:r>
        <w:rPr>
          <w:rFonts w:hint="eastAsia" w:ascii="宋体" w:hAnsi="宋体" w:eastAsia="宋体" w:cs="宋体"/>
          <w:sz w:val="21"/>
          <w:szCs w:val="21"/>
        </w:rPr>
        <w:t>[10] Toumba KJ, Twetman S, Splieth C, Parnell C, van Loveren C, Lygidakis NΑ. Guidelines on the use of fluoride for caries prevention in children: an updated EAPD policy document. Eur Arch Paediatr Dent. 2019;20:507-16.</w:t>
      </w:r>
    </w:p>
    <w:p>
      <w:pPr>
        <w:pStyle w:val="63"/>
        <w:spacing w:after="0"/>
        <w:rPr>
          <w:rFonts w:hint="eastAsia" w:ascii="宋体" w:hAnsi="宋体" w:eastAsia="宋体" w:cs="宋体"/>
          <w:sz w:val="21"/>
          <w:szCs w:val="21"/>
        </w:rPr>
      </w:pPr>
      <w:r>
        <w:rPr>
          <w:rFonts w:hint="eastAsia" w:ascii="宋体" w:hAnsi="宋体" w:eastAsia="宋体" w:cs="宋体"/>
          <w:sz w:val="21"/>
          <w:szCs w:val="21"/>
        </w:rPr>
        <w:t>[11] Wright JT, Hanson N, Ristic H, Whall CW, Estrich CG, Zentz RR. Fluoride toothpaste efficacy and safety in children younger than 6 years. The Journal of the American Dental Association. 2014;145:182-9.</w:t>
      </w:r>
    </w:p>
    <w:p>
      <w:pPr>
        <w:pStyle w:val="63"/>
        <w:spacing w:after="0"/>
        <w:rPr>
          <w:rFonts w:hint="eastAsia" w:ascii="宋体" w:hAnsi="宋体" w:eastAsia="宋体" w:cs="宋体"/>
          <w:sz w:val="21"/>
          <w:szCs w:val="21"/>
        </w:rPr>
      </w:pPr>
      <w:r>
        <w:rPr>
          <w:rFonts w:hint="eastAsia" w:ascii="宋体" w:hAnsi="宋体" w:eastAsia="宋体" w:cs="宋体"/>
          <w:sz w:val="21"/>
          <w:szCs w:val="21"/>
        </w:rPr>
        <w:t>[12] Walsh T, Worthington HV, Glenny AM, Marinho VC, Jeroncic A. Fluoride toothpastes of different concentrations for preventing dental caries. Cochrane Database Syst Rev. 2019;3:CD007868.</w:t>
      </w:r>
    </w:p>
    <w:p>
      <w:pPr>
        <w:pStyle w:val="63"/>
        <w:spacing w:after="0"/>
        <w:rPr>
          <w:rFonts w:hint="eastAsia" w:ascii="宋体" w:hAnsi="宋体" w:eastAsia="宋体" w:cs="宋体"/>
          <w:sz w:val="21"/>
          <w:szCs w:val="21"/>
        </w:rPr>
      </w:pPr>
      <w:r>
        <w:rPr>
          <w:rFonts w:hint="eastAsia" w:ascii="宋体" w:hAnsi="宋体" w:eastAsia="宋体" w:cs="宋体"/>
          <w:sz w:val="21"/>
          <w:szCs w:val="21"/>
        </w:rPr>
        <w:t>[13] American Academy of Pediatric Dentistry. Definition ofdental home. The Reference Manual of Pediatric Dentistry. Chicago,Ill.: American Academy of Pediatric Dentistry; 2024:16.</w:t>
      </w:r>
    </w:p>
    <w:p>
      <w:pPr>
        <w:pStyle w:val="63"/>
        <w:spacing w:after="0"/>
        <w:rPr>
          <w:rFonts w:hint="eastAsia" w:ascii="宋体" w:hAnsi="宋体" w:eastAsia="宋体" w:cs="宋体"/>
          <w:sz w:val="21"/>
          <w:szCs w:val="21"/>
        </w:rPr>
      </w:pPr>
      <w:r>
        <w:rPr>
          <w:rFonts w:hint="eastAsia" w:ascii="宋体" w:hAnsi="宋体" w:eastAsia="宋体" w:cs="宋体"/>
          <w:sz w:val="21"/>
          <w:szCs w:val="21"/>
        </w:rPr>
        <w:t>[14] Dentistry. AAoP. Caries-risk assessment and management for infants, children, and adolescents. The Reference Manual of Pediatric Dentistry. Chicago, Ill.: American Academy of Pediatric Dentistry; 2024. 2024;306-12.</w:t>
      </w:r>
    </w:p>
    <w:p>
      <w:pPr>
        <w:pStyle w:val="63"/>
        <w:spacing w:after="0"/>
        <w:rPr>
          <w:rFonts w:hint="eastAsia" w:ascii="宋体" w:hAnsi="宋体" w:eastAsia="宋体" w:cs="宋体"/>
          <w:sz w:val="21"/>
          <w:szCs w:val="21"/>
        </w:rPr>
      </w:pPr>
      <w:r>
        <w:rPr>
          <w:rFonts w:hint="eastAsia" w:ascii="宋体" w:hAnsi="宋体" w:eastAsia="宋体" w:cs="宋体"/>
          <w:sz w:val="21"/>
          <w:szCs w:val="21"/>
        </w:rPr>
        <w:t>[15] 邹静. 儿童龋病的风险性评估. 华西口腔医学杂志. 2014;32:1.</w:t>
      </w:r>
    </w:p>
    <w:p>
      <w:pPr>
        <w:pStyle w:val="63"/>
        <w:spacing w:after="0"/>
        <w:rPr>
          <w:rFonts w:hint="eastAsia" w:ascii="宋体" w:hAnsi="宋体" w:eastAsia="宋体" w:cs="宋体"/>
          <w:sz w:val="21"/>
          <w:szCs w:val="21"/>
        </w:rPr>
      </w:pPr>
      <w:r>
        <w:rPr>
          <w:rFonts w:hint="eastAsia" w:ascii="宋体" w:hAnsi="宋体" w:eastAsia="宋体" w:cs="宋体"/>
          <w:sz w:val="21"/>
          <w:szCs w:val="21"/>
        </w:rPr>
        <w:t>[16] Akitomo T, Kusaka S, Kametani M, Mitsuhata C, Naka S, Matsumoto-Nakano M, et al. High-performance silica-containing professional mechanical tooth-cleaning paste that effectively adsorbs pigments. Pediatric Dental Journal. 2024;34:62-9.</w:t>
      </w:r>
    </w:p>
    <w:p>
      <w:pPr>
        <w:pStyle w:val="63"/>
        <w:spacing w:after="0"/>
        <w:rPr>
          <w:rFonts w:hint="eastAsia" w:ascii="宋体" w:hAnsi="宋体" w:eastAsia="宋体" w:cs="宋体"/>
          <w:sz w:val="21"/>
          <w:szCs w:val="21"/>
        </w:rPr>
      </w:pPr>
      <w:r>
        <w:rPr>
          <w:rFonts w:hint="eastAsia" w:ascii="宋体" w:hAnsi="宋体" w:eastAsia="宋体" w:cs="宋体"/>
          <w:sz w:val="21"/>
          <w:szCs w:val="21"/>
        </w:rPr>
        <w:t>[17] Dentistry. AAoP. Policy on the role of dental prophylaxis in pediatric dentistry. The Reference Manual of Pediatric Dentistry. Chicago, Ill.: American Academy of Pediatric Dentistry;. 2024;95-7.</w:t>
      </w:r>
    </w:p>
    <w:p>
      <w:pPr>
        <w:pStyle w:val="63"/>
        <w:spacing w:after="0"/>
        <w:rPr>
          <w:rFonts w:hint="eastAsia" w:ascii="宋体" w:hAnsi="宋体" w:eastAsia="宋体" w:cs="宋体"/>
          <w:sz w:val="21"/>
          <w:szCs w:val="21"/>
        </w:rPr>
      </w:pPr>
      <w:r>
        <w:rPr>
          <w:rFonts w:hint="eastAsia" w:ascii="宋体" w:hAnsi="宋体" w:eastAsia="宋体" w:cs="宋体"/>
          <w:sz w:val="21"/>
          <w:szCs w:val="21"/>
        </w:rPr>
        <w:t>[18] Dentistry. AAoP. Fluoride therapy. The Reference Manual of Pediatric Dentistry. Chicago, Ill.: American Academy of Pediatric Dentistry;. 2024;351.</w:t>
      </w:r>
    </w:p>
    <w:p>
      <w:pPr>
        <w:pStyle w:val="63"/>
        <w:spacing w:after="0"/>
        <w:rPr>
          <w:rFonts w:hint="eastAsia" w:ascii="宋体" w:hAnsi="宋体" w:eastAsia="宋体" w:cs="宋体"/>
          <w:sz w:val="21"/>
          <w:szCs w:val="21"/>
        </w:rPr>
      </w:pPr>
      <w:r>
        <w:rPr>
          <w:rFonts w:hint="eastAsia" w:ascii="宋体" w:hAnsi="宋体" w:eastAsia="宋体" w:cs="宋体"/>
          <w:sz w:val="21"/>
          <w:szCs w:val="21"/>
        </w:rPr>
        <w:t>[19] Marinho V C C WHV, Walsh T, et al. . Fluoride varnishes for preventing dental caries in children and adolescents. Cochrane Database Syst Rev. 2013;7.</w:t>
      </w:r>
    </w:p>
    <w:p>
      <w:pPr>
        <w:pStyle w:val="63"/>
        <w:rPr>
          <w:rFonts w:hint="eastAsia" w:ascii="宋体" w:hAnsi="宋体" w:eastAsia="宋体" w:cs="宋体"/>
          <w:sz w:val="21"/>
          <w:szCs w:val="21"/>
        </w:rPr>
      </w:pPr>
      <w:r>
        <w:rPr>
          <w:rFonts w:hint="eastAsia" w:ascii="宋体" w:hAnsi="宋体" w:eastAsia="宋体" w:cs="宋体"/>
          <w:sz w:val="21"/>
          <w:szCs w:val="21"/>
        </w:rPr>
        <w:t>[20] Wright JT CJ, Fontana M, et al. Evidence-based Clinical Practice Guideline for the Use of Pit-and-Fissure Sealants. American Academy of Pediatric Dentistry, American Dental Association. Pediatr Dent. 2016;38:E120-E36.</w:t>
      </w:r>
    </w:p>
    <w:p>
      <w:pPr>
        <w:rPr>
          <w:rFonts w:hint="eastAsia" w:ascii="宋体" w:hAnsi="宋体" w:eastAsia="宋体" w:cs="宋体"/>
          <w:b/>
          <w:sz w:val="21"/>
          <w:szCs w:val="21"/>
        </w:rPr>
      </w:pPr>
      <w:r>
        <w:rPr>
          <w:rFonts w:hint="eastAsia" w:ascii="宋体" w:hAnsi="宋体" w:eastAsia="宋体" w:cs="宋体"/>
          <w:b/>
          <w:sz w:val="21"/>
          <w:szCs w:val="21"/>
        </w:rPr>
        <w:fldChar w:fldCharType="end"/>
      </w:r>
    </w:p>
    <w:p>
      <w:pPr>
        <w:widowControl/>
        <w:spacing w:after="0" w:line="240" w:lineRule="auto"/>
        <w:jc w:val="left"/>
        <w:rPr>
          <w:rFonts w:ascii="Times New Roman" w:hAnsi="Times New Roman" w:eastAsia="宋体" w:cs="Times New Roman"/>
          <w:b/>
          <w:sz w:val="30"/>
          <w:szCs w:val="30"/>
        </w:rPr>
      </w:pPr>
    </w:p>
    <w:sectPr>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641171"/>
    </w:sdtPr>
    <w:sdtContent>
      <w:p>
        <w:pPr>
          <w:pStyle w:val="9"/>
          <w:ind w:firstLine="420"/>
          <w:jc w:val="center"/>
        </w:pPr>
        <w:r>
          <w:fldChar w:fldCharType="begin"/>
        </w:r>
        <w:r>
          <w:instrText xml:space="preserve">PAGE   \* MERGEFORMAT</w:instrText>
        </w:r>
        <w:r>
          <w:fldChar w:fldCharType="separate"/>
        </w:r>
        <w:r>
          <w:rPr>
            <w:lang w:val="zh-CN"/>
          </w:rPr>
          <w:t>13</w:t>
        </w:r>
        <w:r>
          <w:fldChar w:fldCharType="end"/>
        </w:r>
      </w:p>
    </w:sdtContent>
  </w:sdt>
  <w:p>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767128"/>
    </w:sdtPr>
    <w:sdtContent>
      <w:p>
        <w:pPr>
          <w:pStyle w:val="9"/>
          <w:ind w:firstLine="420"/>
          <w:jc w:val="center"/>
        </w:pPr>
        <w:r>
          <w:fldChar w:fldCharType="begin"/>
        </w:r>
        <w:r>
          <w:instrText xml:space="preserve">PAGE   \* MERGEFORMAT</w:instrText>
        </w:r>
        <w:r>
          <w:fldChar w:fldCharType="separate"/>
        </w:r>
        <w:r>
          <w:rPr>
            <w:lang w:val="zh-CN"/>
          </w:rPr>
          <w:t>12</w:t>
        </w:r>
        <w:r>
          <w:fldChar w:fldCharType="end"/>
        </w:r>
      </w:p>
    </w:sdtContent>
  </w:sdt>
  <w:p>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t>T/ CAB XXXX—20XX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T/ CAB XXXX—20XX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33618"/>
    <w:multiLevelType w:val="multilevel"/>
    <w:tmpl w:val="3D733618"/>
    <w:lvl w:ilvl="0" w:tentative="0">
      <w:start w:val="2"/>
      <w:numFmt w:val="decimal"/>
      <w:pStyle w:val="13"/>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ental Materials Copy&lt;/Style&gt;&lt;LeftDelim&gt;{&lt;/LeftDelim&gt;&lt;RightDelim&gt;}&lt;/RightDelim&gt;&lt;FontName&gt;Calibri&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sdpxsv92tpp51evx91prr5x52zr2x0erxsp&quot;&gt;My EndNote Library&lt;record-ids&gt;&lt;item&gt;57&lt;/item&gt;&lt;item&gt;240&lt;/item&gt;&lt;item&gt;420&lt;/item&gt;&lt;item&gt;464&lt;/item&gt;&lt;item&gt;1556&lt;/item&gt;&lt;item&gt;1557&lt;/item&gt;&lt;item&gt;1558&lt;/item&gt;&lt;item&gt;1559&lt;/item&gt;&lt;item&gt;1563&lt;/item&gt;&lt;item&gt;1564&lt;/item&gt;&lt;item&gt;1566&lt;/item&gt;&lt;item&gt;1568&lt;/item&gt;&lt;item&gt;1569&lt;/item&gt;&lt;item&gt;1573&lt;/item&gt;&lt;item&gt;1580&lt;/item&gt;&lt;item&gt;1581&lt;/item&gt;&lt;item&gt;1582&lt;/item&gt;&lt;item&gt;1583&lt;/item&gt;&lt;item&gt;1584&lt;/item&gt;&lt;item&gt;1586&lt;/item&gt;&lt;/record-ids&gt;&lt;/item&gt;&lt;/Libraries&gt;"/>
  </w:docVars>
  <w:rsids>
    <w:rsidRoot w:val="00620AE9"/>
    <w:rsid w:val="000015A7"/>
    <w:rsid w:val="00001ED1"/>
    <w:rsid w:val="000021A1"/>
    <w:rsid w:val="0000645A"/>
    <w:rsid w:val="000070A8"/>
    <w:rsid w:val="00007383"/>
    <w:rsid w:val="00012EFB"/>
    <w:rsid w:val="0001331A"/>
    <w:rsid w:val="00014F6A"/>
    <w:rsid w:val="00016039"/>
    <w:rsid w:val="000161D0"/>
    <w:rsid w:val="000208F9"/>
    <w:rsid w:val="00021C26"/>
    <w:rsid w:val="00023145"/>
    <w:rsid w:val="000232A7"/>
    <w:rsid w:val="00025A10"/>
    <w:rsid w:val="0003323F"/>
    <w:rsid w:val="000350EB"/>
    <w:rsid w:val="0004139E"/>
    <w:rsid w:val="00043026"/>
    <w:rsid w:val="000437D4"/>
    <w:rsid w:val="0004526B"/>
    <w:rsid w:val="00045D7B"/>
    <w:rsid w:val="0004610F"/>
    <w:rsid w:val="00046663"/>
    <w:rsid w:val="000473C5"/>
    <w:rsid w:val="000477CB"/>
    <w:rsid w:val="0005223C"/>
    <w:rsid w:val="000565DD"/>
    <w:rsid w:val="00060BC3"/>
    <w:rsid w:val="00061B66"/>
    <w:rsid w:val="000628DA"/>
    <w:rsid w:val="00066219"/>
    <w:rsid w:val="00066F17"/>
    <w:rsid w:val="00067766"/>
    <w:rsid w:val="000745DA"/>
    <w:rsid w:val="00091768"/>
    <w:rsid w:val="000922CE"/>
    <w:rsid w:val="0009383B"/>
    <w:rsid w:val="00096299"/>
    <w:rsid w:val="00096A3F"/>
    <w:rsid w:val="000A0244"/>
    <w:rsid w:val="000A0272"/>
    <w:rsid w:val="000A07A5"/>
    <w:rsid w:val="000A3CD8"/>
    <w:rsid w:val="000B02B9"/>
    <w:rsid w:val="000B2010"/>
    <w:rsid w:val="000B288C"/>
    <w:rsid w:val="000B37CC"/>
    <w:rsid w:val="000B4F16"/>
    <w:rsid w:val="000B637E"/>
    <w:rsid w:val="000C1E77"/>
    <w:rsid w:val="000C49EA"/>
    <w:rsid w:val="000D730D"/>
    <w:rsid w:val="000E20F7"/>
    <w:rsid w:val="000E3533"/>
    <w:rsid w:val="000E421E"/>
    <w:rsid w:val="000F0A8E"/>
    <w:rsid w:val="000F5368"/>
    <w:rsid w:val="000F5562"/>
    <w:rsid w:val="000F617F"/>
    <w:rsid w:val="000F6FC0"/>
    <w:rsid w:val="00101498"/>
    <w:rsid w:val="0010726E"/>
    <w:rsid w:val="00111274"/>
    <w:rsid w:val="001129D0"/>
    <w:rsid w:val="00122A03"/>
    <w:rsid w:val="00124269"/>
    <w:rsid w:val="00125BD3"/>
    <w:rsid w:val="00126985"/>
    <w:rsid w:val="00127F5E"/>
    <w:rsid w:val="00134C0D"/>
    <w:rsid w:val="00140997"/>
    <w:rsid w:val="00141DDF"/>
    <w:rsid w:val="00144A76"/>
    <w:rsid w:val="00144C7B"/>
    <w:rsid w:val="00146838"/>
    <w:rsid w:val="00146D61"/>
    <w:rsid w:val="00150A75"/>
    <w:rsid w:val="00157B71"/>
    <w:rsid w:val="00157D47"/>
    <w:rsid w:val="001635BD"/>
    <w:rsid w:val="0016459A"/>
    <w:rsid w:val="001654C2"/>
    <w:rsid w:val="001674EA"/>
    <w:rsid w:val="00174589"/>
    <w:rsid w:val="001811CA"/>
    <w:rsid w:val="00182615"/>
    <w:rsid w:val="00182B65"/>
    <w:rsid w:val="001834E3"/>
    <w:rsid w:val="001847E6"/>
    <w:rsid w:val="001858ED"/>
    <w:rsid w:val="00186EF9"/>
    <w:rsid w:val="00187FB3"/>
    <w:rsid w:val="00190D6D"/>
    <w:rsid w:val="001A0961"/>
    <w:rsid w:val="001A154B"/>
    <w:rsid w:val="001A47E2"/>
    <w:rsid w:val="001A4D1F"/>
    <w:rsid w:val="001B2774"/>
    <w:rsid w:val="001B45FB"/>
    <w:rsid w:val="001B54B6"/>
    <w:rsid w:val="001B68DF"/>
    <w:rsid w:val="001C22E1"/>
    <w:rsid w:val="001C6228"/>
    <w:rsid w:val="001D042F"/>
    <w:rsid w:val="001E61A1"/>
    <w:rsid w:val="001F1607"/>
    <w:rsid w:val="001F2013"/>
    <w:rsid w:val="001F23F3"/>
    <w:rsid w:val="001F5765"/>
    <w:rsid w:val="001F693F"/>
    <w:rsid w:val="001F7112"/>
    <w:rsid w:val="002052F6"/>
    <w:rsid w:val="00211B5F"/>
    <w:rsid w:val="00211FDD"/>
    <w:rsid w:val="00212C33"/>
    <w:rsid w:val="00213901"/>
    <w:rsid w:val="00220D49"/>
    <w:rsid w:val="00224C65"/>
    <w:rsid w:val="00224D52"/>
    <w:rsid w:val="002275CC"/>
    <w:rsid w:val="00234F45"/>
    <w:rsid w:val="00241130"/>
    <w:rsid w:val="00244021"/>
    <w:rsid w:val="00244098"/>
    <w:rsid w:val="002444F6"/>
    <w:rsid w:val="0024567D"/>
    <w:rsid w:val="00251B7B"/>
    <w:rsid w:val="0025355A"/>
    <w:rsid w:val="00255558"/>
    <w:rsid w:val="00256EC7"/>
    <w:rsid w:val="00261B63"/>
    <w:rsid w:val="00264616"/>
    <w:rsid w:val="00264F0C"/>
    <w:rsid w:val="0027759C"/>
    <w:rsid w:val="0028241E"/>
    <w:rsid w:val="00284800"/>
    <w:rsid w:val="00284D7C"/>
    <w:rsid w:val="00295D05"/>
    <w:rsid w:val="00296B12"/>
    <w:rsid w:val="00296FEE"/>
    <w:rsid w:val="002A1F6F"/>
    <w:rsid w:val="002A24DB"/>
    <w:rsid w:val="002A29CB"/>
    <w:rsid w:val="002A3E35"/>
    <w:rsid w:val="002A5775"/>
    <w:rsid w:val="002A6A72"/>
    <w:rsid w:val="002B23E1"/>
    <w:rsid w:val="002B2D1F"/>
    <w:rsid w:val="002B3DB5"/>
    <w:rsid w:val="002C3911"/>
    <w:rsid w:val="002C6B72"/>
    <w:rsid w:val="002D16CB"/>
    <w:rsid w:val="002D768C"/>
    <w:rsid w:val="002E0402"/>
    <w:rsid w:val="002E1C78"/>
    <w:rsid w:val="002E4BAE"/>
    <w:rsid w:val="002E651B"/>
    <w:rsid w:val="002E7DD1"/>
    <w:rsid w:val="002F0346"/>
    <w:rsid w:val="002F4097"/>
    <w:rsid w:val="002F4805"/>
    <w:rsid w:val="002F4CEB"/>
    <w:rsid w:val="002F70A7"/>
    <w:rsid w:val="003012A1"/>
    <w:rsid w:val="00302834"/>
    <w:rsid w:val="00306AAF"/>
    <w:rsid w:val="00313ED2"/>
    <w:rsid w:val="0031759B"/>
    <w:rsid w:val="003204F8"/>
    <w:rsid w:val="0032096D"/>
    <w:rsid w:val="00321639"/>
    <w:rsid w:val="003259A7"/>
    <w:rsid w:val="00326419"/>
    <w:rsid w:val="00327085"/>
    <w:rsid w:val="00327FAE"/>
    <w:rsid w:val="003301F9"/>
    <w:rsid w:val="0033095C"/>
    <w:rsid w:val="00332BE7"/>
    <w:rsid w:val="003357BB"/>
    <w:rsid w:val="00345A8A"/>
    <w:rsid w:val="00345BF6"/>
    <w:rsid w:val="00346F76"/>
    <w:rsid w:val="003567DF"/>
    <w:rsid w:val="0035790B"/>
    <w:rsid w:val="00360826"/>
    <w:rsid w:val="00362C26"/>
    <w:rsid w:val="00372F33"/>
    <w:rsid w:val="00373DA3"/>
    <w:rsid w:val="00380BE1"/>
    <w:rsid w:val="003841D6"/>
    <w:rsid w:val="00386084"/>
    <w:rsid w:val="00392D4B"/>
    <w:rsid w:val="00394B46"/>
    <w:rsid w:val="00395919"/>
    <w:rsid w:val="00396C7E"/>
    <w:rsid w:val="00397B49"/>
    <w:rsid w:val="003B32E7"/>
    <w:rsid w:val="003B442D"/>
    <w:rsid w:val="003B6C6E"/>
    <w:rsid w:val="003D0562"/>
    <w:rsid w:val="003D2C87"/>
    <w:rsid w:val="003D4335"/>
    <w:rsid w:val="003D5620"/>
    <w:rsid w:val="003E0BE9"/>
    <w:rsid w:val="003E1C75"/>
    <w:rsid w:val="003E52E6"/>
    <w:rsid w:val="003E6DF1"/>
    <w:rsid w:val="003F0D07"/>
    <w:rsid w:val="003F2470"/>
    <w:rsid w:val="003F2C4B"/>
    <w:rsid w:val="003F523F"/>
    <w:rsid w:val="003F689C"/>
    <w:rsid w:val="00401AB8"/>
    <w:rsid w:val="004033EA"/>
    <w:rsid w:val="004104B0"/>
    <w:rsid w:val="00410957"/>
    <w:rsid w:val="00421866"/>
    <w:rsid w:val="004221B5"/>
    <w:rsid w:val="00425A71"/>
    <w:rsid w:val="00426540"/>
    <w:rsid w:val="00432CFA"/>
    <w:rsid w:val="00434030"/>
    <w:rsid w:val="004464FD"/>
    <w:rsid w:val="0045018C"/>
    <w:rsid w:val="0045326A"/>
    <w:rsid w:val="00464D9C"/>
    <w:rsid w:val="00470C6C"/>
    <w:rsid w:val="004748BC"/>
    <w:rsid w:val="00476147"/>
    <w:rsid w:val="00476C89"/>
    <w:rsid w:val="00480655"/>
    <w:rsid w:val="00483574"/>
    <w:rsid w:val="00484779"/>
    <w:rsid w:val="00486561"/>
    <w:rsid w:val="00487138"/>
    <w:rsid w:val="004A3B84"/>
    <w:rsid w:val="004A5C5F"/>
    <w:rsid w:val="004A5EED"/>
    <w:rsid w:val="004A7B94"/>
    <w:rsid w:val="004A7D8A"/>
    <w:rsid w:val="004B6B11"/>
    <w:rsid w:val="004B7BC1"/>
    <w:rsid w:val="004C19A7"/>
    <w:rsid w:val="004C7798"/>
    <w:rsid w:val="004D0120"/>
    <w:rsid w:val="004D10A6"/>
    <w:rsid w:val="004D1809"/>
    <w:rsid w:val="004D1C99"/>
    <w:rsid w:val="004D3C8D"/>
    <w:rsid w:val="004D4E50"/>
    <w:rsid w:val="004D6F9C"/>
    <w:rsid w:val="004E37B6"/>
    <w:rsid w:val="004E42AD"/>
    <w:rsid w:val="004F6767"/>
    <w:rsid w:val="004F6D6E"/>
    <w:rsid w:val="00501A4F"/>
    <w:rsid w:val="005034EA"/>
    <w:rsid w:val="005078AD"/>
    <w:rsid w:val="0051670B"/>
    <w:rsid w:val="00517FCC"/>
    <w:rsid w:val="005210FB"/>
    <w:rsid w:val="005213C8"/>
    <w:rsid w:val="00521D3A"/>
    <w:rsid w:val="00522CC5"/>
    <w:rsid w:val="00524DD9"/>
    <w:rsid w:val="005272F3"/>
    <w:rsid w:val="005305FB"/>
    <w:rsid w:val="00533BF7"/>
    <w:rsid w:val="00534910"/>
    <w:rsid w:val="005402B6"/>
    <w:rsid w:val="00541941"/>
    <w:rsid w:val="005431E9"/>
    <w:rsid w:val="0054347A"/>
    <w:rsid w:val="00547510"/>
    <w:rsid w:val="0055103B"/>
    <w:rsid w:val="00552F85"/>
    <w:rsid w:val="005575DD"/>
    <w:rsid w:val="005628A7"/>
    <w:rsid w:val="0057044B"/>
    <w:rsid w:val="00576933"/>
    <w:rsid w:val="00577237"/>
    <w:rsid w:val="00580470"/>
    <w:rsid w:val="00586164"/>
    <w:rsid w:val="005923C4"/>
    <w:rsid w:val="00595098"/>
    <w:rsid w:val="005A0117"/>
    <w:rsid w:val="005A261F"/>
    <w:rsid w:val="005A3C65"/>
    <w:rsid w:val="005A6942"/>
    <w:rsid w:val="005B0C79"/>
    <w:rsid w:val="005B23B1"/>
    <w:rsid w:val="005B5065"/>
    <w:rsid w:val="005B555C"/>
    <w:rsid w:val="005C16BC"/>
    <w:rsid w:val="005C2764"/>
    <w:rsid w:val="005C2DED"/>
    <w:rsid w:val="005D18D8"/>
    <w:rsid w:val="005D3919"/>
    <w:rsid w:val="005D53E7"/>
    <w:rsid w:val="005E102D"/>
    <w:rsid w:val="005E2689"/>
    <w:rsid w:val="005E26E0"/>
    <w:rsid w:val="005E5CC0"/>
    <w:rsid w:val="005F2FAA"/>
    <w:rsid w:val="005F325A"/>
    <w:rsid w:val="005F618C"/>
    <w:rsid w:val="00600135"/>
    <w:rsid w:val="00600434"/>
    <w:rsid w:val="00601D59"/>
    <w:rsid w:val="0060523F"/>
    <w:rsid w:val="006053FF"/>
    <w:rsid w:val="00606FD0"/>
    <w:rsid w:val="006123F2"/>
    <w:rsid w:val="00612FCC"/>
    <w:rsid w:val="006159B9"/>
    <w:rsid w:val="00620AE9"/>
    <w:rsid w:val="006233CE"/>
    <w:rsid w:val="00632D44"/>
    <w:rsid w:val="006343BB"/>
    <w:rsid w:val="006348FD"/>
    <w:rsid w:val="00635807"/>
    <w:rsid w:val="006376C9"/>
    <w:rsid w:val="006525B0"/>
    <w:rsid w:val="006532A1"/>
    <w:rsid w:val="006608A1"/>
    <w:rsid w:val="00661D54"/>
    <w:rsid w:val="00672EC0"/>
    <w:rsid w:val="006743DD"/>
    <w:rsid w:val="00675C25"/>
    <w:rsid w:val="00683868"/>
    <w:rsid w:val="0068478E"/>
    <w:rsid w:val="0068582E"/>
    <w:rsid w:val="006943B2"/>
    <w:rsid w:val="006947C8"/>
    <w:rsid w:val="00695368"/>
    <w:rsid w:val="006A1FF7"/>
    <w:rsid w:val="006A2D30"/>
    <w:rsid w:val="006A4A27"/>
    <w:rsid w:val="006B11AC"/>
    <w:rsid w:val="006B211A"/>
    <w:rsid w:val="006B2C9F"/>
    <w:rsid w:val="006B3A90"/>
    <w:rsid w:val="006B5B4C"/>
    <w:rsid w:val="006B5BC3"/>
    <w:rsid w:val="006B6558"/>
    <w:rsid w:val="006C2079"/>
    <w:rsid w:val="006C2F08"/>
    <w:rsid w:val="006C4D0D"/>
    <w:rsid w:val="006C564E"/>
    <w:rsid w:val="006D6735"/>
    <w:rsid w:val="006D69E6"/>
    <w:rsid w:val="006E050E"/>
    <w:rsid w:val="006E215A"/>
    <w:rsid w:val="006E352F"/>
    <w:rsid w:val="006E5220"/>
    <w:rsid w:val="006E61BF"/>
    <w:rsid w:val="006E6AAB"/>
    <w:rsid w:val="006E7B8B"/>
    <w:rsid w:val="006F2573"/>
    <w:rsid w:val="0070289A"/>
    <w:rsid w:val="007064F6"/>
    <w:rsid w:val="00707465"/>
    <w:rsid w:val="00711EE8"/>
    <w:rsid w:val="00720AF9"/>
    <w:rsid w:val="00720C4A"/>
    <w:rsid w:val="00721F5B"/>
    <w:rsid w:val="00723E8B"/>
    <w:rsid w:val="007255BB"/>
    <w:rsid w:val="00733435"/>
    <w:rsid w:val="00733482"/>
    <w:rsid w:val="0073534C"/>
    <w:rsid w:val="0074353F"/>
    <w:rsid w:val="00743D33"/>
    <w:rsid w:val="00750E4A"/>
    <w:rsid w:val="00751963"/>
    <w:rsid w:val="00752D14"/>
    <w:rsid w:val="00761364"/>
    <w:rsid w:val="00763FCB"/>
    <w:rsid w:val="0077095A"/>
    <w:rsid w:val="00774C8A"/>
    <w:rsid w:val="00786FE6"/>
    <w:rsid w:val="00790C44"/>
    <w:rsid w:val="00792EA1"/>
    <w:rsid w:val="007A419C"/>
    <w:rsid w:val="007B0E66"/>
    <w:rsid w:val="007B2033"/>
    <w:rsid w:val="007B28D9"/>
    <w:rsid w:val="007B3B77"/>
    <w:rsid w:val="007B3E1D"/>
    <w:rsid w:val="007B797E"/>
    <w:rsid w:val="007C0A95"/>
    <w:rsid w:val="007D3653"/>
    <w:rsid w:val="007E031B"/>
    <w:rsid w:val="007E0328"/>
    <w:rsid w:val="007E06E1"/>
    <w:rsid w:val="007E4B83"/>
    <w:rsid w:val="007F5190"/>
    <w:rsid w:val="007F5AFD"/>
    <w:rsid w:val="007F7463"/>
    <w:rsid w:val="0080211F"/>
    <w:rsid w:val="0080212C"/>
    <w:rsid w:val="00802B2C"/>
    <w:rsid w:val="00810250"/>
    <w:rsid w:val="008128EA"/>
    <w:rsid w:val="00815CBB"/>
    <w:rsid w:val="00815EDE"/>
    <w:rsid w:val="008215BB"/>
    <w:rsid w:val="0082684C"/>
    <w:rsid w:val="00826C87"/>
    <w:rsid w:val="00830879"/>
    <w:rsid w:val="0083255C"/>
    <w:rsid w:val="008351CB"/>
    <w:rsid w:val="008454A7"/>
    <w:rsid w:val="00852EF1"/>
    <w:rsid w:val="00861950"/>
    <w:rsid w:val="008670A2"/>
    <w:rsid w:val="00870743"/>
    <w:rsid w:val="0087130E"/>
    <w:rsid w:val="0087214F"/>
    <w:rsid w:val="00872415"/>
    <w:rsid w:val="008738EA"/>
    <w:rsid w:val="00873CEA"/>
    <w:rsid w:val="00873E34"/>
    <w:rsid w:val="008758E9"/>
    <w:rsid w:val="00877048"/>
    <w:rsid w:val="00886243"/>
    <w:rsid w:val="0089607E"/>
    <w:rsid w:val="008A006E"/>
    <w:rsid w:val="008A07A2"/>
    <w:rsid w:val="008A2380"/>
    <w:rsid w:val="008A32F6"/>
    <w:rsid w:val="008A68D7"/>
    <w:rsid w:val="008B350C"/>
    <w:rsid w:val="008B3BF2"/>
    <w:rsid w:val="008B3C5B"/>
    <w:rsid w:val="008C2F58"/>
    <w:rsid w:val="008D07DC"/>
    <w:rsid w:val="008D5819"/>
    <w:rsid w:val="008F068D"/>
    <w:rsid w:val="008F4DE7"/>
    <w:rsid w:val="008F66AE"/>
    <w:rsid w:val="009019D0"/>
    <w:rsid w:val="00906229"/>
    <w:rsid w:val="00906C15"/>
    <w:rsid w:val="009070BE"/>
    <w:rsid w:val="00911418"/>
    <w:rsid w:val="0091581C"/>
    <w:rsid w:val="00915B8A"/>
    <w:rsid w:val="00920B28"/>
    <w:rsid w:val="00922DAB"/>
    <w:rsid w:val="00935DED"/>
    <w:rsid w:val="009373E1"/>
    <w:rsid w:val="00942A5A"/>
    <w:rsid w:val="0094307F"/>
    <w:rsid w:val="00946D0C"/>
    <w:rsid w:val="00947188"/>
    <w:rsid w:val="009506E7"/>
    <w:rsid w:val="009564AF"/>
    <w:rsid w:val="0096085B"/>
    <w:rsid w:val="0096412F"/>
    <w:rsid w:val="0096636F"/>
    <w:rsid w:val="0096710B"/>
    <w:rsid w:val="00972281"/>
    <w:rsid w:val="00973AC3"/>
    <w:rsid w:val="00974FE0"/>
    <w:rsid w:val="00976DF3"/>
    <w:rsid w:val="009877FB"/>
    <w:rsid w:val="00991E50"/>
    <w:rsid w:val="00995A26"/>
    <w:rsid w:val="009A38D6"/>
    <w:rsid w:val="009A76F0"/>
    <w:rsid w:val="009B01D1"/>
    <w:rsid w:val="009B0CDD"/>
    <w:rsid w:val="009B381D"/>
    <w:rsid w:val="009C0037"/>
    <w:rsid w:val="009C75F7"/>
    <w:rsid w:val="009D3420"/>
    <w:rsid w:val="009E6BD5"/>
    <w:rsid w:val="009F37E8"/>
    <w:rsid w:val="009F4706"/>
    <w:rsid w:val="00A05BA1"/>
    <w:rsid w:val="00A12507"/>
    <w:rsid w:val="00A130D6"/>
    <w:rsid w:val="00A13FD7"/>
    <w:rsid w:val="00A14E5F"/>
    <w:rsid w:val="00A175BC"/>
    <w:rsid w:val="00A26815"/>
    <w:rsid w:val="00A40902"/>
    <w:rsid w:val="00A5069E"/>
    <w:rsid w:val="00A54019"/>
    <w:rsid w:val="00A54997"/>
    <w:rsid w:val="00A54B0D"/>
    <w:rsid w:val="00A56285"/>
    <w:rsid w:val="00A64A3F"/>
    <w:rsid w:val="00A65554"/>
    <w:rsid w:val="00A66A6E"/>
    <w:rsid w:val="00A808E3"/>
    <w:rsid w:val="00A84D5E"/>
    <w:rsid w:val="00A87382"/>
    <w:rsid w:val="00A937D4"/>
    <w:rsid w:val="00A95D06"/>
    <w:rsid w:val="00AA257A"/>
    <w:rsid w:val="00AA2FD2"/>
    <w:rsid w:val="00AA6671"/>
    <w:rsid w:val="00AA7954"/>
    <w:rsid w:val="00AB0BCA"/>
    <w:rsid w:val="00AB1181"/>
    <w:rsid w:val="00AB1D3E"/>
    <w:rsid w:val="00AB3BEC"/>
    <w:rsid w:val="00AB6AA0"/>
    <w:rsid w:val="00AB6D75"/>
    <w:rsid w:val="00AC7694"/>
    <w:rsid w:val="00AD0247"/>
    <w:rsid w:val="00AD2F5B"/>
    <w:rsid w:val="00AD3943"/>
    <w:rsid w:val="00AD75DB"/>
    <w:rsid w:val="00AE0724"/>
    <w:rsid w:val="00AE1FB1"/>
    <w:rsid w:val="00AE3096"/>
    <w:rsid w:val="00AE364A"/>
    <w:rsid w:val="00AE6507"/>
    <w:rsid w:val="00AE6BCB"/>
    <w:rsid w:val="00AE7250"/>
    <w:rsid w:val="00AF0FD1"/>
    <w:rsid w:val="00AF1D17"/>
    <w:rsid w:val="00AF26E8"/>
    <w:rsid w:val="00AF2F6B"/>
    <w:rsid w:val="00AF6763"/>
    <w:rsid w:val="00B02F2C"/>
    <w:rsid w:val="00B035EC"/>
    <w:rsid w:val="00B06ACC"/>
    <w:rsid w:val="00B12699"/>
    <w:rsid w:val="00B1278C"/>
    <w:rsid w:val="00B137F0"/>
    <w:rsid w:val="00B13F08"/>
    <w:rsid w:val="00B24AD7"/>
    <w:rsid w:val="00B26871"/>
    <w:rsid w:val="00B300EC"/>
    <w:rsid w:val="00B30665"/>
    <w:rsid w:val="00B32DC9"/>
    <w:rsid w:val="00B34958"/>
    <w:rsid w:val="00B35BBD"/>
    <w:rsid w:val="00B370D2"/>
    <w:rsid w:val="00B400D1"/>
    <w:rsid w:val="00B400D7"/>
    <w:rsid w:val="00B40433"/>
    <w:rsid w:val="00B41C5E"/>
    <w:rsid w:val="00B43459"/>
    <w:rsid w:val="00B4783E"/>
    <w:rsid w:val="00B50330"/>
    <w:rsid w:val="00B51AE6"/>
    <w:rsid w:val="00B54D22"/>
    <w:rsid w:val="00B54D6C"/>
    <w:rsid w:val="00B57409"/>
    <w:rsid w:val="00B60C39"/>
    <w:rsid w:val="00B62CA2"/>
    <w:rsid w:val="00B643B6"/>
    <w:rsid w:val="00B64AEC"/>
    <w:rsid w:val="00B65BD6"/>
    <w:rsid w:val="00B667B3"/>
    <w:rsid w:val="00B72200"/>
    <w:rsid w:val="00B7584F"/>
    <w:rsid w:val="00B7789C"/>
    <w:rsid w:val="00B77C2F"/>
    <w:rsid w:val="00B810F8"/>
    <w:rsid w:val="00B82B4B"/>
    <w:rsid w:val="00B852F3"/>
    <w:rsid w:val="00B862A7"/>
    <w:rsid w:val="00B87FC9"/>
    <w:rsid w:val="00B92B1E"/>
    <w:rsid w:val="00B92DA6"/>
    <w:rsid w:val="00B92F9E"/>
    <w:rsid w:val="00B9412E"/>
    <w:rsid w:val="00B95067"/>
    <w:rsid w:val="00BA01E5"/>
    <w:rsid w:val="00BA666D"/>
    <w:rsid w:val="00BB0E4E"/>
    <w:rsid w:val="00BC2B50"/>
    <w:rsid w:val="00BC7F9D"/>
    <w:rsid w:val="00BD14E6"/>
    <w:rsid w:val="00BD2B7C"/>
    <w:rsid w:val="00BD5563"/>
    <w:rsid w:val="00BD58F6"/>
    <w:rsid w:val="00BD5CA6"/>
    <w:rsid w:val="00BD7CDD"/>
    <w:rsid w:val="00BE0032"/>
    <w:rsid w:val="00BE0360"/>
    <w:rsid w:val="00BE29B0"/>
    <w:rsid w:val="00BE64F2"/>
    <w:rsid w:val="00BF0C86"/>
    <w:rsid w:val="00C00507"/>
    <w:rsid w:val="00C026C5"/>
    <w:rsid w:val="00C047B5"/>
    <w:rsid w:val="00C05C63"/>
    <w:rsid w:val="00C13A08"/>
    <w:rsid w:val="00C14755"/>
    <w:rsid w:val="00C20D24"/>
    <w:rsid w:val="00C2370A"/>
    <w:rsid w:val="00C2711E"/>
    <w:rsid w:val="00C3483E"/>
    <w:rsid w:val="00C35796"/>
    <w:rsid w:val="00C37557"/>
    <w:rsid w:val="00C4023F"/>
    <w:rsid w:val="00C43EE0"/>
    <w:rsid w:val="00C44212"/>
    <w:rsid w:val="00C4701A"/>
    <w:rsid w:val="00C527D0"/>
    <w:rsid w:val="00C57968"/>
    <w:rsid w:val="00C604EE"/>
    <w:rsid w:val="00C61E1D"/>
    <w:rsid w:val="00C65E71"/>
    <w:rsid w:val="00C83AC0"/>
    <w:rsid w:val="00C83D24"/>
    <w:rsid w:val="00C8462C"/>
    <w:rsid w:val="00C849AD"/>
    <w:rsid w:val="00C84C32"/>
    <w:rsid w:val="00C869ED"/>
    <w:rsid w:val="00C91AAE"/>
    <w:rsid w:val="00C96968"/>
    <w:rsid w:val="00C97AC8"/>
    <w:rsid w:val="00CA37D2"/>
    <w:rsid w:val="00CA6AF3"/>
    <w:rsid w:val="00CA72DA"/>
    <w:rsid w:val="00CB36A8"/>
    <w:rsid w:val="00CB4657"/>
    <w:rsid w:val="00CC0A50"/>
    <w:rsid w:val="00CC13A7"/>
    <w:rsid w:val="00CC1C0D"/>
    <w:rsid w:val="00CD1231"/>
    <w:rsid w:val="00CD1F75"/>
    <w:rsid w:val="00CD208A"/>
    <w:rsid w:val="00CD2329"/>
    <w:rsid w:val="00CD49F4"/>
    <w:rsid w:val="00CD6AEE"/>
    <w:rsid w:val="00CD6E42"/>
    <w:rsid w:val="00CD7D30"/>
    <w:rsid w:val="00CE083A"/>
    <w:rsid w:val="00CE1729"/>
    <w:rsid w:val="00CE175B"/>
    <w:rsid w:val="00CE1E12"/>
    <w:rsid w:val="00CE1EB6"/>
    <w:rsid w:val="00CE6F09"/>
    <w:rsid w:val="00CF0BB7"/>
    <w:rsid w:val="00CF2865"/>
    <w:rsid w:val="00CF77A0"/>
    <w:rsid w:val="00D01176"/>
    <w:rsid w:val="00D0545B"/>
    <w:rsid w:val="00D067B1"/>
    <w:rsid w:val="00D12745"/>
    <w:rsid w:val="00D1571C"/>
    <w:rsid w:val="00D20A68"/>
    <w:rsid w:val="00D24DF1"/>
    <w:rsid w:val="00D254E2"/>
    <w:rsid w:val="00D262A1"/>
    <w:rsid w:val="00D26830"/>
    <w:rsid w:val="00D27DA7"/>
    <w:rsid w:val="00D305AE"/>
    <w:rsid w:val="00D30FA1"/>
    <w:rsid w:val="00D351FB"/>
    <w:rsid w:val="00D35C5B"/>
    <w:rsid w:val="00D40ED4"/>
    <w:rsid w:val="00D46EB2"/>
    <w:rsid w:val="00D51873"/>
    <w:rsid w:val="00D53EA3"/>
    <w:rsid w:val="00D54203"/>
    <w:rsid w:val="00D54F1B"/>
    <w:rsid w:val="00D57D22"/>
    <w:rsid w:val="00D61109"/>
    <w:rsid w:val="00D62885"/>
    <w:rsid w:val="00D64ED0"/>
    <w:rsid w:val="00D66215"/>
    <w:rsid w:val="00D72E5A"/>
    <w:rsid w:val="00D762C1"/>
    <w:rsid w:val="00D82B3E"/>
    <w:rsid w:val="00D83C88"/>
    <w:rsid w:val="00D86946"/>
    <w:rsid w:val="00D9089E"/>
    <w:rsid w:val="00D92987"/>
    <w:rsid w:val="00DA00D7"/>
    <w:rsid w:val="00DA0C7B"/>
    <w:rsid w:val="00DA21E6"/>
    <w:rsid w:val="00DA4772"/>
    <w:rsid w:val="00DA5932"/>
    <w:rsid w:val="00DA620B"/>
    <w:rsid w:val="00DB28A2"/>
    <w:rsid w:val="00DB353A"/>
    <w:rsid w:val="00DB4BBF"/>
    <w:rsid w:val="00DB7BDE"/>
    <w:rsid w:val="00DC0F38"/>
    <w:rsid w:val="00DC5172"/>
    <w:rsid w:val="00DC5298"/>
    <w:rsid w:val="00DC5F8C"/>
    <w:rsid w:val="00DD4A39"/>
    <w:rsid w:val="00DD6F2E"/>
    <w:rsid w:val="00DE076F"/>
    <w:rsid w:val="00DE56FA"/>
    <w:rsid w:val="00DF353F"/>
    <w:rsid w:val="00E02507"/>
    <w:rsid w:val="00E02FFA"/>
    <w:rsid w:val="00E03D5E"/>
    <w:rsid w:val="00E0470A"/>
    <w:rsid w:val="00E1086F"/>
    <w:rsid w:val="00E116F0"/>
    <w:rsid w:val="00E11B9D"/>
    <w:rsid w:val="00E13240"/>
    <w:rsid w:val="00E1750F"/>
    <w:rsid w:val="00E20563"/>
    <w:rsid w:val="00E27169"/>
    <w:rsid w:val="00E3247D"/>
    <w:rsid w:val="00E32CD8"/>
    <w:rsid w:val="00E34479"/>
    <w:rsid w:val="00E35B41"/>
    <w:rsid w:val="00E40816"/>
    <w:rsid w:val="00E41756"/>
    <w:rsid w:val="00E43927"/>
    <w:rsid w:val="00E5213D"/>
    <w:rsid w:val="00E53408"/>
    <w:rsid w:val="00E6160C"/>
    <w:rsid w:val="00E6425B"/>
    <w:rsid w:val="00E64347"/>
    <w:rsid w:val="00E66A62"/>
    <w:rsid w:val="00E66E63"/>
    <w:rsid w:val="00E675BF"/>
    <w:rsid w:val="00E67C16"/>
    <w:rsid w:val="00E70431"/>
    <w:rsid w:val="00E72BD7"/>
    <w:rsid w:val="00E74776"/>
    <w:rsid w:val="00E75361"/>
    <w:rsid w:val="00E76C8E"/>
    <w:rsid w:val="00E80537"/>
    <w:rsid w:val="00E80608"/>
    <w:rsid w:val="00E80DDB"/>
    <w:rsid w:val="00E81747"/>
    <w:rsid w:val="00E820D5"/>
    <w:rsid w:val="00E83FED"/>
    <w:rsid w:val="00E8422A"/>
    <w:rsid w:val="00E84957"/>
    <w:rsid w:val="00E85CAF"/>
    <w:rsid w:val="00E86332"/>
    <w:rsid w:val="00E9030E"/>
    <w:rsid w:val="00E91014"/>
    <w:rsid w:val="00E94DD4"/>
    <w:rsid w:val="00E97B6B"/>
    <w:rsid w:val="00EB23F2"/>
    <w:rsid w:val="00EB4414"/>
    <w:rsid w:val="00EB4D3A"/>
    <w:rsid w:val="00EB7CEF"/>
    <w:rsid w:val="00EC248D"/>
    <w:rsid w:val="00EC3E4E"/>
    <w:rsid w:val="00EC7352"/>
    <w:rsid w:val="00ED1DFD"/>
    <w:rsid w:val="00ED4127"/>
    <w:rsid w:val="00ED4170"/>
    <w:rsid w:val="00EE3B4E"/>
    <w:rsid w:val="00EE3F2A"/>
    <w:rsid w:val="00EE7015"/>
    <w:rsid w:val="00EF0CB0"/>
    <w:rsid w:val="00EF2441"/>
    <w:rsid w:val="00EF269D"/>
    <w:rsid w:val="00EF5AF6"/>
    <w:rsid w:val="00EF61C2"/>
    <w:rsid w:val="00F01F23"/>
    <w:rsid w:val="00F020A6"/>
    <w:rsid w:val="00F04A67"/>
    <w:rsid w:val="00F05374"/>
    <w:rsid w:val="00F101D4"/>
    <w:rsid w:val="00F12968"/>
    <w:rsid w:val="00F12F85"/>
    <w:rsid w:val="00F135C8"/>
    <w:rsid w:val="00F13F6A"/>
    <w:rsid w:val="00F14894"/>
    <w:rsid w:val="00F217F2"/>
    <w:rsid w:val="00F24018"/>
    <w:rsid w:val="00F245B8"/>
    <w:rsid w:val="00F24EBE"/>
    <w:rsid w:val="00F2506D"/>
    <w:rsid w:val="00F25664"/>
    <w:rsid w:val="00F31C8F"/>
    <w:rsid w:val="00F334E6"/>
    <w:rsid w:val="00F445DF"/>
    <w:rsid w:val="00F46CB5"/>
    <w:rsid w:val="00F51572"/>
    <w:rsid w:val="00F51AE8"/>
    <w:rsid w:val="00F64AB5"/>
    <w:rsid w:val="00F70AE6"/>
    <w:rsid w:val="00F72072"/>
    <w:rsid w:val="00F73323"/>
    <w:rsid w:val="00F734EF"/>
    <w:rsid w:val="00F74057"/>
    <w:rsid w:val="00F7713B"/>
    <w:rsid w:val="00F93768"/>
    <w:rsid w:val="00F9635D"/>
    <w:rsid w:val="00FA4A17"/>
    <w:rsid w:val="00FB5CEA"/>
    <w:rsid w:val="00FB772B"/>
    <w:rsid w:val="00FC238C"/>
    <w:rsid w:val="00FC4772"/>
    <w:rsid w:val="00FC4989"/>
    <w:rsid w:val="00FD188F"/>
    <w:rsid w:val="00FE2F63"/>
    <w:rsid w:val="00FE5250"/>
    <w:rsid w:val="00FE5497"/>
    <w:rsid w:val="00FF0573"/>
    <w:rsid w:val="00FF39BA"/>
    <w:rsid w:val="00FF4F55"/>
    <w:rsid w:val="00FF540F"/>
    <w:rsid w:val="02113890"/>
    <w:rsid w:val="02632A14"/>
    <w:rsid w:val="0E801E15"/>
    <w:rsid w:val="182A6E38"/>
    <w:rsid w:val="1BD67D68"/>
    <w:rsid w:val="2C410318"/>
    <w:rsid w:val="2EC723AF"/>
    <w:rsid w:val="332D71A2"/>
    <w:rsid w:val="352D4A9F"/>
    <w:rsid w:val="36EA1A8C"/>
    <w:rsid w:val="37597E71"/>
    <w:rsid w:val="3E7C1CF4"/>
    <w:rsid w:val="435F0682"/>
    <w:rsid w:val="45F16F4B"/>
    <w:rsid w:val="5BA8072A"/>
    <w:rsid w:val="5CF55A79"/>
    <w:rsid w:val="68674D3B"/>
    <w:rsid w:val="69473A0D"/>
    <w:rsid w:val="747B61C4"/>
    <w:rsid w:val="7AED7FFE"/>
    <w:rsid w:val="7D056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nhideWhenUsed="0" w:uiPriority="99"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7"/>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4">
    <w:name w:val="heading 3"/>
    <w:basedOn w:val="1"/>
    <w:next w:val="1"/>
    <w:link w:val="60"/>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5">
    <w:name w:val="annotation text"/>
    <w:basedOn w:val="1"/>
    <w:link w:val="31"/>
    <w:unhideWhenUsed/>
    <w:qFormat/>
    <w:uiPriority w:val="99"/>
    <w:pPr>
      <w:jc w:val="left"/>
    </w:pPr>
  </w:style>
  <w:style w:type="paragraph" w:styleId="6">
    <w:name w:val="toc 3"/>
    <w:basedOn w:val="1"/>
    <w:next w:val="1"/>
    <w:unhideWhenUsed/>
    <w:qFormat/>
    <w:uiPriority w:val="39"/>
    <w:pPr>
      <w:ind w:left="840" w:leftChars="400"/>
    </w:pPr>
  </w:style>
  <w:style w:type="paragraph" w:styleId="7">
    <w:name w:val="Plain Text"/>
    <w:basedOn w:val="1"/>
    <w:link w:val="29"/>
    <w:qFormat/>
    <w:uiPriority w:val="0"/>
    <w:rPr>
      <w:rFonts w:ascii="宋体" w:hAnsi="Courier New" w:eastAsia="宋体" w:cs="Times New Roman"/>
      <w:szCs w:val="20"/>
    </w:rPr>
  </w:style>
  <w:style w:type="paragraph" w:styleId="8">
    <w:name w:val="Balloon Text"/>
    <w:basedOn w:val="1"/>
    <w:link w:val="27"/>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Subtitle"/>
    <w:basedOn w:val="1"/>
    <w:next w:val="1"/>
    <w:link w:val="55"/>
    <w:qFormat/>
    <w:uiPriority w:val="0"/>
    <w:pPr>
      <w:spacing w:before="240" w:after="60" w:line="312" w:lineRule="auto"/>
      <w:jc w:val="left"/>
      <w:outlineLvl w:val="1"/>
    </w:pPr>
    <w:rPr>
      <w:rFonts w:ascii="黑体" w:hAnsi="黑体" w:eastAsia="黑体" w:cs="Times New Roman"/>
      <w:bCs/>
      <w:kern w:val="28"/>
      <w:szCs w:val="32"/>
    </w:rPr>
  </w:style>
  <w:style w:type="paragraph" w:styleId="13">
    <w:name w:val="footnote text"/>
    <w:basedOn w:val="1"/>
    <w:link w:val="52"/>
    <w:qFormat/>
    <w:uiPriority w:val="0"/>
    <w:pPr>
      <w:numPr>
        <w:ilvl w:val="0"/>
        <w:numId w:val="1"/>
      </w:numPr>
      <w:snapToGrid w:val="0"/>
      <w:jc w:val="left"/>
    </w:pPr>
    <w:rPr>
      <w:rFonts w:ascii="宋体" w:hAnsi="Times New Roman" w:eastAsia="宋体" w:cs="Times New Roman"/>
      <w:sz w:val="18"/>
      <w:szCs w:val="18"/>
    </w:rPr>
  </w:style>
  <w:style w:type="paragraph" w:styleId="14">
    <w:name w:val="table of figures"/>
    <w:basedOn w:val="1"/>
    <w:next w:val="1"/>
    <w:unhideWhenUsed/>
    <w:qFormat/>
    <w:uiPriority w:val="99"/>
    <w:pPr>
      <w:ind w:left="200" w:leftChars="200" w:hanging="200" w:hangingChars="200"/>
    </w:pPr>
  </w:style>
  <w:style w:type="paragraph" w:styleId="15">
    <w:name w:val="toc 2"/>
    <w:basedOn w:val="1"/>
    <w:next w:val="1"/>
    <w:unhideWhenUsed/>
    <w:qFormat/>
    <w:uiPriority w:val="39"/>
    <w:pPr>
      <w:ind w:left="420" w:leftChars="200"/>
    </w:pPr>
  </w:style>
  <w:style w:type="paragraph" w:styleId="16">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styleId="17">
    <w:name w:val="annotation subject"/>
    <w:basedOn w:val="5"/>
    <w:next w:val="5"/>
    <w:link w:val="32"/>
    <w:unhideWhenUsed/>
    <w:qFormat/>
    <w:uiPriority w:val="99"/>
    <w:rPr>
      <w:b/>
      <w:bCs/>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1">
    <w:name w:val="page number"/>
    <w:basedOn w:val="20"/>
    <w:qFormat/>
    <w:uiPriority w:val="0"/>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unhideWhenUsed/>
    <w:qFormat/>
    <w:uiPriority w:val="99"/>
    <w:rPr>
      <w:sz w:val="21"/>
      <w:szCs w:val="21"/>
    </w:rPr>
  </w:style>
  <w:style w:type="character" w:styleId="24">
    <w:name w:val="footnote reference"/>
    <w:qFormat/>
    <w:uiPriority w:val="99"/>
    <w:rPr>
      <w:vertAlign w:val="superscript"/>
    </w:rPr>
  </w:style>
  <w:style w:type="character" w:customStyle="1" w:styleId="25">
    <w:name w:val="页眉 Char"/>
    <w:basedOn w:val="20"/>
    <w:link w:val="10"/>
    <w:qFormat/>
    <w:uiPriority w:val="99"/>
    <w:rPr>
      <w:sz w:val="18"/>
      <w:szCs w:val="18"/>
    </w:rPr>
  </w:style>
  <w:style w:type="character" w:customStyle="1" w:styleId="26">
    <w:name w:val="页脚 Char"/>
    <w:basedOn w:val="20"/>
    <w:link w:val="9"/>
    <w:qFormat/>
    <w:uiPriority w:val="99"/>
    <w:rPr>
      <w:sz w:val="18"/>
      <w:szCs w:val="18"/>
    </w:rPr>
  </w:style>
  <w:style w:type="character" w:customStyle="1" w:styleId="27">
    <w:name w:val="批注框文本 Char"/>
    <w:basedOn w:val="20"/>
    <w:link w:val="8"/>
    <w:semiHidden/>
    <w:qFormat/>
    <w:uiPriority w:val="99"/>
    <w:rPr>
      <w:sz w:val="18"/>
      <w:szCs w:val="18"/>
    </w:rPr>
  </w:style>
  <w:style w:type="paragraph" w:customStyle="1" w:styleId="28">
    <w:name w:val="列出段落1"/>
    <w:basedOn w:val="1"/>
    <w:qFormat/>
    <w:uiPriority w:val="34"/>
    <w:pPr>
      <w:ind w:firstLine="420" w:firstLineChars="200"/>
    </w:pPr>
  </w:style>
  <w:style w:type="character" w:customStyle="1" w:styleId="29">
    <w:name w:val="纯文本 Char"/>
    <w:basedOn w:val="20"/>
    <w:link w:val="7"/>
    <w:qFormat/>
    <w:uiPriority w:val="0"/>
    <w:rPr>
      <w:rFonts w:ascii="宋体" w:hAnsi="Courier New" w:eastAsia="宋体" w:cs="Times New Roman"/>
      <w:szCs w:val="20"/>
    </w:rPr>
  </w:style>
  <w:style w:type="paragraph" w:customStyle="1" w:styleId="30">
    <w:name w:val="Char Char Char Char"/>
    <w:basedOn w:val="1"/>
    <w:qFormat/>
    <w:uiPriority w:val="0"/>
    <w:pPr>
      <w:widowControl/>
      <w:spacing w:line="240" w:lineRule="exact"/>
      <w:jc w:val="left"/>
    </w:pPr>
    <w:rPr>
      <w:rFonts w:ascii="Verdana" w:hAnsi="Verdana" w:eastAsia="仿宋_GB2312" w:cs="”“Times New Roman”“"/>
      <w:kern w:val="0"/>
      <w:sz w:val="24"/>
      <w:szCs w:val="20"/>
      <w:lang w:eastAsia="en-US"/>
    </w:rPr>
  </w:style>
  <w:style w:type="character" w:customStyle="1" w:styleId="31">
    <w:name w:val="批注文字 Char"/>
    <w:basedOn w:val="20"/>
    <w:link w:val="5"/>
    <w:qFormat/>
    <w:uiPriority w:val="99"/>
  </w:style>
  <w:style w:type="character" w:customStyle="1" w:styleId="32">
    <w:name w:val="批注主题 Char"/>
    <w:basedOn w:val="31"/>
    <w:link w:val="17"/>
    <w:semiHidden/>
    <w:qFormat/>
    <w:uiPriority w:val="99"/>
    <w:rPr>
      <w:b/>
      <w:bCs/>
    </w:rPr>
  </w:style>
  <w:style w:type="paragraph" w:customStyle="1" w:styleId="33">
    <w:name w:val="封面编号"/>
    <w:qFormat/>
    <w:uiPriority w:val="0"/>
    <w:pPr>
      <w:spacing w:after="160" w:line="278" w:lineRule="auto"/>
      <w:ind w:right="284"/>
      <w:jc w:val="right"/>
    </w:pPr>
    <w:rPr>
      <w:rFonts w:ascii="Times New Roman" w:hAnsi="Times New Roman" w:eastAsia="黑体" w:cs="Times New Roman"/>
      <w:spacing w:val="20"/>
      <w:sz w:val="28"/>
      <w:lang w:val="en-US" w:eastAsia="zh-CN" w:bidi="ar-SA"/>
    </w:rPr>
  </w:style>
  <w:style w:type="paragraph" w:customStyle="1" w:styleId="34">
    <w:name w:val="宋体小四"/>
    <w:link w:val="35"/>
    <w:qFormat/>
    <w:uiPriority w:val="0"/>
    <w:pPr>
      <w:spacing w:after="160" w:line="300" w:lineRule="auto"/>
      <w:ind w:firstLine="480" w:firstLineChars="200"/>
      <w:jc w:val="both"/>
    </w:pPr>
    <w:rPr>
      <w:rFonts w:ascii="Times New Roman" w:hAnsi="Times New Roman" w:eastAsia="宋体" w:cs="Times New Roman"/>
      <w:kern w:val="2"/>
      <w:sz w:val="24"/>
      <w:szCs w:val="24"/>
      <w:lang w:val="en-US" w:eastAsia="zh-CN" w:bidi="ar-SA"/>
    </w:rPr>
  </w:style>
  <w:style w:type="character" w:customStyle="1" w:styleId="35">
    <w:name w:val="宋体小四 Char"/>
    <w:link w:val="34"/>
    <w:qFormat/>
    <w:uiPriority w:val="0"/>
    <w:rPr>
      <w:rFonts w:ascii="Times New Roman" w:hAnsi="Times New Roman" w:eastAsia="宋体" w:cs="Times New Roman"/>
      <w:sz w:val="24"/>
      <w:szCs w:val="24"/>
    </w:rPr>
  </w:style>
  <w:style w:type="character" w:customStyle="1" w:styleId="36">
    <w:name w:val="标题 1 Char"/>
    <w:basedOn w:val="20"/>
    <w:link w:val="2"/>
    <w:qFormat/>
    <w:uiPriority w:val="0"/>
    <w:rPr>
      <w:rFonts w:ascii="Times New Roman" w:hAnsi="Times New Roman" w:eastAsia="宋体" w:cs="Times New Roman"/>
      <w:b/>
      <w:bCs/>
      <w:kern w:val="44"/>
      <w:sz w:val="44"/>
      <w:szCs w:val="44"/>
    </w:rPr>
  </w:style>
  <w:style w:type="character" w:customStyle="1" w:styleId="37">
    <w:name w:val="标题 2 Char"/>
    <w:basedOn w:val="20"/>
    <w:link w:val="3"/>
    <w:qFormat/>
    <w:uiPriority w:val="0"/>
    <w:rPr>
      <w:rFonts w:ascii="Cambria" w:hAnsi="Cambria" w:eastAsia="宋体" w:cs="Times New Roman"/>
      <w:b/>
      <w:bCs/>
      <w:sz w:val="32"/>
      <w:szCs w:val="32"/>
    </w:rPr>
  </w:style>
  <w:style w:type="paragraph" w:customStyle="1" w:styleId="38">
    <w:name w:val="标准书眉_奇数页"/>
    <w:next w:val="1"/>
    <w:qFormat/>
    <w:uiPriority w:val="0"/>
    <w:pPr>
      <w:tabs>
        <w:tab w:val="center" w:pos="4154"/>
        <w:tab w:val="right" w:pos="8306"/>
      </w:tabs>
      <w:spacing w:after="120" w:line="278" w:lineRule="auto"/>
      <w:jc w:val="right"/>
    </w:pPr>
    <w:rPr>
      <w:rFonts w:ascii="Times New Roman" w:hAnsi="Times New Roman" w:eastAsia="宋体" w:cs="Times New Roman"/>
      <w:sz w:val="21"/>
      <w:lang w:val="en-US" w:eastAsia="zh-CN" w:bidi="ar-SA"/>
    </w:rPr>
  </w:style>
  <w:style w:type="character" w:customStyle="1" w:styleId="39">
    <w:name w:val="发布"/>
    <w:qFormat/>
    <w:uiPriority w:val="99"/>
    <w:rPr>
      <w:rFonts w:ascii="黑体" w:eastAsia="黑体"/>
      <w:spacing w:val="22"/>
      <w:w w:val="100"/>
      <w:position w:val="3"/>
      <w:sz w:val="28"/>
    </w:rPr>
  </w:style>
  <w:style w:type="paragraph" w:customStyle="1" w:styleId="40">
    <w:name w:val="发布部门"/>
    <w:next w:val="1"/>
    <w:qFormat/>
    <w:uiPriority w:val="0"/>
    <w:pPr>
      <w:framePr w:w="7433" w:h="585" w:hRule="exact" w:hSpace="180" w:vSpace="180" w:wrap="around" w:vAnchor="margin" w:hAnchor="margin" w:xAlign="center" w:y="14401" w:anchorLock="1"/>
      <w:spacing w:after="160" w:line="278" w:lineRule="auto"/>
      <w:jc w:val="center"/>
    </w:pPr>
    <w:rPr>
      <w:rFonts w:ascii="宋体" w:hAnsi="Times New Roman" w:eastAsia="宋体" w:cs="Times New Roman"/>
      <w:b/>
      <w:spacing w:val="20"/>
      <w:w w:val="135"/>
      <w:sz w:val="36"/>
      <w:lang w:val="en-US" w:eastAsia="zh-CN" w:bidi="ar-SA"/>
    </w:rPr>
  </w:style>
  <w:style w:type="paragraph" w:customStyle="1" w:styleId="41">
    <w:name w:val="封面标准号1"/>
    <w:qFormat/>
    <w:uiPriority w:val="0"/>
    <w:pPr>
      <w:widowControl w:val="0"/>
      <w:kinsoku w:val="0"/>
      <w:overflowPunct w:val="0"/>
      <w:autoSpaceDE w:val="0"/>
      <w:autoSpaceDN w:val="0"/>
      <w:spacing w:before="308" w:after="160" w:line="278" w:lineRule="auto"/>
      <w:jc w:val="right"/>
      <w:textAlignment w:val="center"/>
    </w:pPr>
    <w:rPr>
      <w:rFonts w:ascii="Times New Roman" w:hAnsi="Times New Roman" w:eastAsia="宋体" w:cs="Times New Roman"/>
      <w:sz w:val="28"/>
      <w:lang w:val="en-US" w:eastAsia="zh-CN" w:bidi="ar-SA"/>
    </w:rPr>
  </w:style>
  <w:style w:type="paragraph" w:customStyle="1" w:styleId="42">
    <w:name w:val="文献分类号"/>
    <w:qFormat/>
    <w:uiPriority w:val="99"/>
    <w:pPr>
      <w:framePr w:hSpace="180" w:vSpace="180" w:wrap="around" w:vAnchor="margin" w:hAnchor="margin" w:y="1" w:anchorLock="1"/>
      <w:widowControl w:val="0"/>
      <w:spacing w:after="160" w:line="278" w:lineRule="auto"/>
      <w:textAlignment w:val="center"/>
    </w:pPr>
    <w:rPr>
      <w:rFonts w:ascii="Times New Roman" w:hAnsi="Times New Roman" w:eastAsia="黑体" w:cs="Times New Roman"/>
      <w:sz w:val="21"/>
      <w:lang w:val="en-US" w:eastAsia="zh-CN" w:bidi="ar-SA"/>
    </w:rPr>
  </w:style>
  <w:style w:type="paragraph" w:customStyle="1" w:styleId="43">
    <w:name w:val="段"/>
    <w:link w:val="48"/>
    <w:qFormat/>
    <w:uiPriority w:val="99"/>
    <w:pPr>
      <w:autoSpaceDE w:val="0"/>
      <w:autoSpaceDN w:val="0"/>
      <w:spacing w:after="160" w:line="278" w:lineRule="auto"/>
      <w:ind w:firstLine="200" w:firstLineChars="200"/>
      <w:jc w:val="both"/>
    </w:pPr>
    <w:rPr>
      <w:rFonts w:ascii="宋体" w:hAnsi="Times New Roman" w:eastAsia="宋体" w:cs="Times New Roman"/>
      <w:sz w:val="21"/>
      <w:lang w:val="en-US" w:eastAsia="zh-CN" w:bidi="ar-SA"/>
    </w:rPr>
  </w:style>
  <w:style w:type="paragraph" w:customStyle="1" w:styleId="44">
    <w:name w:val="正文标题"/>
    <w:qFormat/>
    <w:uiPriority w:val="0"/>
    <w:pPr>
      <w:spacing w:after="160" w:line="278" w:lineRule="auto"/>
    </w:pPr>
    <w:rPr>
      <w:rFonts w:ascii="黑体" w:hAnsi="Times New Roman" w:eastAsia="黑体" w:cs="Times New Roman"/>
      <w:sz w:val="21"/>
      <w:lang w:val="en-US" w:eastAsia="zh-CN" w:bidi="ar-SA"/>
    </w:rPr>
  </w:style>
  <w:style w:type="paragraph" w:customStyle="1" w:styleId="45">
    <w:name w:val="正文左对齐"/>
    <w:basedOn w:val="1"/>
    <w:qFormat/>
    <w:uiPriority w:val="0"/>
    <w:pPr>
      <w:adjustRightInd w:val="0"/>
      <w:spacing w:afterLines="50" w:line="320" w:lineRule="exact"/>
      <w:ind w:firstLine="480" w:firstLineChars="200"/>
      <w:jc w:val="left"/>
      <w:textAlignment w:val="baseline"/>
    </w:pPr>
    <w:rPr>
      <w:rFonts w:ascii="宋体" w:hAnsi="华文细黑" w:eastAsia="宋体" w:cs="Times New Roman"/>
      <w:kern w:val="0"/>
      <w:sz w:val="24"/>
      <w:szCs w:val="20"/>
    </w:rPr>
  </w:style>
  <w:style w:type="paragraph" w:customStyle="1" w:styleId="46">
    <w:name w:val="封面日期"/>
    <w:qFormat/>
    <w:uiPriority w:val="0"/>
    <w:pPr>
      <w:spacing w:after="160" w:line="278" w:lineRule="auto"/>
      <w:jc w:val="center"/>
    </w:pPr>
    <w:rPr>
      <w:rFonts w:ascii="黑体" w:hAnsi="Times New Roman" w:eastAsia="黑体" w:cs="Times New Roman"/>
      <w:spacing w:val="4"/>
      <w:sz w:val="28"/>
      <w:lang w:val="en-US" w:eastAsia="zh-CN" w:bidi="ar-SA"/>
    </w:rPr>
  </w:style>
  <w:style w:type="paragraph" w:customStyle="1" w:styleId="47">
    <w:name w:val="一级条标题"/>
    <w:basedOn w:val="1"/>
    <w:next w:val="43"/>
    <w:link w:val="53"/>
    <w:qFormat/>
    <w:uiPriority w:val="0"/>
    <w:pPr>
      <w:widowControl/>
      <w:outlineLvl w:val="2"/>
    </w:pPr>
    <w:rPr>
      <w:rFonts w:ascii="黑体" w:hAnsi="Times New Roman" w:eastAsia="黑体" w:cs="Times New Roman"/>
      <w:kern w:val="0"/>
      <w:szCs w:val="20"/>
    </w:rPr>
  </w:style>
  <w:style w:type="character" w:customStyle="1" w:styleId="48">
    <w:name w:val="段 Char"/>
    <w:link w:val="43"/>
    <w:qFormat/>
    <w:uiPriority w:val="99"/>
    <w:rPr>
      <w:rFonts w:ascii="宋体" w:hAnsi="Times New Roman" w:eastAsia="宋体" w:cs="Times New Roman"/>
      <w:kern w:val="0"/>
      <w:szCs w:val="20"/>
    </w:rPr>
  </w:style>
  <w:style w:type="character" w:customStyle="1" w:styleId="49">
    <w:name w:val="页眉 字符1"/>
    <w:qFormat/>
    <w:uiPriority w:val="0"/>
    <w:rPr>
      <w:rFonts w:ascii="仿宋_GB2312" w:hAnsi="宋体" w:eastAsia="仿宋_GB2312"/>
      <w:kern w:val="2"/>
      <w:sz w:val="18"/>
      <w:szCs w:val="18"/>
    </w:rPr>
  </w:style>
  <w:style w:type="paragraph" w:customStyle="1" w:styleId="50">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after="160" w:line="0" w:lineRule="atLeast"/>
      <w:jc w:val="distribute"/>
    </w:pPr>
    <w:rPr>
      <w:rFonts w:ascii="宋体" w:hAnsi="Times New Roman" w:eastAsia="宋体" w:cs="Times New Roman"/>
      <w:b/>
      <w:bCs/>
      <w:spacing w:val="20"/>
      <w:w w:val="148"/>
      <w:sz w:val="48"/>
      <w:lang w:val="en-US" w:eastAsia="zh-CN" w:bidi="ar-SA"/>
    </w:rPr>
  </w:style>
  <w:style w:type="paragraph" w:customStyle="1" w:styleId="51">
    <w:name w:val="标准标志"/>
    <w:next w:val="1"/>
    <w:qFormat/>
    <w:uiPriority w:val="0"/>
    <w:pPr>
      <w:framePr w:w="2546" w:h="1389" w:hRule="exact" w:hSpace="181" w:vSpace="181" w:wrap="around" w:vAnchor="margin" w:hAnchor="margin" w:x="6522" w:y="398" w:anchorLock="1"/>
      <w:shd w:val="solid" w:color="FFFFFF" w:fill="FFFFFF"/>
      <w:spacing w:after="160" w:line="0" w:lineRule="atLeast"/>
      <w:jc w:val="right"/>
    </w:pPr>
    <w:rPr>
      <w:rFonts w:ascii="Times New Roman" w:hAnsi="Times New Roman" w:eastAsia="宋体" w:cs="Times New Roman"/>
      <w:b/>
      <w:w w:val="170"/>
      <w:sz w:val="96"/>
      <w:szCs w:val="96"/>
      <w:lang w:val="en-US" w:eastAsia="zh-CN" w:bidi="ar-SA"/>
    </w:rPr>
  </w:style>
  <w:style w:type="character" w:customStyle="1" w:styleId="52">
    <w:name w:val="脚注文本 Char"/>
    <w:basedOn w:val="20"/>
    <w:link w:val="13"/>
    <w:qFormat/>
    <w:uiPriority w:val="0"/>
    <w:rPr>
      <w:rFonts w:ascii="宋体" w:hAnsi="Times New Roman" w:eastAsia="宋体" w:cs="Times New Roman"/>
      <w:sz w:val="18"/>
      <w:szCs w:val="18"/>
    </w:rPr>
  </w:style>
  <w:style w:type="character" w:customStyle="1" w:styleId="53">
    <w:name w:val="一级条标题 Char"/>
    <w:link w:val="47"/>
    <w:qFormat/>
    <w:uiPriority w:val="0"/>
    <w:rPr>
      <w:rFonts w:ascii="黑体" w:hAnsi="Times New Roman" w:eastAsia="黑体" w:cs="Times New Roman"/>
      <w:kern w:val="0"/>
      <w:szCs w:val="20"/>
    </w:rPr>
  </w:style>
  <w:style w:type="character" w:customStyle="1" w:styleId="54">
    <w:name w:val="副标题 字符"/>
    <w:basedOn w:val="20"/>
    <w:qFormat/>
    <w:uiPriority w:val="11"/>
    <w:rPr>
      <w:b/>
      <w:bCs/>
      <w:kern w:val="28"/>
      <w:sz w:val="32"/>
      <w:szCs w:val="32"/>
    </w:rPr>
  </w:style>
  <w:style w:type="character" w:customStyle="1" w:styleId="55">
    <w:name w:val="副标题 Char"/>
    <w:link w:val="12"/>
    <w:qFormat/>
    <w:uiPriority w:val="0"/>
    <w:rPr>
      <w:rFonts w:ascii="黑体" w:hAnsi="黑体" w:eastAsia="黑体" w:cs="Times New Roman"/>
      <w:bCs/>
      <w:kern w:val="28"/>
      <w:szCs w:val="32"/>
    </w:rPr>
  </w:style>
  <w:style w:type="paragraph" w:customStyle="1" w:styleId="56">
    <w:name w:val="无间隔1"/>
    <w:qFormat/>
    <w:uiPriority w:val="1"/>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customStyle="1" w:styleId="5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58">
    <w:name w:val="其他标准称谓"/>
    <w:next w:val="1"/>
    <w:qFormat/>
    <w:uiPriority w:val="0"/>
    <w:pPr>
      <w:framePr w:hSpace="181" w:vSpace="181" w:wrap="around" w:vAnchor="page" w:hAnchor="page" w:x="1419" w:y="2286" w:anchorLock="1"/>
      <w:spacing w:after="160" w:line="0" w:lineRule="atLeast"/>
      <w:jc w:val="distribute"/>
    </w:pPr>
    <w:rPr>
      <w:rFonts w:ascii="黑体" w:hAnsi="宋体" w:eastAsia="黑体" w:cs="Times New Roman"/>
      <w:spacing w:val="-40"/>
      <w:sz w:val="48"/>
      <w:szCs w:val="52"/>
      <w:lang w:val="en-US" w:eastAsia="zh-CN" w:bidi="ar-SA"/>
    </w:rPr>
  </w:style>
  <w:style w:type="paragraph" w:customStyle="1" w:styleId="59">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0">
    <w:name w:val="标题 3 Char"/>
    <w:basedOn w:val="20"/>
    <w:link w:val="4"/>
    <w:qFormat/>
    <w:uiPriority w:val="9"/>
    <w:rPr>
      <w:rFonts w:asciiTheme="minorHAnsi" w:hAnsiTheme="minorHAnsi" w:eastAsiaTheme="minorEastAsia" w:cstheme="minorBidi"/>
      <w:b/>
      <w:bCs/>
      <w:kern w:val="2"/>
      <w:sz w:val="32"/>
      <w:szCs w:val="32"/>
    </w:rPr>
  </w:style>
  <w:style w:type="paragraph" w:customStyle="1" w:styleId="61">
    <w:name w:val="EndNote Bibliography Title"/>
    <w:basedOn w:val="1"/>
    <w:link w:val="62"/>
    <w:qFormat/>
    <w:uiPriority w:val="0"/>
    <w:pPr>
      <w:spacing w:after="0"/>
      <w:jc w:val="center"/>
    </w:pPr>
    <w:rPr>
      <w:rFonts w:ascii="Calibri" w:hAnsi="Calibri" w:cs="Calibri"/>
      <w:sz w:val="20"/>
    </w:rPr>
  </w:style>
  <w:style w:type="character" w:customStyle="1" w:styleId="62">
    <w:name w:val="EndNote Bibliography Title 字符"/>
    <w:basedOn w:val="48"/>
    <w:link w:val="61"/>
    <w:qFormat/>
    <w:uiPriority w:val="0"/>
    <w:rPr>
      <w:rFonts w:ascii="Calibri" w:hAnsi="Calibri" w:cs="Calibri" w:eastAsiaTheme="minorEastAsia"/>
      <w:kern w:val="2"/>
      <w:szCs w:val="22"/>
    </w:rPr>
  </w:style>
  <w:style w:type="paragraph" w:customStyle="1" w:styleId="63">
    <w:name w:val="EndNote Bibliography"/>
    <w:basedOn w:val="1"/>
    <w:link w:val="64"/>
    <w:qFormat/>
    <w:uiPriority w:val="0"/>
    <w:pPr>
      <w:spacing w:line="240" w:lineRule="auto"/>
    </w:pPr>
    <w:rPr>
      <w:rFonts w:ascii="Calibri" w:hAnsi="Calibri" w:cs="Calibri"/>
      <w:sz w:val="20"/>
    </w:rPr>
  </w:style>
  <w:style w:type="character" w:customStyle="1" w:styleId="64">
    <w:name w:val="EndNote Bibliography 字符"/>
    <w:basedOn w:val="48"/>
    <w:link w:val="63"/>
    <w:qFormat/>
    <w:uiPriority w:val="0"/>
    <w:rPr>
      <w:rFonts w:ascii="Calibri" w:hAnsi="Calibri" w:cs="Calibri" w:eastAsiaTheme="minorEastAsia"/>
      <w:kern w:val="2"/>
      <w:szCs w:val="22"/>
    </w:rPr>
  </w:style>
  <w:style w:type="paragraph" w:customStyle="1" w:styleId="65">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6">
    <w:name w:val="Unresolved Mention"/>
    <w:basedOn w:val="20"/>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3795C7-A5DB-4B95-A9C8-69F4D0C093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3596</Words>
  <Characters>20498</Characters>
  <Lines>170</Lines>
  <Paragraphs>48</Paragraphs>
  <TotalTime>5</TotalTime>
  <ScaleCrop>false</ScaleCrop>
  <LinksUpToDate>false</LinksUpToDate>
  <CharactersWithSpaces>24046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2025-12-26T08:59:00Z</dcterms:created>
  <dc:creator>MNL</dc:creator>
  <cp:lastModifiedBy>1</cp:lastModifiedBy>
  <cp:lastPrinted>2025-10-09T13:09:00Z</cp:lastPrinted>
  <dcterms:modified xsi:type="dcterms:W3CDTF">2025-12-31T05:07:34Z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KSOTemplateDocerSaveRecord">
    <vt:lpwstr>eyJoZGlkIjoiNjZiNTg1NjRkYTI2NjVkYjhiMTkzYWY3ZDBlOTJlMmEiLCJ1c2VySWQiOiIxNTY5NjU2MjM1In0=</vt:lpwstr>
  </property>
  <property fmtid="{D5CDD505-2E9C-101B-9397-08002B2CF9AE}" pid="4" name="ICV">
    <vt:lpwstr>611E0182BEA44C9E8D8BDF81C48E90EF_12</vt:lpwstr>
  </property>
</Properties>
</file>