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36FA76">
      <w:pPr>
        <w:pStyle w:val="63"/>
        <w:framePr w:wrap="around"/>
        <w:pBdr>
          <w:top w:val="none" w:color="auto" w:sz="0" w:space="0"/>
          <w:left w:val="none" w:color="auto" w:sz="0" w:space="0"/>
          <w:bottom w:val="none" w:color="auto" w:sz="0" w:space="0"/>
          <w:right w:val="none" w:color="auto" w:sz="0" w:space="0"/>
        </w:pBdr>
        <w:rPr>
          <w:rFonts w:hint="eastAsia" w:hAnsi="黑体"/>
        </w:rPr>
      </w:pPr>
      <w:r>
        <w:rPr>
          <w:rFonts w:hAnsi="黑体"/>
        </w:rPr>
        <w:t>ICS </w:t>
      </w:r>
    </w:p>
    <w:p w14:paraId="62333371">
      <w:pPr>
        <w:pStyle w:val="63"/>
        <w:framePr w:wrap="around"/>
        <w:pBdr>
          <w:top w:val="none" w:color="auto" w:sz="0" w:space="0"/>
          <w:left w:val="none" w:color="auto" w:sz="0" w:space="0"/>
          <w:bottom w:val="none" w:color="auto" w:sz="0" w:space="0"/>
          <w:right w:val="none" w:color="auto" w:sz="0" w:space="0"/>
        </w:pBdr>
        <w:rPr>
          <w:rFonts w:hint="eastAsia" w:hAnsi="黑体"/>
        </w:rPr>
      </w:pPr>
      <w:r>
        <w:rPr>
          <w:rFonts w:hint="eastAsia" w:hAnsi="黑体"/>
        </w:rPr>
        <w:t>C</w:t>
      </w:r>
      <w:r>
        <w:rPr>
          <w:rFonts w:hAnsi="黑体"/>
        </w:rPr>
        <w:t>CS 点击此处添加中国标准文献分类号</w:t>
      </w:r>
    </w:p>
    <w:p w14:paraId="76E6C444">
      <w:pPr>
        <w:pStyle w:val="105"/>
        <w:framePr w:wrap="around"/>
        <w:spacing w:line="360" w:lineRule="auto"/>
      </w:pPr>
    </w:p>
    <w:p w14:paraId="73AD8E03">
      <w:pPr>
        <w:pStyle w:val="56"/>
        <w:framePr w:wrap="around"/>
      </w:pPr>
      <w:r>
        <w:t>神经系统自身免疫疾病B细胞靶向生物制剂临床应用指南</w:t>
      </w:r>
    </w:p>
    <w:p w14:paraId="642DFEBA">
      <w:pPr>
        <w:pStyle w:val="55"/>
        <w:framePr w:wrap="around"/>
        <w:rPr>
          <w:rFonts w:hint="default" w:eastAsia="黑体"/>
          <w:lang w:val="en-US" w:eastAsia="zh-CN"/>
        </w:rPr>
      </w:pPr>
      <w:r>
        <w:rPr>
          <w:rFonts w:hint="eastAsia"/>
          <w:lang w:val="en-US" w:eastAsia="zh-CN"/>
        </w:rPr>
        <w:t xml:space="preserve">Clinical </w:t>
      </w:r>
      <w:r>
        <w:rPr>
          <w:rFonts w:hint="eastAsia"/>
        </w:rPr>
        <w:t xml:space="preserve">application standard of </w:t>
      </w:r>
      <w:r>
        <w:rPr>
          <w:rFonts w:hint="eastAsia"/>
          <w:lang w:val="en-US" w:eastAsia="zh-CN"/>
        </w:rPr>
        <w:t>B</w:t>
      </w:r>
      <w:r>
        <w:rPr>
          <w:rFonts w:hint="eastAsia"/>
        </w:rPr>
        <w:t xml:space="preserve"> lymphocyte-targeted bio-therapy in autoimmune</w:t>
      </w:r>
      <w:r>
        <w:rPr>
          <w:rFonts w:hint="eastAsia"/>
          <w:lang w:val="en-US" w:eastAsia="zh-CN"/>
        </w:rPr>
        <w:t xml:space="preserve"> </w:t>
      </w:r>
      <w:r>
        <w:rPr>
          <w:rFonts w:hint="eastAsia"/>
        </w:rPr>
        <w:t>diseases in the central nervous system</w:t>
      </w:r>
    </w:p>
    <w:p w14:paraId="5392064D">
      <w:pPr>
        <w:pStyle w:val="54"/>
        <w:framePr w:wrap="around"/>
      </w:pPr>
      <w:r>
        <w:rPr>
          <w:rFonts w:hint="eastAsia"/>
        </w:rPr>
        <w:t>点击此处添加与国际标准一致性程度的标识</w:t>
      </w:r>
    </w:p>
    <w:tbl>
      <w:tblPr>
        <w:tblStyle w:val="3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29"/>
      </w:tblGrid>
      <w:tr w14:paraId="7AABA9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9" w:type="dxa"/>
            <w:tcBorders>
              <w:top w:val="nil"/>
              <w:left w:val="nil"/>
              <w:bottom w:val="nil"/>
              <w:right w:val="nil"/>
            </w:tcBorders>
          </w:tcPr>
          <w:p w14:paraId="2408A4EC">
            <w:pPr>
              <w:pStyle w:val="68"/>
              <w:framePr w:wrap="around"/>
            </w:pPr>
            <w:r>
              <mc:AlternateContent>
                <mc:Choice Requires="wps">
                  <w:drawing>
                    <wp:anchor distT="0" distB="0" distL="114300" distR="114300" simplePos="0" relativeHeight="251664384" behindDoc="1" locked="1" layoutInCell="1" allowOverlap="1">
                      <wp:simplePos x="0" y="0"/>
                      <wp:positionH relativeFrom="column">
                        <wp:posOffset>2132330</wp:posOffset>
                      </wp:positionH>
                      <wp:positionV relativeFrom="paragraph">
                        <wp:posOffset>573405</wp:posOffset>
                      </wp:positionV>
                      <wp:extent cx="1905000" cy="254000"/>
                      <wp:effectExtent l="0" t="0" r="0" b="0"/>
                      <wp:wrapNone/>
                      <wp:docPr id="9" name="RQ"/>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Q" o:spid="_x0000_s1026" o:spt="1" style="position:absolute;left:0pt;margin-left:167.9pt;margin-top:45.15pt;height:20pt;width:150pt;z-index:-251652096;v-text-anchor:middle;mso-width-relative:page;mso-height-relative:page;" fillcolor="#FFFFFF" filled="t" stroked="f" coordsize="21600,21600" o:gfxdata="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SKI4XdMAAAAKAQAADwAAAAAAAAAB&#10;ACAAAAAiAAAAZHJzL2Rvd25yZXYueG1sUEsBAhQAFAAAAAgAh07iQKSuKlFOAgAAvAQAAA4AAAAA&#10;AAAAAQAgAAAAIgEAAGRycy9lMm9Eb2MueG1sUEsFBgAAAAAGAAYAWQEAAOIFAAAAAA==&#10;">
                      <v:fill on="t" focussize="0,0"/>
                      <v:stroke on="f" weight="2pt"/>
                      <v:imagedata o:title=""/>
                      <o:lock v:ext="edit" aspectratio="f"/>
                      <w10:anchorlock/>
                    </v:rect>
                  </w:pict>
                </mc:Fallback>
              </mc:AlternateContent>
            </w:r>
            <w:r>
              <mc:AlternateContent>
                <mc:Choice Requires="wps">
                  <w:drawing>
                    <wp:anchor distT="0" distB="0" distL="114300" distR="114300" simplePos="0" relativeHeight="251663360" behindDoc="1" locked="0" layoutInCell="1" allowOverlap="1">
                      <wp:simplePos x="0" y="0"/>
                      <wp:positionH relativeFrom="column">
                        <wp:posOffset>2386330</wp:posOffset>
                      </wp:positionH>
                      <wp:positionV relativeFrom="paragraph">
                        <wp:posOffset>255905</wp:posOffset>
                      </wp:positionV>
                      <wp:extent cx="1270000" cy="304800"/>
                      <wp:effectExtent l="0" t="0" r="0" b="0"/>
                      <wp:wrapNone/>
                      <wp:docPr id="8" name="LB"/>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LB" o:spid="_x0000_s1026" o:spt="1" style="position:absolute;left:0pt;margin-left:187.9pt;margin-top:20.15pt;height:24pt;width:100pt;z-index:-251653120;v-text-anchor:middle;mso-width-relative:page;mso-height-relative:page;" fillcolor="#FFFFFF" filled="t" stroked="f" coordsize="21600,21600" o:gfxdata="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I0gRy/UAAAACQEAAA8AAAAA&#10;AAAAAQAgAAAAIgAAAGRycy9kb3ducmV2LnhtbFBLAQIUABQAAAAIAIdO4kA70EwBUQIAALwEAAAO&#10;AAAAAAAAAAEAIAAAACMBAABkcnMvZTJvRG9jLnhtbFBLBQYAAAAABgAGAFkBAADmBQAAAAA=&#10;">
                      <v:fill on="t" focussize="0,0"/>
                      <v:stroke on="f" weight="2pt"/>
                      <v:imagedata o:title=""/>
                      <o:lock v:ext="edit" aspectratio="f"/>
                    </v:rect>
                  </w:pict>
                </mc:Fallback>
              </mc:AlternateContent>
            </w:r>
            <w:r>
              <w:rPr>
                <w:rFonts w:hint="eastAsia"/>
              </w:rPr>
              <w:t>点击此处添加文稿版次</w:t>
            </w:r>
          </w:p>
        </w:tc>
      </w:tr>
      <w:tr w14:paraId="73B678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9" w:type="dxa"/>
            <w:tcBorders>
              <w:top w:val="nil"/>
              <w:left w:val="nil"/>
              <w:bottom w:val="nil"/>
              <w:right w:val="nil"/>
            </w:tcBorders>
          </w:tcPr>
          <w:p w14:paraId="2689134F">
            <w:pPr>
              <w:pStyle w:val="67"/>
              <w:framePr w:wrap="around"/>
            </w:pPr>
          </w:p>
        </w:tc>
      </w:tr>
    </w:tbl>
    <w:p w14:paraId="648954A0">
      <w:pPr>
        <w:pStyle w:val="129"/>
        <w:framePr w:wrap="around"/>
        <w:spacing w:line="360" w:lineRule="auto"/>
      </w:pPr>
      <w:r>
        <w:rPr>
          <w:rFonts w:ascii="黑体"/>
        </w:rPr>
        <w:t>xxxx - xx - xx</w:t>
      </w:r>
      <w:r>
        <w:rPr>
          <w:rFonts w:hint="eastAsia"/>
        </w:rPr>
        <w:t>发布</w:t>
      </w:r>
      <w:r>
        <w:rPr>
          <w:rFonts w:hint="eastAsia"/>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2339340</wp:posOffset>
                </wp:positionV>
                <wp:extent cx="612013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6120000"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0pt;margin-top:184.2pt;height:0pt;width:481.9pt;z-index:251660288;mso-width-relative:page;mso-height-relative:page;" filled="f" stroked="t" coordsize="21600,21600" o:gfxdata="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N3ymz1QAAAAgBAAAPAAAAAAAA&#10;AAEAIAAAACIAAABkcnMvZG93bnJldi54bWxQSwECFAAUAAAACACHTuJAp7XnDdwBAACoAwAADgAA&#10;AAAAAAABACAAAAAkAQAAZHJzL2Uyb0RvYy54bWxQSwUGAAAAAAYABgBZAQAAcgUAAAAA&#10;">
                <v:fill on="f" focussize="0,0"/>
                <v:stroke color="#000000" joinstyle="round"/>
                <v:imagedata o:title=""/>
                <o:lock v:ext="edit" aspectratio="f"/>
              </v:line>
            </w:pict>
          </mc:Fallback>
        </mc:AlternateContent>
      </w:r>
      <w:r>
        <w:rPr>
          <w:rFonts w:hint="eastAsia"/>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8891905</wp:posOffset>
                </wp:positionV>
                <wp:extent cx="612013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6120000"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0pt;margin-top:700.15pt;height:0pt;width:481.9pt;z-index:251659264;mso-width-relative:page;mso-height-relative:page;" filled="f" stroked="t" coordsize="21600,21600" o:gfxdata="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Dr9Go1QAAAAoBAAAPAAAAAAAA&#10;AAEAIAAAACIAAABkcnMvZG93bnJldi54bWxQSwECFAAUAAAACACHTuJARcPzM9wBAACoAwAADgAA&#10;AAAAAAABACAAAAAkAQAAZHJzL2Uyb0RvYy54bWxQSwUGAAAAAAYABgBZAQAAcgUAAAAA&#10;">
                <v:fill on="f" focussize="0,0"/>
                <v:stroke color="#000000" joinstyle="round"/>
                <v:imagedata o:title=""/>
                <o:lock v:ext="edit" aspectratio="f"/>
              </v:line>
            </w:pict>
          </mc:Fallback>
        </mc:AlternateContent>
      </w:r>
    </w:p>
    <w:p w14:paraId="03805A1A">
      <w:pPr>
        <w:pStyle w:val="58"/>
        <w:framePr w:wrap="around"/>
        <w:spacing w:line="360" w:lineRule="auto"/>
      </w:pPr>
      <w:r>
        <w:rPr>
          <w:rFonts w:ascii="黑体"/>
        </w:rPr>
        <w:t>xxxx - xx - xx</w:t>
      </w:r>
      <w:r>
        <w:rPr>
          <w:rFonts w:hint="eastAsia"/>
        </w:rPr>
        <w:t>实施</w:t>
      </w:r>
    </w:p>
    <w:p w14:paraId="6E0D5CAD">
      <w:pPr>
        <w:pStyle w:val="94"/>
        <w:framePr w:wrap="around"/>
        <w:spacing w:line="360" w:lineRule="auto"/>
      </w:pPr>
    </w:p>
    <w:p w14:paraId="11A952C2">
      <w:pPr>
        <w:pStyle w:val="93"/>
        <w:framePr w:wrap="around"/>
        <w:spacing w:line="360" w:lineRule="auto"/>
      </w:pPr>
      <w:r>
        <w:rPr>
          <w:rStyle w:val="138"/>
          <w:rFonts w:hint="eastAsia"/>
        </w:rPr>
        <w:t>中国医药教育协会发布</w:t>
      </w:r>
    </w:p>
    <w:p w14:paraId="27D8A456">
      <w:pPr>
        <w:pStyle w:val="71"/>
        <w:framePr w:w="6229" w:wrap="around" w:x="3060" w:y="2000"/>
        <w:spacing w:line="360" w:lineRule="auto"/>
        <w:rPr>
          <w:rFonts w:ascii="Times New Roman" w:hAnsi="Times New Roman"/>
        </w:rPr>
      </w:pPr>
      <w:r>
        <w:rPr>
          <w:sz w:val="72"/>
          <w:szCs w:val="72"/>
        </w:rPr>
        <w:t>团体标</w:t>
      </w:r>
      <w:r>
        <w:rPr>
          <w:rFonts w:ascii="Times New Roman" w:hAnsi="Times New Roman"/>
          <w:sz w:val="72"/>
          <w:szCs w:val="72"/>
        </w:rPr>
        <w:t>准</w:t>
      </w:r>
    </w:p>
    <w:p w14:paraId="5808A747">
      <w:pPr>
        <w:pStyle w:val="120"/>
        <w:framePr w:wrap="around"/>
        <w:spacing w:before="0" w:line="240" w:lineRule="exact"/>
        <w:rPr>
          <w:rFonts w:hint="eastAsia" w:hAnsi="黑体"/>
        </w:rPr>
      </w:pPr>
    </w:p>
    <w:p w14:paraId="5F063EE2">
      <w:pPr>
        <w:pStyle w:val="120"/>
        <w:framePr w:wrap="around"/>
        <w:spacing w:before="0" w:line="300" w:lineRule="exact"/>
        <w:ind w:right="280"/>
        <w:rPr>
          <w:rFonts w:hint="default" w:hAnsi="黑体" w:eastAsia="黑体"/>
          <w:lang w:val="en-US" w:eastAsia="zh-CN"/>
        </w:rPr>
      </w:pPr>
      <w:r>
        <w:rPr>
          <w:rFonts w:hAnsi="黑体"/>
        </w:rPr>
        <w:t>T/</w:t>
      </w:r>
      <w:r>
        <w:rPr>
          <w:rFonts w:hint="eastAsia" w:hAnsi="黑体"/>
        </w:rPr>
        <w:t>CMEAS</w:t>
      </w:r>
      <w:r>
        <w:rPr>
          <w:rFonts w:hAnsi="黑体"/>
        </w:rPr>
        <w:t xml:space="preserve"> </w:t>
      </w:r>
      <w:r>
        <w:rPr>
          <w:rFonts w:hint="eastAsia" w:hAnsi="黑体"/>
          <w:lang w:val="en-US" w:eastAsia="zh-CN"/>
        </w:rPr>
        <w:t>XXX</w:t>
      </w:r>
      <w:r>
        <w:rPr>
          <w:rFonts w:hAnsi="黑体"/>
        </w:rPr>
        <w:t>-</w:t>
      </w:r>
      <w:r>
        <w:rPr>
          <w:rFonts w:hint="eastAsia" w:hAnsi="黑体"/>
          <w:lang w:val="en-US" w:eastAsia="zh-CN"/>
        </w:rPr>
        <w:t>XXXX</w:t>
      </w:r>
    </w:p>
    <w:tbl>
      <w:tblPr>
        <w:tblStyle w:val="3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30"/>
      </w:tblGrid>
      <w:tr w14:paraId="6A19A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30" w:type="dxa"/>
            <w:tcBorders>
              <w:top w:val="nil"/>
              <w:left w:val="nil"/>
              <w:bottom w:val="nil"/>
              <w:right w:val="nil"/>
            </w:tcBorders>
          </w:tcPr>
          <w:p w14:paraId="0DA75A1E">
            <w:pPr>
              <w:pStyle w:val="120"/>
              <w:framePr w:wrap="around"/>
              <w:spacing w:before="0" w:line="300" w:lineRule="exact"/>
              <w:rPr>
                <w:rFonts w:hint="eastAsia" w:hAnsi="黑体"/>
                <w:sz w:val="21"/>
                <w:szCs w:val="21"/>
              </w:rPr>
            </w:pPr>
            <w:r>
              <w:rPr>
                <w:rFonts w:hint="eastAsia" w:hAnsi="黑体"/>
                <w:sz w:val="21"/>
                <w:szCs w:val="21"/>
              </w:rPr>
              <w:t xml:space="preserve"> </w:t>
            </w:r>
            <w:r>
              <w:rPr>
                <w:rFonts w:hAnsi="黑体"/>
                <w:sz w:val="21"/>
                <w:szCs w:val="21"/>
              </w:rPr>
              <w:t xml:space="preserve">  </w:t>
            </w:r>
          </w:p>
          <w:p w14:paraId="6838E798">
            <w:pPr>
              <w:pStyle w:val="125"/>
              <w:framePr w:wrap="around"/>
              <w:spacing w:before="0" w:line="300" w:lineRule="exact"/>
              <w:rPr>
                <w:rFonts w:hint="eastAsia" w:hAnsi="宋体"/>
              </w:rPr>
            </w:pPr>
          </w:p>
        </w:tc>
      </w:tr>
    </w:tbl>
    <w:p w14:paraId="748E858B">
      <w:pPr>
        <w:pStyle w:val="120"/>
        <w:framePr w:wrap="around"/>
        <w:rPr>
          <w:rFonts w:hint="eastAsia" w:hAnsi="黑体"/>
        </w:rPr>
      </w:pPr>
    </w:p>
    <w:p w14:paraId="1AA62A32">
      <w:pPr>
        <w:pStyle w:val="120"/>
        <w:framePr w:wrap="around"/>
        <w:rPr>
          <w:rFonts w:hint="eastAsia" w:hAnsi="黑体"/>
        </w:rPr>
      </w:pPr>
    </w:p>
    <w:p w14:paraId="3D253223">
      <w:pPr>
        <w:pStyle w:val="23"/>
        <w:spacing w:line="360" w:lineRule="auto"/>
        <w:ind w:left="0" w:leftChars="0" w:firstLine="0" w:firstLineChars="0"/>
        <w:sectPr>
          <w:headerReference r:id="rId3" w:type="even"/>
          <w:footerReference r:id="rId4" w:type="even"/>
          <w:pgSz w:w="11906" w:h="16838"/>
          <w:pgMar w:top="567" w:right="1134" w:bottom="1134" w:left="1417" w:header="0" w:footer="0" w:gutter="0"/>
          <w:pgNumType w:start="1"/>
          <w:cols w:space="720" w:num="1"/>
          <w:docGrid w:type="lines" w:linePitch="312" w:charSpace="0"/>
        </w:sectPr>
      </w:pPr>
      <w:r>
        <w:rPr>
          <w:rFonts w:hint="eastAsia"/>
        </w:rPr>
        <mc:AlternateContent>
          <mc:Choice Requires="wps">
            <w:drawing>
              <wp:anchor distT="0" distB="0" distL="114300" distR="114300" simplePos="0" relativeHeight="251662336" behindDoc="0" locked="0" layoutInCell="1" allowOverlap="1">
                <wp:simplePos x="0" y="0"/>
                <wp:positionH relativeFrom="column">
                  <wp:posOffset>-25400</wp:posOffset>
                </wp:positionH>
                <wp:positionV relativeFrom="paragraph">
                  <wp:posOffset>1748790</wp:posOffset>
                </wp:positionV>
                <wp:extent cx="612013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6120000"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2pt;margin-top:137.7pt;height:0pt;width:481.9pt;z-index:251662336;mso-width-relative:page;mso-height-relative:page;" filled="f" stroked="t" coordsize="21600,21600" o:gfxdata="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GZreP2AAAAAoBAAAPAAAA&#10;AAAAAAEAIAAAACIAAABkcnMvZG93bnJldi54bWxQSwECFAAUAAAACACHTuJAzRiiy9wBAACoAwAA&#10;DgAAAAAAAAABACAAAAAnAQAAZHJzL2Uyb0RvYy54bWxQSwUGAAAAAAYABgBZAQAAdQUAAAAA&#10;">
                <v:fill on="f" focussize="0,0"/>
                <v:stroke color="#000000" joinstyle="round"/>
                <v:imagedata o:title=""/>
                <o:lock v:ext="edit" aspectratio="f"/>
              </v:line>
            </w:pict>
          </mc:Fallback>
        </mc:AlternateContent>
      </w:r>
      <w:r>
        <w:rPr>
          <w:rFonts w:hint="eastAsia"/>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8314055</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6120000"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0pt;margin-top:654.65pt;height:0pt;width:481.9pt;z-index:251661312;mso-width-relative:page;mso-height-relative:page;" filled="f" stroked="t" coordsize="21600,21600" o:gfxdata="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x2ROX1QAAAAoBAAAPAAAAAAAA&#10;AAEAIAAAACIAAABkcnMvZG93bnJldi54bWxQSwECFAAUAAAACACHTuJA64OeidwBAACoAwAADgAA&#10;AAAAAAABACAAAAAkAQAAZHJzL2Uyb0RvYy54bWxQSwUGAAAAAAYABgBZAQAAcgUAAAAA&#10;">
                <v:fill on="f" focussize="0,0"/>
                <v:stroke color="#000000" joinstyle="round"/>
                <v:imagedata o:title=""/>
                <o:lock v:ext="edit" aspectratio="f"/>
              </v:line>
            </w:pict>
          </mc:Fallback>
        </mc:AlternateContent>
      </w:r>
    </w:p>
    <w:p w14:paraId="5F01DEC5">
      <w:pPr>
        <w:pStyle w:val="74"/>
        <w:spacing w:line="360" w:lineRule="auto"/>
      </w:pPr>
      <w:bookmarkStart w:id="0" w:name="_Toc183545966"/>
      <w:bookmarkStart w:id="1" w:name="_Toc1491"/>
      <w:bookmarkStart w:id="2" w:name="BKQY"/>
      <w:r>
        <w:rPr>
          <w:rFonts w:hint="eastAsia"/>
        </w:rPr>
        <w:t>目  录</w:t>
      </w:r>
      <w:bookmarkEnd w:id="0"/>
      <w:bookmarkEnd w:id="1"/>
    </w:p>
    <w:sdt>
      <w:sdtPr>
        <w:rPr>
          <w:rFonts w:ascii="Times New Roman" w:hAnsi="Times New Roman" w:eastAsia="宋体" w:cs="Times New Roman"/>
          <w:color w:val="auto"/>
          <w:kern w:val="2"/>
          <w:sz w:val="21"/>
          <w:szCs w:val="24"/>
          <w:lang w:val="zh-CN"/>
        </w:rPr>
        <w:id w:val="-185442757"/>
        <w:docPartObj>
          <w:docPartGallery w:val="Table of Contents"/>
          <w:docPartUnique/>
        </w:docPartObj>
      </w:sdtPr>
      <w:sdtEndPr>
        <w:rPr>
          <w:rFonts w:ascii="Times New Roman" w:hAnsi="Times New Roman" w:eastAsia="宋体" w:cs="Times New Roman"/>
          <w:b/>
          <w:bCs/>
          <w:color w:val="auto"/>
          <w:kern w:val="2"/>
          <w:sz w:val="21"/>
          <w:szCs w:val="24"/>
          <w:lang w:val="zh-CN"/>
        </w:rPr>
      </w:sdtEndPr>
      <w:sdtContent>
        <w:p w14:paraId="65CC1FC7">
          <w:pPr>
            <w:pStyle w:val="148"/>
          </w:pPr>
        </w:p>
        <w:p w14:paraId="7F114DFF">
          <w:pPr>
            <w:pStyle w:val="19"/>
            <w:keepNext w:val="0"/>
            <w:keepLines w:val="0"/>
            <w:pageBreakBefore w:val="0"/>
            <w:widowControl w:val="0"/>
            <w:tabs>
              <w:tab w:val="right" w:leader="dot" w:pos="9355"/>
              <w:tab w:val="clear" w:pos="9241"/>
            </w:tabs>
            <w:kinsoku/>
            <w:wordWrap/>
            <w:overflowPunct/>
            <w:topLinePunct w:val="0"/>
            <w:autoSpaceDE/>
            <w:autoSpaceDN/>
            <w:bidi w:val="0"/>
            <w:adjustRightInd/>
            <w:snapToGrid/>
            <w:textAlignment w:val="auto"/>
            <w:rPr>
              <w:rFonts w:hint="eastAsia" w:ascii="宋体" w:hAnsi="宋体" w:eastAsia="宋体" w:cs="宋体"/>
            </w:rPr>
          </w:pPr>
          <w:r>
            <w:fldChar w:fldCharType="begin"/>
          </w:r>
          <w:r>
            <w:instrText xml:space="preserve"> TOC \o "1-3" \h \z \u </w:instrText>
          </w:r>
          <w:r>
            <w:fldChar w:fldCharType="separate"/>
          </w: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_Toc8233 </w:instrText>
          </w:r>
          <w:r>
            <w:rPr>
              <w:rFonts w:hint="eastAsia" w:ascii="宋体" w:hAnsi="宋体" w:eastAsia="宋体" w:cs="宋体"/>
              <w:bCs/>
              <w:lang w:val="zh-CN"/>
            </w:rPr>
            <w:fldChar w:fldCharType="separate"/>
          </w:r>
          <w:r>
            <w:rPr>
              <w:rFonts w:hint="eastAsia" w:ascii="宋体" w:hAnsi="宋体" w:eastAsia="宋体" w:cs="宋体"/>
            </w:rPr>
            <w:t>前言</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_Toc8233 \h </w:instrText>
          </w:r>
          <w:r>
            <w:rPr>
              <w:rFonts w:hint="eastAsia" w:ascii="宋体" w:hAnsi="宋体" w:eastAsia="宋体" w:cs="宋体"/>
            </w:rPr>
            <w:fldChar w:fldCharType="separate"/>
          </w:r>
          <w:r>
            <w:rPr>
              <w:rFonts w:hint="eastAsia" w:ascii="宋体" w:hAnsi="宋体" w:eastAsia="宋体" w:cs="宋体"/>
            </w:rPr>
            <w:t>II</w:t>
          </w:r>
          <w:r>
            <w:rPr>
              <w:rFonts w:hint="eastAsia" w:ascii="宋体" w:hAnsi="宋体" w:eastAsia="宋体" w:cs="宋体"/>
            </w:rPr>
            <w:fldChar w:fldCharType="end"/>
          </w:r>
          <w:r>
            <w:rPr>
              <w:rFonts w:hint="eastAsia" w:ascii="宋体" w:hAnsi="宋体" w:eastAsia="宋体" w:cs="宋体"/>
              <w:bCs/>
              <w:lang w:val="zh-CN"/>
            </w:rPr>
            <w:fldChar w:fldCharType="end"/>
          </w:r>
        </w:p>
        <w:p w14:paraId="768CD663">
          <w:pPr>
            <w:pStyle w:val="28"/>
            <w:keepNext w:val="0"/>
            <w:keepLines w:val="0"/>
            <w:pageBreakBefore w:val="0"/>
            <w:widowControl w:val="0"/>
            <w:tabs>
              <w:tab w:val="right" w:leader="dot" w:pos="9355"/>
              <w:tab w:val="clear" w:pos="9241"/>
            </w:tabs>
            <w:kinsoku/>
            <w:wordWrap/>
            <w:overflowPunct/>
            <w:topLinePunct w:val="0"/>
            <w:autoSpaceDE/>
            <w:autoSpaceDN/>
            <w:bidi w:val="0"/>
            <w:adjustRightInd/>
            <w:snapToGrid/>
            <w:textAlignment w:val="auto"/>
            <w:rPr>
              <w:rFonts w:hint="eastAsia" w:ascii="宋体" w:hAnsi="宋体" w:eastAsia="宋体" w:cs="宋体"/>
            </w:rPr>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_Toc24495 </w:instrText>
          </w:r>
          <w:r>
            <w:rPr>
              <w:rFonts w:hint="eastAsia" w:ascii="宋体" w:hAnsi="宋体" w:eastAsia="宋体" w:cs="宋体"/>
              <w:bCs/>
              <w:lang w:val="zh-CN"/>
            </w:rPr>
            <w:fldChar w:fldCharType="separate"/>
          </w:r>
          <w:r>
            <w:rPr>
              <w:rFonts w:hint="eastAsia" w:ascii="宋体" w:hAnsi="宋体" w:eastAsia="宋体" w:cs="宋体"/>
              <w:i w:val="0"/>
              <w:szCs w:val="21"/>
            </w:rPr>
            <w:t xml:space="preserve">1 </w:t>
          </w:r>
          <w:r>
            <w:rPr>
              <w:rFonts w:hint="eastAsia" w:ascii="宋体" w:hAnsi="宋体" w:eastAsia="宋体" w:cs="宋体"/>
            </w:rPr>
            <w:t>范围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_Toc24495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bCs/>
              <w:lang w:val="zh-CN"/>
            </w:rPr>
            <w:fldChar w:fldCharType="end"/>
          </w:r>
        </w:p>
        <w:p w14:paraId="439166AB">
          <w:pPr>
            <w:pStyle w:val="28"/>
            <w:keepNext w:val="0"/>
            <w:keepLines w:val="0"/>
            <w:pageBreakBefore w:val="0"/>
            <w:widowControl w:val="0"/>
            <w:tabs>
              <w:tab w:val="right" w:leader="dot" w:pos="9355"/>
              <w:tab w:val="clear" w:pos="9241"/>
            </w:tabs>
            <w:kinsoku/>
            <w:wordWrap/>
            <w:overflowPunct/>
            <w:topLinePunct w:val="0"/>
            <w:autoSpaceDE/>
            <w:autoSpaceDN/>
            <w:bidi w:val="0"/>
            <w:adjustRightInd/>
            <w:snapToGrid/>
            <w:textAlignment w:val="auto"/>
            <w:rPr>
              <w:rFonts w:hint="eastAsia" w:ascii="宋体" w:hAnsi="宋体" w:eastAsia="宋体" w:cs="宋体"/>
            </w:rPr>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_Toc21966 </w:instrText>
          </w:r>
          <w:r>
            <w:rPr>
              <w:rFonts w:hint="eastAsia" w:ascii="宋体" w:hAnsi="宋体" w:eastAsia="宋体" w:cs="宋体"/>
              <w:bCs/>
              <w:lang w:val="zh-CN"/>
            </w:rPr>
            <w:fldChar w:fldCharType="separate"/>
          </w:r>
          <w:r>
            <w:rPr>
              <w:rFonts w:hint="eastAsia" w:ascii="宋体" w:hAnsi="宋体" w:eastAsia="宋体" w:cs="宋体"/>
              <w:i w:val="0"/>
              <w:szCs w:val="21"/>
            </w:rPr>
            <w:t xml:space="preserve">2 </w:t>
          </w:r>
          <w:r>
            <w:rPr>
              <w:rFonts w:hint="eastAsia" w:ascii="宋体" w:hAnsi="宋体" w:eastAsia="宋体" w:cs="宋体"/>
            </w:rPr>
            <w:t>规范性引用文件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_Toc21966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bCs/>
              <w:lang w:val="zh-CN"/>
            </w:rPr>
            <w:fldChar w:fldCharType="end"/>
          </w:r>
        </w:p>
        <w:p w14:paraId="051A7688">
          <w:pPr>
            <w:pStyle w:val="28"/>
            <w:keepNext w:val="0"/>
            <w:keepLines w:val="0"/>
            <w:pageBreakBefore w:val="0"/>
            <w:widowControl w:val="0"/>
            <w:tabs>
              <w:tab w:val="right" w:leader="dot" w:pos="9355"/>
              <w:tab w:val="clear" w:pos="9241"/>
            </w:tabs>
            <w:kinsoku/>
            <w:wordWrap/>
            <w:overflowPunct/>
            <w:topLinePunct w:val="0"/>
            <w:autoSpaceDE/>
            <w:autoSpaceDN/>
            <w:bidi w:val="0"/>
            <w:adjustRightInd/>
            <w:snapToGrid/>
            <w:textAlignment w:val="auto"/>
            <w:rPr>
              <w:rFonts w:hint="eastAsia" w:ascii="宋体" w:hAnsi="宋体" w:eastAsia="宋体" w:cs="宋体"/>
            </w:rPr>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_Toc15261 </w:instrText>
          </w:r>
          <w:r>
            <w:rPr>
              <w:rFonts w:hint="eastAsia" w:ascii="宋体" w:hAnsi="宋体" w:eastAsia="宋体" w:cs="宋体"/>
              <w:bCs/>
              <w:lang w:val="zh-CN"/>
            </w:rPr>
            <w:fldChar w:fldCharType="separate"/>
          </w:r>
          <w:r>
            <w:rPr>
              <w:rFonts w:hint="eastAsia" w:ascii="宋体" w:hAnsi="宋体" w:eastAsia="宋体" w:cs="宋体"/>
              <w:i w:val="0"/>
              <w:szCs w:val="21"/>
            </w:rPr>
            <w:t xml:space="preserve">3 </w:t>
          </w:r>
          <w:r>
            <w:rPr>
              <w:rFonts w:hint="eastAsia" w:ascii="宋体" w:hAnsi="宋体" w:eastAsia="宋体" w:cs="宋体"/>
            </w:rPr>
            <w:t>术语和定义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_Toc15261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bCs/>
              <w:lang w:val="zh-CN"/>
            </w:rPr>
            <w:fldChar w:fldCharType="end"/>
          </w:r>
        </w:p>
        <w:p w14:paraId="3289B675">
          <w:pPr>
            <w:pStyle w:val="28"/>
            <w:keepNext w:val="0"/>
            <w:keepLines w:val="0"/>
            <w:pageBreakBefore w:val="0"/>
            <w:widowControl w:val="0"/>
            <w:tabs>
              <w:tab w:val="right" w:leader="dot" w:pos="9355"/>
              <w:tab w:val="clear" w:pos="9241"/>
            </w:tabs>
            <w:kinsoku/>
            <w:wordWrap/>
            <w:overflowPunct/>
            <w:topLinePunct w:val="0"/>
            <w:autoSpaceDE/>
            <w:autoSpaceDN/>
            <w:bidi w:val="0"/>
            <w:adjustRightInd/>
            <w:snapToGrid/>
            <w:textAlignment w:val="auto"/>
            <w:rPr>
              <w:rFonts w:hint="eastAsia" w:ascii="宋体" w:hAnsi="宋体" w:eastAsia="宋体" w:cs="宋体"/>
            </w:rPr>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_Toc8477 </w:instrText>
          </w:r>
          <w:r>
            <w:rPr>
              <w:rFonts w:hint="eastAsia" w:ascii="宋体" w:hAnsi="宋体" w:eastAsia="宋体" w:cs="宋体"/>
              <w:bCs/>
              <w:lang w:val="zh-CN"/>
            </w:rPr>
            <w:fldChar w:fldCharType="separate"/>
          </w:r>
          <w:r>
            <w:rPr>
              <w:rFonts w:hint="eastAsia" w:ascii="宋体" w:hAnsi="宋体" w:eastAsia="宋体" w:cs="宋体"/>
              <w:i w:val="0"/>
              <w:szCs w:val="21"/>
            </w:rPr>
            <w:t xml:space="preserve">4 </w:t>
          </w:r>
          <w:r>
            <w:rPr>
              <w:rFonts w:hint="eastAsia" w:ascii="宋体" w:hAnsi="宋体" w:eastAsia="宋体" w:cs="宋体"/>
              <w:lang w:val="en-US" w:eastAsia="zh-CN"/>
            </w:rPr>
            <w:t>缩略语</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_Toc8477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bCs/>
              <w:lang w:val="zh-CN"/>
            </w:rPr>
            <w:fldChar w:fldCharType="end"/>
          </w:r>
        </w:p>
        <w:p w14:paraId="5AFA3E25">
          <w:pPr>
            <w:pStyle w:val="28"/>
            <w:keepNext w:val="0"/>
            <w:keepLines w:val="0"/>
            <w:pageBreakBefore w:val="0"/>
            <w:widowControl w:val="0"/>
            <w:tabs>
              <w:tab w:val="right" w:leader="dot" w:pos="9355"/>
              <w:tab w:val="clear" w:pos="9241"/>
            </w:tabs>
            <w:kinsoku/>
            <w:wordWrap/>
            <w:overflowPunct/>
            <w:topLinePunct w:val="0"/>
            <w:autoSpaceDE/>
            <w:autoSpaceDN/>
            <w:bidi w:val="0"/>
            <w:adjustRightInd/>
            <w:snapToGrid/>
            <w:textAlignment w:val="auto"/>
            <w:rPr>
              <w:rFonts w:hint="eastAsia" w:ascii="宋体" w:hAnsi="宋体" w:eastAsia="宋体" w:cs="宋体"/>
            </w:rPr>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_Toc19061 </w:instrText>
          </w:r>
          <w:r>
            <w:rPr>
              <w:rFonts w:hint="eastAsia" w:ascii="宋体" w:hAnsi="宋体" w:eastAsia="宋体" w:cs="宋体"/>
              <w:bCs/>
              <w:lang w:val="zh-CN"/>
            </w:rPr>
            <w:fldChar w:fldCharType="separate"/>
          </w:r>
          <w:r>
            <w:rPr>
              <w:rFonts w:hint="eastAsia" w:ascii="宋体" w:hAnsi="宋体" w:eastAsia="宋体" w:cs="宋体"/>
              <w:i w:val="0"/>
              <w:szCs w:val="21"/>
            </w:rPr>
            <w:t xml:space="preserve">5 </w:t>
          </w:r>
          <w:r>
            <w:rPr>
              <w:rFonts w:hint="eastAsia" w:ascii="宋体" w:hAnsi="宋体" w:eastAsia="宋体" w:cs="宋体"/>
            </w:rPr>
            <w:t>B细胞靶向生物制剂分类</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_Toc19061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bCs/>
              <w:lang w:val="zh-CN"/>
            </w:rPr>
            <w:fldChar w:fldCharType="end"/>
          </w:r>
        </w:p>
        <w:p w14:paraId="7E676AA8">
          <w:pPr>
            <w:pStyle w:val="12"/>
            <w:keepNext w:val="0"/>
            <w:keepLines w:val="0"/>
            <w:pageBreakBefore w:val="0"/>
            <w:widowControl w:val="0"/>
            <w:tabs>
              <w:tab w:val="right" w:leader="dot" w:pos="9355"/>
              <w:tab w:val="clear" w:pos="9241"/>
            </w:tabs>
            <w:kinsoku/>
            <w:wordWrap/>
            <w:overflowPunct/>
            <w:topLinePunct w:val="0"/>
            <w:autoSpaceDE/>
            <w:autoSpaceDN/>
            <w:bidi w:val="0"/>
            <w:adjustRightInd/>
            <w:snapToGrid/>
            <w:textAlignment w:val="auto"/>
            <w:rPr>
              <w:rFonts w:hint="eastAsia" w:ascii="宋体" w:hAnsi="宋体" w:eastAsia="宋体" w:cs="宋体"/>
            </w:rPr>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_Toc663 </w:instrText>
          </w:r>
          <w:r>
            <w:rPr>
              <w:rFonts w:hint="eastAsia" w:ascii="宋体" w:hAnsi="宋体" w:eastAsia="宋体" w:cs="宋体"/>
              <w:bCs/>
              <w:lang w:val="zh-CN"/>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rPr>
            <w:t xml:space="preserve">5.1 </w:t>
          </w:r>
          <w:r>
            <w:rPr>
              <w:rFonts w:hint="eastAsia" w:ascii="宋体" w:hAnsi="宋体" w:eastAsia="宋体" w:cs="宋体"/>
            </w:rPr>
            <w:t>抗CD20单克隆抗体</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_Toc663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bCs/>
              <w:lang w:val="zh-CN"/>
            </w:rPr>
            <w:fldChar w:fldCharType="end"/>
          </w:r>
        </w:p>
        <w:p w14:paraId="27E9C337">
          <w:pPr>
            <w:pStyle w:val="12"/>
            <w:keepNext w:val="0"/>
            <w:keepLines w:val="0"/>
            <w:pageBreakBefore w:val="0"/>
            <w:widowControl w:val="0"/>
            <w:tabs>
              <w:tab w:val="right" w:leader="dot" w:pos="9355"/>
              <w:tab w:val="clear" w:pos="9241"/>
            </w:tabs>
            <w:kinsoku/>
            <w:wordWrap/>
            <w:overflowPunct/>
            <w:topLinePunct w:val="0"/>
            <w:autoSpaceDE/>
            <w:autoSpaceDN/>
            <w:bidi w:val="0"/>
            <w:adjustRightInd/>
            <w:snapToGrid/>
            <w:textAlignment w:val="auto"/>
            <w:rPr>
              <w:rFonts w:hint="eastAsia" w:ascii="宋体" w:hAnsi="宋体" w:eastAsia="宋体" w:cs="宋体"/>
            </w:rPr>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_Toc13987 </w:instrText>
          </w:r>
          <w:r>
            <w:rPr>
              <w:rFonts w:hint="eastAsia" w:ascii="宋体" w:hAnsi="宋体" w:eastAsia="宋体" w:cs="宋体"/>
              <w:bCs/>
              <w:lang w:val="zh-CN"/>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rPr>
            <w:t xml:space="preserve">5.2 </w:t>
          </w:r>
          <w:r>
            <w:rPr>
              <w:rFonts w:hint="eastAsia" w:ascii="宋体" w:hAnsi="宋体" w:eastAsia="宋体" w:cs="宋体"/>
            </w:rPr>
            <w:t>抗CD19单克隆抗体</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_Toc13987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bCs/>
              <w:lang w:val="zh-CN"/>
            </w:rPr>
            <w:fldChar w:fldCharType="end"/>
          </w:r>
        </w:p>
        <w:p w14:paraId="7815652B">
          <w:pPr>
            <w:pStyle w:val="12"/>
            <w:keepNext w:val="0"/>
            <w:keepLines w:val="0"/>
            <w:pageBreakBefore w:val="0"/>
            <w:widowControl w:val="0"/>
            <w:tabs>
              <w:tab w:val="right" w:leader="dot" w:pos="9355"/>
              <w:tab w:val="clear" w:pos="9241"/>
            </w:tabs>
            <w:kinsoku/>
            <w:wordWrap/>
            <w:overflowPunct/>
            <w:topLinePunct w:val="0"/>
            <w:autoSpaceDE/>
            <w:autoSpaceDN/>
            <w:bidi w:val="0"/>
            <w:adjustRightInd/>
            <w:snapToGrid/>
            <w:textAlignment w:val="auto"/>
            <w:rPr>
              <w:rFonts w:hint="eastAsia" w:ascii="宋体" w:hAnsi="宋体" w:eastAsia="宋体" w:cs="宋体"/>
            </w:rPr>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_Toc23125 </w:instrText>
          </w:r>
          <w:r>
            <w:rPr>
              <w:rFonts w:hint="eastAsia" w:ascii="宋体" w:hAnsi="宋体" w:eastAsia="宋体" w:cs="宋体"/>
              <w:bCs/>
              <w:lang w:val="zh-CN"/>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rPr>
            <w:t xml:space="preserve">5.3 </w:t>
          </w:r>
          <w:r>
            <w:rPr>
              <w:rFonts w:hint="eastAsia" w:ascii="宋体" w:hAnsi="宋体" w:eastAsia="宋体" w:cs="宋体"/>
            </w:rPr>
            <w:t>抗BAFF单克隆抗体</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_Toc23125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bCs/>
              <w:lang w:val="zh-CN"/>
            </w:rPr>
            <w:fldChar w:fldCharType="end"/>
          </w:r>
        </w:p>
        <w:p w14:paraId="72B5E6AA">
          <w:pPr>
            <w:pStyle w:val="12"/>
            <w:keepNext w:val="0"/>
            <w:keepLines w:val="0"/>
            <w:pageBreakBefore w:val="0"/>
            <w:widowControl w:val="0"/>
            <w:tabs>
              <w:tab w:val="right" w:leader="dot" w:pos="9355"/>
              <w:tab w:val="clear" w:pos="9241"/>
            </w:tabs>
            <w:kinsoku/>
            <w:wordWrap/>
            <w:overflowPunct/>
            <w:topLinePunct w:val="0"/>
            <w:autoSpaceDE/>
            <w:autoSpaceDN/>
            <w:bidi w:val="0"/>
            <w:adjustRightInd/>
            <w:snapToGrid/>
            <w:textAlignment w:val="auto"/>
            <w:rPr>
              <w:rFonts w:hint="eastAsia" w:ascii="宋体" w:hAnsi="宋体" w:eastAsia="宋体" w:cs="宋体"/>
            </w:rPr>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_Toc28719 </w:instrText>
          </w:r>
          <w:r>
            <w:rPr>
              <w:rFonts w:hint="eastAsia" w:ascii="宋体" w:hAnsi="宋体" w:eastAsia="宋体" w:cs="宋体"/>
              <w:bCs/>
              <w:lang w:val="zh-CN"/>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rPr>
            <w:t xml:space="preserve">5.4 </w:t>
          </w:r>
          <w:r>
            <w:rPr>
              <w:rFonts w:hint="eastAsia" w:ascii="宋体" w:hAnsi="宋体" w:eastAsia="宋体" w:cs="宋体"/>
            </w:rPr>
            <w:t>抗Blys及APRIL单克隆抗体</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_Toc28719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bCs/>
              <w:lang w:val="zh-CN"/>
            </w:rPr>
            <w:fldChar w:fldCharType="end"/>
          </w:r>
        </w:p>
        <w:p w14:paraId="1523E8B6">
          <w:pPr>
            <w:pStyle w:val="28"/>
            <w:keepNext w:val="0"/>
            <w:keepLines w:val="0"/>
            <w:pageBreakBefore w:val="0"/>
            <w:widowControl w:val="0"/>
            <w:tabs>
              <w:tab w:val="right" w:leader="dot" w:pos="9355"/>
              <w:tab w:val="clear" w:pos="9241"/>
            </w:tabs>
            <w:kinsoku/>
            <w:wordWrap/>
            <w:overflowPunct/>
            <w:topLinePunct w:val="0"/>
            <w:autoSpaceDE/>
            <w:autoSpaceDN/>
            <w:bidi w:val="0"/>
            <w:adjustRightInd/>
            <w:snapToGrid/>
            <w:textAlignment w:val="auto"/>
            <w:rPr>
              <w:rFonts w:hint="eastAsia" w:ascii="宋体" w:hAnsi="宋体" w:eastAsia="宋体" w:cs="宋体"/>
            </w:rPr>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_Toc10880 </w:instrText>
          </w:r>
          <w:r>
            <w:rPr>
              <w:rFonts w:hint="eastAsia" w:ascii="宋体" w:hAnsi="宋体" w:eastAsia="宋体" w:cs="宋体"/>
              <w:bCs/>
              <w:lang w:val="zh-CN"/>
            </w:rPr>
            <w:fldChar w:fldCharType="separate"/>
          </w:r>
          <w:r>
            <w:rPr>
              <w:rFonts w:hint="eastAsia" w:ascii="宋体" w:hAnsi="宋体" w:eastAsia="宋体" w:cs="宋体"/>
              <w:i w:val="0"/>
              <w:szCs w:val="21"/>
            </w:rPr>
            <w:t xml:space="preserve">6 </w:t>
          </w:r>
          <w:r>
            <w:rPr>
              <w:rFonts w:hint="eastAsia" w:ascii="宋体" w:hAnsi="宋体" w:eastAsia="宋体" w:cs="宋体"/>
            </w:rPr>
            <w:t>B细胞靶向生物制剂在不同神经系统自身免疫疾病中的应用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_Toc10880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bCs/>
              <w:lang w:val="zh-CN"/>
            </w:rPr>
            <w:fldChar w:fldCharType="end"/>
          </w:r>
        </w:p>
        <w:p w14:paraId="4EBC22F5">
          <w:pPr>
            <w:pStyle w:val="12"/>
            <w:keepNext w:val="0"/>
            <w:keepLines w:val="0"/>
            <w:pageBreakBefore w:val="0"/>
            <w:widowControl w:val="0"/>
            <w:tabs>
              <w:tab w:val="right" w:leader="dot" w:pos="9355"/>
              <w:tab w:val="clear" w:pos="9241"/>
            </w:tabs>
            <w:kinsoku/>
            <w:wordWrap/>
            <w:overflowPunct/>
            <w:topLinePunct w:val="0"/>
            <w:autoSpaceDE/>
            <w:autoSpaceDN/>
            <w:bidi w:val="0"/>
            <w:adjustRightInd/>
            <w:snapToGrid/>
            <w:textAlignment w:val="auto"/>
            <w:rPr>
              <w:rFonts w:hint="eastAsia" w:ascii="宋体" w:hAnsi="宋体" w:eastAsia="宋体" w:cs="宋体"/>
            </w:rPr>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_Toc19422 </w:instrText>
          </w:r>
          <w:r>
            <w:rPr>
              <w:rFonts w:hint="eastAsia" w:ascii="宋体" w:hAnsi="宋体" w:eastAsia="宋体" w:cs="宋体"/>
              <w:bCs/>
              <w:lang w:val="zh-CN"/>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rPr>
            <w:t xml:space="preserve">6.1 </w:t>
          </w:r>
          <w:r>
            <w:rPr>
              <w:rFonts w:hint="eastAsia" w:ascii="宋体" w:hAnsi="宋体" w:eastAsia="宋体" w:cs="宋体"/>
            </w:rPr>
            <w:t>B细胞靶向生物制剂在多发性硬化中的应用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_Toc19422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bCs/>
              <w:lang w:val="zh-CN"/>
            </w:rPr>
            <w:fldChar w:fldCharType="end"/>
          </w:r>
        </w:p>
        <w:p w14:paraId="1E68A475">
          <w:pPr>
            <w:pStyle w:val="12"/>
            <w:keepNext w:val="0"/>
            <w:keepLines w:val="0"/>
            <w:pageBreakBefore w:val="0"/>
            <w:widowControl w:val="0"/>
            <w:tabs>
              <w:tab w:val="right" w:leader="dot" w:pos="9355"/>
              <w:tab w:val="clear" w:pos="9241"/>
            </w:tabs>
            <w:kinsoku/>
            <w:wordWrap/>
            <w:overflowPunct/>
            <w:topLinePunct w:val="0"/>
            <w:autoSpaceDE/>
            <w:autoSpaceDN/>
            <w:bidi w:val="0"/>
            <w:adjustRightInd/>
            <w:snapToGrid/>
            <w:textAlignment w:val="auto"/>
            <w:rPr>
              <w:rFonts w:hint="eastAsia" w:ascii="宋体" w:hAnsi="宋体" w:eastAsia="宋体" w:cs="宋体"/>
            </w:rPr>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_Toc27397 </w:instrText>
          </w:r>
          <w:r>
            <w:rPr>
              <w:rFonts w:hint="eastAsia" w:ascii="宋体" w:hAnsi="宋体" w:eastAsia="宋体" w:cs="宋体"/>
              <w:bCs/>
              <w:lang w:val="zh-CN"/>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rPr>
            <w:t xml:space="preserve">6.2 </w:t>
          </w:r>
          <w:r>
            <w:rPr>
              <w:rFonts w:hint="eastAsia" w:ascii="宋体" w:hAnsi="宋体" w:eastAsia="宋体" w:cs="宋体"/>
            </w:rPr>
            <w:t>B细胞靶向生物制剂在重症肌无力中的应用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_Toc27397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bCs/>
              <w:lang w:val="zh-CN"/>
            </w:rPr>
            <w:fldChar w:fldCharType="end"/>
          </w:r>
        </w:p>
        <w:p w14:paraId="78DE321E">
          <w:pPr>
            <w:pStyle w:val="12"/>
            <w:keepNext w:val="0"/>
            <w:keepLines w:val="0"/>
            <w:pageBreakBefore w:val="0"/>
            <w:widowControl w:val="0"/>
            <w:tabs>
              <w:tab w:val="right" w:leader="dot" w:pos="9355"/>
              <w:tab w:val="clear" w:pos="9241"/>
            </w:tabs>
            <w:kinsoku/>
            <w:wordWrap/>
            <w:overflowPunct/>
            <w:topLinePunct w:val="0"/>
            <w:autoSpaceDE/>
            <w:autoSpaceDN/>
            <w:bidi w:val="0"/>
            <w:adjustRightInd/>
            <w:snapToGrid/>
            <w:textAlignment w:val="auto"/>
            <w:rPr>
              <w:rFonts w:hint="eastAsia" w:ascii="宋体" w:hAnsi="宋体" w:eastAsia="宋体" w:cs="宋体"/>
            </w:rPr>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_Toc9846 </w:instrText>
          </w:r>
          <w:r>
            <w:rPr>
              <w:rFonts w:hint="eastAsia" w:ascii="宋体" w:hAnsi="宋体" w:eastAsia="宋体" w:cs="宋体"/>
              <w:bCs/>
              <w:lang w:val="zh-CN"/>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rPr>
            <w:t xml:space="preserve">6.3 </w:t>
          </w:r>
          <w:r>
            <w:rPr>
              <w:rFonts w:hint="eastAsia" w:ascii="宋体" w:hAnsi="宋体" w:eastAsia="宋体" w:cs="宋体"/>
            </w:rPr>
            <w:t>B细胞靶向生物制剂在炎性肌病中的应用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_Toc9846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bCs/>
              <w:lang w:val="zh-CN"/>
            </w:rPr>
            <w:fldChar w:fldCharType="end"/>
          </w:r>
        </w:p>
        <w:p w14:paraId="7E33F218">
          <w:pPr>
            <w:pStyle w:val="12"/>
            <w:keepNext w:val="0"/>
            <w:keepLines w:val="0"/>
            <w:pageBreakBefore w:val="0"/>
            <w:widowControl w:val="0"/>
            <w:tabs>
              <w:tab w:val="right" w:leader="dot" w:pos="9355"/>
              <w:tab w:val="clear" w:pos="9241"/>
            </w:tabs>
            <w:kinsoku/>
            <w:wordWrap/>
            <w:overflowPunct/>
            <w:topLinePunct w:val="0"/>
            <w:autoSpaceDE/>
            <w:autoSpaceDN/>
            <w:bidi w:val="0"/>
            <w:adjustRightInd/>
            <w:snapToGrid/>
            <w:textAlignment w:val="auto"/>
            <w:rPr>
              <w:rFonts w:hint="eastAsia" w:ascii="宋体" w:hAnsi="宋体" w:eastAsia="宋体" w:cs="宋体"/>
            </w:rPr>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_Toc8941 </w:instrText>
          </w:r>
          <w:r>
            <w:rPr>
              <w:rFonts w:hint="eastAsia" w:ascii="宋体" w:hAnsi="宋体" w:eastAsia="宋体" w:cs="宋体"/>
              <w:bCs/>
              <w:lang w:val="zh-CN"/>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rPr>
            <w:t xml:space="preserve">6.4 </w:t>
          </w:r>
          <w:r>
            <w:rPr>
              <w:rFonts w:hint="eastAsia" w:ascii="宋体" w:hAnsi="宋体" w:eastAsia="宋体" w:cs="宋体"/>
            </w:rPr>
            <w:t>B细胞靶向生物制剂在视神经脊髓炎中的应用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_Toc8941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bCs/>
              <w:lang w:val="zh-CN"/>
            </w:rPr>
            <w:fldChar w:fldCharType="end"/>
          </w:r>
        </w:p>
        <w:p w14:paraId="4B45028E">
          <w:pPr>
            <w:pStyle w:val="12"/>
            <w:keepNext w:val="0"/>
            <w:keepLines w:val="0"/>
            <w:pageBreakBefore w:val="0"/>
            <w:widowControl w:val="0"/>
            <w:tabs>
              <w:tab w:val="right" w:leader="dot" w:pos="9355"/>
              <w:tab w:val="clear" w:pos="9241"/>
            </w:tabs>
            <w:kinsoku/>
            <w:wordWrap/>
            <w:overflowPunct/>
            <w:topLinePunct w:val="0"/>
            <w:autoSpaceDE/>
            <w:autoSpaceDN/>
            <w:bidi w:val="0"/>
            <w:adjustRightInd/>
            <w:snapToGrid/>
            <w:textAlignment w:val="auto"/>
            <w:rPr>
              <w:rFonts w:hint="eastAsia" w:ascii="宋体" w:hAnsi="宋体" w:eastAsia="宋体" w:cs="宋体"/>
            </w:rPr>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_Toc15699 </w:instrText>
          </w:r>
          <w:r>
            <w:rPr>
              <w:rFonts w:hint="eastAsia" w:ascii="宋体" w:hAnsi="宋体" w:eastAsia="宋体" w:cs="宋体"/>
              <w:bCs/>
              <w:lang w:val="zh-CN"/>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rPr>
            <w:t xml:space="preserve">6.5 </w:t>
          </w:r>
          <w:r>
            <w:rPr>
              <w:rFonts w:hint="eastAsia" w:ascii="宋体" w:hAnsi="宋体" w:eastAsia="宋体" w:cs="宋体"/>
            </w:rPr>
            <w:t>B细胞靶向生物制剂在自身免疫性脑炎中的应用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_Toc15699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bCs/>
              <w:lang w:val="zh-CN"/>
            </w:rPr>
            <w:fldChar w:fldCharType="end"/>
          </w:r>
        </w:p>
        <w:p w14:paraId="5B12CD59">
          <w:pPr>
            <w:pStyle w:val="12"/>
            <w:keepNext w:val="0"/>
            <w:keepLines w:val="0"/>
            <w:pageBreakBefore w:val="0"/>
            <w:widowControl w:val="0"/>
            <w:tabs>
              <w:tab w:val="right" w:leader="dot" w:pos="9355"/>
              <w:tab w:val="clear" w:pos="9241"/>
            </w:tabs>
            <w:kinsoku/>
            <w:wordWrap/>
            <w:overflowPunct/>
            <w:topLinePunct w:val="0"/>
            <w:autoSpaceDE/>
            <w:autoSpaceDN/>
            <w:bidi w:val="0"/>
            <w:adjustRightInd/>
            <w:snapToGrid/>
            <w:textAlignment w:val="auto"/>
            <w:rPr>
              <w:rFonts w:hint="eastAsia" w:ascii="宋体" w:hAnsi="宋体" w:eastAsia="宋体" w:cs="宋体"/>
            </w:rPr>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_Toc241 </w:instrText>
          </w:r>
          <w:r>
            <w:rPr>
              <w:rFonts w:hint="eastAsia" w:ascii="宋体" w:hAnsi="宋体" w:eastAsia="宋体" w:cs="宋体"/>
              <w:bCs/>
              <w:lang w:val="zh-CN"/>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rPr>
            <w:t xml:space="preserve">6.6 </w:t>
          </w:r>
          <w:r>
            <w:rPr>
              <w:rFonts w:hint="eastAsia" w:ascii="宋体" w:hAnsi="宋体" w:eastAsia="宋体" w:cs="宋体"/>
            </w:rPr>
            <w:t>B细胞靶向生物制剂在慢性炎症性脱髓鞘性多发性神经病中的应用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_Toc241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bCs/>
              <w:lang w:val="zh-CN"/>
            </w:rPr>
            <w:fldChar w:fldCharType="end"/>
          </w:r>
        </w:p>
        <w:p w14:paraId="58E1A92E">
          <w:pPr>
            <w:pStyle w:val="19"/>
            <w:keepNext w:val="0"/>
            <w:keepLines w:val="0"/>
            <w:pageBreakBefore w:val="0"/>
            <w:widowControl w:val="0"/>
            <w:tabs>
              <w:tab w:val="right" w:leader="dot" w:pos="9355"/>
              <w:tab w:val="clear" w:pos="9241"/>
            </w:tabs>
            <w:kinsoku/>
            <w:wordWrap/>
            <w:overflowPunct/>
            <w:topLinePunct w:val="0"/>
            <w:autoSpaceDE/>
            <w:autoSpaceDN/>
            <w:bidi w:val="0"/>
            <w:adjustRightInd/>
            <w:snapToGrid/>
            <w:textAlignment w:val="auto"/>
            <w:rPr>
              <w:rFonts w:hint="eastAsia" w:ascii="宋体" w:hAnsi="宋体" w:eastAsia="宋体" w:cs="宋体"/>
            </w:rPr>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_Toc30488 </w:instrText>
          </w:r>
          <w:r>
            <w:rPr>
              <w:rFonts w:hint="eastAsia" w:ascii="宋体" w:hAnsi="宋体" w:eastAsia="宋体" w:cs="宋体"/>
              <w:bCs/>
              <w:lang w:val="zh-CN"/>
            </w:rPr>
            <w:fldChar w:fldCharType="separate"/>
          </w:r>
          <w:r>
            <w:rPr>
              <w:rStyle w:val="39"/>
              <w:rFonts w:hint="eastAsia" w:ascii="宋体" w:hAnsi="宋体" w:eastAsia="宋体" w:cs="宋体"/>
            </w:rPr>
            <w:t xml:space="preserve">附录A(资料性) </w:t>
          </w:r>
          <w:r>
            <w:rPr>
              <w:rStyle w:val="39"/>
              <w:rFonts w:hint="eastAsia" w:ascii="宋体" w:hAnsi="宋体" w:eastAsia="宋体" w:cs="宋体"/>
              <w:lang w:val="en-US" w:eastAsia="zh-CN"/>
            </w:rPr>
            <w:t>神经</w:t>
          </w:r>
          <w:r>
            <w:rPr>
              <w:rStyle w:val="39"/>
              <w:rFonts w:hint="eastAsia" w:ascii="宋体" w:hAnsi="宋体" w:eastAsia="宋体" w:cs="宋体"/>
            </w:rPr>
            <w:t>功能评估量表</w:t>
          </w:r>
          <w:r>
            <w:rPr>
              <w:rFonts w:hint="eastAsia" w:ascii="宋体" w:hAnsi="宋体" w:eastAsia="宋体" w:cs="宋体"/>
              <w:i w:val="0"/>
              <w:spacing w:val="0"/>
              <w:w w:val="100"/>
            </w:rPr>
            <w:t xml:space="preserve"> </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_Toc30488 \h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bCs/>
              <w:lang w:val="zh-CN"/>
            </w:rPr>
            <w:fldChar w:fldCharType="end"/>
          </w:r>
        </w:p>
        <w:p w14:paraId="2F985097">
          <w:pPr>
            <w:pStyle w:val="19"/>
            <w:keepNext w:val="0"/>
            <w:keepLines w:val="0"/>
            <w:pageBreakBefore w:val="0"/>
            <w:widowControl w:val="0"/>
            <w:tabs>
              <w:tab w:val="right" w:leader="dot" w:pos="9355"/>
              <w:tab w:val="clear" w:pos="9241"/>
            </w:tabs>
            <w:kinsoku/>
            <w:wordWrap/>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_Toc11667 </w:instrText>
          </w:r>
          <w:r>
            <w:rPr>
              <w:rFonts w:hint="eastAsia" w:ascii="宋体" w:hAnsi="宋体" w:eastAsia="宋体" w:cs="宋体"/>
              <w:bCs/>
              <w:lang w:val="zh-CN"/>
            </w:rPr>
            <w:fldChar w:fldCharType="separate"/>
          </w:r>
          <w:r>
            <w:rPr>
              <w:rFonts w:hint="eastAsia" w:ascii="宋体" w:hAnsi="宋体" w:eastAsia="宋体" w:cs="宋体"/>
            </w:rPr>
            <w:t>参考文献</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_Toc11667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bCs/>
              <w:lang w:val="zh-CN"/>
            </w:rPr>
            <w:fldChar w:fldCharType="end"/>
          </w:r>
        </w:p>
        <w:p w14:paraId="5F6CAEF8">
          <w:pPr>
            <w:keepNext w:val="0"/>
            <w:keepLines w:val="0"/>
            <w:pageBreakBefore w:val="0"/>
            <w:widowControl w:val="0"/>
            <w:kinsoku/>
            <w:wordWrap/>
            <w:overflowPunct/>
            <w:topLinePunct w:val="0"/>
            <w:autoSpaceDE/>
            <w:autoSpaceDN/>
            <w:bidi w:val="0"/>
            <w:adjustRightInd/>
            <w:snapToGrid/>
            <w:textAlignment w:val="auto"/>
            <w:rPr>
              <w:rFonts w:hint="eastAsia"/>
            </w:rPr>
          </w:pPr>
          <w:r>
            <w:rPr>
              <w:bCs/>
              <w:lang w:val="zh-CN"/>
            </w:rPr>
            <w:fldChar w:fldCharType="end"/>
          </w:r>
        </w:p>
      </w:sdtContent>
    </w:sdt>
    <w:bookmarkEnd w:id="2"/>
    <w:p w14:paraId="67815B80">
      <w:pPr>
        <w:pStyle w:val="70"/>
        <w:spacing w:line="360" w:lineRule="auto"/>
      </w:pPr>
      <w:bookmarkStart w:id="3" w:name="_Toc8233"/>
      <w:r>
        <w:t>前    言</w:t>
      </w:r>
      <w:bookmarkEnd w:id="3"/>
    </w:p>
    <w:p w14:paraId="68A01D8E">
      <w:pPr>
        <w:pStyle w:val="23"/>
        <w:keepNext w:val="0"/>
        <w:keepLines w:val="0"/>
        <w:pageBreakBefore w:val="0"/>
        <w:widowControl/>
        <w:kinsoku/>
        <w:wordWrap/>
        <w:overflowPunct/>
        <w:topLinePunct w:val="0"/>
        <w:autoSpaceDE w:val="0"/>
        <w:autoSpaceDN w:val="0"/>
        <w:bidi w:val="0"/>
        <w:adjustRightInd/>
        <w:snapToGrid/>
        <w:spacing w:line="240" w:lineRule="auto"/>
        <w:textAlignment w:val="auto"/>
      </w:pPr>
      <w:r>
        <w:t>本</w:t>
      </w:r>
      <w:r>
        <w:rPr>
          <w:rFonts w:hint="eastAsia"/>
        </w:rPr>
        <w:t>文件</w:t>
      </w:r>
      <w:r>
        <w:t>按照</w:t>
      </w:r>
      <w:r>
        <w:rPr>
          <w:rFonts w:asciiTheme="minorEastAsia" w:hAnsiTheme="minorEastAsia" w:eastAsiaTheme="minorEastAsia" w:cstheme="minorHAnsi"/>
        </w:rPr>
        <w:t>GB/T 1.1—2020</w:t>
      </w:r>
      <w:r>
        <w:rPr>
          <w:rFonts w:hint="eastAsia"/>
        </w:rPr>
        <w:t>《标准化工作导则 第1部分：标准化文件的结构和起草规则》</w:t>
      </w:r>
      <w:r>
        <w:t>的规</w:t>
      </w:r>
      <w:r>
        <w:rPr>
          <w:rFonts w:hint="eastAsia"/>
        </w:rPr>
        <w:t>定</w:t>
      </w:r>
      <w:r>
        <w:t>起草。</w:t>
      </w:r>
    </w:p>
    <w:p w14:paraId="2611B063">
      <w:pPr>
        <w:pStyle w:val="23"/>
        <w:keepNext w:val="0"/>
        <w:keepLines w:val="0"/>
        <w:pageBreakBefore w:val="0"/>
        <w:widowControl/>
        <w:kinsoku/>
        <w:wordWrap/>
        <w:overflowPunct/>
        <w:topLinePunct w:val="0"/>
        <w:autoSpaceDE w:val="0"/>
        <w:autoSpaceDN w:val="0"/>
        <w:bidi w:val="0"/>
        <w:adjustRightInd/>
        <w:snapToGrid/>
        <w:spacing w:line="240" w:lineRule="auto"/>
        <w:textAlignment w:val="auto"/>
      </w:pPr>
      <w:r>
        <w:rPr>
          <w:rFonts w:ascii="Arial Narrow" w:hAnsi="Arial Narrow" w:cs="Arial Narrow"/>
        </w:rPr>
        <w:t>请注意本文件的某些内容可能涉及专利。本文件的发布机构不承担识别专利的责任。</w:t>
      </w:r>
    </w:p>
    <w:p w14:paraId="4CC6ED89">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240" w:lineRule="auto"/>
        <w:ind w:firstLine="420" w:firstLineChars="200"/>
        <w:jc w:val="both"/>
        <w:textAlignment w:val="auto"/>
        <w:rPr>
          <w:rFonts w:ascii="宋体" w:hAnsi="Times New Roman" w:eastAsia="宋体" w:cs="Times New Roman"/>
          <w:sz w:val="21"/>
          <w:lang w:val="en-US" w:eastAsia="zh-CN" w:bidi="ar-SA"/>
        </w:rPr>
      </w:pPr>
      <w:r>
        <w:rPr>
          <w:rFonts w:ascii="Arial Narrow" w:hAnsi="Arial Narrow" w:eastAsia="宋体" w:cs="Arial Narrow"/>
          <w:sz w:val="21"/>
          <w:lang w:val="en-US" w:eastAsia="zh-CN" w:bidi="ar-SA"/>
        </w:rPr>
        <w:t>本</w:t>
      </w:r>
      <w:r>
        <w:rPr>
          <w:rFonts w:hint="eastAsia" w:ascii="Arial Narrow" w:hAnsi="Arial Narrow" w:eastAsia="宋体" w:cs="Arial Narrow"/>
          <w:sz w:val="21"/>
          <w:lang w:val="en-US" w:eastAsia="zh-CN" w:bidi="ar-SA"/>
        </w:rPr>
        <w:t>文件</w:t>
      </w:r>
      <w:r>
        <w:rPr>
          <w:rFonts w:ascii="Arial Narrow" w:hAnsi="Arial Narrow" w:eastAsia="宋体" w:cs="Arial Narrow"/>
          <w:sz w:val="21"/>
          <w:lang w:val="en-US" w:eastAsia="zh-CN" w:bidi="ar-SA"/>
        </w:rPr>
        <w:t>由</w:t>
      </w:r>
      <w:r>
        <w:rPr>
          <w:rFonts w:hint="eastAsia" w:ascii="Arial Narrow" w:hAnsi="Arial Narrow" w:eastAsia="宋体" w:cs="Arial Narrow"/>
          <w:sz w:val="21"/>
          <w:lang w:val="en-US" w:eastAsia="zh-CN" w:bidi="ar-SA"/>
        </w:rPr>
        <w:t>华中科技大学同济医学院附属同济医院提出。</w:t>
      </w:r>
    </w:p>
    <w:p w14:paraId="06938CAC">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240" w:lineRule="auto"/>
        <w:ind w:leftChars="0" w:firstLine="420" w:firstLineChars="200"/>
        <w:jc w:val="both"/>
        <w:textAlignment w:val="auto"/>
        <w:rPr>
          <w:rFonts w:ascii="宋体" w:hAnsi="Times New Roman" w:eastAsia="宋体" w:cs="Times New Roman"/>
          <w:sz w:val="21"/>
          <w:lang w:val="en-US" w:eastAsia="zh-CN" w:bidi="ar-SA"/>
        </w:rPr>
      </w:pPr>
      <w:r>
        <w:rPr>
          <w:rFonts w:ascii="Arial Narrow" w:hAnsi="Arial Narrow" w:eastAsia="宋体" w:cs="Arial Narrow"/>
          <w:sz w:val="21"/>
          <w:lang w:val="en-US" w:eastAsia="zh-CN" w:bidi="ar-SA"/>
        </w:rPr>
        <w:t>本</w:t>
      </w:r>
      <w:r>
        <w:rPr>
          <w:rFonts w:hint="eastAsia" w:ascii="Arial Narrow" w:hAnsi="Arial Narrow" w:eastAsia="宋体" w:cs="Arial Narrow"/>
          <w:sz w:val="21"/>
          <w:lang w:val="en-US" w:eastAsia="zh-CN" w:bidi="ar-SA"/>
        </w:rPr>
        <w:t>文件</w:t>
      </w:r>
      <w:r>
        <w:rPr>
          <w:rFonts w:ascii="Arial Narrow" w:hAnsi="Arial Narrow" w:eastAsia="宋体" w:cs="Arial Narrow"/>
          <w:sz w:val="21"/>
          <w:lang w:val="en-US" w:eastAsia="zh-CN" w:bidi="ar-SA"/>
        </w:rPr>
        <w:t>由</w:t>
      </w:r>
      <w:r>
        <w:rPr>
          <w:rFonts w:hint="eastAsia" w:ascii="Arial Narrow" w:hAnsi="Arial Narrow" w:eastAsia="宋体" w:cs="Arial Narrow"/>
          <w:sz w:val="21"/>
          <w:lang w:val="en-US" w:eastAsia="zh-CN" w:bidi="ar-SA"/>
        </w:rPr>
        <w:t>中国医药教育协会</w:t>
      </w:r>
      <w:r>
        <w:rPr>
          <w:rFonts w:ascii="Arial Narrow" w:hAnsi="Arial Narrow" w:eastAsia="宋体" w:cs="Arial Narrow"/>
          <w:sz w:val="21"/>
          <w:lang w:val="en-US" w:eastAsia="zh-CN" w:bidi="ar-SA"/>
        </w:rPr>
        <w:t>归口。</w:t>
      </w:r>
    </w:p>
    <w:p w14:paraId="55FCA921">
      <w:pPr>
        <w:pStyle w:val="23"/>
        <w:keepNext w:val="0"/>
        <w:keepLines w:val="0"/>
        <w:pageBreakBefore w:val="0"/>
        <w:widowControl/>
        <w:kinsoku/>
        <w:wordWrap/>
        <w:overflowPunct/>
        <w:topLinePunct w:val="0"/>
        <w:autoSpaceDE w:val="0"/>
        <w:autoSpaceDN w:val="0"/>
        <w:bidi w:val="0"/>
        <w:adjustRightInd/>
        <w:snapToGrid/>
        <w:spacing w:line="240" w:lineRule="auto"/>
        <w:textAlignment w:val="auto"/>
      </w:pPr>
      <w:r>
        <w:t>本</w:t>
      </w:r>
      <w:r>
        <w:rPr>
          <w:rFonts w:hint="eastAsia"/>
        </w:rPr>
        <w:t>文件</w:t>
      </w:r>
      <w:r>
        <w:t>起草单位：</w:t>
      </w:r>
      <w:r>
        <w:rPr>
          <w:rFonts w:hint="eastAsia"/>
        </w:rPr>
        <w:t>华中科技大学同济医学院附属同济医院</w:t>
      </w:r>
      <w:r>
        <w:t>、</w:t>
      </w:r>
      <w:r>
        <w:rPr>
          <w:rFonts w:hint="eastAsia"/>
        </w:rPr>
        <w:t>上海交通大学医学院附属瑞金医院</w:t>
      </w:r>
      <w:r>
        <w:rPr>
          <w:rFonts w:hint="eastAsia"/>
          <w:lang w:eastAsia="zh-CN"/>
        </w:rPr>
        <w:t>、</w:t>
      </w:r>
      <w:r>
        <w:rPr>
          <w:rFonts w:hint="eastAsia"/>
        </w:rPr>
        <w:t>福建医科大学附属第一医院</w:t>
      </w:r>
      <w:r>
        <w:rPr>
          <w:rFonts w:hint="eastAsia"/>
          <w:lang w:eastAsia="zh-CN"/>
        </w:rPr>
        <w:t>、</w:t>
      </w:r>
      <w:r>
        <w:rPr>
          <w:rFonts w:hint="eastAsia"/>
        </w:rPr>
        <w:t>昆明医科大学第二附属医院</w:t>
      </w:r>
      <w:r>
        <w:rPr>
          <w:rFonts w:hint="eastAsia"/>
          <w:lang w:eastAsia="zh-CN"/>
        </w:rPr>
        <w:t>、</w:t>
      </w:r>
      <w:r>
        <w:rPr>
          <w:rFonts w:hint="eastAsia"/>
        </w:rPr>
        <w:t>联勤保障部队第九四〇医院</w:t>
      </w:r>
      <w:r>
        <w:rPr>
          <w:rFonts w:hint="eastAsia"/>
          <w:lang w:eastAsia="zh-CN"/>
        </w:rPr>
        <w:t>、</w:t>
      </w:r>
      <w:r>
        <w:rPr>
          <w:rFonts w:hint="eastAsia"/>
        </w:rPr>
        <w:t>河南科技大学第一附属医院</w:t>
      </w:r>
      <w:r>
        <w:rPr>
          <w:rFonts w:hint="eastAsia"/>
          <w:lang w:eastAsia="zh-CN"/>
        </w:rPr>
        <w:t>、</w:t>
      </w:r>
      <w:r>
        <w:rPr>
          <w:rFonts w:hint="eastAsia"/>
        </w:rPr>
        <w:t>首都医科大学宣武医院</w:t>
      </w:r>
      <w:r>
        <w:rPr>
          <w:rFonts w:hint="eastAsia"/>
          <w:lang w:eastAsia="zh-CN"/>
        </w:rPr>
        <w:t>、</w:t>
      </w:r>
      <w:r>
        <w:rPr>
          <w:rFonts w:hint="eastAsia"/>
        </w:rPr>
        <w:t>深圳大学总医院</w:t>
      </w:r>
      <w:r>
        <w:rPr>
          <w:rFonts w:hint="eastAsia"/>
          <w:lang w:eastAsia="zh-CN"/>
        </w:rPr>
        <w:t>、</w:t>
      </w:r>
      <w:r>
        <w:rPr>
          <w:rFonts w:hint="eastAsia"/>
        </w:rPr>
        <w:t>广州医科大学附属第二医院</w:t>
      </w:r>
      <w:r>
        <w:rPr>
          <w:rFonts w:hint="eastAsia"/>
          <w:lang w:eastAsia="zh-CN"/>
        </w:rPr>
        <w:t>、</w:t>
      </w:r>
      <w:r>
        <w:rPr>
          <w:rFonts w:hint="eastAsia"/>
        </w:rPr>
        <w:t>湖北航天医院</w:t>
      </w:r>
      <w:r>
        <w:rPr>
          <w:rFonts w:hint="eastAsia"/>
          <w:lang w:eastAsia="zh-CN"/>
        </w:rPr>
        <w:t>、</w:t>
      </w:r>
      <w:r>
        <w:rPr>
          <w:rFonts w:hint="eastAsia"/>
        </w:rPr>
        <w:t>浙江大学医学院附属第二医院</w:t>
      </w:r>
      <w:r>
        <w:rPr>
          <w:rFonts w:hint="eastAsia"/>
          <w:lang w:eastAsia="zh-CN"/>
        </w:rPr>
        <w:t>、</w:t>
      </w:r>
      <w:r>
        <w:rPr>
          <w:rFonts w:hint="eastAsia"/>
        </w:rPr>
        <w:t>兰州大学第二医院</w:t>
      </w:r>
      <w:r>
        <w:rPr>
          <w:rFonts w:hint="eastAsia"/>
          <w:lang w:eastAsia="zh-CN"/>
        </w:rPr>
        <w:t>、</w:t>
      </w:r>
      <w:r>
        <w:rPr>
          <w:rFonts w:hint="eastAsia"/>
        </w:rPr>
        <w:t>中山大学附属第三医院</w:t>
      </w:r>
      <w:r>
        <w:rPr>
          <w:rFonts w:hint="eastAsia"/>
          <w:lang w:eastAsia="zh-CN"/>
        </w:rPr>
        <w:t>、</w:t>
      </w:r>
      <w:r>
        <w:rPr>
          <w:rFonts w:hint="eastAsia"/>
        </w:rPr>
        <w:t>空军军医大学第二附属医院</w:t>
      </w:r>
      <w:r>
        <w:rPr>
          <w:rFonts w:hint="eastAsia"/>
          <w:lang w:eastAsia="zh-CN"/>
        </w:rPr>
        <w:t>、</w:t>
      </w:r>
      <w:r>
        <w:rPr>
          <w:rFonts w:hint="eastAsia"/>
        </w:rPr>
        <w:t>山东省立医院</w:t>
      </w:r>
      <w:r>
        <w:t>。</w:t>
      </w:r>
    </w:p>
    <w:p w14:paraId="58F1315A">
      <w:pPr>
        <w:pStyle w:val="23"/>
        <w:keepNext w:val="0"/>
        <w:keepLines w:val="0"/>
        <w:pageBreakBefore w:val="0"/>
        <w:widowControl/>
        <w:kinsoku/>
        <w:wordWrap/>
        <w:overflowPunct/>
        <w:topLinePunct w:val="0"/>
        <w:autoSpaceDE w:val="0"/>
        <w:autoSpaceDN w:val="0"/>
        <w:bidi w:val="0"/>
        <w:adjustRightInd/>
        <w:snapToGrid/>
        <w:spacing w:line="240" w:lineRule="auto"/>
        <w:textAlignment w:val="auto"/>
      </w:pPr>
      <w:r>
        <w:t>本</w:t>
      </w:r>
      <w:r>
        <w:rPr>
          <w:rFonts w:hint="eastAsia"/>
        </w:rPr>
        <w:t>文件主要</w:t>
      </w:r>
      <w:r>
        <w:t>起草人：</w:t>
      </w:r>
      <w:r>
        <w:rPr>
          <w:rFonts w:hint="eastAsia"/>
        </w:rPr>
        <w:t>田代实</w:t>
      </w:r>
      <w:r>
        <w:t>、</w:t>
      </w:r>
      <w:r>
        <w:rPr>
          <w:rFonts w:hint="eastAsia"/>
        </w:rPr>
        <w:t>秦川</w:t>
      </w:r>
      <w:r>
        <w:t>、</w:t>
      </w:r>
      <w:r>
        <w:rPr>
          <w:rFonts w:hint="eastAsia"/>
          <w:lang w:val="en-US" w:eastAsia="zh-CN"/>
        </w:rPr>
        <w:t>肖君、杨笙、张航、陈晟、付莹、殷梅、张晓燕、闫俊强、笪宇威、张红鸭、龙友明、丁轶、章殷希、郭佳、舒崖清、郭俊、郭守刚</w:t>
      </w:r>
      <w:r>
        <w:t>。</w:t>
      </w:r>
    </w:p>
    <w:p w14:paraId="37FF25C8">
      <w:pPr>
        <w:pStyle w:val="73"/>
        <w:spacing w:line="360" w:lineRule="auto"/>
        <w:sectPr>
          <w:headerReference r:id="rId5" w:type="default"/>
          <w:footerReference r:id="rId6" w:type="default"/>
          <w:pgSz w:w="11906" w:h="16838"/>
          <w:pgMar w:top="567" w:right="1134" w:bottom="1134" w:left="1417" w:header="1418" w:footer="1134" w:gutter="0"/>
          <w:pgNumType w:fmt="upperRoman" w:start="1" w:chapStyle="1"/>
          <w:cols w:space="720" w:num="1"/>
          <w:formProt w:val="0"/>
          <w:docGrid w:type="lines" w:linePitch="312" w:charSpace="0"/>
        </w:sectPr>
      </w:pPr>
    </w:p>
    <w:p w14:paraId="52594C90">
      <w:pPr>
        <w:pStyle w:val="73"/>
        <w:spacing w:line="360" w:lineRule="auto"/>
      </w:pPr>
      <w:bookmarkStart w:id="4" w:name="_Toc183545968"/>
      <w:bookmarkStart w:id="5" w:name="_Toc21988"/>
      <w:r>
        <w:rPr>
          <w:rFonts w:hint="eastAsia"/>
          <w:lang w:val="en-US" w:eastAsia="zh-CN"/>
        </w:rPr>
        <w:t>神经</w:t>
      </w:r>
      <w:bookmarkEnd w:id="4"/>
      <w:r>
        <w:rPr>
          <w:rFonts w:hint="eastAsia"/>
        </w:rPr>
        <w:t>系统自身免疫疾病B细胞靶向生物制剂临床应用指南</w:t>
      </w:r>
      <w:bookmarkEnd w:id="5"/>
    </w:p>
    <w:p w14:paraId="46DB0129">
      <w:pPr>
        <w:pStyle w:val="44"/>
        <w:keepNext w:val="0"/>
        <w:keepLines w:val="0"/>
        <w:pageBreakBefore w:val="0"/>
        <w:kinsoku/>
        <w:wordWrap/>
        <w:overflowPunct/>
        <w:topLinePunct w:val="0"/>
        <w:bidi w:val="0"/>
        <w:adjustRightInd/>
        <w:snapToGrid/>
        <w:spacing w:before="312" w:after="312" w:line="240" w:lineRule="auto"/>
        <w:textAlignment w:val="auto"/>
      </w:pPr>
      <w:bookmarkStart w:id="6" w:name="_Toc24495"/>
      <w:r>
        <w:t>范围</w:t>
      </w:r>
      <w:bookmarkEnd w:id="6"/>
    </w:p>
    <w:p w14:paraId="7BC2070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pPr>
      <w:r>
        <w:t>本</w:t>
      </w:r>
      <w:r>
        <w:rPr>
          <w:rFonts w:hint="eastAsia"/>
        </w:rPr>
        <w:t>文件规定</w:t>
      </w:r>
      <w:r>
        <w:t>了</w:t>
      </w:r>
      <w:r>
        <w:rPr>
          <w:rFonts w:hint="eastAsia"/>
        </w:rPr>
        <w:t>B</w:t>
      </w:r>
      <w:r>
        <w:t>细胞</w:t>
      </w:r>
      <w:r>
        <w:rPr>
          <w:rFonts w:hint="eastAsia"/>
        </w:rPr>
        <w:t>靶向生物制剂</w:t>
      </w:r>
      <w:r>
        <w:t>在</w:t>
      </w:r>
      <w:r>
        <w:rPr>
          <w:rFonts w:hint="eastAsia"/>
        </w:rPr>
        <w:t>分类、使用方法</w:t>
      </w:r>
      <w:r>
        <w:t>、给药及</w:t>
      </w:r>
      <w:r>
        <w:rPr>
          <w:rFonts w:hint="eastAsia"/>
        </w:rPr>
        <w:t>药物副作用</w:t>
      </w:r>
      <w:r>
        <w:t>等全环节的</w:t>
      </w:r>
      <w:r>
        <w:rPr>
          <w:rFonts w:hint="eastAsia"/>
        </w:rPr>
        <w:t>临床应用指南</w:t>
      </w:r>
      <w:r>
        <w:t xml:space="preserve">。 </w:t>
      </w:r>
    </w:p>
    <w:p w14:paraId="513F12D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pPr>
      <w:r>
        <w:t>本</w:t>
      </w:r>
      <w:r>
        <w:rPr>
          <w:rFonts w:hint="eastAsia"/>
        </w:rPr>
        <w:t>文件</w:t>
      </w:r>
      <w:r>
        <w:t>适用</w:t>
      </w:r>
      <w:r>
        <w:rPr>
          <w:rFonts w:hint="eastAsia"/>
        </w:rPr>
        <w:t>于</w:t>
      </w:r>
      <w:r>
        <w:t>包括但不限于各级各类医疗机构的药师及医护等卫生技术人员。</w:t>
      </w:r>
    </w:p>
    <w:p w14:paraId="7EC24E07">
      <w:pPr>
        <w:pStyle w:val="44"/>
        <w:keepNext w:val="0"/>
        <w:keepLines w:val="0"/>
        <w:pageBreakBefore w:val="0"/>
        <w:kinsoku/>
        <w:wordWrap/>
        <w:overflowPunct/>
        <w:topLinePunct w:val="0"/>
        <w:bidi w:val="0"/>
        <w:adjustRightInd/>
        <w:snapToGrid/>
        <w:spacing w:before="312" w:after="312" w:line="240" w:lineRule="auto"/>
        <w:textAlignment w:val="auto"/>
      </w:pPr>
      <w:bookmarkStart w:id="7" w:name="_Toc21966"/>
      <w:r>
        <w:t>规范性引用文件</w:t>
      </w:r>
      <w:bookmarkEnd w:id="7"/>
    </w:p>
    <w:p w14:paraId="109BEF94">
      <w:pPr>
        <w:pStyle w:val="23"/>
        <w:keepNext w:val="0"/>
        <w:keepLines w:val="0"/>
        <w:pageBreakBefore w:val="0"/>
        <w:widowControl/>
        <w:kinsoku/>
        <w:wordWrap/>
        <w:overflowPunct/>
        <w:topLinePunct w:val="0"/>
        <w:autoSpaceDE w:val="0"/>
        <w:autoSpaceDN w:val="0"/>
        <w:bidi w:val="0"/>
        <w:adjustRightInd/>
        <w:snapToGrid/>
        <w:spacing w:line="240" w:lineRule="auto"/>
        <w:ind w:firstLine="420" w:firstLineChars="200"/>
        <w:textAlignment w:val="auto"/>
        <w:rPr>
          <w:rFonts w:hint="eastAsia"/>
        </w:rPr>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45DE7500">
      <w:pPr>
        <w:pStyle w:val="23"/>
        <w:keepNext w:val="0"/>
        <w:keepLines w:val="0"/>
        <w:pageBreakBefore w:val="0"/>
        <w:widowControl/>
        <w:kinsoku/>
        <w:wordWrap/>
        <w:overflowPunct/>
        <w:topLinePunct w:val="0"/>
        <w:autoSpaceDE w:val="0"/>
        <w:autoSpaceDN w:val="0"/>
        <w:bidi w:val="0"/>
        <w:adjustRightInd/>
        <w:snapToGrid/>
        <w:spacing w:line="240" w:lineRule="auto"/>
        <w:ind w:firstLine="420" w:firstLineChars="200"/>
        <w:textAlignment w:val="auto"/>
      </w:pPr>
      <w:r>
        <w:rPr>
          <w:rFonts w:hint="eastAsia"/>
        </w:rPr>
        <w:t>多发性硬化诊断与治疗中国指南（2023版）</w:t>
      </w:r>
    </w:p>
    <w:p w14:paraId="023B47E3">
      <w:pPr>
        <w:pStyle w:val="23"/>
        <w:keepNext w:val="0"/>
        <w:keepLines w:val="0"/>
        <w:pageBreakBefore w:val="0"/>
        <w:widowControl/>
        <w:kinsoku/>
        <w:wordWrap/>
        <w:overflowPunct/>
        <w:topLinePunct w:val="0"/>
        <w:autoSpaceDE w:val="0"/>
        <w:autoSpaceDN w:val="0"/>
        <w:bidi w:val="0"/>
        <w:adjustRightInd/>
        <w:snapToGrid/>
        <w:spacing w:line="240" w:lineRule="auto"/>
        <w:ind w:firstLine="420" w:firstLineChars="200"/>
        <w:textAlignment w:val="auto"/>
      </w:pPr>
      <w:r>
        <w:rPr>
          <w:rFonts w:hint="eastAsia"/>
        </w:rPr>
        <w:t>中国自身免疫性脑炎诊治专家共识（2022版）</w:t>
      </w:r>
    </w:p>
    <w:p w14:paraId="37417C7F">
      <w:pPr>
        <w:pStyle w:val="23"/>
        <w:keepNext w:val="0"/>
        <w:keepLines w:val="0"/>
        <w:pageBreakBefore w:val="0"/>
        <w:widowControl/>
        <w:kinsoku/>
        <w:wordWrap/>
        <w:overflowPunct/>
        <w:topLinePunct w:val="0"/>
        <w:autoSpaceDE w:val="0"/>
        <w:autoSpaceDN w:val="0"/>
        <w:bidi w:val="0"/>
        <w:adjustRightInd/>
        <w:snapToGrid/>
        <w:spacing w:line="240" w:lineRule="auto"/>
        <w:ind w:firstLine="420" w:firstLineChars="200"/>
        <w:textAlignment w:val="auto"/>
        <w:rPr>
          <w:rFonts w:hint="eastAsia" w:eastAsia="宋体"/>
          <w:lang w:eastAsia="zh-CN"/>
        </w:rPr>
      </w:pPr>
      <w:r>
        <w:rPr>
          <w:rFonts w:hint="eastAsia"/>
        </w:rPr>
        <w:t>中国重症肌无力诊断和治疗指南</w:t>
      </w:r>
      <w:r>
        <w:rPr>
          <w:rFonts w:hint="eastAsia"/>
          <w:lang w:eastAsia="zh-CN"/>
        </w:rPr>
        <w:t>（</w:t>
      </w:r>
      <w:r>
        <w:rPr>
          <w:rFonts w:hint="eastAsia"/>
          <w:lang w:val="en-US" w:eastAsia="zh-CN"/>
        </w:rPr>
        <w:t>2025版</w:t>
      </w:r>
      <w:r>
        <w:rPr>
          <w:rFonts w:hint="eastAsia"/>
          <w:lang w:eastAsia="zh-CN"/>
        </w:rPr>
        <w:t>）</w:t>
      </w:r>
    </w:p>
    <w:p w14:paraId="3C8891A0">
      <w:pPr>
        <w:pStyle w:val="23"/>
        <w:keepNext w:val="0"/>
        <w:keepLines w:val="0"/>
        <w:pageBreakBefore w:val="0"/>
        <w:widowControl/>
        <w:kinsoku/>
        <w:wordWrap/>
        <w:overflowPunct/>
        <w:topLinePunct w:val="0"/>
        <w:autoSpaceDE w:val="0"/>
        <w:autoSpaceDN w:val="0"/>
        <w:bidi w:val="0"/>
        <w:adjustRightInd/>
        <w:snapToGrid/>
        <w:spacing w:line="240" w:lineRule="auto"/>
        <w:ind w:firstLine="420" w:firstLineChars="200"/>
        <w:textAlignment w:val="auto"/>
      </w:pPr>
      <w:r>
        <w:rPr>
          <w:rFonts w:hint="eastAsia"/>
        </w:rPr>
        <w:t>中国视神经脊髓炎谱系疾病诊断与治疗指南（2021版)</w:t>
      </w:r>
    </w:p>
    <w:p w14:paraId="3CCF687A">
      <w:pPr>
        <w:pStyle w:val="44"/>
        <w:keepNext w:val="0"/>
        <w:keepLines w:val="0"/>
        <w:pageBreakBefore w:val="0"/>
        <w:kinsoku/>
        <w:wordWrap/>
        <w:overflowPunct/>
        <w:topLinePunct w:val="0"/>
        <w:bidi w:val="0"/>
        <w:adjustRightInd/>
        <w:snapToGrid/>
        <w:spacing w:before="312" w:after="312" w:line="240" w:lineRule="auto"/>
        <w:textAlignment w:val="auto"/>
      </w:pPr>
      <w:bookmarkStart w:id="8" w:name="_Toc15261"/>
      <w:r>
        <w:t>术语和定义</w:t>
      </w:r>
      <w:bookmarkEnd w:id="8"/>
    </w:p>
    <w:p w14:paraId="7F2E6D36">
      <w:pPr>
        <w:pStyle w:val="23"/>
        <w:keepNext w:val="0"/>
        <w:keepLines w:val="0"/>
        <w:pageBreakBefore w:val="0"/>
        <w:widowControl/>
        <w:kinsoku/>
        <w:wordWrap/>
        <w:overflowPunct/>
        <w:topLinePunct w:val="0"/>
        <w:autoSpaceDE w:val="0"/>
        <w:autoSpaceDN w:val="0"/>
        <w:bidi w:val="0"/>
        <w:adjustRightInd/>
        <w:snapToGrid/>
        <w:spacing w:line="240" w:lineRule="auto"/>
        <w:ind w:firstLine="420" w:firstLineChars="200"/>
        <w:textAlignment w:val="auto"/>
      </w:pPr>
      <w:r>
        <w:rPr>
          <w:rFonts w:hint="eastAsia"/>
        </w:rPr>
        <w:t>下列术语和定义适用于本文件。</w:t>
      </w:r>
    </w:p>
    <w:p w14:paraId="41A37F9A">
      <w:pPr>
        <w:pStyle w:val="43"/>
        <w:keepNext w:val="0"/>
        <w:keepLines w:val="0"/>
        <w:pageBreakBefore w:val="0"/>
        <w:kinsoku/>
        <w:wordWrap/>
        <w:overflowPunct/>
        <w:topLinePunct w:val="0"/>
        <w:bidi w:val="0"/>
        <w:adjustRightInd/>
        <w:snapToGrid/>
        <w:spacing w:before="156" w:after="156" w:line="240" w:lineRule="auto"/>
        <w:textAlignment w:val="auto"/>
      </w:pPr>
      <w:bookmarkStart w:id="9" w:name="_Toc27032"/>
    </w:p>
    <w:p w14:paraId="4EB610E7">
      <w:pPr>
        <w:pStyle w:val="43"/>
        <w:keepNext w:val="0"/>
        <w:keepLines w:val="0"/>
        <w:pageBreakBefore w:val="0"/>
        <w:widowControl/>
        <w:numPr>
          <w:ilvl w:val="1"/>
          <w:numId w:val="0"/>
        </w:numPr>
        <w:kinsoku/>
        <w:wordWrap/>
        <w:overflowPunct/>
        <w:topLinePunct w:val="0"/>
        <w:autoSpaceDE/>
        <w:autoSpaceDN/>
        <w:bidi w:val="0"/>
        <w:adjustRightInd/>
        <w:snapToGrid/>
        <w:spacing w:beforeLines="0" w:afterLines="0" w:line="240" w:lineRule="auto"/>
        <w:ind w:leftChars="0" w:firstLine="420" w:firstLineChars="200"/>
        <w:textAlignment w:val="auto"/>
      </w:pPr>
      <w:r>
        <w:rPr>
          <w:rFonts w:hint="eastAsia"/>
        </w:rPr>
        <w:t>B细胞耗竭疗法</w:t>
      </w:r>
      <w:r>
        <w:t xml:space="preserve"> </w:t>
      </w:r>
      <w:r>
        <w:rPr>
          <w:rFonts w:hint="eastAsia"/>
          <w:lang w:val="en-US" w:eastAsia="zh-CN"/>
        </w:rPr>
        <w:t>b</w:t>
      </w:r>
      <w:r>
        <w:rPr>
          <w:rFonts w:hint="eastAsia"/>
        </w:rPr>
        <w:t xml:space="preserve"> cell depletion therapies</w:t>
      </w:r>
      <w:r>
        <w:rPr>
          <w:rFonts w:hint="eastAsia"/>
          <w:lang w:eastAsia="zh-CN"/>
        </w:rPr>
        <w:t>，</w:t>
      </w:r>
      <w:r>
        <w:rPr>
          <w:rFonts w:hint="eastAsia"/>
        </w:rPr>
        <w:t>BCDTs</w:t>
      </w:r>
      <w:bookmarkEnd w:id="9"/>
      <w:r>
        <w:t xml:space="preserve"> </w:t>
      </w:r>
    </w:p>
    <w:p w14:paraId="159312C2">
      <w:pPr>
        <w:keepNext w:val="0"/>
        <w:keepLines w:val="0"/>
        <w:pageBreakBefore w:val="0"/>
        <w:kinsoku/>
        <w:wordWrap/>
        <w:overflowPunct/>
        <w:topLinePunct w:val="0"/>
        <w:autoSpaceDE w:val="0"/>
        <w:autoSpaceDN w:val="0"/>
        <w:bidi w:val="0"/>
        <w:adjustRightInd/>
        <w:snapToGrid/>
        <w:spacing w:line="240" w:lineRule="auto"/>
        <w:ind w:firstLine="420" w:firstLineChars="200"/>
        <w:textAlignment w:val="auto"/>
      </w:pPr>
      <w:r>
        <w:rPr>
          <w:rFonts w:hint="eastAsia"/>
        </w:rPr>
        <w:t>B细胞清除策略是利用抗体药物靶向结合B细胞特异性抗原，通过抗体依赖细胞介导的细胞毒性作用（Antibody-dependent cell-mediated cytotoxicity，ADCC）或补体依赖的细胞毒性作用（Complement dependent cytotoxicity，CDC）介导B细胞裂解，从而清除B细胞，或者通过靶向B细胞存活需要的细胞因子，如B细胞激活因子（B-cell activation factor，BAFF）等，诱导B细胞凋亡，进而达到清除B细胞的目的。</w:t>
      </w:r>
    </w:p>
    <w:p w14:paraId="14EECE54">
      <w:pPr>
        <w:pStyle w:val="43"/>
        <w:keepNext w:val="0"/>
        <w:keepLines w:val="0"/>
        <w:pageBreakBefore w:val="0"/>
        <w:widowControl/>
        <w:kinsoku/>
        <w:wordWrap/>
        <w:overflowPunct/>
        <w:topLinePunct w:val="0"/>
        <w:autoSpaceDE/>
        <w:autoSpaceDN/>
        <w:bidi w:val="0"/>
        <w:adjustRightInd/>
        <w:snapToGrid/>
        <w:spacing w:before="156" w:after="156" w:line="240" w:lineRule="auto"/>
        <w:textAlignment w:val="auto"/>
      </w:pPr>
      <w:bookmarkStart w:id="10" w:name="_Toc22944"/>
    </w:p>
    <w:p w14:paraId="74F0ACC4">
      <w:pPr>
        <w:pStyle w:val="43"/>
        <w:keepNext w:val="0"/>
        <w:keepLines w:val="0"/>
        <w:pageBreakBefore w:val="0"/>
        <w:widowControl/>
        <w:numPr>
          <w:ilvl w:val="1"/>
          <w:numId w:val="0"/>
        </w:numPr>
        <w:kinsoku/>
        <w:wordWrap/>
        <w:overflowPunct/>
        <w:topLinePunct w:val="0"/>
        <w:autoSpaceDE/>
        <w:autoSpaceDN/>
        <w:bidi w:val="0"/>
        <w:adjustRightInd/>
        <w:snapToGrid/>
        <w:spacing w:beforeLines="0" w:afterLines="0" w:line="240" w:lineRule="auto"/>
        <w:ind w:leftChars="0" w:firstLine="420" w:firstLineChars="200"/>
        <w:textAlignment w:val="auto"/>
      </w:pPr>
      <w:r>
        <w:t>抗体依赖性的细胞介导的细胞毒作用</w:t>
      </w:r>
      <w:r>
        <w:rPr>
          <w:rFonts w:hint="eastAsia"/>
        </w:rPr>
        <w:t xml:space="preserve"> </w:t>
      </w:r>
      <w:r>
        <w:rPr>
          <w:rFonts w:hint="eastAsia"/>
          <w:lang w:val="en-US" w:eastAsia="zh-CN"/>
        </w:rPr>
        <w:t>a</w:t>
      </w:r>
      <w:r>
        <w:t>ntibody-dependent cell-mediated cytotoxicity</w:t>
      </w:r>
      <w:r>
        <w:rPr>
          <w:rFonts w:hint="eastAsia"/>
          <w:lang w:val="en-US" w:eastAsia="zh-CN"/>
        </w:rPr>
        <w:t>,</w:t>
      </w:r>
      <w:r>
        <w:t>ADCC</w:t>
      </w:r>
      <w:bookmarkEnd w:id="10"/>
    </w:p>
    <w:p w14:paraId="14607B0E">
      <w:pPr>
        <w:keepNext w:val="0"/>
        <w:keepLines w:val="0"/>
        <w:pageBreakBefore w:val="0"/>
        <w:kinsoku/>
        <w:wordWrap/>
        <w:overflowPunct/>
        <w:topLinePunct w:val="0"/>
        <w:autoSpaceDE w:val="0"/>
        <w:autoSpaceDN w:val="0"/>
        <w:bidi w:val="0"/>
        <w:adjustRightInd/>
        <w:snapToGrid/>
        <w:spacing w:line="240" w:lineRule="auto"/>
        <w:ind w:firstLine="420" w:firstLineChars="200"/>
        <w:textAlignment w:val="auto"/>
      </w:pPr>
      <w:r>
        <w:rPr>
          <w:rFonts w:hint="eastAsia"/>
        </w:rPr>
        <w:t>表达IgGFc受体的NK细胞、巨噬细胞和中性粒细胞等，通过与已结合在病毒感染细胞和肿瘤细胞等靶细胞表面的IgG抗体的Fc段结合，而杀伤这些靶细胞的作用。</w:t>
      </w:r>
    </w:p>
    <w:p w14:paraId="52E05E4A">
      <w:pPr>
        <w:pStyle w:val="43"/>
        <w:keepNext w:val="0"/>
        <w:keepLines w:val="0"/>
        <w:pageBreakBefore w:val="0"/>
        <w:kinsoku/>
        <w:wordWrap/>
        <w:overflowPunct/>
        <w:topLinePunct w:val="0"/>
        <w:bidi w:val="0"/>
        <w:adjustRightInd/>
        <w:snapToGrid/>
        <w:spacing w:before="156" w:after="156" w:line="240" w:lineRule="auto"/>
        <w:textAlignment w:val="auto"/>
      </w:pPr>
      <w:bookmarkStart w:id="11" w:name="_Toc4883"/>
    </w:p>
    <w:p w14:paraId="23961B40">
      <w:pPr>
        <w:pStyle w:val="43"/>
        <w:keepNext w:val="0"/>
        <w:keepLines w:val="0"/>
        <w:pageBreakBefore w:val="0"/>
        <w:widowControl/>
        <w:numPr>
          <w:ilvl w:val="1"/>
          <w:numId w:val="0"/>
        </w:numPr>
        <w:kinsoku/>
        <w:wordWrap/>
        <w:overflowPunct/>
        <w:topLinePunct w:val="0"/>
        <w:autoSpaceDE/>
        <w:autoSpaceDN/>
        <w:bidi w:val="0"/>
        <w:adjustRightInd/>
        <w:snapToGrid/>
        <w:spacing w:beforeLines="0" w:afterLines="0" w:line="240" w:lineRule="auto"/>
        <w:ind w:leftChars="0" w:firstLine="420" w:firstLineChars="200"/>
        <w:textAlignment w:val="auto"/>
      </w:pPr>
      <w:r>
        <w:t>补体依赖的细胞毒性</w:t>
      </w:r>
      <w:r>
        <w:rPr>
          <w:rFonts w:hint="eastAsia"/>
          <w:lang w:val="en-US" w:eastAsia="zh-CN"/>
        </w:rPr>
        <w:t>c</w:t>
      </w:r>
      <w:r>
        <w:t>omplement dependent cytotoxicity</w:t>
      </w:r>
      <w:r>
        <w:rPr>
          <w:rFonts w:hint="eastAsia"/>
          <w:lang w:val="en-US" w:eastAsia="zh-CN"/>
        </w:rPr>
        <w:t>,</w:t>
      </w:r>
      <w:r>
        <w:t>CDC</w:t>
      </w:r>
      <w:bookmarkEnd w:id="11"/>
    </w:p>
    <w:p w14:paraId="2C8B7DC4">
      <w:pPr>
        <w:keepNext w:val="0"/>
        <w:keepLines w:val="0"/>
        <w:pageBreakBefore w:val="0"/>
        <w:kinsoku/>
        <w:wordWrap/>
        <w:overflowPunct/>
        <w:topLinePunct w:val="0"/>
        <w:autoSpaceDE w:val="0"/>
        <w:autoSpaceDN w:val="0"/>
        <w:bidi w:val="0"/>
        <w:adjustRightInd/>
        <w:snapToGrid/>
        <w:spacing w:line="240" w:lineRule="auto"/>
        <w:ind w:firstLine="420" w:firstLineChars="200"/>
        <w:textAlignment w:val="auto"/>
      </w:pPr>
      <w:r>
        <w:t>补体参与的细胞毒作用，即通过特异性抗体与细胞膜表面相应抗原结合，形成复合物而激活补体经典途径，所形成的攻膜复合物对靶细胞发挥裂解效应。</w:t>
      </w:r>
    </w:p>
    <w:p w14:paraId="4E18B34C">
      <w:pPr>
        <w:pStyle w:val="43"/>
        <w:keepNext w:val="0"/>
        <w:keepLines w:val="0"/>
        <w:pageBreakBefore w:val="0"/>
        <w:kinsoku/>
        <w:wordWrap/>
        <w:overflowPunct/>
        <w:topLinePunct w:val="0"/>
        <w:bidi w:val="0"/>
        <w:adjustRightInd/>
        <w:snapToGrid/>
        <w:spacing w:before="156" w:after="156" w:line="240" w:lineRule="auto"/>
        <w:textAlignment w:val="auto"/>
      </w:pPr>
      <w:bookmarkStart w:id="12" w:name="_Toc9160"/>
    </w:p>
    <w:p w14:paraId="72031BB2">
      <w:pPr>
        <w:pStyle w:val="43"/>
        <w:keepNext w:val="0"/>
        <w:keepLines w:val="0"/>
        <w:pageBreakBefore w:val="0"/>
        <w:widowControl/>
        <w:numPr>
          <w:ilvl w:val="1"/>
          <w:numId w:val="0"/>
        </w:numPr>
        <w:kinsoku/>
        <w:wordWrap/>
        <w:overflowPunct/>
        <w:topLinePunct w:val="0"/>
        <w:autoSpaceDE/>
        <w:autoSpaceDN/>
        <w:bidi w:val="0"/>
        <w:adjustRightInd/>
        <w:snapToGrid/>
        <w:spacing w:beforeLines="0" w:afterLines="0" w:line="240" w:lineRule="auto"/>
        <w:ind w:leftChars="0" w:firstLine="420" w:firstLineChars="200"/>
        <w:textAlignment w:val="auto"/>
      </w:pPr>
      <w:r>
        <w:t>神经系统自身免疫性疾病</w:t>
      </w:r>
      <w:r>
        <w:rPr>
          <w:rFonts w:hint="eastAsia"/>
        </w:rPr>
        <w:t xml:space="preserve"> </w:t>
      </w:r>
      <w:r>
        <w:rPr>
          <w:rFonts w:hint="eastAsia"/>
          <w:lang w:val="en-US" w:eastAsia="zh-CN"/>
        </w:rPr>
        <w:t>a</w:t>
      </w:r>
      <w:r>
        <w:rPr>
          <w:rFonts w:hint="eastAsia"/>
        </w:rPr>
        <w:t>utoimmune diseases in the central nervous system</w:t>
      </w:r>
      <w:bookmarkEnd w:id="12"/>
    </w:p>
    <w:p w14:paraId="20A6E598">
      <w:pPr>
        <w:keepNext w:val="0"/>
        <w:keepLines w:val="0"/>
        <w:pageBreakBefore w:val="0"/>
        <w:kinsoku/>
        <w:wordWrap/>
        <w:overflowPunct/>
        <w:topLinePunct w:val="0"/>
        <w:autoSpaceDE w:val="0"/>
        <w:autoSpaceDN w:val="0"/>
        <w:bidi w:val="0"/>
        <w:adjustRightInd/>
        <w:snapToGrid/>
        <w:spacing w:line="240" w:lineRule="auto"/>
        <w:ind w:firstLine="420" w:firstLineChars="200"/>
        <w:textAlignment w:val="auto"/>
      </w:pPr>
      <w:r>
        <w:rPr>
          <w:rFonts w:hint="eastAsia"/>
        </w:rPr>
        <w:t>神经系统自身免疫性疾病</w:t>
      </w:r>
      <w:r>
        <w:t>是人体免疫系统错误地攻击自身神经系统而造成神经系统组织结构和功能损伤的一类疾病。该类疾病损伤范围广泛，临床表现复杂多样，可以累及中枢神经系统、周围神经系统以及神经-肌肉接头处，导致神经元或轴索损伤、髓鞘脱失、神经-肌肉接头破坏等病理改变。在中枢神经系统以多发性硬化（multiple sclerosis，MS）、视神经脊髓炎谱系疾病（neuromyelitis optica spectrum disorder，NMOSD）、急性播散性脑脊髓炎（acute disseminated encephalomyelitis，ADEM）为代表，在周围神经系统以吉兰-巴雷综合征（Guillain-Barré syndrome，GBS）为代表，神经-肌肉接头病变以重症肌无力（myasthenia gravis，MG）为代表。</w:t>
      </w:r>
    </w:p>
    <w:p w14:paraId="5907F865">
      <w:pPr>
        <w:pStyle w:val="43"/>
        <w:keepNext w:val="0"/>
        <w:keepLines w:val="0"/>
        <w:pageBreakBefore w:val="0"/>
        <w:kinsoku/>
        <w:wordWrap/>
        <w:overflowPunct/>
        <w:topLinePunct w:val="0"/>
        <w:bidi w:val="0"/>
        <w:adjustRightInd/>
        <w:snapToGrid/>
        <w:spacing w:before="156" w:after="156" w:line="240" w:lineRule="auto"/>
        <w:textAlignment w:val="auto"/>
      </w:pPr>
      <w:bookmarkStart w:id="13" w:name="_Toc28009"/>
    </w:p>
    <w:p w14:paraId="71E26A95">
      <w:pPr>
        <w:pStyle w:val="43"/>
        <w:keepNext w:val="0"/>
        <w:keepLines w:val="0"/>
        <w:pageBreakBefore w:val="0"/>
        <w:widowControl/>
        <w:numPr>
          <w:ilvl w:val="1"/>
          <w:numId w:val="0"/>
        </w:numPr>
        <w:kinsoku/>
        <w:wordWrap/>
        <w:overflowPunct/>
        <w:topLinePunct w:val="0"/>
        <w:autoSpaceDE/>
        <w:autoSpaceDN/>
        <w:bidi w:val="0"/>
        <w:adjustRightInd/>
        <w:snapToGrid/>
        <w:spacing w:beforeLines="0" w:afterLines="0" w:line="240" w:lineRule="auto"/>
        <w:ind w:leftChars="0" w:firstLine="420" w:firstLineChars="200"/>
        <w:textAlignment w:val="auto"/>
      </w:pPr>
      <w:r>
        <w:rPr>
          <w:rFonts w:hint="eastAsia"/>
        </w:rPr>
        <w:t>白细胞分化抗原20</w:t>
      </w:r>
      <w:r>
        <w:rPr>
          <w:rFonts w:hint="eastAsia"/>
          <w:lang w:val="en-US" w:eastAsia="zh-CN"/>
        </w:rPr>
        <w:t xml:space="preserve"> c</w:t>
      </w:r>
      <w:r>
        <w:rPr>
          <w:rFonts w:hint="eastAsia"/>
        </w:rPr>
        <w:t xml:space="preserve">luster of </w:t>
      </w:r>
      <w:r>
        <w:rPr>
          <w:rFonts w:hint="eastAsia"/>
          <w:lang w:val="en-US" w:eastAsia="zh-CN"/>
        </w:rPr>
        <w:t>d</w:t>
      </w:r>
      <w:r>
        <w:rPr>
          <w:rFonts w:hint="eastAsia"/>
        </w:rPr>
        <w:t>ifferentiation 20, CD20</w:t>
      </w:r>
      <w:bookmarkEnd w:id="13"/>
    </w:p>
    <w:p w14:paraId="165E7D96">
      <w:pPr>
        <w:keepNext w:val="0"/>
        <w:keepLines w:val="0"/>
        <w:pageBreakBefore w:val="0"/>
        <w:kinsoku/>
        <w:wordWrap/>
        <w:overflowPunct/>
        <w:topLinePunct w:val="0"/>
        <w:autoSpaceDE w:val="0"/>
        <w:autoSpaceDN w:val="0"/>
        <w:bidi w:val="0"/>
        <w:adjustRightInd/>
        <w:snapToGrid/>
        <w:spacing w:line="240" w:lineRule="auto"/>
        <w:ind w:firstLine="420" w:firstLineChars="200"/>
        <w:textAlignment w:val="auto"/>
      </w:pPr>
      <w:r>
        <w:t>CD20是一种跨膜离子通道蛋白，主要表达在前B细胞、未成熟B细胞、成熟B细胞以及记忆B细胞表面，在干细胞、祖B细胞、晚期浆母细胞以及浆细胞上不表达。抗CD20单克隆抗体通过抗体依赖性细胞毒性（ADCC）和补体依赖性细胞毒性（CDC）作用，清除大部分致病B细胞</w:t>
      </w:r>
      <w:r>
        <w:rPr>
          <w:rFonts w:hint="eastAsia"/>
        </w:rPr>
        <w:t>。</w:t>
      </w:r>
    </w:p>
    <w:p w14:paraId="67937A72">
      <w:pPr>
        <w:pStyle w:val="43"/>
        <w:keepNext w:val="0"/>
        <w:keepLines w:val="0"/>
        <w:pageBreakBefore w:val="0"/>
        <w:kinsoku/>
        <w:wordWrap/>
        <w:overflowPunct/>
        <w:topLinePunct w:val="0"/>
        <w:bidi w:val="0"/>
        <w:adjustRightInd/>
        <w:snapToGrid/>
        <w:spacing w:before="156" w:after="156" w:line="240" w:lineRule="auto"/>
        <w:textAlignment w:val="auto"/>
      </w:pPr>
      <w:bookmarkStart w:id="14" w:name="_Toc17526"/>
    </w:p>
    <w:p w14:paraId="1766ADD8">
      <w:pPr>
        <w:pStyle w:val="43"/>
        <w:keepNext w:val="0"/>
        <w:keepLines w:val="0"/>
        <w:pageBreakBefore w:val="0"/>
        <w:widowControl/>
        <w:numPr>
          <w:ilvl w:val="1"/>
          <w:numId w:val="0"/>
        </w:numPr>
        <w:kinsoku/>
        <w:wordWrap/>
        <w:overflowPunct/>
        <w:topLinePunct w:val="0"/>
        <w:autoSpaceDE/>
        <w:autoSpaceDN/>
        <w:bidi w:val="0"/>
        <w:adjustRightInd/>
        <w:snapToGrid/>
        <w:spacing w:beforeLines="0" w:afterLines="0" w:line="240" w:lineRule="auto"/>
        <w:ind w:leftChars="0" w:firstLine="420" w:firstLineChars="200"/>
        <w:textAlignment w:val="auto"/>
      </w:pPr>
      <w:r>
        <w:rPr>
          <w:rFonts w:hint="eastAsia"/>
        </w:rPr>
        <w:t>白细胞分化抗原19</w:t>
      </w:r>
      <w:r>
        <w:rPr>
          <w:rFonts w:hint="eastAsia"/>
          <w:lang w:val="en-US" w:eastAsia="zh-CN"/>
        </w:rPr>
        <w:t xml:space="preserve"> c</w:t>
      </w:r>
      <w:r>
        <w:rPr>
          <w:rFonts w:hint="eastAsia"/>
        </w:rPr>
        <w:t xml:space="preserve">luster of </w:t>
      </w:r>
      <w:r>
        <w:rPr>
          <w:rFonts w:hint="eastAsia"/>
          <w:lang w:val="en-US" w:eastAsia="zh-CN"/>
        </w:rPr>
        <w:t>d</w:t>
      </w:r>
      <w:r>
        <w:rPr>
          <w:rFonts w:hint="eastAsia"/>
        </w:rPr>
        <w:t>ifferentiation 19, CD19</w:t>
      </w:r>
      <w:bookmarkEnd w:id="14"/>
    </w:p>
    <w:p w14:paraId="1E5B4345">
      <w:pPr>
        <w:keepNext w:val="0"/>
        <w:keepLines w:val="0"/>
        <w:pageBreakBefore w:val="0"/>
        <w:kinsoku/>
        <w:wordWrap/>
        <w:overflowPunct/>
        <w:topLinePunct w:val="0"/>
        <w:autoSpaceDE w:val="0"/>
        <w:autoSpaceDN w:val="0"/>
        <w:bidi w:val="0"/>
        <w:adjustRightInd/>
        <w:snapToGrid/>
        <w:spacing w:line="240" w:lineRule="auto"/>
        <w:ind w:firstLine="420" w:firstLineChars="200"/>
        <w:textAlignment w:val="auto"/>
      </w:pPr>
      <w:r>
        <w:rPr>
          <w:rFonts w:hint="eastAsia"/>
        </w:rPr>
        <w:t>CD19是B细胞表达的一种CD分子，属于Ig超家族。表达与除浆细胞外的所有B细胞系。它是参与B细胞增殖、分化、活化及抗体产生的重要膜抗原，同时，其还可促进BCR的信号转导。</w:t>
      </w:r>
    </w:p>
    <w:p w14:paraId="36D5E06F">
      <w:pPr>
        <w:pStyle w:val="43"/>
        <w:keepNext w:val="0"/>
        <w:keepLines w:val="0"/>
        <w:pageBreakBefore w:val="0"/>
        <w:kinsoku/>
        <w:wordWrap/>
        <w:overflowPunct/>
        <w:topLinePunct w:val="0"/>
        <w:bidi w:val="0"/>
        <w:adjustRightInd/>
        <w:snapToGrid/>
        <w:spacing w:before="156" w:after="156" w:line="240" w:lineRule="auto"/>
        <w:textAlignment w:val="auto"/>
      </w:pPr>
      <w:bookmarkStart w:id="15" w:name="_Toc28145"/>
    </w:p>
    <w:p w14:paraId="79EC2BD5">
      <w:pPr>
        <w:pStyle w:val="43"/>
        <w:keepNext w:val="0"/>
        <w:keepLines w:val="0"/>
        <w:pageBreakBefore w:val="0"/>
        <w:widowControl/>
        <w:numPr>
          <w:ilvl w:val="1"/>
          <w:numId w:val="0"/>
        </w:numPr>
        <w:kinsoku/>
        <w:wordWrap/>
        <w:overflowPunct/>
        <w:topLinePunct w:val="0"/>
        <w:autoSpaceDE/>
        <w:autoSpaceDN/>
        <w:bidi w:val="0"/>
        <w:adjustRightInd/>
        <w:snapToGrid/>
        <w:spacing w:beforeLines="0" w:afterLines="0" w:line="240" w:lineRule="auto"/>
        <w:ind w:leftChars="0" w:firstLine="420" w:firstLineChars="200"/>
        <w:textAlignment w:val="auto"/>
      </w:pPr>
      <w:r>
        <w:rPr>
          <w:rFonts w:hint="eastAsia"/>
        </w:rPr>
        <w:t>B细胞激活因子</w:t>
      </w:r>
      <w:r>
        <w:rPr>
          <w:rFonts w:hint="eastAsia"/>
          <w:lang w:val="en-US" w:eastAsia="zh-CN"/>
        </w:rPr>
        <w:t xml:space="preserve"> b</w:t>
      </w:r>
      <w:r>
        <w:rPr>
          <w:rFonts w:hint="eastAsia"/>
        </w:rPr>
        <w:t xml:space="preserve"> cell activating factor, BAFF</w:t>
      </w:r>
      <w:bookmarkEnd w:id="15"/>
    </w:p>
    <w:p w14:paraId="0701477D">
      <w:pPr>
        <w:keepNext w:val="0"/>
        <w:keepLines w:val="0"/>
        <w:pageBreakBefore w:val="0"/>
        <w:kinsoku/>
        <w:wordWrap/>
        <w:overflowPunct/>
        <w:topLinePunct w:val="0"/>
        <w:autoSpaceDE w:val="0"/>
        <w:autoSpaceDN w:val="0"/>
        <w:bidi w:val="0"/>
        <w:adjustRightInd/>
        <w:snapToGrid/>
        <w:spacing w:line="240" w:lineRule="auto"/>
        <w:ind w:firstLine="420" w:firstLineChars="200"/>
        <w:textAlignment w:val="auto"/>
      </w:pPr>
      <w:r>
        <w:rPr>
          <w:rFonts w:hint="eastAsia"/>
        </w:rPr>
        <w:t>B细胞激活因子BAFF（也称为TNFSF13B、CD257）作为一种关键的B细胞生存因子，属于肿瘤坏死因子（TNF）配体家族成员，有可溶型和膜结合型两种形式。</w:t>
      </w:r>
    </w:p>
    <w:p w14:paraId="54BD87CE">
      <w:pPr>
        <w:pStyle w:val="43"/>
        <w:keepNext w:val="0"/>
        <w:keepLines w:val="0"/>
        <w:pageBreakBefore w:val="0"/>
        <w:kinsoku/>
        <w:wordWrap/>
        <w:overflowPunct/>
        <w:topLinePunct w:val="0"/>
        <w:bidi w:val="0"/>
        <w:adjustRightInd/>
        <w:snapToGrid/>
        <w:spacing w:before="156" w:after="156" w:line="240" w:lineRule="auto"/>
        <w:textAlignment w:val="auto"/>
      </w:pPr>
      <w:bookmarkStart w:id="16" w:name="_Toc17998"/>
    </w:p>
    <w:p w14:paraId="64F2954E">
      <w:pPr>
        <w:pStyle w:val="43"/>
        <w:keepNext w:val="0"/>
        <w:keepLines w:val="0"/>
        <w:pageBreakBefore w:val="0"/>
        <w:widowControl/>
        <w:numPr>
          <w:ilvl w:val="1"/>
          <w:numId w:val="0"/>
        </w:numPr>
        <w:kinsoku/>
        <w:wordWrap/>
        <w:overflowPunct/>
        <w:topLinePunct w:val="0"/>
        <w:autoSpaceDE/>
        <w:autoSpaceDN/>
        <w:bidi w:val="0"/>
        <w:adjustRightInd/>
        <w:snapToGrid/>
        <w:spacing w:beforeLines="0" w:afterLines="0" w:line="240" w:lineRule="auto"/>
        <w:ind w:leftChars="0" w:firstLine="420" w:firstLineChars="200"/>
        <w:textAlignment w:val="auto"/>
      </w:pPr>
      <w:r>
        <w:rPr>
          <w:rFonts w:hint="eastAsia"/>
        </w:rPr>
        <w:t>B细胞淋巴瘤细胞激活因子</w:t>
      </w:r>
      <w:r>
        <w:rPr>
          <w:rFonts w:hint="eastAsia"/>
          <w:lang w:val="en-US" w:eastAsia="zh-CN"/>
        </w:rPr>
        <w:t xml:space="preserve"> b</w:t>
      </w:r>
      <w:r>
        <w:rPr>
          <w:rFonts w:hint="eastAsia"/>
        </w:rPr>
        <w:t xml:space="preserve"> lymphocyte stimulator, Blys</w:t>
      </w:r>
      <w:bookmarkEnd w:id="16"/>
    </w:p>
    <w:p w14:paraId="5AD94780">
      <w:pPr>
        <w:pStyle w:val="23"/>
        <w:keepNext w:val="0"/>
        <w:keepLines w:val="0"/>
        <w:pageBreakBefore w:val="0"/>
        <w:kinsoku/>
        <w:wordWrap/>
        <w:overflowPunct/>
        <w:topLinePunct w:val="0"/>
        <w:autoSpaceDE w:val="0"/>
        <w:autoSpaceDN w:val="0"/>
        <w:bidi w:val="0"/>
        <w:adjustRightInd/>
        <w:snapToGrid/>
        <w:spacing w:line="240" w:lineRule="auto"/>
        <w:ind w:firstLine="420" w:firstLineChars="200"/>
        <w:textAlignment w:val="auto"/>
      </w:pPr>
      <w:r>
        <w:t>是一种属于TNF超家族的蛋白质，它在人体免疫系统中扮演着重要的作用。 Blys主要通过与B细胞表面上的特定受体结合，促进B细胞的生长、分化和抗体产生，从而对免疫反应的调控发挥着关键作用。 在人体免疫系统失调时，Blys的异常表达会导致自身免疫性疾病等疾病的发生。</w:t>
      </w:r>
    </w:p>
    <w:p w14:paraId="1E22DB74">
      <w:pPr>
        <w:pStyle w:val="43"/>
        <w:keepNext w:val="0"/>
        <w:keepLines w:val="0"/>
        <w:pageBreakBefore w:val="0"/>
        <w:kinsoku/>
        <w:wordWrap/>
        <w:overflowPunct/>
        <w:topLinePunct w:val="0"/>
        <w:bidi w:val="0"/>
        <w:adjustRightInd/>
        <w:snapToGrid/>
        <w:spacing w:before="156" w:after="156" w:line="240" w:lineRule="auto"/>
        <w:textAlignment w:val="auto"/>
      </w:pPr>
      <w:bookmarkStart w:id="17" w:name="_Toc23737"/>
    </w:p>
    <w:p w14:paraId="0A201D94">
      <w:pPr>
        <w:pStyle w:val="43"/>
        <w:keepNext w:val="0"/>
        <w:keepLines w:val="0"/>
        <w:pageBreakBefore w:val="0"/>
        <w:widowControl/>
        <w:numPr>
          <w:ilvl w:val="1"/>
          <w:numId w:val="0"/>
        </w:numPr>
        <w:kinsoku/>
        <w:wordWrap/>
        <w:overflowPunct/>
        <w:topLinePunct w:val="0"/>
        <w:autoSpaceDE/>
        <w:autoSpaceDN/>
        <w:bidi w:val="0"/>
        <w:adjustRightInd/>
        <w:snapToGrid/>
        <w:spacing w:beforeLines="0" w:afterLines="0" w:line="240" w:lineRule="auto"/>
        <w:ind w:leftChars="0" w:firstLine="420" w:firstLineChars="200"/>
        <w:textAlignment w:val="auto"/>
      </w:pPr>
      <w:r>
        <w:t>增殖诱导配体</w:t>
      </w:r>
      <w:r>
        <w:rPr>
          <w:rFonts w:hint="eastAsia"/>
          <w:lang w:val="en-US" w:eastAsia="zh-CN"/>
        </w:rPr>
        <w:t xml:space="preserve"> a</w:t>
      </w:r>
      <w:r>
        <w:rPr>
          <w:rFonts w:hint="eastAsia"/>
        </w:rPr>
        <w:t xml:space="preserve"> </w:t>
      </w:r>
      <w:r>
        <w:rPr>
          <w:rFonts w:hint="eastAsia"/>
          <w:lang w:val="en-US" w:eastAsia="zh-CN"/>
        </w:rPr>
        <w:t>p</w:t>
      </w:r>
      <w:r>
        <w:rPr>
          <w:rFonts w:hint="eastAsia"/>
        </w:rPr>
        <w:t xml:space="preserve">roliferation-inducing </w:t>
      </w:r>
      <w:r>
        <w:rPr>
          <w:rFonts w:hint="eastAsia"/>
          <w:lang w:val="en-US" w:eastAsia="zh-CN"/>
        </w:rPr>
        <w:t>l</w:t>
      </w:r>
      <w:r>
        <w:rPr>
          <w:rFonts w:hint="eastAsia"/>
        </w:rPr>
        <w:t>igand, APRIL</w:t>
      </w:r>
      <w:bookmarkEnd w:id="17"/>
    </w:p>
    <w:p w14:paraId="7275A0E3">
      <w:pPr>
        <w:pStyle w:val="23"/>
        <w:keepNext w:val="0"/>
        <w:keepLines w:val="0"/>
        <w:pageBreakBefore w:val="0"/>
        <w:kinsoku/>
        <w:wordWrap/>
        <w:overflowPunct/>
        <w:topLinePunct w:val="0"/>
        <w:autoSpaceDE w:val="0"/>
        <w:autoSpaceDN w:val="0"/>
        <w:bidi w:val="0"/>
        <w:adjustRightInd/>
        <w:snapToGrid/>
        <w:spacing w:line="240" w:lineRule="auto"/>
        <w:ind w:firstLine="420" w:firstLineChars="200"/>
        <w:textAlignment w:val="auto"/>
      </w:pPr>
      <w:r>
        <w:t>是一种属于TNF（肿瘤坏死因子）家族的细胞因子。 作为一种独立的分泌配体，APRIL主要靶向TNFRSF13B/TACI和TNFRSF17/BCMA这两个受体。 这种特定的受体结合机制使得APRIL在调节细胞生长、分化以及免疫过程中发挥着关键作用。 在生物功能方面，APRIL蛋白具有多样化的作用。</w:t>
      </w:r>
    </w:p>
    <w:p w14:paraId="701D00AA">
      <w:pPr>
        <w:pStyle w:val="44"/>
        <w:spacing w:before="312" w:after="312" w:line="360" w:lineRule="auto"/>
      </w:pPr>
      <w:bookmarkStart w:id="18" w:name="_Toc8477"/>
      <w:r>
        <w:rPr>
          <w:rFonts w:hint="eastAsia"/>
          <w:lang w:val="en-US" w:eastAsia="zh-CN"/>
        </w:rPr>
        <w:t>缩略语</w:t>
      </w:r>
      <w:bookmarkEnd w:id="18"/>
    </w:p>
    <w:p w14:paraId="52FFB45F">
      <w:pPr>
        <w:pStyle w:val="23"/>
        <w:rPr>
          <w:rFonts w:hint="eastAsia" w:ascii="Times" w:hAnsi="Times"/>
          <w:kern w:val="2"/>
          <w:szCs w:val="24"/>
          <w:lang w:val="en-US" w:eastAsia="zh-CN"/>
        </w:rPr>
      </w:pPr>
      <w:r>
        <w:rPr>
          <w:rFonts w:hint="eastAsia" w:ascii="Times" w:hAnsi="Times"/>
          <w:kern w:val="2"/>
          <w:szCs w:val="24"/>
          <w:lang w:val="en-US" w:eastAsia="zh-CN"/>
        </w:rPr>
        <w:t>下列缩略语适用于本文件。</w:t>
      </w:r>
    </w:p>
    <w:p w14:paraId="19BDAA0E">
      <w:pPr>
        <w:pStyle w:val="23"/>
        <w:rPr>
          <w:rFonts w:hint="eastAsia" w:ascii="Times" w:hAnsi="Times"/>
          <w:kern w:val="2"/>
          <w:szCs w:val="24"/>
          <w:lang w:val="en-US" w:eastAsia="zh-CN"/>
        </w:rPr>
      </w:pPr>
      <w:r>
        <w:rPr>
          <w:rFonts w:hint="eastAsia" w:ascii="Times" w:hAnsi="Times"/>
          <w:kern w:val="2"/>
          <w:szCs w:val="24"/>
          <w:lang w:val="en-US" w:eastAsia="zh-CN"/>
        </w:rPr>
        <w:t>BCDTs</w:t>
      </w:r>
      <w:r>
        <w:rPr>
          <w:rFonts w:hint="eastAsia" w:ascii="Times" w:hAnsi="Times"/>
          <w:kern w:val="2"/>
          <w:szCs w:val="24"/>
        </w:rPr>
        <w:t xml:space="preserve"> - B细胞耗竭疗法</w:t>
      </w:r>
      <w:r>
        <w:rPr>
          <w:rFonts w:hint="eastAsia" w:ascii="Times" w:hAnsi="Times"/>
          <w:kern w:val="2"/>
          <w:szCs w:val="24"/>
          <w:lang w:val="en-US" w:eastAsia="zh-CN"/>
        </w:rPr>
        <w:t>（B cell depletion therapies）</w:t>
      </w:r>
    </w:p>
    <w:p w14:paraId="76FD909A">
      <w:pPr>
        <w:pStyle w:val="23"/>
        <w:rPr>
          <w:rFonts w:hint="eastAsia" w:ascii="Times" w:hAnsi="Times"/>
          <w:kern w:val="2"/>
          <w:szCs w:val="24"/>
          <w:lang w:eastAsia="zh-CN"/>
        </w:rPr>
      </w:pPr>
      <w:r>
        <w:rPr>
          <w:rFonts w:hint="eastAsia" w:ascii="Times" w:hAnsi="Times"/>
          <w:kern w:val="2"/>
          <w:szCs w:val="24"/>
          <w:lang w:val="en-US" w:eastAsia="zh-CN"/>
        </w:rPr>
        <w:t>ADCC</w:t>
      </w:r>
      <w:r>
        <w:rPr>
          <w:rFonts w:hint="eastAsia" w:ascii="Times" w:hAnsi="Times"/>
          <w:kern w:val="2"/>
          <w:szCs w:val="24"/>
        </w:rPr>
        <w:t xml:space="preserve"> - 抗体依赖性的细胞介导的细胞毒作用</w:t>
      </w:r>
      <w:r>
        <w:rPr>
          <w:rFonts w:hint="eastAsia" w:ascii="Times" w:hAnsi="Times"/>
          <w:kern w:val="2"/>
          <w:szCs w:val="24"/>
          <w:lang w:eastAsia="zh-CN"/>
        </w:rPr>
        <w:t>（Antibody-dependent cell-mediated cytotoxicity）</w:t>
      </w:r>
    </w:p>
    <w:p w14:paraId="44603FC0">
      <w:pPr>
        <w:pStyle w:val="23"/>
        <w:rPr>
          <w:rFonts w:hint="eastAsia" w:ascii="Times" w:hAnsi="Times"/>
          <w:kern w:val="2"/>
          <w:szCs w:val="24"/>
          <w:lang w:eastAsia="zh-CN"/>
        </w:rPr>
      </w:pPr>
      <w:r>
        <w:rPr>
          <w:rFonts w:hint="eastAsia" w:ascii="Times" w:hAnsi="Times"/>
          <w:kern w:val="2"/>
          <w:szCs w:val="24"/>
          <w:lang w:val="en-US" w:eastAsia="zh-CN"/>
        </w:rPr>
        <w:t>CDC</w:t>
      </w:r>
      <w:r>
        <w:rPr>
          <w:rFonts w:hint="eastAsia" w:ascii="Times" w:hAnsi="Times"/>
          <w:kern w:val="2"/>
          <w:szCs w:val="24"/>
        </w:rPr>
        <w:t xml:space="preserve"> - 补体依赖的细胞毒性</w:t>
      </w:r>
      <w:r>
        <w:rPr>
          <w:rFonts w:hint="eastAsia" w:ascii="Times" w:hAnsi="Times"/>
          <w:kern w:val="2"/>
          <w:szCs w:val="24"/>
          <w:lang w:eastAsia="zh-CN"/>
        </w:rPr>
        <w:t>（Complement dependent cytotoxicity）</w:t>
      </w:r>
    </w:p>
    <w:p w14:paraId="5311B460">
      <w:pPr>
        <w:pStyle w:val="23"/>
        <w:rPr>
          <w:rFonts w:hint="eastAsia"/>
          <w:lang w:eastAsia="zh-CN"/>
        </w:rPr>
      </w:pPr>
      <w:r>
        <w:rPr>
          <w:rFonts w:hint="eastAsia" w:ascii="Times" w:hAnsi="Times"/>
          <w:kern w:val="2"/>
          <w:szCs w:val="24"/>
          <w:lang w:val="en-US" w:eastAsia="zh-CN"/>
        </w:rPr>
        <w:t>MS</w:t>
      </w:r>
      <w:r>
        <w:rPr>
          <w:rFonts w:hint="eastAsia" w:ascii="Times" w:hAnsi="Times"/>
          <w:kern w:val="2"/>
          <w:szCs w:val="24"/>
        </w:rPr>
        <w:t xml:space="preserve"> - </w:t>
      </w:r>
      <w:r>
        <w:t>多发性硬化</w:t>
      </w:r>
      <w:r>
        <w:rPr>
          <w:rFonts w:hint="eastAsia"/>
          <w:lang w:eastAsia="zh-CN"/>
        </w:rPr>
        <w:t>（</w:t>
      </w:r>
      <w:r>
        <w:rPr>
          <w:rFonts w:hint="eastAsia" w:ascii="Times New Roman" w:cs="Times New Roman"/>
          <w:lang w:val="en-US" w:eastAsia="zh-CN"/>
        </w:rPr>
        <w:t>M</w:t>
      </w:r>
      <w:r>
        <w:rPr>
          <w:rFonts w:hint="default" w:ascii="Times New Roman" w:hAnsi="Times New Roman" w:cs="Times New Roman"/>
        </w:rPr>
        <w:t>ultiple sclerosis</w:t>
      </w:r>
      <w:r>
        <w:rPr>
          <w:rFonts w:hint="eastAsia"/>
          <w:lang w:eastAsia="zh-CN"/>
        </w:rPr>
        <w:t>）</w:t>
      </w:r>
    </w:p>
    <w:p w14:paraId="26BD1478">
      <w:pPr>
        <w:pStyle w:val="23"/>
        <w:rPr>
          <w:rFonts w:hint="eastAsia" w:ascii="Times" w:hAnsi="Times"/>
          <w:kern w:val="2"/>
          <w:szCs w:val="24"/>
          <w:lang w:eastAsia="zh-CN"/>
        </w:rPr>
      </w:pPr>
      <w:r>
        <w:rPr>
          <w:rFonts w:hint="default" w:ascii="Times New Roman" w:hAnsi="Times New Roman" w:cs="Times New Roman"/>
          <w:lang w:val="en-US" w:eastAsia="zh-CN"/>
        </w:rPr>
        <w:t>NMOSD</w:t>
      </w:r>
      <w:r>
        <w:rPr>
          <w:rFonts w:hint="eastAsia" w:ascii="Times" w:hAnsi="Times"/>
          <w:kern w:val="2"/>
          <w:szCs w:val="24"/>
        </w:rPr>
        <w:t xml:space="preserve"> - 视神经脊髓炎谱系疾病</w:t>
      </w:r>
      <w:r>
        <w:rPr>
          <w:rFonts w:hint="eastAsia" w:ascii="Times" w:hAnsi="Times"/>
          <w:kern w:val="2"/>
          <w:szCs w:val="24"/>
          <w:lang w:eastAsia="zh-CN"/>
        </w:rPr>
        <w:t>（</w:t>
      </w:r>
      <w:r>
        <w:rPr>
          <w:rFonts w:hint="eastAsia" w:ascii="Times" w:hAnsi="Times"/>
          <w:kern w:val="2"/>
          <w:szCs w:val="24"/>
          <w:lang w:val="en-US" w:eastAsia="zh-CN"/>
        </w:rPr>
        <w:t>N</w:t>
      </w:r>
      <w:r>
        <w:rPr>
          <w:rFonts w:hint="eastAsia" w:ascii="Times" w:hAnsi="Times"/>
          <w:kern w:val="2"/>
          <w:szCs w:val="24"/>
          <w:lang w:eastAsia="zh-CN"/>
        </w:rPr>
        <w:t>euromyelitis optica spectrum disorder）</w:t>
      </w:r>
    </w:p>
    <w:p w14:paraId="74A1AE71">
      <w:pPr>
        <w:pStyle w:val="23"/>
        <w:rPr>
          <w:rFonts w:hint="eastAsia"/>
          <w:lang w:eastAsia="zh-CN"/>
        </w:rPr>
      </w:pPr>
      <w:r>
        <w:rPr>
          <w:rFonts w:hint="eastAsia" w:ascii="Times" w:hAnsi="Times"/>
          <w:kern w:val="2"/>
          <w:szCs w:val="24"/>
          <w:lang w:val="en-US" w:eastAsia="zh-CN"/>
        </w:rPr>
        <w:t>ADEM</w:t>
      </w:r>
      <w:r>
        <w:rPr>
          <w:rFonts w:hint="eastAsia" w:ascii="Times" w:hAnsi="Times"/>
          <w:kern w:val="2"/>
          <w:szCs w:val="24"/>
        </w:rPr>
        <w:t xml:space="preserve"> - </w:t>
      </w:r>
      <w:r>
        <w:t>急性播散性脑脊髓炎</w:t>
      </w:r>
      <w:r>
        <w:rPr>
          <w:rFonts w:hint="eastAsia"/>
          <w:lang w:eastAsia="zh-CN"/>
        </w:rPr>
        <w:t>（</w:t>
      </w:r>
      <w:r>
        <w:rPr>
          <w:rFonts w:hint="eastAsia" w:ascii="Times New Roman" w:cs="Times New Roman"/>
          <w:lang w:val="en-US" w:eastAsia="zh-CN"/>
        </w:rPr>
        <w:t>A</w:t>
      </w:r>
      <w:r>
        <w:rPr>
          <w:rFonts w:hint="default" w:ascii="Times New Roman" w:hAnsi="Times New Roman" w:cs="Times New Roman"/>
          <w:lang w:eastAsia="zh-CN"/>
        </w:rPr>
        <w:t>cute disseminated encephalomyelitis</w:t>
      </w:r>
      <w:r>
        <w:rPr>
          <w:rFonts w:hint="eastAsia"/>
          <w:lang w:eastAsia="zh-CN"/>
        </w:rPr>
        <w:t>）</w:t>
      </w:r>
    </w:p>
    <w:p w14:paraId="42EBB195">
      <w:pPr>
        <w:pStyle w:val="23"/>
        <w:rPr>
          <w:rFonts w:hint="eastAsia"/>
          <w:lang w:eastAsia="zh-CN"/>
        </w:rPr>
      </w:pPr>
      <w:r>
        <w:rPr>
          <w:rFonts w:hint="default" w:ascii="Times New Roman" w:hAnsi="Times New Roman" w:cs="Times New Roman"/>
          <w:lang w:val="en-US" w:eastAsia="zh-CN"/>
        </w:rPr>
        <w:t>GBS</w:t>
      </w:r>
      <w:r>
        <w:rPr>
          <w:rFonts w:hint="eastAsia" w:ascii="Times" w:hAnsi="Times"/>
          <w:kern w:val="2"/>
          <w:szCs w:val="24"/>
        </w:rPr>
        <w:t xml:space="preserve"> - </w:t>
      </w:r>
      <w:r>
        <w:t>吉兰-巴雷综合征</w:t>
      </w:r>
      <w:r>
        <w:rPr>
          <w:rFonts w:hint="eastAsia"/>
          <w:lang w:eastAsia="zh-CN"/>
        </w:rPr>
        <w:t>（</w:t>
      </w:r>
      <w:r>
        <w:rPr>
          <w:rFonts w:hint="default" w:ascii="Times New Roman" w:hAnsi="Times New Roman" w:cs="Times New Roman"/>
          <w:lang w:eastAsia="zh-CN"/>
        </w:rPr>
        <w:t>Guillain-Barré syndrome</w:t>
      </w:r>
      <w:r>
        <w:rPr>
          <w:rFonts w:hint="eastAsia"/>
          <w:lang w:eastAsia="zh-CN"/>
        </w:rPr>
        <w:t>）</w:t>
      </w:r>
    </w:p>
    <w:p w14:paraId="3A53A4AE">
      <w:pPr>
        <w:pStyle w:val="23"/>
        <w:rPr>
          <w:rFonts w:hint="eastAsia"/>
          <w:lang w:eastAsia="zh-CN"/>
        </w:rPr>
      </w:pPr>
      <w:r>
        <w:rPr>
          <w:rFonts w:hint="default" w:ascii="Times New Roman" w:hAnsi="Times New Roman" w:cs="Times New Roman"/>
          <w:lang w:val="en-US" w:eastAsia="zh-CN"/>
        </w:rPr>
        <w:t>MG</w:t>
      </w:r>
      <w:r>
        <w:rPr>
          <w:rFonts w:hint="eastAsia" w:ascii="Times" w:hAnsi="Times"/>
          <w:kern w:val="2"/>
          <w:szCs w:val="24"/>
        </w:rPr>
        <w:t xml:space="preserve"> - </w:t>
      </w:r>
      <w:r>
        <w:t>重症肌无力</w:t>
      </w:r>
      <w:r>
        <w:rPr>
          <w:rFonts w:hint="eastAsia"/>
          <w:lang w:eastAsia="zh-CN"/>
        </w:rPr>
        <w:t>（</w:t>
      </w:r>
      <w:r>
        <w:rPr>
          <w:rFonts w:hint="eastAsia" w:ascii="Times New Roman" w:cs="Times New Roman"/>
          <w:lang w:val="en-US" w:eastAsia="zh-CN"/>
        </w:rPr>
        <w:t>M</w:t>
      </w:r>
      <w:r>
        <w:rPr>
          <w:rFonts w:hint="default" w:ascii="Times New Roman" w:hAnsi="Times New Roman" w:cs="Times New Roman"/>
          <w:lang w:eastAsia="zh-CN"/>
        </w:rPr>
        <w:t>yasthenia gravis</w:t>
      </w:r>
      <w:r>
        <w:rPr>
          <w:rFonts w:hint="eastAsia"/>
          <w:lang w:eastAsia="zh-CN"/>
        </w:rPr>
        <w:t>）</w:t>
      </w:r>
    </w:p>
    <w:p w14:paraId="5D603034">
      <w:pPr>
        <w:pStyle w:val="23"/>
        <w:rPr>
          <w:rFonts w:hint="eastAsia" w:ascii="Times New Roman" w:hAnsi="Times New Roman"/>
          <w:sz w:val="21"/>
          <w:lang w:eastAsia="zh-CN"/>
        </w:rPr>
      </w:pPr>
      <w:r>
        <w:rPr>
          <w:rFonts w:hint="eastAsia" w:ascii="Times New Roman" w:hAnsi="Times New Roman"/>
          <w:sz w:val="21"/>
          <w:lang w:val="en-US" w:eastAsia="zh-CN"/>
        </w:rPr>
        <w:t>CD20</w:t>
      </w:r>
      <w:r>
        <w:rPr>
          <w:rFonts w:hint="eastAsia" w:ascii="Times New Roman" w:hAnsi="Times New Roman"/>
          <w:kern w:val="2"/>
          <w:sz w:val="21"/>
          <w:szCs w:val="24"/>
        </w:rPr>
        <w:t xml:space="preserve"> - </w:t>
      </w:r>
      <w:r>
        <w:rPr>
          <w:rFonts w:hint="eastAsia" w:ascii="Times New Roman" w:hAnsi="Times New Roman"/>
          <w:sz w:val="21"/>
        </w:rPr>
        <w:t>白细胞分化抗原20</w:t>
      </w:r>
      <w:r>
        <w:rPr>
          <w:rFonts w:hint="eastAsia" w:ascii="Times New Roman" w:hAnsi="Times New Roman"/>
          <w:sz w:val="21"/>
          <w:lang w:eastAsia="zh-CN"/>
        </w:rPr>
        <w:t>（Cluster of Differentiation 20）</w:t>
      </w:r>
    </w:p>
    <w:p w14:paraId="411DBF89">
      <w:pPr>
        <w:pStyle w:val="23"/>
        <w:rPr>
          <w:rFonts w:hint="eastAsia" w:ascii="Times New Roman" w:hAnsi="Times New Roman"/>
          <w:sz w:val="21"/>
          <w:lang w:eastAsia="zh-CN"/>
        </w:rPr>
      </w:pPr>
      <w:r>
        <w:rPr>
          <w:rFonts w:hint="eastAsia" w:ascii="Times New Roman" w:hAnsi="Times New Roman"/>
          <w:sz w:val="21"/>
          <w:lang w:val="en-US" w:eastAsia="zh-CN"/>
        </w:rPr>
        <w:t>CD19</w:t>
      </w:r>
      <w:r>
        <w:rPr>
          <w:rFonts w:hint="eastAsia" w:ascii="Times New Roman" w:hAnsi="Times New Roman"/>
          <w:kern w:val="2"/>
          <w:sz w:val="21"/>
          <w:szCs w:val="24"/>
        </w:rPr>
        <w:t xml:space="preserve"> - </w:t>
      </w:r>
      <w:r>
        <w:rPr>
          <w:rFonts w:hint="eastAsia" w:ascii="Times New Roman" w:hAnsi="Times New Roman"/>
          <w:sz w:val="21"/>
        </w:rPr>
        <w:t>白细胞分化抗原19</w:t>
      </w:r>
      <w:r>
        <w:rPr>
          <w:rFonts w:hint="eastAsia" w:ascii="Times New Roman" w:hAnsi="Times New Roman"/>
          <w:sz w:val="21"/>
          <w:lang w:eastAsia="zh-CN"/>
        </w:rPr>
        <w:t>（</w:t>
      </w:r>
      <w:r>
        <w:rPr>
          <w:rFonts w:hint="eastAsia" w:ascii="Times New Roman" w:hAnsi="Times New Roman"/>
          <w:sz w:val="21"/>
        </w:rPr>
        <w:t>Cluster of Differentiation 19</w:t>
      </w:r>
      <w:r>
        <w:rPr>
          <w:rFonts w:hint="eastAsia" w:ascii="Times New Roman" w:hAnsi="Times New Roman"/>
          <w:sz w:val="21"/>
          <w:lang w:eastAsia="zh-CN"/>
        </w:rPr>
        <w:t>）</w:t>
      </w:r>
    </w:p>
    <w:p w14:paraId="082F9F6C">
      <w:pPr>
        <w:pStyle w:val="23"/>
        <w:rPr>
          <w:rFonts w:hint="eastAsia" w:ascii="Times New Roman" w:hAnsi="Times New Roman"/>
          <w:sz w:val="21"/>
          <w:lang w:eastAsia="zh-CN"/>
        </w:rPr>
      </w:pPr>
      <w:r>
        <w:rPr>
          <w:rFonts w:hint="eastAsia" w:ascii="Times New Roman" w:hAnsi="Times New Roman"/>
          <w:sz w:val="21"/>
          <w:lang w:val="en-US" w:eastAsia="zh-CN"/>
        </w:rPr>
        <w:t>BAFF</w:t>
      </w:r>
      <w:r>
        <w:rPr>
          <w:rFonts w:hint="eastAsia" w:ascii="Times New Roman" w:hAnsi="Times New Roman"/>
          <w:kern w:val="2"/>
          <w:sz w:val="21"/>
          <w:szCs w:val="24"/>
        </w:rPr>
        <w:t xml:space="preserve"> - </w:t>
      </w:r>
      <w:r>
        <w:rPr>
          <w:rFonts w:hint="eastAsia" w:ascii="Times New Roman" w:hAnsi="Times New Roman"/>
          <w:sz w:val="21"/>
        </w:rPr>
        <w:t>B细胞激活因子</w:t>
      </w:r>
      <w:r>
        <w:rPr>
          <w:rFonts w:hint="eastAsia" w:ascii="Times New Roman" w:hAnsi="Times New Roman"/>
          <w:sz w:val="21"/>
          <w:lang w:eastAsia="zh-CN"/>
        </w:rPr>
        <w:t>（</w:t>
      </w:r>
      <w:r>
        <w:rPr>
          <w:rFonts w:hint="eastAsia" w:ascii="Times New Roman" w:hAnsi="Times New Roman"/>
          <w:sz w:val="21"/>
        </w:rPr>
        <w:t>B cell activating factor</w:t>
      </w:r>
      <w:r>
        <w:rPr>
          <w:rFonts w:hint="eastAsia" w:ascii="Times New Roman" w:hAnsi="Times New Roman"/>
          <w:sz w:val="21"/>
          <w:lang w:eastAsia="zh-CN"/>
        </w:rPr>
        <w:t>）</w:t>
      </w:r>
    </w:p>
    <w:p w14:paraId="6B5E2D59">
      <w:pPr>
        <w:pStyle w:val="23"/>
        <w:rPr>
          <w:rFonts w:hint="eastAsia" w:ascii="Times New Roman" w:hAnsi="Times New Roman"/>
          <w:sz w:val="21"/>
          <w:lang w:eastAsia="zh-CN"/>
        </w:rPr>
      </w:pPr>
      <w:r>
        <w:rPr>
          <w:rFonts w:hint="eastAsia" w:ascii="Times New Roman" w:hAnsi="Times New Roman"/>
          <w:sz w:val="21"/>
          <w:lang w:val="en-US" w:eastAsia="zh-CN"/>
        </w:rPr>
        <w:t>Blys</w:t>
      </w:r>
      <w:r>
        <w:rPr>
          <w:rFonts w:hint="eastAsia" w:ascii="Times New Roman" w:hAnsi="Times New Roman"/>
          <w:kern w:val="2"/>
          <w:sz w:val="21"/>
          <w:szCs w:val="24"/>
        </w:rPr>
        <w:t xml:space="preserve"> - </w:t>
      </w:r>
      <w:r>
        <w:rPr>
          <w:rFonts w:hint="eastAsia" w:ascii="Times New Roman" w:hAnsi="Times New Roman"/>
          <w:sz w:val="21"/>
        </w:rPr>
        <w:t>B细胞淋巴瘤细胞激活因子</w:t>
      </w:r>
      <w:r>
        <w:rPr>
          <w:rFonts w:hint="eastAsia" w:ascii="Times New Roman" w:hAnsi="Times New Roman"/>
          <w:sz w:val="21"/>
          <w:lang w:eastAsia="zh-CN"/>
        </w:rPr>
        <w:t>（</w:t>
      </w:r>
      <w:r>
        <w:rPr>
          <w:rFonts w:hint="eastAsia" w:ascii="Times New Roman" w:hAnsi="Times New Roman"/>
          <w:sz w:val="21"/>
        </w:rPr>
        <w:t>B lymphocyte stimulator</w:t>
      </w:r>
      <w:r>
        <w:rPr>
          <w:rFonts w:hint="eastAsia" w:ascii="Times New Roman" w:hAnsi="Times New Roman"/>
          <w:sz w:val="21"/>
          <w:lang w:eastAsia="zh-CN"/>
        </w:rPr>
        <w:t>）</w:t>
      </w:r>
    </w:p>
    <w:p w14:paraId="11485A40">
      <w:pPr>
        <w:pStyle w:val="23"/>
        <w:rPr>
          <w:rFonts w:hint="default" w:ascii="Times New Roman" w:hAnsi="Times New Roman" w:eastAsia="宋体"/>
          <w:sz w:val="21"/>
          <w:lang w:val="en-US" w:eastAsia="zh-CN"/>
        </w:rPr>
      </w:pPr>
      <w:r>
        <w:rPr>
          <w:rFonts w:hint="eastAsia" w:ascii="Times New Roman" w:hAnsi="Times New Roman"/>
          <w:sz w:val="21"/>
        </w:rPr>
        <w:t>APRIL</w:t>
      </w:r>
      <w:r>
        <w:rPr>
          <w:rFonts w:hint="eastAsia" w:ascii="Times New Roman" w:hAnsi="Times New Roman"/>
          <w:kern w:val="2"/>
          <w:sz w:val="21"/>
          <w:szCs w:val="24"/>
        </w:rPr>
        <w:t xml:space="preserve"> - </w:t>
      </w:r>
      <w:r>
        <w:rPr>
          <w:rFonts w:ascii="Times New Roman" w:hAnsi="Times New Roman"/>
          <w:sz w:val="21"/>
        </w:rPr>
        <w:t>增殖诱导配体</w:t>
      </w:r>
      <w:r>
        <w:rPr>
          <w:rFonts w:hint="eastAsia" w:ascii="Times New Roman" w:hAnsi="Times New Roman"/>
          <w:sz w:val="21"/>
          <w:lang w:eastAsia="zh-CN"/>
        </w:rPr>
        <w:t>（</w:t>
      </w:r>
      <w:r>
        <w:rPr>
          <w:rFonts w:hint="eastAsia" w:ascii="Times New Roman" w:hAnsi="Times New Roman"/>
          <w:sz w:val="21"/>
        </w:rPr>
        <w:t>A Proliferation-inducing Ligand</w:t>
      </w:r>
      <w:r>
        <w:rPr>
          <w:rFonts w:hint="eastAsia" w:ascii="Times New Roman" w:hAnsi="Times New Roman"/>
          <w:sz w:val="21"/>
          <w:lang w:eastAsia="zh-CN"/>
        </w:rPr>
        <w:t>）</w:t>
      </w:r>
    </w:p>
    <w:p w14:paraId="77B3AFAC">
      <w:pPr>
        <w:pStyle w:val="23"/>
        <w:rPr>
          <w:rFonts w:hint="eastAsia" w:ascii="Times New Roman" w:hAnsi="Times New Roman"/>
          <w:sz w:val="21"/>
          <w:lang w:eastAsia="zh-CN"/>
        </w:rPr>
      </w:pPr>
      <w:r>
        <w:rPr>
          <w:rFonts w:hint="eastAsia" w:ascii="Times New Roman" w:hAnsi="Times New Roman"/>
          <w:sz w:val="21"/>
          <w:lang w:val="en-US" w:eastAsia="zh-CN"/>
        </w:rPr>
        <w:t>RTX</w:t>
      </w:r>
      <w:r>
        <w:rPr>
          <w:rFonts w:hint="eastAsia" w:ascii="Times New Roman" w:hAnsi="Times New Roman"/>
          <w:kern w:val="2"/>
          <w:sz w:val="21"/>
          <w:szCs w:val="24"/>
        </w:rPr>
        <w:t xml:space="preserve"> - </w:t>
      </w:r>
      <w:r>
        <w:rPr>
          <w:rFonts w:hint="eastAsia" w:ascii="Times New Roman" w:hAnsi="Times New Roman"/>
          <w:sz w:val="21"/>
        </w:rPr>
        <w:t>利妥昔单抗</w:t>
      </w:r>
      <w:r>
        <w:rPr>
          <w:rFonts w:hint="eastAsia" w:ascii="Times New Roman" w:hAnsi="Times New Roman"/>
          <w:sz w:val="21"/>
          <w:lang w:eastAsia="zh-CN"/>
        </w:rPr>
        <w:t>（</w:t>
      </w:r>
      <w:r>
        <w:rPr>
          <w:rFonts w:hint="eastAsia" w:ascii="Times New Roman" w:hAnsi="Times New Roman"/>
          <w:sz w:val="21"/>
          <w:lang w:val="en-US" w:eastAsia="zh-CN"/>
        </w:rPr>
        <w:t>R</w:t>
      </w:r>
      <w:r>
        <w:rPr>
          <w:rFonts w:hint="eastAsia" w:ascii="Times New Roman" w:hAnsi="Times New Roman"/>
          <w:sz w:val="21"/>
        </w:rPr>
        <w:t>ituximab</w:t>
      </w:r>
      <w:r>
        <w:rPr>
          <w:rFonts w:hint="eastAsia" w:ascii="Times New Roman" w:hAnsi="Times New Roman"/>
          <w:sz w:val="21"/>
          <w:lang w:eastAsia="zh-CN"/>
        </w:rPr>
        <w:t>）</w:t>
      </w:r>
    </w:p>
    <w:p w14:paraId="6C4B1EB8">
      <w:pPr>
        <w:pStyle w:val="23"/>
        <w:rPr>
          <w:rFonts w:hint="eastAsia" w:ascii="Times New Roman" w:hAnsi="Times New Roman" w:eastAsia="宋体"/>
          <w:sz w:val="21"/>
          <w:lang w:val="en-US" w:eastAsia="zh-CN"/>
        </w:rPr>
      </w:pPr>
      <w:r>
        <w:rPr>
          <w:rFonts w:hint="eastAsia" w:ascii="Times New Roman" w:hAnsi="Times New Roman"/>
          <w:sz w:val="21"/>
          <w:lang w:val="en-US" w:eastAsia="zh-CN"/>
        </w:rPr>
        <w:t>OCR</w:t>
      </w:r>
      <w:r>
        <w:rPr>
          <w:rFonts w:hint="eastAsia" w:ascii="Times New Roman" w:hAnsi="Times New Roman"/>
          <w:kern w:val="2"/>
          <w:sz w:val="21"/>
          <w:szCs w:val="24"/>
        </w:rPr>
        <w:t xml:space="preserve"> -</w:t>
      </w:r>
      <w:r>
        <w:rPr>
          <w:rFonts w:hint="eastAsia" w:ascii="Times New Roman" w:hAnsi="Times New Roman"/>
          <w:kern w:val="2"/>
          <w:sz w:val="21"/>
          <w:szCs w:val="24"/>
          <w:lang w:val="en-US" w:eastAsia="zh-CN"/>
        </w:rPr>
        <w:t xml:space="preserve"> 奥克利珠单抗（Ocrelizumab）</w:t>
      </w:r>
    </w:p>
    <w:p w14:paraId="4FE91312">
      <w:pPr>
        <w:pStyle w:val="23"/>
        <w:rPr>
          <w:rFonts w:hint="default" w:ascii="Times New Roman" w:hAnsi="Times New Roman"/>
          <w:kern w:val="2"/>
          <w:sz w:val="21"/>
          <w:szCs w:val="24"/>
          <w:lang w:val="en-US" w:eastAsia="zh-CN"/>
        </w:rPr>
      </w:pPr>
      <w:r>
        <w:rPr>
          <w:rFonts w:hint="eastAsia" w:ascii="Times New Roman" w:hAnsi="Times New Roman"/>
          <w:sz w:val="21"/>
          <w:lang w:val="en-US" w:eastAsia="zh-CN"/>
        </w:rPr>
        <w:t>OFA</w:t>
      </w:r>
      <w:r>
        <w:rPr>
          <w:rFonts w:hint="eastAsia" w:ascii="Times New Roman" w:hAnsi="Times New Roman"/>
          <w:kern w:val="2"/>
          <w:sz w:val="21"/>
          <w:szCs w:val="24"/>
        </w:rPr>
        <w:t xml:space="preserve"> -</w:t>
      </w:r>
      <w:r>
        <w:rPr>
          <w:rFonts w:hint="eastAsia" w:ascii="Times New Roman" w:hAnsi="Times New Roman"/>
          <w:kern w:val="2"/>
          <w:sz w:val="21"/>
          <w:szCs w:val="24"/>
          <w:lang w:val="en-US" w:eastAsia="zh-CN"/>
        </w:rPr>
        <w:t xml:space="preserve"> 奥法妥木单抗（Ofatumumab）</w:t>
      </w:r>
    </w:p>
    <w:p w14:paraId="3FC33E94">
      <w:pPr>
        <w:pStyle w:val="23"/>
        <w:rPr>
          <w:rFonts w:hint="default" w:ascii="Times New Roman" w:hAnsi="Times New Roman"/>
          <w:kern w:val="2"/>
          <w:sz w:val="21"/>
          <w:szCs w:val="24"/>
          <w:lang w:val="en-US" w:eastAsia="zh-CN"/>
        </w:rPr>
      </w:pPr>
      <w:r>
        <w:rPr>
          <w:rFonts w:hint="default" w:ascii="Times New Roman" w:hAnsi="Times New Roman"/>
          <w:kern w:val="2"/>
          <w:sz w:val="21"/>
          <w:szCs w:val="24"/>
          <w:lang w:val="en-US" w:eastAsia="zh-CN"/>
        </w:rPr>
        <w:t>MRI</w:t>
      </w:r>
      <w:r>
        <w:rPr>
          <w:rFonts w:hint="eastAsia" w:ascii="Times New Roman" w:hAnsi="Times New Roman"/>
          <w:kern w:val="2"/>
          <w:sz w:val="21"/>
          <w:szCs w:val="24"/>
        </w:rPr>
        <w:t xml:space="preserve"> -</w:t>
      </w:r>
      <w:r>
        <w:rPr>
          <w:rFonts w:hint="eastAsia" w:ascii="Times New Roman" w:hAnsi="Times New Roman"/>
          <w:kern w:val="2"/>
          <w:sz w:val="21"/>
          <w:szCs w:val="24"/>
          <w:lang w:val="en-US" w:eastAsia="zh-CN"/>
        </w:rPr>
        <w:t xml:space="preserve"> </w:t>
      </w:r>
      <w:r>
        <w:rPr>
          <w:rFonts w:hint="default" w:ascii="Times New Roman" w:hAnsi="Times New Roman"/>
          <w:kern w:val="2"/>
          <w:sz w:val="21"/>
          <w:szCs w:val="24"/>
          <w:lang w:val="en-US" w:eastAsia="zh-CN"/>
        </w:rPr>
        <w:t>磁共振成像（Magnetic Resonance Imaging）</w:t>
      </w:r>
    </w:p>
    <w:p w14:paraId="25D3342C">
      <w:pPr>
        <w:pStyle w:val="23"/>
        <w:rPr>
          <w:rFonts w:hint="eastAsia" w:ascii="Times New Roman" w:hAnsi="Times New Roman"/>
          <w:kern w:val="2"/>
          <w:sz w:val="21"/>
          <w:szCs w:val="24"/>
          <w:lang w:val="en-US" w:eastAsia="zh-CN"/>
        </w:rPr>
      </w:pPr>
      <w:r>
        <w:rPr>
          <w:rFonts w:hint="eastAsia" w:ascii="Times New Roman" w:hAnsi="Times New Roman"/>
          <w:kern w:val="2"/>
          <w:sz w:val="21"/>
          <w:szCs w:val="24"/>
          <w:lang w:val="en-US" w:eastAsia="zh-CN"/>
        </w:rPr>
        <w:t>EDSS</w:t>
      </w:r>
      <w:r>
        <w:rPr>
          <w:rFonts w:hint="eastAsia" w:ascii="Times New Roman" w:hAnsi="Times New Roman"/>
          <w:kern w:val="2"/>
          <w:sz w:val="21"/>
          <w:szCs w:val="24"/>
        </w:rPr>
        <w:t xml:space="preserve"> -</w:t>
      </w:r>
      <w:r>
        <w:rPr>
          <w:rFonts w:hint="eastAsia" w:ascii="Times New Roman" w:hAnsi="Times New Roman"/>
          <w:kern w:val="2"/>
          <w:sz w:val="21"/>
          <w:szCs w:val="24"/>
          <w:lang w:val="en-US" w:eastAsia="zh-CN"/>
        </w:rPr>
        <w:t xml:space="preserve"> 扩展残疾状态量表（Expanded Disability Status Scale）</w:t>
      </w:r>
    </w:p>
    <w:p w14:paraId="03A37DD5">
      <w:pPr>
        <w:pStyle w:val="23"/>
        <w:rPr>
          <w:rFonts w:hint="default" w:ascii="Times New Roman" w:hAnsi="Times New Roman"/>
          <w:kern w:val="2"/>
          <w:sz w:val="21"/>
          <w:szCs w:val="24"/>
          <w:lang w:val="en-US" w:eastAsia="zh-CN"/>
        </w:rPr>
      </w:pPr>
      <w:r>
        <w:rPr>
          <w:rFonts w:hint="default" w:ascii="Times New Roman" w:hAnsi="Times New Roman"/>
          <w:kern w:val="2"/>
          <w:sz w:val="21"/>
          <w:szCs w:val="24"/>
          <w:lang w:val="en-US" w:eastAsia="zh-CN"/>
        </w:rPr>
        <w:t>IMACS</w:t>
      </w:r>
      <w:r>
        <w:rPr>
          <w:rFonts w:hint="eastAsia" w:ascii="Times New Roman" w:hAnsi="Times New Roman"/>
          <w:kern w:val="2"/>
          <w:sz w:val="21"/>
          <w:szCs w:val="24"/>
        </w:rPr>
        <w:t xml:space="preserve"> -</w:t>
      </w:r>
      <w:r>
        <w:rPr>
          <w:rFonts w:hint="eastAsia" w:ascii="Times New Roman" w:hAnsi="Times New Roman"/>
          <w:kern w:val="2"/>
          <w:sz w:val="21"/>
          <w:szCs w:val="24"/>
          <w:lang w:val="en-US" w:eastAsia="zh-CN"/>
        </w:rPr>
        <w:t xml:space="preserve"> 免疫介导的急性小脑综合征（Immune-Mediated Acute Cerebellar Syndrome）</w:t>
      </w:r>
    </w:p>
    <w:p w14:paraId="2E3ADB5F">
      <w:pPr>
        <w:pStyle w:val="44"/>
        <w:keepNext w:val="0"/>
        <w:keepLines w:val="0"/>
        <w:pageBreakBefore w:val="0"/>
        <w:widowControl/>
        <w:kinsoku/>
        <w:wordWrap/>
        <w:overflowPunct/>
        <w:topLinePunct w:val="0"/>
        <w:autoSpaceDE/>
        <w:autoSpaceDN/>
        <w:bidi w:val="0"/>
        <w:adjustRightInd/>
        <w:snapToGrid/>
        <w:spacing w:before="312" w:after="312" w:line="240" w:lineRule="auto"/>
        <w:textAlignment w:val="auto"/>
      </w:pPr>
      <w:bookmarkStart w:id="19" w:name="_Toc19061"/>
      <w:r>
        <w:rPr>
          <w:rFonts w:hint="eastAsia"/>
        </w:rPr>
        <w:t>B细胞靶向生物制剂分类</w:t>
      </w:r>
      <w:bookmarkEnd w:id="19"/>
    </w:p>
    <w:p w14:paraId="7F40F497">
      <w:pPr>
        <w:pStyle w:val="43"/>
        <w:spacing w:before="156" w:after="156" w:line="360" w:lineRule="auto"/>
      </w:pPr>
      <w:bookmarkStart w:id="20" w:name="_Toc663"/>
      <w:r>
        <w:rPr>
          <w:rFonts w:hint="eastAsia"/>
        </w:rPr>
        <w:t>抗CD20单克隆抗体</w:t>
      </w:r>
      <w:bookmarkEnd w:id="20"/>
    </w:p>
    <w:p w14:paraId="606DF5D0">
      <w:pPr>
        <w:pStyle w:val="42"/>
        <w:keepNext w:val="0"/>
        <w:keepLines w:val="0"/>
        <w:pageBreakBefore w:val="0"/>
        <w:widowControl/>
        <w:kinsoku/>
        <w:wordWrap/>
        <w:overflowPunct/>
        <w:topLinePunct w:val="0"/>
        <w:autoSpaceDE/>
        <w:autoSpaceDN/>
        <w:bidi w:val="0"/>
        <w:adjustRightInd/>
        <w:snapToGrid/>
        <w:spacing w:before="157" w:beforeLines="50" w:after="157" w:afterLines="50" w:line="240" w:lineRule="auto"/>
        <w:textAlignment w:val="auto"/>
      </w:pPr>
      <w:r>
        <w:rPr>
          <w:rFonts w:hint="eastAsia"/>
        </w:rPr>
        <w:t>利妥昔单抗</w:t>
      </w:r>
    </w:p>
    <w:p w14:paraId="307AB142">
      <w:pPr>
        <w:pStyle w:val="23"/>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hAnsi="宋体"/>
        </w:rPr>
      </w:pPr>
      <w:r>
        <w:rPr>
          <w:rFonts w:hint="eastAsia" w:hAnsi="宋体"/>
        </w:rPr>
        <w:t>利妥昔单抗（rituximab，RTX）是一种耗竭B淋巴细胞的单克隆抗体，它与B淋巴细胞表面CD20抗原结合，通过抗体依赖细胞介导的细胞毒作用、吞噬作用，补体介导的细胞毒作用以及细胞凋亡等机制，选择性地耗竭B淋巴细胞，既可抑制自身抗体的产生，又无非特异性免疫抑制剂的毒性。因此，RTX在中枢神经系统自身免疫疾病，如多发性硬化、自身免疫性脑炎、视神经脊髓炎、重症肌无力等中的应用愈加广泛。</w:t>
      </w:r>
    </w:p>
    <w:p w14:paraId="6239B992">
      <w:pPr>
        <w:pStyle w:val="42"/>
        <w:keepNext w:val="0"/>
        <w:keepLines w:val="0"/>
        <w:pageBreakBefore w:val="0"/>
        <w:widowControl/>
        <w:kinsoku/>
        <w:wordWrap/>
        <w:overflowPunct/>
        <w:topLinePunct w:val="0"/>
        <w:autoSpaceDE/>
        <w:autoSpaceDN/>
        <w:bidi w:val="0"/>
        <w:adjustRightInd/>
        <w:snapToGrid/>
        <w:spacing w:before="157" w:beforeLines="50" w:after="157" w:afterLines="50" w:line="240" w:lineRule="auto"/>
        <w:textAlignment w:val="auto"/>
      </w:pPr>
      <w:r>
        <w:rPr>
          <w:rFonts w:hint="eastAsia"/>
        </w:rPr>
        <w:t>奥法妥木单抗</w:t>
      </w:r>
    </w:p>
    <w:p w14:paraId="3BD4C57E">
      <w:pPr>
        <w:pStyle w:val="42"/>
        <w:keepNext w:val="0"/>
        <w:keepLines w:val="0"/>
        <w:pageBreakBefore w:val="0"/>
        <w:widowControl/>
        <w:numPr>
          <w:ilvl w:val="0"/>
          <w:numId w:val="0"/>
        </w:numPr>
        <w:kinsoku/>
        <w:wordWrap/>
        <w:overflowPunct/>
        <w:topLinePunct w:val="0"/>
        <w:autoSpaceDE w:val="0"/>
        <w:autoSpaceDN w:val="0"/>
        <w:bidi w:val="0"/>
        <w:adjustRightInd/>
        <w:snapToGrid/>
        <w:spacing w:before="0" w:beforeLines="0" w:after="0" w:afterLines="0" w:line="240" w:lineRule="auto"/>
        <w:ind w:firstLine="420" w:firstLineChars="200"/>
        <w:textAlignment w:val="auto"/>
      </w:pPr>
      <w:r>
        <w:rPr>
          <w:rFonts w:hint="eastAsia" w:ascii="宋体" w:hAnsi="宋体" w:eastAsia="宋体"/>
        </w:rPr>
        <w:t>奥法妥木单抗为全人源抗CD20单克隆抗体（IgG1），通过抗体依赖性细胞和补体介导的溶解作用，选择性清除CD20阳性B淋巴细胞。</w:t>
      </w:r>
    </w:p>
    <w:p w14:paraId="505492C7">
      <w:pPr>
        <w:pStyle w:val="42"/>
        <w:keepNext w:val="0"/>
        <w:keepLines w:val="0"/>
        <w:pageBreakBefore w:val="0"/>
        <w:widowControl/>
        <w:kinsoku/>
        <w:wordWrap/>
        <w:overflowPunct/>
        <w:topLinePunct w:val="0"/>
        <w:autoSpaceDE/>
        <w:autoSpaceDN/>
        <w:bidi w:val="0"/>
        <w:adjustRightInd/>
        <w:snapToGrid/>
        <w:spacing w:before="157" w:beforeLines="50" w:after="157" w:afterLines="50" w:line="240" w:lineRule="auto"/>
        <w:textAlignment w:val="auto"/>
      </w:pPr>
      <w:r>
        <w:rPr>
          <w:rFonts w:hint="eastAsia"/>
        </w:rPr>
        <w:t>奥克利珠单抗</w:t>
      </w:r>
    </w:p>
    <w:p w14:paraId="17B5D2CC">
      <w:pPr>
        <w:pStyle w:val="23"/>
        <w:keepNext w:val="0"/>
        <w:keepLines w:val="0"/>
        <w:pageBreakBefore w:val="0"/>
        <w:widowControl/>
        <w:kinsoku/>
        <w:wordWrap/>
        <w:overflowPunct/>
        <w:topLinePunct w:val="0"/>
        <w:autoSpaceDE w:val="0"/>
        <w:autoSpaceDN w:val="0"/>
        <w:bidi w:val="0"/>
        <w:adjustRightInd/>
        <w:snapToGrid/>
        <w:spacing w:line="240" w:lineRule="auto"/>
        <w:textAlignment w:val="auto"/>
      </w:pPr>
      <w:r>
        <w:rPr>
          <w:rFonts w:hint="eastAsia"/>
        </w:rPr>
        <w:t>奥克利珠单抗(Ocrelizumab)是一类选择性特异敲除CD20+B细胞的人源性单克隆抗体，也是目前唯一一个获得全部四种类型多发性硬化症(MS)的治疗性生物制剂，显示了其在多发性硬化症治疗中的重要地位。奥克利珠单抗(Ocrelizumab)的临床应用需要通过脑和脊柱核磁共振成像（MRI）和脑脊髓液检测来支持活动性多发性硬化症的临床诊断证据。此外，还需要检测免疫球蛋白状态和既往乙型肝炎感染的情况。两次输注，间隔2周，然后，每6个月重复输注一次。除了每年至少进行MRI扫描的常规检查外，建议常规监测免疫球蛋白和血细胞计数以确定疗效。如果出现提示进行性多灶性脑白质病的神经系统症状，则需要进行额外的MRI扫描以确保安全性。</w:t>
      </w:r>
    </w:p>
    <w:p w14:paraId="35648D43">
      <w:pPr>
        <w:pStyle w:val="43"/>
        <w:keepNext w:val="0"/>
        <w:keepLines w:val="0"/>
        <w:pageBreakBefore w:val="0"/>
        <w:widowControl/>
        <w:kinsoku/>
        <w:wordWrap/>
        <w:overflowPunct/>
        <w:topLinePunct w:val="0"/>
        <w:autoSpaceDE/>
        <w:autoSpaceDN/>
        <w:bidi w:val="0"/>
        <w:adjustRightInd/>
        <w:snapToGrid/>
        <w:spacing w:before="157" w:beforeLines="50" w:after="157" w:afterLines="50" w:line="240" w:lineRule="auto"/>
        <w:textAlignment w:val="auto"/>
      </w:pPr>
      <w:bookmarkStart w:id="21" w:name="_Toc13987"/>
      <w:r>
        <w:rPr>
          <w:rFonts w:hint="eastAsia"/>
        </w:rPr>
        <w:t>抗CD19单克隆抗体</w:t>
      </w:r>
      <w:bookmarkEnd w:id="21"/>
    </w:p>
    <w:p w14:paraId="7F859374">
      <w:pPr>
        <w:pStyle w:val="42"/>
        <w:keepNext w:val="0"/>
        <w:keepLines w:val="0"/>
        <w:pageBreakBefore w:val="0"/>
        <w:widowControl/>
        <w:kinsoku/>
        <w:wordWrap/>
        <w:overflowPunct/>
        <w:topLinePunct w:val="0"/>
        <w:autoSpaceDE/>
        <w:autoSpaceDN/>
        <w:bidi w:val="0"/>
        <w:adjustRightInd/>
        <w:snapToGrid/>
        <w:spacing w:before="157" w:beforeLines="50" w:after="157" w:afterLines="50" w:line="240" w:lineRule="auto"/>
        <w:textAlignment w:val="auto"/>
      </w:pPr>
      <w:r>
        <w:rPr>
          <w:rFonts w:hint="eastAsia"/>
        </w:rPr>
        <w:t>伊奈丽珠单抗</w:t>
      </w:r>
    </w:p>
    <w:p w14:paraId="7411B04D">
      <w:pPr>
        <w:pStyle w:val="23"/>
        <w:keepNext w:val="0"/>
        <w:keepLines w:val="0"/>
        <w:pageBreakBefore w:val="0"/>
        <w:widowControl/>
        <w:kinsoku/>
        <w:wordWrap/>
        <w:overflowPunct/>
        <w:topLinePunct w:val="0"/>
        <w:autoSpaceDE w:val="0"/>
        <w:autoSpaceDN w:val="0"/>
        <w:bidi w:val="0"/>
        <w:adjustRightInd/>
        <w:snapToGrid/>
        <w:spacing w:line="240" w:lineRule="auto"/>
        <w:textAlignment w:val="auto"/>
      </w:pPr>
      <w:r>
        <w:rPr>
          <w:rFonts w:hint="eastAsia"/>
        </w:rPr>
        <w:t>伊奈丽珠单抗：伊奈丽珠单抗是一种与B细胞表面抗原CD19结合的人源化、亲和性优化、非糖基化IgG1κ单克隆抗体。此药物在2022年3月在中国获批上市。与B细胞、浆母细胞和部分浆细胞表面的CD19结合后，伊奈丽珠单抗可引起抗体依赖的细胞溶解、使这些细胞被破坏消亡，从而大大减少致病性AQP4抗体的生成和释放，进而控制疾病的复发。其建议的初始剂量为第1、3周静脉输注300 mg，随后的剂量（从第1次输注开始6个月）为每6个月1次300 mg静脉输注。</w:t>
      </w:r>
    </w:p>
    <w:p w14:paraId="50D21A3E">
      <w:pPr>
        <w:pStyle w:val="43"/>
        <w:keepNext w:val="0"/>
        <w:keepLines w:val="0"/>
        <w:pageBreakBefore w:val="0"/>
        <w:widowControl/>
        <w:kinsoku/>
        <w:wordWrap/>
        <w:overflowPunct/>
        <w:topLinePunct w:val="0"/>
        <w:autoSpaceDE/>
        <w:autoSpaceDN/>
        <w:bidi w:val="0"/>
        <w:adjustRightInd/>
        <w:snapToGrid/>
        <w:spacing w:before="157" w:beforeLines="50" w:after="157" w:afterLines="50" w:line="240" w:lineRule="auto"/>
        <w:textAlignment w:val="auto"/>
      </w:pPr>
      <w:bookmarkStart w:id="22" w:name="_Toc23125"/>
      <w:r>
        <w:rPr>
          <w:rFonts w:hint="eastAsia"/>
        </w:rPr>
        <w:t>抗BAFF单克隆抗体</w:t>
      </w:r>
      <w:bookmarkEnd w:id="22"/>
    </w:p>
    <w:p w14:paraId="749217BB">
      <w:pPr>
        <w:pStyle w:val="23"/>
        <w:keepNext w:val="0"/>
        <w:keepLines w:val="0"/>
        <w:pageBreakBefore w:val="0"/>
        <w:widowControl/>
        <w:kinsoku/>
        <w:wordWrap/>
        <w:overflowPunct/>
        <w:topLinePunct w:val="0"/>
        <w:autoSpaceDE w:val="0"/>
        <w:autoSpaceDN w:val="0"/>
        <w:bidi w:val="0"/>
        <w:adjustRightInd/>
        <w:snapToGrid/>
        <w:spacing w:line="240" w:lineRule="auto"/>
        <w:textAlignment w:val="auto"/>
      </w:pPr>
      <w:r>
        <w:rPr>
          <w:rFonts w:hint="eastAsia"/>
        </w:rPr>
        <w:t>贝利尤单抗</w:t>
      </w:r>
      <w:r>
        <w:t>（Belimumab）作用机制是通过抑制B细胞活化因子（BAFF），从而减少B细胞的活性和数量</w:t>
      </w:r>
      <w:r>
        <w:rPr>
          <w:rFonts w:hint="eastAsia"/>
        </w:rPr>
        <w:t>，目前主要</w:t>
      </w:r>
      <w:r>
        <w:t>用于治疗重症肌无力（Myasthenia Gravis, MG）。</w:t>
      </w:r>
      <w:r>
        <w:rPr>
          <w:rFonts w:hint="eastAsia"/>
        </w:rPr>
        <w:t>研究表明，贝利尤单抗</w:t>
      </w:r>
      <w:r>
        <w:t>有助于减轻MG的症状</w:t>
      </w:r>
      <w:r>
        <w:rPr>
          <w:rFonts w:hint="eastAsia"/>
        </w:rPr>
        <w:t>，其使用方法为每两</w:t>
      </w:r>
      <w:r>
        <w:t>周10 mg/kg 静脉注射一次，连续给药7次。</w:t>
      </w:r>
    </w:p>
    <w:p w14:paraId="06443932">
      <w:pPr>
        <w:pStyle w:val="43"/>
        <w:keepNext w:val="0"/>
        <w:keepLines w:val="0"/>
        <w:pageBreakBefore w:val="0"/>
        <w:widowControl/>
        <w:kinsoku/>
        <w:wordWrap/>
        <w:overflowPunct/>
        <w:topLinePunct w:val="0"/>
        <w:autoSpaceDE/>
        <w:autoSpaceDN/>
        <w:bidi w:val="0"/>
        <w:adjustRightInd/>
        <w:snapToGrid/>
        <w:spacing w:before="157" w:beforeLines="50" w:after="157" w:afterLines="50" w:line="240" w:lineRule="auto"/>
        <w:textAlignment w:val="auto"/>
      </w:pPr>
      <w:bookmarkStart w:id="23" w:name="_Toc28719"/>
      <w:r>
        <w:rPr>
          <w:rFonts w:hint="eastAsia"/>
        </w:rPr>
        <w:t>抗Blys及APRIL单克隆抗体</w:t>
      </w:r>
      <w:bookmarkEnd w:id="23"/>
    </w:p>
    <w:p w14:paraId="7F5A3C68">
      <w:pPr>
        <w:pStyle w:val="23"/>
        <w:keepNext w:val="0"/>
        <w:keepLines w:val="0"/>
        <w:pageBreakBefore w:val="0"/>
        <w:widowControl/>
        <w:kinsoku/>
        <w:wordWrap/>
        <w:overflowPunct/>
        <w:topLinePunct w:val="0"/>
        <w:autoSpaceDE w:val="0"/>
        <w:autoSpaceDN w:val="0"/>
        <w:bidi w:val="0"/>
        <w:adjustRightInd/>
        <w:snapToGrid/>
        <w:spacing w:line="240" w:lineRule="auto"/>
        <w:textAlignment w:val="auto"/>
      </w:pPr>
      <w:r>
        <w:t>泰它西</w:t>
      </w:r>
      <w:r>
        <w:rPr>
          <w:rFonts w:hint="eastAsia"/>
        </w:rPr>
        <w:t>浦</w:t>
      </w:r>
      <w:r>
        <w:t>原名RC18，旨在通过同时阻断B细胞发育所必需的两种蛋白质来抑制B细胞的炎症活性：</w:t>
      </w:r>
      <w:r>
        <w:rPr>
          <w:rFonts w:hint="eastAsia"/>
        </w:rPr>
        <w:t>即</w:t>
      </w:r>
      <w:r>
        <w:t>B细胞淋巴细胞刺激因子（BLyS）和增殖诱导配体（APRIL）</w:t>
      </w:r>
      <w:r>
        <w:rPr>
          <w:rFonts w:hint="eastAsia"/>
        </w:rPr>
        <w:t>。</w:t>
      </w:r>
      <w:r>
        <w:t>该疗法是通过皮下注射或皮下注射给药，通过将抗体片段与TACI受体的一部分结合而开发的，而TACI受体是一种调节B细胞发育的蛋白质。</w:t>
      </w:r>
      <w:r>
        <w:rPr>
          <w:rFonts w:hint="eastAsia"/>
        </w:rPr>
        <w:t>有临床Ⅱ期研究表明，对重症肌无力患者</w:t>
      </w:r>
      <w:r>
        <w:t>分别予以160 mg或240 mg的泰它西</w:t>
      </w:r>
      <w:r>
        <w:rPr>
          <w:rFonts w:hint="eastAsia"/>
        </w:rPr>
        <w:t>浦</w:t>
      </w:r>
      <w:r>
        <w:t>皮下注射，每周1次，连续24周</w:t>
      </w:r>
      <w:r>
        <w:rPr>
          <w:rFonts w:hint="eastAsia"/>
        </w:rPr>
        <w:t>，泰它西浦可持续有效改善重症肌无力患者的临床状况。</w:t>
      </w:r>
    </w:p>
    <w:p w14:paraId="379DE096">
      <w:pPr>
        <w:pStyle w:val="44"/>
        <w:keepNext w:val="0"/>
        <w:keepLines w:val="0"/>
        <w:pageBreakBefore w:val="0"/>
        <w:widowControl/>
        <w:kinsoku/>
        <w:wordWrap/>
        <w:overflowPunct/>
        <w:topLinePunct w:val="0"/>
        <w:autoSpaceDE/>
        <w:autoSpaceDN/>
        <w:bidi w:val="0"/>
        <w:adjustRightInd/>
        <w:snapToGrid/>
        <w:spacing w:before="312" w:after="312" w:line="240" w:lineRule="auto"/>
        <w:textAlignment w:val="auto"/>
      </w:pPr>
      <w:bookmarkStart w:id="24" w:name="_Toc10880"/>
      <w:r>
        <w:t>B细胞</w:t>
      </w:r>
      <w:r>
        <w:rPr>
          <w:rFonts w:hint="eastAsia"/>
        </w:rPr>
        <w:t>靶向生物制剂在不同神经系统自身免疫疾病中的应用</w:t>
      </w:r>
      <w:bookmarkEnd w:id="24"/>
    </w:p>
    <w:p w14:paraId="0A3B07DD">
      <w:pPr>
        <w:pStyle w:val="43"/>
        <w:keepNext w:val="0"/>
        <w:keepLines w:val="0"/>
        <w:pageBreakBefore w:val="0"/>
        <w:widowControl/>
        <w:kinsoku/>
        <w:wordWrap/>
        <w:overflowPunct/>
        <w:topLinePunct w:val="0"/>
        <w:autoSpaceDE/>
        <w:autoSpaceDN/>
        <w:bidi w:val="0"/>
        <w:adjustRightInd/>
        <w:snapToGrid/>
        <w:spacing w:before="157" w:beforeLines="50" w:after="157" w:afterLines="50" w:line="240" w:lineRule="auto"/>
        <w:textAlignment w:val="auto"/>
      </w:pPr>
      <w:bookmarkStart w:id="25" w:name="_Toc19422"/>
      <w:r>
        <w:t>B细胞</w:t>
      </w:r>
      <w:r>
        <w:rPr>
          <w:rFonts w:hint="eastAsia"/>
        </w:rPr>
        <w:t>靶向生物制剂在多发性硬化中的应用</w:t>
      </w:r>
      <w:bookmarkEnd w:id="25"/>
    </w:p>
    <w:p w14:paraId="22074F97">
      <w:pPr>
        <w:pStyle w:val="42"/>
        <w:keepNext w:val="0"/>
        <w:keepLines w:val="0"/>
        <w:pageBreakBefore w:val="0"/>
        <w:widowControl/>
        <w:kinsoku/>
        <w:wordWrap/>
        <w:overflowPunct/>
        <w:topLinePunct w:val="0"/>
        <w:autoSpaceDE/>
        <w:autoSpaceDN/>
        <w:bidi w:val="0"/>
        <w:adjustRightInd/>
        <w:snapToGrid/>
        <w:spacing w:before="157" w:beforeLines="50" w:after="157" w:afterLines="50" w:line="240" w:lineRule="auto"/>
        <w:textAlignment w:val="auto"/>
      </w:pPr>
      <w:r>
        <w:rPr>
          <w:rFonts w:hint="eastAsia"/>
        </w:rPr>
        <w:t>利妥昔单抗在多发性硬化中的应用</w:t>
      </w:r>
    </w:p>
    <w:p w14:paraId="48F89B74">
      <w:pPr>
        <w:pStyle w:val="23"/>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auto"/>
        <w:ind w:leftChars="0"/>
        <w:textAlignment w:val="auto"/>
        <w:rPr>
          <w:rFonts w:hint="eastAsia" w:ascii="黑体" w:hAnsi="黑体" w:eastAsia="黑体" w:cs="黑体"/>
        </w:rPr>
      </w:pPr>
      <w:r>
        <w:rPr>
          <w:rFonts w:hint="eastAsia" w:ascii="黑体" w:hAnsi="黑体" w:eastAsia="黑体" w:cs="黑体"/>
          <w:lang w:val="en-US" w:eastAsia="zh-CN"/>
        </w:rPr>
        <w:t xml:space="preserve">6.1.1.1 </w:t>
      </w:r>
      <w:r>
        <w:rPr>
          <w:rFonts w:hint="eastAsia" w:ascii="黑体" w:hAnsi="黑体" w:eastAsia="黑体" w:cs="黑体"/>
        </w:rPr>
        <w:t>复发缓解型</w:t>
      </w:r>
    </w:p>
    <w:p w14:paraId="04707D6C">
      <w:pPr>
        <w:pStyle w:val="23"/>
        <w:keepNext w:val="0"/>
        <w:keepLines w:val="0"/>
        <w:pageBreakBefore w:val="0"/>
        <w:widowControl/>
        <w:kinsoku/>
        <w:wordWrap/>
        <w:overflowPunct/>
        <w:topLinePunct w:val="0"/>
        <w:autoSpaceDE w:val="0"/>
        <w:autoSpaceDN w:val="0"/>
        <w:bidi w:val="0"/>
        <w:adjustRightInd/>
        <w:snapToGrid/>
        <w:spacing w:line="240" w:lineRule="auto"/>
        <w:ind w:firstLine="420" w:firstLineChars="200"/>
        <w:textAlignment w:val="auto"/>
      </w:pPr>
      <w:r>
        <w:rPr>
          <w:rFonts w:hint="eastAsia"/>
        </w:rPr>
        <w:t>RTX每周375 mg/m2，持续1个月。治疗后多数患者的EDSS保持稳定；且治疗24周后，脑脊液B细胞和T细胞分别减少90%和50%以上。</w:t>
      </w:r>
    </w:p>
    <w:p w14:paraId="6A884843">
      <w:pPr>
        <w:pStyle w:val="23"/>
        <w:keepNext w:val="0"/>
        <w:keepLines w:val="0"/>
        <w:pageBreakBefore w:val="0"/>
        <w:widowControl/>
        <w:kinsoku/>
        <w:wordWrap/>
        <w:overflowPunct/>
        <w:topLinePunct w:val="0"/>
        <w:autoSpaceDE/>
        <w:autoSpaceDN/>
        <w:bidi w:val="0"/>
        <w:adjustRightInd/>
        <w:snapToGrid/>
        <w:spacing w:before="157" w:beforeLines="50" w:after="157" w:afterLines="50" w:line="240" w:lineRule="auto"/>
        <w:ind w:firstLine="0" w:firstLineChars="0"/>
        <w:textAlignment w:val="auto"/>
        <w:rPr>
          <w:rFonts w:hint="eastAsia" w:ascii="黑体" w:hAnsi="黑体" w:eastAsia="黑体" w:cs="黑体"/>
        </w:rPr>
      </w:pPr>
      <w:r>
        <w:rPr>
          <w:rFonts w:hint="eastAsia" w:ascii="黑体" w:hAnsi="黑体" w:eastAsia="黑体" w:cs="黑体"/>
          <w:lang w:val="en-US" w:eastAsia="zh-CN"/>
        </w:rPr>
        <w:t xml:space="preserve">6.1.1.2 </w:t>
      </w:r>
      <w:r>
        <w:rPr>
          <w:rFonts w:hint="eastAsia" w:ascii="黑体" w:hAnsi="黑体" w:eastAsia="黑体" w:cs="黑体"/>
        </w:rPr>
        <w:t>原发进展型</w:t>
      </w:r>
    </w:p>
    <w:p w14:paraId="0AF75D26">
      <w:pPr>
        <w:pStyle w:val="23"/>
        <w:keepNext w:val="0"/>
        <w:keepLines w:val="0"/>
        <w:pageBreakBefore w:val="0"/>
        <w:widowControl/>
        <w:kinsoku/>
        <w:wordWrap/>
        <w:overflowPunct/>
        <w:topLinePunct w:val="0"/>
        <w:autoSpaceDE w:val="0"/>
        <w:autoSpaceDN w:val="0"/>
        <w:bidi w:val="0"/>
        <w:adjustRightInd/>
        <w:snapToGrid/>
        <w:spacing w:line="240" w:lineRule="auto"/>
        <w:ind w:firstLine="420" w:firstLineChars="200"/>
        <w:textAlignment w:val="auto"/>
      </w:pPr>
      <w:r>
        <w:rPr>
          <w:rFonts w:hint="eastAsia"/>
        </w:rPr>
        <w:t>RTX与安慰剂在CDP风险上无统计学差异，但亚组分析显示，年龄在51岁以下且MRI上有增强病变的RTX队列中CDP风险更长。</w:t>
      </w:r>
    </w:p>
    <w:p w14:paraId="69081A8F">
      <w:pPr>
        <w:pStyle w:val="42"/>
        <w:keepNext w:val="0"/>
        <w:keepLines w:val="0"/>
        <w:pageBreakBefore w:val="0"/>
        <w:widowControl/>
        <w:numPr>
          <w:ilvl w:val="2"/>
          <w:numId w:val="19"/>
        </w:numPr>
        <w:kinsoku/>
        <w:wordWrap/>
        <w:overflowPunct/>
        <w:topLinePunct w:val="0"/>
        <w:autoSpaceDE/>
        <w:autoSpaceDN/>
        <w:bidi w:val="0"/>
        <w:adjustRightInd/>
        <w:snapToGrid/>
        <w:spacing w:before="157" w:beforeLines="50" w:after="157" w:afterLines="50" w:line="240" w:lineRule="auto"/>
        <w:textAlignment w:val="auto"/>
      </w:pPr>
      <w:r>
        <w:rPr>
          <w:rFonts w:hint="eastAsia"/>
        </w:rPr>
        <w:t>奥法妥木单抗在多发性硬化中的应用</w:t>
      </w:r>
    </w:p>
    <w:p w14:paraId="659B1295">
      <w:pPr>
        <w:pStyle w:val="23"/>
        <w:keepNext w:val="0"/>
        <w:keepLines w:val="0"/>
        <w:pageBreakBefore w:val="0"/>
        <w:widowControl/>
        <w:kinsoku/>
        <w:wordWrap/>
        <w:overflowPunct/>
        <w:topLinePunct w:val="0"/>
        <w:autoSpaceDE/>
        <w:autoSpaceDN/>
        <w:bidi w:val="0"/>
        <w:adjustRightInd/>
        <w:snapToGrid/>
        <w:spacing w:line="240" w:lineRule="auto"/>
        <w:textAlignment w:val="auto"/>
      </w:pPr>
      <w:r>
        <w:rPr>
          <w:rFonts w:hint="eastAsia"/>
        </w:rPr>
        <w:t>奥法妥木单抗：奥法妥木单抗为全人源抗CD20单克隆抗体（IgG1），通过抗体依赖性细胞和补体介导的溶解作用，选择性清除CD20阳性B淋巴细胞。2项关键Ⅲ期药物研究——ASCLEPIOSⅠ和Ⅱ的结果显示，奥法妥木单抗组较特立氟胺组能一致性显著降低年复发率（51%和59%）、钆增强病灶数（98%和94%）、新发或扩大的T2病灶数（82%和85%）以及3个月时的CDP风险34%；治疗第2年，近88%的患者实现NEDA34 。在新诊断患者中，治疗第2年超过90%的患者实现NEDA3，较特立氟胺组 OR值为14.68，年化脑容量丢失率仅为0.3%，6个月CDP风险较特立氟胺降低46%，3.5年安全性随访研究显示患者平均血清IgG水平保持稳定，IgM平均水平仍高于正常值下限。推荐意见：适用于成人复发型MS，包括CIS、RRMS和有复发的SPMS患者（Ⅰ级证据，A级推荐）。推荐用法：在第0、1和2周皮下注射20 mg；从第4周开始皮下注射20 mg，每28天1次。</w:t>
      </w:r>
      <w:r>
        <w:rPr>
          <w:rFonts w:hint="eastAsia"/>
          <w:b w:val="0"/>
          <w:bCs w:val="0"/>
        </w:rPr>
        <w:t>常见不良反应：</w:t>
      </w:r>
      <w:r>
        <w:rPr>
          <w:rFonts w:hint="eastAsia"/>
        </w:rPr>
        <w:t>上呼吸道感染、注射相关反应和注射部位反应。在首次使用奥法妥木单抗之前推荐进行乙肝病毒筛查，检测免疫球蛋白，完成疫苗接种。</w:t>
      </w:r>
    </w:p>
    <w:p w14:paraId="6B05C4B3">
      <w:pPr>
        <w:pStyle w:val="43"/>
        <w:keepNext w:val="0"/>
        <w:keepLines w:val="0"/>
        <w:pageBreakBefore w:val="0"/>
        <w:widowControl/>
        <w:kinsoku/>
        <w:wordWrap/>
        <w:overflowPunct/>
        <w:topLinePunct w:val="0"/>
        <w:autoSpaceDE/>
        <w:autoSpaceDN/>
        <w:bidi w:val="0"/>
        <w:adjustRightInd/>
        <w:snapToGrid/>
        <w:spacing w:before="157" w:beforeLines="50" w:after="157" w:afterLines="50" w:line="240" w:lineRule="auto"/>
        <w:textAlignment w:val="auto"/>
      </w:pPr>
      <w:bookmarkStart w:id="26" w:name="_Toc27397"/>
      <w:r>
        <w:rPr>
          <w:rFonts w:hint="eastAsia"/>
        </w:rPr>
        <w:t>B细胞靶向生物制剂在重症肌无力中的应用</w:t>
      </w:r>
      <w:bookmarkEnd w:id="26"/>
    </w:p>
    <w:p w14:paraId="3EEB6463">
      <w:pPr>
        <w:pStyle w:val="42"/>
        <w:keepNext w:val="0"/>
        <w:keepLines w:val="0"/>
        <w:pageBreakBefore w:val="0"/>
        <w:widowControl/>
        <w:kinsoku/>
        <w:wordWrap/>
        <w:overflowPunct/>
        <w:topLinePunct w:val="0"/>
        <w:autoSpaceDE/>
        <w:autoSpaceDN/>
        <w:bidi w:val="0"/>
        <w:adjustRightInd/>
        <w:snapToGrid/>
        <w:spacing w:before="157" w:beforeLines="50" w:after="157" w:afterLines="50" w:line="240" w:lineRule="auto"/>
        <w:textAlignment w:val="auto"/>
      </w:pPr>
      <w:r>
        <w:rPr>
          <w:rFonts w:hint="eastAsia"/>
        </w:rPr>
        <w:t>利妥昔单抗：</w:t>
      </w:r>
    </w:p>
    <w:p w14:paraId="7337B443">
      <w:pPr>
        <w:pStyle w:val="43"/>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ind w:firstLine="420" w:firstLineChars="200"/>
        <w:textAlignment w:val="auto"/>
      </w:pPr>
      <w:bookmarkStart w:id="27" w:name="_Toc182938808"/>
      <w:bookmarkStart w:id="28" w:name="_Toc183467115"/>
      <w:bookmarkStart w:id="29" w:name="_Toc26425"/>
      <w:bookmarkStart w:id="30" w:name="_Toc183545989"/>
      <w:r>
        <w:rPr>
          <w:rFonts w:hint="eastAsia" w:ascii="宋体" w:eastAsia="宋体"/>
          <w:szCs w:val="20"/>
        </w:rPr>
        <w:t>RTX用药方案目前尚无统一标准,通常为诱导治疗序贯维持治疗。临床推荐诱导方案包括标准方案及低剂量方案</w:t>
      </w:r>
      <w:bookmarkEnd w:id="27"/>
      <w:bookmarkEnd w:id="28"/>
      <w:bookmarkEnd w:id="29"/>
      <w:bookmarkEnd w:id="30"/>
      <w:bookmarkStart w:id="31" w:name="_Toc31568"/>
      <w:bookmarkStart w:id="32" w:name="_Toc183545990"/>
      <w:bookmarkStart w:id="33" w:name="_Toc182938809"/>
      <w:bookmarkStart w:id="34" w:name="_Toc183467116"/>
      <w:r>
        <w:rPr>
          <w:rFonts w:hint="eastAsia" w:ascii="宋体" w:eastAsia="宋体"/>
          <w:szCs w:val="20"/>
          <w:lang w:eastAsia="zh-CN"/>
        </w:rPr>
        <w:t>。</w:t>
      </w:r>
      <w:r>
        <w:rPr>
          <w:rFonts w:hint="eastAsia" w:ascii="宋体" w:eastAsia="宋体"/>
          <w:szCs w:val="20"/>
        </w:rPr>
        <w:t>标准方案:诱导剂量按体表面积375mg/m2,间隔1周给药1次,连续给药4周,序贯给药1g,间隔2周治疗1次,共2次</w:t>
      </w:r>
      <w:bookmarkEnd w:id="31"/>
      <w:bookmarkEnd w:id="32"/>
      <w:bookmarkEnd w:id="33"/>
      <w:bookmarkEnd w:id="34"/>
      <w:bookmarkStart w:id="35" w:name="_Toc9188"/>
      <w:bookmarkStart w:id="36" w:name="_Toc183467117"/>
      <w:bookmarkStart w:id="37" w:name="_Toc183545991"/>
      <w:bookmarkStart w:id="38" w:name="_Toc182938810"/>
      <w:r>
        <w:rPr>
          <w:rFonts w:hint="eastAsia" w:ascii="宋体" w:eastAsia="宋体"/>
          <w:szCs w:val="20"/>
          <w:lang w:eastAsia="zh-CN"/>
        </w:rPr>
        <w:t>；</w:t>
      </w:r>
      <w:r>
        <w:rPr>
          <w:rFonts w:hint="eastAsia" w:ascii="宋体" w:eastAsia="宋体"/>
          <w:szCs w:val="20"/>
        </w:rPr>
        <w:t>低剂量方案包括:按体表面积375mg/m2,间隔2周给药1次,共2次或100+500mg单次治疗。维持剂量为按体表面积375~750mg/m2。通常在给药后第4周,患者外周血B细胞比例可降至0,1次给药为1个循环,作用可维持6个月,6个月后B细胞开始爬升。维持治疗更多为经验性治疗,有医生建议临床复发时追加RTX治疗,也有医生建议每隔6个月给予一次RTX治疗。CD27+记忆B细胞的监测有助于判断疾病复发以及指导RTX追加给药。</w:t>
      </w:r>
      <w:bookmarkEnd w:id="35"/>
      <w:bookmarkEnd w:id="36"/>
      <w:bookmarkEnd w:id="37"/>
      <w:bookmarkEnd w:id="38"/>
    </w:p>
    <w:p w14:paraId="2D85991F">
      <w:pPr>
        <w:pStyle w:val="42"/>
        <w:keepNext w:val="0"/>
        <w:keepLines w:val="0"/>
        <w:pageBreakBefore w:val="0"/>
        <w:widowControl/>
        <w:kinsoku/>
        <w:wordWrap/>
        <w:overflowPunct/>
        <w:topLinePunct w:val="0"/>
        <w:autoSpaceDE/>
        <w:autoSpaceDN/>
        <w:bidi w:val="0"/>
        <w:adjustRightInd/>
        <w:snapToGrid/>
        <w:spacing w:before="157" w:beforeLines="50" w:after="157" w:afterLines="50" w:line="240" w:lineRule="auto"/>
        <w:textAlignment w:val="auto"/>
      </w:pPr>
      <w:r>
        <w:rPr>
          <w:rFonts w:hint="eastAsia"/>
        </w:rPr>
        <w:t>泰它西浦：</w:t>
      </w:r>
    </w:p>
    <w:p w14:paraId="2E2B3317">
      <w:pPr>
        <w:pStyle w:val="44"/>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ind w:firstLine="420" w:firstLineChars="200"/>
        <w:textAlignment w:val="auto"/>
      </w:pPr>
      <w:bookmarkStart w:id="39" w:name="_Toc16082"/>
      <w:bookmarkStart w:id="40" w:name="_Toc183467119"/>
      <w:bookmarkStart w:id="41" w:name="_Toc183545992"/>
      <w:r>
        <w:rPr>
          <w:rFonts w:hint="eastAsia" w:ascii="宋体" w:hAnsi="宋体" w:eastAsia="宋体"/>
        </w:rPr>
        <w:t>临床Ⅱ期研究表明，对重症肌无力患者</w:t>
      </w:r>
      <w:r>
        <w:rPr>
          <w:rFonts w:ascii="宋体" w:hAnsi="宋体" w:eastAsia="宋体"/>
        </w:rPr>
        <w:t>分别予以160 mg或240 mg的泰它西</w:t>
      </w:r>
      <w:r>
        <w:rPr>
          <w:rFonts w:hint="eastAsia" w:ascii="宋体" w:hAnsi="宋体" w:eastAsia="宋体"/>
        </w:rPr>
        <w:t>浦</w:t>
      </w:r>
      <w:r>
        <w:rPr>
          <w:rFonts w:ascii="宋体" w:hAnsi="宋体" w:eastAsia="宋体"/>
        </w:rPr>
        <w:t>皮下注射，每周1次，连续24周</w:t>
      </w:r>
      <w:r>
        <w:rPr>
          <w:rFonts w:hint="eastAsia" w:ascii="宋体" w:hAnsi="宋体" w:eastAsia="宋体"/>
        </w:rPr>
        <w:t>，泰它西浦可持续有效改善重症肌无力患者的临床状况。</w:t>
      </w:r>
      <w:bookmarkEnd w:id="39"/>
      <w:bookmarkEnd w:id="40"/>
      <w:bookmarkEnd w:id="41"/>
    </w:p>
    <w:p w14:paraId="530A4E95">
      <w:pPr>
        <w:pStyle w:val="43"/>
        <w:keepNext w:val="0"/>
        <w:keepLines w:val="0"/>
        <w:pageBreakBefore w:val="0"/>
        <w:widowControl/>
        <w:kinsoku/>
        <w:wordWrap/>
        <w:overflowPunct/>
        <w:topLinePunct w:val="0"/>
        <w:autoSpaceDE/>
        <w:autoSpaceDN/>
        <w:bidi w:val="0"/>
        <w:adjustRightInd/>
        <w:snapToGrid/>
        <w:spacing w:before="157" w:beforeLines="50" w:after="157" w:afterLines="50" w:line="240" w:lineRule="auto"/>
        <w:textAlignment w:val="auto"/>
      </w:pPr>
      <w:bookmarkStart w:id="42" w:name="_Toc9846"/>
      <w:r>
        <w:rPr>
          <w:rFonts w:hint="eastAsia"/>
        </w:rPr>
        <w:t>B细胞靶向生物制剂在炎性肌病中的应用</w:t>
      </w:r>
      <w:bookmarkEnd w:id="42"/>
    </w:p>
    <w:p w14:paraId="4D7585C4">
      <w:pPr>
        <w:pStyle w:val="42"/>
        <w:keepNext w:val="0"/>
        <w:keepLines w:val="0"/>
        <w:pageBreakBefore w:val="0"/>
        <w:widowControl/>
        <w:kinsoku/>
        <w:wordWrap/>
        <w:overflowPunct/>
        <w:topLinePunct w:val="0"/>
        <w:autoSpaceDE/>
        <w:autoSpaceDN/>
        <w:bidi w:val="0"/>
        <w:adjustRightInd/>
        <w:snapToGrid/>
        <w:spacing w:before="157" w:beforeLines="50" w:after="157" w:afterLines="50" w:line="240" w:lineRule="auto"/>
        <w:textAlignment w:val="auto"/>
      </w:pPr>
      <w:r>
        <w:rPr>
          <w:rFonts w:hint="eastAsia"/>
        </w:rPr>
        <w:t>利妥昔单抗</w:t>
      </w:r>
    </w:p>
    <w:p w14:paraId="0E292FF9">
      <w:pPr>
        <w:pStyle w:val="23"/>
        <w:keepNext w:val="0"/>
        <w:keepLines w:val="0"/>
        <w:pageBreakBefore w:val="0"/>
        <w:kinsoku/>
        <w:wordWrap/>
        <w:overflowPunct/>
        <w:topLinePunct w:val="0"/>
        <w:autoSpaceDE/>
        <w:autoSpaceDN/>
        <w:bidi w:val="0"/>
        <w:adjustRightInd/>
        <w:snapToGrid/>
        <w:spacing w:line="240" w:lineRule="auto"/>
        <w:textAlignment w:val="auto"/>
      </w:pPr>
      <w:r>
        <w:rPr>
          <w:rFonts w:hint="eastAsia"/>
        </w:rPr>
        <w:t>一项研究纳入</w:t>
      </w:r>
      <w:r>
        <w:t>2018</w:t>
      </w:r>
      <w:r>
        <w:rPr>
          <w:rFonts w:hint="eastAsia"/>
        </w:rPr>
        <w:t>至</w:t>
      </w:r>
      <w:r>
        <w:t>2021</w:t>
      </w:r>
      <w:r>
        <w:rPr>
          <w:rFonts w:hint="eastAsia"/>
        </w:rPr>
        <w:t>期间接受利妥昔单抗治疗的难治性特发性肌炎（</w:t>
      </w:r>
      <w:r>
        <w:t>IIM</w:t>
      </w:r>
      <w:r>
        <w:rPr>
          <w:rFonts w:hint="eastAsia"/>
        </w:rPr>
        <w:t>）患者的基于注册的观察数据。总改善分数（</w:t>
      </w:r>
      <w:r>
        <w:t>TIS</w:t>
      </w:r>
      <w:r>
        <w:rPr>
          <w:rFonts w:hint="eastAsia"/>
        </w:rPr>
        <w:t>）是根据</w:t>
      </w:r>
      <w:r>
        <w:t>IMACS</w:t>
      </w:r>
      <w:r>
        <w:rPr>
          <w:rFonts w:hint="eastAsia"/>
        </w:rPr>
        <w:t>在基线、</w:t>
      </w:r>
      <w:r>
        <w:t>6</w:t>
      </w:r>
      <w:r>
        <w:rPr>
          <w:rFonts w:hint="eastAsia"/>
        </w:rPr>
        <w:t>个月和</w:t>
      </w:r>
      <w:r>
        <w:t>12 </w:t>
      </w:r>
      <w:r>
        <w:rPr>
          <w:rFonts w:hint="eastAsia"/>
        </w:rPr>
        <w:t>个月随访的核心组测量值计算的。结果：共纳入</w:t>
      </w:r>
      <w:r>
        <w:t>42</w:t>
      </w:r>
      <w:r>
        <w:rPr>
          <w:rFonts w:hint="eastAsia"/>
        </w:rPr>
        <w:t>例患者（</w:t>
      </w:r>
      <w:r>
        <w:t>F:M=29:13</w:t>
      </w:r>
      <w:r>
        <w:rPr>
          <w:rFonts w:hint="eastAsia"/>
        </w:rPr>
        <w:t>），平均年龄（标准差）为</w:t>
      </w:r>
      <w:r>
        <w:t>39.5</w:t>
      </w:r>
      <w:r>
        <w:rPr>
          <w:rFonts w:hint="eastAsia"/>
        </w:rPr>
        <w:t>（±</w:t>
      </w:r>
      <w:r>
        <w:t>11.5</w:t>
      </w:r>
      <w:r>
        <w:rPr>
          <w:rFonts w:hint="eastAsia"/>
        </w:rPr>
        <w:t>）岁。大多数患者在中位（</w:t>
      </w:r>
      <w:r>
        <w:t>IQR</w:t>
      </w:r>
      <w:r>
        <w:rPr>
          <w:rFonts w:hint="eastAsia"/>
        </w:rPr>
        <w:t>）持续时间</w:t>
      </w:r>
      <w:r>
        <w:t>8</w:t>
      </w:r>
      <w:r>
        <w:rPr>
          <w:rFonts w:hint="eastAsia"/>
        </w:rPr>
        <w:t>（</w:t>
      </w:r>
      <w:r>
        <w:t>4,18</w:t>
      </w:r>
      <w:r>
        <w:rPr>
          <w:rFonts w:hint="eastAsia"/>
        </w:rPr>
        <w:t>）个月后，接受利妥昔单抗治疗难治性肌炎。</w:t>
      </w:r>
      <w:r>
        <w:t>28</w:t>
      </w:r>
      <w:r>
        <w:rPr>
          <w:rFonts w:hint="eastAsia"/>
        </w:rPr>
        <w:t>人接受</w:t>
      </w:r>
      <w:r>
        <w:t>1g*2</w:t>
      </w:r>
      <w:r>
        <w:rPr>
          <w:rFonts w:hint="eastAsia"/>
        </w:rPr>
        <w:t>次的</w:t>
      </w:r>
      <w:r>
        <w:t>RTX</w:t>
      </w:r>
      <w:r>
        <w:rPr>
          <w:rFonts w:hint="eastAsia"/>
        </w:rPr>
        <w:t>，</w:t>
      </w:r>
      <w:r>
        <w:t>14</w:t>
      </w:r>
      <w:r>
        <w:rPr>
          <w:rFonts w:hint="eastAsia"/>
        </w:rPr>
        <w:t>人接受</w:t>
      </w:r>
      <w:r>
        <w:t>500 mg*2</w:t>
      </w:r>
      <w:r>
        <w:rPr>
          <w:rFonts w:hint="eastAsia"/>
        </w:rPr>
        <w:t>次，间隔</w:t>
      </w:r>
      <w:r>
        <w:t>15 </w:t>
      </w:r>
      <w:r>
        <w:rPr>
          <w:rFonts w:hint="eastAsia"/>
        </w:rPr>
        <w:t>天。在接受</w:t>
      </w:r>
      <w:r>
        <w:t> RTX</w:t>
      </w:r>
      <w:r>
        <w:rPr>
          <w:rFonts w:hint="eastAsia"/>
        </w:rPr>
        <w:t>的</w:t>
      </w:r>
      <w:r>
        <w:t>6</w:t>
      </w:r>
      <w:r>
        <w:rPr>
          <w:rFonts w:hint="eastAsia"/>
        </w:rPr>
        <w:t>个月和</w:t>
      </w:r>
      <w:r>
        <w:t>12</w:t>
      </w:r>
      <w:r>
        <w:rPr>
          <w:rFonts w:hint="eastAsia"/>
        </w:rPr>
        <w:t>个月后，与基线相比，手动肌肉测试（</w:t>
      </w:r>
      <w:r>
        <w:t>MMT-8</w:t>
      </w:r>
      <w:r>
        <w:rPr>
          <w:rFonts w:hint="eastAsia"/>
        </w:rPr>
        <w:t>）评分、</w:t>
      </w:r>
      <w:r>
        <w:t>PGA</w:t>
      </w:r>
      <w:r>
        <w:rPr>
          <w:rFonts w:hint="eastAsia"/>
        </w:rPr>
        <w:t>（医生整体评估）、</w:t>
      </w:r>
      <w:r>
        <w:t>PtGA</w:t>
      </w:r>
      <w:r>
        <w:rPr>
          <w:rFonts w:hint="eastAsia"/>
        </w:rPr>
        <w:t>（患者整体评估）、类固醇中位剂量均有改善（所有项目均</w:t>
      </w:r>
      <w:r>
        <w:t>p&lt;0.01</w:t>
      </w:r>
      <w:r>
        <w:rPr>
          <w:rFonts w:hint="eastAsia"/>
        </w:rPr>
        <w:t>）。</w:t>
      </w:r>
      <w:r>
        <w:t>TIS</w:t>
      </w:r>
      <w:r>
        <w:rPr>
          <w:rFonts w:hint="eastAsia"/>
        </w:rPr>
        <w:t>在</w:t>
      </w:r>
      <w:r>
        <w:t>6 </w:t>
      </w:r>
      <w:r>
        <w:rPr>
          <w:rFonts w:hint="eastAsia"/>
        </w:rPr>
        <w:t>个月和</w:t>
      </w:r>
      <w:r>
        <w:t>12 </w:t>
      </w:r>
      <w:r>
        <w:rPr>
          <w:rFonts w:hint="eastAsia"/>
        </w:rPr>
        <w:t>个月均有提高，平均值（标准差）分别为</w:t>
      </w:r>
      <w:r>
        <w:t>44.5 ± 16</w:t>
      </w:r>
      <w:r>
        <w:rPr>
          <w:rFonts w:hint="eastAsia"/>
        </w:rPr>
        <w:t>和</w:t>
      </w:r>
      <w:r>
        <w:t>48.7 ± 19.2</w:t>
      </w:r>
      <w:r>
        <w:rPr>
          <w:rFonts w:hint="eastAsia"/>
        </w:rPr>
        <w:t>。与基线相比，在</w:t>
      </w:r>
      <w:r>
        <w:t>6 </w:t>
      </w:r>
      <w:r>
        <w:rPr>
          <w:rFonts w:hint="eastAsia"/>
        </w:rPr>
        <w:t>个月和</w:t>
      </w:r>
      <w:r>
        <w:t>12 </w:t>
      </w:r>
      <w:r>
        <w:rPr>
          <w:rFonts w:hint="eastAsia"/>
        </w:rPr>
        <w:t>个月的两种</w:t>
      </w:r>
      <w:r>
        <w:t>RTX</w:t>
      </w:r>
      <w:r>
        <w:rPr>
          <w:rFonts w:hint="eastAsia"/>
        </w:rPr>
        <w:t>剂量方案的</w:t>
      </w:r>
      <w:r>
        <w:t>MMT-8</w:t>
      </w:r>
      <w:r>
        <w:rPr>
          <w:rFonts w:hint="eastAsia"/>
        </w:rPr>
        <w:t>、</w:t>
      </w:r>
      <w:r>
        <w:t>PGA</w:t>
      </w:r>
      <w:r>
        <w:rPr>
          <w:rFonts w:hint="eastAsia"/>
        </w:rPr>
        <w:t>和</w:t>
      </w:r>
      <w:r>
        <w:t>PtGA</w:t>
      </w:r>
      <w:r>
        <w:rPr>
          <w:rFonts w:hint="eastAsia"/>
        </w:rPr>
        <w:t>评分变化均有显著差异。队列中有</w:t>
      </w:r>
      <w:r>
        <w:t>3</w:t>
      </w:r>
      <w:r>
        <w:rPr>
          <w:rFonts w:hint="eastAsia"/>
        </w:rPr>
        <w:t>名患者出现需要住院治疗的严重下呼吸道感染。结论：在这项基于注册的难治性</w:t>
      </w:r>
      <w:r>
        <w:t>IIM</w:t>
      </w:r>
      <w:r>
        <w:rPr>
          <w:rFonts w:hint="eastAsia"/>
        </w:rPr>
        <w:t>队列研究中，利妥昔单抗改善了</w:t>
      </w:r>
      <w:r>
        <w:t>IMACS</w:t>
      </w:r>
      <w:r>
        <w:rPr>
          <w:rFonts w:hint="eastAsia"/>
        </w:rPr>
        <w:t>核心组指标，并在</w:t>
      </w:r>
      <w:r>
        <w:t>6 </w:t>
      </w:r>
      <w:r>
        <w:rPr>
          <w:rFonts w:hint="eastAsia"/>
        </w:rPr>
        <w:t>个月和</w:t>
      </w:r>
      <w:r>
        <w:t>12 </w:t>
      </w:r>
      <w:r>
        <w:rPr>
          <w:rFonts w:hint="eastAsia"/>
        </w:rPr>
        <w:t>个月具有保留类固醇疗效的作用</w:t>
      </w:r>
      <w:r>
        <w:t> </w:t>
      </w:r>
      <w:r>
        <w:rPr>
          <w:rFonts w:hint="eastAsia"/>
        </w:rPr>
        <w:t>。在</w:t>
      </w:r>
      <w:r>
        <w:t>6</w:t>
      </w:r>
      <w:r>
        <w:rPr>
          <w:rFonts w:hint="eastAsia"/>
        </w:rPr>
        <w:t>个月和</w:t>
      </w:r>
      <w:r>
        <w:t>12</w:t>
      </w:r>
      <w:r>
        <w:rPr>
          <w:rFonts w:hint="eastAsia"/>
        </w:rPr>
        <w:t>个月</w:t>
      </w:r>
      <w:r>
        <w:t> </w:t>
      </w:r>
      <w:r>
        <w:rPr>
          <w:rFonts w:hint="eastAsia"/>
        </w:rPr>
        <w:t>随访中，利妥昔单抗</w:t>
      </w:r>
      <w:r>
        <w:t>500 mg*2</w:t>
      </w:r>
      <w:r>
        <w:rPr>
          <w:rFonts w:hint="eastAsia"/>
        </w:rPr>
        <w:t>次的剂量与</w:t>
      </w:r>
      <w:r>
        <w:t>1 g</w:t>
      </w:r>
      <w:r>
        <w:rPr>
          <w:rFonts w:hint="eastAsia"/>
        </w:rPr>
        <w:t>效果未见明显差异。</w:t>
      </w:r>
    </w:p>
    <w:p w14:paraId="5D22144F">
      <w:pPr>
        <w:pStyle w:val="42"/>
        <w:keepNext w:val="0"/>
        <w:keepLines w:val="0"/>
        <w:pageBreakBefore w:val="0"/>
        <w:widowControl/>
        <w:kinsoku/>
        <w:wordWrap/>
        <w:overflowPunct/>
        <w:topLinePunct w:val="0"/>
        <w:autoSpaceDE/>
        <w:autoSpaceDN/>
        <w:bidi w:val="0"/>
        <w:adjustRightInd/>
        <w:snapToGrid/>
        <w:spacing w:before="156" w:after="156"/>
        <w:textAlignment w:val="auto"/>
      </w:pPr>
      <w:r>
        <w:rPr>
          <w:rFonts w:hint="eastAsia"/>
        </w:rPr>
        <w:t>奥法妥木单抗</w:t>
      </w:r>
    </w:p>
    <w:p w14:paraId="265F6B27">
      <w:pPr>
        <w:pStyle w:val="23"/>
        <w:keepNext w:val="0"/>
        <w:keepLines w:val="0"/>
        <w:pageBreakBefore w:val="0"/>
        <w:kinsoku/>
        <w:wordWrap/>
        <w:overflowPunct/>
        <w:topLinePunct w:val="0"/>
        <w:autoSpaceDE/>
        <w:autoSpaceDN/>
        <w:bidi w:val="0"/>
        <w:adjustRightInd/>
        <w:snapToGrid/>
        <w:spacing w:line="240" w:lineRule="auto"/>
        <w:textAlignment w:val="auto"/>
        <w:rPr>
          <w:rFonts w:ascii="宋体" w:eastAsia="宋体"/>
          <w:szCs w:val="20"/>
        </w:rPr>
      </w:pPr>
      <w:r>
        <w:rPr>
          <w:rFonts w:hint="eastAsia"/>
        </w:rPr>
        <w:t>一例SRP阳性的免疫介导坏死性肌病（IMNM）患者，在</w:t>
      </w:r>
      <w:r>
        <w:t>IVIG完成后第2天，给予皮下注射奥法妥木单抗20mg。在第一次奥法妥木单抗治疗的第二天，患者的四肢肌力和呼吸困难即明显改善，抬头和颈部屈曲肌力恢复到2级，肢体远端肌力恢复到3级，绝对B细胞计数从314个减少到29个细胞/ul。患者后续每月接受第2次、第3次奥法妥木单抗皮下注射，每次注射剂量均为20mg。在使用奥法妥木单抗治疗期间，患者的活动耐受性持续改善，B细胞维持在较低水平。心肌标记物、ECG和ECHO恢复正常，两次随访的肌电图显示四肢神经传导速度正常</w:t>
      </w:r>
      <w:r>
        <w:rPr>
          <w:rFonts w:hint="eastAsia"/>
        </w:rPr>
        <w:t>，这提示奥法妥木单抗对IMNM的潜在治疗效果。</w:t>
      </w:r>
    </w:p>
    <w:p w14:paraId="6AE841C9">
      <w:pPr>
        <w:pStyle w:val="43"/>
        <w:keepNext w:val="0"/>
        <w:keepLines w:val="0"/>
        <w:pageBreakBefore w:val="0"/>
        <w:widowControl/>
        <w:kinsoku/>
        <w:wordWrap/>
        <w:overflowPunct/>
        <w:topLinePunct w:val="0"/>
        <w:autoSpaceDE/>
        <w:autoSpaceDN/>
        <w:bidi w:val="0"/>
        <w:adjustRightInd/>
        <w:snapToGrid/>
        <w:spacing w:before="156" w:after="156" w:line="240" w:lineRule="auto"/>
        <w:textAlignment w:val="auto"/>
      </w:pPr>
      <w:bookmarkStart w:id="43" w:name="_Toc8941"/>
      <w:r>
        <w:rPr>
          <w:rFonts w:hint="eastAsia"/>
        </w:rPr>
        <w:t>B细胞靶向生物制剂在视神经脊髓炎中的应用</w:t>
      </w:r>
      <w:bookmarkEnd w:id="43"/>
    </w:p>
    <w:p w14:paraId="4F8F2729">
      <w:pPr>
        <w:pStyle w:val="42"/>
        <w:keepNext w:val="0"/>
        <w:keepLines w:val="0"/>
        <w:pageBreakBefore w:val="0"/>
        <w:widowControl/>
        <w:kinsoku/>
        <w:wordWrap/>
        <w:overflowPunct/>
        <w:topLinePunct w:val="0"/>
        <w:autoSpaceDE/>
        <w:autoSpaceDN/>
        <w:bidi w:val="0"/>
        <w:adjustRightInd/>
        <w:snapToGrid/>
        <w:spacing w:before="156" w:after="156" w:line="240" w:lineRule="auto"/>
        <w:textAlignment w:val="auto"/>
      </w:pPr>
      <w:r>
        <w:rPr>
          <w:rFonts w:hint="eastAsia"/>
        </w:rPr>
        <w:t>利妥昔单抗</w:t>
      </w:r>
    </w:p>
    <w:p w14:paraId="5F11553A">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b/>
          <w:bCs/>
        </w:rPr>
      </w:pPr>
      <w:r>
        <w:rPr>
          <w:rFonts w:hint="eastAsia"/>
        </w:rPr>
        <w:t>临床试验结果显示，运用利妥昔单抗进行B细胞消减治疗，能减少NMOSD的复发和减缓神经功能障碍进展，具有显著疗效。推荐用法：按体表面积375mg/m2 静脉滴注，每周1次，连用4周；或1000mg静脉滴注，共用2次（间隔2周）。国内治疗经验表明，中等或小剂量应用对预防NMOSD仍有效，且副反应小，花费相对较少。用法为：单次500mg静脉点滴，6-12个月后重复应用；或100mg静脉点滴，1次/周，连用4周，6-12个月后重复应用。</w:t>
      </w:r>
      <w:r>
        <w:t>大部分患者治疗后可维持B淋巴细胞耗竭约6~8个月。 推荐监测B淋巴细胞亚群,若CD19或CD20阳性细胞比例&gt;1%或CD27阳性记忆性B淋巴细胞比 例&gt;0.05%,则建议重复进行RTX注射治疗。</w:t>
      </w:r>
    </w:p>
    <w:p w14:paraId="62F89C2D">
      <w:pPr>
        <w:pStyle w:val="42"/>
        <w:keepNext w:val="0"/>
        <w:keepLines w:val="0"/>
        <w:pageBreakBefore w:val="0"/>
        <w:widowControl/>
        <w:kinsoku/>
        <w:wordWrap/>
        <w:overflowPunct/>
        <w:topLinePunct w:val="0"/>
        <w:autoSpaceDE/>
        <w:autoSpaceDN/>
        <w:bidi w:val="0"/>
        <w:adjustRightInd/>
        <w:snapToGrid/>
        <w:spacing w:before="156" w:after="156" w:line="240" w:lineRule="auto"/>
        <w:textAlignment w:val="auto"/>
      </w:pPr>
      <w:r>
        <w:rPr>
          <w:rFonts w:hint="eastAsia"/>
        </w:rPr>
        <w:t>伊奈丽珠单抗</w:t>
      </w:r>
    </w:p>
    <w:p w14:paraId="6A9FAC4A">
      <w:pPr>
        <w:keepNext w:val="0"/>
        <w:keepLines w:val="0"/>
        <w:pageBreakBefore w:val="0"/>
        <w:kinsoku/>
        <w:wordWrap/>
        <w:overflowPunct/>
        <w:topLinePunct w:val="0"/>
        <w:autoSpaceDE w:val="0"/>
        <w:autoSpaceDN w:val="0"/>
        <w:bidi w:val="0"/>
        <w:adjustRightInd/>
        <w:snapToGrid/>
        <w:spacing w:line="240" w:lineRule="auto"/>
        <w:ind w:firstLine="420" w:firstLineChars="200"/>
        <w:textAlignment w:val="auto"/>
      </w:pPr>
      <w:r>
        <w:rPr>
          <w:rFonts w:hint="eastAsia"/>
        </w:rPr>
        <w:t>伊奈丽珠</w:t>
      </w:r>
      <w:r>
        <w:t xml:space="preserve">单抗可显著降低NMOSD患者的疾病复发和减缓残疾进展。 </w:t>
      </w:r>
    </w:p>
    <w:p w14:paraId="3959A3C5">
      <w:pPr>
        <w:keepNext w:val="0"/>
        <w:keepLines w:val="0"/>
        <w:pageBreakBefore w:val="0"/>
        <w:kinsoku/>
        <w:wordWrap/>
        <w:overflowPunct/>
        <w:topLinePunct w:val="0"/>
        <w:autoSpaceDE w:val="0"/>
        <w:autoSpaceDN w:val="0"/>
        <w:bidi w:val="0"/>
        <w:adjustRightInd/>
        <w:snapToGrid/>
        <w:spacing w:line="240" w:lineRule="auto"/>
        <w:ind w:firstLine="420" w:firstLineChars="200"/>
        <w:textAlignment w:val="auto"/>
      </w:pPr>
      <w:r>
        <w:t>推荐人群:AQP4-IgG 阳性的 NMOSD 患者。 推荐用法:初始负荷剂量,第0、2周300 mg,静脉注射。以后每6个月重复静脉注射 300mg。注意事项:常见不良事件为尿路感染、关节痛、输液反应、鼻咽炎、头痛和背痛,输液相关反应 及感染发生率较低。推荐在第一次用药前进行 HBV和结核病筛查。治疗期间监测免疫球蛋白水平。</w:t>
      </w:r>
      <w:r>
        <w:rPr>
          <w:rFonts w:hint="eastAsia"/>
        </w:rPr>
        <w:t>为预防静脉点滴的副反应，治疗前可用对乙酰氨基酚、泼尼松龙；利妥昔单抗静脉点滴速度要慢，并进行监测。大部分患者治疗后可维持B淋巴细胞消减6个月，可根据CD19/CD20阳性细胞或CD27+记忆细胞监测B淋巴细胞，若B淋巴细胞再募集可进行第2疗程治疗。既往有文献报道采用利妥昔单抗治疗肿瘤或类风湿关节炎时发生进行性多灶性白质脑病，但所报道的病例大多合用了其他免疫抑制剂。</w:t>
      </w:r>
    </w:p>
    <w:p w14:paraId="779A514C">
      <w:pPr>
        <w:pStyle w:val="43"/>
        <w:keepNext w:val="0"/>
        <w:keepLines w:val="0"/>
        <w:pageBreakBefore w:val="0"/>
        <w:widowControl/>
        <w:kinsoku/>
        <w:wordWrap/>
        <w:overflowPunct/>
        <w:topLinePunct w:val="0"/>
        <w:autoSpaceDE/>
        <w:autoSpaceDN/>
        <w:bidi w:val="0"/>
        <w:adjustRightInd/>
        <w:snapToGrid/>
        <w:spacing w:before="156" w:after="156" w:line="240" w:lineRule="auto"/>
        <w:textAlignment w:val="auto"/>
      </w:pPr>
      <w:bookmarkStart w:id="44" w:name="_Toc15699"/>
      <w:r>
        <w:rPr>
          <w:rFonts w:hint="eastAsia"/>
        </w:rPr>
        <w:t>B细胞靶向生物制剂在自身免疫性脑炎中的应用</w:t>
      </w:r>
      <w:bookmarkEnd w:id="44"/>
    </w:p>
    <w:p w14:paraId="126A3099">
      <w:pPr>
        <w:pStyle w:val="23"/>
        <w:keepNext w:val="0"/>
        <w:keepLines w:val="0"/>
        <w:pageBreakBefore w:val="0"/>
        <w:widowControl/>
        <w:kinsoku/>
        <w:wordWrap/>
        <w:overflowPunct/>
        <w:topLinePunct w:val="0"/>
        <w:autoSpaceDE w:val="0"/>
        <w:autoSpaceDN w:val="0"/>
        <w:bidi w:val="0"/>
        <w:adjustRightInd/>
        <w:snapToGrid/>
        <w:spacing w:line="240" w:lineRule="auto"/>
        <w:ind w:firstLine="420" w:firstLineChars="200"/>
        <w:textAlignment w:val="auto"/>
      </w:pPr>
      <w:r>
        <w:rPr>
          <w:rFonts w:hint="eastAsia"/>
        </w:rPr>
        <w:t>利妥昔单抗：有常规剂量方案和减低剂量方案可供选择。</w:t>
      </w:r>
      <w:r>
        <w:rPr>
          <w:rFonts w:hint="eastAsia"/>
          <w:b w:val="0"/>
          <w:bCs w:val="0"/>
        </w:rPr>
        <w:t>常规方案：</w:t>
      </w:r>
      <w:r>
        <w:rPr>
          <w:rFonts w:hint="eastAsia"/>
        </w:rPr>
        <w:t>按375 mg/m2（体表面积）静脉滴注，每周1次，共给药3到4次。</w:t>
      </w:r>
      <w:r>
        <w:rPr>
          <w:rFonts w:hint="eastAsia"/>
          <w:b w:val="0"/>
          <w:bCs w:val="0"/>
        </w:rPr>
        <w:t>减量方案：</w:t>
      </w:r>
      <w:r>
        <w:rPr>
          <w:rFonts w:hint="eastAsia"/>
        </w:rPr>
        <w:t>总量600 mg（第1天100 mg静脉滴注，第2天500 mg静脉滴注），或者总量400 mg（每次100 mg，每周1次，连用4次）。如果一线治疗无显著效果，可以考虑在其后2周左右使用利妥昔单抗。使用利妥昔单抗期间，可酌情监测外周血CD19+淋巴细胞。</w:t>
      </w:r>
    </w:p>
    <w:p w14:paraId="328CFEEB">
      <w:pPr>
        <w:pStyle w:val="43"/>
        <w:keepNext w:val="0"/>
        <w:keepLines w:val="0"/>
        <w:pageBreakBefore w:val="0"/>
        <w:widowControl/>
        <w:kinsoku/>
        <w:wordWrap/>
        <w:overflowPunct/>
        <w:topLinePunct w:val="0"/>
        <w:autoSpaceDE/>
        <w:autoSpaceDN/>
        <w:bidi w:val="0"/>
        <w:adjustRightInd/>
        <w:snapToGrid/>
        <w:spacing w:before="156" w:after="156" w:line="240" w:lineRule="auto"/>
        <w:textAlignment w:val="auto"/>
      </w:pPr>
      <w:bookmarkStart w:id="45" w:name="_Toc241"/>
      <w:r>
        <w:rPr>
          <w:rFonts w:hint="eastAsia"/>
        </w:rPr>
        <w:t>B细胞靶向生物制剂在慢性炎症性脱髓鞘性多发性神经病中的应用</w:t>
      </w:r>
      <w:bookmarkEnd w:id="45"/>
    </w:p>
    <w:p w14:paraId="2234D75E">
      <w:pPr>
        <w:pStyle w:val="23"/>
        <w:keepNext w:val="0"/>
        <w:keepLines w:val="0"/>
        <w:pageBreakBefore w:val="0"/>
        <w:widowControl/>
        <w:kinsoku/>
        <w:wordWrap/>
        <w:overflowPunct/>
        <w:topLinePunct w:val="0"/>
        <w:autoSpaceDE w:val="0"/>
        <w:autoSpaceDN w:val="0"/>
        <w:bidi w:val="0"/>
        <w:adjustRightInd/>
        <w:snapToGrid/>
        <w:spacing w:line="240" w:lineRule="auto"/>
        <w:textAlignment w:val="auto"/>
      </w:pPr>
      <w:r>
        <w:rPr>
          <w:rFonts w:hint="eastAsia"/>
        </w:rPr>
        <w:t>CIDP是一种自身免疫性周围神经病,表现为肢体反复发作或进行性运动和感觉障碍。目前CIDP的标准治疗包括糖皮质激素、静脉免疫球蛋白(IVIg)和血浆置换,但约20-30%的患者对这些治疗反应不佳。</w:t>
      </w:r>
    </w:p>
    <w:p w14:paraId="18FE32D9">
      <w:pPr>
        <w:pStyle w:val="23"/>
        <w:keepNext w:val="0"/>
        <w:keepLines w:val="0"/>
        <w:pageBreakBefore w:val="0"/>
        <w:widowControl/>
        <w:kinsoku/>
        <w:wordWrap/>
        <w:overflowPunct/>
        <w:topLinePunct w:val="0"/>
        <w:autoSpaceDE w:val="0"/>
        <w:autoSpaceDN w:val="0"/>
        <w:bidi w:val="0"/>
        <w:adjustRightInd/>
        <w:snapToGrid/>
        <w:spacing w:line="240" w:lineRule="auto"/>
        <w:textAlignment w:val="auto"/>
      </w:pPr>
      <w:r>
        <w:rPr>
          <w:rFonts w:hint="eastAsia"/>
        </w:rPr>
        <w:t>一项观察性单中心研究纳入了15例 特发性CIDP患者,均接受利妥昔单抗治疗。治疗方案为每6个月静脉注射600mg利妥昔单抗。在开始利妥昔单抗治疗前进行基线评估,之后每次输注后6个月进行随访评估。客观临床改善的标准为:与基线相比,INCAT评分降低≥1分,或mRS评分降低≥1分,或MRC评分增加≥4分,或cI-RODS评分增加≥8分。</w:t>
      </w:r>
    </w:p>
    <w:p w14:paraId="422E017A">
      <w:pPr>
        <w:pStyle w:val="23"/>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rPr>
      </w:pPr>
      <w:r>
        <w:rPr>
          <w:rFonts w:hint="eastAsia"/>
        </w:rPr>
        <w:t>首次输注后6个月，15例患者中有9例(60%)达到显著临床改善。第二次输注后6个月，剩余6例患者中有3例(50%)达到显著临床改善。</w:t>
      </w:r>
    </w:p>
    <w:p w14:paraId="794A445B">
      <w:pPr>
        <w:pStyle w:val="23"/>
        <w:ind w:firstLine="0" w:firstLineChars="0"/>
      </w:pPr>
    </w:p>
    <w:p w14:paraId="4ABAC7C7">
      <w:pPr>
        <w:pStyle w:val="92"/>
        <w:spacing w:line="360" w:lineRule="auto"/>
        <w:rPr>
          <w:rFonts w:hint="eastAsia"/>
        </w:rPr>
      </w:pPr>
      <w:bookmarkStart w:id="46" w:name="_Toc30488"/>
      <w:bookmarkEnd w:id="46"/>
    </w:p>
    <w:p w14:paraId="7A8EF841">
      <w:pPr>
        <w:pStyle w:val="90"/>
        <w:spacing w:line="360" w:lineRule="auto"/>
      </w:pPr>
      <w:r>
        <w:t>（</w:t>
      </w:r>
      <w:r>
        <w:rPr>
          <w:rFonts w:hint="eastAsia"/>
          <w:lang w:val="en-US" w:eastAsia="zh-CN"/>
        </w:rPr>
        <w:t>资料</w:t>
      </w:r>
      <w:r>
        <w:t>性）</w:t>
      </w:r>
    </w:p>
    <w:p w14:paraId="2E71AE09">
      <w:pPr>
        <w:pStyle w:val="90"/>
        <w:spacing w:line="360" w:lineRule="auto"/>
        <w:rPr>
          <w:rFonts w:hint="eastAsia"/>
        </w:rPr>
      </w:pPr>
      <w:r>
        <w:rPr>
          <w:rFonts w:hint="eastAsia"/>
          <w:lang w:val="en-US" w:eastAsia="zh-CN"/>
        </w:rPr>
        <w:t>神经功能评估量表</w:t>
      </w:r>
    </w:p>
    <w:p w14:paraId="38DE7203">
      <w:pPr>
        <w:pStyle w:val="23"/>
        <w:ind w:left="0" w:leftChars="0" w:firstLine="0" w:firstLineChars="0"/>
        <w:jc w:val="left"/>
        <w:rPr>
          <w:rFonts w:hint="eastAsia"/>
        </w:rPr>
      </w:pPr>
      <w:r>
        <w:rPr>
          <w:rFonts w:hint="eastAsia"/>
          <w:lang w:val="en-US" w:eastAsia="zh-CN"/>
        </w:rPr>
        <w:t>表A.1给出了</w:t>
      </w:r>
      <w:r>
        <w:rPr>
          <w:rFonts w:hint="eastAsia"/>
        </w:rPr>
        <w:t>评估患者</w:t>
      </w:r>
      <w:r>
        <w:rPr>
          <w:rFonts w:hint="eastAsia"/>
          <w:lang w:val="en-US" w:eastAsia="zh-CN"/>
        </w:rPr>
        <w:t>身体功能的简易</w:t>
      </w:r>
      <w:r>
        <w:rPr>
          <w:rFonts w:hint="eastAsia"/>
        </w:rPr>
        <w:t>标准化量表。</w:t>
      </w:r>
    </w:p>
    <w:p w14:paraId="70B13203">
      <w:pPr>
        <w:pStyle w:val="88"/>
        <w:spacing w:before="156" w:after="156"/>
        <w:rPr>
          <w:rFonts w:hint="eastAsia"/>
        </w:rPr>
      </w:pPr>
      <w:r>
        <w:rPr>
          <w:rFonts w:hint="eastAsia"/>
        </w:rPr>
        <w:t>改良RANKIN量表（mRS评分）</w:t>
      </w:r>
    </w:p>
    <w:tbl>
      <w:tblPr>
        <w:tblStyle w:val="3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665"/>
        <w:gridCol w:w="1700"/>
      </w:tblGrid>
      <w:tr w14:paraId="2D99F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5" w:hRule="atLeast"/>
        </w:trPr>
        <w:tc>
          <w:tcPr>
            <w:tcW w:w="5665" w:type="dxa"/>
          </w:tcPr>
          <w:p w14:paraId="668C322D">
            <w:pPr>
              <w:pStyle w:val="23"/>
              <w:ind w:firstLine="0" w:firstLineChars="0"/>
              <w:rPr>
                <w:rFonts w:hint="eastAsia" w:ascii="宋体" w:hAnsi="宋体" w:eastAsia="宋体" w:cs="宋体"/>
                <w:sz w:val="21"/>
                <w:szCs w:val="21"/>
              </w:rPr>
            </w:pPr>
            <w:r>
              <w:rPr>
                <w:rFonts w:hint="eastAsia" w:ascii="宋体" w:hAnsi="宋体" w:eastAsia="宋体" w:cs="宋体"/>
                <w:sz w:val="21"/>
                <w:szCs w:val="21"/>
              </w:rPr>
              <w:t>症状</w:t>
            </w:r>
          </w:p>
        </w:tc>
        <w:tc>
          <w:tcPr>
            <w:tcW w:w="1700" w:type="dxa"/>
          </w:tcPr>
          <w:p w14:paraId="2B6DC7E2">
            <w:pPr>
              <w:pStyle w:val="23"/>
              <w:ind w:firstLine="0" w:firstLineChars="0"/>
              <w:rPr>
                <w:rFonts w:hint="eastAsia" w:ascii="宋体" w:hAnsi="宋体" w:eastAsia="宋体" w:cs="宋体"/>
                <w:sz w:val="21"/>
                <w:szCs w:val="21"/>
              </w:rPr>
            </w:pPr>
            <w:r>
              <w:rPr>
                <w:rFonts w:hint="eastAsia" w:ascii="宋体" w:hAnsi="宋体" w:eastAsia="宋体" w:cs="宋体"/>
                <w:sz w:val="21"/>
                <w:szCs w:val="21"/>
              </w:rPr>
              <w:t>得分</w:t>
            </w:r>
          </w:p>
        </w:tc>
      </w:tr>
      <w:tr w14:paraId="578FD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5" w:hRule="atLeast"/>
        </w:trPr>
        <w:tc>
          <w:tcPr>
            <w:tcW w:w="5665" w:type="dxa"/>
          </w:tcPr>
          <w:p w14:paraId="373F55F3">
            <w:pPr>
              <w:pStyle w:val="23"/>
              <w:ind w:firstLine="0" w:firstLineChars="0"/>
              <w:rPr>
                <w:rFonts w:hint="eastAsia" w:ascii="宋体" w:hAnsi="宋体" w:eastAsia="宋体" w:cs="宋体"/>
                <w:sz w:val="21"/>
                <w:szCs w:val="21"/>
              </w:rPr>
            </w:pPr>
            <w:r>
              <w:rPr>
                <w:rFonts w:hint="eastAsia" w:ascii="宋体" w:hAnsi="宋体" w:eastAsia="宋体" w:cs="宋体"/>
                <w:sz w:val="21"/>
                <w:szCs w:val="21"/>
              </w:rPr>
              <w:t>完全无症状</w:t>
            </w:r>
          </w:p>
        </w:tc>
        <w:tc>
          <w:tcPr>
            <w:tcW w:w="1700" w:type="dxa"/>
          </w:tcPr>
          <w:p w14:paraId="13D117EF">
            <w:pPr>
              <w:pStyle w:val="23"/>
              <w:ind w:firstLine="0" w:firstLineChars="0"/>
              <w:rPr>
                <w:rFonts w:hint="eastAsia" w:ascii="宋体" w:hAnsi="宋体" w:eastAsia="宋体" w:cs="宋体"/>
                <w:sz w:val="21"/>
                <w:szCs w:val="21"/>
              </w:rPr>
            </w:pPr>
            <w:r>
              <w:rPr>
                <w:rFonts w:hint="eastAsia" w:ascii="宋体" w:hAnsi="宋体" w:eastAsia="宋体" w:cs="宋体"/>
                <w:sz w:val="21"/>
                <w:szCs w:val="21"/>
              </w:rPr>
              <w:t>0</w:t>
            </w:r>
          </w:p>
        </w:tc>
      </w:tr>
      <w:tr w14:paraId="5F535A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5" w:hRule="atLeast"/>
        </w:trPr>
        <w:tc>
          <w:tcPr>
            <w:tcW w:w="5665" w:type="dxa"/>
          </w:tcPr>
          <w:p w14:paraId="5985417F">
            <w:pPr>
              <w:pStyle w:val="23"/>
              <w:ind w:firstLine="0" w:firstLineChars="0"/>
              <w:rPr>
                <w:rFonts w:hint="eastAsia" w:ascii="宋体" w:hAnsi="宋体" w:eastAsia="宋体" w:cs="宋体"/>
                <w:sz w:val="21"/>
                <w:szCs w:val="21"/>
              </w:rPr>
            </w:pPr>
            <w:r>
              <w:rPr>
                <w:rFonts w:hint="eastAsia" w:ascii="宋体" w:hAnsi="宋体" w:eastAsia="宋体" w:cs="宋体"/>
                <w:sz w:val="21"/>
                <w:szCs w:val="21"/>
              </w:rPr>
              <w:t>尽管有症状，但无明显功能障碍，能完成所有日常职责和活动</w:t>
            </w:r>
          </w:p>
        </w:tc>
        <w:tc>
          <w:tcPr>
            <w:tcW w:w="1700" w:type="dxa"/>
          </w:tcPr>
          <w:p w14:paraId="682E9D3F">
            <w:pPr>
              <w:pStyle w:val="23"/>
              <w:ind w:firstLine="0" w:firstLineChars="0"/>
              <w:rPr>
                <w:rFonts w:hint="eastAsia" w:ascii="宋体" w:hAnsi="宋体" w:eastAsia="宋体" w:cs="宋体"/>
                <w:sz w:val="21"/>
                <w:szCs w:val="21"/>
              </w:rPr>
            </w:pPr>
            <w:r>
              <w:rPr>
                <w:rFonts w:hint="eastAsia" w:ascii="宋体" w:hAnsi="宋体" w:eastAsia="宋体" w:cs="宋体"/>
                <w:sz w:val="21"/>
                <w:szCs w:val="21"/>
              </w:rPr>
              <w:t>1</w:t>
            </w:r>
          </w:p>
        </w:tc>
      </w:tr>
      <w:tr w14:paraId="7EF4B0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5" w:hRule="atLeast"/>
        </w:trPr>
        <w:tc>
          <w:tcPr>
            <w:tcW w:w="5665" w:type="dxa"/>
          </w:tcPr>
          <w:p w14:paraId="46C59867">
            <w:pPr>
              <w:pStyle w:val="23"/>
              <w:ind w:firstLine="0" w:firstLineChars="0"/>
              <w:rPr>
                <w:rFonts w:hint="eastAsia" w:ascii="宋体" w:hAnsi="宋体" w:eastAsia="宋体" w:cs="宋体"/>
                <w:sz w:val="21"/>
                <w:szCs w:val="21"/>
              </w:rPr>
            </w:pPr>
            <w:r>
              <w:rPr>
                <w:rFonts w:hint="eastAsia" w:ascii="宋体" w:hAnsi="宋体" w:eastAsia="宋体" w:cs="宋体"/>
                <w:sz w:val="21"/>
                <w:szCs w:val="21"/>
              </w:rPr>
              <w:t>轻度残疾，不能完成病前所有活动，但不需要帮助，能照顾自己的事务</w:t>
            </w:r>
          </w:p>
        </w:tc>
        <w:tc>
          <w:tcPr>
            <w:tcW w:w="1700" w:type="dxa"/>
          </w:tcPr>
          <w:p w14:paraId="25746FE0">
            <w:pPr>
              <w:pStyle w:val="23"/>
              <w:ind w:firstLine="0" w:firstLineChars="0"/>
              <w:rPr>
                <w:rFonts w:hint="eastAsia" w:ascii="宋体" w:hAnsi="宋体" w:eastAsia="宋体" w:cs="宋体"/>
                <w:sz w:val="21"/>
                <w:szCs w:val="21"/>
              </w:rPr>
            </w:pPr>
            <w:r>
              <w:rPr>
                <w:rFonts w:hint="eastAsia" w:ascii="宋体" w:hAnsi="宋体" w:eastAsia="宋体" w:cs="宋体"/>
                <w:sz w:val="21"/>
                <w:szCs w:val="21"/>
              </w:rPr>
              <w:t>2</w:t>
            </w:r>
          </w:p>
        </w:tc>
      </w:tr>
      <w:tr w14:paraId="0799D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5" w:hRule="atLeast"/>
        </w:trPr>
        <w:tc>
          <w:tcPr>
            <w:tcW w:w="5665" w:type="dxa"/>
          </w:tcPr>
          <w:p w14:paraId="3AACA2EC">
            <w:pPr>
              <w:pStyle w:val="23"/>
              <w:ind w:firstLine="0" w:firstLineChars="0"/>
              <w:rPr>
                <w:rFonts w:hint="eastAsia" w:ascii="宋体" w:hAnsi="宋体" w:eastAsia="宋体" w:cs="宋体"/>
                <w:sz w:val="21"/>
                <w:szCs w:val="21"/>
              </w:rPr>
            </w:pPr>
            <w:r>
              <w:rPr>
                <w:rFonts w:hint="eastAsia" w:ascii="宋体" w:hAnsi="宋体" w:eastAsia="宋体" w:cs="宋体"/>
                <w:sz w:val="21"/>
                <w:szCs w:val="21"/>
              </w:rPr>
              <w:t>中度残疾，要求一些帮助，但行走不需要帮助</w:t>
            </w:r>
          </w:p>
        </w:tc>
        <w:tc>
          <w:tcPr>
            <w:tcW w:w="1700" w:type="dxa"/>
          </w:tcPr>
          <w:p w14:paraId="0BF315D9">
            <w:pPr>
              <w:pStyle w:val="23"/>
              <w:ind w:firstLine="0" w:firstLineChars="0"/>
              <w:rPr>
                <w:rFonts w:hint="eastAsia" w:ascii="宋体" w:hAnsi="宋体" w:eastAsia="宋体" w:cs="宋体"/>
                <w:sz w:val="21"/>
                <w:szCs w:val="21"/>
              </w:rPr>
            </w:pPr>
            <w:r>
              <w:rPr>
                <w:rFonts w:hint="eastAsia" w:ascii="宋体" w:hAnsi="宋体" w:eastAsia="宋体" w:cs="宋体"/>
                <w:sz w:val="21"/>
                <w:szCs w:val="21"/>
              </w:rPr>
              <w:t>3</w:t>
            </w:r>
          </w:p>
        </w:tc>
      </w:tr>
      <w:tr w14:paraId="51FA13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5" w:hRule="atLeast"/>
        </w:trPr>
        <w:tc>
          <w:tcPr>
            <w:tcW w:w="5665" w:type="dxa"/>
          </w:tcPr>
          <w:p w14:paraId="13CE4708">
            <w:pPr>
              <w:pStyle w:val="23"/>
              <w:ind w:firstLine="0" w:firstLineChars="0"/>
              <w:rPr>
                <w:rFonts w:hint="eastAsia" w:ascii="宋体" w:hAnsi="宋体" w:eastAsia="宋体" w:cs="宋体"/>
                <w:sz w:val="21"/>
                <w:szCs w:val="21"/>
              </w:rPr>
            </w:pPr>
            <w:r>
              <w:rPr>
                <w:rFonts w:hint="eastAsia" w:ascii="宋体" w:hAnsi="宋体" w:eastAsia="宋体" w:cs="宋体"/>
                <w:sz w:val="21"/>
                <w:szCs w:val="21"/>
              </w:rPr>
              <w:t>重度残疾，不能独立行走，无他人帮助不能满足自身需要</w:t>
            </w:r>
          </w:p>
        </w:tc>
        <w:tc>
          <w:tcPr>
            <w:tcW w:w="1700" w:type="dxa"/>
          </w:tcPr>
          <w:p w14:paraId="6B87C0BD">
            <w:pPr>
              <w:pStyle w:val="23"/>
              <w:ind w:firstLine="0" w:firstLineChars="0"/>
              <w:rPr>
                <w:rFonts w:hint="eastAsia" w:ascii="宋体" w:hAnsi="宋体" w:eastAsia="宋体" w:cs="宋体"/>
                <w:sz w:val="21"/>
                <w:szCs w:val="21"/>
              </w:rPr>
            </w:pPr>
            <w:r>
              <w:rPr>
                <w:rFonts w:hint="eastAsia" w:ascii="宋体" w:hAnsi="宋体" w:eastAsia="宋体" w:cs="宋体"/>
                <w:sz w:val="21"/>
                <w:szCs w:val="21"/>
              </w:rPr>
              <w:t>4</w:t>
            </w:r>
          </w:p>
        </w:tc>
      </w:tr>
      <w:tr w14:paraId="000B1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5" w:hRule="atLeast"/>
        </w:trPr>
        <w:tc>
          <w:tcPr>
            <w:tcW w:w="5665" w:type="dxa"/>
          </w:tcPr>
          <w:p w14:paraId="624D5BF3">
            <w:pPr>
              <w:pStyle w:val="23"/>
              <w:ind w:firstLine="0" w:firstLineChars="0"/>
              <w:rPr>
                <w:rFonts w:hint="eastAsia" w:ascii="宋体" w:hAnsi="宋体" w:eastAsia="宋体" w:cs="宋体"/>
                <w:sz w:val="21"/>
                <w:szCs w:val="21"/>
              </w:rPr>
            </w:pPr>
            <w:r>
              <w:rPr>
                <w:rFonts w:hint="eastAsia" w:ascii="宋体" w:hAnsi="宋体" w:eastAsia="宋体" w:cs="宋体"/>
                <w:sz w:val="21"/>
                <w:szCs w:val="21"/>
              </w:rPr>
              <w:t>严重残疾，卧床、失禁、要求持续护理和关注</w:t>
            </w:r>
          </w:p>
        </w:tc>
        <w:tc>
          <w:tcPr>
            <w:tcW w:w="1700" w:type="dxa"/>
          </w:tcPr>
          <w:p w14:paraId="4CCD6E3E">
            <w:pPr>
              <w:pStyle w:val="23"/>
              <w:ind w:firstLine="0" w:firstLineChars="0"/>
              <w:rPr>
                <w:rFonts w:hint="eastAsia" w:ascii="宋体" w:hAnsi="宋体" w:eastAsia="宋体" w:cs="宋体"/>
                <w:sz w:val="21"/>
                <w:szCs w:val="21"/>
              </w:rPr>
            </w:pPr>
            <w:r>
              <w:rPr>
                <w:rFonts w:hint="eastAsia" w:ascii="宋体" w:hAnsi="宋体" w:eastAsia="宋体" w:cs="宋体"/>
                <w:sz w:val="21"/>
                <w:szCs w:val="21"/>
              </w:rPr>
              <w:t>5</w:t>
            </w:r>
          </w:p>
        </w:tc>
      </w:tr>
      <w:tr w14:paraId="3267F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5" w:hRule="atLeast"/>
        </w:trPr>
        <w:tc>
          <w:tcPr>
            <w:tcW w:w="5665" w:type="dxa"/>
          </w:tcPr>
          <w:p w14:paraId="1133B107">
            <w:pPr>
              <w:pStyle w:val="23"/>
              <w:ind w:firstLine="0" w:firstLineChars="0"/>
              <w:rPr>
                <w:rFonts w:hint="eastAsia" w:ascii="宋体" w:hAnsi="宋体" w:eastAsia="宋体" w:cs="宋体"/>
                <w:sz w:val="21"/>
                <w:szCs w:val="21"/>
              </w:rPr>
            </w:pPr>
            <w:r>
              <w:rPr>
                <w:rFonts w:hint="eastAsia" w:ascii="宋体" w:hAnsi="宋体" w:eastAsia="宋体" w:cs="宋体"/>
                <w:sz w:val="21"/>
                <w:szCs w:val="21"/>
              </w:rPr>
              <w:t>死亡</w:t>
            </w:r>
          </w:p>
        </w:tc>
        <w:tc>
          <w:tcPr>
            <w:tcW w:w="1700" w:type="dxa"/>
          </w:tcPr>
          <w:p w14:paraId="071B03A8">
            <w:pPr>
              <w:pStyle w:val="23"/>
              <w:ind w:firstLine="0" w:firstLineChars="0"/>
              <w:rPr>
                <w:rFonts w:hint="eastAsia" w:ascii="宋体" w:hAnsi="宋体" w:eastAsia="宋体" w:cs="宋体"/>
                <w:sz w:val="21"/>
                <w:szCs w:val="21"/>
              </w:rPr>
            </w:pPr>
            <w:r>
              <w:rPr>
                <w:rFonts w:hint="eastAsia" w:ascii="宋体" w:hAnsi="宋体" w:eastAsia="宋体" w:cs="宋体"/>
                <w:sz w:val="21"/>
                <w:szCs w:val="21"/>
              </w:rPr>
              <w:t>6</w:t>
            </w:r>
          </w:p>
        </w:tc>
      </w:tr>
    </w:tbl>
    <w:p w14:paraId="564FDCCB">
      <w:pPr>
        <w:pStyle w:val="92"/>
        <w:numPr>
          <w:ilvl w:val="0"/>
          <w:numId w:val="0"/>
        </w:numPr>
        <w:spacing w:line="360" w:lineRule="auto"/>
        <w:ind w:leftChars="0"/>
        <w:jc w:val="both"/>
        <w:rPr>
          <w:rFonts w:hint="eastAsia"/>
        </w:rPr>
      </w:pPr>
      <w:bookmarkStart w:id="47" w:name="_Toc9552"/>
      <w:r>
        <w:rPr>
          <w:rFonts w:hint="eastAsia" w:ascii="宋体" w:hAnsi="宋体" w:eastAsia="宋体" w:cs="宋体"/>
          <w:lang w:val="en-US" w:eastAsia="zh-CN"/>
        </w:rPr>
        <w:t>表A.2给出了</w:t>
      </w:r>
      <w:r>
        <w:rPr>
          <w:rFonts w:hint="eastAsia" w:ascii="宋体" w:hAnsi="宋体" w:eastAsia="宋体" w:cs="宋体"/>
        </w:rPr>
        <w:t>评估患者</w:t>
      </w:r>
      <w:r>
        <w:rPr>
          <w:rFonts w:hint="eastAsia" w:ascii="宋体" w:hAnsi="宋体" w:eastAsia="宋体" w:cs="宋体"/>
          <w:lang w:val="en-US" w:eastAsia="zh-CN"/>
        </w:rPr>
        <w:t>神经功能残疾程度的扩展残疾状态量表</w:t>
      </w:r>
      <w:r>
        <w:rPr>
          <w:rFonts w:hint="eastAsia"/>
        </w:rPr>
        <w:t>。</w:t>
      </w:r>
      <w:bookmarkEnd w:id="47"/>
    </w:p>
    <w:p w14:paraId="670228D0">
      <w:pPr>
        <w:pStyle w:val="88"/>
        <w:spacing w:before="156" w:after="156"/>
      </w:pPr>
      <w:r>
        <w:rPr>
          <w:rFonts w:hint="eastAsia"/>
          <w:lang w:val="en-US" w:eastAsia="zh-CN"/>
        </w:rPr>
        <w:t>扩展残疾状态量表</w:t>
      </w:r>
      <w:r>
        <w:rPr>
          <w:rFonts w:hint="eastAsia"/>
        </w:rPr>
        <w:t>（</w:t>
      </w:r>
      <w:r>
        <w:rPr>
          <w:rFonts w:hint="eastAsia"/>
          <w:lang w:val="en-US" w:eastAsia="zh-CN"/>
        </w:rPr>
        <w:t>EDSS</w:t>
      </w:r>
      <w:r>
        <w:rPr>
          <w:rFonts w:hint="eastAsia"/>
        </w:rPr>
        <w:t>）</w:t>
      </w:r>
    </w:p>
    <w:tbl>
      <w:tblPr>
        <w:tblStyle w:val="3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665"/>
        <w:gridCol w:w="1700"/>
      </w:tblGrid>
      <w:tr w14:paraId="626892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5" w:hRule="atLeast"/>
        </w:trPr>
        <w:tc>
          <w:tcPr>
            <w:tcW w:w="5665" w:type="dxa"/>
          </w:tcPr>
          <w:p w14:paraId="43B59EDB">
            <w:pPr>
              <w:pStyle w:val="23"/>
              <w:ind w:firstLine="0" w:firstLineChars="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症状</w:t>
            </w:r>
          </w:p>
        </w:tc>
        <w:tc>
          <w:tcPr>
            <w:tcW w:w="1700" w:type="dxa"/>
          </w:tcPr>
          <w:p w14:paraId="299C0B41">
            <w:pPr>
              <w:pStyle w:val="23"/>
              <w:ind w:firstLine="0" w:firstLineChars="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得分</w:t>
            </w:r>
          </w:p>
        </w:tc>
      </w:tr>
      <w:tr w14:paraId="33F99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5" w:hRule="atLeast"/>
        </w:trPr>
        <w:tc>
          <w:tcPr>
            <w:tcW w:w="5665" w:type="dxa"/>
          </w:tcPr>
          <w:p w14:paraId="60C298EC">
            <w:pPr>
              <w:pStyle w:val="23"/>
              <w:ind w:firstLine="0" w:firstLineChars="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神经检查正常</w:t>
            </w:r>
          </w:p>
        </w:tc>
        <w:tc>
          <w:tcPr>
            <w:tcW w:w="1700" w:type="dxa"/>
          </w:tcPr>
          <w:p w14:paraId="247191F8">
            <w:pPr>
              <w:pStyle w:val="23"/>
              <w:ind w:firstLine="0" w:firstLineChars="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0</w:t>
            </w:r>
          </w:p>
        </w:tc>
      </w:tr>
      <w:tr w14:paraId="6B16B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5" w:hRule="atLeast"/>
        </w:trPr>
        <w:tc>
          <w:tcPr>
            <w:tcW w:w="5665" w:type="dxa"/>
          </w:tcPr>
          <w:p w14:paraId="08318A1C">
            <w:pPr>
              <w:pStyle w:val="23"/>
              <w:ind w:firstLine="0" w:firstLineChars="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无残疾，只有1个功能系统的轻度异常体征</w:t>
            </w:r>
          </w:p>
        </w:tc>
        <w:tc>
          <w:tcPr>
            <w:tcW w:w="1700" w:type="dxa"/>
          </w:tcPr>
          <w:p w14:paraId="6F8C0E8A">
            <w:pPr>
              <w:pStyle w:val="23"/>
              <w:ind w:firstLine="0" w:firstLineChars="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w:t>
            </w:r>
          </w:p>
        </w:tc>
      </w:tr>
      <w:tr w14:paraId="1ED770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5" w:hRule="atLeast"/>
        </w:trPr>
        <w:tc>
          <w:tcPr>
            <w:tcW w:w="5665" w:type="dxa"/>
          </w:tcPr>
          <w:p w14:paraId="60942A4D">
            <w:pPr>
              <w:pStyle w:val="23"/>
              <w:ind w:firstLine="0" w:firstLineChars="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无残疾，有超过1个功能系统的轻度异常体征</w:t>
            </w:r>
          </w:p>
        </w:tc>
        <w:tc>
          <w:tcPr>
            <w:tcW w:w="1700" w:type="dxa"/>
          </w:tcPr>
          <w:p w14:paraId="2F27A451">
            <w:pPr>
              <w:pStyle w:val="23"/>
              <w:ind w:firstLine="0" w:firstLineChars="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1.5</w:t>
            </w:r>
          </w:p>
        </w:tc>
      </w:tr>
      <w:tr w14:paraId="30D88A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5" w:hRule="atLeast"/>
        </w:trPr>
        <w:tc>
          <w:tcPr>
            <w:tcW w:w="5665" w:type="dxa"/>
          </w:tcPr>
          <w:p w14:paraId="4A10075F">
            <w:pPr>
              <w:pStyle w:val="23"/>
              <w:ind w:firstLine="0" w:firstLineChars="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累及1个功能系统的轻度残疾</w:t>
            </w:r>
          </w:p>
        </w:tc>
        <w:tc>
          <w:tcPr>
            <w:tcW w:w="1700" w:type="dxa"/>
          </w:tcPr>
          <w:p w14:paraId="63F7B49B">
            <w:pPr>
              <w:pStyle w:val="23"/>
              <w:ind w:firstLine="0" w:firstLineChars="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w:t>
            </w:r>
          </w:p>
        </w:tc>
      </w:tr>
      <w:tr w14:paraId="4F2275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5" w:hRule="atLeast"/>
        </w:trPr>
        <w:tc>
          <w:tcPr>
            <w:tcW w:w="5665" w:type="dxa"/>
          </w:tcPr>
          <w:p w14:paraId="7E37FC6F">
            <w:pPr>
              <w:pStyle w:val="23"/>
              <w:ind w:firstLine="0" w:firstLineChars="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累及2个功能系统的轻度残疾</w:t>
            </w:r>
          </w:p>
        </w:tc>
        <w:tc>
          <w:tcPr>
            <w:tcW w:w="1700" w:type="dxa"/>
          </w:tcPr>
          <w:p w14:paraId="44DC3678">
            <w:pPr>
              <w:pStyle w:val="23"/>
              <w:ind w:firstLine="0" w:firstLineChars="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2.5</w:t>
            </w:r>
          </w:p>
        </w:tc>
      </w:tr>
      <w:tr w14:paraId="6D1419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5" w:hRule="atLeast"/>
        </w:trPr>
        <w:tc>
          <w:tcPr>
            <w:tcW w:w="5665" w:type="dxa"/>
          </w:tcPr>
          <w:p w14:paraId="77F27826">
            <w:pPr>
              <w:pStyle w:val="23"/>
              <w:ind w:firstLine="0" w:firstLineChars="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累及1个功能系统的中度残疾或累及3-4个功能系统的轻度残疾；行走不受限</w:t>
            </w:r>
          </w:p>
        </w:tc>
        <w:tc>
          <w:tcPr>
            <w:tcW w:w="1700" w:type="dxa"/>
          </w:tcPr>
          <w:p w14:paraId="2BF83B9F">
            <w:pPr>
              <w:pStyle w:val="23"/>
              <w:ind w:firstLine="0" w:firstLineChars="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w:t>
            </w:r>
          </w:p>
        </w:tc>
      </w:tr>
      <w:tr w14:paraId="67C01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5" w:hRule="atLeast"/>
        </w:trPr>
        <w:tc>
          <w:tcPr>
            <w:tcW w:w="5665" w:type="dxa"/>
          </w:tcPr>
          <w:p w14:paraId="371B974F">
            <w:pPr>
              <w:pStyle w:val="23"/>
              <w:ind w:firstLine="0" w:firstLineChars="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行走不受限，1个功能系统的中度残疾，合并有1-2个系统的评分为2分；或2个功能系统的评分为3分；或5个功能系统的评分为2分</w:t>
            </w:r>
          </w:p>
        </w:tc>
        <w:tc>
          <w:tcPr>
            <w:tcW w:w="1700" w:type="dxa"/>
          </w:tcPr>
          <w:p w14:paraId="388880C0">
            <w:pPr>
              <w:pStyle w:val="23"/>
              <w:ind w:firstLine="0" w:firstLineChars="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3.5</w:t>
            </w:r>
          </w:p>
        </w:tc>
      </w:tr>
      <w:tr w14:paraId="70BAC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5" w:hRule="atLeast"/>
        </w:trPr>
        <w:tc>
          <w:tcPr>
            <w:tcW w:w="5665" w:type="dxa"/>
          </w:tcPr>
          <w:p w14:paraId="3D3F7396">
            <w:pPr>
              <w:pStyle w:val="23"/>
              <w:ind w:firstLine="0" w:firstLineChars="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行走不受限；即使有累及1个功能系统的较为严重的残疾，其他系统为0-1分，但生活自理，起床行走时间大于12小时；不休息独立行走超过500米</w:t>
            </w:r>
          </w:p>
        </w:tc>
        <w:tc>
          <w:tcPr>
            <w:tcW w:w="1700" w:type="dxa"/>
          </w:tcPr>
          <w:p w14:paraId="464218B5">
            <w:pPr>
              <w:pStyle w:val="23"/>
              <w:ind w:firstLine="0" w:firstLineChars="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w:t>
            </w:r>
          </w:p>
        </w:tc>
      </w:tr>
      <w:tr w14:paraId="3A741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5" w:hRule="atLeast"/>
        </w:trPr>
        <w:tc>
          <w:tcPr>
            <w:tcW w:w="5665" w:type="dxa"/>
          </w:tcPr>
          <w:p w14:paraId="47B44970">
            <w:pPr>
              <w:pStyle w:val="23"/>
              <w:ind w:firstLine="0" w:firstLineChars="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行走不受限；每天大多数可以站立，能完成正常工作，但活动部分受限并需要少许帮助；特点是累及1个功能系统的相对严重的残疾，其他系统为0-1分；不休息独立行走超过300米</w:t>
            </w:r>
          </w:p>
        </w:tc>
        <w:tc>
          <w:tcPr>
            <w:tcW w:w="1700" w:type="dxa"/>
          </w:tcPr>
          <w:p w14:paraId="6A723550">
            <w:pPr>
              <w:pStyle w:val="23"/>
              <w:ind w:firstLine="0" w:firstLineChars="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4.5</w:t>
            </w:r>
          </w:p>
        </w:tc>
      </w:tr>
      <w:tr w14:paraId="1568B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5" w:hRule="atLeast"/>
        </w:trPr>
        <w:tc>
          <w:tcPr>
            <w:tcW w:w="5665" w:type="dxa"/>
          </w:tcPr>
          <w:p w14:paraId="13F95CC1">
            <w:pPr>
              <w:pStyle w:val="23"/>
              <w:ind w:firstLine="0" w:firstLineChars="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残疾严重，影响日常生活和工作；不休息独立行走200米；1个功能系统的评分为5分，或低于前几步总和分级，其他系统为0-1分</w:t>
            </w:r>
          </w:p>
        </w:tc>
        <w:tc>
          <w:tcPr>
            <w:tcW w:w="1700" w:type="dxa"/>
          </w:tcPr>
          <w:p w14:paraId="60681E8B">
            <w:pPr>
              <w:pStyle w:val="23"/>
              <w:ind w:firstLine="0" w:firstLineChars="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w:t>
            </w:r>
          </w:p>
        </w:tc>
      </w:tr>
      <w:tr w14:paraId="25445E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5" w:hRule="atLeast"/>
        </w:trPr>
        <w:tc>
          <w:tcPr>
            <w:tcW w:w="5665" w:type="dxa"/>
          </w:tcPr>
          <w:p w14:paraId="6C53C7C5">
            <w:pPr>
              <w:pStyle w:val="23"/>
              <w:ind w:firstLine="0" w:firstLineChars="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不休息独立行走100米；残疾严重，影响日常生活和工作；1个功能系统的评分为5分，或低于前几步总和分级，其他系统为0-1分</w:t>
            </w:r>
          </w:p>
        </w:tc>
        <w:tc>
          <w:tcPr>
            <w:tcW w:w="1700" w:type="dxa"/>
          </w:tcPr>
          <w:p w14:paraId="6523B0D9">
            <w:pPr>
              <w:pStyle w:val="23"/>
              <w:ind w:firstLine="0" w:firstLineChars="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5.5</w:t>
            </w:r>
          </w:p>
        </w:tc>
      </w:tr>
      <w:tr w14:paraId="0A56E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5" w:hRule="atLeast"/>
        </w:trPr>
        <w:tc>
          <w:tcPr>
            <w:tcW w:w="5665" w:type="dxa"/>
          </w:tcPr>
          <w:p w14:paraId="4AE692FF">
            <w:pPr>
              <w:pStyle w:val="23"/>
              <w:ind w:firstLine="0" w:firstLineChars="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间歇行走，或一侧辅助下行走100米，中间休息或不休息；2个以上的神经功能系统评分大于3分以上</w:t>
            </w:r>
          </w:p>
        </w:tc>
        <w:tc>
          <w:tcPr>
            <w:tcW w:w="1700" w:type="dxa"/>
          </w:tcPr>
          <w:p w14:paraId="0AA22AF7">
            <w:pPr>
              <w:pStyle w:val="23"/>
              <w:ind w:firstLine="0" w:firstLineChars="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6</w:t>
            </w:r>
          </w:p>
        </w:tc>
      </w:tr>
      <w:tr w14:paraId="35CC1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5" w:hRule="atLeast"/>
        </w:trPr>
        <w:tc>
          <w:tcPr>
            <w:tcW w:w="5665" w:type="dxa"/>
          </w:tcPr>
          <w:p w14:paraId="4430689C">
            <w:pPr>
              <w:pStyle w:val="23"/>
              <w:ind w:firstLine="0" w:firstLineChars="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双侧辅助下可以行走20米，中途不休息；2个以上的神经功能系统评分大于3分</w:t>
            </w:r>
          </w:p>
        </w:tc>
        <w:tc>
          <w:tcPr>
            <w:tcW w:w="1700" w:type="dxa"/>
          </w:tcPr>
          <w:p w14:paraId="1029FC98">
            <w:pPr>
              <w:pStyle w:val="23"/>
              <w:ind w:firstLine="0" w:firstLineChars="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6.5</w:t>
            </w:r>
          </w:p>
        </w:tc>
      </w:tr>
      <w:tr w14:paraId="07E09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5" w:hRule="atLeast"/>
        </w:trPr>
        <w:tc>
          <w:tcPr>
            <w:tcW w:w="5665" w:type="dxa"/>
          </w:tcPr>
          <w:p w14:paraId="71AD8F5D">
            <w:pPr>
              <w:pStyle w:val="23"/>
              <w:ind w:firstLine="0" w:firstLineChars="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辅助下行走不超过5米，活动限于轮椅上，可独立推动轮椅；轮椅上的时间超过12小时；1个以上的功能系统评分为4分，少数情况下锥体束评分为5分</w:t>
            </w:r>
          </w:p>
        </w:tc>
        <w:tc>
          <w:tcPr>
            <w:tcW w:w="1700" w:type="dxa"/>
          </w:tcPr>
          <w:p w14:paraId="2A61E024">
            <w:pPr>
              <w:pStyle w:val="23"/>
              <w:ind w:firstLine="0" w:firstLineChars="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7</w:t>
            </w:r>
          </w:p>
        </w:tc>
      </w:tr>
      <w:tr w14:paraId="3A1EC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5" w:hRule="atLeast"/>
        </w:trPr>
        <w:tc>
          <w:tcPr>
            <w:tcW w:w="5665" w:type="dxa"/>
          </w:tcPr>
          <w:p w14:paraId="4E96B68B">
            <w:pPr>
              <w:pStyle w:val="23"/>
              <w:ind w:firstLine="0" w:firstLineChars="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几乎不能行走，生活限于轮椅上，辅助下才能挪动，不能整天呆在标准的轮椅上，需要自动轮椅；1个以上的功能系统评分为4分以上</w:t>
            </w:r>
          </w:p>
        </w:tc>
        <w:tc>
          <w:tcPr>
            <w:tcW w:w="1700" w:type="dxa"/>
          </w:tcPr>
          <w:p w14:paraId="06E5D4BB">
            <w:pPr>
              <w:pStyle w:val="23"/>
              <w:ind w:firstLine="0" w:firstLineChars="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7.5</w:t>
            </w:r>
          </w:p>
        </w:tc>
      </w:tr>
      <w:tr w14:paraId="4D554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5" w:hRule="atLeast"/>
        </w:trPr>
        <w:tc>
          <w:tcPr>
            <w:tcW w:w="5665" w:type="dxa"/>
          </w:tcPr>
          <w:p w14:paraId="6BE7EFBA">
            <w:pPr>
              <w:pStyle w:val="23"/>
              <w:ind w:firstLine="0" w:firstLineChars="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活动限于床、椅、轮椅，每天有一定时间在轮椅上活动；生活可以部分自理，上肢功能正常；几个功能系统的评分为4分</w:t>
            </w:r>
          </w:p>
        </w:tc>
        <w:tc>
          <w:tcPr>
            <w:tcW w:w="1700" w:type="dxa"/>
          </w:tcPr>
          <w:p w14:paraId="3BE4A330">
            <w:pPr>
              <w:pStyle w:val="23"/>
              <w:ind w:firstLine="0" w:firstLineChars="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8</w:t>
            </w:r>
          </w:p>
        </w:tc>
      </w:tr>
      <w:tr w14:paraId="76553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5" w:hRule="atLeast"/>
        </w:trPr>
        <w:tc>
          <w:tcPr>
            <w:tcW w:w="5665" w:type="dxa"/>
          </w:tcPr>
          <w:p w14:paraId="5AE7EEF2">
            <w:pPr>
              <w:pStyle w:val="23"/>
              <w:ind w:firstLine="0" w:firstLineChars="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每天大多数时间卧床；生活部分自理，上肢保留部分功能；几个功能系统评分为4分以上</w:t>
            </w:r>
          </w:p>
        </w:tc>
        <w:tc>
          <w:tcPr>
            <w:tcW w:w="1700" w:type="dxa"/>
          </w:tcPr>
          <w:p w14:paraId="0EC6A930">
            <w:pPr>
              <w:pStyle w:val="23"/>
              <w:ind w:firstLine="0" w:firstLineChars="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8.5</w:t>
            </w:r>
          </w:p>
        </w:tc>
      </w:tr>
      <w:tr w14:paraId="6E391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5" w:hRule="atLeast"/>
        </w:trPr>
        <w:tc>
          <w:tcPr>
            <w:tcW w:w="5665" w:type="dxa"/>
          </w:tcPr>
          <w:p w14:paraId="3F7D5924">
            <w:pPr>
              <w:pStyle w:val="23"/>
              <w:ind w:firstLine="0" w:firstLineChars="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卧床不起，可以交流，吃饭，大多数功能系统评分为4分以上</w:t>
            </w:r>
          </w:p>
        </w:tc>
        <w:tc>
          <w:tcPr>
            <w:tcW w:w="1700" w:type="dxa"/>
          </w:tcPr>
          <w:p w14:paraId="46D18070">
            <w:pPr>
              <w:pStyle w:val="23"/>
              <w:ind w:firstLine="0" w:firstLineChars="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9</w:t>
            </w:r>
          </w:p>
        </w:tc>
      </w:tr>
      <w:tr w14:paraId="0379C2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5" w:hRule="atLeast"/>
        </w:trPr>
        <w:tc>
          <w:tcPr>
            <w:tcW w:w="5665" w:type="dxa"/>
          </w:tcPr>
          <w:p w14:paraId="1E67A3D1">
            <w:pPr>
              <w:pStyle w:val="23"/>
              <w:ind w:firstLine="0" w:firstLineChars="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完全依赖，卧床不起，不能正常交流，吃饭，大多功能系统评分为4分以上</w:t>
            </w:r>
          </w:p>
        </w:tc>
        <w:tc>
          <w:tcPr>
            <w:tcW w:w="1700" w:type="dxa"/>
          </w:tcPr>
          <w:p w14:paraId="0904428D">
            <w:pPr>
              <w:pStyle w:val="23"/>
              <w:ind w:firstLine="0" w:firstLineChars="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9.5</w:t>
            </w:r>
          </w:p>
        </w:tc>
      </w:tr>
      <w:tr w14:paraId="38FC0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5" w:hRule="atLeast"/>
        </w:trPr>
        <w:tc>
          <w:tcPr>
            <w:tcW w:w="5665" w:type="dxa"/>
          </w:tcPr>
          <w:p w14:paraId="7126EFC7">
            <w:pPr>
              <w:pStyle w:val="23"/>
              <w:ind w:firstLine="0" w:firstLineChars="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死于多发性硬化，直接死因为呼吸麻痹，昏迷，或反复痫性发作</w:t>
            </w:r>
          </w:p>
        </w:tc>
        <w:tc>
          <w:tcPr>
            <w:tcW w:w="1700" w:type="dxa"/>
          </w:tcPr>
          <w:p w14:paraId="7DC9923C">
            <w:pPr>
              <w:pStyle w:val="23"/>
              <w:ind w:firstLine="0" w:firstLineChars="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10</w:t>
            </w:r>
          </w:p>
        </w:tc>
      </w:tr>
    </w:tbl>
    <w:p w14:paraId="4E696DF8">
      <w:pPr>
        <w:pStyle w:val="23"/>
        <w:tabs>
          <w:tab w:val="clear" w:pos="4201"/>
        </w:tabs>
        <w:ind w:firstLine="0" w:firstLineChars="0"/>
        <w:jc w:val="center"/>
      </w:pPr>
      <w:bookmarkStart w:id="49" w:name="_GoBack"/>
      <w:bookmarkEnd w:id="49"/>
    </w:p>
    <w:p w14:paraId="401D9A71">
      <w:pPr>
        <w:pStyle w:val="23"/>
        <w:ind w:firstLine="0" w:firstLineChars="0"/>
      </w:pPr>
    </w:p>
    <w:p w14:paraId="34ADC101">
      <w:pPr>
        <w:pStyle w:val="98"/>
        <w:tabs>
          <w:tab w:val="left" w:pos="3390"/>
          <w:tab w:val="center" w:pos="4677"/>
        </w:tabs>
        <w:spacing w:line="360" w:lineRule="auto"/>
        <w:jc w:val="left"/>
      </w:pPr>
      <w:r>
        <w:tab/>
      </w:r>
      <w:r>
        <w:tab/>
      </w:r>
      <w:bookmarkStart w:id="48" w:name="_Toc11667"/>
      <w:r>
        <w:t>参 考 文 献</w:t>
      </w:r>
      <w:bookmarkEnd w:id="48"/>
    </w:p>
    <w:p w14:paraId="4F3D97E1">
      <w:pPr>
        <w:pStyle w:val="145"/>
      </w:pPr>
      <w:r>
        <w:fldChar w:fldCharType="begin"/>
      </w:r>
      <w:r>
        <w:instrText xml:space="preserve"> ADDIN EN.REFLIST </w:instrText>
      </w:r>
      <w:r>
        <w:fldChar w:fldCharType="separate"/>
      </w:r>
      <w:r>
        <w:t>[1]</w:t>
      </w:r>
      <w:r>
        <w:tab/>
      </w:r>
      <w:r>
        <w:t xml:space="preserve">A. Svenningsson, T. Frisell, J. Burman, J. Salzer, K. Fink, S. Hallberg, J. Hambraeus, M. Axelsson, F. Al Nimer, P. Sundstrom, M. Gunnarsson, R. Johansson, J. Mellergard, I. Rosenstein, A. Ayad, I. Sjoblom, A. Risedal, P. de Flon, E. Gilland, J. Lindeberg, F. Shawket, F. Piehl, J. Lycke, </w:t>
      </w:r>
      <w:r>
        <w:rPr>
          <w:i/>
        </w:rPr>
        <w:t xml:space="preserve">Lancet Neurology </w:t>
      </w:r>
      <w:r>
        <w:rPr>
          <w:b/>
        </w:rPr>
        <w:t>2022</w:t>
      </w:r>
      <w:r>
        <w:t>,</w:t>
      </w:r>
      <w:r>
        <w:rPr>
          <w:b/>
        </w:rPr>
        <w:t xml:space="preserve"> </w:t>
      </w:r>
      <w:r>
        <w:rPr>
          <w:i/>
        </w:rPr>
        <w:t>21</w:t>
      </w:r>
      <w:r>
        <w:t xml:space="preserve"> (8), 693, </w:t>
      </w:r>
      <w:r>
        <w:fldChar w:fldCharType="begin"/>
      </w:r>
      <w:r>
        <w:instrText xml:space="preserve"> HYPERLINK "https://doi.org/10.1016/s1474-4422(22)00209-5" </w:instrText>
      </w:r>
      <w:r>
        <w:fldChar w:fldCharType="separate"/>
      </w:r>
      <w:r>
        <w:rPr>
          <w:rStyle w:val="39"/>
          <w:szCs w:val="24"/>
        </w:rPr>
        <w:t>https://doi.org/10.1016/s1474-4422(22)00209-5</w:t>
      </w:r>
      <w:r>
        <w:rPr>
          <w:rStyle w:val="39"/>
          <w:szCs w:val="24"/>
        </w:rPr>
        <w:fldChar w:fldCharType="end"/>
      </w:r>
      <w:r>
        <w:t>.</w:t>
      </w:r>
    </w:p>
    <w:p w14:paraId="415FD6CE">
      <w:pPr>
        <w:pStyle w:val="145"/>
      </w:pPr>
      <w:r>
        <w:t>[2]</w:t>
      </w:r>
      <w:r>
        <w:tab/>
      </w:r>
      <w:r>
        <w:t xml:space="preserve">a) M. T. Cencioni, M. Mattoscio, R. Magliozzi, A. Bar-Or, P. A. Muraro, </w:t>
      </w:r>
      <w:r>
        <w:rPr>
          <w:i/>
        </w:rPr>
        <w:t xml:space="preserve">Nature Reviews Neurology </w:t>
      </w:r>
      <w:r>
        <w:rPr>
          <w:b/>
        </w:rPr>
        <w:t>2021</w:t>
      </w:r>
      <w:r>
        <w:t>,</w:t>
      </w:r>
      <w:r>
        <w:rPr>
          <w:b/>
        </w:rPr>
        <w:t xml:space="preserve"> </w:t>
      </w:r>
      <w:r>
        <w:rPr>
          <w:i/>
        </w:rPr>
        <w:t>17</w:t>
      </w:r>
      <w:r>
        <w:t xml:space="preserve"> (7), 399, </w:t>
      </w:r>
      <w:r>
        <w:fldChar w:fldCharType="begin"/>
      </w:r>
      <w:r>
        <w:instrText xml:space="preserve"> HYPERLINK "https://doi.org/10.1038/s41582-021-00498-5" </w:instrText>
      </w:r>
      <w:r>
        <w:fldChar w:fldCharType="separate"/>
      </w:r>
      <w:r>
        <w:rPr>
          <w:rStyle w:val="39"/>
          <w:szCs w:val="24"/>
        </w:rPr>
        <w:t>https://doi.org/10.1038/s41582-021-00498-5</w:t>
      </w:r>
      <w:r>
        <w:rPr>
          <w:rStyle w:val="39"/>
          <w:szCs w:val="24"/>
        </w:rPr>
        <w:fldChar w:fldCharType="end"/>
      </w:r>
      <w:r>
        <w:t xml:space="preserve">; b) S. L. Hauser, A. Bar-Or, J. A. Cohen, G. Comi, J. Correale, P. K. Coyle, A. H. Cross, J. de Seze, D. Leppert, X. Montalban, K. Selmaj, H. Wiendl, C. Kerloeguen, R. Willi, B. Li, A. Kakarieka, D. Tomic, A. Goodyear, R. Pingili, D. A. Haring, K. Ramanathan, M. Merschhemke, L. Kappos, </w:t>
      </w:r>
      <w:r>
        <w:rPr>
          <w:i/>
        </w:rPr>
        <w:t xml:space="preserve">New England Journal of Medicine </w:t>
      </w:r>
      <w:r>
        <w:rPr>
          <w:b/>
        </w:rPr>
        <w:t>2020</w:t>
      </w:r>
      <w:r>
        <w:t>,</w:t>
      </w:r>
      <w:r>
        <w:rPr>
          <w:b/>
        </w:rPr>
        <w:t xml:space="preserve"> </w:t>
      </w:r>
      <w:r>
        <w:rPr>
          <w:i/>
        </w:rPr>
        <w:t>383</w:t>
      </w:r>
      <w:r>
        <w:t xml:space="preserve"> (6), 546, </w:t>
      </w:r>
      <w:r>
        <w:fldChar w:fldCharType="begin"/>
      </w:r>
      <w:r>
        <w:instrText xml:space="preserve"> HYPERLINK "https://doi.org/10.1056/NEJMoa1917246" </w:instrText>
      </w:r>
      <w:r>
        <w:fldChar w:fldCharType="separate"/>
      </w:r>
      <w:r>
        <w:rPr>
          <w:rStyle w:val="39"/>
          <w:szCs w:val="24"/>
        </w:rPr>
        <w:t>https://doi.org/10.1056/NEJMoa1917246</w:t>
      </w:r>
      <w:r>
        <w:rPr>
          <w:rStyle w:val="39"/>
          <w:szCs w:val="24"/>
        </w:rPr>
        <w:fldChar w:fldCharType="end"/>
      </w:r>
      <w:r>
        <w:t>.</w:t>
      </w:r>
    </w:p>
    <w:p w14:paraId="230BDF15">
      <w:pPr>
        <w:pStyle w:val="145"/>
      </w:pPr>
      <w:r>
        <w:t>[3]</w:t>
      </w:r>
      <w:r>
        <w:tab/>
      </w:r>
      <w:r>
        <w:t xml:space="preserve">S. L. Hauser, A. Bar-Or, G. Comi, G. Giovannoni, H. P. Hartung, B. Hemmer, F. Lublin, X. Montalban, K. W. Rammohan, K. Selmaj, A. Traboulsee, J. S. Wolinsky, D. L. Arnold, G. Klingelschmitt, D. Masterman, P. Fontoura, S. Belachew, P. Chin, N. Mairon, H. Garren, L. Kappos, O. I. O. I. Clinical, </w:t>
      </w:r>
      <w:r>
        <w:rPr>
          <w:i/>
        </w:rPr>
        <w:t xml:space="preserve">New England Journal of Medicine </w:t>
      </w:r>
      <w:r>
        <w:rPr>
          <w:b/>
        </w:rPr>
        <w:t>2017</w:t>
      </w:r>
      <w:r>
        <w:t>,</w:t>
      </w:r>
      <w:r>
        <w:rPr>
          <w:b/>
        </w:rPr>
        <w:t xml:space="preserve"> </w:t>
      </w:r>
      <w:r>
        <w:rPr>
          <w:i/>
        </w:rPr>
        <w:t>376</w:t>
      </w:r>
      <w:r>
        <w:t xml:space="preserve"> (3), 221, </w:t>
      </w:r>
      <w:r>
        <w:fldChar w:fldCharType="begin"/>
      </w:r>
      <w:r>
        <w:instrText xml:space="preserve"> HYPERLINK "https://doi.org/10.1056/NEJMoa1601277" </w:instrText>
      </w:r>
      <w:r>
        <w:fldChar w:fldCharType="separate"/>
      </w:r>
      <w:r>
        <w:rPr>
          <w:rStyle w:val="39"/>
          <w:szCs w:val="24"/>
        </w:rPr>
        <w:t>https://doi.org/10.1056/NEJMoa1601277</w:t>
      </w:r>
      <w:r>
        <w:rPr>
          <w:rStyle w:val="39"/>
          <w:szCs w:val="24"/>
        </w:rPr>
        <w:fldChar w:fldCharType="end"/>
      </w:r>
      <w:r>
        <w:t>.</w:t>
      </w:r>
    </w:p>
    <w:p w14:paraId="2A2B1E76">
      <w:pPr>
        <w:pStyle w:val="145"/>
      </w:pPr>
      <w:r>
        <w:t>[4]</w:t>
      </w:r>
      <w:r>
        <w:tab/>
      </w:r>
      <w:r>
        <w:t xml:space="preserve">J. Yin, M. Zhao, X. Xu, M. Zhang, Z. Xu, Z. Li, X. Qin, Z. Li, C. Zhao, H. Zhou, Y. Ma, W. Cao, G. Wang, Y. Lin, J. Zhang, X. Zhang, H. Cai, W. Qian, Y. Wang, X. Zhang, G. Liu, J. Wang, W. Qiu, L. Min, J. Li, H. Deng, L. Chu, Y. Zhang, J. Fang, </w:t>
      </w:r>
      <w:r>
        <w:rPr>
          <w:i/>
        </w:rPr>
        <w:t xml:space="preserve">Eur J Neurol </w:t>
      </w:r>
      <w:r>
        <w:rPr>
          <w:b/>
        </w:rPr>
        <w:t>2024</w:t>
      </w:r>
      <w:r>
        <w:t>,</w:t>
      </w:r>
      <w:r>
        <w:rPr>
          <w:b/>
        </w:rPr>
        <w:t xml:space="preserve"> </w:t>
      </w:r>
      <w:r>
        <w:rPr>
          <w:i/>
        </w:rPr>
        <w:t>31</w:t>
      </w:r>
      <w:r>
        <w:t xml:space="preserve"> (8), e16322, </w:t>
      </w:r>
      <w:r>
        <w:fldChar w:fldCharType="begin"/>
      </w:r>
      <w:r>
        <w:instrText xml:space="preserve"> HYPERLINK "https://doi.org/10.1111/ene.16322" </w:instrText>
      </w:r>
      <w:r>
        <w:fldChar w:fldCharType="separate"/>
      </w:r>
      <w:r>
        <w:rPr>
          <w:rStyle w:val="39"/>
          <w:szCs w:val="24"/>
        </w:rPr>
        <w:t>https://doi.org/10.1111/ene.16322</w:t>
      </w:r>
      <w:r>
        <w:rPr>
          <w:rStyle w:val="39"/>
          <w:szCs w:val="24"/>
        </w:rPr>
        <w:fldChar w:fldCharType="end"/>
      </w:r>
      <w:r>
        <w:t>.</w:t>
      </w:r>
    </w:p>
    <w:p w14:paraId="044A25B3">
      <w:pPr>
        <w:pStyle w:val="145"/>
      </w:pPr>
      <w:r>
        <w:t>[5]</w:t>
      </w:r>
      <w:r>
        <w:tab/>
      </w:r>
      <w:r>
        <w:t xml:space="preserve">J. Gaertner, S. L. Hauser, A. Bar-Or, X. Montalban, J. A. Cohen, A. H. Cross, K. Deiva, H. Ganjgahi, D. A. Haering, B. Li, R. Pingili, K. Ramanathan, W. Su, R. Willi, B. Kieseier, L. Kappos, </w:t>
      </w:r>
      <w:r>
        <w:rPr>
          <w:i/>
        </w:rPr>
        <w:t xml:space="preserve">Multiple Sclerosis Journal </w:t>
      </w:r>
      <w:r>
        <w:rPr>
          <w:b/>
        </w:rPr>
        <w:t>2022</w:t>
      </w:r>
      <w:r>
        <w:t>,</w:t>
      </w:r>
      <w:r>
        <w:rPr>
          <w:b/>
        </w:rPr>
        <w:t xml:space="preserve"> </w:t>
      </w:r>
      <w:r>
        <w:rPr>
          <w:i/>
        </w:rPr>
        <w:t>28</w:t>
      </w:r>
      <w:r>
        <w:t xml:space="preserve"> (10), 1562, </w:t>
      </w:r>
      <w:r>
        <w:fldChar w:fldCharType="begin"/>
      </w:r>
      <w:r>
        <w:instrText xml:space="preserve"> HYPERLINK "https://doi.org/10.1177/13524585221078825" </w:instrText>
      </w:r>
      <w:r>
        <w:fldChar w:fldCharType="separate"/>
      </w:r>
      <w:r>
        <w:rPr>
          <w:rStyle w:val="39"/>
          <w:szCs w:val="24"/>
        </w:rPr>
        <w:t>https://doi.org/10.1177/13524585221078825</w:t>
      </w:r>
      <w:r>
        <w:rPr>
          <w:rStyle w:val="39"/>
          <w:szCs w:val="24"/>
        </w:rPr>
        <w:fldChar w:fldCharType="end"/>
      </w:r>
      <w:r>
        <w:t>.</w:t>
      </w:r>
    </w:p>
    <w:p w14:paraId="7DC993B3">
      <w:pPr>
        <w:pStyle w:val="145"/>
      </w:pPr>
      <w:r>
        <w:t>[6]</w:t>
      </w:r>
      <w:r>
        <w:tab/>
      </w:r>
      <w:r>
        <w:t xml:space="preserve">S. L. Hauser, A. H. Cross, K. Winthrop, H. Wiendl, J. Nicholas, S. G. Meuth, P. S. Giacomini, F. Sacca, L. Mancione, R. Zielman, M. Bagger, A. Das Gupta, D. A. Haring, V. Jehl, B. C. Kieseier, R. Pingili, D. Stoneman, W. Su, R. Willi, L. Kappos, </w:t>
      </w:r>
      <w:r>
        <w:rPr>
          <w:i/>
        </w:rPr>
        <w:t xml:space="preserve">Multiple Sclerosis Journal </w:t>
      </w:r>
      <w:r>
        <w:rPr>
          <w:b/>
        </w:rPr>
        <w:t>2022</w:t>
      </w:r>
      <w:r>
        <w:t>,</w:t>
      </w:r>
      <w:r>
        <w:rPr>
          <w:b/>
        </w:rPr>
        <w:t xml:space="preserve"> </w:t>
      </w:r>
      <w:r>
        <w:rPr>
          <w:i/>
        </w:rPr>
        <w:t>28</w:t>
      </w:r>
      <w:r>
        <w:t xml:space="preserve"> (10), 1576, </w:t>
      </w:r>
      <w:r>
        <w:fldChar w:fldCharType="begin"/>
      </w:r>
      <w:r>
        <w:instrText xml:space="preserve"> HYPERLINK "https://doi.org/10.1177/13524585221079731" </w:instrText>
      </w:r>
      <w:r>
        <w:fldChar w:fldCharType="separate"/>
      </w:r>
      <w:r>
        <w:rPr>
          <w:rStyle w:val="39"/>
          <w:szCs w:val="24"/>
        </w:rPr>
        <w:t>https://doi.org/10.1177/13524585221079731</w:t>
      </w:r>
      <w:r>
        <w:rPr>
          <w:rStyle w:val="39"/>
          <w:szCs w:val="24"/>
        </w:rPr>
        <w:fldChar w:fldCharType="end"/>
      </w:r>
      <w:r>
        <w:t>.</w:t>
      </w:r>
    </w:p>
    <w:p w14:paraId="4BF29E07">
      <w:pPr>
        <w:pStyle w:val="145"/>
      </w:pPr>
      <w:r>
        <w:t>[7]</w:t>
      </w:r>
      <w:r>
        <w:tab/>
      </w:r>
      <w:r>
        <w:t xml:space="preserve">B. A. C. Cree, J. L. Bennett, H. J. Kim, B. G. Weinshenker, S. J. Pittock, D. M. Wingerchuk, K. Fujihara, F. Paul, G. R. Cutter, R. Marignier, A. J. Green, O. Aktas, H.-P. Hartung, F. D. Lublin, J. Drappa, G. Barron, S. Madani, J. N. Ratchford, D. She, D. Cimbora, E. Katz, N. Shuey, I. Milanov, A. Kaprelyan, I. Tarnev, L. Haralanov, R. Carruthers, M. Munoz, J. Quinones, J. Vargas, J. Rodriguez, P. Nytrova, M. Vachova, J. Mares, S. Haldre, K. Gross-Paju, T. Ziemssen, U. K. Zettl, L. Klotz, F. T. Bergh, A. Lau, P. Dioszeghy, M. Satori, L. Vecsei, A. Achiron, A. Karni, A. Vaknin-Dembinsky, T. Saida, T. Misu, M. Baba, A. Tamaoka, C. Nohara, K. Yokoyama, F. Castro Farfan, D. S. Juan Orta, I. Rodriguez, J. Gongora Rivera, O. Odainic, E. Willoughby, E. Pretell Alva, J. Perez Villegas, A. Czlonkowska, K. Selmaj, A. Tutaj, S. Rusek, B. Zakrzewska-Pniewska, M. Maciejowski, K. Rejdak, A. Belova, D. Sazonov, F. Khabirov, K. Bakhtiyarova, E. Kairbekova, T. Shcherbonosova, Z. Chefranova, A. Boyko, A. Rozhdestvenskiy, D. Pokhabov, M. Zakharova, J. Drulovic, E. B. Leepan, F. Henning, B. J. Kim, S. M. Kim, J. Y. Oh, C. Oreja-Guevara, C.-C. Lin, S.-L. Wu, A.-B. Liu, S. Tiamkao, S. Tanprawate, N. Prayoonwiwat, A. Siva, K. A. Yildirim, M. Gedizlioglu, M. Terzi, A. Soysal, M. Levy, A. Javed, B. Greenberg, E. Bernitsas, G. Hutton, M. Tullman, W. Honeycutt, J. Scagnelli, M. Apperson, S. Lynch, K. Bashir, M. Rensel, J. Lindsey, S. Wesley, E. Flanagan, A. Zabeti, G. Eubank, W. Felton, III, N. M. S. Investigators, </w:t>
      </w:r>
      <w:r>
        <w:rPr>
          <w:i/>
        </w:rPr>
        <w:t xml:space="preserve">Lancet </w:t>
      </w:r>
      <w:r>
        <w:rPr>
          <w:b/>
        </w:rPr>
        <w:t>2019</w:t>
      </w:r>
      <w:r>
        <w:t>,</w:t>
      </w:r>
      <w:r>
        <w:rPr>
          <w:b/>
        </w:rPr>
        <w:t xml:space="preserve"> </w:t>
      </w:r>
      <w:r>
        <w:rPr>
          <w:i/>
        </w:rPr>
        <w:t>394</w:t>
      </w:r>
      <w:r>
        <w:t xml:space="preserve"> (10206), 1352, </w:t>
      </w:r>
      <w:r>
        <w:fldChar w:fldCharType="begin"/>
      </w:r>
      <w:r>
        <w:instrText xml:space="preserve"> HYPERLINK "https://doi.org/10.1016/s0140-6736(19)31817-3" </w:instrText>
      </w:r>
      <w:r>
        <w:fldChar w:fldCharType="separate"/>
      </w:r>
      <w:r>
        <w:rPr>
          <w:rStyle w:val="39"/>
          <w:szCs w:val="24"/>
        </w:rPr>
        <w:t>https://doi.org/10.1016/s0140-6736(19)31817-3</w:t>
      </w:r>
      <w:r>
        <w:rPr>
          <w:rStyle w:val="39"/>
          <w:szCs w:val="24"/>
        </w:rPr>
        <w:fldChar w:fldCharType="end"/>
      </w:r>
      <w:r>
        <w:t>.</w:t>
      </w:r>
    </w:p>
    <w:p w14:paraId="1FC31421">
      <w:pPr>
        <w:pStyle w:val="145"/>
      </w:pPr>
      <w:r>
        <w:t>[8]</w:t>
      </w:r>
      <w:r>
        <w:tab/>
      </w:r>
      <w:r>
        <w:t xml:space="preserve">a) B. Deng, H. Yu, X. Liu, X. Yu, X. Zhang, X. Li, W. Yang, S. Dong, Y. Qiu, X. Chen, </w:t>
      </w:r>
      <w:r>
        <w:rPr>
          <w:i/>
        </w:rPr>
        <w:t xml:space="preserve">Journal of Neuroimmunology </w:t>
      </w:r>
      <w:r>
        <w:rPr>
          <w:b/>
        </w:rPr>
        <w:t>2019</w:t>
      </w:r>
      <w:r>
        <w:t>,</w:t>
      </w:r>
      <w:r>
        <w:rPr>
          <w:b/>
        </w:rPr>
        <w:t xml:space="preserve"> </w:t>
      </w:r>
      <w:r>
        <w:rPr>
          <w:i/>
        </w:rPr>
        <w:t>330</w:t>
      </w:r>
      <w:r>
        <w:t xml:space="preserve">, 81, </w:t>
      </w:r>
      <w:r>
        <w:fldChar w:fldCharType="begin"/>
      </w:r>
      <w:r>
        <w:instrText xml:space="preserve"> HYPERLINK "https://doi.org/10.1016/j.jneuroim.2019.02.008" </w:instrText>
      </w:r>
      <w:r>
        <w:fldChar w:fldCharType="separate"/>
      </w:r>
      <w:r>
        <w:rPr>
          <w:rStyle w:val="39"/>
          <w:szCs w:val="24"/>
        </w:rPr>
        <w:t>https://doi.org/10.1016/j.jneuroim.2019.02.008</w:t>
      </w:r>
      <w:r>
        <w:rPr>
          <w:rStyle w:val="39"/>
          <w:szCs w:val="24"/>
        </w:rPr>
        <w:fldChar w:fldCharType="end"/>
      </w:r>
      <w:r>
        <w:t xml:space="preserve">; b) B.-j. Wang, C.-j. Wang, Z.-l. Zeng, Y. Yang, S.-g. Guo, </w:t>
      </w:r>
      <w:r>
        <w:rPr>
          <w:i/>
        </w:rPr>
        <w:t xml:space="preserve">Journal of the Neurological Sciences </w:t>
      </w:r>
      <w:r>
        <w:rPr>
          <w:b/>
        </w:rPr>
        <w:t>2017</w:t>
      </w:r>
      <w:r>
        <w:t>,</w:t>
      </w:r>
      <w:r>
        <w:rPr>
          <w:b/>
        </w:rPr>
        <w:t xml:space="preserve"> </w:t>
      </w:r>
      <w:r>
        <w:rPr>
          <w:i/>
        </w:rPr>
        <w:t>377</w:t>
      </w:r>
      <w:r>
        <w:t xml:space="preserve">, 127, </w:t>
      </w:r>
      <w:r>
        <w:fldChar w:fldCharType="begin"/>
      </w:r>
      <w:r>
        <w:instrText xml:space="preserve"> HYPERLINK "https://doi.org/10.1016/j.jns.2017.04.007" </w:instrText>
      </w:r>
      <w:r>
        <w:fldChar w:fldCharType="separate"/>
      </w:r>
      <w:r>
        <w:rPr>
          <w:rStyle w:val="39"/>
          <w:szCs w:val="24"/>
        </w:rPr>
        <w:t>https://doi.org/10.1016/j.jns.2017.04.007</w:t>
      </w:r>
      <w:r>
        <w:rPr>
          <w:rStyle w:val="39"/>
          <w:szCs w:val="24"/>
        </w:rPr>
        <w:fldChar w:fldCharType="end"/>
      </w:r>
      <w:r>
        <w:t>.</w:t>
      </w:r>
    </w:p>
    <w:p w14:paraId="2DF70EBF">
      <w:pPr>
        <w:pStyle w:val="145"/>
      </w:pPr>
      <w:r>
        <w:t>[9]</w:t>
      </w:r>
      <w:r>
        <w:tab/>
      </w:r>
      <w:r>
        <w:t xml:space="preserve">Y. Zheng, C. Sun, Y. Zhao, Q. Meng, J. Hu, K. Qiao, J. Sun, J. Xi, S. Luo, J. Lu, C. Zhao, J. Lin, </w:t>
      </w:r>
      <w:r>
        <w:rPr>
          <w:i/>
        </w:rPr>
        <w:t xml:space="preserve">Journal of the Peripheral Nervous System </w:t>
      </w:r>
      <w:r>
        <w:rPr>
          <w:b/>
        </w:rPr>
        <w:t>2024</w:t>
      </w:r>
      <w:r>
        <w:t>,</w:t>
      </w:r>
      <w:r>
        <w:rPr>
          <w:b/>
        </w:rPr>
        <w:t xml:space="preserve"> </w:t>
      </w:r>
      <w:r>
        <w:rPr>
          <w:i/>
        </w:rPr>
        <w:t>29</w:t>
      </w:r>
      <w:r>
        <w:t xml:space="preserve"> (3), 350, </w:t>
      </w:r>
      <w:r>
        <w:fldChar w:fldCharType="begin"/>
      </w:r>
      <w:r>
        <w:instrText xml:space="preserve"> HYPERLINK "https://doi.org/10.1111/jns.12653" </w:instrText>
      </w:r>
      <w:r>
        <w:fldChar w:fldCharType="separate"/>
      </w:r>
      <w:r>
        <w:rPr>
          <w:rStyle w:val="39"/>
          <w:szCs w:val="24"/>
        </w:rPr>
        <w:t>https://doi.org/10.1111/jns.12653</w:t>
      </w:r>
      <w:r>
        <w:rPr>
          <w:rStyle w:val="39"/>
          <w:szCs w:val="24"/>
        </w:rPr>
        <w:fldChar w:fldCharType="end"/>
      </w:r>
      <w:r>
        <w:t>.</w:t>
      </w:r>
    </w:p>
    <w:p w14:paraId="0D784C40">
      <w:pPr>
        <w:pStyle w:val="145"/>
      </w:pPr>
      <w:r>
        <w:t>[10]</w:t>
      </w:r>
      <w:r>
        <w:tab/>
      </w:r>
      <w:r>
        <w:t xml:space="preserve">R. Janardana, S. N. Amin, L. Rajasekhar, B. Pinto, C. Kodishala, S. Selvam, V. Shobha, </w:t>
      </w:r>
      <w:r>
        <w:rPr>
          <w:i/>
        </w:rPr>
        <w:t xml:space="preserve">Rheumatology </w:t>
      </w:r>
      <w:r>
        <w:rPr>
          <w:b/>
        </w:rPr>
        <w:t>2023</w:t>
      </w:r>
      <w:r>
        <w:t>,</w:t>
      </w:r>
      <w:r>
        <w:rPr>
          <w:b/>
        </w:rPr>
        <w:t xml:space="preserve"> </w:t>
      </w:r>
      <w:r>
        <w:rPr>
          <w:i/>
        </w:rPr>
        <w:t>62</w:t>
      </w:r>
      <w:r>
        <w:t xml:space="preserve"> (3), 1243, </w:t>
      </w:r>
      <w:r>
        <w:fldChar w:fldCharType="begin"/>
      </w:r>
      <w:r>
        <w:instrText xml:space="preserve"> HYPERLINK "https://doi.org/10.1093/rheumatology/keac438" </w:instrText>
      </w:r>
      <w:r>
        <w:fldChar w:fldCharType="separate"/>
      </w:r>
      <w:r>
        <w:rPr>
          <w:rStyle w:val="39"/>
          <w:szCs w:val="24"/>
        </w:rPr>
        <w:t>https://doi.org/10.1093/rheumatology/keac438</w:t>
      </w:r>
      <w:r>
        <w:rPr>
          <w:rStyle w:val="39"/>
          <w:szCs w:val="24"/>
        </w:rPr>
        <w:fldChar w:fldCharType="end"/>
      </w:r>
      <w:r>
        <w:t>.</w:t>
      </w:r>
    </w:p>
    <w:p w14:paraId="15FD5C9C">
      <w:pPr>
        <w:pStyle w:val="60"/>
        <w:framePr w:wrap="around"/>
      </w:pPr>
      <w:r>
        <w:t>_________________________________</w:t>
      </w:r>
    </w:p>
    <w:p w14:paraId="3F3A9419">
      <w:pPr>
        <w:pStyle w:val="145"/>
      </w:pPr>
    </w:p>
    <w:p w14:paraId="717771B0">
      <w:pPr>
        <w:pStyle w:val="60"/>
        <w:framePr w:wrap="around"/>
        <w:spacing w:line="360" w:lineRule="auto"/>
      </w:pPr>
      <w:r>
        <w:fldChar w:fldCharType="end"/>
      </w:r>
    </w:p>
    <w:sectPr>
      <w:type w:val="continuous"/>
      <w:pgSz w:w="11906" w:h="16838"/>
      <w:pgMar w:top="567" w:right="1134" w:bottom="1134" w:left="1417" w:header="1418" w:footer="1134" w:gutter="0"/>
      <w:pgNumType w:start="1" w:chapStyle="1"/>
      <w:cols w:space="720"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ongti SC Blac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黑体-简">
    <w:altName w:val="黑体"/>
    <w:panose1 w:val="00000000000000000000"/>
    <w:charset w:val="86"/>
    <w:family w:val="auto"/>
    <w:pitch w:val="default"/>
    <w:sig w:usb0="00000000" w:usb1="00000000" w:usb2="00000000" w:usb3="00000000" w:csb0="203E0000" w:csb1="00000000"/>
  </w:font>
  <w:font w:name="Arial Narrow">
    <w:panose1 w:val="020B0606020202030204"/>
    <w:charset w:val="00"/>
    <w:family w:val="swiss"/>
    <w:pitch w:val="default"/>
    <w:sig w:usb0="00000287" w:usb1="00000800" w:usb2="00000000" w:usb3="00000000" w:csb0="2000009F" w:csb1="DFD7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ED1E4">
    <w:pPr>
      <w:pStyle w:val="103"/>
    </w:pPr>
    <w:r>
      <w:fldChar w:fldCharType="begin"/>
    </w:r>
    <w:r>
      <w:instrText xml:space="preserve"> PAGE  \* MERGEFORMAT </w:instrText>
    </w:r>
    <w:r>
      <w:fldChar w:fldCharType="separate"/>
    </w:r>
    <w: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70B14">
    <w:pPr>
      <w:pStyle w:val="123"/>
    </w:pPr>
    <w:r>
      <w:fldChar w:fldCharType="begin"/>
    </w:r>
    <w:r>
      <w:instrText xml:space="preserve"> PAGE  \* MERGEFORMAT </w:instrText>
    </w:r>
    <w:r>
      <w:fldChar w:fldCharType="separate"/>
    </w:r>
    <w:r>
      <w:t>5</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94F50">
    <w:pPr>
      <w:pStyle w:val="101"/>
      <w:rPr>
        <w:rFonts w:hint="default" w:eastAsia="黑体"/>
        <w:lang w:val="en-US" w:eastAsia="zh-CN"/>
      </w:rPr>
    </w:pPr>
    <w:r>
      <w:t>T/</w:t>
    </w:r>
    <w:r>
      <w:rPr>
        <w:rFonts w:hint="eastAsia"/>
      </w:rPr>
      <w:t>CMEAS</w:t>
    </w:r>
    <w:r>
      <w:t xml:space="preserve"> </w:t>
    </w:r>
    <w:r>
      <w:rPr>
        <w:rFonts w:hint="eastAsia"/>
        <w:lang w:val="en-US" w:eastAsia="zh-CN"/>
      </w:rPr>
      <w:t>XXX</w:t>
    </w:r>
    <w:r>
      <w:rPr>
        <w:rFonts w:hint="eastAsia"/>
      </w:rPr>
      <w:t>-</w:t>
    </w:r>
    <w:r>
      <w:rPr>
        <w:rFonts w:hint="eastAsia"/>
        <w:lang w:val="en-US" w:eastAsia="zh-CN"/>
      </w:rPr>
      <w:t>XXXX</w:t>
    </w:r>
  </w:p>
  <w:p w14:paraId="7A5A385C">
    <w:pPr>
      <w:pStyle w:val="1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D3DF6">
    <w:pPr>
      <w:pStyle w:val="102"/>
      <w:rPr>
        <w:rFonts w:hint="default" w:eastAsia="黑体"/>
        <w:lang w:val="en-US" w:eastAsia="zh-CN"/>
      </w:rPr>
    </w:pPr>
    <w:r>
      <w:t>T/</w:t>
    </w:r>
    <w:r>
      <w:rPr>
        <w:rFonts w:hint="eastAsia"/>
      </w:rPr>
      <w:t>CMEAS</w:t>
    </w:r>
    <w:r>
      <w:t xml:space="preserve"> </w:t>
    </w:r>
    <w:r>
      <w:rPr>
        <w:rFonts w:hint="eastAsia"/>
        <w:lang w:val="en-US" w:eastAsia="zh-CN"/>
      </w:rPr>
      <w:t>XXX</w:t>
    </w:r>
    <w:r>
      <w:rPr>
        <w:rFonts w:hint="eastAsia"/>
      </w:rPr>
      <w:t>-</w:t>
    </w:r>
    <w:r>
      <w:rPr>
        <w:rFonts w:hint="eastAsia"/>
        <w:lang w:val="en-US" w:eastAsia="zh-CN"/>
      </w:rPr>
      <w:t>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952887"/>
    <w:multiLevelType w:val="multilevel"/>
    <w:tmpl w:val="0A952887"/>
    <w:lvl w:ilvl="0" w:tentative="0">
      <w:start w:val="1"/>
      <w:numFmt w:val="decimal"/>
      <w:pStyle w:val="106"/>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
    <w:nsid w:val="0F805D97"/>
    <w:multiLevelType w:val="multilevel"/>
    <w:tmpl w:val="0F805D97"/>
    <w:lvl w:ilvl="0" w:tentative="0">
      <w:start w:val="1"/>
      <w:numFmt w:val="none"/>
      <w:pStyle w:val="109"/>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
    <w:nsid w:val="1FC91163"/>
    <w:multiLevelType w:val="multilevel"/>
    <w:tmpl w:val="1FC91163"/>
    <w:lvl w:ilvl="0" w:tentative="0">
      <w:start w:val="1"/>
      <w:numFmt w:val="decimal"/>
      <w:pStyle w:val="44"/>
      <w:suff w:val="nothing"/>
      <w:lvlText w:val="%1　"/>
      <w:lvlJc w:val="left"/>
      <w:pPr>
        <w:ind w:left="2268" w:firstLine="0"/>
      </w:pPr>
      <w:rPr>
        <w:rFonts w:hint="eastAsia" w:ascii="黑体" w:hAnsi="Times New Roman" w:eastAsia="黑体"/>
        <w:b w:val="0"/>
        <w:i w:val="0"/>
        <w:sz w:val="21"/>
        <w:szCs w:val="21"/>
      </w:rPr>
    </w:lvl>
    <w:lvl w:ilvl="1" w:tentative="0">
      <w:start w:val="1"/>
      <w:numFmt w:val="decimal"/>
      <w:pStyle w:val="43"/>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42"/>
      <w:suff w:val="nothing"/>
      <w:lvlText w:val="%1.%2.%3　"/>
      <w:lvlJc w:val="left"/>
      <w:pPr>
        <w:ind w:left="0" w:firstLine="0"/>
      </w:pPr>
      <w:rPr>
        <w:rFonts w:hint="eastAsia" w:ascii="黑体" w:hAnsi="Times New Roman" w:eastAsia="黑体"/>
        <w:b w:val="0"/>
        <w:i w:val="0"/>
        <w:sz w:val="21"/>
      </w:rPr>
    </w:lvl>
    <w:lvl w:ilvl="3" w:tentative="0">
      <w:start w:val="1"/>
      <w:numFmt w:val="decimal"/>
      <w:pStyle w:val="45"/>
      <w:suff w:val="nothing"/>
      <w:lvlText w:val="%1.%2.%3.%4　"/>
      <w:lvlJc w:val="left"/>
      <w:pPr>
        <w:ind w:left="0" w:firstLine="0"/>
      </w:pPr>
      <w:rPr>
        <w:rFonts w:hint="eastAsia" w:ascii="黑体" w:hAnsi="Times New Roman" w:eastAsia="黑体"/>
        <w:b w:val="0"/>
        <w:i w:val="0"/>
        <w:sz w:val="21"/>
      </w:rPr>
    </w:lvl>
    <w:lvl w:ilvl="4" w:tentative="0">
      <w:start w:val="1"/>
      <w:numFmt w:val="decimal"/>
      <w:pStyle w:val="46"/>
      <w:suff w:val="nothing"/>
      <w:lvlText w:val="%1.%2.%3.%4.%5　"/>
      <w:lvlJc w:val="left"/>
      <w:pPr>
        <w:ind w:left="0" w:firstLine="0"/>
      </w:pPr>
      <w:rPr>
        <w:rFonts w:hint="eastAsia" w:ascii="黑体" w:hAnsi="Times New Roman" w:eastAsia="黑体"/>
        <w:b w:val="0"/>
        <w:i w:val="0"/>
        <w:sz w:val="21"/>
      </w:rPr>
    </w:lvl>
    <w:lvl w:ilvl="5" w:tentative="0">
      <w:start w:val="1"/>
      <w:numFmt w:val="decimal"/>
      <w:pStyle w:val="47"/>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24B435DB"/>
    <w:multiLevelType w:val="multilevel"/>
    <w:tmpl w:val="24B435DB"/>
    <w:lvl w:ilvl="0" w:tentative="0">
      <w:start w:val="1"/>
      <w:numFmt w:val="lowerLetter"/>
      <w:pStyle w:val="64"/>
      <w:suff w:val="nothing"/>
      <w:lvlText w:val="%1   "/>
      <w:lvlJc w:val="left"/>
      <w:pPr>
        <w:ind w:left="544" w:hanging="181"/>
      </w:pPr>
      <w:rPr>
        <w:rFonts w:hint="eastAsia" w:ascii="宋体" w:hAns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29707437"/>
    <w:multiLevelType w:val="multilevel"/>
    <w:tmpl w:val="29707437"/>
    <w:lvl w:ilvl="0" w:tentative="0">
      <w:start w:val="1"/>
      <w:numFmt w:val="none"/>
      <w:pStyle w:val="108"/>
      <w:suff w:val="nothing"/>
      <w:lvlText w:val="%1注："/>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2A8F7113"/>
    <w:multiLevelType w:val="multilevel"/>
    <w:tmpl w:val="2A8F7113"/>
    <w:lvl w:ilvl="0" w:tentative="0">
      <w:start w:val="1"/>
      <w:numFmt w:val="upperLetter"/>
      <w:pStyle w:val="79"/>
      <w:suff w:val="space"/>
      <w:lvlText w:val="%1"/>
      <w:lvlJc w:val="left"/>
      <w:pPr>
        <w:ind w:left="623" w:hanging="425"/>
      </w:pPr>
      <w:rPr>
        <w:rFonts w:hint="eastAsia"/>
      </w:rPr>
    </w:lvl>
    <w:lvl w:ilvl="1" w:tentative="0">
      <w:start w:val="1"/>
      <w:numFmt w:val="decimal"/>
      <w:pStyle w:val="97"/>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6">
    <w:nsid w:val="2C5917C3"/>
    <w:multiLevelType w:val="multilevel"/>
    <w:tmpl w:val="2C5917C3"/>
    <w:lvl w:ilvl="0" w:tentative="0">
      <w:start w:val="1"/>
      <w:numFmt w:val="none"/>
      <w:pStyle w:val="119"/>
      <w:suff w:val="nothing"/>
      <w:lvlText w:val="%1——"/>
      <w:lvlJc w:val="left"/>
      <w:pPr>
        <w:ind w:left="833" w:hanging="408"/>
      </w:pPr>
      <w:rPr>
        <w:rFonts w:hint="eastAsia"/>
      </w:rPr>
    </w:lvl>
    <w:lvl w:ilvl="1" w:tentative="0">
      <w:start w:val="1"/>
      <w:numFmt w:val="bullet"/>
      <w:pStyle w:val="121"/>
      <w:lvlText w:val=""/>
      <w:lvlJc w:val="left"/>
      <w:pPr>
        <w:tabs>
          <w:tab w:val="left" w:pos="760"/>
        </w:tabs>
        <w:ind w:left="1264" w:hanging="413"/>
      </w:pPr>
      <w:rPr>
        <w:rFonts w:hint="default" w:ascii="Symbol" w:hAnsi="Symbol"/>
        <w:color w:val="auto"/>
      </w:rPr>
    </w:lvl>
    <w:lvl w:ilvl="2" w:tentative="0">
      <w:start w:val="1"/>
      <w:numFmt w:val="bullet"/>
      <w:pStyle w:val="113"/>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7">
    <w:nsid w:val="3D733618"/>
    <w:multiLevelType w:val="multilevel"/>
    <w:tmpl w:val="3D733618"/>
    <w:lvl w:ilvl="0" w:tentative="0">
      <w:start w:val="1"/>
      <w:numFmt w:val="decimal"/>
      <w:pStyle w:val="24"/>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8">
    <w:nsid w:val="44C50F90"/>
    <w:multiLevelType w:val="multilevel"/>
    <w:tmpl w:val="44C50F90"/>
    <w:lvl w:ilvl="0" w:tentative="0">
      <w:start w:val="1"/>
      <w:numFmt w:val="lowerLetter"/>
      <w:pStyle w:val="51"/>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50"/>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52"/>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9">
    <w:nsid w:val="520F62E9"/>
    <w:multiLevelType w:val="multilevel"/>
    <w:tmpl w:val="520F62E9"/>
    <w:lvl w:ilvl="0" w:tentative="0">
      <w:start w:val="1"/>
      <w:numFmt w:val="decimal"/>
      <w:pStyle w:val="104"/>
      <w:suff w:val="nothing"/>
      <w:lvlText w:val="图%1　"/>
      <w:lvlJc w:val="left"/>
      <w:pPr>
        <w:ind w:left="0" w:firstLine="0"/>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0">
    <w:nsid w:val="5E63562F"/>
    <w:multiLevelType w:val="multilevel"/>
    <w:tmpl w:val="5E63562F"/>
    <w:lvl w:ilvl="0" w:tentative="0">
      <w:start w:val="1"/>
      <w:numFmt w:val="decimal"/>
      <w:pStyle w:val="122"/>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1">
    <w:nsid w:val="5EC6261B"/>
    <w:multiLevelType w:val="singleLevel"/>
    <w:tmpl w:val="5EC6261B"/>
    <w:lvl w:ilvl="0" w:tentative="0">
      <w:start w:val="1"/>
      <w:numFmt w:val="decimal"/>
      <w:pStyle w:val="99"/>
      <w:suff w:val="nothing"/>
      <w:lvlText w:val="[%1] "/>
      <w:lvlJc w:val="left"/>
      <w:pPr>
        <w:tabs>
          <w:tab w:val="left" w:pos="0"/>
        </w:tabs>
        <w:ind w:left="0" w:firstLine="420"/>
      </w:pPr>
      <w:rPr>
        <w:rFonts w:hint="default" w:ascii="宋体" w:hAnsi="宋体" w:eastAsia="黑体-简" w:cs="宋体"/>
      </w:rPr>
    </w:lvl>
  </w:abstractNum>
  <w:abstractNum w:abstractNumId="12">
    <w:nsid w:val="60B55DC2"/>
    <w:multiLevelType w:val="multilevel"/>
    <w:tmpl w:val="60B55DC2"/>
    <w:lvl w:ilvl="0" w:tentative="0">
      <w:start w:val="1"/>
      <w:numFmt w:val="upperLetter"/>
      <w:pStyle w:val="89"/>
      <w:lvlText w:val="%1"/>
      <w:lvlJc w:val="left"/>
      <w:pPr>
        <w:tabs>
          <w:tab w:val="left" w:pos="0"/>
        </w:tabs>
        <w:ind w:left="0" w:hanging="425"/>
      </w:pPr>
      <w:rPr>
        <w:rFonts w:hint="eastAsia"/>
      </w:rPr>
    </w:lvl>
    <w:lvl w:ilvl="1" w:tentative="0">
      <w:start w:val="1"/>
      <w:numFmt w:val="decimal"/>
      <w:pStyle w:val="88"/>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3">
    <w:nsid w:val="63404DBE"/>
    <w:multiLevelType w:val="multilevel"/>
    <w:tmpl w:val="63404DBE"/>
    <w:lvl w:ilvl="0" w:tentative="0">
      <w:start w:val="1"/>
      <w:numFmt w:val="none"/>
      <w:pStyle w:val="118"/>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4">
    <w:nsid w:val="63AF7EBF"/>
    <w:multiLevelType w:val="multilevel"/>
    <w:tmpl w:val="63AF7EBF"/>
    <w:lvl w:ilvl="0" w:tentative="0">
      <w:start w:val="1"/>
      <w:numFmt w:val="decimal"/>
      <w:pStyle w:val="62"/>
      <w:suff w:val="nothing"/>
      <w:lvlText w:val="表%1　"/>
      <w:lvlJc w:val="left"/>
      <w:pPr>
        <w:ind w:left="0" w:firstLine="0"/>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5">
    <w:nsid w:val="657D3FBC"/>
    <w:multiLevelType w:val="multilevel"/>
    <w:tmpl w:val="657D3FBC"/>
    <w:lvl w:ilvl="0" w:tentative="0">
      <w:start w:val="1"/>
      <w:numFmt w:val="upperLetter"/>
      <w:pStyle w:val="92"/>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78"/>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7"/>
      <w:suff w:val="nothing"/>
      <w:lvlText w:val="%1.%2.%3　"/>
      <w:lvlJc w:val="left"/>
      <w:pPr>
        <w:ind w:left="0" w:firstLine="0"/>
      </w:pPr>
      <w:rPr>
        <w:rFonts w:hint="eastAsia" w:ascii="黑体" w:hAnsi="Times New Roman" w:eastAsia="黑体"/>
        <w:b w:val="0"/>
        <w:i w:val="0"/>
        <w:sz w:val="21"/>
      </w:rPr>
    </w:lvl>
    <w:lvl w:ilvl="3" w:tentative="0">
      <w:start w:val="1"/>
      <w:numFmt w:val="decimal"/>
      <w:pStyle w:val="82"/>
      <w:suff w:val="nothing"/>
      <w:lvlText w:val="%1.%2.%3.%4　"/>
      <w:lvlJc w:val="left"/>
      <w:pPr>
        <w:ind w:left="0" w:firstLine="0"/>
      </w:pPr>
      <w:rPr>
        <w:rFonts w:hint="eastAsia" w:ascii="黑体" w:hAnsi="Times New Roman" w:eastAsia="黑体"/>
        <w:b w:val="0"/>
        <w:i w:val="0"/>
        <w:sz w:val="21"/>
      </w:rPr>
    </w:lvl>
    <w:lvl w:ilvl="4" w:tentative="0">
      <w:start w:val="1"/>
      <w:numFmt w:val="decimal"/>
      <w:pStyle w:val="81"/>
      <w:suff w:val="nothing"/>
      <w:lvlText w:val="%1.%2.%3.%4.%5　"/>
      <w:lvlJc w:val="left"/>
      <w:pPr>
        <w:ind w:left="0" w:firstLine="0"/>
      </w:pPr>
      <w:rPr>
        <w:rFonts w:hint="eastAsia" w:ascii="黑体" w:hAnsi="Times New Roman" w:eastAsia="黑体"/>
        <w:b w:val="0"/>
        <w:i w:val="0"/>
        <w:sz w:val="21"/>
      </w:rPr>
    </w:lvl>
    <w:lvl w:ilvl="5" w:tentative="0">
      <w:start w:val="1"/>
      <w:numFmt w:val="decimal"/>
      <w:pStyle w:val="80"/>
      <w:suff w:val="nothing"/>
      <w:lvlText w:val="%1.%2.%3.%4.%5.%6　"/>
      <w:lvlJc w:val="left"/>
      <w:pPr>
        <w:ind w:left="0" w:firstLine="0"/>
      </w:pPr>
      <w:rPr>
        <w:rFonts w:hint="eastAsia" w:ascii="黑体" w:hAnsi="Times New Roman" w:eastAsia="黑体"/>
        <w:b w:val="0"/>
        <w:i w:val="0"/>
        <w:sz w:val="21"/>
      </w:rPr>
    </w:lvl>
    <w:lvl w:ilvl="6" w:tentative="0">
      <w:start w:val="1"/>
      <w:numFmt w:val="decimal"/>
      <w:pStyle w:val="11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6AB870ED"/>
    <w:multiLevelType w:val="multilevel"/>
    <w:tmpl w:val="6AB870ED"/>
    <w:lvl w:ilvl="0" w:tentative="0">
      <w:start w:val="1"/>
      <w:numFmt w:val="decimal"/>
      <w:pStyle w:val="110"/>
      <w:suff w:val="nothing"/>
      <w:lvlText w:val="示例%1："/>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7">
    <w:nsid w:val="6D6C07CD"/>
    <w:multiLevelType w:val="multilevel"/>
    <w:tmpl w:val="6D6C07CD"/>
    <w:lvl w:ilvl="0" w:tentative="0">
      <w:start w:val="1"/>
      <w:numFmt w:val="lowerLetter"/>
      <w:pStyle w:val="76"/>
      <w:lvlText w:val="%1)"/>
      <w:lvlJc w:val="left"/>
      <w:pPr>
        <w:tabs>
          <w:tab w:val="left" w:pos="839"/>
        </w:tabs>
        <w:ind w:left="839" w:hanging="419"/>
      </w:pPr>
      <w:rPr>
        <w:rFonts w:hint="eastAsia" w:ascii="宋体" w:eastAsia="宋体"/>
        <w:b w:val="0"/>
        <w:i w:val="0"/>
        <w:sz w:val="21"/>
      </w:rPr>
    </w:lvl>
    <w:lvl w:ilvl="1" w:tentative="0">
      <w:start w:val="1"/>
      <w:numFmt w:val="decimal"/>
      <w:pStyle w:val="83"/>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7"/>
  </w:num>
  <w:num w:numId="2">
    <w:abstractNumId w:val="2"/>
  </w:num>
  <w:num w:numId="3">
    <w:abstractNumId w:val="8"/>
  </w:num>
  <w:num w:numId="4">
    <w:abstractNumId w:val="14"/>
  </w:num>
  <w:num w:numId="5">
    <w:abstractNumId w:val="3"/>
  </w:num>
  <w:num w:numId="6">
    <w:abstractNumId w:val="17"/>
  </w:num>
  <w:num w:numId="7">
    <w:abstractNumId w:val="15"/>
  </w:num>
  <w:num w:numId="8">
    <w:abstractNumId w:val="5"/>
  </w:num>
  <w:num w:numId="9">
    <w:abstractNumId w:val="12"/>
  </w:num>
  <w:num w:numId="10">
    <w:abstractNumId w:val="11"/>
  </w:num>
  <w:num w:numId="11">
    <w:abstractNumId w:val="9"/>
  </w:num>
  <w:num w:numId="12">
    <w:abstractNumId w:val="0"/>
  </w:num>
  <w:num w:numId="13">
    <w:abstractNumId w:val="4"/>
  </w:num>
  <w:num w:numId="14">
    <w:abstractNumId w:val="1"/>
  </w:num>
  <w:num w:numId="15">
    <w:abstractNumId w:val="16"/>
  </w:num>
  <w:num w:numId="16">
    <w:abstractNumId w:val="6"/>
  </w:num>
  <w:num w:numId="17">
    <w:abstractNumId w:val="13"/>
  </w:num>
  <w:num w:numId="18">
    <w:abstractNumId w:val="10"/>
  </w:num>
  <w:num w:numId="19">
    <w:abstractNumId w:val="2"/>
    <w:lvlOverride w:ilvl="0">
      <w:lvl w:ilvl="0" w:tentative="1">
        <w:start w:val="1"/>
        <w:numFmt w:val="decimal"/>
        <w:suff w:val="nothing"/>
        <w:lvlText w:val="%1　"/>
        <w:lvlJc w:val="left"/>
        <w:pPr>
          <w:ind w:left="0" w:firstLine="0"/>
        </w:pPr>
        <w:rPr>
          <w:rFonts w:hint="eastAsia" w:ascii="黑体" w:hAnsi="Times New Roman" w:eastAsia="黑体"/>
          <w:b w:val="0"/>
          <w:i w:val="0"/>
          <w:sz w:val="21"/>
          <w:szCs w:val="21"/>
        </w:rPr>
      </w:lvl>
    </w:lvlOverride>
    <w:lvlOverride w:ilvl="1">
      <w:lvl w:ilvl="1" w:tentative="1">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Override>
    <w:lvlOverride w:ilvl="2">
      <w:lvl w:ilvl="2" w:tentative="1">
        <w:start w:val="1"/>
        <w:numFmt w:val="decimal"/>
        <w:suff w:val="nothing"/>
        <w:lvlText w:val="%1.%2.%3　"/>
        <w:lvlJc w:val="left"/>
        <w:pPr>
          <w:ind w:left="0" w:firstLine="0"/>
        </w:pPr>
        <w:rPr>
          <w:rFonts w:hint="eastAsia" w:ascii="黑体" w:hAnsi="Times New Roman" w:eastAsia="黑体"/>
          <w:b w:val="0"/>
          <w:i w:val="0"/>
          <w:sz w:val="21"/>
        </w:rPr>
      </w:lvl>
    </w:lvlOverride>
    <w:lvlOverride w:ilvl="3">
      <w:lvl w:ilvl="3" w:tentative="1">
        <w:start w:val="1"/>
        <w:numFmt w:val="decimal"/>
        <w:suff w:val="nothing"/>
        <w:lvlText w:val="%1.%2.%3.%4　"/>
        <w:lvlJc w:val="left"/>
        <w:pPr>
          <w:ind w:left="0" w:firstLine="0"/>
        </w:pPr>
        <w:rPr>
          <w:rFonts w:hint="eastAsia" w:ascii="黑体" w:hAnsi="Times New Roman" w:eastAsia="黑体"/>
          <w:b w:val="0"/>
          <w:i w:val="0"/>
          <w:sz w:val="21"/>
        </w:rPr>
      </w:lvl>
    </w:lvlOverride>
    <w:lvlOverride w:ilvl="4">
      <w:lvl w:ilvl="4" w:tentative="1">
        <w:start w:val="1"/>
        <w:numFmt w:val="decimal"/>
        <w:suff w:val="nothing"/>
        <w:lvlText w:val="%1.%2.%3.%4.%5　"/>
        <w:lvlJc w:val="left"/>
        <w:pPr>
          <w:ind w:left="0" w:firstLine="0"/>
        </w:pPr>
        <w:rPr>
          <w:rFonts w:hint="eastAsia" w:ascii="黑体" w:hAnsi="Times New Roman" w:eastAsia="黑体"/>
          <w:b w:val="0"/>
          <w:i w:val="0"/>
          <w:sz w:val="21"/>
        </w:rPr>
      </w:lvl>
    </w:lvlOverride>
    <w:lvlOverride w:ilvl="5">
      <w:lvl w:ilvl="5" w:tentative="1">
        <w:start w:val="1"/>
        <w:numFmt w:val="decimal"/>
        <w:suff w:val="nothing"/>
        <w:lvlText w:val="%1.%2.%3.%4.%5.%6　"/>
        <w:lvlJc w:val="left"/>
        <w:pPr>
          <w:ind w:left="0" w:firstLine="0"/>
        </w:pPr>
        <w:rPr>
          <w:rFonts w:hint="eastAsia" w:ascii="黑体" w:hAnsi="Times New Roman" w:eastAsia="黑体"/>
          <w:b w:val="0"/>
          <w:i w:val="0"/>
          <w:sz w:val="21"/>
        </w:rPr>
      </w:lvl>
    </w:lvlOverride>
    <w:lvlOverride w:ilvl="6">
      <w:lvl w:ilvl="6" w:tentative="1">
        <w:start w:val="1"/>
        <w:numFmt w:val="decimal"/>
        <w:suff w:val="nothing"/>
        <w:lvlText w:val="%1%2.%3.%4.%5.%6.%7　"/>
        <w:lvlJc w:val="left"/>
        <w:pPr>
          <w:ind w:left="0" w:firstLine="0"/>
        </w:pPr>
        <w:rPr>
          <w:rFonts w:hint="eastAsia" w:ascii="黑体" w:hAnsi="Times New Roman" w:eastAsia="黑体"/>
          <w:b w:val="0"/>
          <w:i w:val="0"/>
          <w:sz w:val="21"/>
        </w:rPr>
      </w:lvl>
    </w:lvlOverride>
    <w:lvlOverride w:ilvl="7">
      <w:lvl w:ilvl="7" w:tentative="1">
        <w:start w:val="1"/>
        <w:numFmt w:val="decimal"/>
        <w:lvlText w:val="%1.%2.%3.%4.%5.%6.%7.%8"/>
        <w:lvlJc w:val="left"/>
        <w:pPr>
          <w:tabs>
            <w:tab w:val="left" w:pos="4351"/>
          </w:tabs>
          <w:ind w:left="3969" w:hanging="1418"/>
        </w:pPr>
        <w:rPr>
          <w:rFonts w:hint="eastAsia"/>
        </w:rPr>
      </w:lvl>
    </w:lvlOverride>
    <w:lvlOverride w:ilvl="8">
      <w:lvl w:ilvl="8" w:tentative="1">
        <w:start w:val="1"/>
        <w:numFmt w:val="decimal"/>
        <w:lvlText w:val="%1.%2.%3.%4.%5.%6.%7.%8.%9"/>
        <w:lvlJc w:val="left"/>
        <w:pPr>
          <w:tabs>
            <w:tab w:val="left" w:pos="4777"/>
          </w:tabs>
          <w:ind w:left="4677" w:hanging="1700"/>
        </w:pPr>
        <w:rPr>
          <w:rFonts w:hint="eastAsia"/>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mirrorMargins w:val="1"/>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RmMGMwNzI5YjAzOGQ3ZWU4MDU2ZWJiYTAzZTU0ZDkifQ=="/>
    <w:docVar w:name="EN.InstantFormat" w:val="&lt;ENInstantFormat&gt;&lt;Enabled&gt;1&lt;/Enabled&gt;&lt;ScanUnformatted&gt;1&lt;/ScanUnformatted&gt;&lt;ScanChanges&gt;1&lt;/ScanChanges&gt;&lt;Suspended&gt;0&lt;/Suspended&gt;&lt;/ENInstantFormat&gt;"/>
    <w:docVar w:name="EN.Layout" w:val="&lt;ENLayout&gt;&lt;Style&gt;Adv Sci&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2wsep5a42p99ces2e9vp5ahxvavta5vz2sd&quot;&gt;My EndNote Library&lt;record-ids&gt;&lt;item&gt;41&lt;/item&gt;&lt;item&gt;42&lt;/item&gt;&lt;item&gt;43&lt;/item&gt;&lt;item&gt;44&lt;/item&gt;&lt;item&gt;45&lt;/item&gt;&lt;item&gt;46&lt;/item&gt;&lt;item&gt;47&lt;/item&gt;&lt;item&gt;49&lt;/item&gt;&lt;item&gt;52&lt;/item&gt;&lt;item&gt;54&lt;/item&gt;&lt;item&gt;56&lt;/item&gt;&lt;item&gt;57&lt;/item&gt;&lt;item&gt;58&lt;/item&gt;&lt;/record-ids&gt;&lt;/item&gt;&lt;/Libraries&gt;"/>
  </w:docVars>
  <w:rsids>
    <w:rsidRoot w:val="00035925"/>
    <w:rsid w:val="00000244"/>
    <w:rsid w:val="00000BB3"/>
    <w:rsid w:val="0000185F"/>
    <w:rsid w:val="00002ABC"/>
    <w:rsid w:val="00004188"/>
    <w:rsid w:val="00004B91"/>
    <w:rsid w:val="00004E32"/>
    <w:rsid w:val="0000586F"/>
    <w:rsid w:val="000074D4"/>
    <w:rsid w:val="000107E1"/>
    <w:rsid w:val="00013D86"/>
    <w:rsid w:val="00013E02"/>
    <w:rsid w:val="0002143C"/>
    <w:rsid w:val="00025A65"/>
    <w:rsid w:val="00025E4C"/>
    <w:rsid w:val="00026C31"/>
    <w:rsid w:val="00027280"/>
    <w:rsid w:val="000320A7"/>
    <w:rsid w:val="000325EA"/>
    <w:rsid w:val="00035925"/>
    <w:rsid w:val="00036C2C"/>
    <w:rsid w:val="00045A7C"/>
    <w:rsid w:val="00055371"/>
    <w:rsid w:val="00056A24"/>
    <w:rsid w:val="00057CE5"/>
    <w:rsid w:val="000607A3"/>
    <w:rsid w:val="00062202"/>
    <w:rsid w:val="0006541B"/>
    <w:rsid w:val="000657F7"/>
    <w:rsid w:val="00067301"/>
    <w:rsid w:val="00067CDF"/>
    <w:rsid w:val="0007184D"/>
    <w:rsid w:val="00074FBE"/>
    <w:rsid w:val="0007762A"/>
    <w:rsid w:val="0008052A"/>
    <w:rsid w:val="00081F6E"/>
    <w:rsid w:val="00083A09"/>
    <w:rsid w:val="0009005E"/>
    <w:rsid w:val="000918A9"/>
    <w:rsid w:val="00092001"/>
    <w:rsid w:val="00092618"/>
    <w:rsid w:val="00092857"/>
    <w:rsid w:val="00092BD8"/>
    <w:rsid w:val="00095D72"/>
    <w:rsid w:val="000964C7"/>
    <w:rsid w:val="000979D9"/>
    <w:rsid w:val="000A20A9"/>
    <w:rsid w:val="000A48B1"/>
    <w:rsid w:val="000B2F0E"/>
    <w:rsid w:val="000B3143"/>
    <w:rsid w:val="000B405D"/>
    <w:rsid w:val="000C2BE6"/>
    <w:rsid w:val="000C5F6B"/>
    <w:rsid w:val="000C6B05"/>
    <w:rsid w:val="000C6DD6"/>
    <w:rsid w:val="000C73D4"/>
    <w:rsid w:val="000D3D4C"/>
    <w:rsid w:val="000D4F51"/>
    <w:rsid w:val="000D718B"/>
    <w:rsid w:val="000E0C46"/>
    <w:rsid w:val="000E15EE"/>
    <w:rsid w:val="000F030C"/>
    <w:rsid w:val="000F129C"/>
    <w:rsid w:val="000F174F"/>
    <w:rsid w:val="000F6049"/>
    <w:rsid w:val="00101A67"/>
    <w:rsid w:val="00103C07"/>
    <w:rsid w:val="00104E29"/>
    <w:rsid w:val="001056DE"/>
    <w:rsid w:val="00111450"/>
    <w:rsid w:val="001124C0"/>
    <w:rsid w:val="00117A25"/>
    <w:rsid w:val="00121293"/>
    <w:rsid w:val="0013175F"/>
    <w:rsid w:val="0013364D"/>
    <w:rsid w:val="001343BB"/>
    <w:rsid w:val="0015026E"/>
    <w:rsid w:val="001512B4"/>
    <w:rsid w:val="00153A26"/>
    <w:rsid w:val="00155A9F"/>
    <w:rsid w:val="001620A5"/>
    <w:rsid w:val="00164E53"/>
    <w:rsid w:val="00165D35"/>
    <w:rsid w:val="0016699D"/>
    <w:rsid w:val="001670D9"/>
    <w:rsid w:val="00175159"/>
    <w:rsid w:val="00175AD7"/>
    <w:rsid w:val="00176208"/>
    <w:rsid w:val="00177004"/>
    <w:rsid w:val="0017780C"/>
    <w:rsid w:val="001813B2"/>
    <w:rsid w:val="0018211B"/>
    <w:rsid w:val="00183FE1"/>
    <w:rsid w:val="001840D3"/>
    <w:rsid w:val="00184782"/>
    <w:rsid w:val="00187A8A"/>
    <w:rsid w:val="001900F8"/>
    <w:rsid w:val="00190A33"/>
    <w:rsid w:val="00191258"/>
    <w:rsid w:val="00192680"/>
    <w:rsid w:val="00193037"/>
    <w:rsid w:val="00193375"/>
    <w:rsid w:val="00193A2C"/>
    <w:rsid w:val="00193F17"/>
    <w:rsid w:val="001A288E"/>
    <w:rsid w:val="001B36ED"/>
    <w:rsid w:val="001B6DC2"/>
    <w:rsid w:val="001B754B"/>
    <w:rsid w:val="001C149C"/>
    <w:rsid w:val="001C21AC"/>
    <w:rsid w:val="001C3689"/>
    <w:rsid w:val="001C47BA"/>
    <w:rsid w:val="001C59DC"/>
    <w:rsid w:val="001C59EA"/>
    <w:rsid w:val="001D2F0C"/>
    <w:rsid w:val="001D3556"/>
    <w:rsid w:val="001D3707"/>
    <w:rsid w:val="001D406C"/>
    <w:rsid w:val="001D41EE"/>
    <w:rsid w:val="001D4BEB"/>
    <w:rsid w:val="001D6C7F"/>
    <w:rsid w:val="001D71E6"/>
    <w:rsid w:val="001E0380"/>
    <w:rsid w:val="001E0B1B"/>
    <w:rsid w:val="001E13B1"/>
    <w:rsid w:val="001E2153"/>
    <w:rsid w:val="001E39C8"/>
    <w:rsid w:val="001E4ACF"/>
    <w:rsid w:val="001F3A19"/>
    <w:rsid w:val="002009E4"/>
    <w:rsid w:val="00201053"/>
    <w:rsid w:val="0020251B"/>
    <w:rsid w:val="00203880"/>
    <w:rsid w:val="00204459"/>
    <w:rsid w:val="002073D3"/>
    <w:rsid w:val="00211B27"/>
    <w:rsid w:val="00215D48"/>
    <w:rsid w:val="0021624B"/>
    <w:rsid w:val="0022185E"/>
    <w:rsid w:val="00221A0F"/>
    <w:rsid w:val="00222B97"/>
    <w:rsid w:val="00227FED"/>
    <w:rsid w:val="0023030A"/>
    <w:rsid w:val="00230F08"/>
    <w:rsid w:val="00234467"/>
    <w:rsid w:val="002349C6"/>
    <w:rsid w:val="00235BE6"/>
    <w:rsid w:val="00237D8D"/>
    <w:rsid w:val="00241DA2"/>
    <w:rsid w:val="00247FEE"/>
    <w:rsid w:val="00250E7D"/>
    <w:rsid w:val="002523DB"/>
    <w:rsid w:val="002527DD"/>
    <w:rsid w:val="00252DAA"/>
    <w:rsid w:val="002565D5"/>
    <w:rsid w:val="002622C0"/>
    <w:rsid w:val="00263667"/>
    <w:rsid w:val="002778AE"/>
    <w:rsid w:val="0028269A"/>
    <w:rsid w:val="00283590"/>
    <w:rsid w:val="00286973"/>
    <w:rsid w:val="00287674"/>
    <w:rsid w:val="00292F57"/>
    <w:rsid w:val="002938A4"/>
    <w:rsid w:val="00294E70"/>
    <w:rsid w:val="002954B8"/>
    <w:rsid w:val="002967B2"/>
    <w:rsid w:val="002A1924"/>
    <w:rsid w:val="002A7420"/>
    <w:rsid w:val="002A7A7E"/>
    <w:rsid w:val="002B0F12"/>
    <w:rsid w:val="002B1308"/>
    <w:rsid w:val="002B4554"/>
    <w:rsid w:val="002B707C"/>
    <w:rsid w:val="002C2431"/>
    <w:rsid w:val="002C25C6"/>
    <w:rsid w:val="002C72D8"/>
    <w:rsid w:val="002D11FA"/>
    <w:rsid w:val="002D17BC"/>
    <w:rsid w:val="002D19A4"/>
    <w:rsid w:val="002D6352"/>
    <w:rsid w:val="002E0DDF"/>
    <w:rsid w:val="002E2906"/>
    <w:rsid w:val="002E5635"/>
    <w:rsid w:val="002E64C3"/>
    <w:rsid w:val="002E6A2C"/>
    <w:rsid w:val="002F035E"/>
    <w:rsid w:val="002F0FE8"/>
    <w:rsid w:val="002F1D8C"/>
    <w:rsid w:val="002F21DA"/>
    <w:rsid w:val="002F34B8"/>
    <w:rsid w:val="00300D74"/>
    <w:rsid w:val="00301F39"/>
    <w:rsid w:val="00303D27"/>
    <w:rsid w:val="00305BEE"/>
    <w:rsid w:val="00313962"/>
    <w:rsid w:val="0032245D"/>
    <w:rsid w:val="003234E0"/>
    <w:rsid w:val="0032413A"/>
    <w:rsid w:val="00325926"/>
    <w:rsid w:val="00327A8A"/>
    <w:rsid w:val="003339A3"/>
    <w:rsid w:val="00335CC0"/>
    <w:rsid w:val="00336610"/>
    <w:rsid w:val="00341F5C"/>
    <w:rsid w:val="00343D23"/>
    <w:rsid w:val="00343F73"/>
    <w:rsid w:val="00345060"/>
    <w:rsid w:val="003451FB"/>
    <w:rsid w:val="00352629"/>
    <w:rsid w:val="0035323B"/>
    <w:rsid w:val="00353B8C"/>
    <w:rsid w:val="00353D19"/>
    <w:rsid w:val="0035785A"/>
    <w:rsid w:val="003609D2"/>
    <w:rsid w:val="003612AF"/>
    <w:rsid w:val="00363F22"/>
    <w:rsid w:val="00364940"/>
    <w:rsid w:val="00375564"/>
    <w:rsid w:val="00376489"/>
    <w:rsid w:val="00383191"/>
    <w:rsid w:val="00386DED"/>
    <w:rsid w:val="003912E7"/>
    <w:rsid w:val="00393947"/>
    <w:rsid w:val="00395141"/>
    <w:rsid w:val="00397F77"/>
    <w:rsid w:val="003A0E27"/>
    <w:rsid w:val="003A2275"/>
    <w:rsid w:val="003A6A4F"/>
    <w:rsid w:val="003A7088"/>
    <w:rsid w:val="003B00DF"/>
    <w:rsid w:val="003B1275"/>
    <w:rsid w:val="003B1778"/>
    <w:rsid w:val="003C11CB"/>
    <w:rsid w:val="003C3017"/>
    <w:rsid w:val="003C6A77"/>
    <w:rsid w:val="003C75F3"/>
    <w:rsid w:val="003C78A3"/>
    <w:rsid w:val="003C7A6B"/>
    <w:rsid w:val="003D35A7"/>
    <w:rsid w:val="003D36AB"/>
    <w:rsid w:val="003E1867"/>
    <w:rsid w:val="003E5729"/>
    <w:rsid w:val="003E724E"/>
    <w:rsid w:val="003F1D40"/>
    <w:rsid w:val="003F22BB"/>
    <w:rsid w:val="003F2A5B"/>
    <w:rsid w:val="003F4EE0"/>
    <w:rsid w:val="003F5559"/>
    <w:rsid w:val="00400473"/>
    <w:rsid w:val="00402153"/>
    <w:rsid w:val="00402E26"/>
    <w:rsid w:val="00402FC1"/>
    <w:rsid w:val="0040380B"/>
    <w:rsid w:val="00417D77"/>
    <w:rsid w:val="004200D9"/>
    <w:rsid w:val="00425082"/>
    <w:rsid w:val="00431DEB"/>
    <w:rsid w:val="00437992"/>
    <w:rsid w:val="0044259D"/>
    <w:rsid w:val="004439D9"/>
    <w:rsid w:val="00444AF9"/>
    <w:rsid w:val="00446B29"/>
    <w:rsid w:val="00450D27"/>
    <w:rsid w:val="004524BE"/>
    <w:rsid w:val="00452FBD"/>
    <w:rsid w:val="00453F9A"/>
    <w:rsid w:val="00454CC3"/>
    <w:rsid w:val="00464859"/>
    <w:rsid w:val="00464903"/>
    <w:rsid w:val="00465B8F"/>
    <w:rsid w:val="00471E91"/>
    <w:rsid w:val="0047263C"/>
    <w:rsid w:val="00474079"/>
    <w:rsid w:val="00474675"/>
    <w:rsid w:val="0047470C"/>
    <w:rsid w:val="00484C88"/>
    <w:rsid w:val="004877FB"/>
    <w:rsid w:val="004A203E"/>
    <w:rsid w:val="004A35F9"/>
    <w:rsid w:val="004A4662"/>
    <w:rsid w:val="004A5C61"/>
    <w:rsid w:val="004A7E02"/>
    <w:rsid w:val="004B157A"/>
    <w:rsid w:val="004B24C1"/>
    <w:rsid w:val="004B3092"/>
    <w:rsid w:val="004B49B1"/>
    <w:rsid w:val="004B557C"/>
    <w:rsid w:val="004B6331"/>
    <w:rsid w:val="004C292F"/>
    <w:rsid w:val="004C657F"/>
    <w:rsid w:val="004D306F"/>
    <w:rsid w:val="004D4B02"/>
    <w:rsid w:val="004D4E8E"/>
    <w:rsid w:val="004D4F76"/>
    <w:rsid w:val="004D67FD"/>
    <w:rsid w:val="004D6DAF"/>
    <w:rsid w:val="004E4B13"/>
    <w:rsid w:val="004E4B8C"/>
    <w:rsid w:val="004E5A47"/>
    <w:rsid w:val="004E60A1"/>
    <w:rsid w:val="005036E2"/>
    <w:rsid w:val="0050527A"/>
    <w:rsid w:val="00506B2B"/>
    <w:rsid w:val="00510280"/>
    <w:rsid w:val="0051264B"/>
    <w:rsid w:val="00513D73"/>
    <w:rsid w:val="0051480F"/>
    <w:rsid w:val="005148B3"/>
    <w:rsid w:val="00514A43"/>
    <w:rsid w:val="00515E9C"/>
    <w:rsid w:val="005174E5"/>
    <w:rsid w:val="00520898"/>
    <w:rsid w:val="00522393"/>
    <w:rsid w:val="00522620"/>
    <w:rsid w:val="00525656"/>
    <w:rsid w:val="00525BF3"/>
    <w:rsid w:val="00534C02"/>
    <w:rsid w:val="00536B47"/>
    <w:rsid w:val="0054044C"/>
    <w:rsid w:val="00542311"/>
    <w:rsid w:val="0054264B"/>
    <w:rsid w:val="00543786"/>
    <w:rsid w:val="00545A49"/>
    <w:rsid w:val="005463CC"/>
    <w:rsid w:val="00546D0D"/>
    <w:rsid w:val="0055153A"/>
    <w:rsid w:val="005533D7"/>
    <w:rsid w:val="00554B63"/>
    <w:rsid w:val="00560FAD"/>
    <w:rsid w:val="00562CF6"/>
    <w:rsid w:val="0056544B"/>
    <w:rsid w:val="00567177"/>
    <w:rsid w:val="005703DE"/>
    <w:rsid w:val="005710BC"/>
    <w:rsid w:val="005755F1"/>
    <w:rsid w:val="00582BBE"/>
    <w:rsid w:val="0058464E"/>
    <w:rsid w:val="00585FDE"/>
    <w:rsid w:val="0058650E"/>
    <w:rsid w:val="005A01CB"/>
    <w:rsid w:val="005A19A9"/>
    <w:rsid w:val="005A58FF"/>
    <w:rsid w:val="005A5EAF"/>
    <w:rsid w:val="005A6491"/>
    <w:rsid w:val="005A64C0"/>
    <w:rsid w:val="005B1985"/>
    <w:rsid w:val="005B3C11"/>
    <w:rsid w:val="005B4A3F"/>
    <w:rsid w:val="005C1C28"/>
    <w:rsid w:val="005C43D0"/>
    <w:rsid w:val="005C6DB5"/>
    <w:rsid w:val="005D3842"/>
    <w:rsid w:val="005D6F36"/>
    <w:rsid w:val="005E19E7"/>
    <w:rsid w:val="005E2392"/>
    <w:rsid w:val="005E3736"/>
    <w:rsid w:val="005F5E79"/>
    <w:rsid w:val="00601622"/>
    <w:rsid w:val="00603F29"/>
    <w:rsid w:val="00605877"/>
    <w:rsid w:val="0060789B"/>
    <w:rsid w:val="0061037E"/>
    <w:rsid w:val="00613FAA"/>
    <w:rsid w:val="00616C36"/>
    <w:rsid w:val="0061716C"/>
    <w:rsid w:val="006171AF"/>
    <w:rsid w:val="00617868"/>
    <w:rsid w:val="00621B5A"/>
    <w:rsid w:val="006243A1"/>
    <w:rsid w:val="00626005"/>
    <w:rsid w:val="00632E56"/>
    <w:rsid w:val="00635CBA"/>
    <w:rsid w:val="00636EFC"/>
    <w:rsid w:val="0064338B"/>
    <w:rsid w:val="00644424"/>
    <w:rsid w:val="00646542"/>
    <w:rsid w:val="006504F4"/>
    <w:rsid w:val="0065366F"/>
    <w:rsid w:val="00654BC9"/>
    <w:rsid w:val="006552FD"/>
    <w:rsid w:val="00655DC5"/>
    <w:rsid w:val="00656F0B"/>
    <w:rsid w:val="00663733"/>
    <w:rsid w:val="00663AF3"/>
    <w:rsid w:val="00666B6C"/>
    <w:rsid w:val="00677B54"/>
    <w:rsid w:val="00681B66"/>
    <w:rsid w:val="00682682"/>
    <w:rsid w:val="00682702"/>
    <w:rsid w:val="00682F90"/>
    <w:rsid w:val="00692368"/>
    <w:rsid w:val="00695192"/>
    <w:rsid w:val="006A2EBC"/>
    <w:rsid w:val="006A5927"/>
    <w:rsid w:val="006A5EA0"/>
    <w:rsid w:val="006A783B"/>
    <w:rsid w:val="006A7B33"/>
    <w:rsid w:val="006B497F"/>
    <w:rsid w:val="006B4E13"/>
    <w:rsid w:val="006B75DD"/>
    <w:rsid w:val="006C047C"/>
    <w:rsid w:val="006C3532"/>
    <w:rsid w:val="006C3D8B"/>
    <w:rsid w:val="006C3E07"/>
    <w:rsid w:val="006C67E0"/>
    <w:rsid w:val="006C7ABA"/>
    <w:rsid w:val="006D0A13"/>
    <w:rsid w:val="006D0D60"/>
    <w:rsid w:val="006D1122"/>
    <w:rsid w:val="006D317E"/>
    <w:rsid w:val="006D3B1E"/>
    <w:rsid w:val="006D3C00"/>
    <w:rsid w:val="006E06AD"/>
    <w:rsid w:val="006E3675"/>
    <w:rsid w:val="006E4A7F"/>
    <w:rsid w:val="006E7812"/>
    <w:rsid w:val="006F0967"/>
    <w:rsid w:val="006F2274"/>
    <w:rsid w:val="006F64A0"/>
    <w:rsid w:val="0070038F"/>
    <w:rsid w:val="007027B1"/>
    <w:rsid w:val="0070286C"/>
    <w:rsid w:val="00704DF6"/>
    <w:rsid w:val="0070641D"/>
    <w:rsid w:val="0070651C"/>
    <w:rsid w:val="00712360"/>
    <w:rsid w:val="007132A3"/>
    <w:rsid w:val="007162E3"/>
    <w:rsid w:val="007163CA"/>
    <w:rsid w:val="00716421"/>
    <w:rsid w:val="00721419"/>
    <w:rsid w:val="00724EFB"/>
    <w:rsid w:val="00726575"/>
    <w:rsid w:val="00730310"/>
    <w:rsid w:val="00740A49"/>
    <w:rsid w:val="00741949"/>
    <w:rsid w:val="007419C3"/>
    <w:rsid w:val="00744CB0"/>
    <w:rsid w:val="00746559"/>
    <w:rsid w:val="007467A7"/>
    <w:rsid w:val="007469DD"/>
    <w:rsid w:val="0074741B"/>
    <w:rsid w:val="0074759E"/>
    <w:rsid w:val="007478EA"/>
    <w:rsid w:val="0075415C"/>
    <w:rsid w:val="00757097"/>
    <w:rsid w:val="007579C9"/>
    <w:rsid w:val="007606CB"/>
    <w:rsid w:val="00761A1F"/>
    <w:rsid w:val="00761E8B"/>
    <w:rsid w:val="00763502"/>
    <w:rsid w:val="00780DE2"/>
    <w:rsid w:val="007913AB"/>
    <w:rsid w:val="007914F7"/>
    <w:rsid w:val="00795C73"/>
    <w:rsid w:val="007A4809"/>
    <w:rsid w:val="007A7BEF"/>
    <w:rsid w:val="007B1625"/>
    <w:rsid w:val="007B706E"/>
    <w:rsid w:val="007B71EB"/>
    <w:rsid w:val="007C0748"/>
    <w:rsid w:val="007C6205"/>
    <w:rsid w:val="007C686A"/>
    <w:rsid w:val="007C728E"/>
    <w:rsid w:val="007D0BE0"/>
    <w:rsid w:val="007D204F"/>
    <w:rsid w:val="007D2C53"/>
    <w:rsid w:val="007D3D60"/>
    <w:rsid w:val="007E17AB"/>
    <w:rsid w:val="007E1980"/>
    <w:rsid w:val="007E40D0"/>
    <w:rsid w:val="007E4B76"/>
    <w:rsid w:val="007E5043"/>
    <w:rsid w:val="007E5EA8"/>
    <w:rsid w:val="007F0CF1"/>
    <w:rsid w:val="007F12A5"/>
    <w:rsid w:val="007F2D74"/>
    <w:rsid w:val="007F3FB7"/>
    <w:rsid w:val="007F4CF1"/>
    <w:rsid w:val="007F758D"/>
    <w:rsid w:val="007F7D52"/>
    <w:rsid w:val="008032B8"/>
    <w:rsid w:val="0080424D"/>
    <w:rsid w:val="0080484A"/>
    <w:rsid w:val="00805589"/>
    <w:rsid w:val="008057A5"/>
    <w:rsid w:val="00805E2F"/>
    <w:rsid w:val="0080654C"/>
    <w:rsid w:val="008071C6"/>
    <w:rsid w:val="00817A00"/>
    <w:rsid w:val="00820B95"/>
    <w:rsid w:val="00825891"/>
    <w:rsid w:val="00831631"/>
    <w:rsid w:val="0083228D"/>
    <w:rsid w:val="00833D07"/>
    <w:rsid w:val="00835DB3"/>
    <w:rsid w:val="0083617B"/>
    <w:rsid w:val="00836342"/>
    <w:rsid w:val="00836A2D"/>
    <w:rsid w:val="008371BD"/>
    <w:rsid w:val="00840EBF"/>
    <w:rsid w:val="008504A8"/>
    <w:rsid w:val="00851B58"/>
    <w:rsid w:val="0085282E"/>
    <w:rsid w:val="0087198C"/>
    <w:rsid w:val="008722EC"/>
    <w:rsid w:val="00872C1F"/>
    <w:rsid w:val="00873B42"/>
    <w:rsid w:val="00877CB0"/>
    <w:rsid w:val="008805AC"/>
    <w:rsid w:val="00880750"/>
    <w:rsid w:val="00880D1A"/>
    <w:rsid w:val="00883B76"/>
    <w:rsid w:val="00884468"/>
    <w:rsid w:val="008856D8"/>
    <w:rsid w:val="008914E4"/>
    <w:rsid w:val="00892E82"/>
    <w:rsid w:val="00893277"/>
    <w:rsid w:val="00895FA9"/>
    <w:rsid w:val="008A1035"/>
    <w:rsid w:val="008A55D8"/>
    <w:rsid w:val="008A6359"/>
    <w:rsid w:val="008A6E08"/>
    <w:rsid w:val="008B0DFA"/>
    <w:rsid w:val="008C0BE9"/>
    <w:rsid w:val="008C1B58"/>
    <w:rsid w:val="008C39AE"/>
    <w:rsid w:val="008C40DF"/>
    <w:rsid w:val="008C590D"/>
    <w:rsid w:val="008D447E"/>
    <w:rsid w:val="008D7566"/>
    <w:rsid w:val="008E031B"/>
    <w:rsid w:val="008E0560"/>
    <w:rsid w:val="008E2D8C"/>
    <w:rsid w:val="008E5AF5"/>
    <w:rsid w:val="008E7029"/>
    <w:rsid w:val="008E7EF6"/>
    <w:rsid w:val="008F1F98"/>
    <w:rsid w:val="008F2340"/>
    <w:rsid w:val="008F2790"/>
    <w:rsid w:val="008F6758"/>
    <w:rsid w:val="009028BB"/>
    <w:rsid w:val="009040DD"/>
    <w:rsid w:val="00905B47"/>
    <w:rsid w:val="0090690F"/>
    <w:rsid w:val="00911391"/>
    <w:rsid w:val="0091331C"/>
    <w:rsid w:val="009137BD"/>
    <w:rsid w:val="0091503D"/>
    <w:rsid w:val="00927632"/>
    <w:rsid w:val="009279DE"/>
    <w:rsid w:val="00927AB9"/>
    <w:rsid w:val="00927B37"/>
    <w:rsid w:val="00930116"/>
    <w:rsid w:val="00930625"/>
    <w:rsid w:val="00931825"/>
    <w:rsid w:val="009339C7"/>
    <w:rsid w:val="00941082"/>
    <w:rsid w:val="0094212C"/>
    <w:rsid w:val="00944853"/>
    <w:rsid w:val="00944EE8"/>
    <w:rsid w:val="0094609D"/>
    <w:rsid w:val="0095378C"/>
    <w:rsid w:val="00954689"/>
    <w:rsid w:val="0095472A"/>
    <w:rsid w:val="0096085A"/>
    <w:rsid w:val="009617C9"/>
    <w:rsid w:val="00961C93"/>
    <w:rsid w:val="00962B4E"/>
    <w:rsid w:val="00965324"/>
    <w:rsid w:val="00965D31"/>
    <w:rsid w:val="0097091E"/>
    <w:rsid w:val="009755FE"/>
    <w:rsid w:val="009760D3"/>
    <w:rsid w:val="00977132"/>
    <w:rsid w:val="00981A4B"/>
    <w:rsid w:val="00982250"/>
    <w:rsid w:val="00982501"/>
    <w:rsid w:val="00983D33"/>
    <w:rsid w:val="00983D57"/>
    <w:rsid w:val="00984358"/>
    <w:rsid w:val="009877D3"/>
    <w:rsid w:val="00994E8F"/>
    <w:rsid w:val="009951DC"/>
    <w:rsid w:val="009959BB"/>
    <w:rsid w:val="00997158"/>
    <w:rsid w:val="009A0827"/>
    <w:rsid w:val="009A3A7C"/>
    <w:rsid w:val="009A5D33"/>
    <w:rsid w:val="009A717C"/>
    <w:rsid w:val="009A77A5"/>
    <w:rsid w:val="009A7D84"/>
    <w:rsid w:val="009B2323"/>
    <w:rsid w:val="009B2ADB"/>
    <w:rsid w:val="009B603A"/>
    <w:rsid w:val="009C15FE"/>
    <w:rsid w:val="009C2D0E"/>
    <w:rsid w:val="009C3DAC"/>
    <w:rsid w:val="009C42E0"/>
    <w:rsid w:val="009D3230"/>
    <w:rsid w:val="009D5362"/>
    <w:rsid w:val="009D645F"/>
    <w:rsid w:val="009E1415"/>
    <w:rsid w:val="009E4934"/>
    <w:rsid w:val="009E6116"/>
    <w:rsid w:val="009E7E25"/>
    <w:rsid w:val="009F60E2"/>
    <w:rsid w:val="009F645F"/>
    <w:rsid w:val="00A01E82"/>
    <w:rsid w:val="00A02E43"/>
    <w:rsid w:val="00A05368"/>
    <w:rsid w:val="00A065F9"/>
    <w:rsid w:val="00A07011"/>
    <w:rsid w:val="00A07F34"/>
    <w:rsid w:val="00A22154"/>
    <w:rsid w:val="00A24058"/>
    <w:rsid w:val="00A25C38"/>
    <w:rsid w:val="00A35824"/>
    <w:rsid w:val="00A36BBE"/>
    <w:rsid w:val="00A37C20"/>
    <w:rsid w:val="00A37C55"/>
    <w:rsid w:val="00A40D9E"/>
    <w:rsid w:val="00A41DF7"/>
    <w:rsid w:val="00A420B1"/>
    <w:rsid w:val="00A42ECA"/>
    <w:rsid w:val="00A4307A"/>
    <w:rsid w:val="00A46DEF"/>
    <w:rsid w:val="00A47EBB"/>
    <w:rsid w:val="00A51CDD"/>
    <w:rsid w:val="00A563F8"/>
    <w:rsid w:val="00A564D5"/>
    <w:rsid w:val="00A56BBA"/>
    <w:rsid w:val="00A63D49"/>
    <w:rsid w:val="00A6730D"/>
    <w:rsid w:val="00A71625"/>
    <w:rsid w:val="00A71B9B"/>
    <w:rsid w:val="00A71EC0"/>
    <w:rsid w:val="00A73E0B"/>
    <w:rsid w:val="00A751C7"/>
    <w:rsid w:val="00A80008"/>
    <w:rsid w:val="00A84CE5"/>
    <w:rsid w:val="00A87844"/>
    <w:rsid w:val="00A9227B"/>
    <w:rsid w:val="00A97A55"/>
    <w:rsid w:val="00AA038C"/>
    <w:rsid w:val="00AA7A09"/>
    <w:rsid w:val="00AB3B50"/>
    <w:rsid w:val="00AC05B1"/>
    <w:rsid w:val="00AC450C"/>
    <w:rsid w:val="00AD0D79"/>
    <w:rsid w:val="00AD2AE3"/>
    <w:rsid w:val="00AD340B"/>
    <w:rsid w:val="00AD356C"/>
    <w:rsid w:val="00AE2914"/>
    <w:rsid w:val="00AE6D15"/>
    <w:rsid w:val="00AE7023"/>
    <w:rsid w:val="00AE78AA"/>
    <w:rsid w:val="00AF0EF3"/>
    <w:rsid w:val="00AF1F49"/>
    <w:rsid w:val="00AF2D81"/>
    <w:rsid w:val="00B04182"/>
    <w:rsid w:val="00B05ECF"/>
    <w:rsid w:val="00B07AE3"/>
    <w:rsid w:val="00B11430"/>
    <w:rsid w:val="00B12A5D"/>
    <w:rsid w:val="00B242F4"/>
    <w:rsid w:val="00B2477A"/>
    <w:rsid w:val="00B24D1C"/>
    <w:rsid w:val="00B30072"/>
    <w:rsid w:val="00B30481"/>
    <w:rsid w:val="00B3312F"/>
    <w:rsid w:val="00B353EB"/>
    <w:rsid w:val="00B35D9C"/>
    <w:rsid w:val="00B4016F"/>
    <w:rsid w:val="00B407AC"/>
    <w:rsid w:val="00B439C4"/>
    <w:rsid w:val="00B4535E"/>
    <w:rsid w:val="00B51EEF"/>
    <w:rsid w:val="00B52380"/>
    <w:rsid w:val="00B52A8C"/>
    <w:rsid w:val="00B54707"/>
    <w:rsid w:val="00B56155"/>
    <w:rsid w:val="00B62F11"/>
    <w:rsid w:val="00B63042"/>
    <w:rsid w:val="00B636A8"/>
    <w:rsid w:val="00B665C6"/>
    <w:rsid w:val="00B72AD8"/>
    <w:rsid w:val="00B74441"/>
    <w:rsid w:val="00B758A5"/>
    <w:rsid w:val="00B805AF"/>
    <w:rsid w:val="00B82BD5"/>
    <w:rsid w:val="00B83271"/>
    <w:rsid w:val="00B869EC"/>
    <w:rsid w:val="00B87036"/>
    <w:rsid w:val="00B92383"/>
    <w:rsid w:val="00B9397A"/>
    <w:rsid w:val="00B9633D"/>
    <w:rsid w:val="00B967D5"/>
    <w:rsid w:val="00BA0DC0"/>
    <w:rsid w:val="00BA1EE2"/>
    <w:rsid w:val="00BA2EBE"/>
    <w:rsid w:val="00BB0F28"/>
    <w:rsid w:val="00BB1187"/>
    <w:rsid w:val="00BB458A"/>
    <w:rsid w:val="00BB693F"/>
    <w:rsid w:val="00BB6C11"/>
    <w:rsid w:val="00BB6F45"/>
    <w:rsid w:val="00BC5953"/>
    <w:rsid w:val="00BD00D3"/>
    <w:rsid w:val="00BD1659"/>
    <w:rsid w:val="00BD3AA9"/>
    <w:rsid w:val="00BD4A18"/>
    <w:rsid w:val="00BD6DB2"/>
    <w:rsid w:val="00BD73A1"/>
    <w:rsid w:val="00BE0B44"/>
    <w:rsid w:val="00BE11CF"/>
    <w:rsid w:val="00BE12DF"/>
    <w:rsid w:val="00BE21AB"/>
    <w:rsid w:val="00BE3EAB"/>
    <w:rsid w:val="00BE55CB"/>
    <w:rsid w:val="00BE7067"/>
    <w:rsid w:val="00BF3BB2"/>
    <w:rsid w:val="00BF617A"/>
    <w:rsid w:val="00C0379D"/>
    <w:rsid w:val="00C03931"/>
    <w:rsid w:val="00C0454A"/>
    <w:rsid w:val="00C05FE3"/>
    <w:rsid w:val="00C11DA9"/>
    <w:rsid w:val="00C2136D"/>
    <w:rsid w:val="00C214EE"/>
    <w:rsid w:val="00C2314B"/>
    <w:rsid w:val="00C244A0"/>
    <w:rsid w:val="00C24971"/>
    <w:rsid w:val="00C25355"/>
    <w:rsid w:val="00C26BE5"/>
    <w:rsid w:val="00C26E4D"/>
    <w:rsid w:val="00C27909"/>
    <w:rsid w:val="00C27B03"/>
    <w:rsid w:val="00C314E1"/>
    <w:rsid w:val="00C34397"/>
    <w:rsid w:val="00C40503"/>
    <w:rsid w:val="00C4095D"/>
    <w:rsid w:val="00C577FC"/>
    <w:rsid w:val="00C57A9C"/>
    <w:rsid w:val="00C601D2"/>
    <w:rsid w:val="00C65BCC"/>
    <w:rsid w:val="00C66970"/>
    <w:rsid w:val="00C71F4D"/>
    <w:rsid w:val="00C8691C"/>
    <w:rsid w:val="00C86CB4"/>
    <w:rsid w:val="00C96295"/>
    <w:rsid w:val="00C96364"/>
    <w:rsid w:val="00C96A38"/>
    <w:rsid w:val="00CA03DF"/>
    <w:rsid w:val="00CA168A"/>
    <w:rsid w:val="00CA2097"/>
    <w:rsid w:val="00CA357E"/>
    <w:rsid w:val="00CA44F9"/>
    <w:rsid w:val="00CA4A69"/>
    <w:rsid w:val="00CB21DB"/>
    <w:rsid w:val="00CB722E"/>
    <w:rsid w:val="00CC08A6"/>
    <w:rsid w:val="00CC1935"/>
    <w:rsid w:val="00CC3E0C"/>
    <w:rsid w:val="00CC3F17"/>
    <w:rsid w:val="00CC50FC"/>
    <w:rsid w:val="00CC58D3"/>
    <w:rsid w:val="00CC784D"/>
    <w:rsid w:val="00CD4148"/>
    <w:rsid w:val="00CE0A75"/>
    <w:rsid w:val="00CF1E15"/>
    <w:rsid w:val="00D00A8D"/>
    <w:rsid w:val="00D01A83"/>
    <w:rsid w:val="00D03268"/>
    <w:rsid w:val="00D0337B"/>
    <w:rsid w:val="00D07777"/>
    <w:rsid w:val="00D079B2"/>
    <w:rsid w:val="00D114E9"/>
    <w:rsid w:val="00D17CD8"/>
    <w:rsid w:val="00D2527C"/>
    <w:rsid w:val="00D313B3"/>
    <w:rsid w:val="00D35B8E"/>
    <w:rsid w:val="00D40F07"/>
    <w:rsid w:val="00D429C6"/>
    <w:rsid w:val="00D47748"/>
    <w:rsid w:val="00D5178F"/>
    <w:rsid w:val="00D518DF"/>
    <w:rsid w:val="00D54CC3"/>
    <w:rsid w:val="00D6041A"/>
    <w:rsid w:val="00D61258"/>
    <w:rsid w:val="00D633EB"/>
    <w:rsid w:val="00D736AC"/>
    <w:rsid w:val="00D747AA"/>
    <w:rsid w:val="00D75A7E"/>
    <w:rsid w:val="00D80AC4"/>
    <w:rsid w:val="00D82AE2"/>
    <w:rsid w:val="00D82FF7"/>
    <w:rsid w:val="00D84271"/>
    <w:rsid w:val="00D847FE"/>
    <w:rsid w:val="00D86B9C"/>
    <w:rsid w:val="00D8769F"/>
    <w:rsid w:val="00D900CD"/>
    <w:rsid w:val="00D90A39"/>
    <w:rsid w:val="00D91C0F"/>
    <w:rsid w:val="00D964EA"/>
    <w:rsid w:val="00D966D0"/>
    <w:rsid w:val="00DA0C59"/>
    <w:rsid w:val="00DA3991"/>
    <w:rsid w:val="00DA72A1"/>
    <w:rsid w:val="00DA7F95"/>
    <w:rsid w:val="00DB01F1"/>
    <w:rsid w:val="00DB3222"/>
    <w:rsid w:val="00DB7E6C"/>
    <w:rsid w:val="00DC4F68"/>
    <w:rsid w:val="00DC64B0"/>
    <w:rsid w:val="00DC6B1E"/>
    <w:rsid w:val="00DD252A"/>
    <w:rsid w:val="00DD5949"/>
    <w:rsid w:val="00DD5A29"/>
    <w:rsid w:val="00DD5D9D"/>
    <w:rsid w:val="00DD6A17"/>
    <w:rsid w:val="00DE35CB"/>
    <w:rsid w:val="00DF0EF0"/>
    <w:rsid w:val="00DF1C5E"/>
    <w:rsid w:val="00DF21E9"/>
    <w:rsid w:val="00DF22C7"/>
    <w:rsid w:val="00DF5588"/>
    <w:rsid w:val="00DF5CC9"/>
    <w:rsid w:val="00E005D3"/>
    <w:rsid w:val="00E00F14"/>
    <w:rsid w:val="00E01CB8"/>
    <w:rsid w:val="00E06386"/>
    <w:rsid w:val="00E075C5"/>
    <w:rsid w:val="00E1051A"/>
    <w:rsid w:val="00E111F3"/>
    <w:rsid w:val="00E11668"/>
    <w:rsid w:val="00E118E7"/>
    <w:rsid w:val="00E122B7"/>
    <w:rsid w:val="00E15447"/>
    <w:rsid w:val="00E17B7A"/>
    <w:rsid w:val="00E21B55"/>
    <w:rsid w:val="00E221D3"/>
    <w:rsid w:val="00E24EB4"/>
    <w:rsid w:val="00E30635"/>
    <w:rsid w:val="00E30AEE"/>
    <w:rsid w:val="00E320ED"/>
    <w:rsid w:val="00E321F0"/>
    <w:rsid w:val="00E33AFB"/>
    <w:rsid w:val="00E34218"/>
    <w:rsid w:val="00E4555B"/>
    <w:rsid w:val="00E46282"/>
    <w:rsid w:val="00E5216E"/>
    <w:rsid w:val="00E5529C"/>
    <w:rsid w:val="00E657C6"/>
    <w:rsid w:val="00E75D40"/>
    <w:rsid w:val="00E814E5"/>
    <w:rsid w:val="00E81965"/>
    <w:rsid w:val="00E81A88"/>
    <w:rsid w:val="00E82344"/>
    <w:rsid w:val="00E82D93"/>
    <w:rsid w:val="00E84578"/>
    <w:rsid w:val="00E84C82"/>
    <w:rsid w:val="00E84D64"/>
    <w:rsid w:val="00E87408"/>
    <w:rsid w:val="00E91213"/>
    <w:rsid w:val="00E914C4"/>
    <w:rsid w:val="00E934F5"/>
    <w:rsid w:val="00E96961"/>
    <w:rsid w:val="00EA5DE3"/>
    <w:rsid w:val="00EA72EC"/>
    <w:rsid w:val="00EB11CB"/>
    <w:rsid w:val="00EB1C71"/>
    <w:rsid w:val="00EB275A"/>
    <w:rsid w:val="00EB57CA"/>
    <w:rsid w:val="00EB786A"/>
    <w:rsid w:val="00EC032D"/>
    <w:rsid w:val="00EC1578"/>
    <w:rsid w:val="00EC1BFC"/>
    <w:rsid w:val="00EC1C72"/>
    <w:rsid w:val="00EC3356"/>
    <w:rsid w:val="00EC3CC9"/>
    <w:rsid w:val="00EC5D85"/>
    <w:rsid w:val="00EC680A"/>
    <w:rsid w:val="00ED511C"/>
    <w:rsid w:val="00ED7229"/>
    <w:rsid w:val="00EE25CB"/>
    <w:rsid w:val="00EE2BED"/>
    <w:rsid w:val="00EE374B"/>
    <w:rsid w:val="00EE4A87"/>
    <w:rsid w:val="00EF2869"/>
    <w:rsid w:val="00F00432"/>
    <w:rsid w:val="00F05D60"/>
    <w:rsid w:val="00F07224"/>
    <w:rsid w:val="00F07FD3"/>
    <w:rsid w:val="00F11BB5"/>
    <w:rsid w:val="00F1296C"/>
    <w:rsid w:val="00F1417B"/>
    <w:rsid w:val="00F1712D"/>
    <w:rsid w:val="00F17A17"/>
    <w:rsid w:val="00F208A0"/>
    <w:rsid w:val="00F2115E"/>
    <w:rsid w:val="00F24D23"/>
    <w:rsid w:val="00F27807"/>
    <w:rsid w:val="00F27B3D"/>
    <w:rsid w:val="00F30ABD"/>
    <w:rsid w:val="00F344C0"/>
    <w:rsid w:val="00F34B99"/>
    <w:rsid w:val="00F35691"/>
    <w:rsid w:val="00F40B02"/>
    <w:rsid w:val="00F41E81"/>
    <w:rsid w:val="00F427C7"/>
    <w:rsid w:val="00F51720"/>
    <w:rsid w:val="00F51CF2"/>
    <w:rsid w:val="00F52AE5"/>
    <w:rsid w:val="00F52DAB"/>
    <w:rsid w:val="00F543F0"/>
    <w:rsid w:val="00F54A43"/>
    <w:rsid w:val="00F55800"/>
    <w:rsid w:val="00F55E3E"/>
    <w:rsid w:val="00F57601"/>
    <w:rsid w:val="00F678E1"/>
    <w:rsid w:val="00F73F99"/>
    <w:rsid w:val="00F746C9"/>
    <w:rsid w:val="00F75F80"/>
    <w:rsid w:val="00F81D29"/>
    <w:rsid w:val="00F82AF4"/>
    <w:rsid w:val="00F90BE5"/>
    <w:rsid w:val="00F91C4D"/>
    <w:rsid w:val="00F92FD9"/>
    <w:rsid w:val="00FA37B1"/>
    <w:rsid w:val="00FA3E0B"/>
    <w:rsid w:val="00FA49D8"/>
    <w:rsid w:val="00FA5EF7"/>
    <w:rsid w:val="00FA6684"/>
    <w:rsid w:val="00FA731E"/>
    <w:rsid w:val="00FA7BD0"/>
    <w:rsid w:val="00FB1DCF"/>
    <w:rsid w:val="00FB2B38"/>
    <w:rsid w:val="00FB3662"/>
    <w:rsid w:val="00FB61CE"/>
    <w:rsid w:val="00FB7A07"/>
    <w:rsid w:val="00FC04CC"/>
    <w:rsid w:val="00FC2066"/>
    <w:rsid w:val="00FC6358"/>
    <w:rsid w:val="00FD1381"/>
    <w:rsid w:val="00FD1C08"/>
    <w:rsid w:val="00FD3140"/>
    <w:rsid w:val="00FD320D"/>
    <w:rsid w:val="00FD3360"/>
    <w:rsid w:val="00FE1B98"/>
    <w:rsid w:val="00FE23DE"/>
    <w:rsid w:val="00FE3CD7"/>
    <w:rsid w:val="00FE5BA1"/>
    <w:rsid w:val="00FF1801"/>
    <w:rsid w:val="00FF4101"/>
    <w:rsid w:val="00FF6842"/>
    <w:rsid w:val="06BA3D40"/>
    <w:rsid w:val="14D70087"/>
    <w:rsid w:val="1BF74716"/>
    <w:rsid w:val="280D25DD"/>
    <w:rsid w:val="2BAB53B1"/>
    <w:rsid w:val="2FFF1ABF"/>
    <w:rsid w:val="382464BF"/>
    <w:rsid w:val="3E7F225D"/>
    <w:rsid w:val="3EB85EED"/>
    <w:rsid w:val="43EE3E51"/>
    <w:rsid w:val="47FF82CC"/>
    <w:rsid w:val="498C2860"/>
    <w:rsid w:val="4AC4664F"/>
    <w:rsid w:val="56174AA7"/>
    <w:rsid w:val="5A131CE8"/>
    <w:rsid w:val="5DA9F82C"/>
    <w:rsid w:val="5DB63287"/>
    <w:rsid w:val="5FAC17B3"/>
    <w:rsid w:val="5FB7E33B"/>
    <w:rsid w:val="62636815"/>
    <w:rsid w:val="66414FFD"/>
    <w:rsid w:val="6FCFC10C"/>
    <w:rsid w:val="737258FA"/>
    <w:rsid w:val="73EFB34F"/>
    <w:rsid w:val="74A977AE"/>
    <w:rsid w:val="764D738F"/>
    <w:rsid w:val="77B57C2D"/>
    <w:rsid w:val="798B4551"/>
    <w:rsid w:val="7A5743FC"/>
    <w:rsid w:val="7ADFB9B1"/>
    <w:rsid w:val="7BAF55ED"/>
    <w:rsid w:val="7BFFDAA8"/>
    <w:rsid w:val="7D25BE10"/>
    <w:rsid w:val="7DAC8C49"/>
    <w:rsid w:val="7DFFEE59"/>
    <w:rsid w:val="7FBF4C4D"/>
    <w:rsid w:val="87DF8CB8"/>
    <w:rsid w:val="B79D82DA"/>
    <w:rsid w:val="B7FECB1C"/>
    <w:rsid w:val="BCE72E35"/>
    <w:rsid w:val="BFA76C2F"/>
    <w:rsid w:val="CEDFA4E9"/>
    <w:rsid w:val="DAE7158C"/>
    <w:rsid w:val="DAFFEAC6"/>
    <w:rsid w:val="E5EBBE9B"/>
    <w:rsid w:val="EC875122"/>
    <w:rsid w:val="EF2E6EB0"/>
    <w:rsid w:val="F5FF379B"/>
    <w:rsid w:val="F67FB82A"/>
    <w:rsid w:val="FA554A5C"/>
    <w:rsid w:val="FAB77557"/>
    <w:rsid w:val="FABFF406"/>
    <w:rsid w:val="FDFF88BF"/>
    <w:rsid w:val="FEF9FEDB"/>
    <w:rsid w:val="FFA7C7BF"/>
    <w:rsid w:val="FFBC371E"/>
    <w:rsid w:val="FFD771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uiPriority="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50"/>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4">
    <w:name w:val="toc 7"/>
    <w:basedOn w:val="1"/>
    <w:next w:val="1"/>
    <w:semiHidden/>
    <w:qFormat/>
    <w:uiPriority w:val="0"/>
    <w:pPr>
      <w:tabs>
        <w:tab w:val="right" w:leader="dot" w:pos="9241"/>
      </w:tabs>
      <w:ind w:firstLine="505" w:firstLineChars="500"/>
      <w:jc w:val="left"/>
    </w:pPr>
    <w:rPr>
      <w:rFonts w:ascii="宋体"/>
      <w:szCs w:val="21"/>
    </w:rPr>
  </w:style>
  <w:style w:type="paragraph" w:styleId="5">
    <w:name w:val="index 8"/>
    <w:basedOn w:val="1"/>
    <w:next w:val="1"/>
    <w:qFormat/>
    <w:uiPriority w:val="0"/>
    <w:pPr>
      <w:ind w:left="1680" w:hanging="210"/>
      <w:jc w:val="left"/>
    </w:pPr>
    <w:rPr>
      <w:rFonts w:ascii="Calibri" w:hAnsi="Calibri"/>
      <w:sz w:val="20"/>
      <w:szCs w:val="20"/>
    </w:rPr>
  </w:style>
  <w:style w:type="paragraph" w:styleId="6">
    <w:name w:val="caption"/>
    <w:basedOn w:val="1"/>
    <w:next w:val="1"/>
    <w:qFormat/>
    <w:uiPriority w:val="0"/>
    <w:pPr>
      <w:spacing w:before="152" w:after="160"/>
    </w:pPr>
    <w:rPr>
      <w:rFonts w:ascii="Arial" w:hAnsi="Arial" w:eastAsia="黑体" w:cs="Arial"/>
      <w:sz w:val="20"/>
      <w:szCs w:val="20"/>
    </w:rPr>
  </w:style>
  <w:style w:type="paragraph" w:styleId="7">
    <w:name w:val="index 5"/>
    <w:basedOn w:val="1"/>
    <w:next w:val="1"/>
    <w:qFormat/>
    <w:uiPriority w:val="0"/>
    <w:pPr>
      <w:ind w:left="1050" w:hanging="210"/>
      <w:jc w:val="left"/>
    </w:pPr>
    <w:rPr>
      <w:rFonts w:ascii="Calibri" w:hAnsi="Calibri"/>
      <w:sz w:val="20"/>
      <w:szCs w:val="20"/>
    </w:rPr>
  </w:style>
  <w:style w:type="paragraph" w:styleId="8">
    <w:name w:val="Document Map"/>
    <w:basedOn w:val="1"/>
    <w:semiHidden/>
    <w:qFormat/>
    <w:uiPriority w:val="0"/>
    <w:pPr>
      <w:shd w:val="clear" w:color="auto" w:fill="000080"/>
    </w:pPr>
  </w:style>
  <w:style w:type="paragraph" w:styleId="9">
    <w:name w:val="index 6"/>
    <w:basedOn w:val="1"/>
    <w:next w:val="1"/>
    <w:qFormat/>
    <w:uiPriority w:val="0"/>
    <w:pPr>
      <w:ind w:left="1260" w:hanging="210"/>
      <w:jc w:val="left"/>
    </w:pPr>
    <w:rPr>
      <w:rFonts w:ascii="Calibri" w:hAnsi="Calibri"/>
      <w:sz w:val="20"/>
      <w:szCs w:val="20"/>
    </w:rPr>
  </w:style>
  <w:style w:type="paragraph" w:styleId="10">
    <w:name w:val="index 4"/>
    <w:basedOn w:val="1"/>
    <w:next w:val="1"/>
    <w:qFormat/>
    <w:uiPriority w:val="0"/>
    <w:pPr>
      <w:ind w:left="840" w:hanging="210"/>
      <w:jc w:val="left"/>
    </w:pPr>
    <w:rPr>
      <w:rFonts w:ascii="Calibri" w:hAnsi="Calibri"/>
      <w:sz w:val="20"/>
      <w:szCs w:val="20"/>
    </w:rPr>
  </w:style>
  <w:style w:type="paragraph" w:styleId="11">
    <w:name w:val="toc 5"/>
    <w:basedOn w:val="1"/>
    <w:next w:val="1"/>
    <w:semiHidden/>
    <w:qFormat/>
    <w:uiPriority w:val="0"/>
    <w:pPr>
      <w:tabs>
        <w:tab w:val="right" w:leader="dot" w:pos="9241"/>
      </w:tabs>
      <w:ind w:firstLine="300" w:firstLineChars="300"/>
      <w:jc w:val="left"/>
    </w:pPr>
    <w:rPr>
      <w:rFonts w:ascii="宋体"/>
      <w:szCs w:val="21"/>
    </w:rPr>
  </w:style>
  <w:style w:type="paragraph" w:styleId="12">
    <w:name w:val="toc 3"/>
    <w:basedOn w:val="1"/>
    <w:next w:val="1"/>
    <w:qFormat/>
    <w:uiPriority w:val="39"/>
    <w:pPr>
      <w:tabs>
        <w:tab w:val="right" w:leader="dot" w:pos="9241"/>
      </w:tabs>
      <w:ind w:firstLine="102" w:firstLineChars="100"/>
      <w:jc w:val="left"/>
    </w:pPr>
    <w:rPr>
      <w:rFonts w:ascii="宋体"/>
      <w:szCs w:val="21"/>
    </w:rPr>
  </w:style>
  <w:style w:type="paragraph" w:styleId="13">
    <w:name w:val="toc 8"/>
    <w:basedOn w:val="1"/>
    <w:next w:val="1"/>
    <w:semiHidden/>
    <w:qFormat/>
    <w:uiPriority w:val="0"/>
    <w:pPr>
      <w:tabs>
        <w:tab w:val="right" w:leader="dot" w:pos="9241"/>
      </w:tabs>
      <w:ind w:firstLine="607" w:firstLineChars="600"/>
      <w:jc w:val="left"/>
    </w:pPr>
    <w:rPr>
      <w:rFonts w:ascii="宋体"/>
      <w:szCs w:val="21"/>
    </w:rPr>
  </w:style>
  <w:style w:type="paragraph" w:styleId="14">
    <w:name w:val="index 3"/>
    <w:basedOn w:val="1"/>
    <w:next w:val="1"/>
    <w:qFormat/>
    <w:uiPriority w:val="0"/>
    <w:pPr>
      <w:ind w:left="630" w:hanging="210"/>
      <w:jc w:val="left"/>
    </w:pPr>
    <w:rPr>
      <w:rFonts w:ascii="Calibri" w:hAnsi="Calibri"/>
      <w:sz w:val="20"/>
      <w:szCs w:val="20"/>
    </w:rPr>
  </w:style>
  <w:style w:type="paragraph" w:styleId="15">
    <w:name w:val="endnote text"/>
    <w:basedOn w:val="1"/>
    <w:semiHidden/>
    <w:qFormat/>
    <w:uiPriority w:val="0"/>
    <w:pPr>
      <w:snapToGrid w:val="0"/>
      <w:jc w:val="left"/>
    </w:pPr>
  </w:style>
  <w:style w:type="paragraph" w:styleId="16">
    <w:name w:val="Balloon Text"/>
    <w:basedOn w:val="1"/>
    <w:link w:val="135"/>
    <w:qFormat/>
    <w:uiPriority w:val="0"/>
    <w:rPr>
      <w:sz w:val="18"/>
      <w:szCs w:val="18"/>
    </w:rPr>
  </w:style>
  <w:style w:type="paragraph" w:styleId="17">
    <w:name w:val="footer"/>
    <w:basedOn w:val="1"/>
    <w:qFormat/>
    <w:uiPriority w:val="0"/>
    <w:pPr>
      <w:snapToGrid w:val="0"/>
      <w:ind w:right="210" w:rightChars="100"/>
      <w:jc w:val="right"/>
    </w:pPr>
    <w:rPr>
      <w:sz w:val="18"/>
      <w:szCs w:val="18"/>
    </w:rPr>
  </w:style>
  <w:style w:type="paragraph" w:styleId="18">
    <w:name w:val="header"/>
    <w:basedOn w:val="1"/>
    <w:qFormat/>
    <w:uiPriority w:val="0"/>
    <w:pPr>
      <w:snapToGrid w:val="0"/>
      <w:jc w:val="left"/>
    </w:pPr>
    <w:rPr>
      <w:sz w:val="18"/>
      <w:szCs w:val="18"/>
    </w:rPr>
  </w:style>
  <w:style w:type="paragraph" w:styleId="19">
    <w:name w:val="toc 1"/>
    <w:basedOn w:val="1"/>
    <w:next w:val="1"/>
    <w:qFormat/>
    <w:uiPriority w:val="39"/>
    <w:pPr>
      <w:tabs>
        <w:tab w:val="right" w:leader="dot" w:pos="9241"/>
      </w:tabs>
      <w:spacing w:beforeLines="25" w:afterLines="25"/>
      <w:jc w:val="left"/>
    </w:pPr>
    <w:rPr>
      <w:rFonts w:ascii="宋体"/>
      <w:szCs w:val="21"/>
    </w:rPr>
  </w:style>
  <w:style w:type="paragraph" w:styleId="20">
    <w:name w:val="toc 4"/>
    <w:basedOn w:val="1"/>
    <w:next w:val="1"/>
    <w:semiHidden/>
    <w:qFormat/>
    <w:uiPriority w:val="0"/>
    <w:pPr>
      <w:tabs>
        <w:tab w:val="right" w:leader="dot" w:pos="9241"/>
      </w:tabs>
      <w:ind w:firstLine="198" w:firstLineChars="200"/>
      <w:jc w:val="left"/>
    </w:pPr>
    <w:rPr>
      <w:rFonts w:ascii="宋体"/>
      <w:szCs w:val="21"/>
    </w:rPr>
  </w:style>
  <w:style w:type="paragraph" w:styleId="21">
    <w:name w:val="index heading"/>
    <w:basedOn w:val="1"/>
    <w:next w:val="22"/>
    <w:qFormat/>
    <w:uiPriority w:val="0"/>
    <w:pPr>
      <w:spacing w:before="120" w:after="120"/>
      <w:jc w:val="center"/>
    </w:pPr>
    <w:rPr>
      <w:rFonts w:ascii="Calibri" w:hAnsi="Calibri"/>
      <w:b/>
      <w:bCs/>
      <w:iCs/>
      <w:szCs w:val="20"/>
    </w:rPr>
  </w:style>
  <w:style w:type="paragraph" w:styleId="22">
    <w:name w:val="index 1"/>
    <w:basedOn w:val="1"/>
    <w:next w:val="23"/>
    <w:qFormat/>
    <w:uiPriority w:val="0"/>
    <w:pPr>
      <w:tabs>
        <w:tab w:val="right" w:leader="dot" w:pos="9299"/>
      </w:tabs>
      <w:jc w:val="left"/>
    </w:pPr>
    <w:rPr>
      <w:rFonts w:ascii="宋体"/>
      <w:szCs w:val="21"/>
    </w:rPr>
  </w:style>
  <w:style w:type="paragraph" w:customStyle="1" w:styleId="23">
    <w:name w:val="段"/>
    <w:link w:val="139"/>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4">
    <w:name w:val="footnote text"/>
    <w:basedOn w:val="1"/>
    <w:qFormat/>
    <w:uiPriority w:val="0"/>
    <w:pPr>
      <w:numPr>
        <w:ilvl w:val="0"/>
        <w:numId w:val="1"/>
      </w:numPr>
      <w:snapToGrid w:val="0"/>
      <w:jc w:val="left"/>
    </w:pPr>
    <w:rPr>
      <w:rFonts w:ascii="宋体"/>
      <w:sz w:val="18"/>
      <w:szCs w:val="18"/>
    </w:rPr>
  </w:style>
  <w:style w:type="paragraph" w:styleId="25">
    <w:name w:val="toc 6"/>
    <w:basedOn w:val="1"/>
    <w:next w:val="1"/>
    <w:semiHidden/>
    <w:qFormat/>
    <w:uiPriority w:val="0"/>
    <w:pPr>
      <w:tabs>
        <w:tab w:val="right" w:leader="dot" w:pos="9241"/>
      </w:tabs>
      <w:ind w:firstLine="403" w:firstLineChars="400"/>
      <w:jc w:val="left"/>
    </w:pPr>
    <w:rPr>
      <w:rFonts w:ascii="宋体"/>
      <w:szCs w:val="21"/>
    </w:rPr>
  </w:style>
  <w:style w:type="paragraph" w:styleId="26">
    <w:name w:val="index 7"/>
    <w:basedOn w:val="1"/>
    <w:next w:val="1"/>
    <w:qFormat/>
    <w:uiPriority w:val="0"/>
    <w:pPr>
      <w:ind w:left="1470" w:hanging="210"/>
      <w:jc w:val="left"/>
    </w:pPr>
    <w:rPr>
      <w:rFonts w:ascii="Calibri" w:hAnsi="Calibri"/>
      <w:sz w:val="20"/>
      <w:szCs w:val="20"/>
    </w:rPr>
  </w:style>
  <w:style w:type="paragraph" w:styleId="27">
    <w:name w:val="index 9"/>
    <w:basedOn w:val="1"/>
    <w:next w:val="1"/>
    <w:qFormat/>
    <w:uiPriority w:val="0"/>
    <w:pPr>
      <w:ind w:left="1890" w:hanging="210"/>
      <w:jc w:val="left"/>
    </w:pPr>
    <w:rPr>
      <w:rFonts w:ascii="Calibri" w:hAnsi="Calibri"/>
      <w:sz w:val="20"/>
      <w:szCs w:val="20"/>
    </w:rPr>
  </w:style>
  <w:style w:type="paragraph" w:styleId="28">
    <w:name w:val="toc 2"/>
    <w:basedOn w:val="1"/>
    <w:next w:val="1"/>
    <w:qFormat/>
    <w:uiPriority w:val="39"/>
    <w:pPr>
      <w:tabs>
        <w:tab w:val="right" w:leader="dot" w:pos="9241"/>
      </w:tabs>
    </w:pPr>
    <w:rPr>
      <w:rFonts w:ascii="宋体"/>
      <w:szCs w:val="21"/>
    </w:rPr>
  </w:style>
  <w:style w:type="paragraph" w:styleId="29">
    <w:name w:val="toc 9"/>
    <w:basedOn w:val="1"/>
    <w:next w:val="1"/>
    <w:semiHidden/>
    <w:qFormat/>
    <w:uiPriority w:val="0"/>
    <w:pPr>
      <w:ind w:left="1470"/>
      <w:jc w:val="left"/>
    </w:pPr>
    <w:rPr>
      <w:sz w:val="20"/>
      <w:szCs w:val="20"/>
    </w:rPr>
  </w:style>
  <w:style w:type="paragraph" w:styleId="30">
    <w:name w:val="HTML Preformatted"/>
    <w:basedOn w:val="1"/>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semiHidden/>
    <w:unhideWhenUsed/>
    <w:qFormat/>
    <w:uiPriority w:val="0"/>
    <w:rPr>
      <w:sz w:val="24"/>
    </w:rPr>
  </w:style>
  <w:style w:type="paragraph" w:styleId="32">
    <w:name w:val="index 2"/>
    <w:basedOn w:val="1"/>
    <w:next w:val="1"/>
    <w:qFormat/>
    <w:uiPriority w:val="0"/>
    <w:pPr>
      <w:ind w:left="420" w:hanging="210"/>
      <w:jc w:val="left"/>
    </w:pPr>
    <w:rPr>
      <w:rFonts w:ascii="Calibri" w:hAnsi="Calibri"/>
      <w:sz w:val="20"/>
      <w:szCs w:val="20"/>
    </w:rPr>
  </w:style>
  <w:style w:type="table" w:styleId="34">
    <w:name w:val="Table Grid"/>
    <w:basedOn w:val="33"/>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6">
    <w:name w:val="endnote reference"/>
    <w:semiHidden/>
    <w:qFormat/>
    <w:uiPriority w:val="0"/>
    <w:rPr>
      <w:vertAlign w:val="superscript"/>
    </w:rPr>
  </w:style>
  <w:style w:type="character" w:styleId="37">
    <w:name w:val="page number"/>
    <w:qFormat/>
    <w:uiPriority w:val="0"/>
    <w:rPr>
      <w:rFonts w:ascii="Times New Roman" w:hAnsi="Times New Roman" w:eastAsia="宋体"/>
      <w:sz w:val="18"/>
    </w:rPr>
  </w:style>
  <w:style w:type="character" w:styleId="38">
    <w:name w:val="FollowedHyperlink"/>
    <w:qFormat/>
    <w:uiPriority w:val="0"/>
    <w:rPr>
      <w:color w:val="800080"/>
      <w:u w:val="single"/>
    </w:rPr>
  </w:style>
  <w:style w:type="character" w:styleId="39">
    <w:name w:val="Hyperlink"/>
    <w:qFormat/>
    <w:uiPriority w:val="99"/>
    <w:rPr>
      <w:color w:val="0000FF"/>
      <w:spacing w:val="0"/>
      <w:w w:val="100"/>
      <w:szCs w:val="21"/>
      <w:u w:val="single"/>
    </w:rPr>
  </w:style>
  <w:style w:type="character" w:styleId="40">
    <w:name w:val="footnote reference"/>
    <w:semiHidden/>
    <w:qFormat/>
    <w:uiPriority w:val="0"/>
    <w:rPr>
      <w:vertAlign w:val="superscript"/>
    </w:rPr>
  </w:style>
  <w:style w:type="paragraph" w:customStyle="1" w:styleId="41">
    <w:name w:val="二级无"/>
    <w:basedOn w:val="42"/>
    <w:qFormat/>
    <w:uiPriority w:val="0"/>
    <w:pPr>
      <w:spacing w:beforeLines="0" w:afterLines="0"/>
    </w:pPr>
    <w:rPr>
      <w:rFonts w:ascii="宋体" w:eastAsia="宋体"/>
    </w:rPr>
  </w:style>
  <w:style w:type="paragraph" w:customStyle="1" w:styleId="42">
    <w:name w:val="二级条标题"/>
    <w:basedOn w:val="43"/>
    <w:next w:val="23"/>
    <w:qFormat/>
    <w:uiPriority w:val="0"/>
    <w:pPr>
      <w:numPr>
        <w:ilvl w:val="2"/>
      </w:numPr>
      <w:spacing w:before="50" w:after="50"/>
      <w:outlineLvl w:val="3"/>
    </w:pPr>
  </w:style>
  <w:style w:type="paragraph" w:customStyle="1" w:styleId="43">
    <w:name w:val="一级条标题"/>
    <w:next w:val="23"/>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44">
    <w:name w:val="章标题"/>
    <w:next w:val="23"/>
    <w:qFormat/>
    <w:uiPriority w:val="0"/>
    <w:pPr>
      <w:numPr>
        <w:ilvl w:val="0"/>
        <w:numId w:val="2"/>
      </w:numPr>
      <w:spacing w:beforeLines="100" w:afterLines="100"/>
      <w:ind w:left="0"/>
      <w:jc w:val="both"/>
      <w:outlineLvl w:val="1"/>
    </w:pPr>
    <w:rPr>
      <w:rFonts w:ascii="黑体" w:hAnsi="Times New Roman" w:eastAsia="黑体" w:cs="Times New Roman"/>
      <w:sz w:val="21"/>
      <w:lang w:val="en-US" w:eastAsia="zh-CN" w:bidi="ar-SA"/>
    </w:rPr>
  </w:style>
  <w:style w:type="paragraph" w:customStyle="1" w:styleId="45">
    <w:name w:val="三级条标题"/>
    <w:basedOn w:val="42"/>
    <w:next w:val="23"/>
    <w:qFormat/>
    <w:uiPriority w:val="0"/>
    <w:pPr>
      <w:numPr>
        <w:ilvl w:val="3"/>
      </w:numPr>
      <w:outlineLvl w:val="4"/>
    </w:pPr>
  </w:style>
  <w:style w:type="paragraph" w:customStyle="1" w:styleId="46">
    <w:name w:val="四级条标题"/>
    <w:basedOn w:val="45"/>
    <w:next w:val="23"/>
    <w:qFormat/>
    <w:uiPriority w:val="0"/>
    <w:pPr>
      <w:numPr>
        <w:ilvl w:val="4"/>
      </w:numPr>
      <w:outlineLvl w:val="5"/>
    </w:pPr>
  </w:style>
  <w:style w:type="paragraph" w:customStyle="1" w:styleId="47">
    <w:name w:val="五级条标题"/>
    <w:basedOn w:val="46"/>
    <w:next w:val="23"/>
    <w:qFormat/>
    <w:uiPriority w:val="0"/>
    <w:pPr>
      <w:numPr>
        <w:ilvl w:val="5"/>
      </w:numPr>
      <w:outlineLvl w:val="6"/>
    </w:pPr>
  </w:style>
  <w:style w:type="paragraph" w:customStyle="1" w:styleId="48">
    <w:name w:val="三级无"/>
    <w:basedOn w:val="45"/>
    <w:qFormat/>
    <w:uiPriority w:val="0"/>
    <w:pPr>
      <w:spacing w:beforeLines="0" w:afterLines="0"/>
    </w:pPr>
    <w:rPr>
      <w:rFonts w:ascii="宋体" w:eastAsia="宋体"/>
    </w:rPr>
  </w:style>
  <w:style w:type="paragraph" w:customStyle="1" w:styleId="49">
    <w:name w:val="一级无"/>
    <w:basedOn w:val="43"/>
    <w:qFormat/>
    <w:uiPriority w:val="0"/>
    <w:pPr>
      <w:spacing w:beforeLines="0" w:afterLines="0"/>
    </w:pPr>
    <w:rPr>
      <w:rFonts w:ascii="宋体" w:eastAsia="宋体"/>
    </w:rPr>
  </w:style>
  <w:style w:type="paragraph" w:customStyle="1" w:styleId="50">
    <w:name w:val="数字编号列项（二级）"/>
    <w:qFormat/>
    <w:uiPriority w:val="0"/>
    <w:pPr>
      <w:numPr>
        <w:ilvl w:val="1"/>
        <w:numId w:val="3"/>
      </w:numPr>
      <w:jc w:val="both"/>
    </w:pPr>
    <w:rPr>
      <w:rFonts w:ascii="宋体" w:hAnsi="Times New Roman" w:eastAsia="宋体" w:cs="Times New Roman"/>
      <w:sz w:val="21"/>
      <w:lang w:val="en-US" w:eastAsia="zh-CN" w:bidi="ar-SA"/>
    </w:rPr>
  </w:style>
  <w:style w:type="paragraph" w:customStyle="1" w:styleId="51">
    <w:name w:val="字母编号列项（一级）"/>
    <w:qFormat/>
    <w:uiPriority w:val="0"/>
    <w:pPr>
      <w:numPr>
        <w:ilvl w:val="0"/>
        <w:numId w:val="3"/>
      </w:numPr>
      <w:jc w:val="both"/>
    </w:pPr>
    <w:rPr>
      <w:rFonts w:ascii="宋体" w:hAnsi="Times New Roman" w:eastAsia="宋体" w:cs="Times New Roman"/>
      <w:sz w:val="21"/>
      <w:lang w:val="en-US" w:eastAsia="zh-CN" w:bidi="ar-SA"/>
    </w:rPr>
  </w:style>
  <w:style w:type="paragraph" w:customStyle="1" w:styleId="52">
    <w:name w:val="编号列项（三级）"/>
    <w:qFormat/>
    <w:uiPriority w:val="0"/>
    <w:pPr>
      <w:numPr>
        <w:ilvl w:val="2"/>
        <w:numId w:val="3"/>
      </w:numPr>
    </w:pPr>
    <w:rPr>
      <w:rFonts w:ascii="宋体" w:hAnsi="Times New Roman" w:eastAsia="宋体" w:cs="Times New Roman"/>
      <w:sz w:val="21"/>
      <w:lang w:val="en-US" w:eastAsia="zh-CN" w:bidi="ar-SA"/>
    </w:rPr>
  </w:style>
  <w:style w:type="paragraph" w:customStyle="1" w:styleId="53">
    <w:name w:val="封面一致性程度标识2"/>
    <w:basedOn w:val="54"/>
    <w:qFormat/>
    <w:uiPriority w:val="0"/>
    <w:pPr>
      <w:framePr w:wrap="around" w:y="4469"/>
    </w:pPr>
  </w:style>
  <w:style w:type="paragraph" w:customStyle="1" w:styleId="54">
    <w:name w:val="封面一致性程度标识"/>
    <w:basedOn w:val="55"/>
    <w:qFormat/>
    <w:uiPriority w:val="0"/>
    <w:pPr>
      <w:framePr w:wrap="around"/>
      <w:spacing w:before="440"/>
    </w:pPr>
    <w:rPr>
      <w:rFonts w:ascii="宋体" w:eastAsia="宋体"/>
    </w:rPr>
  </w:style>
  <w:style w:type="paragraph" w:customStyle="1" w:styleId="55">
    <w:name w:val="封面标准英文名称"/>
    <w:basedOn w:val="56"/>
    <w:qFormat/>
    <w:uiPriority w:val="0"/>
    <w:pPr>
      <w:framePr w:wrap="around"/>
      <w:spacing w:before="370" w:line="400" w:lineRule="exact"/>
    </w:pPr>
    <w:rPr>
      <w:rFonts w:ascii="Times New Roman"/>
      <w:sz w:val="28"/>
      <w:szCs w:val="28"/>
    </w:rPr>
  </w:style>
  <w:style w:type="paragraph" w:customStyle="1" w:styleId="56">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57">
    <w:name w:val="封面标准英文名称2"/>
    <w:basedOn w:val="55"/>
    <w:qFormat/>
    <w:uiPriority w:val="0"/>
    <w:pPr>
      <w:framePr w:wrap="around" w:y="4469"/>
    </w:pPr>
  </w:style>
  <w:style w:type="paragraph" w:customStyle="1" w:styleId="58">
    <w:name w:val="其他实施日期"/>
    <w:basedOn w:val="59"/>
    <w:qFormat/>
    <w:uiPriority w:val="0"/>
    <w:pPr>
      <w:framePr w:wrap="around"/>
    </w:pPr>
  </w:style>
  <w:style w:type="paragraph" w:customStyle="1" w:styleId="59">
    <w:name w:val="实施日期"/>
    <w:qFormat/>
    <w:uiPriority w:val="0"/>
    <w:pPr>
      <w:framePr w:w="3997" w:h="471" w:hRule="exact" w:vSpace="181" w:wrap="around" w:vAnchor="page" w:hAnchor="page" w:x="7089" w:y="14097"/>
      <w:jc w:val="right"/>
    </w:pPr>
    <w:rPr>
      <w:rFonts w:ascii="Times New Roman" w:hAnsi="Times New Roman" w:eastAsia="黑体" w:cs="Times New Roman"/>
      <w:sz w:val="28"/>
      <w:lang w:val="en-US" w:eastAsia="zh-CN" w:bidi="ar-SA"/>
    </w:rPr>
  </w:style>
  <w:style w:type="paragraph" w:customStyle="1" w:styleId="60">
    <w:name w:val="终结线"/>
    <w:basedOn w:val="1"/>
    <w:qFormat/>
    <w:uiPriority w:val="0"/>
    <w:pPr>
      <w:framePr w:hSpace="181" w:vSpace="181" w:wrap="around" w:vAnchor="text" w:hAnchor="margin" w:xAlign="center" w:y="285"/>
    </w:pPr>
  </w:style>
  <w:style w:type="paragraph" w:customStyle="1" w:styleId="61">
    <w:name w:val="正文公式编号制表符"/>
    <w:basedOn w:val="23"/>
    <w:next w:val="23"/>
    <w:qFormat/>
    <w:uiPriority w:val="0"/>
    <w:pPr>
      <w:ind w:firstLine="0" w:firstLineChars="0"/>
    </w:pPr>
  </w:style>
  <w:style w:type="paragraph" w:customStyle="1" w:styleId="62">
    <w:name w:val="正文表标题"/>
    <w:next w:val="23"/>
    <w:qFormat/>
    <w:uiPriority w:val="0"/>
    <w:pPr>
      <w:numPr>
        <w:ilvl w:val="0"/>
        <w:numId w:val="4"/>
      </w:numPr>
      <w:spacing w:beforeLines="50" w:afterLines="50"/>
      <w:jc w:val="center"/>
    </w:pPr>
    <w:rPr>
      <w:rFonts w:ascii="黑体" w:hAnsi="Times New Roman" w:eastAsia="黑体" w:cs="Times New Roman"/>
      <w:sz w:val="21"/>
      <w:lang w:val="en-US" w:eastAsia="zh-CN" w:bidi="ar-SA"/>
    </w:rPr>
  </w:style>
  <w:style w:type="paragraph" w:customStyle="1" w:styleId="63">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64">
    <w:name w:val="图表脚注说明"/>
    <w:basedOn w:val="1"/>
    <w:qFormat/>
    <w:uiPriority w:val="0"/>
    <w:pPr>
      <w:numPr>
        <w:ilvl w:val="0"/>
        <w:numId w:val="5"/>
      </w:numPr>
    </w:pPr>
    <w:rPr>
      <w:rFonts w:ascii="宋体"/>
      <w:sz w:val="18"/>
      <w:szCs w:val="18"/>
    </w:rPr>
  </w:style>
  <w:style w:type="paragraph" w:customStyle="1" w:styleId="65">
    <w:name w:val="条文脚注"/>
    <w:basedOn w:val="24"/>
    <w:qFormat/>
    <w:uiPriority w:val="0"/>
    <w:pPr>
      <w:numPr>
        <w:numId w:val="0"/>
      </w:numPr>
      <w:jc w:val="both"/>
    </w:pPr>
  </w:style>
  <w:style w:type="paragraph" w:customStyle="1" w:styleId="66">
    <w:name w:val="封面标准文稿编辑信息2"/>
    <w:basedOn w:val="67"/>
    <w:qFormat/>
    <w:uiPriority w:val="0"/>
    <w:pPr>
      <w:framePr w:wrap="around" w:y="4469"/>
    </w:pPr>
  </w:style>
  <w:style w:type="paragraph" w:customStyle="1" w:styleId="67">
    <w:name w:val="封面标准文稿编辑信息"/>
    <w:basedOn w:val="68"/>
    <w:qFormat/>
    <w:uiPriority w:val="0"/>
    <w:pPr>
      <w:framePr w:wrap="around"/>
      <w:spacing w:before="180" w:line="180" w:lineRule="exact"/>
    </w:pPr>
    <w:rPr>
      <w:sz w:val="21"/>
    </w:rPr>
  </w:style>
  <w:style w:type="paragraph" w:customStyle="1" w:styleId="68">
    <w:name w:val="封面标准文稿类别"/>
    <w:basedOn w:val="54"/>
    <w:qFormat/>
    <w:uiPriority w:val="0"/>
    <w:pPr>
      <w:framePr w:wrap="around"/>
      <w:spacing w:after="160" w:line="240" w:lineRule="auto"/>
    </w:pPr>
    <w:rPr>
      <w:sz w:val="24"/>
    </w:rPr>
  </w:style>
  <w:style w:type="paragraph" w:customStyle="1" w:styleId="69">
    <w:name w:val="首示例"/>
    <w:next w:val="23"/>
    <w:link w:val="134"/>
    <w:qFormat/>
    <w:uiPriority w:val="0"/>
    <w:pPr>
      <w:tabs>
        <w:tab w:val="left" w:pos="360"/>
      </w:tabs>
    </w:pPr>
    <w:rPr>
      <w:rFonts w:ascii="宋体" w:hAnsi="宋体" w:eastAsia="宋体" w:cs="Times New Roman"/>
      <w:kern w:val="2"/>
      <w:sz w:val="18"/>
      <w:szCs w:val="18"/>
      <w:lang w:val="en-US" w:eastAsia="zh-CN" w:bidi="ar-SA"/>
    </w:rPr>
  </w:style>
  <w:style w:type="paragraph" w:customStyle="1" w:styleId="70">
    <w:name w:val="前言、引言标题"/>
    <w:next w:val="23"/>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71">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72">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73">
    <w:name w:val="标准名称"/>
    <w:basedOn w:val="74"/>
    <w:link w:val="136"/>
    <w:qFormat/>
    <w:uiPriority w:val="0"/>
  </w:style>
  <w:style w:type="paragraph" w:customStyle="1" w:styleId="74">
    <w:name w:val="目次、标准名称标题"/>
    <w:basedOn w:val="1"/>
    <w:next w:val="23"/>
    <w:link w:val="137"/>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75">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76">
    <w:name w:val="附录字母编号列项（一级）"/>
    <w:qFormat/>
    <w:uiPriority w:val="0"/>
    <w:pPr>
      <w:numPr>
        <w:ilvl w:val="0"/>
        <w:numId w:val="6"/>
      </w:numPr>
    </w:pPr>
    <w:rPr>
      <w:rFonts w:ascii="宋体" w:hAnsi="Times New Roman" w:eastAsia="宋体" w:cs="Times New Roman"/>
      <w:sz w:val="21"/>
      <w:lang w:val="en-US" w:eastAsia="zh-CN" w:bidi="ar-SA"/>
    </w:rPr>
  </w:style>
  <w:style w:type="paragraph" w:customStyle="1" w:styleId="77">
    <w:name w:val="附录一级条标题"/>
    <w:basedOn w:val="78"/>
    <w:next w:val="23"/>
    <w:qFormat/>
    <w:uiPriority w:val="0"/>
    <w:pPr>
      <w:numPr>
        <w:ilvl w:val="2"/>
      </w:numPr>
      <w:tabs>
        <w:tab w:val="left" w:pos="360"/>
      </w:tabs>
      <w:autoSpaceDN w:val="0"/>
      <w:spacing w:beforeLines="50" w:afterLines="50"/>
      <w:outlineLvl w:val="2"/>
    </w:pPr>
  </w:style>
  <w:style w:type="paragraph" w:customStyle="1" w:styleId="78">
    <w:name w:val="附录章标题"/>
    <w:next w:val="23"/>
    <w:qFormat/>
    <w:uiPriority w:val="0"/>
    <w:pPr>
      <w:numPr>
        <w:ilvl w:val="1"/>
        <w:numId w:val="7"/>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79">
    <w:name w:val="附录图标号"/>
    <w:basedOn w:val="1"/>
    <w:qFormat/>
    <w:uiPriority w:val="0"/>
    <w:pPr>
      <w:keepNext/>
      <w:pageBreakBefore/>
      <w:widowControl/>
      <w:numPr>
        <w:ilvl w:val="0"/>
        <w:numId w:val="8"/>
      </w:numPr>
      <w:spacing w:line="14" w:lineRule="exact"/>
      <w:ind w:left="0" w:firstLine="363"/>
      <w:jc w:val="center"/>
      <w:outlineLvl w:val="0"/>
    </w:pPr>
    <w:rPr>
      <w:color w:val="FFFFFF"/>
    </w:rPr>
  </w:style>
  <w:style w:type="paragraph" w:customStyle="1" w:styleId="80">
    <w:name w:val="附录四级条标题"/>
    <w:basedOn w:val="81"/>
    <w:next w:val="23"/>
    <w:qFormat/>
    <w:uiPriority w:val="0"/>
    <w:pPr>
      <w:numPr>
        <w:ilvl w:val="5"/>
      </w:numPr>
      <w:tabs>
        <w:tab w:val="left" w:pos="360"/>
      </w:tabs>
      <w:outlineLvl w:val="5"/>
    </w:pPr>
  </w:style>
  <w:style w:type="paragraph" w:customStyle="1" w:styleId="81">
    <w:name w:val="附录三级条标题"/>
    <w:basedOn w:val="82"/>
    <w:next w:val="23"/>
    <w:qFormat/>
    <w:uiPriority w:val="0"/>
    <w:pPr>
      <w:numPr>
        <w:ilvl w:val="4"/>
      </w:numPr>
      <w:tabs>
        <w:tab w:val="left" w:pos="360"/>
      </w:tabs>
      <w:outlineLvl w:val="4"/>
    </w:pPr>
  </w:style>
  <w:style w:type="paragraph" w:customStyle="1" w:styleId="82">
    <w:name w:val="附录二级条标题"/>
    <w:basedOn w:val="1"/>
    <w:next w:val="23"/>
    <w:qFormat/>
    <w:uiPriority w:val="0"/>
    <w:pPr>
      <w:widowControl/>
      <w:numPr>
        <w:ilvl w:val="3"/>
        <w:numId w:val="7"/>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3">
    <w:name w:val="附录数字编号列项（二级）"/>
    <w:qFormat/>
    <w:uiPriority w:val="0"/>
    <w:pPr>
      <w:numPr>
        <w:ilvl w:val="1"/>
        <w:numId w:val="6"/>
      </w:numPr>
    </w:pPr>
    <w:rPr>
      <w:rFonts w:ascii="宋体" w:hAnsi="Times New Roman" w:eastAsia="宋体" w:cs="Times New Roman"/>
      <w:sz w:val="21"/>
      <w:lang w:val="en-US" w:eastAsia="zh-CN" w:bidi="ar-SA"/>
    </w:rPr>
  </w:style>
  <w:style w:type="paragraph" w:customStyle="1" w:styleId="84">
    <w:name w:val="附录三级无"/>
    <w:basedOn w:val="81"/>
    <w:qFormat/>
    <w:uiPriority w:val="0"/>
    <w:pPr>
      <w:tabs>
        <w:tab w:val="clear" w:pos="360"/>
      </w:tabs>
      <w:spacing w:beforeLines="0" w:afterLines="0"/>
    </w:pPr>
    <w:rPr>
      <w:rFonts w:ascii="宋体" w:eastAsia="宋体"/>
      <w:szCs w:val="21"/>
    </w:rPr>
  </w:style>
  <w:style w:type="paragraph" w:customStyle="1" w:styleId="85">
    <w:name w:val="附录一级无"/>
    <w:basedOn w:val="77"/>
    <w:qFormat/>
    <w:uiPriority w:val="0"/>
    <w:pPr>
      <w:tabs>
        <w:tab w:val="clear" w:pos="360"/>
      </w:tabs>
      <w:spacing w:beforeLines="0" w:afterLines="0"/>
    </w:pPr>
    <w:rPr>
      <w:rFonts w:ascii="宋体" w:eastAsia="宋体"/>
      <w:szCs w:val="21"/>
    </w:rPr>
  </w:style>
  <w:style w:type="paragraph" w:customStyle="1" w:styleId="86">
    <w:name w:val="附录公式"/>
    <w:basedOn w:val="23"/>
    <w:next w:val="23"/>
    <w:link w:val="141"/>
    <w:qFormat/>
    <w:uiPriority w:val="0"/>
  </w:style>
  <w:style w:type="paragraph" w:customStyle="1" w:styleId="87">
    <w:name w:val="附录二级无"/>
    <w:basedOn w:val="82"/>
    <w:qFormat/>
    <w:uiPriority w:val="0"/>
    <w:pPr>
      <w:tabs>
        <w:tab w:val="clear" w:pos="360"/>
      </w:tabs>
      <w:spacing w:beforeLines="0" w:afterLines="0"/>
    </w:pPr>
    <w:rPr>
      <w:rFonts w:ascii="宋体" w:eastAsia="宋体"/>
      <w:szCs w:val="21"/>
    </w:rPr>
  </w:style>
  <w:style w:type="paragraph" w:customStyle="1" w:styleId="88">
    <w:name w:val="附录表标题"/>
    <w:basedOn w:val="1"/>
    <w:next w:val="23"/>
    <w:qFormat/>
    <w:uiPriority w:val="0"/>
    <w:pPr>
      <w:numPr>
        <w:ilvl w:val="1"/>
        <w:numId w:val="9"/>
      </w:numPr>
      <w:tabs>
        <w:tab w:val="left" w:pos="180"/>
      </w:tabs>
      <w:spacing w:beforeLines="50" w:afterLines="50"/>
      <w:ind w:left="0" w:firstLine="0"/>
      <w:jc w:val="center"/>
    </w:pPr>
    <w:rPr>
      <w:rFonts w:ascii="黑体" w:eastAsia="黑体"/>
      <w:szCs w:val="21"/>
    </w:rPr>
  </w:style>
  <w:style w:type="paragraph" w:customStyle="1" w:styleId="89">
    <w:name w:val="附录表标号"/>
    <w:basedOn w:val="1"/>
    <w:next w:val="23"/>
    <w:qFormat/>
    <w:uiPriority w:val="0"/>
    <w:pPr>
      <w:numPr>
        <w:ilvl w:val="0"/>
        <w:numId w:val="9"/>
      </w:numPr>
      <w:tabs>
        <w:tab w:val="clear" w:pos="0"/>
      </w:tabs>
      <w:spacing w:line="14" w:lineRule="exact"/>
      <w:ind w:left="811" w:hanging="448"/>
      <w:jc w:val="center"/>
      <w:outlineLvl w:val="0"/>
    </w:pPr>
    <w:rPr>
      <w:color w:val="FFFFFF"/>
    </w:rPr>
  </w:style>
  <w:style w:type="paragraph" w:customStyle="1" w:styleId="90">
    <w:name w:val="附录标题"/>
    <w:basedOn w:val="23"/>
    <w:next w:val="23"/>
    <w:qFormat/>
    <w:uiPriority w:val="0"/>
    <w:pPr>
      <w:ind w:firstLine="0" w:firstLineChars="0"/>
      <w:jc w:val="center"/>
    </w:pPr>
    <w:rPr>
      <w:rFonts w:ascii="黑体" w:eastAsia="黑体"/>
    </w:rPr>
  </w:style>
  <w:style w:type="paragraph" w:customStyle="1" w:styleId="91">
    <w:name w:val="封面正文"/>
    <w:qFormat/>
    <w:uiPriority w:val="0"/>
    <w:pPr>
      <w:jc w:val="both"/>
    </w:pPr>
    <w:rPr>
      <w:rFonts w:ascii="Times New Roman" w:hAnsi="Times New Roman" w:eastAsia="宋体" w:cs="Times New Roman"/>
      <w:lang w:val="en-US" w:eastAsia="zh-CN" w:bidi="ar-SA"/>
    </w:rPr>
  </w:style>
  <w:style w:type="paragraph" w:customStyle="1" w:styleId="92">
    <w:name w:val="附录标识"/>
    <w:basedOn w:val="1"/>
    <w:next w:val="23"/>
    <w:qFormat/>
    <w:uiPriority w:val="0"/>
    <w:pPr>
      <w:keepNext/>
      <w:pageBreakBefore/>
      <w:widowControl/>
      <w:numPr>
        <w:ilvl w:val="0"/>
        <w:numId w:val="7"/>
      </w:numPr>
      <w:shd w:val="clear" w:color="FFFFFF" w:fill="FFFFFF"/>
      <w:tabs>
        <w:tab w:val="left" w:pos="360"/>
        <w:tab w:val="left" w:pos="6405"/>
      </w:tabs>
      <w:spacing w:before="640"/>
      <w:jc w:val="center"/>
      <w:outlineLvl w:val="0"/>
    </w:pPr>
    <w:rPr>
      <w:rFonts w:ascii="Songti SC Black" w:hAnsi="Songti SC Black" w:eastAsia="Songti SC Black"/>
      <w:kern w:val="0"/>
      <w:szCs w:val="20"/>
    </w:rPr>
  </w:style>
  <w:style w:type="paragraph" w:customStyle="1" w:styleId="93">
    <w:name w:val="其他发布部门"/>
    <w:basedOn w:val="94"/>
    <w:qFormat/>
    <w:uiPriority w:val="0"/>
    <w:pPr>
      <w:framePr w:wrap="around" w:y="15310"/>
      <w:spacing w:line="0" w:lineRule="atLeast"/>
    </w:pPr>
    <w:rPr>
      <w:rFonts w:ascii="黑体" w:eastAsia="黑体"/>
      <w:b w:val="0"/>
    </w:rPr>
  </w:style>
  <w:style w:type="paragraph" w:customStyle="1" w:styleId="94">
    <w:name w:val="发布部门"/>
    <w:next w:val="23"/>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95">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96">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97">
    <w:name w:val="附录图标题"/>
    <w:basedOn w:val="1"/>
    <w:next w:val="23"/>
    <w:qFormat/>
    <w:uiPriority w:val="0"/>
    <w:pPr>
      <w:numPr>
        <w:ilvl w:val="1"/>
        <w:numId w:val="8"/>
      </w:numPr>
      <w:tabs>
        <w:tab w:val="left" w:pos="363"/>
      </w:tabs>
      <w:spacing w:beforeLines="50" w:afterLines="50"/>
      <w:ind w:left="0" w:firstLine="0"/>
      <w:jc w:val="center"/>
    </w:pPr>
    <w:rPr>
      <w:rFonts w:ascii="黑体" w:eastAsia="黑体"/>
      <w:szCs w:val="21"/>
    </w:rPr>
  </w:style>
  <w:style w:type="paragraph" w:customStyle="1" w:styleId="98">
    <w:name w:val="参考文献、索引标题"/>
    <w:basedOn w:val="1"/>
    <w:next w:val="23"/>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99">
    <w:name w:val="参考文献"/>
    <w:basedOn w:val="1"/>
    <w:next w:val="23"/>
    <w:qFormat/>
    <w:uiPriority w:val="0"/>
    <w:pPr>
      <w:keepNext/>
      <w:widowControl/>
      <w:numPr>
        <w:ilvl w:val="0"/>
        <w:numId w:val="10"/>
      </w:numPr>
      <w:shd w:val="clear" w:color="FFFFFF" w:fill="FFFFFF"/>
      <w:spacing w:line="240" w:lineRule="atLeast"/>
      <w:ind w:firstLine="200" w:firstLineChars="200"/>
      <w:jc w:val="left"/>
      <w:outlineLvl w:val="0"/>
    </w:pPr>
    <w:rPr>
      <w:rFonts w:ascii="黑体" w:hAnsi="黑体" w:eastAsia="黑体"/>
      <w:kern w:val="0"/>
      <w:szCs w:val="20"/>
    </w:rPr>
  </w:style>
  <w:style w:type="paragraph" w:customStyle="1" w:styleId="100">
    <w:name w:val="标准书眉一"/>
    <w:qFormat/>
    <w:uiPriority w:val="0"/>
    <w:pPr>
      <w:jc w:val="both"/>
    </w:pPr>
    <w:rPr>
      <w:rFonts w:ascii="Times New Roman" w:hAnsi="Times New Roman" w:eastAsia="宋体" w:cs="Times New Roman"/>
      <w:lang w:val="en-US" w:eastAsia="zh-CN" w:bidi="ar-SA"/>
    </w:rPr>
  </w:style>
  <w:style w:type="paragraph" w:customStyle="1" w:styleId="101">
    <w:name w:val="标准书眉_偶数页"/>
    <w:basedOn w:val="102"/>
    <w:next w:val="1"/>
    <w:qFormat/>
    <w:uiPriority w:val="0"/>
    <w:pPr>
      <w:tabs>
        <w:tab w:val="center" w:pos="4154"/>
        <w:tab w:val="right" w:pos="8306"/>
      </w:tabs>
      <w:jc w:val="left"/>
    </w:pPr>
  </w:style>
  <w:style w:type="paragraph" w:customStyle="1" w:styleId="102">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103">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104">
    <w:name w:val="正文图标题"/>
    <w:next w:val="23"/>
    <w:qFormat/>
    <w:uiPriority w:val="0"/>
    <w:pPr>
      <w:numPr>
        <w:ilvl w:val="0"/>
        <w:numId w:val="11"/>
      </w:numPr>
      <w:spacing w:beforeLines="50" w:afterLines="50"/>
      <w:jc w:val="center"/>
    </w:pPr>
    <w:rPr>
      <w:rFonts w:ascii="黑体" w:hAnsi="Times New Roman" w:eastAsia="黑体" w:cs="Times New Roman"/>
      <w:sz w:val="21"/>
      <w:lang w:val="en-US" w:eastAsia="zh-CN" w:bidi="ar-SA"/>
    </w:rPr>
  </w:style>
  <w:style w:type="paragraph" w:customStyle="1" w:styleId="105">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06">
    <w:name w:val="注×：（正文）"/>
    <w:qFormat/>
    <w:uiPriority w:val="0"/>
    <w:pPr>
      <w:numPr>
        <w:ilvl w:val="0"/>
        <w:numId w:val="12"/>
      </w:numPr>
      <w:ind w:left="811" w:hanging="448"/>
      <w:jc w:val="both"/>
    </w:pPr>
    <w:rPr>
      <w:rFonts w:ascii="宋体" w:hAnsi="Times New Roman" w:eastAsia="宋体" w:cs="Times New Roman"/>
      <w:sz w:val="18"/>
      <w:szCs w:val="18"/>
      <w:lang w:val="en-US" w:eastAsia="zh-CN" w:bidi="ar-SA"/>
    </w:rPr>
  </w:style>
  <w:style w:type="paragraph" w:customStyle="1" w:styleId="107">
    <w:name w:val="附录四级无"/>
    <w:basedOn w:val="80"/>
    <w:qFormat/>
    <w:uiPriority w:val="0"/>
    <w:pPr>
      <w:tabs>
        <w:tab w:val="clear" w:pos="360"/>
      </w:tabs>
      <w:spacing w:beforeLines="0" w:afterLines="0"/>
    </w:pPr>
    <w:rPr>
      <w:rFonts w:ascii="宋体" w:eastAsia="宋体"/>
      <w:szCs w:val="21"/>
    </w:rPr>
  </w:style>
  <w:style w:type="paragraph" w:customStyle="1" w:styleId="108">
    <w:name w:val="注：（正文）"/>
    <w:basedOn w:val="109"/>
    <w:next w:val="23"/>
    <w:qFormat/>
    <w:uiPriority w:val="0"/>
    <w:pPr>
      <w:numPr>
        <w:numId w:val="13"/>
      </w:numPr>
      <w:ind w:left="726" w:hanging="363"/>
    </w:pPr>
  </w:style>
  <w:style w:type="paragraph" w:customStyle="1" w:styleId="109">
    <w:name w:val="注："/>
    <w:next w:val="23"/>
    <w:qFormat/>
    <w:uiPriority w:val="0"/>
    <w:pPr>
      <w:widowControl w:val="0"/>
      <w:numPr>
        <w:ilvl w:val="0"/>
        <w:numId w:val="14"/>
      </w:numPr>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110">
    <w:name w:val="示例×："/>
    <w:basedOn w:val="44"/>
    <w:qFormat/>
    <w:uiPriority w:val="0"/>
    <w:pPr>
      <w:numPr>
        <w:numId w:val="15"/>
      </w:numPr>
      <w:spacing w:beforeLines="0" w:afterLines="0"/>
      <w:outlineLvl w:val="9"/>
    </w:pPr>
    <w:rPr>
      <w:rFonts w:ascii="宋体" w:eastAsia="宋体"/>
      <w:sz w:val="18"/>
      <w:szCs w:val="18"/>
    </w:rPr>
  </w:style>
  <w:style w:type="paragraph" w:customStyle="1" w:styleId="111">
    <w:name w:val="封面标准名称2"/>
    <w:basedOn w:val="56"/>
    <w:qFormat/>
    <w:uiPriority w:val="0"/>
    <w:pPr>
      <w:framePr w:wrap="around" w:y="4469"/>
      <w:spacing w:beforeLines="630"/>
    </w:pPr>
  </w:style>
  <w:style w:type="paragraph" w:customStyle="1" w:styleId="112">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13">
    <w:name w:val="列项◆（三级）"/>
    <w:basedOn w:val="1"/>
    <w:qFormat/>
    <w:uiPriority w:val="0"/>
    <w:pPr>
      <w:numPr>
        <w:ilvl w:val="2"/>
        <w:numId w:val="16"/>
      </w:numPr>
    </w:pPr>
    <w:rPr>
      <w:rFonts w:ascii="宋体"/>
      <w:szCs w:val="21"/>
    </w:rPr>
  </w:style>
  <w:style w:type="paragraph" w:customStyle="1" w:styleId="114">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15">
    <w:name w:val="附录五级无"/>
    <w:basedOn w:val="116"/>
    <w:qFormat/>
    <w:uiPriority w:val="0"/>
    <w:pPr>
      <w:tabs>
        <w:tab w:val="left" w:pos="360"/>
      </w:tabs>
      <w:spacing w:beforeLines="0" w:afterLines="0"/>
    </w:pPr>
    <w:rPr>
      <w:rFonts w:ascii="宋体" w:eastAsia="宋体"/>
      <w:szCs w:val="21"/>
    </w:rPr>
  </w:style>
  <w:style w:type="paragraph" w:customStyle="1" w:styleId="116">
    <w:name w:val="附录五级条标题"/>
    <w:basedOn w:val="80"/>
    <w:next w:val="23"/>
    <w:qFormat/>
    <w:uiPriority w:val="0"/>
    <w:pPr>
      <w:numPr>
        <w:ilvl w:val="6"/>
      </w:numPr>
      <w:outlineLvl w:val="6"/>
    </w:pPr>
  </w:style>
  <w:style w:type="paragraph" w:customStyle="1" w:styleId="117">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118">
    <w:name w:val="示例"/>
    <w:next w:val="117"/>
    <w:qFormat/>
    <w:uiPriority w:val="0"/>
    <w:pPr>
      <w:widowControl w:val="0"/>
      <w:numPr>
        <w:ilvl w:val="0"/>
        <w:numId w:val="17"/>
      </w:numPr>
      <w:jc w:val="both"/>
    </w:pPr>
    <w:rPr>
      <w:rFonts w:ascii="宋体" w:hAnsi="Times New Roman" w:eastAsia="宋体" w:cs="Times New Roman"/>
      <w:sz w:val="18"/>
      <w:szCs w:val="18"/>
      <w:lang w:val="en-US" w:eastAsia="zh-CN" w:bidi="ar-SA"/>
    </w:rPr>
  </w:style>
  <w:style w:type="paragraph" w:customStyle="1" w:styleId="119">
    <w:name w:val="列项——（一级）"/>
    <w:qFormat/>
    <w:uiPriority w:val="0"/>
    <w:pPr>
      <w:widowControl w:val="0"/>
      <w:numPr>
        <w:ilvl w:val="0"/>
        <w:numId w:val="16"/>
      </w:numPr>
      <w:jc w:val="both"/>
    </w:pPr>
    <w:rPr>
      <w:rFonts w:ascii="宋体" w:hAnsi="Times New Roman" w:eastAsia="宋体" w:cs="Times New Roman"/>
      <w:sz w:val="21"/>
      <w:lang w:val="en-US" w:eastAsia="zh-CN" w:bidi="ar-SA"/>
    </w:rPr>
  </w:style>
  <w:style w:type="paragraph" w:customStyle="1" w:styleId="120">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21">
    <w:name w:val="列项●（二级）"/>
    <w:qFormat/>
    <w:uiPriority w:val="0"/>
    <w:pPr>
      <w:numPr>
        <w:ilvl w:val="1"/>
        <w:numId w:val="16"/>
      </w:numPr>
      <w:tabs>
        <w:tab w:val="left" w:pos="840"/>
      </w:tabs>
      <w:jc w:val="both"/>
    </w:pPr>
    <w:rPr>
      <w:rFonts w:ascii="宋体" w:hAnsi="Times New Roman" w:eastAsia="宋体" w:cs="Times New Roman"/>
      <w:sz w:val="21"/>
      <w:lang w:val="en-US" w:eastAsia="zh-CN" w:bidi="ar-SA"/>
    </w:rPr>
  </w:style>
  <w:style w:type="paragraph" w:customStyle="1" w:styleId="122">
    <w:name w:val="注×："/>
    <w:qFormat/>
    <w:uiPriority w:val="0"/>
    <w:pPr>
      <w:widowControl w:val="0"/>
      <w:numPr>
        <w:ilvl w:val="0"/>
        <w:numId w:val="18"/>
      </w:numPr>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123">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24">
    <w:name w:val="图的脚注"/>
    <w:next w:val="23"/>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5">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26">
    <w:name w:val="示例后文字"/>
    <w:basedOn w:val="23"/>
    <w:next w:val="23"/>
    <w:qFormat/>
    <w:uiPriority w:val="0"/>
    <w:pPr>
      <w:ind w:firstLine="360"/>
    </w:pPr>
    <w:rPr>
      <w:sz w:val="18"/>
    </w:rPr>
  </w:style>
  <w:style w:type="paragraph" w:customStyle="1" w:styleId="127">
    <w:name w:val="其他标准标志"/>
    <w:basedOn w:val="105"/>
    <w:qFormat/>
    <w:uiPriority w:val="0"/>
    <w:pPr>
      <w:framePr w:w="6101" w:wrap="around" w:vAnchor="page" w:hAnchor="page" w:x="4673" w:y="942"/>
    </w:pPr>
    <w:rPr>
      <w:w w:val="130"/>
    </w:rPr>
  </w:style>
  <w:style w:type="paragraph" w:customStyle="1" w:styleId="128">
    <w:name w:val="封面标准文稿类别2"/>
    <w:basedOn w:val="68"/>
    <w:qFormat/>
    <w:uiPriority w:val="0"/>
    <w:pPr>
      <w:framePr w:wrap="around" w:y="4469"/>
    </w:pPr>
  </w:style>
  <w:style w:type="paragraph" w:customStyle="1" w:styleId="129">
    <w:name w:val="其他发布日期"/>
    <w:qFormat/>
    <w:uiPriority w:val="0"/>
    <w:pPr>
      <w:framePr w:w="3997" w:h="471" w:hRule="exact" w:vSpace="181" w:wrap="around" w:vAnchor="page" w:hAnchor="page" w:x="1419" w:y="14097" w:anchorLock="1"/>
    </w:pPr>
    <w:rPr>
      <w:rFonts w:ascii="Times New Roman" w:hAnsi="Times New Roman" w:eastAsia="黑体" w:cs="Times New Roman"/>
      <w:sz w:val="28"/>
      <w:lang w:val="en-US" w:eastAsia="zh-CN" w:bidi="ar-SA"/>
    </w:rPr>
  </w:style>
  <w:style w:type="paragraph" w:customStyle="1" w:styleId="130">
    <w:name w:val="附录公式编号制表符"/>
    <w:basedOn w:val="1"/>
    <w:next w:val="23"/>
    <w:qFormat/>
    <w:uiPriority w:val="0"/>
    <w:pPr>
      <w:widowControl/>
      <w:tabs>
        <w:tab w:val="center" w:pos="4201"/>
        <w:tab w:val="right" w:leader="dot" w:pos="9298"/>
      </w:tabs>
      <w:autoSpaceDE w:val="0"/>
      <w:autoSpaceDN w:val="0"/>
    </w:pPr>
    <w:rPr>
      <w:rFonts w:ascii="宋体"/>
      <w:kern w:val="0"/>
      <w:szCs w:val="20"/>
    </w:rPr>
  </w:style>
  <w:style w:type="paragraph" w:customStyle="1" w:styleId="131">
    <w:name w:val="五级无"/>
    <w:basedOn w:val="47"/>
    <w:qFormat/>
    <w:uiPriority w:val="0"/>
    <w:pPr>
      <w:spacing w:beforeLines="0" w:afterLines="0"/>
    </w:pPr>
    <w:rPr>
      <w:rFonts w:ascii="宋体" w:eastAsia="宋体"/>
    </w:rPr>
  </w:style>
  <w:style w:type="paragraph" w:customStyle="1" w:styleId="132">
    <w:name w:val="图标脚注说明"/>
    <w:basedOn w:val="23"/>
    <w:qFormat/>
    <w:uiPriority w:val="0"/>
    <w:pPr>
      <w:ind w:left="840" w:hanging="420" w:firstLineChars="0"/>
    </w:pPr>
    <w:rPr>
      <w:sz w:val="18"/>
      <w:szCs w:val="18"/>
    </w:rPr>
  </w:style>
  <w:style w:type="paragraph" w:customStyle="1" w:styleId="133">
    <w:name w:val="四级无"/>
    <w:basedOn w:val="46"/>
    <w:qFormat/>
    <w:uiPriority w:val="0"/>
    <w:pPr>
      <w:spacing w:beforeLines="0" w:afterLines="0"/>
    </w:pPr>
    <w:rPr>
      <w:rFonts w:ascii="宋体" w:eastAsia="宋体"/>
    </w:rPr>
  </w:style>
  <w:style w:type="character" w:customStyle="1" w:styleId="134">
    <w:name w:val="首示例 Char"/>
    <w:link w:val="69"/>
    <w:qFormat/>
    <w:uiPriority w:val="0"/>
    <w:rPr>
      <w:rFonts w:ascii="宋体" w:hAnsi="宋体"/>
      <w:kern w:val="2"/>
      <w:sz w:val="18"/>
      <w:szCs w:val="18"/>
    </w:rPr>
  </w:style>
  <w:style w:type="character" w:customStyle="1" w:styleId="135">
    <w:name w:val="批注框文本 字符"/>
    <w:basedOn w:val="35"/>
    <w:link w:val="16"/>
    <w:qFormat/>
    <w:uiPriority w:val="0"/>
    <w:rPr>
      <w:kern w:val="2"/>
      <w:sz w:val="18"/>
      <w:szCs w:val="18"/>
    </w:rPr>
  </w:style>
  <w:style w:type="character" w:customStyle="1" w:styleId="136">
    <w:name w:val="标准名称 Char"/>
    <w:basedOn w:val="137"/>
    <w:link w:val="73"/>
    <w:qFormat/>
    <w:uiPriority w:val="0"/>
    <w:rPr>
      <w:rFonts w:ascii="黑体" w:eastAsia="黑体"/>
      <w:sz w:val="32"/>
      <w:shd w:val="clear" w:color="FFFFFF" w:fill="FFFFFF"/>
    </w:rPr>
  </w:style>
  <w:style w:type="character" w:customStyle="1" w:styleId="137">
    <w:name w:val="目次、标准名称标题 Char"/>
    <w:basedOn w:val="35"/>
    <w:link w:val="74"/>
    <w:qFormat/>
    <w:uiPriority w:val="0"/>
    <w:rPr>
      <w:rFonts w:ascii="黑体" w:eastAsia="黑体"/>
      <w:sz w:val="32"/>
      <w:shd w:val="clear" w:color="FFFFFF" w:fill="FFFFFF"/>
    </w:rPr>
  </w:style>
  <w:style w:type="character" w:customStyle="1" w:styleId="138">
    <w:name w:val="发布"/>
    <w:qFormat/>
    <w:uiPriority w:val="0"/>
    <w:rPr>
      <w:rFonts w:ascii="黑体" w:eastAsia="黑体"/>
      <w:spacing w:val="85"/>
      <w:w w:val="100"/>
      <w:position w:val="3"/>
      <w:sz w:val="28"/>
      <w:szCs w:val="28"/>
    </w:rPr>
  </w:style>
  <w:style w:type="character" w:customStyle="1" w:styleId="139">
    <w:name w:val="段 Char"/>
    <w:link w:val="23"/>
    <w:qFormat/>
    <w:uiPriority w:val="0"/>
    <w:rPr>
      <w:rFonts w:ascii="宋体"/>
      <w:sz w:val="21"/>
      <w:lang w:val="en-US" w:eastAsia="zh-CN" w:bidi="ar-SA"/>
    </w:rPr>
  </w:style>
  <w:style w:type="character" w:customStyle="1" w:styleId="140">
    <w:name w:val="占位符文本1"/>
    <w:basedOn w:val="35"/>
    <w:semiHidden/>
    <w:qFormat/>
    <w:uiPriority w:val="99"/>
    <w:rPr>
      <w:color w:val="808080"/>
    </w:rPr>
  </w:style>
  <w:style w:type="character" w:customStyle="1" w:styleId="141">
    <w:name w:val="附录公式 Char"/>
    <w:basedOn w:val="139"/>
    <w:link w:val="86"/>
    <w:qFormat/>
    <w:uiPriority w:val="0"/>
    <w:rPr>
      <w:rFonts w:ascii="宋体"/>
      <w:sz w:val="21"/>
      <w:lang w:val="en-US" w:eastAsia="zh-CN" w:bidi="ar-SA"/>
    </w:rPr>
  </w:style>
  <w:style w:type="paragraph" w:styleId="142">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143">
    <w:name w:val="EndNote Bibliography Title"/>
    <w:basedOn w:val="1"/>
    <w:link w:val="144"/>
    <w:qFormat/>
    <w:uiPriority w:val="0"/>
    <w:pPr>
      <w:jc w:val="center"/>
    </w:pPr>
    <w:rPr>
      <w:sz w:val="20"/>
    </w:rPr>
  </w:style>
  <w:style w:type="character" w:customStyle="1" w:styleId="144">
    <w:name w:val="EndNote Bibliography Title 字符"/>
    <w:basedOn w:val="139"/>
    <w:link w:val="143"/>
    <w:qFormat/>
    <w:uiPriority w:val="0"/>
    <w:rPr>
      <w:rFonts w:ascii="宋体"/>
      <w:kern w:val="2"/>
      <w:sz w:val="21"/>
      <w:szCs w:val="24"/>
      <w:lang w:val="en-US" w:eastAsia="zh-CN" w:bidi="ar-SA"/>
    </w:rPr>
  </w:style>
  <w:style w:type="paragraph" w:customStyle="1" w:styleId="145">
    <w:name w:val="EndNote Bibliography"/>
    <w:basedOn w:val="1"/>
    <w:link w:val="146"/>
    <w:qFormat/>
    <w:uiPriority w:val="0"/>
    <w:rPr>
      <w:sz w:val="20"/>
    </w:rPr>
  </w:style>
  <w:style w:type="character" w:customStyle="1" w:styleId="146">
    <w:name w:val="EndNote Bibliography 字符"/>
    <w:basedOn w:val="139"/>
    <w:link w:val="145"/>
    <w:qFormat/>
    <w:uiPriority w:val="0"/>
    <w:rPr>
      <w:rFonts w:ascii="宋体"/>
      <w:kern w:val="2"/>
      <w:sz w:val="21"/>
      <w:szCs w:val="24"/>
      <w:lang w:val="en-US" w:eastAsia="zh-CN" w:bidi="ar-SA"/>
    </w:rPr>
  </w:style>
  <w:style w:type="character" w:customStyle="1" w:styleId="147">
    <w:name w:val="标题 1 字符"/>
    <w:basedOn w:val="35"/>
    <w:link w:val="2"/>
    <w:qFormat/>
    <w:uiPriority w:val="0"/>
    <w:rPr>
      <w:b/>
      <w:bCs/>
      <w:kern w:val="44"/>
      <w:sz w:val="44"/>
      <w:szCs w:val="44"/>
    </w:rPr>
  </w:style>
  <w:style w:type="paragraph" w:customStyle="1" w:styleId="148">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149">
    <w:name w:val="Unresolved Mention"/>
    <w:basedOn w:val="35"/>
    <w:semiHidden/>
    <w:unhideWhenUsed/>
    <w:qFormat/>
    <w:uiPriority w:val="99"/>
    <w:rPr>
      <w:color w:val="605E5C"/>
      <w:shd w:val="clear" w:color="auto" w:fill="E1DFDD"/>
    </w:rPr>
  </w:style>
  <w:style w:type="character" w:customStyle="1" w:styleId="150">
    <w:name w:val="标题 2 字符"/>
    <w:basedOn w:val="35"/>
    <w:link w:val="3"/>
    <w:semiHidden/>
    <w:qFormat/>
    <w:uiPriority w:val="0"/>
    <w:rPr>
      <w:rFonts w:asciiTheme="majorHAnsi" w:hAnsiTheme="majorHAnsi" w:eastAsiaTheme="majorEastAsia" w:cstheme="majorBidi"/>
      <w:b/>
      <w:bCs/>
      <w:kern w:val="2"/>
      <w:sz w:val="32"/>
      <w:szCs w:val="32"/>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zle</Company>
  <Pages>15</Pages>
  <Words>118</Words>
  <Characters>239</Characters>
  <Lines>203</Lines>
  <Paragraphs>57</Paragraphs>
  <TotalTime>0</TotalTime>
  <ScaleCrop>false</ScaleCrop>
  <LinksUpToDate>false</LinksUpToDate>
  <CharactersWithSpaces>268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2024-11-17T10:29:00Z</dcterms:created>
  <dc:creator>CNIS</dc:creator>
  <cp:lastModifiedBy>洋芋儿</cp:lastModifiedBy>
  <dcterms:modified xsi:type="dcterms:W3CDTF">2025-12-29T08:43:15Z</dcterms:modified>
  <dc:title>标准名称</dc:title>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FE84B29174C940C3A3A7B9C1D4096C9C_13</vt:lpwstr>
  </property>
  <property fmtid="{D5CDD505-2E9C-101B-9397-08002B2CF9AE}" pid="4" name="KSOTemplateDocerSaveRecord">
    <vt:lpwstr>eyJoZGlkIjoiN2YzNjBkOTgyNWQ1YTMxYzM3MzMwNWFiODNmOWIzYWMiLCJ1c2VySWQiOiI0MDQ4NDE4OTMifQ==</vt:lpwstr>
  </property>
</Properties>
</file>