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6FA76">
      <w:pPr>
        <w:pStyle w:val="63"/>
        <w:framePr w:wrap="around"/>
        <w:rPr>
          <w:rFonts w:hint="eastAsia" w:hAnsi="黑体"/>
        </w:rPr>
      </w:pPr>
      <w:r>
        <w:rPr>
          <w:rFonts w:hAnsi="黑体"/>
        </w:rPr>
        <w:t>ICS </w:t>
      </w:r>
    </w:p>
    <w:p w14:paraId="62333371">
      <w:pPr>
        <w:pStyle w:val="63"/>
        <w:framePr w:wrap="around"/>
        <w:rPr>
          <w:rFonts w:hint="eastAsia" w:hAnsi="黑体"/>
        </w:rPr>
      </w:pPr>
      <w:r>
        <w:rPr>
          <w:rFonts w:hint="eastAsia" w:hAnsi="黑体"/>
        </w:rPr>
        <w:t>C</w:t>
      </w:r>
      <w:r>
        <w:rPr>
          <w:rFonts w:hAnsi="黑体"/>
        </w:rPr>
        <w:t>CS 点击此处添加中国标准文献分类号</w:t>
      </w:r>
    </w:p>
    <w:p w14:paraId="61496731">
      <w:pPr>
        <w:pStyle w:val="105"/>
        <w:framePr w:wrap="around"/>
      </w:pPr>
    </w:p>
    <w:p w14:paraId="5808A747">
      <w:pPr>
        <w:pStyle w:val="120"/>
        <w:framePr w:wrap="around"/>
        <w:spacing w:before="0" w:line="240" w:lineRule="exact"/>
        <w:rPr>
          <w:rFonts w:hint="eastAsia" w:hAnsi="黑体"/>
        </w:rPr>
      </w:pPr>
    </w:p>
    <w:p w14:paraId="5F063EE2">
      <w:pPr>
        <w:pStyle w:val="120"/>
        <w:framePr w:wrap="around"/>
        <w:spacing w:before="0" w:line="300" w:lineRule="exact"/>
        <w:ind w:right="280"/>
        <w:rPr>
          <w:rFonts w:hint="default" w:hAnsi="黑体" w:eastAsia="黑体"/>
          <w:lang w:val="en-US" w:eastAsia="zh-CN"/>
        </w:rPr>
      </w:pPr>
      <w:r>
        <w:rPr>
          <w:rFonts w:hAnsi="黑体"/>
        </w:rPr>
        <w:t>T/</w:t>
      </w:r>
      <w:r>
        <w:rPr>
          <w:rFonts w:hint="eastAsia" w:hAnsi="黑体"/>
        </w:rPr>
        <w:t>CMEAS</w:t>
      </w:r>
      <w:r>
        <w:rPr>
          <w:rFonts w:hAnsi="黑体"/>
        </w:rPr>
        <w:t xml:space="preserve"> </w:t>
      </w:r>
      <w:r>
        <w:rPr>
          <w:rFonts w:hint="eastAsia" w:hAnsi="黑体"/>
          <w:lang w:val="en-US" w:eastAsia="zh-CN"/>
        </w:rPr>
        <w:t>XXX</w:t>
      </w:r>
      <w:r>
        <w:rPr>
          <w:rFonts w:hAnsi="黑体"/>
        </w:rPr>
        <w:t>-</w:t>
      </w:r>
      <w:r>
        <w:rPr>
          <w:rFonts w:hint="eastAsia" w:hAnsi="黑体"/>
          <w:lang w:val="en-US" w:eastAsia="zh-CN"/>
        </w:rPr>
        <w:t>XXXX</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6A19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0DA75A1E">
            <w:pPr>
              <w:pStyle w:val="120"/>
              <w:framePr w:wrap="around"/>
              <w:spacing w:before="0" w:line="300" w:lineRule="exact"/>
              <w:rPr>
                <w:rFonts w:hint="eastAsia" w:hAnsi="黑体"/>
                <w:sz w:val="21"/>
                <w:szCs w:val="21"/>
              </w:rPr>
            </w:pPr>
            <w:r>
              <w:rPr>
                <w:rFonts w:hint="eastAsia" w:hAnsi="黑体"/>
                <w:sz w:val="21"/>
                <w:szCs w:val="21"/>
              </w:rPr>
              <w:t xml:space="preserve"> </w:t>
            </w:r>
            <w:r>
              <w:rPr>
                <w:rFonts w:hAnsi="黑体"/>
                <w:sz w:val="21"/>
                <w:szCs w:val="21"/>
              </w:rPr>
              <w:t xml:space="preserve">  </w:t>
            </w:r>
          </w:p>
          <w:p w14:paraId="6838E798">
            <w:pPr>
              <w:pStyle w:val="125"/>
              <w:framePr w:wrap="around"/>
              <w:spacing w:before="0" w:line="300" w:lineRule="exact"/>
              <w:rPr>
                <w:rFonts w:hint="eastAsia" w:hAnsi="宋体"/>
              </w:rPr>
            </w:pPr>
          </w:p>
        </w:tc>
      </w:tr>
    </w:tbl>
    <w:p w14:paraId="748E858B">
      <w:pPr>
        <w:pStyle w:val="120"/>
        <w:framePr w:wrap="around"/>
        <w:rPr>
          <w:rFonts w:hint="eastAsia" w:hAnsi="黑体"/>
        </w:rPr>
      </w:pPr>
    </w:p>
    <w:p w14:paraId="1AA62A32">
      <w:pPr>
        <w:pStyle w:val="120"/>
        <w:framePr w:wrap="around"/>
        <w:rPr>
          <w:rFonts w:hint="eastAsia" w:hAnsi="黑体"/>
        </w:rPr>
      </w:pPr>
    </w:p>
    <w:p w14:paraId="73AD8E03">
      <w:pPr>
        <w:pStyle w:val="56"/>
        <w:framePr w:wrap="around"/>
      </w:pPr>
      <w:r>
        <w:rPr>
          <w:rFonts w:hint="eastAsia"/>
        </w:rPr>
        <w:t>嵌合抗原受体T细胞在神经免疫疾病治疗中的技术规范</w:t>
      </w:r>
    </w:p>
    <w:p w14:paraId="642DFEBA">
      <w:pPr>
        <w:pStyle w:val="55"/>
        <w:framePr w:wrap="around"/>
      </w:pPr>
      <w:r>
        <w:t xml:space="preserve">Application guidelines for the use of chimeric antigen receptor </w:t>
      </w:r>
      <w:r>
        <w:rPr>
          <w:rFonts w:hint="eastAsia"/>
          <w:lang w:val="en-US" w:eastAsia="zh-CN"/>
        </w:rPr>
        <w:t>T</w:t>
      </w:r>
      <w:r>
        <w:t xml:space="preserve"> cells in neurological autoimmune diseases</w:t>
      </w:r>
    </w:p>
    <w:p w14:paraId="5392064D">
      <w:pPr>
        <w:pStyle w:val="54"/>
        <w:framePr w:wrap="around"/>
      </w:pPr>
      <w:r>
        <w:rPr>
          <w:rFonts w:hint="eastAsia"/>
        </w:rPr>
        <w:t>点击此处添加与国际标准一致性程度的标识</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7AAB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408A4EC">
            <w:pPr>
              <w:pStyle w:val="68"/>
              <w:framePr w:wrap="around"/>
            </w:pPr>
            <w: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rPr>
              <w:t>点击此处添加文稿版次</w:t>
            </w:r>
          </w:p>
        </w:tc>
      </w:tr>
      <w:tr w14:paraId="73B6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2689134F">
            <w:pPr>
              <w:pStyle w:val="67"/>
              <w:framePr w:wrap="around"/>
            </w:pPr>
          </w:p>
        </w:tc>
      </w:tr>
    </w:tbl>
    <w:p w14:paraId="3A34909B">
      <w:pPr>
        <w:pStyle w:val="129"/>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0D9C57DD">
      <w:pPr>
        <w:pStyle w:val="58"/>
        <w:framePr w:wrap="around"/>
      </w:pPr>
      <w:r>
        <w:rPr>
          <w:rFonts w:ascii="黑体"/>
        </w:rPr>
        <w:t>xxxx - xx - xx</w:t>
      </w:r>
      <w:r>
        <w:rPr>
          <w:rFonts w:hint="eastAsia"/>
        </w:rPr>
        <w:t>实施</w:t>
      </w:r>
    </w:p>
    <w:p w14:paraId="41E36CB0">
      <w:pPr>
        <w:pStyle w:val="94"/>
        <w:framePr w:wrap="around"/>
      </w:pPr>
    </w:p>
    <w:p w14:paraId="4CCD66A4">
      <w:pPr>
        <w:pStyle w:val="93"/>
        <w:framePr w:wrap="around"/>
      </w:pPr>
      <w:r>
        <w:rPr>
          <w:rStyle w:val="138"/>
          <w:rFonts w:hint="eastAsia"/>
        </w:rPr>
        <w:t>中国医药教育协会发布</w:t>
      </w:r>
    </w:p>
    <w:p w14:paraId="7EE77F16">
      <w:pPr>
        <w:pStyle w:val="71"/>
        <w:framePr w:w="6229" w:wrap="around" w:x="3060" w:y="2000"/>
        <w:rPr>
          <w:rFonts w:ascii="Times New Roman" w:hAnsi="Times New Roman"/>
        </w:rPr>
      </w:pPr>
      <w:r>
        <w:rPr>
          <w:sz w:val="72"/>
          <w:szCs w:val="72"/>
        </w:rPr>
        <w:t>团体标</w:t>
      </w:r>
      <w:r>
        <w:rPr>
          <w:rFonts w:ascii="Times New Roman" w:hAnsi="Times New Roman"/>
          <w:sz w:val="72"/>
          <w:szCs w:val="72"/>
        </w:rPr>
        <w:t>准</w:t>
      </w:r>
    </w:p>
    <w:p w14:paraId="12036336">
      <w:pPr>
        <w:pStyle w:val="22"/>
        <w:sectPr>
          <w:headerReference r:id="rId3" w:type="even"/>
          <w:footerReference r:id="rId4" w:type="even"/>
          <w:pgSz w:w="11906" w:h="16838"/>
          <w:pgMar w:top="567" w:right="1134" w:bottom="1134" w:left="1417" w:header="0" w:footer="0" w:gutter="0"/>
          <w:pgNumType w:start="1"/>
          <w:cols w:space="720" w:num="1"/>
          <w:docGrid w:type="lines" w:linePitch="312" w:charSpace="0"/>
        </w:sectPr>
      </w:pPr>
      <w:bookmarkStart w:id="112" w:name="_GoBack"/>
      <w:bookmarkEnd w:id="112"/>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2701B79B">
      <w:pPr>
        <w:pStyle w:val="74"/>
      </w:pPr>
      <w:bookmarkStart w:id="0" w:name="_Toc183031891"/>
      <w:bookmarkStart w:id="1" w:name="BKQY"/>
      <w:r>
        <w:rPr>
          <w:rFonts w:hint="eastAsia"/>
        </w:rPr>
        <w:t>目</w:t>
      </w:r>
      <w:bookmarkStart w:id="2" w:name="BKML"/>
      <w:r>
        <w:rPr>
          <w:rFonts w:hAnsi="黑体"/>
        </w:rPr>
        <w:t>  </w:t>
      </w:r>
      <w:r>
        <w:rPr>
          <w:rFonts w:hint="eastAsia"/>
        </w:rPr>
        <w:t>次</w:t>
      </w:r>
      <w:bookmarkEnd w:id="0"/>
      <w:bookmarkEnd w:id="2"/>
    </w:p>
    <w:sdt>
      <w:sdtPr>
        <w:rPr>
          <w:rFonts w:ascii="Times New Roman"/>
          <w:szCs w:val="24"/>
          <w:lang w:val="zh-CN"/>
        </w:rPr>
        <w:id w:val="254176424"/>
        <w:docPartObj>
          <w:docPartGallery w:val="Table of Contents"/>
          <w:docPartUnique/>
        </w:docPartObj>
      </w:sdtPr>
      <w:sdtEndPr>
        <w:rPr>
          <w:rFonts w:ascii="宋体"/>
          <w:b/>
          <w:bCs/>
          <w:szCs w:val="21"/>
          <w:lang w:val="zh-CN"/>
        </w:rPr>
      </w:sdtEndPr>
      <w:sdtContent>
        <w:p w14:paraId="31FD874A">
          <w:pPr>
            <w:pStyle w:val="18"/>
            <w:spacing w:before="78" w:after="78"/>
            <w:rPr>
              <w:rFonts w:asciiTheme="minorHAnsi" w:hAnsiTheme="minorHAnsi" w:eastAsiaTheme="minorEastAsia" w:cstheme="minorBidi"/>
              <w:szCs w:val="22"/>
              <w14:ligatures w14:val="standardContextual"/>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"_Toc183031892" </w:instrText>
          </w:r>
          <w:r>
            <w:fldChar w:fldCharType="separate"/>
          </w:r>
          <w:r>
            <w:rPr>
              <w:rStyle w:val="38"/>
              <w:rFonts w:hint="eastAsia"/>
            </w:rPr>
            <w:t>前言</w:t>
          </w:r>
          <w:r>
            <w:rPr>
              <w:rFonts w:hint="eastAsia"/>
            </w:rPr>
            <w:tab/>
          </w:r>
          <w:r>
            <w:rPr>
              <w:rFonts w:hint="eastAsia"/>
            </w:rPr>
            <w:fldChar w:fldCharType="begin"/>
          </w:r>
          <w:r>
            <w:rPr>
              <w:rFonts w:hint="eastAsia"/>
            </w:rPr>
            <w:instrText xml:space="preserve"> </w:instrText>
          </w:r>
          <w:r>
            <w:instrText xml:space="preserve">PAGEREF _Toc183031892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11AA0E2">
          <w:pPr>
            <w:pStyle w:val="18"/>
            <w:spacing w:before="78" w:after="78"/>
            <w:rPr>
              <w:rFonts w:asciiTheme="minorHAnsi" w:hAnsiTheme="minorHAnsi" w:eastAsiaTheme="minorEastAsia" w:cstheme="minorBidi"/>
              <w:szCs w:val="22"/>
              <w14:ligatures w14:val="standardContextual"/>
            </w:rPr>
          </w:pPr>
          <w:r>
            <w:fldChar w:fldCharType="begin"/>
          </w:r>
          <w:r>
            <w:instrText xml:space="preserve"> HYPERLINK \l "_Toc183031893" </w:instrText>
          </w:r>
          <w:r>
            <w:fldChar w:fldCharType="separate"/>
          </w:r>
          <w:r>
            <w:fldChar w:fldCharType="end"/>
          </w:r>
          <w:r>
            <w:fldChar w:fldCharType="begin"/>
          </w:r>
          <w:r>
            <w:instrText xml:space="preserve"> HYPERLINK \l "_Toc183031894" </w:instrText>
          </w:r>
          <w:r>
            <w:fldChar w:fldCharType="separate"/>
          </w:r>
          <w:r>
            <w:rPr>
              <w:rStyle w:val="38"/>
              <w:rFonts w:hint="eastAsia"/>
            </w:rPr>
            <w:t>1 范围</w:t>
          </w:r>
          <w:r>
            <w:rPr>
              <w:rFonts w:hint="eastAsia"/>
            </w:rPr>
            <w:tab/>
          </w:r>
          <w:r>
            <w:rPr>
              <w:rFonts w:hint="eastAsia"/>
            </w:rPr>
            <w:fldChar w:fldCharType="begin"/>
          </w:r>
          <w:r>
            <w:rPr>
              <w:rFonts w:hint="eastAsia"/>
            </w:rPr>
            <w:instrText xml:space="preserve"> </w:instrText>
          </w:r>
          <w:r>
            <w:instrText xml:space="preserve">PAGEREF _Toc183031894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3062EF5">
          <w:pPr>
            <w:pStyle w:val="27"/>
            <w:rPr>
              <w:rFonts w:asciiTheme="minorHAnsi" w:hAnsiTheme="minorHAnsi" w:eastAsiaTheme="minorEastAsia" w:cstheme="minorBidi"/>
              <w:szCs w:val="22"/>
              <w14:ligatures w14:val="standardContextual"/>
            </w:rPr>
          </w:pPr>
          <w:r>
            <w:fldChar w:fldCharType="begin"/>
          </w:r>
          <w:r>
            <w:instrText xml:space="preserve"> HYPERLINK \l "_Toc183031895" </w:instrText>
          </w:r>
          <w:r>
            <w:fldChar w:fldCharType="separate"/>
          </w:r>
          <w:r>
            <w:rPr>
              <w:rStyle w:val="38"/>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_Toc183031895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E8B50C">
          <w:pPr>
            <w:pStyle w:val="27"/>
            <w:rPr>
              <w:rFonts w:asciiTheme="minorHAnsi" w:hAnsiTheme="minorHAnsi" w:eastAsiaTheme="minorEastAsia" w:cstheme="minorBidi"/>
              <w:szCs w:val="22"/>
              <w14:ligatures w14:val="standardContextual"/>
            </w:rPr>
          </w:pPr>
          <w:r>
            <w:fldChar w:fldCharType="begin"/>
          </w:r>
          <w:r>
            <w:instrText xml:space="preserve"> HYPERLINK \l "_Toc183031896" </w:instrText>
          </w:r>
          <w:r>
            <w:fldChar w:fldCharType="separate"/>
          </w:r>
          <w:r>
            <w:rPr>
              <w:rStyle w:val="38"/>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_Toc183031896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764088">
          <w:pPr>
            <w:pStyle w:val="27"/>
            <w:rPr>
              <w:rFonts w:asciiTheme="minorHAnsi" w:hAnsiTheme="minorHAnsi" w:eastAsiaTheme="minorEastAsia" w:cstheme="minorBidi"/>
              <w:szCs w:val="22"/>
              <w14:ligatures w14:val="standardContextual"/>
            </w:rPr>
          </w:pPr>
          <w:r>
            <w:fldChar w:fldCharType="begin"/>
          </w:r>
          <w:r>
            <w:instrText xml:space="preserve"> HYPERLINK \l "_Toc183031910" </w:instrText>
          </w:r>
          <w:r>
            <w:fldChar w:fldCharType="separate"/>
          </w:r>
          <w:r>
            <w:rPr>
              <w:rStyle w:val="38"/>
              <w:rFonts w:hint="eastAsia"/>
            </w:rPr>
            <w:t>4 缩略语</w:t>
          </w:r>
          <w:r>
            <w:rPr>
              <w:rFonts w:hint="eastAsia"/>
            </w:rPr>
            <w:tab/>
          </w:r>
          <w:r>
            <w:rPr>
              <w:rFonts w:hint="eastAsia"/>
            </w:rPr>
            <w:fldChar w:fldCharType="begin"/>
          </w:r>
          <w:r>
            <w:rPr>
              <w:rFonts w:hint="eastAsia"/>
            </w:rPr>
            <w:instrText xml:space="preserve"> </w:instrText>
          </w:r>
          <w:r>
            <w:instrText xml:space="preserve">PAGEREF _Toc183031910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596A3EF">
          <w:pPr>
            <w:pStyle w:val="27"/>
            <w:rPr>
              <w:rFonts w:asciiTheme="minorHAnsi" w:hAnsiTheme="minorHAnsi" w:eastAsiaTheme="minorEastAsia" w:cstheme="minorBidi"/>
              <w:szCs w:val="22"/>
              <w14:ligatures w14:val="standardContextual"/>
            </w:rPr>
          </w:pPr>
          <w:r>
            <w:fldChar w:fldCharType="begin"/>
          </w:r>
          <w:r>
            <w:instrText xml:space="preserve"> HYPERLINK \l "_Toc183031911" </w:instrText>
          </w:r>
          <w:r>
            <w:fldChar w:fldCharType="separate"/>
          </w:r>
          <w:r>
            <w:rPr>
              <w:rStyle w:val="38"/>
              <w:rFonts w:hint="eastAsia"/>
            </w:rPr>
            <w:t>5 基本要求</w:t>
          </w:r>
          <w:r>
            <w:rPr>
              <w:rFonts w:hint="eastAsia"/>
            </w:rPr>
            <w:tab/>
          </w:r>
          <w:r>
            <w:rPr>
              <w:rFonts w:hint="eastAsia"/>
            </w:rPr>
            <w:fldChar w:fldCharType="begin"/>
          </w:r>
          <w:r>
            <w:rPr>
              <w:rFonts w:hint="eastAsia"/>
            </w:rPr>
            <w:instrText xml:space="preserve"> </w:instrText>
          </w:r>
          <w:r>
            <w:instrText xml:space="preserve">PAGEREF _Toc183031911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F1BD6E0">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"_Toc183031912" </w:instrText>
          </w:r>
          <w:r>
            <w:fldChar w:fldCharType="separate"/>
          </w:r>
          <w:r>
            <w:rPr>
              <w:rStyle w:val="38"/>
              <w:rFonts w:hint="eastAsia"/>
            </w:rPr>
            <w:t>5.1 人员要求</w:t>
          </w:r>
          <w:r>
            <w:rPr>
              <w:rFonts w:hint="eastAsia"/>
            </w:rPr>
            <w:tab/>
          </w:r>
          <w:r>
            <w:rPr>
              <w:rFonts w:hint="eastAsia"/>
            </w:rPr>
            <w:fldChar w:fldCharType="begin"/>
          </w:r>
          <w:r>
            <w:rPr>
              <w:rFonts w:hint="eastAsia"/>
            </w:rPr>
            <w:instrText xml:space="preserve"> </w:instrText>
          </w:r>
          <w:r>
            <w:instrText xml:space="preserve">PAGEREF _Toc183031912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A0F1B0E">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"_Toc183031913" </w:instrText>
          </w:r>
          <w:r>
            <w:fldChar w:fldCharType="separate"/>
          </w:r>
          <w:r>
            <w:rPr>
              <w:rStyle w:val="38"/>
              <w:rFonts w:hint="eastAsia"/>
            </w:rPr>
            <w:t>5.2 医疗机构、场地、设施要求</w:t>
          </w:r>
          <w:r>
            <w:rPr>
              <w:rFonts w:hint="eastAsia"/>
            </w:rPr>
            <w:tab/>
          </w:r>
          <w:r>
            <w:rPr>
              <w:rFonts w:hint="eastAsia"/>
            </w:rPr>
            <w:fldChar w:fldCharType="begin"/>
          </w:r>
          <w:r>
            <w:rPr>
              <w:rFonts w:hint="eastAsia"/>
            </w:rPr>
            <w:instrText xml:space="preserve"> </w:instrText>
          </w:r>
          <w:r>
            <w:instrText xml:space="preserve">PAGEREF _Toc183031913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8DAD19">
          <w:pPr>
            <w:pStyle w:val="27"/>
            <w:rPr>
              <w:rFonts w:asciiTheme="minorHAnsi" w:hAnsiTheme="minorHAnsi" w:eastAsiaTheme="minorEastAsia" w:cstheme="minorBidi"/>
              <w:szCs w:val="22"/>
              <w14:ligatures w14:val="standardContextual"/>
            </w:rPr>
          </w:pPr>
          <w:r>
            <w:fldChar w:fldCharType="begin"/>
          </w:r>
          <w:r>
            <w:instrText xml:space="preserve"> HYPERLINK \l "_Toc183031914" </w:instrText>
          </w:r>
          <w:r>
            <w:fldChar w:fldCharType="separate"/>
          </w:r>
          <w:r>
            <w:rPr>
              <w:rStyle w:val="38"/>
              <w:rFonts w:hint="eastAsia"/>
            </w:rPr>
            <w:t>6 技术实施</w:t>
          </w:r>
          <w:r>
            <w:rPr>
              <w:rFonts w:hint="eastAsia"/>
            </w:rPr>
            <w:tab/>
          </w:r>
          <w:r>
            <w:rPr>
              <w:rFonts w:hint="eastAsia"/>
            </w:rPr>
            <w:fldChar w:fldCharType="begin"/>
          </w:r>
          <w:r>
            <w:rPr>
              <w:rFonts w:hint="eastAsia"/>
            </w:rPr>
            <w:instrText xml:space="preserve"> </w:instrText>
          </w:r>
          <w:r>
            <w:instrText xml:space="preserve">PAGEREF _Toc183031914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63656B9">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"_Toc183031915" </w:instrText>
          </w:r>
          <w:r>
            <w:fldChar w:fldCharType="separate"/>
          </w:r>
          <w:r>
            <w:rPr>
              <w:rStyle w:val="38"/>
              <w:rFonts w:hint="eastAsia"/>
            </w:rPr>
            <w:t>6.1 患者评估</w:t>
          </w:r>
          <w:r>
            <w:rPr>
              <w:rFonts w:hint="eastAsia"/>
            </w:rPr>
            <w:tab/>
          </w:r>
          <w:r>
            <w:rPr>
              <w:rFonts w:hint="eastAsia"/>
            </w:rPr>
            <w:fldChar w:fldCharType="begin"/>
          </w:r>
          <w:r>
            <w:rPr>
              <w:rFonts w:hint="eastAsia"/>
            </w:rPr>
            <w:instrText xml:space="preserve"> </w:instrText>
          </w:r>
          <w:r>
            <w:instrText xml:space="preserve">PAGEREF _Toc183031915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A9CB59">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"_Toc183031916" </w:instrText>
          </w:r>
          <w:r>
            <w:fldChar w:fldCharType="separate"/>
          </w:r>
          <w:r>
            <w:rPr>
              <w:rStyle w:val="38"/>
              <w:rFonts w:hint="eastAsia"/>
            </w:rPr>
            <w:t>6.2 CAR-T细胞的制备</w:t>
          </w:r>
          <w:r>
            <w:rPr>
              <w:rFonts w:hint="eastAsia"/>
            </w:rPr>
            <w:tab/>
          </w:r>
          <w:r>
            <w:rPr>
              <w:rFonts w:hint="eastAsia"/>
            </w:rPr>
            <w:fldChar w:fldCharType="begin"/>
          </w:r>
          <w:r>
            <w:rPr>
              <w:rFonts w:hint="eastAsia"/>
            </w:rPr>
            <w:instrText xml:space="preserve"> </w:instrText>
          </w:r>
          <w:r>
            <w:instrText xml:space="preserve">PAGEREF _Toc183031916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5EB2052">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"_Toc183031917" </w:instrText>
          </w:r>
          <w:r>
            <w:fldChar w:fldCharType="separate"/>
          </w:r>
          <w:r>
            <w:rPr>
              <w:rStyle w:val="38"/>
              <w:rFonts w:hint="eastAsia"/>
            </w:rPr>
            <w:t>6.3 药物洗脱与桥接治疗</w:t>
          </w:r>
          <w:r>
            <w:rPr>
              <w:rFonts w:hint="eastAsia"/>
            </w:rPr>
            <w:tab/>
          </w:r>
          <w:r>
            <w:rPr>
              <w:rFonts w:hint="eastAsia"/>
            </w:rPr>
            <w:fldChar w:fldCharType="begin"/>
          </w:r>
          <w:r>
            <w:rPr>
              <w:rFonts w:hint="eastAsia"/>
            </w:rPr>
            <w:instrText xml:space="preserve"> </w:instrText>
          </w:r>
          <w:r>
            <w:instrText xml:space="preserve">PAGEREF _Toc183031917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843E7E4">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"_Toc183031918" </w:instrText>
          </w:r>
          <w:r>
            <w:fldChar w:fldCharType="separate"/>
          </w:r>
          <w:r>
            <w:rPr>
              <w:rStyle w:val="38"/>
              <w:rFonts w:hint="eastAsia"/>
            </w:rPr>
            <w:t>6.4 清淋</w:t>
          </w:r>
          <w:r>
            <w:rPr>
              <w:rFonts w:hint="eastAsia"/>
            </w:rPr>
            <w:tab/>
          </w:r>
          <w:r>
            <w:rPr>
              <w:rFonts w:hint="eastAsia"/>
            </w:rPr>
            <w:fldChar w:fldCharType="begin"/>
          </w:r>
          <w:r>
            <w:rPr>
              <w:rFonts w:hint="eastAsia"/>
            </w:rPr>
            <w:instrText xml:space="preserve"> </w:instrText>
          </w:r>
          <w:r>
            <w:instrText xml:space="preserve">PAGEREF _Toc183031918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0240AA4">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"_Toc183031919" </w:instrText>
          </w:r>
          <w:r>
            <w:fldChar w:fldCharType="separate"/>
          </w:r>
          <w:r>
            <w:rPr>
              <w:rStyle w:val="38"/>
              <w:rFonts w:hint="eastAsia"/>
            </w:rPr>
            <w:t>6.5 CAR-T细胞回输前准备</w:t>
          </w:r>
          <w:r>
            <w:rPr>
              <w:rFonts w:hint="eastAsia"/>
            </w:rPr>
            <w:tab/>
          </w:r>
          <w:r>
            <w:rPr>
              <w:rFonts w:hint="eastAsia"/>
            </w:rPr>
            <w:fldChar w:fldCharType="begin"/>
          </w:r>
          <w:r>
            <w:rPr>
              <w:rFonts w:hint="eastAsia"/>
            </w:rPr>
            <w:instrText xml:space="preserve"> </w:instrText>
          </w:r>
          <w:r>
            <w:instrText xml:space="preserve">PAGEREF _Toc183031919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1B9163C">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"_Toc183031920" </w:instrText>
          </w:r>
          <w:r>
            <w:fldChar w:fldCharType="separate"/>
          </w:r>
          <w:r>
            <w:rPr>
              <w:rStyle w:val="38"/>
              <w:rFonts w:hint="eastAsia"/>
            </w:rPr>
            <w:t>6.6 CAR-T细胞回输</w:t>
          </w:r>
          <w:r>
            <w:rPr>
              <w:rFonts w:hint="eastAsia"/>
            </w:rPr>
            <w:tab/>
          </w:r>
          <w:r>
            <w:rPr>
              <w:rFonts w:hint="eastAsia"/>
            </w:rPr>
            <w:fldChar w:fldCharType="begin"/>
          </w:r>
          <w:r>
            <w:rPr>
              <w:rFonts w:hint="eastAsia"/>
            </w:rPr>
            <w:instrText xml:space="preserve"> </w:instrText>
          </w:r>
          <w:r>
            <w:instrText xml:space="preserve">PAGEREF _Toc183031920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496E1C5">
          <w:pPr>
            <w:pStyle w:val="27"/>
            <w:rPr>
              <w:rFonts w:asciiTheme="minorHAnsi" w:hAnsiTheme="minorHAnsi" w:eastAsiaTheme="minorEastAsia" w:cstheme="minorBidi"/>
              <w:szCs w:val="22"/>
              <w14:ligatures w14:val="standardContextual"/>
            </w:rPr>
          </w:pPr>
          <w:r>
            <w:fldChar w:fldCharType="begin"/>
          </w:r>
          <w:r>
            <w:instrText xml:space="preserve"> HYPERLINK \l "_Toc183031921" </w:instrText>
          </w:r>
          <w:r>
            <w:fldChar w:fldCharType="separate"/>
          </w:r>
          <w:r>
            <w:rPr>
              <w:rStyle w:val="38"/>
              <w:rFonts w:hint="eastAsia"/>
            </w:rPr>
            <w:t>7 不良反应的监测与处理</w:t>
          </w:r>
          <w:r>
            <w:rPr>
              <w:rFonts w:hint="eastAsia"/>
            </w:rPr>
            <w:tab/>
          </w:r>
          <w:r>
            <w:rPr>
              <w:rFonts w:hint="eastAsia"/>
            </w:rPr>
            <w:fldChar w:fldCharType="begin"/>
          </w:r>
          <w:r>
            <w:rPr>
              <w:rFonts w:hint="eastAsia"/>
            </w:rPr>
            <w:instrText xml:space="preserve"> </w:instrText>
          </w:r>
          <w:r>
            <w:instrText xml:space="preserve">PAGEREF _Toc183031921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B604AEF">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"_Toc183031922" </w:instrText>
          </w:r>
          <w:r>
            <w:fldChar w:fldCharType="separate"/>
          </w:r>
          <w:r>
            <w:rPr>
              <w:rStyle w:val="38"/>
              <w:rFonts w:hint="eastAsia"/>
            </w:rPr>
            <w:t>7.1 细胞因子相关不良反应</w:t>
          </w:r>
          <w:r>
            <w:rPr>
              <w:rFonts w:hint="eastAsia"/>
            </w:rPr>
            <w:tab/>
          </w:r>
          <w:r>
            <w:rPr>
              <w:rFonts w:hint="eastAsia"/>
            </w:rPr>
            <w:fldChar w:fldCharType="begin"/>
          </w:r>
          <w:r>
            <w:rPr>
              <w:rFonts w:hint="eastAsia"/>
            </w:rPr>
            <w:instrText xml:space="preserve"> </w:instrText>
          </w:r>
          <w:r>
            <w:instrText xml:space="preserve">PAGEREF _Toc183031922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827A325">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"_Toc183031923" </w:instrText>
          </w:r>
          <w:r>
            <w:fldChar w:fldCharType="separate"/>
          </w:r>
          <w:r>
            <w:rPr>
              <w:rStyle w:val="38"/>
              <w:rFonts w:hint="eastAsia"/>
            </w:rPr>
            <w:t>7.2 感染</w:t>
          </w:r>
          <w:r>
            <w:rPr>
              <w:rFonts w:hint="eastAsia"/>
            </w:rPr>
            <w:tab/>
          </w:r>
          <w:r>
            <w:rPr>
              <w:rFonts w:hint="eastAsia"/>
            </w:rPr>
            <w:fldChar w:fldCharType="begin"/>
          </w:r>
          <w:r>
            <w:rPr>
              <w:rFonts w:hint="eastAsia"/>
            </w:rPr>
            <w:instrText xml:space="preserve"> </w:instrText>
          </w:r>
          <w:r>
            <w:instrText xml:space="preserve">PAGEREF _Toc183031923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3AA80A2">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"_Toc183031924" </w:instrText>
          </w:r>
          <w:r>
            <w:fldChar w:fldCharType="separate"/>
          </w:r>
          <w:r>
            <w:rPr>
              <w:rStyle w:val="38"/>
              <w:rFonts w:hint="eastAsia"/>
            </w:rPr>
            <w:t>7.3 骨髓抑制和免疫抑制</w:t>
          </w:r>
          <w:r>
            <w:rPr>
              <w:rFonts w:hint="eastAsia"/>
            </w:rPr>
            <w:tab/>
          </w:r>
          <w:r>
            <w:rPr>
              <w:rFonts w:hint="eastAsia"/>
            </w:rPr>
            <w:fldChar w:fldCharType="begin"/>
          </w:r>
          <w:r>
            <w:rPr>
              <w:rFonts w:hint="eastAsia"/>
            </w:rPr>
            <w:instrText xml:space="preserve"> </w:instrText>
          </w:r>
          <w:r>
            <w:instrText xml:space="preserve">PAGEREF _Toc183031924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F15978C">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"_Toc183031925" </w:instrText>
          </w:r>
          <w:r>
            <w:fldChar w:fldCharType="separate"/>
          </w:r>
          <w:r>
            <w:rPr>
              <w:rStyle w:val="38"/>
              <w:rFonts w:hint="eastAsia"/>
            </w:rPr>
            <w:t>7.4 CAR-T细胞异常增殖</w:t>
          </w:r>
          <w:r>
            <w:rPr>
              <w:rFonts w:hint="eastAsia"/>
            </w:rPr>
            <w:tab/>
          </w:r>
          <w:r>
            <w:rPr>
              <w:rFonts w:hint="eastAsia"/>
            </w:rPr>
            <w:fldChar w:fldCharType="begin"/>
          </w:r>
          <w:r>
            <w:rPr>
              <w:rFonts w:hint="eastAsia"/>
            </w:rPr>
            <w:instrText xml:space="preserve"> </w:instrText>
          </w:r>
          <w:r>
            <w:instrText xml:space="preserve">PAGEREF _Toc183031925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A63C7BF">
          <w:pPr>
            <w:pStyle w:val="11"/>
            <w:ind w:firstLine="210"/>
            <w:rPr>
              <w:rFonts w:asciiTheme="minorHAnsi" w:hAnsiTheme="minorHAnsi" w:eastAsiaTheme="minorEastAsia" w:cstheme="minorBidi"/>
              <w:szCs w:val="22"/>
              <w14:ligatures w14:val="standardContextual"/>
            </w:rPr>
          </w:pPr>
          <w:r>
            <w:fldChar w:fldCharType="begin"/>
          </w:r>
          <w:r>
            <w:instrText xml:space="preserve"> HYPERLINK \l "_Toc183031926" </w:instrText>
          </w:r>
          <w:r>
            <w:fldChar w:fldCharType="separate"/>
          </w:r>
          <w:r>
            <w:rPr>
              <w:rStyle w:val="38"/>
              <w:rFonts w:hint="eastAsia"/>
            </w:rPr>
            <w:t>7.5 继发肿瘤、延迟性神经系统综合征等罕见不良反应</w:t>
          </w:r>
          <w:r>
            <w:rPr>
              <w:rFonts w:hint="eastAsia"/>
            </w:rPr>
            <w:tab/>
          </w:r>
          <w:r>
            <w:rPr>
              <w:rFonts w:hint="eastAsia"/>
            </w:rPr>
            <w:fldChar w:fldCharType="begin"/>
          </w:r>
          <w:r>
            <w:rPr>
              <w:rFonts w:hint="eastAsia"/>
            </w:rPr>
            <w:instrText xml:space="preserve"> </w:instrText>
          </w:r>
          <w:r>
            <w:instrText xml:space="preserve">PAGEREF _Toc183031926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0F2EE2F">
          <w:pPr>
            <w:pStyle w:val="27"/>
            <w:rPr>
              <w:rFonts w:asciiTheme="minorHAnsi" w:hAnsiTheme="minorHAnsi" w:eastAsiaTheme="minorEastAsia" w:cstheme="minorBidi"/>
              <w:szCs w:val="22"/>
              <w14:ligatures w14:val="standardContextual"/>
            </w:rPr>
          </w:pPr>
          <w:r>
            <w:fldChar w:fldCharType="begin"/>
          </w:r>
          <w:r>
            <w:instrText xml:space="preserve"> HYPERLINK \l "_Toc183031927" </w:instrText>
          </w:r>
          <w:r>
            <w:fldChar w:fldCharType="separate"/>
          </w:r>
          <w:r>
            <w:rPr>
              <w:rStyle w:val="38"/>
              <w:rFonts w:hint="eastAsia"/>
            </w:rPr>
            <w:t>8 患者随访</w:t>
          </w:r>
          <w:r>
            <w:rPr>
              <w:rFonts w:hint="eastAsia"/>
            </w:rPr>
            <w:tab/>
          </w:r>
          <w:r>
            <w:rPr>
              <w:rFonts w:hint="eastAsia"/>
            </w:rPr>
            <w:fldChar w:fldCharType="begin"/>
          </w:r>
          <w:r>
            <w:rPr>
              <w:rFonts w:hint="eastAsia"/>
            </w:rPr>
            <w:instrText xml:space="preserve"> </w:instrText>
          </w:r>
          <w:r>
            <w:instrText xml:space="preserve">PAGEREF _Toc183031927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AA4EC62">
          <w:pPr>
            <w:pStyle w:val="18"/>
            <w:spacing w:before="78" w:after="78"/>
            <w:rPr>
              <w:rFonts w:asciiTheme="minorHAnsi" w:hAnsiTheme="minorHAnsi" w:eastAsiaTheme="minorEastAsia" w:cstheme="minorBidi"/>
              <w:szCs w:val="22"/>
              <w14:ligatures w14:val="standardContextual"/>
            </w:rPr>
          </w:pPr>
          <w:r>
            <w:fldChar w:fldCharType="begin"/>
          </w:r>
          <w:r>
            <w:instrText xml:space="preserve"> HYPERLINK \l "_Toc183031928" </w:instrText>
          </w:r>
          <w:r>
            <w:fldChar w:fldCharType="separate"/>
          </w:r>
          <w:r>
            <w:rPr>
              <w:rStyle w:val="38"/>
              <w:rFonts w:hint="eastAsia"/>
            </w:rPr>
            <w:t>参考文献</w:t>
          </w:r>
          <w:r>
            <w:rPr>
              <w:rFonts w:hint="eastAsia"/>
            </w:rPr>
            <w:tab/>
          </w:r>
          <w:r>
            <w:rPr>
              <w:rFonts w:hint="eastAsia"/>
            </w:rPr>
            <w:fldChar w:fldCharType="begin"/>
          </w:r>
          <w:r>
            <w:rPr>
              <w:rFonts w:hint="eastAsia"/>
            </w:rPr>
            <w:instrText xml:space="preserve"> </w:instrText>
          </w:r>
          <w:r>
            <w:instrText xml:space="preserve">PAGEREF _Toc183031928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72EB969">
          <w:pPr>
            <w:pStyle w:val="18"/>
            <w:spacing w:before="78" w:after="78"/>
            <w:rPr>
              <w:rFonts w:asciiTheme="minorHAnsi" w:hAnsiTheme="minorHAnsi" w:eastAsiaTheme="minorEastAsia" w:cstheme="minorBidi"/>
              <w:szCs w:val="22"/>
              <w14:ligatures w14:val="standardContextual"/>
            </w:rPr>
          </w:pPr>
          <w:r>
            <w:rPr>
              <w:b/>
              <w:bCs/>
              <w:lang w:val="zh-CN"/>
            </w:rPr>
            <w:fldChar w:fldCharType="end"/>
          </w:r>
        </w:p>
      </w:sdtContent>
    </w:sdt>
    <w:p w14:paraId="068BDF85">
      <w:pPr>
        <w:pStyle w:val="18"/>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3F0A93C9">
      <w:pPr>
        <w:pStyle w:val="22"/>
        <w:ind w:firstLine="0" w:firstLineChars="0"/>
      </w:pPr>
      <w:r>
        <w:fldChar w:fldCharType="end"/>
      </w:r>
      <w:bookmarkEnd w:id="1"/>
    </w:p>
    <w:p w14:paraId="13D44EC7">
      <w:pPr>
        <w:pStyle w:val="70"/>
      </w:pPr>
      <w:bookmarkStart w:id="3" w:name="_Toc183031892"/>
      <w:r>
        <w:t>前    言</w:t>
      </w:r>
      <w:bookmarkEnd w:id="3"/>
    </w:p>
    <w:p w14:paraId="52DEEA14">
      <w:pPr>
        <w:pStyle w:val="22"/>
      </w:pPr>
      <w:r>
        <w:t>本</w:t>
      </w:r>
      <w:r>
        <w:rPr>
          <w:rFonts w:hint="eastAsia"/>
        </w:rPr>
        <w:t>文件</w:t>
      </w:r>
      <w:r>
        <w:t>按照</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6C3F84E1">
      <w:pPr>
        <w:pStyle w:val="22"/>
      </w:pPr>
      <w:r>
        <w:rPr>
          <w:rFonts w:ascii="Arial Narrow" w:hAnsi="Arial Narrow" w:cs="Arial Narrow"/>
        </w:rPr>
        <w:t>请注意本文件的某些内容可能涉及专利。本文件的发布机构不承担识别专利的责任。</w:t>
      </w:r>
    </w:p>
    <w:p w14:paraId="4CC6ED89">
      <w:pPr>
        <w:pStyle w:val="22"/>
      </w:pPr>
      <w:r>
        <w:t>本</w:t>
      </w:r>
      <w:r>
        <w:rPr>
          <w:rFonts w:hint="eastAsia"/>
        </w:rPr>
        <w:t>文件</w:t>
      </w:r>
      <w:r>
        <w:t>由</w:t>
      </w:r>
      <w:r>
        <w:rPr>
          <w:rFonts w:hint="eastAsia"/>
        </w:rPr>
        <w:t>华中科技大学同济医学院附属同济医院提出。</w:t>
      </w:r>
    </w:p>
    <w:p w14:paraId="06938CAC">
      <w:pPr>
        <w:pStyle w:val="22"/>
      </w:pPr>
      <w:r>
        <w:t>本</w:t>
      </w:r>
      <w:r>
        <w:rPr>
          <w:rFonts w:hint="eastAsia"/>
        </w:rPr>
        <w:t>文件</w:t>
      </w:r>
      <w:r>
        <w:t>由</w:t>
      </w:r>
      <w:r>
        <w:rPr>
          <w:rFonts w:hint="eastAsia"/>
        </w:rPr>
        <w:t>中国医药教育协会</w:t>
      </w:r>
      <w:r>
        <w:t>归口。</w:t>
      </w:r>
    </w:p>
    <w:p w14:paraId="6588452D">
      <w:pPr>
        <w:pStyle w:val="22"/>
      </w:pPr>
      <w:r>
        <w:t>本</w:t>
      </w:r>
      <w:r>
        <w:rPr>
          <w:rFonts w:hint="eastAsia"/>
        </w:rPr>
        <w:t>文件</w:t>
      </w:r>
      <w:r>
        <w:t>起草单位：</w:t>
      </w:r>
      <w:r>
        <w:rPr>
          <w:rFonts w:hint="eastAsia"/>
        </w:rPr>
        <w:t>华中科技大学同济医学院附属同济医院</w:t>
      </w:r>
      <w:r>
        <w:t>、空军军医大学唐都医院、</w:t>
      </w:r>
      <w:r>
        <w:rPr>
          <w:rFonts w:hint="eastAsia"/>
        </w:rPr>
        <w:t>山东省立医院、吉林大学第一医院、北京医院、兰州大学第二医院、吉林大学第三医院、河南省人民医院、首都医科大学宣武医院、重庆医科大学附属第一医院、哈尔滨医科大学附属第二医院、香港大学深圳医院、武汉大学中南医院、湖南省脑科医院、首都医科大学附属北京天坛医院</w:t>
      </w:r>
      <w:r>
        <w:t>。</w:t>
      </w:r>
    </w:p>
    <w:p w14:paraId="37D2AD02">
      <w:pPr>
        <w:ind w:firstLine="420" w:firstLineChars="200"/>
      </w:pPr>
      <w:r>
        <w:t>本</w:t>
      </w:r>
      <w:r>
        <w:rPr>
          <w:rFonts w:hint="eastAsia"/>
        </w:rPr>
        <w:t>文件主要</w:t>
      </w:r>
      <w:r>
        <w:t>起草人：</w:t>
      </w:r>
      <w:r>
        <w:rPr>
          <w:rFonts w:hint="eastAsia"/>
        </w:rPr>
        <w:t>田代实、秦川、肖君、刘雨欣、张航、郭俊、郭守刚、金涛、殷剑、刘伟、韩雪梅、黄月、赵奕楠、冯金洲、李磊、肖海兵、何丹、涂鄂文、史凯斌</w:t>
      </w:r>
      <w:r>
        <w:t>。</w:t>
      </w:r>
    </w:p>
    <w:p w14:paraId="28440184">
      <w:pPr>
        <w:pStyle w:val="73"/>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53FAEBFC">
      <w:pPr>
        <w:pStyle w:val="73"/>
      </w:pPr>
      <w:bookmarkStart w:id="4" w:name="_Toc183031893"/>
      <w:r>
        <w:rPr>
          <w:rFonts w:hint="eastAsia"/>
        </w:rPr>
        <w:t>嵌合抗原受体T细胞在神经免疫疾病治疗中的技术规范</w:t>
      </w:r>
      <w:bookmarkEnd w:id="4"/>
    </w:p>
    <w:p w14:paraId="5C3C03E1">
      <w:pPr>
        <w:pStyle w:val="44"/>
        <w:spacing w:before="312" w:after="312"/>
      </w:pPr>
      <w:bookmarkStart w:id="5" w:name="_Toc183031894"/>
      <w:r>
        <w:t>范围</w:t>
      </w:r>
      <w:bookmarkEnd w:id="5"/>
    </w:p>
    <w:p w14:paraId="056DA6B5">
      <w:pPr>
        <w:pStyle w:val="22"/>
      </w:pPr>
      <w:r>
        <w:rPr>
          <w:rFonts w:hint="eastAsia"/>
        </w:rPr>
        <w:t>本文件规定了嵌合抗原受体T细胞在神经免疫疾病治疗中的基本要求、实施与操作、不良反应的监测与处理、患者随访等内容。</w:t>
      </w:r>
    </w:p>
    <w:p w14:paraId="5AA12AAB">
      <w:pPr>
        <w:pStyle w:val="22"/>
      </w:pPr>
      <w:r>
        <w:rPr>
          <w:rFonts w:hint="eastAsia"/>
        </w:rPr>
        <w:t>本文件适用于嵌合抗原受体T细胞在神经免疫疾病治疗中的临床应用。</w:t>
      </w:r>
    </w:p>
    <w:p w14:paraId="73EED5CF">
      <w:pPr>
        <w:pStyle w:val="44"/>
        <w:spacing w:before="312" w:after="312"/>
      </w:pPr>
      <w:bookmarkStart w:id="6" w:name="_Toc183031895"/>
      <w:r>
        <w:t>规范性引用文件</w:t>
      </w:r>
      <w:bookmarkEnd w:id="6"/>
    </w:p>
    <w:p w14:paraId="2C8D516C">
      <w:pPr>
        <w:pStyle w:val="2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2E33EE">
      <w:pPr>
        <w:pStyle w:val="22"/>
      </w:pPr>
      <w:r>
        <w:rPr>
          <w:rFonts w:hint="eastAsia"/>
        </w:rPr>
        <w:t>DB13/T 5332-2021 细胞免疫治疗临床操作技术规范</w:t>
      </w:r>
    </w:p>
    <w:p w14:paraId="34A0F862">
      <w:pPr>
        <w:pStyle w:val="22"/>
      </w:pPr>
      <w:r>
        <w:rPr>
          <w:rFonts w:hint="eastAsia"/>
        </w:rPr>
        <w:t>T/FDSA 0055—2024 基于mRNA-LNP技术的（细胞）免疫治疗产品开发指南</w:t>
      </w:r>
    </w:p>
    <w:p w14:paraId="44797360">
      <w:pPr>
        <w:pStyle w:val="44"/>
        <w:spacing w:before="312" w:after="312"/>
      </w:pPr>
      <w:bookmarkStart w:id="7" w:name="_Toc183031896"/>
      <w:r>
        <w:t>术语和定义</w:t>
      </w:r>
      <w:bookmarkEnd w:id="7"/>
    </w:p>
    <w:p w14:paraId="024C0D3C">
      <w:pPr>
        <w:pStyle w:val="22"/>
      </w:pPr>
      <w:r>
        <w:rPr>
          <w:rFonts w:hint="eastAsia"/>
        </w:rPr>
        <w:t>下列术语和定义适用于本文件。</w:t>
      </w:r>
    </w:p>
    <w:p w14:paraId="66165F51">
      <w:pPr>
        <w:pStyle w:val="43"/>
        <w:spacing w:before="156" w:after="156"/>
      </w:pPr>
      <w:bookmarkStart w:id="8" w:name="_Toc182934888"/>
      <w:bookmarkEnd w:id="8"/>
      <w:bookmarkStart w:id="9" w:name="_Toc183031897"/>
      <w:bookmarkEnd w:id="9"/>
      <w:bookmarkStart w:id="10" w:name="_Toc182945175"/>
      <w:bookmarkEnd w:id="10"/>
    </w:p>
    <w:p w14:paraId="55C041A7">
      <w:pPr>
        <w:pStyle w:val="22"/>
        <w:rPr>
          <w:rFonts w:hint="eastAsia" w:ascii="黑体" w:hAnsi="黑体" w:eastAsia="黑体"/>
        </w:rPr>
      </w:pPr>
      <w:r>
        <w:rPr>
          <w:rFonts w:hint="eastAsia" w:ascii="黑体" w:hAnsi="黑体" w:eastAsia="黑体"/>
        </w:rPr>
        <w:t>嵌合抗原受体T细胞 chimeric antigen receptor T cells，CAR-T</w:t>
      </w:r>
    </w:p>
    <w:p w14:paraId="0B4126EF">
      <w:pPr>
        <w:pStyle w:val="22"/>
      </w:pPr>
      <w:r>
        <w:rPr>
          <w:rFonts w:hint="eastAsia"/>
        </w:rPr>
        <w:t>经基因工程技术改造将特定抗原受体嵌入T细胞表面，使其具备识别特定抗原能力的T细胞。</w:t>
      </w:r>
    </w:p>
    <w:p w14:paraId="2917D876">
      <w:pPr>
        <w:pStyle w:val="43"/>
        <w:spacing w:before="156" w:after="156"/>
      </w:pPr>
      <w:bookmarkStart w:id="11" w:name="_Toc182934889"/>
      <w:bookmarkEnd w:id="11"/>
      <w:bookmarkStart w:id="12" w:name="_Toc182945176"/>
      <w:bookmarkEnd w:id="12"/>
      <w:bookmarkStart w:id="13" w:name="_Toc183031898"/>
      <w:bookmarkEnd w:id="13"/>
    </w:p>
    <w:p w14:paraId="54D76756">
      <w:pPr>
        <w:pStyle w:val="22"/>
        <w:rPr>
          <w:rFonts w:hint="eastAsia" w:ascii="黑体" w:hAnsi="黑体" w:eastAsia="黑体"/>
        </w:rPr>
      </w:pPr>
      <w:r>
        <w:rPr>
          <w:rFonts w:hint="eastAsia" w:ascii="黑体" w:hAnsi="黑体" w:eastAsia="黑体"/>
        </w:rPr>
        <w:t>外周血单个核细胞 peripheral blood mononuclear cell，PBMC</w:t>
      </w:r>
    </w:p>
    <w:p w14:paraId="57A0FD06">
      <w:pPr>
        <w:pStyle w:val="22"/>
      </w:pPr>
      <w:r>
        <w:rPr>
          <w:rFonts w:hint="eastAsia"/>
        </w:rPr>
        <w:t>从外周血中分离出来的具有单个核的细胞群，包括淋巴细胞（如T细胞、B细胞和自然杀伤细胞）和单核细胞（如单核细胞和巨噬细胞）。</w:t>
      </w:r>
    </w:p>
    <w:p w14:paraId="5617AF76">
      <w:pPr>
        <w:pStyle w:val="43"/>
        <w:spacing w:before="156" w:after="156"/>
      </w:pPr>
      <w:bookmarkStart w:id="14" w:name="_Toc183031899"/>
      <w:bookmarkEnd w:id="14"/>
      <w:bookmarkStart w:id="15" w:name="_Toc182934890"/>
      <w:bookmarkEnd w:id="15"/>
      <w:bookmarkStart w:id="16" w:name="_Toc182945177"/>
      <w:bookmarkEnd w:id="16"/>
    </w:p>
    <w:p w14:paraId="65B32B5D">
      <w:pPr>
        <w:pStyle w:val="22"/>
        <w:rPr>
          <w:rFonts w:hint="eastAsia" w:ascii="黑体" w:hAnsi="黑体" w:eastAsia="黑体"/>
        </w:rPr>
      </w:pPr>
      <w:r>
        <w:rPr>
          <w:rFonts w:hint="eastAsia" w:ascii="黑体" w:hAnsi="黑体" w:eastAsia="黑体"/>
        </w:rPr>
        <w:t>ECOG评分 Zubrod-ECOG-WHO score</w:t>
      </w:r>
    </w:p>
    <w:p w14:paraId="0F9710BF">
      <w:pPr>
        <w:spacing w:line="276" w:lineRule="auto"/>
        <w:ind w:firstLine="420" w:firstLineChars="200"/>
        <w:rPr>
          <w:rFonts w:hint="eastAsia" w:ascii="宋体" w:hAnsi="宋体"/>
        </w:rPr>
      </w:pPr>
      <w:r>
        <w:rPr>
          <w:rFonts w:hint="eastAsia" w:ascii="宋体" w:hAnsi="宋体"/>
        </w:rPr>
        <w:t>指评估</w:t>
      </w:r>
      <w:r>
        <w:rPr>
          <w:rFonts w:ascii="宋体" w:hAnsi="宋体"/>
        </w:rPr>
        <w:t>患者身体功能和生活质量的</w:t>
      </w:r>
      <w:r>
        <w:rPr>
          <w:rFonts w:hint="eastAsia" w:ascii="宋体" w:hAnsi="宋体"/>
        </w:rPr>
        <w:t>评分，评分范围从0至5，0表示患者完全无症状、活动正常，5表示患者处于临终状态。</w:t>
      </w:r>
    </w:p>
    <w:p w14:paraId="72082704">
      <w:pPr>
        <w:pStyle w:val="43"/>
        <w:spacing w:before="156" w:after="156"/>
      </w:pPr>
      <w:bookmarkStart w:id="17" w:name="_Toc182934891"/>
      <w:bookmarkEnd w:id="17"/>
      <w:bookmarkStart w:id="18" w:name="_Toc182945178"/>
      <w:bookmarkEnd w:id="18"/>
      <w:bookmarkStart w:id="19" w:name="_Toc183031900"/>
      <w:bookmarkEnd w:id="19"/>
    </w:p>
    <w:p w14:paraId="3DCDAD34">
      <w:pPr>
        <w:pStyle w:val="22"/>
        <w:rPr>
          <w:rFonts w:hint="eastAsia" w:ascii="黑体" w:hAnsi="黑体" w:eastAsia="黑体"/>
        </w:rPr>
      </w:pPr>
      <w:r>
        <w:rPr>
          <w:rFonts w:hint="eastAsia" w:ascii="黑体" w:hAnsi="黑体" w:eastAsia="黑体"/>
        </w:rPr>
        <w:t>KPS 评分 Karnofsky score</w:t>
      </w:r>
    </w:p>
    <w:p w14:paraId="1029CA59">
      <w:pPr>
        <w:spacing w:line="276" w:lineRule="auto"/>
        <w:ind w:firstLine="420" w:firstLineChars="200"/>
        <w:rPr>
          <w:rFonts w:hint="eastAsia" w:ascii="宋体" w:hAnsi="宋体"/>
        </w:rPr>
      </w:pPr>
      <w:r>
        <w:rPr>
          <w:rFonts w:hint="eastAsia" w:ascii="宋体" w:hAnsi="宋体"/>
        </w:rPr>
        <w:t>指评估患者生活质量和功能状态的评分，评分范围从0至100，0表示死亡，100表示完全正常的活动能力。</w:t>
      </w:r>
    </w:p>
    <w:p w14:paraId="0BB3256F">
      <w:pPr>
        <w:pStyle w:val="43"/>
        <w:spacing w:before="156" w:after="156"/>
      </w:pPr>
      <w:bookmarkStart w:id="20" w:name="_Toc182945179"/>
      <w:bookmarkEnd w:id="20"/>
      <w:bookmarkStart w:id="21" w:name="_Toc182934892"/>
      <w:bookmarkEnd w:id="21"/>
      <w:bookmarkStart w:id="22" w:name="_Toc183031901"/>
      <w:bookmarkEnd w:id="22"/>
    </w:p>
    <w:p w14:paraId="72AFBC02">
      <w:pPr>
        <w:pStyle w:val="22"/>
        <w:rPr>
          <w:rFonts w:hint="eastAsia" w:ascii="黑体" w:hAnsi="黑体" w:eastAsia="黑体"/>
        </w:rPr>
      </w:pPr>
      <w:r>
        <w:rPr>
          <w:rFonts w:hint="eastAsia" w:ascii="黑体" w:hAnsi="黑体" w:eastAsia="黑体"/>
        </w:rPr>
        <w:t>Lansky评分 Lansky score</w:t>
      </w:r>
    </w:p>
    <w:p w14:paraId="1505C5DC">
      <w:pPr>
        <w:spacing w:line="276" w:lineRule="auto"/>
        <w:ind w:firstLine="420" w:firstLineChars="200"/>
      </w:pPr>
      <w:r>
        <w:rPr>
          <w:rFonts w:hint="eastAsia" w:ascii="宋体" w:hAnsi="宋体"/>
        </w:rPr>
        <w:t>指评估儿童患者功能状态的评分，评分范围从0至100，0表示完全卧床不起，100表示完全正常活动。</w:t>
      </w:r>
    </w:p>
    <w:p w14:paraId="19844A6A">
      <w:pPr>
        <w:pStyle w:val="43"/>
        <w:spacing w:before="156" w:after="156"/>
      </w:pPr>
      <w:bookmarkStart w:id="23" w:name="_Toc182934893"/>
      <w:bookmarkEnd w:id="23"/>
      <w:bookmarkStart w:id="24" w:name="_Toc182945180"/>
      <w:bookmarkEnd w:id="24"/>
      <w:bookmarkStart w:id="25" w:name="_Toc183031902"/>
      <w:bookmarkEnd w:id="25"/>
    </w:p>
    <w:p w14:paraId="0327858D">
      <w:pPr>
        <w:pStyle w:val="22"/>
        <w:rPr>
          <w:rFonts w:hint="eastAsia" w:ascii="黑体" w:hAnsi="黑体" w:eastAsia="黑体"/>
        </w:rPr>
      </w:pPr>
      <w:r>
        <w:rPr>
          <w:rFonts w:hint="eastAsia" w:ascii="黑体" w:hAnsi="黑体" w:eastAsia="黑体"/>
        </w:rPr>
        <w:t>GMP样细胞培养室 GMP-like cell laboratory</w:t>
      </w:r>
    </w:p>
    <w:p w14:paraId="109BEAF0">
      <w:pPr>
        <w:spacing w:line="276" w:lineRule="auto"/>
        <w:ind w:firstLine="420" w:firstLineChars="200"/>
        <w:rPr>
          <w:rFonts w:hint="eastAsia" w:ascii="宋体" w:hAnsi="宋体"/>
        </w:rPr>
      </w:pPr>
      <w:r>
        <w:rPr>
          <w:rFonts w:hint="eastAsia" w:ascii="宋体" w:hAnsi="宋体"/>
        </w:rPr>
        <w:t>指模拟药品生产质量管理规范（Good Manufacturing Practice，GMP）要求的细胞培养环境。</w:t>
      </w:r>
    </w:p>
    <w:p w14:paraId="3D0963CD">
      <w:pPr>
        <w:pStyle w:val="43"/>
        <w:spacing w:before="156" w:after="156"/>
      </w:pPr>
      <w:bookmarkStart w:id="26" w:name="_Toc183031903"/>
      <w:bookmarkEnd w:id="26"/>
      <w:bookmarkStart w:id="27" w:name="_Toc182945181"/>
      <w:bookmarkEnd w:id="27"/>
      <w:bookmarkStart w:id="28" w:name="_Toc182934894"/>
      <w:bookmarkEnd w:id="28"/>
    </w:p>
    <w:p w14:paraId="2C468A10">
      <w:pPr>
        <w:pStyle w:val="22"/>
        <w:rPr>
          <w:rFonts w:hint="eastAsia" w:ascii="黑体" w:hAnsi="黑体" w:eastAsia="黑体"/>
        </w:rPr>
      </w:pPr>
      <w:r>
        <w:rPr>
          <w:rFonts w:hint="eastAsia" w:ascii="黑体" w:hAnsi="黑体" w:eastAsia="黑体"/>
        </w:rPr>
        <w:t>淋巴细胞清除 lymphodepletion，LD</w:t>
      </w:r>
    </w:p>
    <w:p w14:paraId="5435524A">
      <w:pPr>
        <w:spacing w:line="276" w:lineRule="auto"/>
        <w:ind w:firstLine="420" w:firstLineChars="200"/>
        <w:rPr>
          <w:rFonts w:hint="eastAsia" w:ascii="宋体" w:hAnsi="宋体"/>
        </w:rPr>
      </w:pPr>
      <w:r>
        <w:rPr>
          <w:rFonts w:hint="eastAsia" w:ascii="宋体" w:hAnsi="宋体"/>
        </w:rPr>
        <w:t>指采用特定化疗药物以暂时减少患者体内的免疫细胞，特别是T细胞数量，为CAR-T细胞的扩增和功能提供更好的体内环境。</w:t>
      </w:r>
    </w:p>
    <w:p w14:paraId="1FE430E0">
      <w:pPr>
        <w:pStyle w:val="43"/>
        <w:spacing w:before="156" w:after="156"/>
      </w:pPr>
      <w:bookmarkStart w:id="29" w:name="_Toc182945182"/>
      <w:bookmarkEnd w:id="29"/>
      <w:bookmarkStart w:id="30" w:name="_Toc182934895"/>
      <w:bookmarkEnd w:id="30"/>
      <w:bookmarkStart w:id="31" w:name="_Toc183031904"/>
      <w:bookmarkEnd w:id="31"/>
    </w:p>
    <w:p w14:paraId="1033C663">
      <w:pPr>
        <w:pStyle w:val="22"/>
        <w:rPr>
          <w:rFonts w:hint="eastAsia" w:ascii="黑体" w:hAnsi="黑体" w:eastAsia="黑体"/>
        </w:rPr>
      </w:pPr>
      <w:r>
        <w:rPr>
          <w:rFonts w:hint="eastAsia" w:ascii="黑体" w:hAnsi="黑体" w:eastAsia="黑体"/>
        </w:rPr>
        <w:t>预处理 preconditioning</w:t>
      </w:r>
    </w:p>
    <w:p w14:paraId="5CBF8C30">
      <w:pPr>
        <w:pStyle w:val="22"/>
      </w:pPr>
      <w:r>
        <w:rPr>
          <w:rFonts w:hint="eastAsia"/>
        </w:rPr>
        <w:t>指在CAR-T细胞回输前采用特定药物提高CAR-T细胞治疗效果、减少毒副作用的前期治疗。</w:t>
      </w:r>
    </w:p>
    <w:p w14:paraId="49AFA2EF">
      <w:pPr>
        <w:pStyle w:val="43"/>
        <w:spacing w:before="156" w:after="156"/>
      </w:pPr>
      <w:bookmarkStart w:id="32" w:name="_Toc182945183"/>
      <w:bookmarkEnd w:id="32"/>
      <w:bookmarkStart w:id="33" w:name="_Toc182934896"/>
      <w:bookmarkEnd w:id="33"/>
      <w:bookmarkStart w:id="34" w:name="_Toc183031905"/>
      <w:bookmarkEnd w:id="34"/>
    </w:p>
    <w:p w14:paraId="720A75AD">
      <w:pPr>
        <w:pStyle w:val="22"/>
        <w:rPr>
          <w:rFonts w:hint="eastAsia" w:ascii="黑体" w:hAnsi="黑体" w:eastAsia="黑体"/>
        </w:rPr>
      </w:pPr>
      <w:r>
        <w:rPr>
          <w:rFonts w:hint="eastAsia" w:ascii="黑体" w:hAnsi="黑体" w:eastAsia="黑体"/>
        </w:rPr>
        <w:t>细胞因子风暴 cytokine release storm，CRS</w:t>
      </w:r>
    </w:p>
    <w:p w14:paraId="57E9634E">
      <w:pPr>
        <w:pStyle w:val="22"/>
      </w:pPr>
      <w:r>
        <w:rPr>
          <w:rFonts w:hint="eastAsia"/>
        </w:rPr>
        <w:t>指CAR-T细胞治疗过程中，由免疫细胞激活引发细胞因子大量释放而导致的全身性炎症反应。</w:t>
      </w:r>
    </w:p>
    <w:p w14:paraId="76C5F980">
      <w:pPr>
        <w:pStyle w:val="43"/>
        <w:spacing w:before="156" w:after="156"/>
      </w:pPr>
      <w:bookmarkStart w:id="35" w:name="_Toc182945184"/>
      <w:bookmarkEnd w:id="35"/>
      <w:bookmarkStart w:id="36" w:name="_Toc183031906"/>
      <w:bookmarkEnd w:id="36"/>
      <w:bookmarkStart w:id="37" w:name="_Toc182934897"/>
      <w:bookmarkEnd w:id="37"/>
    </w:p>
    <w:p w14:paraId="2401ACB2">
      <w:pPr>
        <w:pStyle w:val="22"/>
        <w:rPr>
          <w:rFonts w:hint="eastAsia" w:ascii="黑体" w:hAnsi="黑体" w:eastAsia="黑体"/>
        </w:rPr>
      </w:pPr>
      <w:r>
        <w:rPr>
          <w:rFonts w:hint="eastAsia" w:ascii="黑体" w:hAnsi="黑体" w:eastAsia="黑体"/>
        </w:rPr>
        <w:tab/>
      </w:r>
      <w:r>
        <w:rPr>
          <w:rFonts w:hint="eastAsia" w:ascii="黑体" w:hAnsi="黑体" w:eastAsia="黑体"/>
        </w:rPr>
        <w:t>免疫效应细胞相关神经毒性综合征 immune effector cell associated neurotoxicity syndrome，ICANS</w:t>
      </w:r>
    </w:p>
    <w:p w14:paraId="4179DE74">
      <w:pPr>
        <w:spacing w:line="276" w:lineRule="auto"/>
        <w:ind w:firstLine="420" w:firstLineChars="200"/>
        <w:rPr>
          <w:rFonts w:hint="eastAsia" w:ascii="宋体" w:hAnsi="宋体"/>
        </w:rPr>
      </w:pPr>
      <w:r>
        <w:rPr>
          <w:rFonts w:hint="eastAsia" w:ascii="宋体" w:hAnsi="宋体"/>
        </w:rPr>
        <w:t>指CAR-T细胞治疗引发的一种神经系统不良反应，通常与免疫反应过度激活有关。</w:t>
      </w:r>
    </w:p>
    <w:p w14:paraId="328DBA92">
      <w:pPr>
        <w:pStyle w:val="43"/>
        <w:spacing w:before="156" w:after="156"/>
      </w:pPr>
      <w:bookmarkStart w:id="38" w:name="_Toc183031907"/>
      <w:bookmarkEnd w:id="38"/>
      <w:bookmarkStart w:id="39" w:name="_Toc182945185"/>
      <w:bookmarkEnd w:id="39"/>
      <w:bookmarkStart w:id="40" w:name="_Toc182934898"/>
      <w:bookmarkEnd w:id="40"/>
    </w:p>
    <w:p w14:paraId="023B3AC0">
      <w:pPr>
        <w:pStyle w:val="22"/>
        <w:rPr>
          <w:rFonts w:hint="eastAsia" w:ascii="黑体" w:hAnsi="黑体" w:eastAsia="黑体"/>
        </w:rPr>
      </w:pPr>
      <w:r>
        <w:rPr>
          <w:rFonts w:hint="eastAsia" w:ascii="黑体" w:hAnsi="黑体" w:eastAsia="黑体"/>
        </w:rPr>
        <w:t>噬血细胞性淋巴组织细胞增多症 hemophagoytic lymphohistiocytosis，HLH</w:t>
      </w:r>
    </w:p>
    <w:p w14:paraId="7D22277B">
      <w:pPr>
        <w:spacing w:line="276" w:lineRule="auto"/>
        <w:ind w:firstLine="420" w:firstLineChars="200"/>
        <w:rPr>
          <w:rFonts w:hint="eastAsia" w:ascii="宋体" w:hAnsi="宋体"/>
        </w:rPr>
      </w:pPr>
      <w:r>
        <w:rPr>
          <w:rFonts w:hint="eastAsia" w:ascii="宋体" w:hAnsi="宋体"/>
        </w:rPr>
        <w:t>指由过度激活的免疫细胞异常增殖引发的全身性炎症反应，会导致组织损伤、器官衰竭，甚至危及生命。</w:t>
      </w:r>
    </w:p>
    <w:p w14:paraId="22519FBC">
      <w:pPr>
        <w:spacing w:line="276" w:lineRule="auto"/>
        <w:ind w:firstLine="360" w:firstLineChars="200"/>
      </w:pPr>
      <w:r>
        <w:rPr>
          <w:rFonts w:hint="eastAsia" w:ascii="黑体" w:hAnsi="黑体" w:eastAsia="黑体"/>
          <w:sz w:val="18"/>
          <w:szCs w:val="18"/>
        </w:rPr>
        <w:t>注：</w:t>
      </w:r>
      <w:r>
        <w:rPr>
          <w:rFonts w:hint="eastAsia" w:ascii="宋体" w:hAnsi="宋体"/>
          <w:sz w:val="18"/>
          <w:szCs w:val="18"/>
        </w:rPr>
        <w:t>HLH可分为原发性（遗传性）和继发性，CAR-T细胞治疗导致的HLH为继发性HLH。</w:t>
      </w:r>
    </w:p>
    <w:p w14:paraId="2A6B1A62">
      <w:pPr>
        <w:pStyle w:val="43"/>
        <w:spacing w:before="156" w:after="156"/>
      </w:pPr>
      <w:bookmarkStart w:id="41" w:name="_Toc182934899"/>
      <w:bookmarkEnd w:id="41"/>
      <w:bookmarkStart w:id="42" w:name="_Toc183031908"/>
      <w:bookmarkEnd w:id="42"/>
      <w:bookmarkStart w:id="43" w:name="_Toc182945186"/>
      <w:bookmarkEnd w:id="43"/>
    </w:p>
    <w:p w14:paraId="00B4C9EF">
      <w:pPr>
        <w:pStyle w:val="22"/>
      </w:pPr>
      <w:r>
        <w:rPr>
          <w:rFonts w:hint="eastAsia" w:ascii="黑体" w:hAnsi="黑体" w:eastAsia="黑体"/>
        </w:rPr>
        <w:t>巨噬细胞活化综合征 macrophage activation syndrome，MAS</w:t>
      </w:r>
    </w:p>
    <w:p w14:paraId="335DFA1E">
      <w:pPr>
        <w:pStyle w:val="142"/>
        <w:spacing w:line="276" w:lineRule="auto"/>
        <w:rPr>
          <w:rFonts w:hint="eastAsia" w:ascii="宋体" w:hAnsi="宋体" w:eastAsia="宋体"/>
        </w:rPr>
      </w:pPr>
      <w:r>
        <w:rPr>
          <w:rFonts w:hint="eastAsia" w:ascii="宋体" w:hAnsi="宋体" w:eastAsia="宋体"/>
        </w:rPr>
        <w:t>指由异常激活的免疫细胞导致的过度炎症反应，会导致组织损伤、器官衰竭，甚至危及生命。</w:t>
      </w:r>
    </w:p>
    <w:p w14:paraId="37510E44">
      <w:pPr>
        <w:pStyle w:val="43"/>
        <w:spacing w:before="156" w:after="156"/>
      </w:pPr>
      <w:bookmarkStart w:id="44" w:name="_Toc183031909"/>
      <w:bookmarkEnd w:id="44"/>
      <w:bookmarkStart w:id="45" w:name="_Toc182945187"/>
      <w:bookmarkEnd w:id="45"/>
      <w:bookmarkStart w:id="46" w:name="_Toc182934900"/>
      <w:bookmarkEnd w:id="46"/>
    </w:p>
    <w:p w14:paraId="3B9D177A">
      <w:pPr>
        <w:pStyle w:val="22"/>
        <w:rPr>
          <w:rFonts w:hint="eastAsia" w:ascii="黑体" w:hAnsi="黑体" w:eastAsia="黑体"/>
        </w:rPr>
      </w:pPr>
      <w:r>
        <w:rPr>
          <w:rFonts w:hint="eastAsia" w:ascii="黑体" w:hAnsi="黑体" w:eastAsia="黑体"/>
        </w:rPr>
        <w:tab/>
      </w:r>
      <w:r>
        <w:rPr>
          <w:rFonts w:hint="eastAsia" w:ascii="黑体" w:hAnsi="黑体" w:eastAsia="黑体"/>
        </w:rPr>
        <w:t>免疫效应细胞相关血液毒性 immune effector cell-associated hematological toxicity，ICAHT</w:t>
      </w:r>
    </w:p>
    <w:p w14:paraId="788221F7">
      <w:pPr>
        <w:pStyle w:val="22"/>
        <w:rPr>
          <w:rFonts w:hint="eastAsia" w:ascii="黑体" w:hAnsi="黑体" w:eastAsia="黑体"/>
        </w:rPr>
      </w:pPr>
      <w:r>
        <w:rPr>
          <w:rFonts w:hint="eastAsia"/>
        </w:rPr>
        <w:t>指在免疫治疗过程中，CAR-T细胞引发的对血液系统的副作用，表现为白细胞减少、贫血、血小板减少等，通常与免疫细胞的激活和扩增相关。</w:t>
      </w:r>
    </w:p>
    <w:p w14:paraId="5D7F4842">
      <w:pPr>
        <w:pStyle w:val="44"/>
        <w:spacing w:before="312" w:after="312"/>
      </w:pPr>
      <w:bookmarkStart w:id="47" w:name="_Toc183031910"/>
      <w:r>
        <w:rPr>
          <w:rFonts w:hint="eastAsia"/>
        </w:rPr>
        <w:t>缩略语</w:t>
      </w:r>
      <w:bookmarkEnd w:id="47"/>
    </w:p>
    <w:p w14:paraId="6121E010">
      <w:pPr>
        <w:spacing w:before="156" w:beforeLines="50" w:after="156" w:afterLines="50"/>
        <w:ind w:firstLine="420" w:firstLineChars="200"/>
        <w:rPr>
          <w:rFonts w:hint="eastAsia" w:ascii="宋体" w:hAnsi="宋体"/>
        </w:rPr>
      </w:pPr>
      <w:r>
        <w:rPr>
          <w:rFonts w:hint="eastAsia" w:ascii="宋体" w:hAnsi="宋体"/>
        </w:rPr>
        <w:t>下列缩略语适用于本文件。</w:t>
      </w:r>
    </w:p>
    <w:p w14:paraId="6B9DAE56">
      <w:pPr>
        <w:ind w:firstLine="420" w:firstLineChars="200"/>
        <w:rPr>
          <w:rFonts w:hint="eastAsia" w:ascii="宋体" w:hAnsi="宋体"/>
        </w:rPr>
      </w:pPr>
      <w:r>
        <w:rPr>
          <w:rFonts w:hint="eastAsia" w:asciiTheme="minorEastAsia" w:hAnsiTheme="minorEastAsia" w:eastAsiaTheme="minorEastAsia"/>
        </w:rPr>
        <w:t>BCMA</w:t>
      </w:r>
      <w:r>
        <w:rPr>
          <w:rFonts w:hint="eastAsia" w:ascii="宋体" w:hAnsi="宋体"/>
        </w:rPr>
        <w:t xml:space="preserve"> B cell maturation antigen B细胞成熟抗原</w:t>
      </w:r>
    </w:p>
    <w:p w14:paraId="2AACAFA3">
      <w:pPr>
        <w:ind w:firstLine="420" w:firstLineChars="200"/>
        <w:rPr>
          <w:rFonts w:hint="eastAsia" w:ascii="宋体" w:hAnsi="宋体"/>
        </w:rPr>
      </w:pPr>
      <w:r>
        <w:rPr>
          <w:rFonts w:hint="eastAsia" w:ascii="宋体" w:hAnsi="宋体"/>
        </w:rPr>
        <w:t>CAR chimeric antigen receptor 嵌合抗原受体</w:t>
      </w:r>
    </w:p>
    <w:p w14:paraId="1B3601FF">
      <w:pPr>
        <w:ind w:firstLine="420" w:firstLineChars="200"/>
        <w:rPr>
          <w:rFonts w:hint="eastAsia" w:ascii="宋体" w:hAnsi="宋体"/>
        </w:rPr>
      </w:pPr>
      <w:r>
        <w:rPr>
          <w:rFonts w:hint="eastAsia" w:ascii="宋体" w:hAnsi="宋体"/>
        </w:rPr>
        <w:t>CAR-T chimeric antigen receptor T cells 嵌合抗原受体T细胞</w:t>
      </w:r>
    </w:p>
    <w:p w14:paraId="1E40E52A">
      <w:pPr>
        <w:ind w:firstLine="420" w:firstLineChars="200"/>
        <w:rPr>
          <w:rFonts w:hint="eastAsia" w:ascii="宋体" w:hAnsi="宋体"/>
        </w:rPr>
      </w:pPr>
      <w:r>
        <w:rPr>
          <w:rFonts w:hint="eastAsia" w:ascii="宋体" w:hAnsi="宋体"/>
        </w:rPr>
        <w:t>CD cluster of differentiation 白细胞分化抗原</w:t>
      </w:r>
    </w:p>
    <w:p w14:paraId="01F744B8">
      <w:pPr>
        <w:ind w:firstLine="420" w:firstLineChars="200"/>
        <w:rPr>
          <w:rFonts w:hint="eastAsia" w:ascii="宋体" w:hAnsi="宋体"/>
        </w:rPr>
      </w:pPr>
      <w:r>
        <w:rPr>
          <w:rFonts w:hint="eastAsia" w:ascii="宋体" w:hAnsi="宋体"/>
        </w:rPr>
        <w:t>CRS cytokine release storm 细胞因子风暴</w:t>
      </w:r>
    </w:p>
    <w:p w14:paraId="0613F959">
      <w:pPr>
        <w:tabs>
          <w:tab w:val="left" w:pos="10"/>
        </w:tabs>
        <w:ind w:firstLine="420" w:firstLineChars="200"/>
        <w:rPr>
          <w:rFonts w:hint="eastAsia" w:ascii="宋体" w:hAnsi="宋体"/>
        </w:rPr>
      </w:pPr>
      <w:r>
        <w:rPr>
          <w:rFonts w:hint="eastAsia" w:ascii="宋体" w:hAnsi="宋体"/>
        </w:rPr>
        <w:t>FDA Food and Drug Administration 美国食品和药物管理局</w:t>
      </w:r>
    </w:p>
    <w:p w14:paraId="47518F25">
      <w:pPr>
        <w:ind w:firstLine="420" w:firstLineChars="200"/>
        <w:rPr>
          <w:rFonts w:hint="eastAsia" w:ascii="宋体" w:hAnsi="宋体"/>
        </w:rPr>
      </w:pPr>
      <w:r>
        <w:rPr>
          <w:rFonts w:hint="eastAsia" w:ascii="宋体" w:hAnsi="宋体"/>
        </w:rPr>
        <w:t>GMP good manufacturing practice模拟药品生产质量管理规范</w:t>
      </w:r>
    </w:p>
    <w:p w14:paraId="1EED57AD">
      <w:pPr>
        <w:tabs>
          <w:tab w:val="left" w:pos="10"/>
        </w:tabs>
        <w:ind w:firstLine="420" w:firstLineChars="200"/>
        <w:rPr>
          <w:rFonts w:hint="eastAsia" w:ascii="宋体" w:hAnsi="宋体"/>
        </w:rPr>
      </w:pPr>
      <w:r>
        <w:rPr>
          <w:rFonts w:hint="eastAsia" w:ascii="宋体" w:hAnsi="宋体"/>
        </w:rPr>
        <w:t>HLH hemophagoytic lymphohistiocytosis 噬血细胞性淋巴组织细胞增多症</w:t>
      </w:r>
    </w:p>
    <w:p w14:paraId="124938DB">
      <w:pPr>
        <w:tabs>
          <w:tab w:val="left" w:pos="10"/>
        </w:tabs>
        <w:ind w:firstLine="420" w:firstLineChars="200"/>
        <w:rPr>
          <w:rFonts w:hint="eastAsia" w:ascii="宋体" w:hAnsi="宋体"/>
        </w:rPr>
      </w:pPr>
      <w:r>
        <w:rPr>
          <w:rFonts w:hint="eastAsia" w:ascii="宋体" w:hAnsi="宋体"/>
        </w:rPr>
        <w:t>ICAHT immune effector cell-associated hematological toxicity 免疫效应细胞相关神经毒性综合征</w:t>
      </w:r>
    </w:p>
    <w:p w14:paraId="1E16D518">
      <w:pPr>
        <w:tabs>
          <w:tab w:val="left" w:pos="10"/>
        </w:tabs>
        <w:ind w:firstLine="420" w:firstLineChars="200"/>
        <w:rPr>
          <w:rFonts w:hint="eastAsia" w:ascii="宋体" w:hAnsi="宋体"/>
        </w:rPr>
      </w:pPr>
      <w:r>
        <w:rPr>
          <w:rFonts w:hint="eastAsia" w:ascii="宋体" w:hAnsi="宋体"/>
        </w:rPr>
        <w:t>ICANS immune effector cell associated neurotoxicity syndrome 免疫效应细胞相关血液毒性</w:t>
      </w:r>
    </w:p>
    <w:p w14:paraId="6CF9C1A6">
      <w:pPr>
        <w:ind w:firstLine="420" w:firstLineChars="200"/>
        <w:rPr>
          <w:rFonts w:hint="eastAsia" w:ascii="宋体" w:hAnsi="宋体"/>
        </w:rPr>
      </w:pPr>
      <w:r>
        <w:rPr>
          <w:rFonts w:hint="eastAsia" w:ascii="宋体" w:hAnsi="宋体"/>
        </w:rPr>
        <w:t>ICU intensive care unit 重症监护病房</w:t>
      </w:r>
    </w:p>
    <w:p w14:paraId="3BF66D18">
      <w:pPr>
        <w:ind w:firstLine="420" w:firstLineChars="200"/>
        <w:rPr>
          <w:rFonts w:hint="eastAsia" w:ascii="宋体" w:hAnsi="宋体"/>
        </w:rPr>
      </w:pPr>
      <w:r>
        <w:rPr>
          <w:rFonts w:hint="eastAsia" w:ascii="宋体" w:hAnsi="宋体"/>
        </w:rPr>
        <w:t>Ig immunoglobulin 免疫球蛋白</w:t>
      </w:r>
    </w:p>
    <w:p w14:paraId="01D6B361">
      <w:pPr>
        <w:ind w:firstLine="420" w:firstLineChars="200"/>
        <w:rPr>
          <w:rFonts w:hint="eastAsia" w:ascii="宋体" w:hAnsi="宋体"/>
        </w:rPr>
      </w:pPr>
      <w:r>
        <w:rPr>
          <w:rFonts w:hint="eastAsia" w:ascii="宋体" w:hAnsi="宋体"/>
        </w:rPr>
        <w:t>JAK janus kinase JAK激酶</w:t>
      </w:r>
    </w:p>
    <w:p w14:paraId="4486E588">
      <w:pPr>
        <w:ind w:firstLine="420" w:firstLineChars="200"/>
        <w:rPr>
          <w:rFonts w:hint="eastAsia" w:ascii="宋体" w:hAnsi="宋体"/>
        </w:rPr>
      </w:pPr>
      <w:r>
        <w:rPr>
          <w:rFonts w:hint="eastAsia" w:ascii="宋体" w:hAnsi="宋体"/>
        </w:rPr>
        <w:t>LD lymphodepletion 淋巴细胞清除</w:t>
      </w:r>
    </w:p>
    <w:p w14:paraId="06205F5D">
      <w:pPr>
        <w:tabs>
          <w:tab w:val="left" w:pos="10"/>
        </w:tabs>
        <w:ind w:firstLine="420" w:firstLineChars="200"/>
        <w:rPr>
          <w:rFonts w:hint="eastAsia" w:ascii="宋体" w:hAnsi="宋体"/>
        </w:rPr>
      </w:pPr>
      <w:r>
        <w:rPr>
          <w:rFonts w:hint="eastAsia" w:ascii="宋体" w:hAnsi="宋体"/>
        </w:rPr>
        <w:t>MAS macrophage activation syndrome 巨噬细胞活化综合征</w:t>
      </w:r>
    </w:p>
    <w:p w14:paraId="22F714CE">
      <w:pPr>
        <w:tabs>
          <w:tab w:val="left" w:pos="10"/>
        </w:tabs>
        <w:ind w:firstLine="420" w:firstLineChars="200"/>
        <w:rPr>
          <w:rFonts w:hint="eastAsia" w:ascii="宋体" w:hAnsi="宋体"/>
        </w:rPr>
      </w:pPr>
      <w:r>
        <w:rPr>
          <w:rFonts w:hint="eastAsia" w:ascii="宋体" w:hAnsi="宋体"/>
        </w:rPr>
        <w:t>MDT multi-disciplinary treatment 多学科会诊</w:t>
      </w:r>
    </w:p>
    <w:p w14:paraId="7524D4B1">
      <w:pPr>
        <w:tabs>
          <w:tab w:val="left" w:pos="10"/>
        </w:tabs>
        <w:ind w:firstLine="420" w:firstLineChars="200"/>
        <w:rPr>
          <w:rFonts w:hint="eastAsia" w:ascii="宋体" w:hAnsi="宋体"/>
        </w:rPr>
      </w:pPr>
      <w:r>
        <w:rPr>
          <w:rFonts w:hint="eastAsia" w:ascii="宋体" w:hAnsi="宋体"/>
        </w:rPr>
        <w:t xml:space="preserve">mTOR </w:t>
      </w:r>
      <w:r>
        <w:rPr>
          <w:rFonts w:ascii="宋体" w:hAnsi="宋体"/>
        </w:rPr>
        <w:t>mammalian target of rapamycin</w:t>
      </w:r>
      <w:r>
        <w:rPr>
          <w:rFonts w:hint="eastAsia" w:ascii="宋体" w:hAnsi="宋体"/>
        </w:rPr>
        <w:t xml:space="preserve"> 雷帕霉素</w:t>
      </w:r>
    </w:p>
    <w:p w14:paraId="7BE5E824">
      <w:pPr>
        <w:ind w:firstLine="420" w:firstLineChars="200"/>
        <w:rPr>
          <w:rFonts w:hint="eastAsia" w:ascii="宋体" w:hAnsi="宋体"/>
        </w:rPr>
      </w:pPr>
      <w:r>
        <w:rPr>
          <w:rFonts w:hint="eastAsia" w:ascii="宋体" w:hAnsi="宋体"/>
        </w:rPr>
        <w:t>PBMC peripheral blood mononuclear cell 外周血单个核细胞</w:t>
      </w:r>
    </w:p>
    <w:p w14:paraId="26BD3017">
      <w:pPr>
        <w:pStyle w:val="22"/>
      </w:pPr>
    </w:p>
    <w:p w14:paraId="42EAA185">
      <w:pPr>
        <w:pStyle w:val="44"/>
        <w:spacing w:before="312" w:after="312"/>
      </w:pPr>
      <w:bookmarkStart w:id="48" w:name="_Toc183031911"/>
      <w:r>
        <w:rPr>
          <w:rFonts w:hint="eastAsia"/>
        </w:rPr>
        <w:t>基本要求</w:t>
      </w:r>
      <w:bookmarkEnd w:id="48"/>
    </w:p>
    <w:p w14:paraId="3E4349E0">
      <w:pPr>
        <w:pStyle w:val="43"/>
        <w:spacing w:before="156" w:after="156"/>
      </w:pPr>
      <w:bookmarkStart w:id="49" w:name="_Toc183031912"/>
      <w:r>
        <w:rPr>
          <w:rFonts w:hint="eastAsia"/>
        </w:rPr>
        <w:t>人员要求</w:t>
      </w:r>
      <w:bookmarkEnd w:id="49"/>
    </w:p>
    <w:p w14:paraId="7F4D8C51">
      <w:pPr>
        <w:pStyle w:val="42"/>
        <w:spacing w:before="156" w:after="156"/>
        <w:rPr>
          <w:rFonts w:hint="eastAsia" w:asciiTheme="minorEastAsia" w:hAnsiTheme="minorEastAsia" w:eastAsiaTheme="minorEastAsia"/>
        </w:rPr>
      </w:pPr>
      <w:r>
        <w:rPr>
          <w:rFonts w:hint="eastAsia" w:asciiTheme="minorEastAsia" w:hAnsiTheme="minorEastAsia" w:eastAsiaTheme="minorEastAsia"/>
        </w:rPr>
        <w:t>开展CAR-T细胞治疗的医疗机构应配备与其规模相适应的医护人员团队。医师团队应包括医师至少三名以上，其中至少一名医师具备高级职称资质（副高级及以上）；护理团队应包括护士至少四名以上，其中至少一名护士具备中级及以上资质。</w:t>
      </w:r>
    </w:p>
    <w:p w14:paraId="3CC876B6">
      <w:pPr>
        <w:pStyle w:val="42"/>
        <w:spacing w:before="156" w:after="156"/>
        <w:rPr>
          <w:rFonts w:hint="eastAsia" w:asciiTheme="minorEastAsia" w:hAnsiTheme="minorEastAsia" w:eastAsiaTheme="minorEastAsia"/>
        </w:rPr>
      </w:pPr>
      <w:r>
        <w:rPr>
          <w:rFonts w:hint="eastAsia" w:asciiTheme="minorEastAsia" w:hAnsiTheme="minorEastAsia" w:eastAsiaTheme="minorEastAsia"/>
        </w:rPr>
        <w:t>参与CAR-T细胞治疗的医护团队所有人员均应接受过CAR-T细胞治疗的专业培训和考核，包括但不限于CAR-T细胞治疗的基本原理、一系列的操作规范培训、不良反应的监测管理等。</w:t>
      </w:r>
    </w:p>
    <w:p w14:paraId="5036BBCD">
      <w:pPr>
        <w:pStyle w:val="42"/>
        <w:spacing w:before="156" w:after="156"/>
        <w:rPr>
          <w:rFonts w:hint="eastAsia" w:ascii="宋体" w:hAnsi="宋体" w:eastAsia="宋体"/>
        </w:rPr>
      </w:pPr>
      <w:r>
        <w:rPr>
          <w:rFonts w:hint="eastAsia" w:ascii="宋体" w:hAnsi="宋体" w:eastAsia="宋体"/>
        </w:rPr>
        <w:t>应设有应急处理专家团队，团队成员应至少包括神经内科、心血管内科、呼吸内科、血液内科、ICU科的专家并具备专家资质（副高级及以上）。</w:t>
      </w:r>
    </w:p>
    <w:p w14:paraId="2CA7BFD8">
      <w:pPr>
        <w:pStyle w:val="43"/>
        <w:spacing w:before="156" w:after="156"/>
      </w:pPr>
      <w:bookmarkStart w:id="50" w:name="_Toc183031913"/>
      <w:r>
        <w:rPr>
          <w:rFonts w:hint="eastAsia"/>
        </w:rPr>
        <w:t>医疗机构、场地、设施要求</w:t>
      </w:r>
      <w:bookmarkEnd w:id="50"/>
    </w:p>
    <w:p w14:paraId="2FCA8A95">
      <w:pPr>
        <w:pStyle w:val="42"/>
        <w:spacing w:before="156" w:after="156"/>
        <w:rPr>
          <w:rFonts w:hint="eastAsia" w:asciiTheme="minorEastAsia" w:hAnsiTheme="minorEastAsia" w:eastAsiaTheme="minorEastAsia"/>
        </w:rPr>
      </w:pPr>
      <w:r>
        <w:rPr>
          <w:rFonts w:hint="eastAsia" w:asciiTheme="minorEastAsia" w:hAnsiTheme="minorEastAsia" w:eastAsiaTheme="minorEastAsia"/>
        </w:rPr>
        <w:t>医疗机构应具备三级甲等或与其相当的医院资质。</w:t>
      </w:r>
    </w:p>
    <w:p w14:paraId="65D7018D">
      <w:pPr>
        <w:pStyle w:val="42"/>
        <w:spacing w:before="156" w:after="156"/>
      </w:pPr>
      <w:r>
        <w:rPr>
          <w:rFonts w:hint="eastAsia" w:asciiTheme="minorEastAsia" w:hAnsiTheme="minorEastAsia" w:eastAsiaTheme="minorEastAsia"/>
        </w:rPr>
        <w:t>医疗机构应具备伦理委员会，CAR-T细胞治疗产品需通过伦理鉴定后方可实施。</w:t>
      </w:r>
    </w:p>
    <w:p w14:paraId="693657C4">
      <w:pPr>
        <w:pStyle w:val="42"/>
        <w:spacing w:before="156" w:after="156"/>
        <w:rPr>
          <w:rFonts w:hint="eastAsia" w:asciiTheme="minorEastAsia" w:hAnsiTheme="minorEastAsia" w:eastAsiaTheme="minorEastAsia"/>
        </w:rPr>
      </w:pPr>
      <w:r>
        <w:rPr>
          <w:rFonts w:hint="eastAsia" w:asciiTheme="minorEastAsia" w:hAnsiTheme="minorEastAsia" w:eastAsiaTheme="minorEastAsia"/>
        </w:rPr>
        <w:t>医疗机构应具备符合CAR-T细胞治疗所需的场地和设施条件，包括病房及设施、医疗单元及设施、护理单元及设施等。</w:t>
      </w:r>
    </w:p>
    <w:p w14:paraId="64D1F3A9">
      <w:pPr>
        <w:pStyle w:val="42"/>
        <w:spacing w:before="156" w:after="156"/>
        <w:rPr>
          <w:rFonts w:hint="eastAsia" w:asciiTheme="minorEastAsia" w:hAnsiTheme="minorEastAsia" w:eastAsiaTheme="minorEastAsia"/>
        </w:rPr>
      </w:pPr>
      <w:r>
        <w:rPr>
          <w:rFonts w:hint="eastAsia" w:asciiTheme="minorEastAsia" w:hAnsiTheme="minorEastAsia" w:eastAsiaTheme="minorEastAsia"/>
        </w:rPr>
        <w:t>医疗机构应具备应急处理、危重症抢救的设备条件，包括吸氧设备、吸痰设备、心电监护设备、辅助呼吸设备等。</w:t>
      </w:r>
    </w:p>
    <w:p w14:paraId="52CA962A">
      <w:pPr>
        <w:pStyle w:val="44"/>
        <w:spacing w:before="312" w:after="312"/>
      </w:pPr>
      <w:bookmarkStart w:id="51" w:name="_Toc183031914"/>
      <w:r>
        <w:rPr>
          <w:rFonts w:hint="eastAsia"/>
        </w:rPr>
        <w:t>技术实施</w:t>
      </w:r>
      <w:bookmarkEnd w:id="51"/>
    </w:p>
    <w:p w14:paraId="09BF33CA">
      <w:pPr>
        <w:pStyle w:val="43"/>
        <w:spacing w:before="156" w:after="156"/>
      </w:pPr>
      <w:bookmarkStart w:id="52" w:name="_Toc183031915"/>
      <w:r>
        <w:rPr>
          <w:rFonts w:hint="eastAsia"/>
        </w:rPr>
        <w:t>患者评估</w:t>
      </w:r>
      <w:bookmarkEnd w:id="52"/>
    </w:p>
    <w:p w14:paraId="22F14A85">
      <w:pPr>
        <w:ind w:firstLine="420" w:firstLineChars="200"/>
        <w:rPr>
          <w:rFonts w:ascii="宋体"/>
          <w:kern w:val="0"/>
          <w:szCs w:val="20"/>
        </w:rPr>
      </w:pPr>
      <w:r>
        <w:rPr>
          <w:rFonts w:hint="eastAsia" w:ascii="宋体"/>
          <w:kern w:val="0"/>
          <w:szCs w:val="20"/>
        </w:rPr>
        <w:t>在CAR-T细胞治疗前，应对患者进行系统、全面的评估，确认其身体状况符合治疗基本要求，识别潜在风险，并为后续个体化治疗方案提供依据。评估主要包括以下方面：</w:t>
      </w:r>
    </w:p>
    <w:p w14:paraId="53D077E0">
      <w:pPr>
        <w:pStyle w:val="51"/>
      </w:pPr>
      <w:r>
        <w:rPr>
          <w:rFonts w:hint="eastAsia"/>
        </w:rPr>
        <w:t>一般评估内容包括但不限于：</w:t>
      </w:r>
    </w:p>
    <w:p w14:paraId="50429DA5">
      <w:pPr>
        <w:pStyle w:val="50"/>
      </w:pPr>
      <w:r>
        <w:rPr>
          <w:rFonts w:hint="eastAsia"/>
        </w:rPr>
        <w:t>无活动性感染疾病；</w:t>
      </w:r>
    </w:p>
    <w:p w14:paraId="36EE3F8E">
      <w:pPr>
        <w:pStyle w:val="50"/>
      </w:pPr>
      <w:r>
        <w:rPr>
          <w:rFonts w:hint="eastAsia"/>
        </w:rPr>
        <w:t>心肺功能、肝肾功能基本正常，相应指标包括但不限于：</w:t>
      </w:r>
    </w:p>
    <w:p w14:paraId="6D08E960">
      <w:pPr>
        <w:pStyle w:val="52"/>
      </w:pPr>
      <w:r>
        <w:rPr>
          <w:rFonts w:hint="eastAsia"/>
        </w:rPr>
        <w:t>左心室射血分数≥50％；</w:t>
      </w:r>
    </w:p>
    <w:p w14:paraId="648E28D5">
      <w:pPr>
        <w:pStyle w:val="52"/>
      </w:pPr>
      <w:r>
        <w:rPr>
          <w:rFonts w:hint="eastAsia"/>
        </w:rPr>
        <w:t>室内空气中患者的血氧饱和度≥92％；</w:t>
      </w:r>
    </w:p>
    <w:p w14:paraId="1327491F">
      <w:pPr>
        <w:pStyle w:val="52"/>
      </w:pPr>
      <w:r>
        <w:rPr>
          <w:rFonts w:hint="eastAsia"/>
        </w:rPr>
        <w:t>谷丙转氨酶、谷草转氨酶水平＜3倍正常范围上限，总胆红素＜0.2g/L；</w:t>
      </w:r>
    </w:p>
    <w:p w14:paraId="26A6B2E3">
      <w:pPr>
        <w:pStyle w:val="52"/>
      </w:pPr>
      <w:r>
        <w:rPr>
          <w:rFonts w:hint="eastAsia"/>
        </w:rPr>
        <w:t>肾功能异常不是CAR-T细胞治疗的禁忌症，应根据患者肾功能调整氟达拉滨的用药剂量</w:t>
      </w:r>
      <w:r>
        <w:t>。</w:t>
      </w:r>
    </w:p>
    <w:p w14:paraId="24C153A7">
      <w:pPr>
        <w:pStyle w:val="50"/>
      </w:pPr>
      <w:r>
        <w:rPr>
          <w:rFonts w:hint="eastAsia"/>
        </w:rPr>
        <w:t>ECOG评分&lt;2, KPS评分&gt;60%, 或Lansky评分&gt;60%；</w:t>
      </w:r>
    </w:p>
    <w:p w14:paraId="07327453">
      <w:pPr>
        <w:pStyle w:val="50"/>
      </w:pPr>
      <w:r>
        <w:rPr>
          <w:rFonts w:hint="eastAsia"/>
        </w:rPr>
        <w:t>对于异体CAR-T细胞产品，应额外对T细胞供者进行评估，遵循《细胞治疗产品研究与评价技术指导原则》及《CAR-T细胞治疗产品质量控制检测研究及非临床研究考虑要点》等相关规定执行。</w:t>
      </w:r>
    </w:p>
    <w:p w14:paraId="0B628B86">
      <w:pPr>
        <w:pStyle w:val="51"/>
      </w:pPr>
      <w:r>
        <w:rPr>
          <w:rFonts w:hint="eastAsia"/>
        </w:rPr>
        <w:t>神</w:t>
      </w:r>
      <w:r>
        <w:rPr>
          <w:rFonts w:hint="eastAsia" w:hAnsi="宋体"/>
        </w:rPr>
        <w:t>经免疫疾病相关评估：</w:t>
      </w:r>
    </w:p>
    <w:p w14:paraId="4ECFD528">
      <w:pPr>
        <w:pStyle w:val="51"/>
        <w:numPr>
          <w:ilvl w:val="0"/>
          <w:numId w:val="0"/>
        </w:numPr>
        <w:ind w:left="839"/>
      </w:pPr>
      <w:r>
        <w:rPr>
          <w:rFonts w:hint="eastAsia"/>
        </w:rPr>
        <w:t>见表1（CAR-T细胞治疗神经免疫疾病的适应症及推荐适用范围）。</w:t>
      </w:r>
    </w:p>
    <w:p w14:paraId="2B1E9FA5">
      <w:pPr>
        <w:pStyle w:val="62"/>
        <w:spacing w:before="156" w:after="156"/>
      </w:pPr>
      <w:r>
        <w:rPr>
          <w:rFonts w:hint="eastAsia"/>
        </w:rPr>
        <w:t>CAR-T细胞治疗神经免疫疾病的适应症及推荐适用范围</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9"/>
        <w:gridCol w:w="1559"/>
        <w:gridCol w:w="6236"/>
      </w:tblGrid>
      <w:tr w14:paraId="46EB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tcPr>
          <w:p w14:paraId="50DF398F">
            <w:pPr>
              <w:pStyle w:val="22"/>
              <w:ind w:firstLine="0" w:firstLineChars="0"/>
              <w:jc w:val="center"/>
              <w:rPr>
                <w:szCs w:val="18"/>
              </w:rPr>
            </w:pPr>
            <w:r>
              <w:rPr>
                <w:rFonts w:hint="eastAsia"/>
                <w:sz w:val="18"/>
                <w:szCs w:val="15"/>
              </w:rPr>
              <w:t>疾病</w:t>
            </w:r>
          </w:p>
        </w:tc>
        <w:tc>
          <w:tcPr>
            <w:tcW w:w="6236" w:type="dxa"/>
          </w:tcPr>
          <w:p w14:paraId="1EAFFAC4">
            <w:pPr>
              <w:jc w:val="center"/>
              <w:rPr>
                <w:rFonts w:ascii="宋体"/>
                <w:sz w:val="18"/>
                <w:szCs w:val="21"/>
              </w:rPr>
            </w:pPr>
            <w:r>
              <w:rPr>
                <w:rFonts w:hint="eastAsia" w:ascii="宋体"/>
                <w:sz w:val="18"/>
                <w:szCs w:val="21"/>
              </w:rPr>
              <w:t>适应症</w:t>
            </w:r>
          </w:p>
        </w:tc>
      </w:tr>
      <w:tr w14:paraId="7A28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1559" w:type="dxa"/>
            <w:vMerge w:val="restart"/>
            <w:vAlign w:val="center"/>
          </w:tcPr>
          <w:p w14:paraId="33B74DE6">
            <w:pPr>
              <w:jc w:val="center"/>
              <w:rPr>
                <w:rFonts w:ascii="宋体"/>
              </w:rPr>
            </w:pPr>
            <w:r>
              <w:rPr>
                <w:rFonts w:hint="eastAsia" w:ascii="宋体"/>
                <w:sz w:val="18"/>
                <w:szCs w:val="21"/>
              </w:rPr>
              <w:t>多发性硬化</w:t>
            </w:r>
          </w:p>
        </w:tc>
        <w:tc>
          <w:tcPr>
            <w:tcW w:w="1559" w:type="dxa"/>
            <w:vAlign w:val="center"/>
          </w:tcPr>
          <w:p w14:paraId="668C8612">
            <w:pPr>
              <w:jc w:val="center"/>
              <w:rPr>
                <w:rFonts w:ascii="宋体"/>
              </w:rPr>
            </w:pPr>
            <w:r>
              <w:rPr>
                <w:rFonts w:hint="eastAsia" w:ascii="宋体" w:hAnsi="宋体"/>
                <w:sz w:val="18"/>
                <w:szCs w:val="18"/>
              </w:rPr>
              <w:t>复发缓解型</w:t>
            </w:r>
          </w:p>
        </w:tc>
        <w:tc>
          <w:tcPr>
            <w:tcW w:w="6236" w:type="dxa"/>
          </w:tcPr>
          <w:p w14:paraId="31347838">
            <w:pPr>
              <w:rPr>
                <w:rFonts w:hint="eastAsia" w:ascii="宋体" w:hAnsi="宋体"/>
                <w:sz w:val="18"/>
                <w:szCs w:val="18"/>
              </w:rPr>
            </w:pPr>
            <w:r>
              <w:rPr>
                <w:rFonts w:ascii="宋体" w:hAnsi="宋体"/>
                <w:sz w:val="18"/>
                <w:szCs w:val="18"/>
              </w:rPr>
              <w:t>诊断参照Mc Donald和Lublin标准</w:t>
            </w:r>
            <w:r>
              <w:rPr>
                <w:rFonts w:hint="eastAsia" w:ascii="宋体" w:hAnsi="宋体"/>
                <w:sz w:val="18"/>
                <w:szCs w:val="18"/>
              </w:rPr>
              <w:t>；</w:t>
            </w:r>
          </w:p>
          <w:p w14:paraId="44F4DAAE">
            <w:pPr>
              <w:rPr>
                <w:rFonts w:hint="eastAsia" w:ascii="宋体" w:hAnsi="宋体"/>
                <w:sz w:val="18"/>
                <w:szCs w:val="18"/>
              </w:rPr>
            </w:pPr>
            <w:r>
              <w:rPr>
                <w:rFonts w:ascii="宋体" w:hAnsi="宋体"/>
                <w:sz w:val="18"/>
                <w:szCs w:val="18"/>
              </w:rPr>
              <w:t>E</w:t>
            </w:r>
            <w:r>
              <w:rPr>
                <w:rFonts w:hint="eastAsia" w:ascii="宋体" w:hAnsi="宋体"/>
                <w:sz w:val="18"/>
                <w:szCs w:val="18"/>
              </w:rPr>
              <w:t>DSS</w:t>
            </w:r>
            <w:r>
              <w:rPr>
                <w:rFonts w:ascii="宋体" w:hAnsi="宋体"/>
                <w:sz w:val="18"/>
                <w:szCs w:val="18"/>
              </w:rPr>
              <w:t>介于3~7.5之间</w:t>
            </w:r>
            <w:r>
              <w:rPr>
                <w:rFonts w:hint="eastAsia" w:ascii="宋体" w:hAnsi="宋体"/>
                <w:sz w:val="18"/>
                <w:szCs w:val="18"/>
              </w:rPr>
              <w:t>；</w:t>
            </w:r>
          </w:p>
          <w:p w14:paraId="38003EA6">
            <w:pPr>
              <w:rPr>
                <w:rFonts w:ascii="宋体"/>
              </w:rPr>
            </w:pPr>
            <w:r>
              <w:rPr>
                <w:rFonts w:ascii="宋体" w:hAnsi="宋体"/>
                <w:sz w:val="18"/>
                <w:szCs w:val="18"/>
              </w:rPr>
              <w:t>接受高效DMTs治疗至少6个月，仍处于活动期（在过去12个月中至少有一次明显复发或MRI疾病活动</w:t>
            </w:r>
            <w:r>
              <w:rPr>
                <w:rFonts w:hint="eastAsia" w:ascii="宋体" w:hAnsi="宋体"/>
                <w:sz w:val="18"/>
                <w:szCs w:val="18"/>
              </w:rPr>
              <w:t>或残疾进展</w:t>
            </w:r>
            <w:r>
              <w:rPr>
                <w:rFonts w:ascii="宋体" w:hAnsi="宋体"/>
                <w:sz w:val="18"/>
                <w:szCs w:val="18"/>
              </w:rPr>
              <w:t>）</w:t>
            </w:r>
          </w:p>
        </w:tc>
      </w:tr>
      <w:tr w14:paraId="1D0AB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1559" w:type="dxa"/>
            <w:vMerge w:val="continue"/>
          </w:tcPr>
          <w:p w14:paraId="7EC9EEB8">
            <w:pPr>
              <w:rPr>
                <w:rFonts w:ascii="宋体"/>
              </w:rPr>
            </w:pPr>
          </w:p>
        </w:tc>
        <w:tc>
          <w:tcPr>
            <w:tcW w:w="1559" w:type="dxa"/>
            <w:vAlign w:val="center"/>
          </w:tcPr>
          <w:p w14:paraId="34F1D6DF">
            <w:pPr>
              <w:jc w:val="center"/>
              <w:rPr>
                <w:rFonts w:ascii="宋体"/>
              </w:rPr>
            </w:pPr>
            <w:r>
              <w:rPr>
                <w:rFonts w:hint="eastAsia" w:ascii="宋体" w:hAnsi="宋体"/>
                <w:sz w:val="18"/>
                <w:szCs w:val="18"/>
              </w:rPr>
              <w:t>原发进展型或继发进展型</w:t>
            </w:r>
          </w:p>
        </w:tc>
        <w:tc>
          <w:tcPr>
            <w:tcW w:w="6236" w:type="dxa"/>
          </w:tcPr>
          <w:p w14:paraId="63CCB63A">
            <w:pPr>
              <w:rPr>
                <w:rFonts w:hint="eastAsia" w:ascii="宋体" w:hAnsi="宋体"/>
                <w:sz w:val="18"/>
                <w:szCs w:val="18"/>
              </w:rPr>
            </w:pPr>
            <w:r>
              <w:rPr>
                <w:rFonts w:ascii="宋体" w:hAnsi="宋体"/>
                <w:sz w:val="18"/>
                <w:szCs w:val="18"/>
              </w:rPr>
              <w:t>诊断参照Mc Donald和Lublin标准</w:t>
            </w:r>
            <w:r>
              <w:rPr>
                <w:rFonts w:hint="eastAsia" w:ascii="宋体" w:hAnsi="宋体"/>
                <w:sz w:val="18"/>
                <w:szCs w:val="18"/>
              </w:rPr>
              <w:t>；</w:t>
            </w:r>
          </w:p>
          <w:p w14:paraId="3F77C72E">
            <w:pPr>
              <w:rPr>
                <w:rFonts w:hint="eastAsia" w:ascii="宋体" w:hAnsi="宋体"/>
                <w:sz w:val="18"/>
                <w:szCs w:val="18"/>
              </w:rPr>
            </w:pPr>
            <w:r>
              <w:rPr>
                <w:rFonts w:ascii="宋体" w:hAnsi="宋体"/>
                <w:sz w:val="18"/>
                <w:szCs w:val="18"/>
              </w:rPr>
              <w:t>E</w:t>
            </w:r>
            <w:r>
              <w:rPr>
                <w:rFonts w:hint="eastAsia" w:ascii="宋体" w:hAnsi="宋体"/>
                <w:sz w:val="18"/>
                <w:szCs w:val="18"/>
              </w:rPr>
              <w:t>DSS</w:t>
            </w:r>
            <w:r>
              <w:rPr>
                <w:rFonts w:ascii="宋体" w:hAnsi="宋体"/>
                <w:sz w:val="18"/>
                <w:szCs w:val="18"/>
              </w:rPr>
              <w:t>介于3~7.5之间</w:t>
            </w:r>
            <w:r>
              <w:rPr>
                <w:rFonts w:hint="eastAsia" w:ascii="宋体" w:hAnsi="宋体"/>
                <w:sz w:val="18"/>
                <w:szCs w:val="18"/>
              </w:rPr>
              <w:t>；</w:t>
            </w:r>
          </w:p>
          <w:p w14:paraId="71211011">
            <w:pPr>
              <w:rPr>
                <w:rFonts w:hint="eastAsia" w:ascii="宋体" w:hAnsi="宋体"/>
                <w:sz w:val="18"/>
                <w:szCs w:val="18"/>
              </w:rPr>
            </w:pPr>
            <w:r>
              <w:rPr>
                <w:rFonts w:ascii="宋体" w:hAnsi="宋体"/>
                <w:sz w:val="18"/>
                <w:szCs w:val="18"/>
              </w:rPr>
              <w:t>在过去的24个月中，有记录的残疾进展的证据</w:t>
            </w:r>
            <w:r>
              <w:rPr>
                <w:rFonts w:hint="eastAsia" w:ascii="宋体" w:hAnsi="宋体"/>
                <w:sz w:val="18"/>
                <w:szCs w:val="18"/>
              </w:rPr>
              <w:t>或</w:t>
            </w:r>
            <w:r>
              <w:rPr>
                <w:rFonts w:ascii="宋体" w:hAnsi="宋体"/>
                <w:sz w:val="18"/>
                <w:szCs w:val="18"/>
              </w:rPr>
              <w:t>活动性</w:t>
            </w:r>
            <w:r>
              <w:rPr>
                <w:rFonts w:hint="eastAsia" w:ascii="宋体" w:hAnsi="宋体"/>
                <w:sz w:val="18"/>
                <w:szCs w:val="18"/>
              </w:rPr>
              <w:t>的临床表现或影像学证据（</w:t>
            </w:r>
            <w:r>
              <w:rPr>
                <w:rFonts w:ascii="宋体" w:hAnsi="宋体"/>
                <w:sz w:val="18"/>
                <w:szCs w:val="18"/>
              </w:rPr>
              <w:t>在过去的12个月内至少有一次明显的复发或MRI疾病活动</w:t>
            </w:r>
            <w:r>
              <w:rPr>
                <w:rFonts w:hint="eastAsia" w:ascii="宋体" w:hAnsi="宋体"/>
                <w:sz w:val="18"/>
                <w:szCs w:val="18"/>
              </w:rPr>
              <w:t>）；</w:t>
            </w:r>
          </w:p>
          <w:p w14:paraId="3CCCEF72">
            <w:pPr>
              <w:rPr>
                <w:rFonts w:ascii="宋体"/>
              </w:rPr>
            </w:pPr>
            <w:r>
              <w:rPr>
                <w:rFonts w:ascii="宋体" w:hAnsi="宋体"/>
                <w:sz w:val="18"/>
                <w:szCs w:val="18"/>
              </w:rPr>
              <w:t>鞘内IgG寡克隆带</w:t>
            </w:r>
            <w:r>
              <w:rPr>
                <w:rFonts w:hint="eastAsia" w:ascii="宋体" w:hAnsi="宋体"/>
                <w:sz w:val="18"/>
                <w:szCs w:val="18"/>
              </w:rPr>
              <w:t>形成</w:t>
            </w:r>
            <w:r>
              <w:rPr>
                <w:rFonts w:ascii="宋体" w:hAnsi="宋体"/>
                <w:sz w:val="18"/>
                <w:szCs w:val="18"/>
              </w:rPr>
              <w:t>或IgG指数升高</w:t>
            </w:r>
          </w:p>
        </w:tc>
      </w:tr>
      <w:tr w14:paraId="502A7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vAlign w:val="center"/>
          </w:tcPr>
          <w:p w14:paraId="01BB0335">
            <w:pPr>
              <w:jc w:val="center"/>
              <w:rPr>
                <w:rFonts w:ascii="宋体"/>
              </w:rPr>
            </w:pPr>
            <w:r>
              <w:rPr>
                <w:rFonts w:ascii="宋体" w:hAnsi="宋体"/>
                <w:sz w:val="18"/>
                <w:szCs w:val="18"/>
              </w:rPr>
              <w:t>视神经脊髓炎谱系疾病</w:t>
            </w:r>
          </w:p>
        </w:tc>
        <w:tc>
          <w:tcPr>
            <w:tcW w:w="6236" w:type="dxa"/>
          </w:tcPr>
          <w:p w14:paraId="7E76B2BC">
            <w:pPr>
              <w:rPr>
                <w:rFonts w:ascii="宋体"/>
              </w:rPr>
            </w:pPr>
            <w:bookmarkStart w:id="53" w:name="_Hlk181723887"/>
            <w:r>
              <w:rPr>
                <w:rFonts w:ascii="宋体" w:hAnsi="宋体"/>
                <w:sz w:val="18"/>
                <w:szCs w:val="18"/>
              </w:rPr>
              <w:t>符合2015年IPND NMOSD诊断标准的AQP4抗体阳性的NMOSD的患者使用至少一种生物制剂</w:t>
            </w:r>
            <w:r>
              <w:rPr>
                <w:rFonts w:hint="eastAsia" w:ascii="宋体" w:hAnsi="宋体"/>
                <w:sz w:val="18"/>
                <w:szCs w:val="18"/>
              </w:rPr>
              <w:t>（</w:t>
            </w:r>
            <w:r>
              <w:rPr>
                <w:rFonts w:ascii="宋体" w:hAnsi="宋体"/>
                <w:sz w:val="18"/>
                <w:szCs w:val="18"/>
              </w:rPr>
              <w:t>即针对B细胞、白细胞介素6受体或补体的</w:t>
            </w:r>
            <w:r>
              <w:rPr>
                <w:rFonts w:hint="eastAsia" w:ascii="宋体" w:hAnsi="宋体"/>
                <w:sz w:val="18"/>
                <w:szCs w:val="18"/>
              </w:rPr>
              <w:t>单克隆抗体）</w:t>
            </w:r>
            <w:r>
              <w:rPr>
                <w:rFonts w:ascii="宋体" w:hAnsi="宋体"/>
                <w:sz w:val="18"/>
                <w:szCs w:val="18"/>
              </w:rPr>
              <w:t>临床反应波动或不足</w:t>
            </w:r>
            <w:bookmarkEnd w:id="53"/>
          </w:p>
        </w:tc>
      </w:tr>
      <w:tr w14:paraId="75101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vAlign w:val="center"/>
          </w:tcPr>
          <w:p w14:paraId="56178BDB">
            <w:pPr>
              <w:jc w:val="center"/>
              <w:rPr>
                <w:rFonts w:ascii="宋体"/>
              </w:rPr>
            </w:pPr>
            <w:r>
              <w:rPr>
                <w:rFonts w:hint="eastAsia" w:ascii="宋体" w:hAnsi="宋体"/>
                <w:sz w:val="18"/>
                <w:szCs w:val="18"/>
              </w:rPr>
              <w:t>自身免疫性脑炎</w:t>
            </w:r>
          </w:p>
        </w:tc>
        <w:tc>
          <w:tcPr>
            <w:tcW w:w="6236" w:type="dxa"/>
          </w:tcPr>
          <w:p w14:paraId="024700B5">
            <w:pPr>
              <w:rPr>
                <w:rFonts w:hint="eastAsia" w:ascii="宋体" w:hAnsi="宋体"/>
                <w:sz w:val="18"/>
                <w:szCs w:val="18"/>
              </w:rPr>
            </w:pPr>
            <w:r>
              <w:rPr>
                <w:rFonts w:ascii="宋体" w:hAnsi="宋体"/>
                <w:sz w:val="18"/>
                <w:szCs w:val="18"/>
              </w:rPr>
              <w:t>根据2016</w:t>
            </w:r>
            <w:r>
              <w:rPr>
                <w:rFonts w:hint="eastAsia" w:ascii="宋体" w:hAnsi="宋体"/>
                <w:sz w:val="18"/>
                <w:szCs w:val="18"/>
              </w:rPr>
              <w:t>年</w:t>
            </w:r>
            <w:r>
              <w:rPr>
                <w:rFonts w:ascii="宋体" w:hAnsi="宋体"/>
                <w:sz w:val="18"/>
                <w:szCs w:val="18"/>
              </w:rPr>
              <w:t>国际</w:t>
            </w:r>
            <w:r>
              <w:rPr>
                <w:rFonts w:hint="eastAsia" w:ascii="宋体" w:hAnsi="宋体"/>
                <w:sz w:val="18"/>
                <w:szCs w:val="18"/>
              </w:rPr>
              <w:t>AE</w:t>
            </w:r>
            <w:r>
              <w:rPr>
                <w:rFonts w:ascii="宋体" w:hAnsi="宋体"/>
                <w:sz w:val="18"/>
                <w:szCs w:val="18"/>
              </w:rPr>
              <w:t>诊断标准，临床确诊为</w:t>
            </w:r>
            <w:r>
              <w:rPr>
                <w:rFonts w:hint="eastAsia" w:ascii="宋体" w:hAnsi="宋体"/>
                <w:sz w:val="18"/>
                <w:szCs w:val="18"/>
              </w:rPr>
              <w:t>AE；</w:t>
            </w:r>
          </w:p>
          <w:p w14:paraId="78F2C36B">
            <w:pPr>
              <w:rPr>
                <w:rFonts w:hint="eastAsia" w:ascii="宋体" w:hAnsi="宋体"/>
                <w:sz w:val="18"/>
                <w:szCs w:val="18"/>
              </w:rPr>
            </w:pPr>
            <w:r>
              <w:rPr>
                <w:rFonts w:ascii="宋体" w:hAnsi="宋体"/>
                <w:sz w:val="18"/>
                <w:szCs w:val="18"/>
              </w:rPr>
              <w:t>至少一种相关的自身抗体检测阳性</w:t>
            </w:r>
            <w:r>
              <w:rPr>
                <w:rFonts w:hint="eastAsia" w:ascii="宋体" w:hAnsi="宋体"/>
                <w:sz w:val="18"/>
                <w:szCs w:val="18"/>
              </w:rPr>
              <w:t>；</w:t>
            </w:r>
          </w:p>
          <w:p w14:paraId="143FCB66">
            <w:pPr>
              <w:rPr>
                <w:rFonts w:hint="eastAsia" w:ascii="宋体" w:hAnsi="宋体"/>
                <w:sz w:val="18"/>
                <w:szCs w:val="18"/>
              </w:rPr>
            </w:pPr>
            <w:r>
              <w:rPr>
                <w:rFonts w:ascii="宋体" w:hAnsi="宋体"/>
                <w:sz w:val="18"/>
                <w:szCs w:val="18"/>
              </w:rPr>
              <w:t>规范化使用糖皮质激素、包括CD20</w:t>
            </w:r>
            <w:r>
              <w:rPr>
                <w:rFonts w:hint="eastAsia" w:ascii="宋体" w:hAnsi="宋体"/>
                <w:sz w:val="18"/>
                <w:szCs w:val="18"/>
              </w:rPr>
              <w:t>单克隆抗体</w:t>
            </w:r>
            <w:r>
              <w:rPr>
                <w:rFonts w:ascii="宋体" w:hAnsi="宋体"/>
                <w:sz w:val="18"/>
                <w:szCs w:val="18"/>
              </w:rPr>
              <w:t>在内的至少一种生物制剂治疗后症状控制不佳或不耐受</w:t>
            </w:r>
            <w:r>
              <w:rPr>
                <w:rFonts w:hint="eastAsia" w:ascii="宋体" w:hAnsi="宋体"/>
                <w:sz w:val="18"/>
                <w:szCs w:val="18"/>
              </w:rPr>
              <w:t>；</w:t>
            </w:r>
          </w:p>
          <w:p w14:paraId="6E6AC545">
            <w:pPr>
              <w:rPr>
                <w:rFonts w:hint="eastAsia" w:ascii="宋体" w:hAnsi="宋体"/>
                <w:sz w:val="18"/>
                <w:szCs w:val="18"/>
              </w:rPr>
            </w:pPr>
            <w:r>
              <w:rPr>
                <w:rFonts w:ascii="宋体" w:hAnsi="宋体"/>
                <w:sz w:val="18"/>
                <w:szCs w:val="18"/>
              </w:rPr>
              <w:t>3个月内有自身免疫性脑炎发作</w:t>
            </w:r>
            <w:r>
              <w:rPr>
                <w:rFonts w:hint="eastAsia" w:ascii="宋体" w:hAnsi="宋体"/>
                <w:sz w:val="18"/>
                <w:szCs w:val="18"/>
              </w:rPr>
              <w:t>；</w:t>
            </w:r>
          </w:p>
          <w:p w14:paraId="605D443F">
            <w:pPr>
              <w:rPr>
                <w:rFonts w:ascii="宋体"/>
              </w:rPr>
            </w:pPr>
            <w:r>
              <w:rPr>
                <w:rFonts w:ascii="宋体" w:hAnsi="宋体"/>
                <w:sz w:val="18"/>
                <w:szCs w:val="18"/>
              </w:rPr>
              <w:t>筛选时的残疾状态满足mRS评分≥2分或者CASE评分≥4分</w:t>
            </w:r>
          </w:p>
        </w:tc>
      </w:tr>
      <w:tr w14:paraId="7BEC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vAlign w:val="center"/>
          </w:tcPr>
          <w:p w14:paraId="46FAF404">
            <w:pPr>
              <w:jc w:val="center"/>
              <w:rPr>
                <w:rFonts w:ascii="宋体"/>
              </w:rPr>
            </w:pPr>
            <w:r>
              <w:rPr>
                <w:rFonts w:hint="eastAsia" w:ascii="宋体" w:hAnsi="宋体"/>
                <w:sz w:val="18"/>
                <w:szCs w:val="18"/>
              </w:rPr>
              <w:t>髓鞘少突胶质细胞糖蛋白抗体相关疾病</w:t>
            </w:r>
          </w:p>
        </w:tc>
        <w:tc>
          <w:tcPr>
            <w:tcW w:w="6236" w:type="dxa"/>
          </w:tcPr>
          <w:p w14:paraId="1FB800D1">
            <w:pPr>
              <w:rPr>
                <w:rFonts w:hint="eastAsia" w:ascii="宋体" w:hAnsi="宋体"/>
                <w:sz w:val="18"/>
                <w:szCs w:val="18"/>
              </w:rPr>
            </w:pPr>
            <w:r>
              <w:rPr>
                <w:rFonts w:ascii="宋体" w:hAnsi="宋体"/>
                <w:sz w:val="18"/>
                <w:szCs w:val="18"/>
              </w:rPr>
              <w:t>根据2023</w:t>
            </w:r>
            <w:r>
              <w:rPr>
                <w:rFonts w:hint="eastAsia" w:ascii="宋体" w:hAnsi="宋体"/>
                <w:sz w:val="18"/>
                <w:szCs w:val="18"/>
              </w:rPr>
              <w:t>年</w:t>
            </w:r>
            <w:r>
              <w:rPr>
                <w:rFonts w:ascii="宋体" w:hAnsi="宋体"/>
                <w:sz w:val="18"/>
                <w:szCs w:val="18"/>
              </w:rPr>
              <w:t>国际MOGAD诊断标准，临床确诊为MOGAD</w:t>
            </w:r>
            <w:r>
              <w:rPr>
                <w:rFonts w:hint="eastAsia" w:ascii="宋体" w:hAnsi="宋体"/>
                <w:sz w:val="18"/>
                <w:szCs w:val="18"/>
              </w:rPr>
              <w:t>；</w:t>
            </w:r>
          </w:p>
          <w:p w14:paraId="7104235F">
            <w:pPr>
              <w:rPr>
                <w:rFonts w:hint="eastAsia" w:ascii="宋体" w:hAnsi="宋体"/>
                <w:sz w:val="18"/>
                <w:szCs w:val="18"/>
              </w:rPr>
            </w:pPr>
            <w:r>
              <w:rPr>
                <w:rFonts w:ascii="宋体" w:hAnsi="宋体"/>
                <w:sz w:val="18"/>
                <w:szCs w:val="18"/>
              </w:rPr>
              <w:t>筛选时的残疾状态满足mRS评分≥2分</w:t>
            </w:r>
            <w:r>
              <w:rPr>
                <w:rFonts w:hint="eastAsia" w:ascii="宋体" w:hAnsi="宋体"/>
                <w:sz w:val="18"/>
                <w:szCs w:val="18"/>
              </w:rPr>
              <w:t>；</w:t>
            </w:r>
          </w:p>
          <w:p w14:paraId="24701BF1">
            <w:pPr>
              <w:rPr>
                <w:rFonts w:ascii="宋体"/>
              </w:rPr>
            </w:pPr>
            <w:r>
              <w:rPr>
                <w:rFonts w:ascii="宋体" w:hAnsi="宋体"/>
                <w:sz w:val="18"/>
                <w:szCs w:val="18"/>
              </w:rPr>
              <w:t>既往规范化使用糖皮质激素、传统免疫抑制剂/调节剂和包括CD20</w:t>
            </w:r>
            <w:r>
              <w:rPr>
                <w:rFonts w:hint="eastAsia" w:ascii="宋体" w:hAnsi="宋体"/>
                <w:sz w:val="18"/>
                <w:szCs w:val="18"/>
              </w:rPr>
              <w:t>单克隆抗体</w:t>
            </w:r>
            <w:r>
              <w:rPr>
                <w:rFonts w:ascii="宋体" w:hAnsi="宋体"/>
                <w:sz w:val="18"/>
                <w:szCs w:val="18"/>
              </w:rPr>
              <w:t>在内的至少一种生物制剂治疗后症状控制不佳或不耐受</w:t>
            </w:r>
          </w:p>
        </w:tc>
      </w:tr>
      <w:tr w14:paraId="7DFC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vAlign w:val="center"/>
          </w:tcPr>
          <w:p w14:paraId="2B0D88AE">
            <w:pPr>
              <w:jc w:val="center"/>
              <w:rPr>
                <w:rFonts w:ascii="宋体"/>
              </w:rPr>
            </w:pPr>
            <w:r>
              <w:rPr>
                <w:rFonts w:hint="eastAsia" w:ascii="宋体" w:hAnsi="宋体"/>
                <w:sz w:val="18"/>
                <w:szCs w:val="18"/>
              </w:rPr>
              <w:t>重症肌无力</w:t>
            </w:r>
          </w:p>
        </w:tc>
        <w:tc>
          <w:tcPr>
            <w:tcW w:w="6236" w:type="dxa"/>
          </w:tcPr>
          <w:p w14:paraId="180C8FFC">
            <w:pPr>
              <w:rPr>
                <w:rFonts w:hint="eastAsia" w:ascii="宋体" w:hAnsi="宋体"/>
                <w:sz w:val="18"/>
                <w:szCs w:val="18"/>
              </w:rPr>
            </w:pPr>
            <w:r>
              <w:rPr>
                <w:rFonts w:hint="eastAsia" w:ascii="宋体" w:hAnsi="宋体"/>
                <w:sz w:val="18"/>
                <w:szCs w:val="18"/>
              </w:rPr>
              <w:t>确诊为全身型MG；</w:t>
            </w:r>
          </w:p>
          <w:p w14:paraId="41413787">
            <w:pPr>
              <w:rPr>
                <w:rFonts w:ascii="宋体"/>
              </w:rPr>
            </w:pPr>
            <w:r>
              <w:rPr>
                <w:rFonts w:hint="eastAsia" w:ascii="宋体" w:hAnsi="宋体"/>
                <w:sz w:val="18"/>
                <w:szCs w:val="18"/>
              </w:rPr>
              <w:t>对二线免疫抑制治疗（硫唑嘌呤、吗替麦考酚酯、环孢素、甲氨蝶呤、环磷酰胺)的临床反应波动或不足</w:t>
            </w:r>
          </w:p>
        </w:tc>
      </w:tr>
      <w:tr w14:paraId="416C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vAlign w:val="center"/>
          </w:tcPr>
          <w:p w14:paraId="5C7A61CC">
            <w:pPr>
              <w:jc w:val="center"/>
              <w:rPr>
                <w:rFonts w:ascii="宋体"/>
              </w:rPr>
            </w:pPr>
            <w:r>
              <w:rPr>
                <w:rFonts w:ascii="宋体" w:hAnsi="宋体"/>
                <w:sz w:val="18"/>
                <w:szCs w:val="18"/>
              </w:rPr>
              <w:t>慢性炎性脱髓鞘性多发性神经病</w:t>
            </w:r>
          </w:p>
        </w:tc>
        <w:tc>
          <w:tcPr>
            <w:tcW w:w="6236" w:type="dxa"/>
          </w:tcPr>
          <w:p w14:paraId="7CB23612">
            <w:pPr>
              <w:rPr>
                <w:rFonts w:hint="eastAsia" w:ascii="宋体" w:hAnsi="宋体"/>
                <w:sz w:val="18"/>
                <w:szCs w:val="18"/>
              </w:rPr>
            </w:pPr>
            <w:r>
              <w:rPr>
                <w:rFonts w:ascii="宋体" w:hAnsi="宋体"/>
                <w:sz w:val="18"/>
                <w:szCs w:val="18"/>
              </w:rPr>
              <w:t>确诊依据EAN/PNS标准</w:t>
            </w:r>
            <w:r>
              <w:rPr>
                <w:rFonts w:hint="eastAsia" w:ascii="宋体" w:hAnsi="宋体"/>
                <w:sz w:val="18"/>
                <w:szCs w:val="18"/>
              </w:rPr>
              <w:t>；</w:t>
            </w:r>
          </w:p>
          <w:p w14:paraId="5E06AECB">
            <w:pPr>
              <w:rPr>
                <w:rFonts w:ascii="宋体"/>
              </w:rPr>
            </w:pPr>
            <w:r>
              <w:rPr>
                <w:rFonts w:ascii="宋体" w:hAnsi="宋体"/>
                <w:sz w:val="18"/>
                <w:szCs w:val="18"/>
              </w:rPr>
              <w:t>对二线免疫抑制治疗的临床反应波动或不足</w:t>
            </w:r>
          </w:p>
        </w:tc>
      </w:tr>
      <w:tr w14:paraId="51E3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8" w:type="dxa"/>
            <w:gridSpan w:val="2"/>
            <w:vAlign w:val="center"/>
          </w:tcPr>
          <w:p w14:paraId="07F9BE18">
            <w:pPr>
              <w:jc w:val="center"/>
              <w:rPr>
                <w:rFonts w:ascii="宋体"/>
              </w:rPr>
            </w:pPr>
            <w:r>
              <w:rPr>
                <w:rFonts w:hint="eastAsia" w:ascii="宋体" w:hAnsi="宋体"/>
                <w:sz w:val="18"/>
                <w:szCs w:val="18"/>
              </w:rPr>
              <w:t>特发性炎症性肌病</w:t>
            </w:r>
          </w:p>
        </w:tc>
        <w:tc>
          <w:tcPr>
            <w:tcW w:w="6236" w:type="dxa"/>
          </w:tcPr>
          <w:p w14:paraId="79BE214A">
            <w:pPr>
              <w:rPr>
                <w:rFonts w:hint="eastAsia" w:ascii="宋体" w:hAnsi="宋体"/>
                <w:sz w:val="18"/>
                <w:szCs w:val="18"/>
              </w:rPr>
            </w:pPr>
            <w:r>
              <w:rPr>
                <w:rFonts w:ascii="宋体" w:hAnsi="宋体"/>
                <w:sz w:val="18"/>
                <w:szCs w:val="18"/>
              </w:rPr>
              <w:t>根据EULAR/ACR标准诊断</w:t>
            </w:r>
            <w:r>
              <w:rPr>
                <w:rFonts w:hint="eastAsia" w:ascii="宋体" w:hAnsi="宋体"/>
                <w:sz w:val="18"/>
                <w:szCs w:val="18"/>
              </w:rPr>
              <w:t>；</w:t>
            </w:r>
          </w:p>
          <w:p w14:paraId="0E0FFA2A">
            <w:pPr>
              <w:rPr>
                <w:rFonts w:hint="eastAsia" w:ascii="宋体" w:hAnsi="宋体"/>
                <w:sz w:val="18"/>
                <w:szCs w:val="18"/>
              </w:rPr>
            </w:pPr>
            <w:r>
              <w:rPr>
                <w:rFonts w:ascii="宋体" w:hAnsi="宋体"/>
                <w:sz w:val="18"/>
                <w:szCs w:val="18"/>
              </w:rPr>
              <w:t>MRI或活检上有活动性肌炎，伴或不伴有间质性肺病的存在</w:t>
            </w:r>
            <w:r>
              <w:rPr>
                <w:rFonts w:hint="eastAsia" w:ascii="宋体" w:hAnsi="宋体"/>
                <w:sz w:val="18"/>
                <w:szCs w:val="18"/>
              </w:rPr>
              <w:t>；</w:t>
            </w:r>
          </w:p>
          <w:p w14:paraId="15FCCE7D">
            <w:pPr>
              <w:rPr>
                <w:rFonts w:hint="eastAsia" w:ascii="宋体" w:hAnsi="宋体"/>
                <w:sz w:val="18"/>
                <w:szCs w:val="18"/>
              </w:rPr>
            </w:pPr>
            <w:r>
              <w:rPr>
                <w:rFonts w:ascii="宋体" w:hAnsi="宋体"/>
                <w:sz w:val="18"/>
                <w:szCs w:val="18"/>
              </w:rPr>
              <w:t>存在肌炎特异性自身抗体</w:t>
            </w:r>
            <w:r>
              <w:rPr>
                <w:rFonts w:hint="eastAsia" w:ascii="宋体" w:hAnsi="宋体"/>
                <w:sz w:val="18"/>
                <w:szCs w:val="18"/>
              </w:rPr>
              <w:t>；</w:t>
            </w:r>
          </w:p>
          <w:p w14:paraId="12FE416A">
            <w:pPr>
              <w:rPr>
                <w:rFonts w:ascii="宋体"/>
              </w:rPr>
            </w:pPr>
            <w:r>
              <w:rPr>
                <w:rFonts w:ascii="宋体" w:hAnsi="宋体"/>
                <w:sz w:val="18"/>
                <w:szCs w:val="18"/>
              </w:rPr>
              <w:t>对大剂量糖皮质激素的不完全反应联合至少2种以下治疗：静脉注射丙种球蛋白、甲氨蝶呤、硫唑嘌呤、环磷酰胺、他克莫司、JAK</w:t>
            </w:r>
            <w:r>
              <w:rPr>
                <w:rFonts w:hint="eastAsia" w:ascii="宋体" w:hAnsi="宋体"/>
                <w:sz w:val="18"/>
                <w:szCs w:val="18"/>
              </w:rPr>
              <w:t>激酶</w:t>
            </w:r>
            <w:r>
              <w:rPr>
                <w:rFonts w:ascii="宋体" w:hAnsi="宋体"/>
                <w:sz w:val="18"/>
                <w:szCs w:val="18"/>
              </w:rPr>
              <w:t>抑制剂或利妥昔</w:t>
            </w:r>
            <w:r>
              <w:rPr>
                <w:rFonts w:hint="eastAsia" w:ascii="宋体" w:hAnsi="宋体"/>
                <w:sz w:val="18"/>
                <w:szCs w:val="18"/>
              </w:rPr>
              <w:t>单克隆抗体</w:t>
            </w:r>
            <w:r>
              <w:rPr>
                <w:rFonts w:ascii="宋体" w:hAnsi="宋体"/>
                <w:sz w:val="18"/>
                <w:szCs w:val="18"/>
              </w:rPr>
              <w:t>后症状控制不佳或不耐受</w:t>
            </w:r>
          </w:p>
        </w:tc>
      </w:tr>
      <w:tr w14:paraId="6DAC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4" w:type="dxa"/>
            <w:gridSpan w:val="3"/>
          </w:tcPr>
          <w:p w14:paraId="378B14DD">
            <w:pPr>
              <w:pStyle w:val="122"/>
              <w:numPr>
                <w:ilvl w:val="0"/>
                <w:numId w:val="0"/>
              </w:numPr>
            </w:pPr>
            <w:r>
              <w:rPr>
                <w:rFonts w:hint="eastAsia"/>
              </w:rPr>
              <w:t>AE：自身免疫性脑炎；AQP4：水通道蛋白4；CD：白细胞分化抗原；DMTs：疾病修饰治疗；EAN/PNS：欧洲神经病学学会/外周神经学会；EDSS：扩展残疾状态量表；EULAR/ACR：欧洲抗风湿病联盟联合美国风湿病学会；Ig：免疫球蛋白；IPND：国际视神经脊髓炎诊断小组；MG：重症肌无力；MOGAD：</w:t>
            </w:r>
            <w:r>
              <w:rPr>
                <w:rFonts w:hint="eastAsia" w:hAnsi="宋体"/>
              </w:rPr>
              <w:t>髓鞘少突胶质细胞糖蛋白抗体相关疾病；</w:t>
            </w:r>
            <w:r>
              <w:rPr>
                <w:rFonts w:hint="eastAsia"/>
              </w:rPr>
              <w:t>MRI：磁共振成像；mRS：改良Rankin量表；NMOSD，视神经脊髓炎谱系疾病</w:t>
            </w:r>
          </w:p>
        </w:tc>
      </w:tr>
    </w:tbl>
    <w:p w14:paraId="4F29F750">
      <w:pPr>
        <w:pStyle w:val="43"/>
        <w:spacing w:before="156" w:after="156"/>
      </w:pPr>
      <w:bookmarkStart w:id="54" w:name="_Toc183031916"/>
      <w:r>
        <w:rPr>
          <w:rFonts w:hint="eastAsia"/>
        </w:rPr>
        <w:t>CAR-T细胞的制备</w:t>
      </w:r>
      <w:bookmarkEnd w:id="54"/>
    </w:p>
    <w:p w14:paraId="7AEAC94A">
      <w:pPr>
        <w:pStyle w:val="42"/>
        <w:spacing w:before="156" w:after="156"/>
      </w:pPr>
      <w:r>
        <w:rPr>
          <w:rFonts w:hint="eastAsia"/>
        </w:rPr>
        <w:t>采集PBMC</w:t>
      </w:r>
    </w:p>
    <w:p w14:paraId="1D56A848">
      <w:pPr>
        <w:pStyle w:val="22"/>
      </w:pPr>
      <w:r>
        <w:rPr>
          <w:rFonts w:hint="eastAsia"/>
        </w:rPr>
        <w:t>应在卫生行政部门认可的采血科室，应用全自动血液成分分离机，采集外周PBMC富集血；或应用合格的医疗器材通过静脉采取患者外周血。</w:t>
      </w:r>
    </w:p>
    <w:p w14:paraId="227FBDF8">
      <w:pPr>
        <w:pStyle w:val="42"/>
        <w:spacing w:before="156" w:after="156"/>
      </w:pPr>
      <w:r>
        <w:rPr>
          <w:rFonts w:hint="eastAsia"/>
        </w:rPr>
        <w:t>制备CAR-T细胞</w:t>
      </w:r>
    </w:p>
    <w:p w14:paraId="2E7D2ECC">
      <w:pPr>
        <w:pStyle w:val="22"/>
      </w:pPr>
      <w:r>
        <w:rPr>
          <w:rFonts w:hint="eastAsia"/>
        </w:rPr>
        <w:t>需在具备GMP样细胞培养室的细胞制备机构完成，严格遵循《细胞治疗产品研究与评价技术指导原则（试行）》、《免疫细胞制剂制备质量管理自律规范》、《CAR-T细胞制剂制备质量管理规范（征求意见稿）》等规范或指导原则执行。</w:t>
      </w:r>
    </w:p>
    <w:p w14:paraId="4A73283D">
      <w:pPr>
        <w:pStyle w:val="42"/>
        <w:spacing w:before="156" w:after="156"/>
      </w:pPr>
      <w:r>
        <w:rPr>
          <w:rFonts w:hint="eastAsia"/>
        </w:rPr>
        <w:t>CAR-T细胞质控</w:t>
      </w:r>
    </w:p>
    <w:p w14:paraId="706EB69E">
      <w:pPr>
        <w:pStyle w:val="22"/>
      </w:pPr>
      <w:r>
        <w:rPr>
          <w:rFonts w:hint="eastAsia"/>
        </w:rPr>
        <w:t>质控指标应包括但不限于：外观、pH值、渗透压、特异性抗原结合、CD3</w:t>
      </w:r>
      <w:r>
        <w:rPr>
          <w:rFonts w:hint="eastAsia"/>
          <w:vertAlign w:val="superscript"/>
        </w:rPr>
        <w:t>+</w:t>
      </w:r>
      <w:r>
        <w:rPr>
          <w:rFonts w:hint="eastAsia"/>
        </w:rPr>
        <w:t>CAR</w:t>
      </w:r>
      <w:r>
        <w:rPr>
          <w:rFonts w:hint="eastAsia"/>
          <w:vertAlign w:val="superscript"/>
        </w:rPr>
        <w:t>+</w:t>
      </w:r>
      <w:r>
        <w:rPr>
          <w:rFonts w:hint="eastAsia"/>
        </w:rPr>
        <w:t>细胞含量、CD3</w:t>
      </w:r>
      <w:r>
        <w:rPr>
          <w:rFonts w:hint="eastAsia"/>
          <w:vertAlign w:val="superscript"/>
        </w:rPr>
        <w:t>+</w:t>
      </w:r>
      <w:r>
        <w:rPr>
          <w:rFonts w:hint="eastAsia"/>
        </w:rPr>
        <w:t>CAR</w:t>
      </w:r>
      <w:r>
        <w:rPr>
          <w:rFonts w:hint="eastAsia"/>
          <w:vertAlign w:val="superscript"/>
        </w:rPr>
        <w:t>+</w:t>
      </w:r>
      <w:r>
        <w:rPr>
          <w:rFonts w:hint="eastAsia"/>
        </w:rPr>
        <w:t>细胞比例、细胞活率、CD3</w:t>
      </w:r>
      <w:r>
        <w:rPr>
          <w:rFonts w:hint="eastAsia"/>
          <w:vertAlign w:val="superscript"/>
        </w:rPr>
        <w:t>+</w:t>
      </w:r>
      <w:r>
        <w:rPr>
          <w:rFonts w:hint="eastAsia"/>
        </w:rPr>
        <w:t>T细胞比例、磁珠残留、CAR基因平均拷贝数、细菌内毒素、无菌检查（无菌快速检查法）、支原体检测、生物效力学如干扰素γ检测，并应留取每批次CAR-T细胞样本冻存，供追溯。</w:t>
      </w:r>
    </w:p>
    <w:p w14:paraId="6985A19D">
      <w:pPr>
        <w:pStyle w:val="43"/>
        <w:spacing w:before="156" w:after="156"/>
      </w:pPr>
      <w:bookmarkStart w:id="55" w:name="_Toc183031917"/>
      <w:r>
        <w:rPr>
          <w:rFonts w:hint="eastAsia"/>
        </w:rPr>
        <w:t>药物洗脱与桥接治疗</w:t>
      </w:r>
      <w:bookmarkEnd w:id="55"/>
    </w:p>
    <w:p w14:paraId="4695F806">
      <w:pPr>
        <w:pStyle w:val="42"/>
        <w:spacing w:before="156" w:after="156"/>
      </w:pPr>
      <w:r>
        <w:rPr>
          <w:rFonts w:hint="eastAsia"/>
        </w:rPr>
        <w:t>药物减量与洗脱</w:t>
      </w:r>
    </w:p>
    <w:p w14:paraId="3C918591">
      <w:pPr>
        <w:pStyle w:val="45"/>
        <w:spacing w:before="156" w:after="156"/>
      </w:pPr>
      <w:r>
        <w:rPr>
          <w:rFonts w:hint="eastAsia"/>
          <w:lang w:val="en-US" w:eastAsia="zh-CN"/>
        </w:rPr>
        <w:t>糖皮质</w:t>
      </w:r>
      <w:r>
        <w:rPr>
          <w:rFonts w:hint="eastAsia"/>
        </w:rPr>
        <w:t>激素</w:t>
      </w:r>
    </w:p>
    <w:p w14:paraId="5A3CE012">
      <w:pPr>
        <w:pStyle w:val="22"/>
      </w:pPr>
      <w:r>
        <w:rPr>
          <w:rFonts w:hint="eastAsia"/>
        </w:rPr>
        <w:t>神经免疫疾病患者往往长期使用糖皮质激素（以下简称激素）和免疫抑制剂治疗，可能影响自体CAR-T细胞产品的制备质量，在采集PBMC（以下简称单采）和淋巴细胞清除预处理（以下简称清淋）之前，通常需要对激素、免疫抑制剂、单克隆抗体（以下简称单抗）等药物减量、洗脱，目的是确保采集时的T细胞活性，并减少对患者的潜在毒性。在单采和清淋前7天给予≤10毫克/天的泼尼松(或相当于强的松)。</w:t>
      </w:r>
    </w:p>
    <w:p w14:paraId="138E202F">
      <w:pPr>
        <w:pStyle w:val="45"/>
        <w:spacing w:before="156" w:after="156"/>
      </w:pPr>
      <w:r>
        <w:rPr>
          <w:rFonts w:hint="eastAsia"/>
        </w:rPr>
        <w:t>免疫抑制剂</w:t>
      </w:r>
    </w:p>
    <w:p w14:paraId="62EB76C7">
      <w:pPr>
        <w:pStyle w:val="22"/>
      </w:pPr>
      <w:r>
        <w:rPr>
          <w:rFonts w:hint="eastAsia"/>
        </w:rPr>
        <w:t>具体免疫抑制剂减量与洗脱方案包括但不限于：</w:t>
      </w:r>
    </w:p>
    <w:p w14:paraId="34C7D487">
      <w:pPr>
        <w:pStyle w:val="119"/>
      </w:pPr>
      <w:r>
        <w:rPr>
          <w:rFonts w:hint="eastAsia"/>
        </w:rPr>
        <w:t>霉酚酸酯、硫唑嘌呤、钙调神经磷酸酶抑制剂、mTOR抑制剂、JAK抑制剂在单采前至少2周停止使用，根据个体疾病情况考虑逐渐减量</w:t>
      </w:r>
      <w:r>
        <w:t>；</w:t>
      </w:r>
    </w:p>
    <w:p w14:paraId="7130FD28">
      <w:pPr>
        <w:pStyle w:val="119"/>
      </w:pPr>
      <w:r>
        <w:rPr>
          <w:rFonts w:hint="eastAsia"/>
        </w:rPr>
        <w:t>富马酸二甲酯、芬戈莫德在单采前至少6周停止使用</w:t>
      </w:r>
      <w:r>
        <w:t>；</w:t>
      </w:r>
    </w:p>
    <w:p w14:paraId="741E327E">
      <w:pPr>
        <w:pStyle w:val="119"/>
      </w:pPr>
      <w:r>
        <w:rPr>
          <w:rFonts w:hint="eastAsia"/>
        </w:rPr>
        <w:t>硼替佐米/蛋白酶体抑制剂在单采前至少3周停止使用；</w:t>
      </w:r>
    </w:p>
    <w:p w14:paraId="4AAAE9B2">
      <w:pPr>
        <w:pStyle w:val="119"/>
      </w:pPr>
      <w:r>
        <w:rPr>
          <w:rFonts w:hint="eastAsia"/>
        </w:rPr>
        <w:t>克拉屈滨在单采前至少6月停止使用，如进行T细胞治疗应尽量避免使用；</w:t>
      </w:r>
    </w:p>
    <w:p w14:paraId="7D2B9F91">
      <w:pPr>
        <w:pStyle w:val="119"/>
      </w:pPr>
      <w:r>
        <w:rPr>
          <w:rFonts w:hint="eastAsia"/>
        </w:rPr>
        <w:t>环磷酰胺、甲氨蝶呤在单采前至少3周停止使用。</w:t>
      </w:r>
    </w:p>
    <w:p w14:paraId="4E75673E">
      <w:pPr>
        <w:pStyle w:val="45"/>
        <w:spacing w:before="156" w:after="156"/>
      </w:pPr>
      <w:r>
        <w:rPr>
          <w:rFonts w:hint="eastAsia"/>
        </w:rPr>
        <w:t>单抗</w:t>
      </w:r>
    </w:p>
    <w:p w14:paraId="0D17A983">
      <w:pPr>
        <w:pStyle w:val="22"/>
      </w:pPr>
      <w:r>
        <w:rPr>
          <w:rFonts w:hint="eastAsia"/>
        </w:rPr>
        <w:t>抗细胞因子抗体、那他珠单抗应分别在单采前至少1月、6周停止使用，应设置洗脱期，以减少对患者的毒性和对B细胞的影响。对于阿仑单抗、达雷木单抗、抗胸腺球蛋白等针对T细胞的抗体，应尽量避免使用。</w:t>
      </w:r>
    </w:p>
    <w:p w14:paraId="11479434">
      <w:pPr>
        <w:pStyle w:val="42"/>
        <w:spacing w:before="156" w:after="156"/>
      </w:pPr>
      <w:r>
        <w:rPr>
          <w:rFonts w:hint="eastAsia"/>
        </w:rPr>
        <w:t>桥接治疗</w:t>
      </w:r>
    </w:p>
    <w:p w14:paraId="66F2F255">
      <w:pPr>
        <w:pStyle w:val="22"/>
      </w:pPr>
      <w:r>
        <w:rPr>
          <w:rFonts w:hint="eastAsia"/>
        </w:rPr>
        <w:t>在从单采到CAR-T细胞回输的时间间隔较长的情况下，激素减量有增加神经免疫疾病活动性甚至爆发的风险，在此之间可根据患者具体情况给予适当的桥接治疗。激素可能是这种桥接干预的最佳选择。</w:t>
      </w:r>
    </w:p>
    <w:p w14:paraId="2B1AE7BF">
      <w:pPr>
        <w:pStyle w:val="43"/>
        <w:spacing w:before="156" w:after="156"/>
      </w:pPr>
      <w:bookmarkStart w:id="56" w:name="_Toc183031918"/>
      <w:r>
        <w:rPr>
          <w:rFonts w:hint="eastAsia"/>
        </w:rPr>
        <w:t>清淋</w:t>
      </w:r>
      <w:bookmarkEnd w:id="56"/>
    </w:p>
    <w:p w14:paraId="568EB24A">
      <w:pPr>
        <w:pStyle w:val="22"/>
      </w:pPr>
      <w:r>
        <w:rPr>
          <w:rFonts w:hint="eastAsia"/>
        </w:rPr>
        <w:t>CAR-T细胞治疗通常需要在回输前进行清淋，目的是为CAR-T细胞创造有利的免疫环境，改善其扩增、持久性和临床活性，同时降低抗CAR免疫应答。目前经典方案为氟达拉滨联用环磷酰胺，剂量范围为氟达拉滨/环磷酰胺25/250mg/m2~30/750mg/m2，氟达拉滨治疗持续时间为3-5天，环磷酰胺治疗持续时间为1-3天，应在CAR-T细胞回输前1天至14天进行清淋。</w:t>
      </w:r>
    </w:p>
    <w:p w14:paraId="33BA3D8E">
      <w:pPr>
        <w:pStyle w:val="22"/>
        <w:ind w:firstLine="360"/>
        <w:rPr>
          <w:sz w:val="18"/>
          <w:szCs w:val="18"/>
        </w:rPr>
      </w:pPr>
      <w:r>
        <w:rPr>
          <w:rFonts w:hint="eastAsia" w:ascii="黑体" w:hAnsi="黑体" w:eastAsia="黑体"/>
          <w:sz w:val="18"/>
          <w:szCs w:val="18"/>
        </w:rPr>
        <w:t>注：</w:t>
      </w:r>
      <w:r>
        <w:rPr>
          <w:rFonts w:hint="eastAsia"/>
          <w:sz w:val="18"/>
          <w:szCs w:val="18"/>
        </w:rPr>
        <w:t>目前通常认为停止清淋是不可取的，但减少清淋用药剂量可能是可行的。</w:t>
      </w:r>
    </w:p>
    <w:p w14:paraId="31E7DC06">
      <w:pPr>
        <w:pStyle w:val="43"/>
        <w:spacing w:before="156" w:after="156"/>
      </w:pPr>
      <w:bookmarkStart w:id="57" w:name="_Toc183031919"/>
      <w:r>
        <w:rPr>
          <w:rFonts w:hint="eastAsia"/>
        </w:rPr>
        <w:t>CAR-T细胞回输前准备</w:t>
      </w:r>
      <w:bookmarkEnd w:id="57"/>
    </w:p>
    <w:p w14:paraId="15FA7866">
      <w:pPr>
        <w:pStyle w:val="42"/>
        <w:spacing w:before="156" w:after="156"/>
        <w:rPr>
          <w:rFonts w:hint="eastAsia" w:ascii="宋体" w:hAnsi="宋体" w:eastAsia="宋体"/>
        </w:rPr>
      </w:pPr>
      <w:r>
        <w:rPr>
          <w:rFonts w:hint="eastAsia" w:ascii="宋体" w:hAnsi="宋体" w:eastAsia="宋体"/>
        </w:rPr>
        <w:t>清淋后出现感染、心肺功能障碍、低血压等毒副反应时，CAR-T细胞回输治疗应适当后延，并酌情确定回输治疗时间或放弃治疗。</w:t>
      </w:r>
    </w:p>
    <w:p w14:paraId="07CCEA40">
      <w:pPr>
        <w:pStyle w:val="42"/>
        <w:spacing w:before="156" w:after="156"/>
        <w:rPr>
          <w:rFonts w:hint="eastAsia" w:ascii="宋体" w:hAnsi="宋体" w:eastAsia="宋体"/>
        </w:rPr>
      </w:pPr>
      <w:r>
        <w:rPr>
          <w:rFonts w:hint="eastAsia" w:ascii="宋体" w:hAnsi="宋体" w:eastAsia="宋体"/>
        </w:rPr>
        <w:t>急救设备及药品准备：床旁需准备好吸氧、吸痰、心电监护、呼吸机等必要的抢救设备，激素等急救药品，以及托珠单抗等细胞因子拮抗剂备用。</w:t>
      </w:r>
    </w:p>
    <w:p w14:paraId="19E4F91C">
      <w:pPr>
        <w:pStyle w:val="42"/>
        <w:spacing w:before="156" w:after="156"/>
        <w:rPr>
          <w:rFonts w:hint="eastAsia" w:ascii="宋体" w:hAnsi="宋体" w:eastAsia="宋体"/>
        </w:rPr>
      </w:pPr>
      <w:r>
        <w:rPr>
          <w:rFonts w:hint="eastAsia" w:ascii="宋体" w:hAnsi="宋体" w:eastAsia="宋体"/>
        </w:rPr>
        <w:t>CAR-T细胞的准备：新鲜细胞制剂自4℃取出后室温放置时间一般不超过30min；冻存细胞制剂自液氮罐中取出后立即放入37℃水浴箱反复摇动迅速复融，复融过程中出现破损、漏液、漏气等任何异常时废弃本批细胞，上报并按照医疗废弃物处理。</w:t>
      </w:r>
    </w:p>
    <w:p w14:paraId="18C9E2E5">
      <w:pPr>
        <w:pStyle w:val="43"/>
        <w:spacing w:before="156" w:after="156"/>
      </w:pPr>
      <w:bookmarkStart w:id="58" w:name="_Toc183031920"/>
      <w:r>
        <w:rPr>
          <w:rFonts w:hint="eastAsia"/>
        </w:rPr>
        <w:t>CAR-T细胞回输</w:t>
      </w:r>
      <w:bookmarkEnd w:id="58"/>
    </w:p>
    <w:p w14:paraId="04D4792D">
      <w:pPr>
        <w:pStyle w:val="42"/>
        <w:spacing w:before="156" w:after="156"/>
        <w:rPr>
          <w:rFonts w:hint="eastAsia" w:ascii="宋体" w:hAnsi="宋体" w:eastAsia="宋体"/>
        </w:rPr>
      </w:pPr>
      <w:r>
        <w:rPr>
          <w:rFonts w:hint="eastAsia" w:ascii="宋体" w:hAnsi="宋体" w:eastAsia="宋体"/>
        </w:rPr>
        <w:t>回输治疗路径一般为静脉途径，应采用不带滤网的输血器，以防止有效细胞成分的丢失而降低疗效。</w:t>
      </w:r>
    </w:p>
    <w:p w14:paraId="7CA39DD3">
      <w:pPr>
        <w:pStyle w:val="42"/>
        <w:spacing w:before="156" w:after="156"/>
        <w:rPr>
          <w:rFonts w:hint="eastAsia" w:ascii="宋体" w:hAnsi="宋体" w:eastAsia="宋体"/>
        </w:rPr>
      </w:pPr>
      <w:r>
        <w:rPr>
          <w:rFonts w:hint="eastAsia" w:ascii="宋体" w:hAnsi="宋体" w:eastAsia="宋体"/>
        </w:rPr>
        <w:t>回输治疗程序一般为：生理盐水100ml冲管→细胞回输→生理盐水100ml冲管；细胞回输速度一般在前15分钟2ml/min~3ml/min，无不良反应时改为5ml/min~10ml/min。</w:t>
      </w:r>
    </w:p>
    <w:p w14:paraId="10585980">
      <w:pPr>
        <w:pStyle w:val="44"/>
        <w:spacing w:before="312" w:after="312"/>
      </w:pPr>
      <w:bookmarkStart w:id="59" w:name="_Toc183031921"/>
      <w:r>
        <w:rPr>
          <w:rFonts w:hint="eastAsia"/>
        </w:rPr>
        <w:t>不良反应的监测与处理</w:t>
      </w:r>
      <w:bookmarkEnd w:id="59"/>
    </w:p>
    <w:p w14:paraId="09271D4D">
      <w:pPr>
        <w:pStyle w:val="43"/>
        <w:spacing w:before="156" w:after="156"/>
      </w:pPr>
      <w:bookmarkStart w:id="60" w:name="_Toc183031922"/>
      <w:r>
        <w:rPr>
          <w:rFonts w:hint="eastAsia"/>
        </w:rPr>
        <w:t>细胞因子相关不良反应</w:t>
      </w:r>
      <w:bookmarkEnd w:id="60"/>
    </w:p>
    <w:p w14:paraId="286E3627">
      <w:pPr>
        <w:pStyle w:val="42"/>
        <w:spacing w:before="156" w:after="156"/>
      </w:pPr>
      <w:r>
        <w:rPr>
          <w:rFonts w:hint="eastAsia"/>
        </w:rPr>
        <w:t>CRS</w:t>
      </w:r>
    </w:p>
    <w:p w14:paraId="1CCA2651">
      <w:pPr>
        <w:pStyle w:val="22"/>
      </w:pPr>
      <w:r>
        <w:rPr>
          <w:rFonts w:hint="eastAsia"/>
        </w:rPr>
        <w:t>如果CAR-T细胞回输后3周内出现以下4种症状或体征之一，即应考虑CRS可能：</w:t>
      </w:r>
    </w:p>
    <w:p w14:paraId="748D646F">
      <w:pPr>
        <w:pStyle w:val="51"/>
        <w:numPr>
          <w:ilvl w:val="0"/>
          <w:numId w:val="19"/>
        </w:numPr>
      </w:pPr>
      <w:r>
        <w:rPr>
          <w:rFonts w:hint="eastAsia"/>
        </w:rPr>
        <w:t>发热，体温≥38 ℃；</w:t>
      </w:r>
    </w:p>
    <w:p w14:paraId="6F52F0D4">
      <w:pPr>
        <w:pStyle w:val="51"/>
      </w:pPr>
      <w:r>
        <w:rPr>
          <w:rFonts w:hint="eastAsia"/>
        </w:rPr>
        <w:t>低血压，收缩压＜90 mmHg；</w:t>
      </w:r>
    </w:p>
    <w:p w14:paraId="5BEDF49E">
      <w:pPr>
        <w:pStyle w:val="51"/>
      </w:pPr>
      <w:r>
        <w:rPr>
          <w:rFonts w:hint="eastAsia"/>
        </w:rPr>
        <w:t>动脉血氧饱和度＜90％；</w:t>
      </w:r>
    </w:p>
    <w:p w14:paraId="5E4584E9">
      <w:pPr>
        <w:pStyle w:val="51"/>
      </w:pPr>
      <w:r>
        <w:rPr>
          <w:rFonts w:hint="eastAsia"/>
        </w:rPr>
        <w:t>出现器官毒性。</w:t>
      </w:r>
    </w:p>
    <w:p w14:paraId="0A054B2A">
      <w:pPr>
        <w:pStyle w:val="22"/>
      </w:pPr>
      <w:r>
        <w:rPr>
          <w:rFonts w:hint="eastAsia"/>
        </w:rPr>
        <w:t>诊断CRS需排除其他并发症，如感染、过敏反应等。因临床症状较为凶险，治疗需及时而积极，一般在积极对症治疗基础上合理使用细胞因子拮抗剂如托珠单抗等药物大多能够缓解，细胞因子拮抗剂无效时可考虑使用激素治疗。</w:t>
      </w:r>
    </w:p>
    <w:p w14:paraId="77094460">
      <w:pPr>
        <w:pStyle w:val="42"/>
        <w:spacing w:before="156" w:after="156"/>
      </w:pPr>
      <w:r>
        <w:rPr>
          <w:rFonts w:hint="eastAsia"/>
        </w:rPr>
        <w:t>ICANS</w:t>
      </w:r>
    </w:p>
    <w:p w14:paraId="482F638A">
      <w:pPr>
        <w:pStyle w:val="22"/>
      </w:pPr>
      <w:r>
        <w:rPr>
          <w:rFonts w:hint="eastAsia"/>
        </w:rPr>
        <w:t>ICANS的症状和体征通常在CAR-T细胞回输后第3～6天出现，第7～8天达到高峰，后随着时间推移而逐渐改善，持续2～3周症状消失。早期症状常表现为注意力减弱、语言障碍、书写能力减退等，可进一步发展为定向力障碍、情绪异常、失语、嗜睡、意识模糊和震颤等，大多数患者临床症状呈可逆性，少数患者可出现严重的临床症状，表现为癫痫发作、精神错乱、颅内压增高等，最严重可进展为急性脑水肿，患者可在数小时内从轻度的嗜睡进展为神志不清，进一步发展导致死亡。临床症状较为凶险，一般在积极对症治疗基础上合理使用激素治疗。</w:t>
      </w:r>
    </w:p>
    <w:p w14:paraId="056D82E7">
      <w:pPr>
        <w:pStyle w:val="42"/>
        <w:spacing w:before="156" w:after="156"/>
      </w:pPr>
      <w:r>
        <w:rPr>
          <w:rFonts w:hint="eastAsia"/>
        </w:rPr>
        <w:t>HLH/MAS</w:t>
      </w:r>
    </w:p>
    <w:p w14:paraId="06461883">
      <w:pPr>
        <w:pStyle w:val="22"/>
      </w:pPr>
      <w:r>
        <w:rPr>
          <w:rFonts w:hint="eastAsia"/>
        </w:rPr>
        <w:t>CAR-T细胞治疗过程中，HLH/MAS常继发于中重度CRS。监测指标包括：</w:t>
      </w:r>
    </w:p>
    <w:p w14:paraId="2A61B141">
      <w:pPr>
        <w:pStyle w:val="51"/>
        <w:numPr>
          <w:ilvl w:val="0"/>
          <w:numId w:val="20"/>
        </w:numPr>
      </w:pPr>
      <w:r>
        <w:rPr>
          <w:rFonts w:hint="eastAsia"/>
        </w:rPr>
        <w:t>铁蛋白水平＞10,000μg/L；</w:t>
      </w:r>
    </w:p>
    <w:p w14:paraId="0EB437B4">
      <w:pPr>
        <w:pStyle w:val="51"/>
        <w:numPr>
          <w:ilvl w:val="0"/>
          <w:numId w:val="20"/>
        </w:numPr>
      </w:pPr>
      <w:r>
        <w:rPr>
          <w:rFonts w:hint="eastAsia"/>
        </w:rPr>
        <w:t>肝功能不全：胆红素、转氨酶升高；</w:t>
      </w:r>
    </w:p>
    <w:p w14:paraId="792B1913">
      <w:pPr>
        <w:pStyle w:val="51"/>
        <w:numPr>
          <w:ilvl w:val="0"/>
          <w:numId w:val="20"/>
        </w:numPr>
      </w:pPr>
      <w:r>
        <w:rPr>
          <w:rFonts w:hint="eastAsia"/>
        </w:rPr>
        <w:t>肾功能不全：尿量减少、血肌酐升高；</w:t>
      </w:r>
    </w:p>
    <w:p w14:paraId="245CBB8D">
      <w:pPr>
        <w:pStyle w:val="51"/>
        <w:numPr>
          <w:ilvl w:val="0"/>
          <w:numId w:val="20"/>
        </w:numPr>
      </w:pPr>
      <w:r>
        <w:rPr>
          <w:rFonts w:hint="eastAsia"/>
        </w:rPr>
        <w:t>呼吸功能不全：影像学有肺水肿证据；</w:t>
      </w:r>
    </w:p>
    <w:p w14:paraId="537CBC40">
      <w:pPr>
        <w:pStyle w:val="51"/>
        <w:numPr>
          <w:ilvl w:val="0"/>
          <w:numId w:val="20"/>
        </w:numPr>
      </w:pPr>
      <w:r>
        <w:rPr>
          <w:rFonts w:hint="eastAsia"/>
        </w:rPr>
        <w:t>骨髓穿刺/组织器官活检提示组织细胞噬血现象。</w:t>
      </w:r>
    </w:p>
    <w:p w14:paraId="7A19D150">
      <w:pPr>
        <w:pStyle w:val="22"/>
      </w:pPr>
      <w:r>
        <w:rPr>
          <w:rFonts w:hint="eastAsia"/>
        </w:rPr>
        <w:t>一般在积极对症治疗基础上合理使用托珠单抗联合激素治疗，根据病情可考虑行血浆置换。</w:t>
      </w:r>
    </w:p>
    <w:p w14:paraId="006C8CC9">
      <w:pPr>
        <w:pStyle w:val="43"/>
        <w:spacing w:before="156" w:after="156"/>
      </w:pPr>
      <w:bookmarkStart w:id="61" w:name="_Toc183031923"/>
      <w:r>
        <w:rPr>
          <w:rFonts w:hint="eastAsia"/>
        </w:rPr>
        <w:t>感染</w:t>
      </w:r>
      <w:bookmarkEnd w:id="61"/>
    </w:p>
    <w:p w14:paraId="773765A8">
      <w:pPr>
        <w:pStyle w:val="22"/>
      </w:pPr>
      <w:r>
        <w:rPr>
          <w:rFonts w:hint="eastAsia"/>
        </w:rPr>
        <w:t>临床症状与CRS类似，监测指标除血常规、凝血功能、肝肾功能、电解质、乳酸脱氢酶、C反应蛋白、铁蛋白、细胞因子（白介素6、干扰素γ等）外，还应详细了解患者既往感染史，进行病原学筛查，并进行胸部CT评估肺部感染情况。CAR-T细胞治疗前应全面筛查，包括但不限于人类免疫缺陷病毒、丙型肝炎病毒、乙型肝炎病毒、巨细胞病毒、结核分枝杆菌等，并控制活动性感染。具体治疗方案可参考《中国中性粒细胞缺乏伴发热患者抗菌药物临床应用指南（2016年版）》。</w:t>
      </w:r>
    </w:p>
    <w:p w14:paraId="5F61B9CF">
      <w:pPr>
        <w:pStyle w:val="43"/>
        <w:spacing w:before="156" w:after="156"/>
      </w:pPr>
      <w:bookmarkStart w:id="62" w:name="_Toc183031924"/>
      <w:r>
        <w:rPr>
          <w:rFonts w:hint="eastAsia"/>
        </w:rPr>
        <w:t>骨髓抑制和免疫抑制</w:t>
      </w:r>
      <w:bookmarkEnd w:id="62"/>
    </w:p>
    <w:p w14:paraId="23E4BDBA">
      <w:pPr>
        <w:pStyle w:val="42"/>
        <w:spacing w:before="156" w:after="156"/>
      </w:pPr>
      <w:r>
        <w:rPr>
          <w:rFonts w:hint="eastAsia"/>
        </w:rPr>
        <w:t>ICAHT</w:t>
      </w:r>
    </w:p>
    <w:p w14:paraId="4E1C029C">
      <w:pPr>
        <w:pStyle w:val="22"/>
      </w:pPr>
      <w:r>
        <w:rPr>
          <w:rFonts w:hint="eastAsia"/>
        </w:rPr>
        <w:t>CAR-T细胞回输后，部分患者会出现血细胞减少，可能持续存在。对于接受CAR-T细胞治疗的患者，应注意保持口腔、消化道、生殖道清洁，预防感染发生。对于不同的血细胞减少情况，处理方案包括但不限于：</w:t>
      </w:r>
    </w:p>
    <w:p w14:paraId="657AF752">
      <w:pPr>
        <w:pStyle w:val="119"/>
      </w:pPr>
      <w:r>
        <w:rPr>
          <w:rFonts w:hint="eastAsia"/>
        </w:rPr>
        <w:t>对粒细胞缺乏伴发热患者应使用经验性抗生素治疗，并积极进行微生物学和影像学检查，明确病原微生物和感染部位</w:t>
      </w:r>
      <w:r>
        <w:t>；</w:t>
      </w:r>
    </w:p>
    <w:p w14:paraId="396EF5B5">
      <w:pPr>
        <w:pStyle w:val="119"/>
      </w:pPr>
      <w:r>
        <w:rPr>
          <w:rFonts w:hint="eastAsia"/>
        </w:rPr>
        <w:t>贫血症状明显、血红蛋白＜60 g/L时应及时输注红细胞，对于血红蛋白≥60g/L而体能状况较弱、耐受性较差的患者应根据临床情况及时输血</w:t>
      </w:r>
      <w:r>
        <w:t>；</w:t>
      </w:r>
    </w:p>
    <w:p w14:paraId="42E30B57">
      <w:pPr>
        <w:pStyle w:val="119"/>
      </w:pPr>
      <w:r>
        <w:rPr>
          <w:rFonts w:hint="eastAsia"/>
        </w:rPr>
        <w:t>当血小板计数＜20×10</w:t>
      </w:r>
      <w:r>
        <w:rPr>
          <w:rFonts w:hint="eastAsia"/>
          <w:vertAlign w:val="superscript"/>
        </w:rPr>
        <w:t>9</w:t>
      </w:r>
      <w:r>
        <w:rPr>
          <w:rFonts w:hint="eastAsia"/>
        </w:rPr>
        <w:t>/L或有出血症状可输注辐照血小板，当血小板输注无效时应输注配型血小板。合并有凝血功能异常时应及时输注凝血酶原复合物、新鲜冰冻血浆、纤维蛋白原或冷沉淀改善凝血功能。</w:t>
      </w:r>
    </w:p>
    <w:p w14:paraId="541F5F96">
      <w:pPr>
        <w:pStyle w:val="42"/>
        <w:spacing w:before="156" w:after="156"/>
      </w:pPr>
      <w:r>
        <w:rPr>
          <w:rFonts w:hint="eastAsia"/>
        </w:rPr>
        <w:t>B细胞缺乏和低免疫球蛋白血症</w:t>
      </w:r>
    </w:p>
    <w:p w14:paraId="4A272F39">
      <w:pPr>
        <w:pStyle w:val="22"/>
      </w:pPr>
      <w:r>
        <w:rPr>
          <w:rFonts w:hint="eastAsia"/>
        </w:rPr>
        <w:t>靶向BCMA的CAR-T细胞可以杀伤正常以及反应性B细胞、浆细胞，导致B细胞免疫功能缺陷和低免疫球蛋白血症。CAR-T细胞治疗后考虑连续3个月应用甲氧苄氨嘧啶-磺胺甲唑（如果过敏可选择喷他脒）和阿昔洛韦/伐昔洛韦分别预防肺孢子菌和单纯疱疹病毒/水痘带状疱疹病毒。血清IgG＜4 g/L者或血清IgG 4～6 g/L且并发感染者，应用丙种球蛋白替代治疗；血清IgG＞6 g/L且并发感染者，应进一步评估各型免疫球蛋白水平和B细胞数量。</w:t>
      </w:r>
    </w:p>
    <w:p w14:paraId="43221C48">
      <w:pPr>
        <w:pStyle w:val="43"/>
        <w:spacing w:before="156" w:after="156"/>
      </w:pPr>
      <w:bookmarkStart w:id="63" w:name="_Toc183031925"/>
      <w:r>
        <w:rPr>
          <w:rFonts w:hint="eastAsia"/>
        </w:rPr>
        <w:t>CAR-T细胞异常增殖</w:t>
      </w:r>
      <w:bookmarkEnd w:id="63"/>
    </w:p>
    <w:p w14:paraId="3EE72F58">
      <w:pPr>
        <w:pStyle w:val="22"/>
      </w:pPr>
      <w:r>
        <w:rPr>
          <w:rFonts w:hint="eastAsia"/>
        </w:rPr>
        <w:t>过度扩增的CAR-T细胞可能打破免疫系统的平衡，影响其他免疫细胞的功能和数量。可采用激素、免疫抑制剂 (如抗胸腺细胞球蛋白或抗CD52抗体)，严重患者可联合使用2种或2种以上免疫抑制剂。</w:t>
      </w:r>
    </w:p>
    <w:p w14:paraId="0EA3D28C">
      <w:pPr>
        <w:pStyle w:val="43"/>
        <w:spacing w:before="156" w:after="156"/>
      </w:pPr>
      <w:bookmarkStart w:id="64" w:name="_Toc183031926"/>
      <w:r>
        <w:rPr>
          <w:rFonts w:hint="eastAsia"/>
        </w:rPr>
        <w:t>继发肿瘤、延迟性神经系统综合征等罕见不良反应</w:t>
      </w:r>
      <w:bookmarkEnd w:id="64"/>
    </w:p>
    <w:p w14:paraId="3E50EBFC">
      <w:pPr>
        <w:pStyle w:val="22"/>
      </w:pPr>
      <w:r>
        <w:rPr>
          <w:rFonts w:hint="eastAsia"/>
        </w:rPr>
        <w:t>FDA认为所有已经获批上市的CAR-T细胞治疗产品均存在严重的继发T淋巴细胞瘤的恶性风险。此外，由于在尾状核神经元和小胶质细胞上存在少量BCMA抗原的表达，患者可能在BCMA CAR-T细胞回输后的几周或几个月内，出现不典型延迟性神经系统综合征，表现为运动功能障碍，如震颤、运动迟缓、肌张力增高等帕金森病样症状。考虑到神经免疫疾病的年轻患者较多，对于CAR-T细胞治疗出现的罕见不良反应，应及时上报，并在包括神经内科、血液内科等专科的MDT会议上讨论具体治疗方案。</w:t>
      </w:r>
    </w:p>
    <w:p w14:paraId="5224850E">
      <w:pPr>
        <w:pStyle w:val="44"/>
        <w:spacing w:before="312" w:after="312"/>
      </w:pPr>
      <w:bookmarkStart w:id="65" w:name="_Toc183031927"/>
      <w:r>
        <w:rPr>
          <w:rFonts w:hint="eastAsia"/>
        </w:rPr>
        <w:t>患者随访</w:t>
      </w:r>
      <w:bookmarkEnd w:id="65"/>
    </w:p>
    <w:p w14:paraId="63ECBDA3">
      <w:pPr>
        <w:pStyle w:val="22"/>
      </w:pPr>
      <w:r>
        <w:rPr>
          <w:rFonts w:hint="eastAsia"/>
        </w:rPr>
        <w:t>对接受CAR-T细胞治疗的患者应终身监测，以评估长期疗效、监测晚期不良反应，并评估免疫系统的恢复和功能。根据国家药品监督管理局药品审评中心《基因治疗产品长期随访临床研究技术指导原则（试行）》，基因编辑产品需长期随访15年或至数据表明不再存在任何风险。建议在CAR-T治疗后第一年内每3个月、一年后每3~6个月、两年后每6~12个月复查，复查内容包括但不限于：</w:t>
      </w:r>
    </w:p>
    <w:p w14:paraId="2B47CBCA">
      <w:pPr>
        <w:pStyle w:val="51"/>
        <w:numPr>
          <w:ilvl w:val="0"/>
          <w:numId w:val="21"/>
        </w:numPr>
      </w:pPr>
      <w:r>
        <w:rPr>
          <w:rFonts w:hint="eastAsia"/>
        </w:rPr>
        <w:t>生活质量、功能状态；</w:t>
      </w:r>
    </w:p>
    <w:p w14:paraId="7C61C558">
      <w:pPr>
        <w:pStyle w:val="51"/>
        <w:numPr>
          <w:ilvl w:val="0"/>
          <w:numId w:val="21"/>
        </w:numPr>
      </w:pPr>
      <w:r>
        <w:rPr>
          <w:rFonts w:hint="eastAsia"/>
        </w:rPr>
        <w:t>血常规、生化、肝肾功能、炎症标志物、细胞因子等检测；</w:t>
      </w:r>
    </w:p>
    <w:p w14:paraId="4DDCAD51">
      <w:pPr>
        <w:pStyle w:val="51"/>
        <w:numPr>
          <w:ilvl w:val="0"/>
          <w:numId w:val="21"/>
        </w:numPr>
      </w:pPr>
      <w:r>
        <w:rPr>
          <w:rFonts w:hint="eastAsia"/>
        </w:rPr>
        <w:t>免疫细胞的数量和表型、免疫球蛋白水平；</w:t>
      </w:r>
    </w:p>
    <w:p w14:paraId="25F1C914">
      <w:pPr>
        <w:pStyle w:val="51"/>
        <w:numPr>
          <w:ilvl w:val="0"/>
          <w:numId w:val="21"/>
        </w:numPr>
      </w:pPr>
      <w:r>
        <w:rPr>
          <w:rFonts w:hint="eastAsia"/>
        </w:rPr>
        <w:t>病毒（如EB病毒、巨细胞病毒）和细菌感染的标志物。</w:t>
      </w:r>
    </w:p>
    <w:p w14:paraId="7923FBBE">
      <w:pPr>
        <w:pStyle w:val="51"/>
        <w:numPr>
          <w:ilvl w:val="0"/>
          <w:numId w:val="21"/>
        </w:numPr>
      </w:pPr>
      <w:r>
        <w:rPr>
          <w:rFonts w:hint="eastAsia"/>
        </w:rPr>
        <w:t>罕见不良反应如继发T淋巴细胞瘤、不典型延迟性神经系统综合征。</w:t>
      </w:r>
    </w:p>
    <w:p w14:paraId="733A102A">
      <w:pPr>
        <w:pStyle w:val="98"/>
      </w:pPr>
      <w:bookmarkStart w:id="66" w:name="_Toc183031928"/>
      <w:r>
        <w:t>参 考 文 献</w:t>
      </w:r>
      <w:bookmarkEnd w:id="66"/>
    </w:p>
    <w:p w14:paraId="794E308C">
      <w:pPr>
        <w:pStyle w:val="99"/>
        <w:ind w:firstLine="420"/>
        <w:rPr>
          <w:rFonts w:hint="eastAsia" w:asciiTheme="minorEastAsia" w:hAnsiTheme="minorEastAsia" w:eastAsiaTheme="minorEastAsia" w:cstheme="minorEastAsia"/>
        </w:rPr>
      </w:pPr>
      <w:bookmarkStart w:id="67" w:name="_Toc182934931"/>
      <w:bookmarkStart w:id="68" w:name="_Toc183031939"/>
      <w:bookmarkStart w:id="69" w:name="_Toc182945217"/>
      <w:bookmarkStart w:id="70" w:name="_Toc183031929"/>
      <w:bookmarkStart w:id="71" w:name="_Toc182934921"/>
      <w:bookmarkStart w:id="72" w:name="_Toc182945207"/>
      <w:r>
        <w:rPr>
          <w:rFonts w:hint="eastAsia" w:asciiTheme="minorEastAsia" w:hAnsiTheme="minorEastAsia" w:eastAsiaTheme="minorEastAsia" w:cstheme="minorEastAsia"/>
        </w:rPr>
        <w:t>中华医学会血液学分会白血病淋巴瘤学组, 中国抗癌协会血液肿瘤专业委员会造血干细胞移植与细胞免疫治疗学组. 嵌合抗原受体T细胞治疗相关神经系统毒副反应管理中国专家共识（2022年版） [J]. 中华血液学杂志, 2022, 43(2): 96-101.</w:t>
      </w:r>
      <w:bookmarkEnd w:id="67"/>
      <w:bookmarkEnd w:id="68"/>
      <w:bookmarkEnd w:id="69"/>
    </w:p>
    <w:p w14:paraId="3CD24471">
      <w:pPr>
        <w:pStyle w:val="99"/>
        <w:ind w:firstLine="420"/>
        <w:rPr>
          <w:rFonts w:hint="eastAsia" w:asciiTheme="minorEastAsia" w:hAnsiTheme="minorEastAsia" w:eastAsiaTheme="minorEastAsia" w:cstheme="minorEastAsia"/>
        </w:rPr>
      </w:pPr>
      <w:bookmarkStart w:id="73" w:name="_Toc182934932"/>
      <w:bookmarkStart w:id="74" w:name="_Toc182945218"/>
      <w:bookmarkStart w:id="75" w:name="_Toc183031940"/>
      <w:r>
        <w:rPr>
          <w:rFonts w:hint="eastAsia" w:asciiTheme="minorEastAsia" w:hAnsiTheme="minorEastAsia" w:eastAsiaTheme="minorEastAsia" w:cstheme="minorEastAsia"/>
        </w:rPr>
        <w:t>中华医学会血液学分会白血病淋巴瘤学组, 中国抗癌协会血液肿瘤专业委员会造血干细胞移植与细胞治疗学组. 嵌合抗原受体T细胞治疗成人急性B淋巴细胞白血病中国专家共识（2022年版） [J]. 中华血液学杂志, 2022, 43(2): 89-95.</w:t>
      </w:r>
      <w:bookmarkEnd w:id="73"/>
      <w:bookmarkEnd w:id="74"/>
      <w:bookmarkEnd w:id="75"/>
    </w:p>
    <w:p w14:paraId="75A8E894">
      <w:pPr>
        <w:pStyle w:val="99"/>
        <w:ind w:firstLine="420"/>
        <w:rPr>
          <w:rFonts w:hint="eastAsia" w:asciiTheme="minorEastAsia" w:hAnsiTheme="minorEastAsia" w:eastAsiaTheme="minorEastAsia" w:cstheme="minorEastAsia"/>
        </w:rPr>
      </w:pPr>
      <w:bookmarkStart w:id="76" w:name="_Toc183031934"/>
      <w:bookmarkStart w:id="77" w:name="_Toc182934926"/>
      <w:bookmarkStart w:id="78" w:name="_Toc182945212"/>
      <w:r>
        <w:rPr>
          <w:rFonts w:hint="eastAsia" w:asciiTheme="minorEastAsia" w:hAnsiTheme="minorEastAsia" w:eastAsiaTheme="minorEastAsia" w:cstheme="minorEastAsia"/>
        </w:rPr>
        <w:t>中国医师协会血液科医师分会, 中华医学会血液学分会. 嵌合抗原受体T细胞治疗多发性骨髓瘤中国血液临床专家共识（2022年版） [J]. 中华血液学杂志, 2022, 43(4): 265-71.</w:t>
      </w:r>
      <w:bookmarkEnd w:id="76"/>
      <w:bookmarkEnd w:id="77"/>
      <w:bookmarkEnd w:id="78"/>
    </w:p>
    <w:p w14:paraId="21FF8F00">
      <w:pPr>
        <w:pStyle w:val="99"/>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QIN C, TIAN D S, ZHOU L Q, et al. Anti-BCMA CAR T-cell therapy CT103A in relapsed or refractory AQP4-IgG seropositive neuromyelitis optica spectrum disorders: phase 1 trial interim results [J]. Signal Transduct Target Ther, 2023, 8(1): 5.</w:t>
      </w:r>
      <w:bookmarkEnd w:id="70"/>
      <w:bookmarkEnd w:id="71"/>
      <w:bookmarkEnd w:id="72"/>
    </w:p>
    <w:p w14:paraId="5D3D39A7">
      <w:pPr>
        <w:pStyle w:val="99"/>
        <w:ind w:firstLine="420"/>
        <w:rPr>
          <w:rFonts w:hint="eastAsia" w:asciiTheme="minorEastAsia" w:hAnsiTheme="minorEastAsia" w:eastAsiaTheme="minorEastAsia" w:cstheme="minorEastAsia"/>
        </w:rPr>
      </w:pPr>
      <w:bookmarkStart w:id="79" w:name="_Toc182934922"/>
      <w:bookmarkStart w:id="80" w:name="_Toc183031930"/>
      <w:bookmarkStart w:id="81" w:name="_Toc182945208"/>
      <w:r>
        <w:rPr>
          <w:rFonts w:hint="eastAsia" w:asciiTheme="minorEastAsia" w:hAnsiTheme="minorEastAsia" w:eastAsiaTheme="minorEastAsia" w:cstheme="minorEastAsia"/>
        </w:rPr>
        <w:t>GRANIT V, BENATAR M, KURTOGLU M, et al. Safety and clinical activity of autologous RNA chimeric antigen receptor T-cell therapy in myasthenia gravis (MG-001): a prospective, multicentre, open-label, non-randomised phase 1b/2a study [J]. Lancet Neurol, 2023, 22(7): 578-90.</w:t>
      </w:r>
      <w:bookmarkEnd w:id="79"/>
      <w:bookmarkEnd w:id="80"/>
      <w:bookmarkEnd w:id="81"/>
    </w:p>
    <w:p w14:paraId="10D9A03A">
      <w:pPr>
        <w:pStyle w:val="99"/>
        <w:ind w:firstLine="420"/>
        <w:rPr>
          <w:rFonts w:hint="eastAsia" w:asciiTheme="minorEastAsia" w:hAnsiTheme="minorEastAsia" w:eastAsiaTheme="minorEastAsia" w:cstheme="minorEastAsia"/>
        </w:rPr>
      </w:pPr>
      <w:bookmarkStart w:id="82" w:name="_Toc183031931"/>
      <w:bookmarkStart w:id="83" w:name="_Toc182934923"/>
      <w:bookmarkStart w:id="84" w:name="_Toc182945209"/>
      <w:r>
        <w:rPr>
          <w:rFonts w:hint="eastAsia" w:asciiTheme="minorEastAsia" w:hAnsiTheme="minorEastAsia" w:eastAsiaTheme="minorEastAsia" w:cstheme="minorEastAsia"/>
        </w:rPr>
        <w:t>TIAN D S, QIN C, DONG M H, et al. B cell lineage reconstitution underlies CAR-T cell therapeutic efficacy in patients with refractory myasthenia gravis [J]. EMBO Mol Med, 2024, 16(4): 966-87.</w:t>
      </w:r>
      <w:bookmarkEnd w:id="82"/>
      <w:bookmarkEnd w:id="83"/>
      <w:bookmarkEnd w:id="84"/>
    </w:p>
    <w:p w14:paraId="07E47B69">
      <w:pPr>
        <w:pStyle w:val="99"/>
        <w:ind w:firstLine="420"/>
        <w:rPr>
          <w:rFonts w:hint="eastAsia" w:asciiTheme="minorEastAsia" w:hAnsiTheme="minorEastAsia" w:eastAsiaTheme="minorEastAsia" w:cstheme="minorEastAsia"/>
        </w:rPr>
      </w:pPr>
      <w:bookmarkStart w:id="85" w:name="_Toc183031932"/>
      <w:bookmarkStart w:id="86" w:name="_Toc182945210"/>
      <w:bookmarkStart w:id="87" w:name="_Toc182934924"/>
      <w:r>
        <w:rPr>
          <w:rFonts w:hint="eastAsia" w:asciiTheme="minorEastAsia" w:hAnsiTheme="minorEastAsia" w:eastAsiaTheme="minorEastAsia" w:cstheme="minorEastAsia"/>
        </w:rPr>
        <w:t>QIN C, DONG M H, ZHOU L Q, et al. Single-cell analysis of refractory anti-SRP necrotizing myopathy treated with anti-BCMA CAR-T cell therapy [J]. Proc Natl Acad Sci U S A, 2024, 121(6): e2315990121.</w:t>
      </w:r>
      <w:bookmarkEnd w:id="85"/>
      <w:bookmarkEnd w:id="86"/>
      <w:bookmarkEnd w:id="87"/>
    </w:p>
    <w:p w14:paraId="635F104F">
      <w:pPr>
        <w:pStyle w:val="99"/>
        <w:ind w:firstLine="420"/>
        <w:rPr>
          <w:rFonts w:hint="eastAsia" w:asciiTheme="minorEastAsia" w:hAnsiTheme="minorEastAsia" w:eastAsiaTheme="minorEastAsia" w:cstheme="minorEastAsia"/>
        </w:rPr>
      </w:pPr>
      <w:bookmarkStart w:id="88" w:name="_Toc182945211"/>
      <w:bookmarkStart w:id="89" w:name="_Toc183031933"/>
      <w:bookmarkStart w:id="90" w:name="_Toc182934925"/>
      <w:r>
        <w:rPr>
          <w:rFonts w:hint="eastAsia" w:asciiTheme="minorEastAsia" w:hAnsiTheme="minorEastAsia" w:eastAsiaTheme="minorEastAsia" w:cstheme="minorEastAsia"/>
        </w:rPr>
        <w:t>GRECO R, ALEXANDER T, DEL PAPA N, et al. Innovative cellular therapies for autoimmune diseases: expert-based position statement and clinical practice recommendations from the EBMT practice harmonization and guidelines committee [J]. EClinicalMedicine, 2024, 69: 102476.</w:t>
      </w:r>
      <w:bookmarkEnd w:id="88"/>
      <w:bookmarkEnd w:id="89"/>
      <w:bookmarkEnd w:id="90"/>
    </w:p>
    <w:p w14:paraId="4236F999">
      <w:pPr>
        <w:pStyle w:val="99"/>
        <w:ind w:firstLine="420"/>
        <w:rPr>
          <w:rFonts w:hint="eastAsia" w:asciiTheme="minorEastAsia" w:hAnsiTheme="minorEastAsia" w:eastAsiaTheme="minorEastAsia" w:cstheme="minorEastAsia"/>
        </w:rPr>
      </w:pPr>
      <w:bookmarkStart w:id="91" w:name="_Toc183031935"/>
      <w:bookmarkStart w:id="92" w:name="_Toc182945213"/>
      <w:bookmarkStart w:id="93" w:name="_Toc182934927"/>
      <w:r>
        <w:rPr>
          <w:rFonts w:hint="eastAsia" w:asciiTheme="minorEastAsia" w:hAnsiTheme="minorEastAsia" w:eastAsiaTheme="minorEastAsia" w:cstheme="minorEastAsia"/>
        </w:rPr>
        <w:t>LIN Y, QIU L, USMANI S, et al. Consensus guidelines and recommendations for the management and response assessment of chimeric antigen receptor T-cell therapy in clinical practice for relapsed and refractory multiple myeloma: a report from the International Myeloma Working Group Immunotherapy Committee [J]. Lancet Oncol, 2024, 25(8): e374-e87.</w:t>
      </w:r>
      <w:bookmarkEnd w:id="91"/>
      <w:bookmarkEnd w:id="92"/>
      <w:bookmarkEnd w:id="93"/>
    </w:p>
    <w:p w14:paraId="521235FA">
      <w:pPr>
        <w:pStyle w:val="99"/>
        <w:ind w:firstLine="420"/>
        <w:rPr>
          <w:rFonts w:hint="eastAsia" w:asciiTheme="minorEastAsia" w:hAnsiTheme="minorEastAsia" w:eastAsiaTheme="minorEastAsia" w:cstheme="minorEastAsia"/>
        </w:rPr>
      </w:pPr>
      <w:bookmarkStart w:id="94" w:name="_Toc182934928"/>
      <w:bookmarkStart w:id="95" w:name="_Toc182945214"/>
      <w:bookmarkStart w:id="96" w:name="_Toc183031936"/>
      <w:r>
        <w:rPr>
          <w:rFonts w:hint="eastAsia" w:asciiTheme="minorEastAsia" w:hAnsiTheme="minorEastAsia" w:eastAsiaTheme="minorEastAsia" w:cstheme="minorEastAsia"/>
        </w:rPr>
        <w:t>PERNA F, PAREKH S, DIORIO C, et al. CAR T-cell toxicities: from bedside to bench, how novel toxicities inform laboratory investigations [J]. Blood Adv, 2024, 8(16): 4348-58.</w:t>
      </w:r>
      <w:bookmarkEnd w:id="94"/>
      <w:bookmarkEnd w:id="95"/>
      <w:bookmarkEnd w:id="96"/>
    </w:p>
    <w:p w14:paraId="1FAD9808">
      <w:pPr>
        <w:pStyle w:val="99"/>
        <w:ind w:firstLine="420"/>
        <w:rPr>
          <w:rFonts w:hint="eastAsia" w:asciiTheme="minorEastAsia" w:hAnsiTheme="minorEastAsia" w:eastAsiaTheme="minorEastAsia" w:cstheme="minorEastAsia"/>
        </w:rPr>
      </w:pPr>
      <w:bookmarkStart w:id="97" w:name="_Toc182945215"/>
      <w:bookmarkStart w:id="98" w:name="_Toc182934929"/>
      <w:bookmarkStart w:id="99" w:name="_Toc183031937"/>
      <w:r>
        <w:rPr>
          <w:rFonts w:hint="eastAsia" w:asciiTheme="minorEastAsia" w:hAnsiTheme="minorEastAsia" w:eastAsiaTheme="minorEastAsia" w:cstheme="minorEastAsia"/>
        </w:rPr>
        <w:t>SCHETT G, MULLER F, TAUBMANN J, et al. Advancements and challenges in CAR T cell therapy in autoimmune diseases [J]. Nat Rev Rheumatol, 2024, 20(9): 531-44.</w:t>
      </w:r>
      <w:bookmarkEnd w:id="97"/>
      <w:bookmarkEnd w:id="98"/>
      <w:bookmarkEnd w:id="99"/>
    </w:p>
    <w:p w14:paraId="61AE2712">
      <w:pPr>
        <w:pStyle w:val="99"/>
        <w:ind w:firstLine="420"/>
        <w:rPr>
          <w:rFonts w:hint="eastAsia" w:asciiTheme="minorEastAsia" w:hAnsiTheme="minorEastAsia" w:eastAsiaTheme="minorEastAsia" w:cstheme="minorEastAsia"/>
        </w:rPr>
      </w:pPr>
      <w:bookmarkStart w:id="100" w:name="_Toc183031938"/>
      <w:bookmarkStart w:id="101" w:name="_Toc182945216"/>
      <w:bookmarkStart w:id="102" w:name="_Toc182934930"/>
      <w:r>
        <w:rPr>
          <w:rFonts w:hint="eastAsia" w:asciiTheme="minorEastAsia" w:hAnsiTheme="minorEastAsia" w:eastAsiaTheme="minorEastAsia" w:cstheme="minorEastAsia"/>
        </w:rPr>
        <w:t>LICKEFETT B, CHU L, ORTIZ-MALDONADO V, et al. Lymphodepletion - an essential but undervalued part of the chimeric antigen receptor T-cell therapy cycle [J]. Front Immunol, 2023, 14: 1303935.</w:t>
      </w:r>
      <w:bookmarkEnd w:id="100"/>
      <w:bookmarkEnd w:id="101"/>
      <w:bookmarkEnd w:id="102"/>
    </w:p>
    <w:p w14:paraId="67AABB1C">
      <w:pPr>
        <w:pStyle w:val="99"/>
        <w:ind w:firstLine="420"/>
        <w:rPr>
          <w:rFonts w:hint="eastAsia" w:asciiTheme="minorEastAsia" w:hAnsiTheme="minorEastAsia" w:eastAsiaTheme="minorEastAsia" w:cstheme="minorEastAsia"/>
        </w:rPr>
      </w:pPr>
      <w:bookmarkStart w:id="103" w:name="_Toc183031941"/>
      <w:bookmarkStart w:id="104" w:name="_Toc182945219"/>
      <w:bookmarkStart w:id="105" w:name="_Toc182934933"/>
      <w:r>
        <w:rPr>
          <w:rFonts w:hint="eastAsia" w:asciiTheme="minorEastAsia" w:hAnsiTheme="minorEastAsia" w:eastAsiaTheme="minorEastAsia" w:cstheme="minorEastAsia"/>
        </w:rPr>
        <w:t>REJESKI K, JAIN M D, SHAH N N, et al. Immune effector cell-associated haematotoxicity after CAR T-cell therapy: from mechanism to management [J]. Lancet Haematol, 2024, 11(6): e459-e70.</w:t>
      </w:r>
      <w:bookmarkEnd w:id="103"/>
      <w:bookmarkEnd w:id="104"/>
      <w:bookmarkEnd w:id="105"/>
    </w:p>
    <w:p w14:paraId="1BD90162">
      <w:pPr>
        <w:pStyle w:val="99"/>
        <w:ind w:firstLine="420"/>
        <w:rPr>
          <w:rFonts w:hint="eastAsia" w:asciiTheme="minorEastAsia" w:hAnsiTheme="minorEastAsia" w:eastAsiaTheme="minorEastAsia" w:cstheme="minorEastAsia"/>
        </w:rPr>
      </w:pPr>
      <w:bookmarkStart w:id="106" w:name="_Toc182945220"/>
      <w:bookmarkStart w:id="107" w:name="_Toc182934934"/>
      <w:bookmarkStart w:id="108" w:name="_Toc183031942"/>
      <w:r>
        <w:rPr>
          <w:rFonts w:hint="eastAsia" w:asciiTheme="minorEastAsia" w:hAnsiTheme="minorEastAsia" w:eastAsiaTheme="minorEastAsia" w:cstheme="minorEastAsia"/>
        </w:rPr>
        <w:t>FDA Requires Boxed Warning for T cell Malignancies Following Treatment with BCMA-Directed or CD19-Directed Autologous Chimeric Antigen Receptor (CAR) T cell Immunotherapies [Z].</w:t>
      </w:r>
      <w:bookmarkEnd w:id="106"/>
      <w:bookmarkEnd w:id="107"/>
      <w:bookmarkEnd w:id="108"/>
      <w:r>
        <w:rPr>
          <w:rFonts w:hint="eastAsia" w:asciiTheme="minorEastAsia" w:hAnsiTheme="minorEastAsia" w:eastAsiaTheme="minorEastAsia" w:cstheme="minorEastAsia"/>
        </w:rPr>
        <w:t xml:space="preserve"> </w:t>
      </w:r>
    </w:p>
    <w:p w14:paraId="2F4AF6DC">
      <w:pPr>
        <w:pStyle w:val="99"/>
        <w:ind w:firstLine="420"/>
        <w:rPr>
          <w:rFonts w:hint="eastAsia" w:asciiTheme="minorEastAsia" w:hAnsiTheme="minorEastAsia" w:eastAsiaTheme="minorEastAsia" w:cstheme="minorEastAsia"/>
        </w:rPr>
      </w:pPr>
      <w:bookmarkStart w:id="109" w:name="_Toc182934935"/>
      <w:bookmarkStart w:id="110" w:name="_Toc183031943"/>
      <w:bookmarkStart w:id="111" w:name="_Toc182945221"/>
      <w:r>
        <w:rPr>
          <w:rFonts w:hint="eastAsia" w:asciiTheme="minorEastAsia" w:hAnsiTheme="minorEastAsia" w:eastAsiaTheme="minorEastAsia" w:cstheme="minorEastAsia"/>
        </w:rPr>
        <w:t>HAMILTON M P, SUGIO T, NOORDENBOS T, et al. Risk of Second Tumors and T-Cell Lymphoma after CAR T-Cell Therapy [J]. N Engl J Med, 2024, 390(22): 2047-60.</w:t>
      </w:r>
      <w:bookmarkEnd w:id="109"/>
      <w:bookmarkEnd w:id="110"/>
      <w:bookmarkEnd w:id="111"/>
    </w:p>
    <w:p w14:paraId="69ED311B">
      <w:pPr>
        <w:pStyle w:val="60"/>
        <w:framePr w:wrap="around"/>
      </w:pPr>
      <w:r>
        <w:t>_________________________________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Blac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黑体-简">
    <w:altName w:val="黑体"/>
    <w:panose1 w:val="00000000000000000000"/>
    <w:charset w:val="86"/>
    <w:family w:val="auto"/>
    <w:pitch w:val="default"/>
    <w:sig w:usb0="00000000" w:usb1="00000000" w:usb2="00000000" w:usb3="00000000" w:csb0="203E0000"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B33E">
    <w:pPr>
      <w:pStyle w:val="103"/>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6329">
    <w:pPr>
      <w:pStyle w:val="123"/>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4F50">
    <w:pPr>
      <w:pStyle w:val="101"/>
      <w:rPr>
        <w:rFonts w:hint="default" w:eastAsia="黑体"/>
        <w:lang w:val="en-US" w:eastAsia="zh-CN"/>
      </w:rPr>
    </w:pPr>
    <w:r>
      <w:t>T/</w:t>
    </w:r>
    <w:r>
      <w:rPr>
        <w:rFonts w:hint="eastAsia"/>
      </w:rPr>
      <w:t>CMEAS</w:t>
    </w:r>
    <w:r>
      <w:t xml:space="preserve"> </w:t>
    </w:r>
    <w:r>
      <w:rPr>
        <w:rFonts w:hint="eastAsia"/>
        <w:lang w:val="en-US" w:eastAsia="zh-CN"/>
      </w:rPr>
      <w:t>XXX</w:t>
    </w:r>
    <w:r>
      <w:rPr>
        <w:rFonts w:hint="eastAsia"/>
      </w:rPr>
      <w:t>-</w:t>
    </w:r>
    <w:r>
      <w:rPr>
        <w:rFonts w:hint="eastAsia"/>
        <w:lang w:val="en-US" w:eastAsia="zh-CN"/>
      </w:rPr>
      <w:t>XXXX</w:t>
    </w:r>
  </w:p>
  <w:p w14:paraId="569AFED3">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26DCB">
    <w:pPr>
      <w:pStyle w:val="102"/>
      <w:rPr>
        <w:rFonts w:hint="default" w:eastAsia="黑体"/>
        <w:lang w:val="en-US" w:eastAsia="zh-CN"/>
      </w:rPr>
    </w:pPr>
    <w:r>
      <w:t>T/</w:t>
    </w:r>
    <w:r>
      <w:rPr>
        <w:rFonts w:hint="eastAsia"/>
      </w:rPr>
      <w:t>CMEAS</w:t>
    </w:r>
    <w:r>
      <w:t xml:space="preserve"> </w:t>
    </w:r>
    <w:r>
      <w:rPr>
        <w:rFonts w:hint="eastAsia"/>
        <w:lang w:val="en-US" w:eastAsia="zh-CN"/>
      </w:rPr>
      <w:t>XXX</w:t>
    </w:r>
    <w:r>
      <w:rPr>
        <w:rFonts w:hint="eastAsia"/>
      </w:rPr>
      <w:t>-</w:t>
    </w:r>
    <w:r>
      <w:rPr>
        <w:rFonts w:hint="eastAsia"/>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64"/>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79"/>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9"/>
      <w:suff w:val="nothing"/>
      <w:lvlText w:val="%1——"/>
      <w:lvlJc w:val="left"/>
      <w:pPr>
        <w:ind w:left="833" w:hanging="408"/>
      </w:pPr>
      <w:rPr>
        <w:rFonts w:hint="eastAsia"/>
      </w:rPr>
    </w:lvl>
    <w:lvl w:ilvl="1" w:tentative="0">
      <w:start w:val="1"/>
      <w:numFmt w:val="bullet"/>
      <w:pStyle w:val="121"/>
      <w:lvlText w:val=""/>
      <w:lvlJc w:val="left"/>
      <w:pPr>
        <w:tabs>
          <w:tab w:val="left" w:pos="760"/>
        </w:tabs>
        <w:ind w:left="1264" w:hanging="413"/>
      </w:pPr>
      <w:rPr>
        <w:rFonts w:hint="default" w:ascii="Symbol" w:hAnsi="Symbol"/>
        <w:color w:val="auto"/>
      </w:rPr>
    </w:lvl>
    <w:lvl w:ilvl="2" w:tentative="0">
      <w:start w:val="1"/>
      <w:numFmt w:val="bullet"/>
      <w:pStyle w:val="11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0"/>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1B"/>
    <w:multiLevelType w:val="singleLevel"/>
    <w:tmpl w:val="5EC6261B"/>
    <w:lvl w:ilvl="0" w:tentative="0">
      <w:start w:val="1"/>
      <w:numFmt w:val="decimal"/>
      <w:pStyle w:val="99"/>
      <w:suff w:val="nothing"/>
      <w:lvlText w:val="[%1] "/>
      <w:lvlJc w:val="left"/>
      <w:pPr>
        <w:tabs>
          <w:tab w:val="left" w:pos="0"/>
        </w:tabs>
        <w:ind w:left="0" w:firstLine="420"/>
      </w:pPr>
      <w:rPr>
        <w:rFonts w:hint="default" w:ascii="宋体" w:hAnsi="宋体" w:eastAsia="黑体-简" w:cs="宋体"/>
      </w:rPr>
    </w:lvl>
  </w:abstractNum>
  <w:abstractNum w:abstractNumId="12">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1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6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1"/>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11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11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76"/>
      <w:lvlText w:val="%1)"/>
      <w:lvlJc w:val="left"/>
      <w:pPr>
        <w:tabs>
          <w:tab w:val="left" w:pos="839"/>
        </w:tabs>
        <w:ind w:left="839" w:hanging="419"/>
      </w:pPr>
      <w:rPr>
        <w:rFonts w:hint="eastAsia" w:ascii="宋体" w:eastAsia="宋体"/>
        <w:b w:val="0"/>
        <w:i w:val="0"/>
        <w:sz w:val="21"/>
      </w:rPr>
    </w:lvl>
    <w:lvl w:ilvl="1" w:tentative="0">
      <w:start w:val="1"/>
      <w:numFmt w:val="decimal"/>
      <w:pStyle w:val="8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4"/>
  </w:num>
  <w:num w:numId="5">
    <w:abstractNumId w:val="3"/>
  </w:num>
  <w:num w:numId="6">
    <w:abstractNumId w:val="17"/>
  </w:num>
  <w:num w:numId="7">
    <w:abstractNumId w:val="15"/>
  </w:num>
  <w:num w:numId="8">
    <w:abstractNumId w:val="5"/>
  </w:num>
  <w:num w:numId="9">
    <w:abstractNumId w:val="12"/>
  </w:num>
  <w:num w:numId="10">
    <w:abstractNumId w:val="11"/>
  </w:num>
  <w:num w:numId="11">
    <w:abstractNumId w:val="9"/>
  </w:num>
  <w:num w:numId="12">
    <w:abstractNumId w:val="0"/>
  </w:num>
  <w:num w:numId="13">
    <w:abstractNumId w:val="4"/>
  </w:num>
  <w:num w:numId="14">
    <w:abstractNumId w:val="1"/>
  </w:num>
  <w:num w:numId="15">
    <w:abstractNumId w:val="16"/>
  </w:num>
  <w:num w:numId="16">
    <w:abstractNumId w:val="6"/>
  </w:num>
  <w:num w:numId="17">
    <w:abstractNumId w:val="13"/>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5ED4"/>
    <w:rsid w:val="000074D4"/>
    <w:rsid w:val="00011E1F"/>
    <w:rsid w:val="00013D86"/>
    <w:rsid w:val="00013E02"/>
    <w:rsid w:val="000140BE"/>
    <w:rsid w:val="00015CCD"/>
    <w:rsid w:val="00016EAA"/>
    <w:rsid w:val="0001793B"/>
    <w:rsid w:val="00017D48"/>
    <w:rsid w:val="0002143C"/>
    <w:rsid w:val="000220B5"/>
    <w:rsid w:val="00023599"/>
    <w:rsid w:val="00025A65"/>
    <w:rsid w:val="00026C31"/>
    <w:rsid w:val="00027280"/>
    <w:rsid w:val="000308AA"/>
    <w:rsid w:val="000320A7"/>
    <w:rsid w:val="000325EA"/>
    <w:rsid w:val="00034D0F"/>
    <w:rsid w:val="00035925"/>
    <w:rsid w:val="00036C2C"/>
    <w:rsid w:val="00036DB8"/>
    <w:rsid w:val="000371E9"/>
    <w:rsid w:val="0004073B"/>
    <w:rsid w:val="00045A7C"/>
    <w:rsid w:val="00047438"/>
    <w:rsid w:val="00055371"/>
    <w:rsid w:val="00056A24"/>
    <w:rsid w:val="00057CE5"/>
    <w:rsid w:val="000607A3"/>
    <w:rsid w:val="00060CFE"/>
    <w:rsid w:val="000657F7"/>
    <w:rsid w:val="000660F2"/>
    <w:rsid w:val="00067CDF"/>
    <w:rsid w:val="00074FBE"/>
    <w:rsid w:val="000751DF"/>
    <w:rsid w:val="000766AF"/>
    <w:rsid w:val="0007762A"/>
    <w:rsid w:val="00081F6E"/>
    <w:rsid w:val="000833DE"/>
    <w:rsid w:val="00083A09"/>
    <w:rsid w:val="00084B05"/>
    <w:rsid w:val="0009005E"/>
    <w:rsid w:val="000918A9"/>
    <w:rsid w:val="00092001"/>
    <w:rsid w:val="00092618"/>
    <w:rsid w:val="00092857"/>
    <w:rsid w:val="00092BD8"/>
    <w:rsid w:val="00095D72"/>
    <w:rsid w:val="000964C7"/>
    <w:rsid w:val="000979D9"/>
    <w:rsid w:val="000A20A9"/>
    <w:rsid w:val="000A48B1"/>
    <w:rsid w:val="000B2F0E"/>
    <w:rsid w:val="000B3143"/>
    <w:rsid w:val="000B405D"/>
    <w:rsid w:val="000C1DEE"/>
    <w:rsid w:val="000C2BE6"/>
    <w:rsid w:val="000C61A9"/>
    <w:rsid w:val="000C6B05"/>
    <w:rsid w:val="000C6DD6"/>
    <w:rsid w:val="000C73D4"/>
    <w:rsid w:val="000D2C5E"/>
    <w:rsid w:val="000D3D34"/>
    <w:rsid w:val="000D3D4C"/>
    <w:rsid w:val="000D4F51"/>
    <w:rsid w:val="000D718B"/>
    <w:rsid w:val="000E0C46"/>
    <w:rsid w:val="000E15EE"/>
    <w:rsid w:val="000E28DF"/>
    <w:rsid w:val="000E2AE2"/>
    <w:rsid w:val="000E2C7B"/>
    <w:rsid w:val="000F030C"/>
    <w:rsid w:val="000F129C"/>
    <w:rsid w:val="000F174F"/>
    <w:rsid w:val="000F78F3"/>
    <w:rsid w:val="00101F63"/>
    <w:rsid w:val="00104E29"/>
    <w:rsid w:val="001056DE"/>
    <w:rsid w:val="0010799F"/>
    <w:rsid w:val="00110149"/>
    <w:rsid w:val="001112FE"/>
    <w:rsid w:val="00112079"/>
    <w:rsid w:val="001124C0"/>
    <w:rsid w:val="00113D51"/>
    <w:rsid w:val="0011415E"/>
    <w:rsid w:val="001149CD"/>
    <w:rsid w:val="00117A25"/>
    <w:rsid w:val="00121293"/>
    <w:rsid w:val="00121C32"/>
    <w:rsid w:val="00123014"/>
    <w:rsid w:val="00123F62"/>
    <w:rsid w:val="0013175F"/>
    <w:rsid w:val="00132389"/>
    <w:rsid w:val="0013364D"/>
    <w:rsid w:val="001343BB"/>
    <w:rsid w:val="00135692"/>
    <w:rsid w:val="00135882"/>
    <w:rsid w:val="001416A9"/>
    <w:rsid w:val="00144518"/>
    <w:rsid w:val="001512B4"/>
    <w:rsid w:val="00151C39"/>
    <w:rsid w:val="00153A26"/>
    <w:rsid w:val="00154854"/>
    <w:rsid w:val="001620A5"/>
    <w:rsid w:val="00164E53"/>
    <w:rsid w:val="00164E5A"/>
    <w:rsid w:val="00165D35"/>
    <w:rsid w:val="0016699D"/>
    <w:rsid w:val="001670D9"/>
    <w:rsid w:val="00167A2E"/>
    <w:rsid w:val="00175159"/>
    <w:rsid w:val="00175AD7"/>
    <w:rsid w:val="00176208"/>
    <w:rsid w:val="0017780C"/>
    <w:rsid w:val="00181307"/>
    <w:rsid w:val="001813B2"/>
    <w:rsid w:val="0018211B"/>
    <w:rsid w:val="00183FE1"/>
    <w:rsid w:val="001840D3"/>
    <w:rsid w:val="00184782"/>
    <w:rsid w:val="001849C7"/>
    <w:rsid w:val="00187A8A"/>
    <w:rsid w:val="001900F8"/>
    <w:rsid w:val="00191258"/>
    <w:rsid w:val="00192680"/>
    <w:rsid w:val="00193037"/>
    <w:rsid w:val="00193375"/>
    <w:rsid w:val="00193A2C"/>
    <w:rsid w:val="001A2630"/>
    <w:rsid w:val="001A288E"/>
    <w:rsid w:val="001A65D9"/>
    <w:rsid w:val="001B037E"/>
    <w:rsid w:val="001B0425"/>
    <w:rsid w:val="001B36ED"/>
    <w:rsid w:val="001B4153"/>
    <w:rsid w:val="001B6DC2"/>
    <w:rsid w:val="001B754B"/>
    <w:rsid w:val="001C149C"/>
    <w:rsid w:val="001C21AC"/>
    <w:rsid w:val="001C3689"/>
    <w:rsid w:val="001C47BA"/>
    <w:rsid w:val="001C59EA"/>
    <w:rsid w:val="001D04A2"/>
    <w:rsid w:val="001D1B7D"/>
    <w:rsid w:val="001D3556"/>
    <w:rsid w:val="001D406C"/>
    <w:rsid w:val="001D41EE"/>
    <w:rsid w:val="001D4BEB"/>
    <w:rsid w:val="001D67BA"/>
    <w:rsid w:val="001D71E6"/>
    <w:rsid w:val="001E0380"/>
    <w:rsid w:val="001E0B1B"/>
    <w:rsid w:val="001E0EF2"/>
    <w:rsid w:val="001E125C"/>
    <w:rsid w:val="001E13B1"/>
    <w:rsid w:val="001E2153"/>
    <w:rsid w:val="001E717D"/>
    <w:rsid w:val="001F0B1B"/>
    <w:rsid w:val="001F3A19"/>
    <w:rsid w:val="001F61DC"/>
    <w:rsid w:val="001F713B"/>
    <w:rsid w:val="002009E4"/>
    <w:rsid w:val="00201053"/>
    <w:rsid w:val="0020251B"/>
    <w:rsid w:val="00204459"/>
    <w:rsid w:val="002073D3"/>
    <w:rsid w:val="002112F7"/>
    <w:rsid w:val="002138B7"/>
    <w:rsid w:val="002156CC"/>
    <w:rsid w:val="00215D48"/>
    <w:rsid w:val="0021624B"/>
    <w:rsid w:val="0021683C"/>
    <w:rsid w:val="0022185E"/>
    <w:rsid w:val="00221A0F"/>
    <w:rsid w:val="00223567"/>
    <w:rsid w:val="00225381"/>
    <w:rsid w:val="00227FED"/>
    <w:rsid w:val="0023030A"/>
    <w:rsid w:val="00230F08"/>
    <w:rsid w:val="00233053"/>
    <w:rsid w:val="00234467"/>
    <w:rsid w:val="00235BE6"/>
    <w:rsid w:val="002376BF"/>
    <w:rsid w:val="00237D8D"/>
    <w:rsid w:val="00241DA2"/>
    <w:rsid w:val="002446B5"/>
    <w:rsid w:val="00247FEE"/>
    <w:rsid w:val="0025012D"/>
    <w:rsid w:val="00250E7D"/>
    <w:rsid w:val="002523DB"/>
    <w:rsid w:val="002527DD"/>
    <w:rsid w:val="00252DAA"/>
    <w:rsid w:val="002553F9"/>
    <w:rsid w:val="002565D5"/>
    <w:rsid w:val="002622C0"/>
    <w:rsid w:val="002708B3"/>
    <w:rsid w:val="00274E90"/>
    <w:rsid w:val="00277751"/>
    <w:rsid w:val="002778AE"/>
    <w:rsid w:val="0028269A"/>
    <w:rsid w:val="00282A73"/>
    <w:rsid w:val="00283590"/>
    <w:rsid w:val="00286973"/>
    <w:rsid w:val="00287674"/>
    <w:rsid w:val="002938A4"/>
    <w:rsid w:val="00294E70"/>
    <w:rsid w:val="002954B8"/>
    <w:rsid w:val="002967B2"/>
    <w:rsid w:val="002A0B97"/>
    <w:rsid w:val="002A1924"/>
    <w:rsid w:val="002A1C7F"/>
    <w:rsid w:val="002A359D"/>
    <w:rsid w:val="002A6C5A"/>
    <w:rsid w:val="002A7420"/>
    <w:rsid w:val="002A7A7E"/>
    <w:rsid w:val="002B0F12"/>
    <w:rsid w:val="002B1308"/>
    <w:rsid w:val="002B4554"/>
    <w:rsid w:val="002B4E08"/>
    <w:rsid w:val="002B707C"/>
    <w:rsid w:val="002C5F52"/>
    <w:rsid w:val="002C72D8"/>
    <w:rsid w:val="002C7758"/>
    <w:rsid w:val="002D0B01"/>
    <w:rsid w:val="002D11FA"/>
    <w:rsid w:val="002D17BC"/>
    <w:rsid w:val="002D19A4"/>
    <w:rsid w:val="002D6352"/>
    <w:rsid w:val="002E0CA2"/>
    <w:rsid w:val="002E0DDF"/>
    <w:rsid w:val="002E2906"/>
    <w:rsid w:val="002E5635"/>
    <w:rsid w:val="002E64C3"/>
    <w:rsid w:val="002E6A2C"/>
    <w:rsid w:val="002E6A6E"/>
    <w:rsid w:val="002F035E"/>
    <w:rsid w:val="002F0FE8"/>
    <w:rsid w:val="002F1D8C"/>
    <w:rsid w:val="002F21DA"/>
    <w:rsid w:val="002F34B8"/>
    <w:rsid w:val="00300D74"/>
    <w:rsid w:val="003015A9"/>
    <w:rsid w:val="00301F39"/>
    <w:rsid w:val="00303D27"/>
    <w:rsid w:val="00305BEE"/>
    <w:rsid w:val="0030665B"/>
    <w:rsid w:val="00312E70"/>
    <w:rsid w:val="00313962"/>
    <w:rsid w:val="003234E0"/>
    <w:rsid w:val="00325926"/>
    <w:rsid w:val="00326914"/>
    <w:rsid w:val="00327A8A"/>
    <w:rsid w:val="00331B41"/>
    <w:rsid w:val="00331FCF"/>
    <w:rsid w:val="003339A3"/>
    <w:rsid w:val="00336610"/>
    <w:rsid w:val="00341F5C"/>
    <w:rsid w:val="00343D23"/>
    <w:rsid w:val="00343F73"/>
    <w:rsid w:val="00345060"/>
    <w:rsid w:val="003451FB"/>
    <w:rsid w:val="00352629"/>
    <w:rsid w:val="0035323B"/>
    <w:rsid w:val="00353D19"/>
    <w:rsid w:val="00355061"/>
    <w:rsid w:val="0035785A"/>
    <w:rsid w:val="003609D2"/>
    <w:rsid w:val="003612AF"/>
    <w:rsid w:val="00363F22"/>
    <w:rsid w:val="00364940"/>
    <w:rsid w:val="00366842"/>
    <w:rsid w:val="00367753"/>
    <w:rsid w:val="003751F8"/>
    <w:rsid w:val="00375564"/>
    <w:rsid w:val="00375B9E"/>
    <w:rsid w:val="00376489"/>
    <w:rsid w:val="00383191"/>
    <w:rsid w:val="00386DED"/>
    <w:rsid w:val="003901A5"/>
    <w:rsid w:val="003912E7"/>
    <w:rsid w:val="00393947"/>
    <w:rsid w:val="00394BEE"/>
    <w:rsid w:val="00395141"/>
    <w:rsid w:val="00395B24"/>
    <w:rsid w:val="00397F77"/>
    <w:rsid w:val="003A0E27"/>
    <w:rsid w:val="003A2275"/>
    <w:rsid w:val="003A34E0"/>
    <w:rsid w:val="003A557D"/>
    <w:rsid w:val="003A6A4F"/>
    <w:rsid w:val="003A7088"/>
    <w:rsid w:val="003B00DF"/>
    <w:rsid w:val="003B1275"/>
    <w:rsid w:val="003B1778"/>
    <w:rsid w:val="003B3F78"/>
    <w:rsid w:val="003B5293"/>
    <w:rsid w:val="003C11CB"/>
    <w:rsid w:val="003C1DA1"/>
    <w:rsid w:val="003C2AD5"/>
    <w:rsid w:val="003C3017"/>
    <w:rsid w:val="003C5294"/>
    <w:rsid w:val="003C6A77"/>
    <w:rsid w:val="003C75F3"/>
    <w:rsid w:val="003C78A3"/>
    <w:rsid w:val="003D2C7C"/>
    <w:rsid w:val="003D36AB"/>
    <w:rsid w:val="003D4AD9"/>
    <w:rsid w:val="003D7FEA"/>
    <w:rsid w:val="003E1867"/>
    <w:rsid w:val="003E3B27"/>
    <w:rsid w:val="003E50D9"/>
    <w:rsid w:val="003E5729"/>
    <w:rsid w:val="003E724E"/>
    <w:rsid w:val="003F1110"/>
    <w:rsid w:val="003F1D40"/>
    <w:rsid w:val="003F22BB"/>
    <w:rsid w:val="003F2A5B"/>
    <w:rsid w:val="003F4EE0"/>
    <w:rsid w:val="003F5559"/>
    <w:rsid w:val="00400473"/>
    <w:rsid w:val="00402153"/>
    <w:rsid w:val="00402E26"/>
    <w:rsid w:val="00402FC1"/>
    <w:rsid w:val="00404178"/>
    <w:rsid w:val="00404DA0"/>
    <w:rsid w:val="00405EF3"/>
    <w:rsid w:val="00406BA8"/>
    <w:rsid w:val="004103F7"/>
    <w:rsid w:val="004200D9"/>
    <w:rsid w:val="00425082"/>
    <w:rsid w:val="00431DEB"/>
    <w:rsid w:val="0043623A"/>
    <w:rsid w:val="00441199"/>
    <w:rsid w:val="004411CF"/>
    <w:rsid w:val="00441B18"/>
    <w:rsid w:val="0044259D"/>
    <w:rsid w:val="0044336E"/>
    <w:rsid w:val="004439D9"/>
    <w:rsid w:val="00446B29"/>
    <w:rsid w:val="004524BE"/>
    <w:rsid w:val="00453F9A"/>
    <w:rsid w:val="00454CC3"/>
    <w:rsid w:val="0045710E"/>
    <w:rsid w:val="00464903"/>
    <w:rsid w:val="00466025"/>
    <w:rsid w:val="00471493"/>
    <w:rsid w:val="00471E91"/>
    <w:rsid w:val="004722F9"/>
    <w:rsid w:val="00474079"/>
    <w:rsid w:val="00474675"/>
    <w:rsid w:val="0047470C"/>
    <w:rsid w:val="0047589D"/>
    <w:rsid w:val="00482206"/>
    <w:rsid w:val="00484C88"/>
    <w:rsid w:val="004A203E"/>
    <w:rsid w:val="004A35F9"/>
    <w:rsid w:val="004A4662"/>
    <w:rsid w:val="004A7E02"/>
    <w:rsid w:val="004B157A"/>
    <w:rsid w:val="004B24C1"/>
    <w:rsid w:val="004B260C"/>
    <w:rsid w:val="004B3092"/>
    <w:rsid w:val="004B49B1"/>
    <w:rsid w:val="004B557C"/>
    <w:rsid w:val="004B68DD"/>
    <w:rsid w:val="004C292F"/>
    <w:rsid w:val="004C657F"/>
    <w:rsid w:val="004D01EF"/>
    <w:rsid w:val="004D306F"/>
    <w:rsid w:val="004D4B02"/>
    <w:rsid w:val="004D4F76"/>
    <w:rsid w:val="004E1801"/>
    <w:rsid w:val="004E4B13"/>
    <w:rsid w:val="004E4B8C"/>
    <w:rsid w:val="004E5A47"/>
    <w:rsid w:val="004F7C38"/>
    <w:rsid w:val="005036E2"/>
    <w:rsid w:val="0050527A"/>
    <w:rsid w:val="00506033"/>
    <w:rsid w:val="00507C7F"/>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2FF6"/>
    <w:rsid w:val="00543786"/>
    <w:rsid w:val="00545972"/>
    <w:rsid w:val="00545A49"/>
    <w:rsid w:val="005463CC"/>
    <w:rsid w:val="00546D0D"/>
    <w:rsid w:val="005503CD"/>
    <w:rsid w:val="0055153A"/>
    <w:rsid w:val="00552E9C"/>
    <w:rsid w:val="005533D7"/>
    <w:rsid w:val="00554B63"/>
    <w:rsid w:val="00556255"/>
    <w:rsid w:val="00562CF6"/>
    <w:rsid w:val="0056544B"/>
    <w:rsid w:val="00565F7F"/>
    <w:rsid w:val="00567177"/>
    <w:rsid w:val="005703DE"/>
    <w:rsid w:val="005710BC"/>
    <w:rsid w:val="005755F1"/>
    <w:rsid w:val="00582BBE"/>
    <w:rsid w:val="0058464E"/>
    <w:rsid w:val="0058650E"/>
    <w:rsid w:val="005A01CB"/>
    <w:rsid w:val="005A19A9"/>
    <w:rsid w:val="005A297B"/>
    <w:rsid w:val="005A49E8"/>
    <w:rsid w:val="005A58FF"/>
    <w:rsid w:val="005A5EAF"/>
    <w:rsid w:val="005A6491"/>
    <w:rsid w:val="005A64C0"/>
    <w:rsid w:val="005B1985"/>
    <w:rsid w:val="005B3C11"/>
    <w:rsid w:val="005C147D"/>
    <w:rsid w:val="005C1C28"/>
    <w:rsid w:val="005C43D0"/>
    <w:rsid w:val="005C6DB5"/>
    <w:rsid w:val="005D3842"/>
    <w:rsid w:val="005D3AEB"/>
    <w:rsid w:val="005E19E7"/>
    <w:rsid w:val="005E2392"/>
    <w:rsid w:val="005E46D2"/>
    <w:rsid w:val="005E4B5F"/>
    <w:rsid w:val="005F5450"/>
    <w:rsid w:val="00601622"/>
    <w:rsid w:val="0060721F"/>
    <w:rsid w:val="006076F8"/>
    <w:rsid w:val="0060789B"/>
    <w:rsid w:val="0061037E"/>
    <w:rsid w:val="00610459"/>
    <w:rsid w:val="00613FAA"/>
    <w:rsid w:val="00616C36"/>
    <w:rsid w:val="0061716C"/>
    <w:rsid w:val="006171AF"/>
    <w:rsid w:val="00617868"/>
    <w:rsid w:val="006243A1"/>
    <w:rsid w:val="00625E61"/>
    <w:rsid w:val="00626005"/>
    <w:rsid w:val="00632E56"/>
    <w:rsid w:val="00635CBA"/>
    <w:rsid w:val="00636EFC"/>
    <w:rsid w:val="0064338B"/>
    <w:rsid w:val="0064401A"/>
    <w:rsid w:val="00646542"/>
    <w:rsid w:val="006504F4"/>
    <w:rsid w:val="00651E1E"/>
    <w:rsid w:val="0065366F"/>
    <w:rsid w:val="00654B7D"/>
    <w:rsid w:val="00654BC9"/>
    <w:rsid w:val="006552FD"/>
    <w:rsid w:val="00656F0B"/>
    <w:rsid w:val="00663733"/>
    <w:rsid w:val="00663AF3"/>
    <w:rsid w:val="00666B6C"/>
    <w:rsid w:val="00667781"/>
    <w:rsid w:val="006774A0"/>
    <w:rsid w:val="00677B54"/>
    <w:rsid w:val="00682682"/>
    <w:rsid w:val="00682702"/>
    <w:rsid w:val="00687E89"/>
    <w:rsid w:val="00690A44"/>
    <w:rsid w:val="00692368"/>
    <w:rsid w:val="00695192"/>
    <w:rsid w:val="006A2EBC"/>
    <w:rsid w:val="006A486E"/>
    <w:rsid w:val="006A5927"/>
    <w:rsid w:val="006A5EA0"/>
    <w:rsid w:val="006A783B"/>
    <w:rsid w:val="006A7B33"/>
    <w:rsid w:val="006B16F2"/>
    <w:rsid w:val="006B497F"/>
    <w:rsid w:val="006B4E13"/>
    <w:rsid w:val="006B61FD"/>
    <w:rsid w:val="006B75DD"/>
    <w:rsid w:val="006C047C"/>
    <w:rsid w:val="006C3D8B"/>
    <w:rsid w:val="006C3EEF"/>
    <w:rsid w:val="006C529C"/>
    <w:rsid w:val="006C67E0"/>
    <w:rsid w:val="006C711F"/>
    <w:rsid w:val="006C7ABA"/>
    <w:rsid w:val="006D0A13"/>
    <w:rsid w:val="006D0D60"/>
    <w:rsid w:val="006D1122"/>
    <w:rsid w:val="006D317E"/>
    <w:rsid w:val="006D3B1E"/>
    <w:rsid w:val="006D3C00"/>
    <w:rsid w:val="006D551E"/>
    <w:rsid w:val="006E06AD"/>
    <w:rsid w:val="006E3675"/>
    <w:rsid w:val="006E4A7F"/>
    <w:rsid w:val="006E4D7B"/>
    <w:rsid w:val="006E7812"/>
    <w:rsid w:val="006F0967"/>
    <w:rsid w:val="006F2274"/>
    <w:rsid w:val="006F64A0"/>
    <w:rsid w:val="0070038F"/>
    <w:rsid w:val="00700DB7"/>
    <w:rsid w:val="007027B1"/>
    <w:rsid w:val="0070286C"/>
    <w:rsid w:val="00704DF6"/>
    <w:rsid w:val="0070641D"/>
    <w:rsid w:val="0070651C"/>
    <w:rsid w:val="00710554"/>
    <w:rsid w:val="007132A3"/>
    <w:rsid w:val="00716421"/>
    <w:rsid w:val="00721419"/>
    <w:rsid w:val="00724EFB"/>
    <w:rsid w:val="00726575"/>
    <w:rsid w:val="00730310"/>
    <w:rsid w:val="00732087"/>
    <w:rsid w:val="00735923"/>
    <w:rsid w:val="00740A49"/>
    <w:rsid w:val="007419C3"/>
    <w:rsid w:val="00745430"/>
    <w:rsid w:val="00746559"/>
    <w:rsid w:val="007467A7"/>
    <w:rsid w:val="007469DD"/>
    <w:rsid w:val="007471E0"/>
    <w:rsid w:val="0074741B"/>
    <w:rsid w:val="0074759E"/>
    <w:rsid w:val="007478EA"/>
    <w:rsid w:val="00752832"/>
    <w:rsid w:val="0075415C"/>
    <w:rsid w:val="00757097"/>
    <w:rsid w:val="007606CB"/>
    <w:rsid w:val="00761E8B"/>
    <w:rsid w:val="00763502"/>
    <w:rsid w:val="00780DE2"/>
    <w:rsid w:val="00786573"/>
    <w:rsid w:val="007872F5"/>
    <w:rsid w:val="007913AB"/>
    <w:rsid w:val="007914F7"/>
    <w:rsid w:val="00792129"/>
    <w:rsid w:val="00795C73"/>
    <w:rsid w:val="007A172C"/>
    <w:rsid w:val="007A4809"/>
    <w:rsid w:val="007A5373"/>
    <w:rsid w:val="007B1625"/>
    <w:rsid w:val="007B337F"/>
    <w:rsid w:val="007B6D17"/>
    <w:rsid w:val="007B706E"/>
    <w:rsid w:val="007B71EB"/>
    <w:rsid w:val="007C0748"/>
    <w:rsid w:val="007C0C64"/>
    <w:rsid w:val="007C6205"/>
    <w:rsid w:val="007C686A"/>
    <w:rsid w:val="007C728E"/>
    <w:rsid w:val="007D0BE0"/>
    <w:rsid w:val="007D204F"/>
    <w:rsid w:val="007D2C53"/>
    <w:rsid w:val="007D3D60"/>
    <w:rsid w:val="007D679E"/>
    <w:rsid w:val="007E17AB"/>
    <w:rsid w:val="007E1980"/>
    <w:rsid w:val="007E4B76"/>
    <w:rsid w:val="007E5043"/>
    <w:rsid w:val="007E5EA8"/>
    <w:rsid w:val="007F0CF1"/>
    <w:rsid w:val="007F12A5"/>
    <w:rsid w:val="007F2D74"/>
    <w:rsid w:val="007F3FB7"/>
    <w:rsid w:val="007F4CF1"/>
    <w:rsid w:val="007F54F0"/>
    <w:rsid w:val="007F6F66"/>
    <w:rsid w:val="007F746C"/>
    <w:rsid w:val="007F758D"/>
    <w:rsid w:val="007F7D52"/>
    <w:rsid w:val="0080437E"/>
    <w:rsid w:val="0080484A"/>
    <w:rsid w:val="00804CD5"/>
    <w:rsid w:val="00805589"/>
    <w:rsid w:val="008057A5"/>
    <w:rsid w:val="00805E2F"/>
    <w:rsid w:val="0080654C"/>
    <w:rsid w:val="008071C6"/>
    <w:rsid w:val="008112D5"/>
    <w:rsid w:val="00811933"/>
    <w:rsid w:val="0081683B"/>
    <w:rsid w:val="00817A00"/>
    <w:rsid w:val="00820B95"/>
    <w:rsid w:val="00821F2A"/>
    <w:rsid w:val="00825891"/>
    <w:rsid w:val="00831631"/>
    <w:rsid w:val="0083228D"/>
    <w:rsid w:val="00833D07"/>
    <w:rsid w:val="00835DB3"/>
    <w:rsid w:val="0083617B"/>
    <w:rsid w:val="00836342"/>
    <w:rsid w:val="00836A2D"/>
    <w:rsid w:val="008371BD"/>
    <w:rsid w:val="00840473"/>
    <w:rsid w:val="00840EBF"/>
    <w:rsid w:val="008447D7"/>
    <w:rsid w:val="0084721E"/>
    <w:rsid w:val="008504A8"/>
    <w:rsid w:val="00851842"/>
    <w:rsid w:val="00851B58"/>
    <w:rsid w:val="0085282E"/>
    <w:rsid w:val="00857749"/>
    <w:rsid w:val="00862DFE"/>
    <w:rsid w:val="00870D28"/>
    <w:rsid w:val="0087198C"/>
    <w:rsid w:val="008729FD"/>
    <w:rsid w:val="00872C1F"/>
    <w:rsid w:val="00873B42"/>
    <w:rsid w:val="00876CE7"/>
    <w:rsid w:val="00877CB0"/>
    <w:rsid w:val="008805AC"/>
    <w:rsid w:val="00880D1A"/>
    <w:rsid w:val="00884468"/>
    <w:rsid w:val="008856D8"/>
    <w:rsid w:val="00892E82"/>
    <w:rsid w:val="00893277"/>
    <w:rsid w:val="00895FA9"/>
    <w:rsid w:val="008A1035"/>
    <w:rsid w:val="008A475A"/>
    <w:rsid w:val="008A6359"/>
    <w:rsid w:val="008A6C3A"/>
    <w:rsid w:val="008A6E08"/>
    <w:rsid w:val="008B79B1"/>
    <w:rsid w:val="008C0BE9"/>
    <w:rsid w:val="008C1B58"/>
    <w:rsid w:val="008C39AE"/>
    <w:rsid w:val="008C40DF"/>
    <w:rsid w:val="008C590D"/>
    <w:rsid w:val="008C741E"/>
    <w:rsid w:val="008C7B1E"/>
    <w:rsid w:val="008D1BF7"/>
    <w:rsid w:val="008D214E"/>
    <w:rsid w:val="008D447E"/>
    <w:rsid w:val="008D7566"/>
    <w:rsid w:val="008D7FE4"/>
    <w:rsid w:val="008E031B"/>
    <w:rsid w:val="008E048D"/>
    <w:rsid w:val="008E0560"/>
    <w:rsid w:val="008E2D8C"/>
    <w:rsid w:val="008E5AF5"/>
    <w:rsid w:val="008E681C"/>
    <w:rsid w:val="008E7029"/>
    <w:rsid w:val="008E7EF6"/>
    <w:rsid w:val="008F1F98"/>
    <w:rsid w:val="008F2340"/>
    <w:rsid w:val="008F2790"/>
    <w:rsid w:val="008F57E2"/>
    <w:rsid w:val="008F6758"/>
    <w:rsid w:val="0090111D"/>
    <w:rsid w:val="009040DD"/>
    <w:rsid w:val="00904733"/>
    <w:rsid w:val="00905B47"/>
    <w:rsid w:val="0090690F"/>
    <w:rsid w:val="00911391"/>
    <w:rsid w:val="0091331C"/>
    <w:rsid w:val="009137BD"/>
    <w:rsid w:val="0091503D"/>
    <w:rsid w:val="009259D3"/>
    <w:rsid w:val="00926315"/>
    <w:rsid w:val="00927632"/>
    <w:rsid w:val="009279DE"/>
    <w:rsid w:val="00927AB9"/>
    <w:rsid w:val="00927B37"/>
    <w:rsid w:val="00930116"/>
    <w:rsid w:val="00930625"/>
    <w:rsid w:val="00936030"/>
    <w:rsid w:val="00941082"/>
    <w:rsid w:val="0094212C"/>
    <w:rsid w:val="0094397F"/>
    <w:rsid w:val="00944853"/>
    <w:rsid w:val="0094609D"/>
    <w:rsid w:val="0095262D"/>
    <w:rsid w:val="0095378C"/>
    <w:rsid w:val="00954689"/>
    <w:rsid w:val="0095472A"/>
    <w:rsid w:val="009561A1"/>
    <w:rsid w:val="0096085A"/>
    <w:rsid w:val="009617C9"/>
    <w:rsid w:val="00961C93"/>
    <w:rsid w:val="00962B4E"/>
    <w:rsid w:val="00965324"/>
    <w:rsid w:val="0097091E"/>
    <w:rsid w:val="009760D3"/>
    <w:rsid w:val="00977132"/>
    <w:rsid w:val="00981A4B"/>
    <w:rsid w:val="009820E8"/>
    <w:rsid w:val="00982250"/>
    <w:rsid w:val="00982501"/>
    <w:rsid w:val="00983D33"/>
    <w:rsid w:val="0098404D"/>
    <w:rsid w:val="00984358"/>
    <w:rsid w:val="009848DC"/>
    <w:rsid w:val="009877D3"/>
    <w:rsid w:val="00994E8F"/>
    <w:rsid w:val="009951DC"/>
    <w:rsid w:val="009959BB"/>
    <w:rsid w:val="00997158"/>
    <w:rsid w:val="009A0827"/>
    <w:rsid w:val="009A3437"/>
    <w:rsid w:val="009A3A7C"/>
    <w:rsid w:val="009A5D33"/>
    <w:rsid w:val="009A62E6"/>
    <w:rsid w:val="009A7D84"/>
    <w:rsid w:val="009A7F98"/>
    <w:rsid w:val="009B2323"/>
    <w:rsid w:val="009B2ADB"/>
    <w:rsid w:val="009B603A"/>
    <w:rsid w:val="009C2D0E"/>
    <w:rsid w:val="009C3DAC"/>
    <w:rsid w:val="009C42E0"/>
    <w:rsid w:val="009D251A"/>
    <w:rsid w:val="009D3134"/>
    <w:rsid w:val="009D3230"/>
    <w:rsid w:val="009D5362"/>
    <w:rsid w:val="009E1415"/>
    <w:rsid w:val="009E604E"/>
    <w:rsid w:val="009E6116"/>
    <w:rsid w:val="009E7E25"/>
    <w:rsid w:val="009F4DDA"/>
    <w:rsid w:val="00A02E43"/>
    <w:rsid w:val="00A05368"/>
    <w:rsid w:val="00A065F9"/>
    <w:rsid w:val="00A07011"/>
    <w:rsid w:val="00A07F34"/>
    <w:rsid w:val="00A1292F"/>
    <w:rsid w:val="00A21142"/>
    <w:rsid w:val="00A22154"/>
    <w:rsid w:val="00A24058"/>
    <w:rsid w:val="00A25C38"/>
    <w:rsid w:val="00A30419"/>
    <w:rsid w:val="00A31156"/>
    <w:rsid w:val="00A314C4"/>
    <w:rsid w:val="00A31733"/>
    <w:rsid w:val="00A35824"/>
    <w:rsid w:val="00A36BBE"/>
    <w:rsid w:val="00A37C20"/>
    <w:rsid w:val="00A40D9E"/>
    <w:rsid w:val="00A41A7B"/>
    <w:rsid w:val="00A41DF7"/>
    <w:rsid w:val="00A420B1"/>
    <w:rsid w:val="00A42ECA"/>
    <w:rsid w:val="00A4307A"/>
    <w:rsid w:val="00A46DEF"/>
    <w:rsid w:val="00A47EBB"/>
    <w:rsid w:val="00A51CDD"/>
    <w:rsid w:val="00A563F8"/>
    <w:rsid w:val="00A564D5"/>
    <w:rsid w:val="00A56BBA"/>
    <w:rsid w:val="00A61548"/>
    <w:rsid w:val="00A61D81"/>
    <w:rsid w:val="00A6497D"/>
    <w:rsid w:val="00A6730D"/>
    <w:rsid w:val="00A712AD"/>
    <w:rsid w:val="00A71625"/>
    <w:rsid w:val="00A71B9B"/>
    <w:rsid w:val="00A72C4F"/>
    <w:rsid w:val="00A751C7"/>
    <w:rsid w:val="00A80008"/>
    <w:rsid w:val="00A84CE5"/>
    <w:rsid w:val="00A87700"/>
    <w:rsid w:val="00A87844"/>
    <w:rsid w:val="00A9227B"/>
    <w:rsid w:val="00A95BBD"/>
    <w:rsid w:val="00A97A55"/>
    <w:rsid w:val="00AA038C"/>
    <w:rsid w:val="00AA135E"/>
    <w:rsid w:val="00AA32A4"/>
    <w:rsid w:val="00AA7A09"/>
    <w:rsid w:val="00AB3B50"/>
    <w:rsid w:val="00AC05B1"/>
    <w:rsid w:val="00AC450C"/>
    <w:rsid w:val="00AC5BD1"/>
    <w:rsid w:val="00AC665A"/>
    <w:rsid w:val="00AC7068"/>
    <w:rsid w:val="00AD008F"/>
    <w:rsid w:val="00AD340B"/>
    <w:rsid w:val="00AD356C"/>
    <w:rsid w:val="00AD4E32"/>
    <w:rsid w:val="00AE2914"/>
    <w:rsid w:val="00AE3EAB"/>
    <w:rsid w:val="00AE6D15"/>
    <w:rsid w:val="00AE7023"/>
    <w:rsid w:val="00AE78AA"/>
    <w:rsid w:val="00AF0EF3"/>
    <w:rsid w:val="00AF1F49"/>
    <w:rsid w:val="00AF2D81"/>
    <w:rsid w:val="00B00ECB"/>
    <w:rsid w:val="00B033EA"/>
    <w:rsid w:val="00B04182"/>
    <w:rsid w:val="00B05ECF"/>
    <w:rsid w:val="00B06E31"/>
    <w:rsid w:val="00B07AE3"/>
    <w:rsid w:val="00B11430"/>
    <w:rsid w:val="00B124C5"/>
    <w:rsid w:val="00B12838"/>
    <w:rsid w:val="00B12A5D"/>
    <w:rsid w:val="00B159C9"/>
    <w:rsid w:val="00B21364"/>
    <w:rsid w:val="00B2149E"/>
    <w:rsid w:val="00B242F4"/>
    <w:rsid w:val="00B2477A"/>
    <w:rsid w:val="00B24D1C"/>
    <w:rsid w:val="00B30072"/>
    <w:rsid w:val="00B30481"/>
    <w:rsid w:val="00B3312F"/>
    <w:rsid w:val="00B353EB"/>
    <w:rsid w:val="00B4016F"/>
    <w:rsid w:val="00B407AC"/>
    <w:rsid w:val="00B439C4"/>
    <w:rsid w:val="00B4535E"/>
    <w:rsid w:val="00B5292F"/>
    <w:rsid w:val="00B52A8C"/>
    <w:rsid w:val="00B53279"/>
    <w:rsid w:val="00B54707"/>
    <w:rsid w:val="00B56155"/>
    <w:rsid w:val="00B62F11"/>
    <w:rsid w:val="00B63042"/>
    <w:rsid w:val="00B636A8"/>
    <w:rsid w:val="00B665C6"/>
    <w:rsid w:val="00B72AD8"/>
    <w:rsid w:val="00B74441"/>
    <w:rsid w:val="00B758A5"/>
    <w:rsid w:val="00B805AF"/>
    <w:rsid w:val="00B82BD5"/>
    <w:rsid w:val="00B869EC"/>
    <w:rsid w:val="00B90B7D"/>
    <w:rsid w:val="00B92383"/>
    <w:rsid w:val="00B9389A"/>
    <w:rsid w:val="00B9397A"/>
    <w:rsid w:val="00B95991"/>
    <w:rsid w:val="00B9633D"/>
    <w:rsid w:val="00B967D5"/>
    <w:rsid w:val="00B96D97"/>
    <w:rsid w:val="00BA0DAC"/>
    <w:rsid w:val="00BA2EBE"/>
    <w:rsid w:val="00BB0B49"/>
    <w:rsid w:val="00BB0E2B"/>
    <w:rsid w:val="00BB0F28"/>
    <w:rsid w:val="00BB458A"/>
    <w:rsid w:val="00BB693F"/>
    <w:rsid w:val="00BB6C11"/>
    <w:rsid w:val="00BC381B"/>
    <w:rsid w:val="00BC5953"/>
    <w:rsid w:val="00BD00D3"/>
    <w:rsid w:val="00BD1659"/>
    <w:rsid w:val="00BD3AA9"/>
    <w:rsid w:val="00BD4A18"/>
    <w:rsid w:val="00BD6DB2"/>
    <w:rsid w:val="00BD716A"/>
    <w:rsid w:val="00BD73A1"/>
    <w:rsid w:val="00BE11CF"/>
    <w:rsid w:val="00BE21AB"/>
    <w:rsid w:val="00BE28F6"/>
    <w:rsid w:val="00BE55CB"/>
    <w:rsid w:val="00BE7067"/>
    <w:rsid w:val="00BF3BB2"/>
    <w:rsid w:val="00BF476E"/>
    <w:rsid w:val="00BF617A"/>
    <w:rsid w:val="00C0379D"/>
    <w:rsid w:val="00C03931"/>
    <w:rsid w:val="00C04C4E"/>
    <w:rsid w:val="00C05FE3"/>
    <w:rsid w:val="00C11DA9"/>
    <w:rsid w:val="00C171BD"/>
    <w:rsid w:val="00C2013D"/>
    <w:rsid w:val="00C2136D"/>
    <w:rsid w:val="00C214EE"/>
    <w:rsid w:val="00C22875"/>
    <w:rsid w:val="00C2314B"/>
    <w:rsid w:val="00C244A0"/>
    <w:rsid w:val="00C24971"/>
    <w:rsid w:val="00C24E38"/>
    <w:rsid w:val="00C25355"/>
    <w:rsid w:val="00C26BE5"/>
    <w:rsid w:val="00C26E4D"/>
    <w:rsid w:val="00C2784D"/>
    <w:rsid w:val="00C27909"/>
    <w:rsid w:val="00C27B03"/>
    <w:rsid w:val="00C314E1"/>
    <w:rsid w:val="00C31702"/>
    <w:rsid w:val="00C32B55"/>
    <w:rsid w:val="00C34397"/>
    <w:rsid w:val="00C40503"/>
    <w:rsid w:val="00C4095D"/>
    <w:rsid w:val="00C4114A"/>
    <w:rsid w:val="00C42A29"/>
    <w:rsid w:val="00C42BCA"/>
    <w:rsid w:val="00C46762"/>
    <w:rsid w:val="00C47989"/>
    <w:rsid w:val="00C5068E"/>
    <w:rsid w:val="00C51085"/>
    <w:rsid w:val="00C51E92"/>
    <w:rsid w:val="00C55BDB"/>
    <w:rsid w:val="00C57A9C"/>
    <w:rsid w:val="00C601D2"/>
    <w:rsid w:val="00C65BCC"/>
    <w:rsid w:val="00C66970"/>
    <w:rsid w:val="00C71F4D"/>
    <w:rsid w:val="00C811A1"/>
    <w:rsid w:val="00C8691C"/>
    <w:rsid w:val="00C86CB4"/>
    <w:rsid w:val="00C87732"/>
    <w:rsid w:val="00C96295"/>
    <w:rsid w:val="00C96364"/>
    <w:rsid w:val="00CA03DF"/>
    <w:rsid w:val="00CA168A"/>
    <w:rsid w:val="00CA2097"/>
    <w:rsid w:val="00CA357E"/>
    <w:rsid w:val="00CA44F9"/>
    <w:rsid w:val="00CA4A69"/>
    <w:rsid w:val="00CB3E79"/>
    <w:rsid w:val="00CB49C1"/>
    <w:rsid w:val="00CB70A5"/>
    <w:rsid w:val="00CB722E"/>
    <w:rsid w:val="00CC2845"/>
    <w:rsid w:val="00CC3D7F"/>
    <w:rsid w:val="00CC3E0C"/>
    <w:rsid w:val="00CC4B9E"/>
    <w:rsid w:val="00CC58D3"/>
    <w:rsid w:val="00CC66B1"/>
    <w:rsid w:val="00CC784D"/>
    <w:rsid w:val="00CC7F23"/>
    <w:rsid w:val="00CD0079"/>
    <w:rsid w:val="00CD5B9F"/>
    <w:rsid w:val="00CE6C2C"/>
    <w:rsid w:val="00CE6D37"/>
    <w:rsid w:val="00CF1E15"/>
    <w:rsid w:val="00CF207E"/>
    <w:rsid w:val="00D00A8D"/>
    <w:rsid w:val="00D03268"/>
    <w:rsid w:val="00D0337B"/>
    <w:rsid w:val="00D07777"/>
    <w:rsid w:val="00D077A6"/>
    <w:rsid w:val="00D079B2"/>
    <w:rsid w:val="00D114E9"/>
    <w:rsid w:val="00D12F5B"/>
    <w:rsid w:val="00D15C6C"/>
    <w:rsid w:val="00D16989"/>
    <w:rsid w:val="00D16F7C"/>
    <w:rsid w:val="00D1785A"/>
    <w:rsid w:val="00D17CD8"/>
    <w:rsid w:val="00D23A98"/>
    <w:rsid w:val="00D2527C"/>
    <w:rsid w:val="00D313B3"/>
    <w:rsid w:val="00D340E2"/>
    <w:rsid w:val="00D35B8E"/>
    <w:rsid w:val="00D40F07"/>
    <w:rsid w:val="00D423E3"/>
    <w:rsid w:val="00D429C6"/>
    <w:rsid w:val="00D4464C"/>
    <w:rsid w:val="00D46B0A"/>
    <w:rsid w:val="00D47748"/>
    <w:rsid w:val="00D47C1B"/>
    <w:rsid w:val="00D5178F"/>
    <w:rsid w:val="00D518DF"/>
    <w:rsid w:val="00D54CC3"/>
    <w:rsid w:val="00D6041A"/>
    <w:rsid w:val="00D61258"/>
    <w:rsid w:val="00D619F6"/>
    <w:rsid w:val="00D633EB"/>
    <w:rsid w:val="00D6395F"/>
    <w:rsid w:val="00D66A6B"/>
    <w:rsid w:val="00D72F73"/>
    <w:rsid w:val="00D736AC"/>
    <w:rsid w:val="00D73E2A"/>
    <w:rsid w:val="00D747AA"/>
    <w:rsid w:val="00D75A7E"/>
    <w:rsid w:val="00D801A3"/>
    <w:rsid w:val="00D82CEF"/>
    <w:rsid w:val="00D82F44"/>
    <w:rsid w:val="00D82FF7"/>
    <w:rsid w:val="00D84271"/>
    <w:rsid w:val="00D847FE"/>
    <w:rsid w:val="00D85ECF"/>
    <w:rsid w:val="00D86B9C"/>
    <w:rsid w:val="00D900CD"/>
    <w:rsid w:val="00D90A39"/>
    <w:rsid w:val="00D964EA"/>
    <w:rsid w:val="00D966D0"/>
    <w:rsid w:val="00D96D8D"/>
    <w:rsid w:val="00DA0C59"/>
    <w:rsid w:val="00DA3991"/>
    <w:rsid w:val="00DA72A1"/>
    <w:rsid w:val="00DA7F95"/>
    <w:rsid w:val="00DB01F1"/>
    <w:rsid w:val="00DB10B9"/>
    <w:rsid w:val="00DB3222"/>
    <w:rsid w:val="00DB714D"/>
    <w:rsid w:val="00DB7E6C"/>
    <w:rsid w:val="00DC0A57"/>
    <w:rsid w:val="00DC1F48"/>
    <w:rsid w:val="00DC4F68"/>
    <w:rsid w:val="00DC64B0"/>
    <w:rsid w:val="00DC6B1E"/>
    <w:rsid w:val="00DD159F"/>
    <w:rsid w:val="00DD252A"/>
    <w:rsid w:val="00DD5949"/>
    <w:rsid w:val="00DD5A29"/>
    <w:rsid w:val="00DD5D9D"/>
    <w:rsid w:val="00DE35CB"/>
    <w:rsid w:val="00DF0EF0"/>
    <w:rsid w:val="00DF21E9"/>
    <w:rsid w:val="00DF22C7"/>
    <w:rsid w:val="00DF5588"/>
    <w:rsid w:val="00DF5CC9"/>
    <w:rsid w:val="00DF70CA"/>
    <w:rsid w:val="00DF754B"/>
    <w:rsid w:val="00E005D3"/>
    <w:rsid w:val="00E00F14"/>
    <w:rsid w:val="00E01CB8"/>
    <w:rsid w:val="00E02F18"/>
    <w:rsid w:val="00E03411"/>
    <w:rsid w:val="00E06386"/>
    <w:rsid w:val="00E075C5"/>
    <w:rsid w:val="00E1051A"/>
    <w:rsid w:val="00E111F3"/>
    <w:rsid w:val="00E11668"/>
    <w:rsid w:val="00E118E7"/>
    <w:rsid w:val="00E122B7"/>
    <w:rsid w:val="00E129E7"/>
    <w:rsid w:val="00E16EE3"/>
    <w:rsid w:val="00E178FF"/>
    <w:rsid w:val="00E17B7A"/>
    <w:rsid w:val="00E17BA5"/>
    <w:rsid w:val="00E21B55"/>
    <w:rsid w:val="00E221D3"/>
    <w:rsid w:val="00E24EB4"/>
    <w:rsid w:val="00E259DF"/>
    <w:rsid w:val="00E2604C"/>
    <w:rsid w:val="00E2637B"/>
    <w:rsid w:val="00E30635"/>
    <w:rsid w:val="00E30AEE"/>
    <w:rsid w:val="00E30DCE"/>
    <w:rsid w:val="00E320ED"/>
    <w:rsid w:val="00E33AFB"/>
    <w:rsid w:val="00E33BAD"/>
    <w:rsid w:val="00E34218"/>
    <w:rsid w:val="00E40D14"/>
    <w:rsid w:val="00E4555B"/>
    <w:rsid w:val="00E45CC9"/>
    <w:rsid w:val="00E46282"/>
    <w:rsid w:val="00E46D3A"/>
    <w:rsid w:val="00E5216E"/>
    <w:rsid w:val="00E54F68"/>
    <w:rsid w:val="00E5529C"/>
    <w:rsid w:val="00E57559"/>
    <w:rsid w:val="00E608EB"/>
    <w:rsid w:val="00E6532F"/>
    <w:rsid w:val="00E657C6"/>
    <w:rsid w:val="00E676AB"/>
    <w:rsid w:val="00E75D40"/>
    <w:rsid w:val="00E81965"/>
    <w:rsid w:val="00E81A88"/>
    <w:rsid w:val="00E82344"/>
    <w:rsid w:val="00E84011"/>
    <w:rsid w:val="00E84C82"/>
    <w:rsid w:val="00E84D64"/>
    <w:rsid w:val="00E87408"/>
    <w:rsid w:val="00E87E39"/>
    <w:rsid w:val="00E914C4"/>
    <w:rsid w:val="00E934F5"/>
    <w:rsid w:val="00E95132"/>
    <w:rsid w:val="00E96961"/>
    <w:rsid w:val="00EA72EC"/>
    <w:rsid w:val="00EA7ECA"/>
    <w:rsid w:val="00EB11CB"/>
    <w:rsid w:val="00EB1C71"/>
    <w:rsid w:val="00EB275A"/>
    <w:rsid w:val="00EB530D"/>
    <w:rsid w:val="00EB57CA"/>
    <w:rsid w:val="00EB786A"/>
    <w:rsid w:val="00EC1578"/>
    <w:rsid w:val="00EC1BFC"/>
    <w:rsid w:val="00EC1C72"/>
    <w:rsid w:val="00EC3356"/>
    <w:rsid w:val="00EC3CC9"/>
    <w:rsid w:val="00EC5D85"/>
    <w:rsid w:val="00EC680A"/>
    <w:rsid w:val="00ED277E"/>
    <w:rsid w:val="00ED46E2"/>
    <w:rsid w:val="00ED511C"/>
    <w:rsid w:val="00ED7229"/>
    <w:rsid w:val="00EE1D72"/>
    <w:rsid w:val="00EE1EA5"/>
    <w:rsid w:val="00EE25CB"/>
    <w:rsid w:val="00EE2BED"/>
    <w:rsid w:val="00EE374B"/>
    <w:rsid w:val="00EE4A87"/>
    <w:rsid w:val="00EF05C1"/>
    <w:rsid w:val="00EF2869"/>
    <w:rsid w:val="00EF2C9A"/>
    <w:rsid w:val="00EF7D77"/>
    <w:rsid w:val="00F00566"/>
    <w:rsid w:val="00F05D60"/>
    <w:rsid w:val="00F07224"/>
    <w:rsid w:val="00F076C7"/>
    <w:rsid w:val="00F07FD3"/>
    <w:rsid w:val="00F11BB5"/>
    <w:rsid w:val="00F1296C"/>
    <w:rsid w:val="00F1417B"/>
    <w:rsid w:val="00F1555A"/>
    <w:rsid w:val="00F1712D"/>
    <w:rsid w:val="00F17A17"/>
    <w:rsid w:val="00F208A0"/>
    <w:rsid w:val="00F2115E"/>
    <w:rsid w:val="00F24D23"/>
    <w:rsid w:val="00F27B3D"/>
    <w:rsid w:val="00F27BD6"/>
    <w:rsid w:val="00F30791"/>
    <w:rsid w:val="00F30ABD"/>
    <w:rsid w:val="00F3266E"/>
    <w:rsid w:val="00F34B99"/>
    <w:rsid w:val="00F40B02"/>
    <w:rsid w:val="00F41E81"/>
    <w:rsid w:val="00F42A68"/>
    <w:rsid w:val="00F44486"/>
    <w:rsid w:val="00F44DF2"/>
    <w:rsid w:val="00F475B3"/>
    <w:rsid w:val="00F50FCF"/>
    <w:rsid w:val="00F51720"/>
    <w:rsid w:val="00F51A98"/>
    <w:rsid w:val="00F51CF2"/>
    <w:rsid w:val="00F52DAB"/>
    <w:rsid w:val="00F543F0"/>
    <w:rsid w:val="00F55E3E"/>
    <w:rsid w:val="00F57601"/>
    <w:rsid w:val="00F70C60"/>
    <w:rsid w:val="00F713C8"/>
    <w:rsid w:val="00F73F99"/>
    <w:rsid w:val="00F74149"/>
    <w:rsid w:val="00F75B50"/>
    <w:rsid w:val="00F75F80"/>
    <w:rsid w:val="00F778B5"/>
    <w:rsid w:val="00F81D29"/>
    <w:rsid w:val="00F90BE5"/>
    <w:rsid w:val="00F91C4D"/>
    <w:rsid w:val="00F92FD9"/>
    <w:rsid w:val="00F9318D"/>
    <w:rsid w:val="00F9495E"/>
    <w:rsid w:val="00FA0549"/>
    <w:rsid w:val="00FA37B1"/>
    <w:rsid w:val="00FA3E0B"/>
    <w:rsid w:val="00FA5EF7"/>
    <w:rsid w:val="00FA6684"/>
    <w:rsid w:val="00FA731E"/>
    <w:rsid w:val="00FA7BD0"/>
    <w:rsid w:val="00FB1DCF"/>
    <w:rsid w:val="00FB2B38"/>
    <w:rsid w:val="00FB61CE"/>
    <w:rsid w:val="00FB7A07"/>
    <w:rsid w:val="00FC04CC"/>
    <w:rsid w:val="00FC161E"/>
    <w:rsid w:val="00FC1BCD"/>
    <w:rsid w:val="00FC2066"/>
    <w:rsid w:val="00FC6358"/>
    <w:rsid w:val="00FD1381"/>
    <w:rsid w:val="00FD320D"/>
    <w:rsid w:val="00FD373C"/>
    <w:rsid w:val="00FD4075"/>
    <w:rsid w:val="00FD493A"/>
    <w:rsid w:val="00FE1B98"/>
    <w:rsid w:val="00FE1C60"/>
    <w:rsid w:val="00FE23DE"/>
    <w:rsid w:val="00FF1801"/>
    <w:rsid w:val="00FF60B4"/>
    <w:rsid w:val="00FF6842"/>
    <w:rsid w:val="00FF71DB"/>
    <w:rsid w:val="03EB39DB"/>
    <w:rsid w:val="1BF74716"/>
    <w:rsid w:val="2FFF1ABF"/>
    <w:rsid w:val="36E85DEF"/>
    <w:rsid w:val="3E7F225D"/>
    <w:rsid w:val="3EB85EED"/>
    <w:rsid w:val="43EE3E51"/>
    <w:rsid w:val="47FF82CC"/>
    <w:rsid w:val="483044F1"/>
    <w:rsid w:val="498C2860"/>
    <w:rsid w:val="4A254416"/>
    <w:rsid w:val="4AC4664F"/>
    <w:rsid w:val="55982FA6"/>
    <w:rsid w:val="56174AA7"/>
    <w:rsid w:val="566C2DEF"/>
    <w:rsid w:val="5A131CE8"/>
    <w:rsid w:val="5DA9F82C"/>
    <w:rsid w:val="5DB63287"/>
    <w:rsid w:val="5FAC17B3"/>
    <w:rsid w:val="5FB7E33B"/>
    <w:rsid w:val="62636815"/>
    <w:rsid w:val="66414FFD"/>
    <w:rsid w:val="6FCFC10C"/>
    <w:rsid w:val="737258FA"/>
    <w:rsid w:val="73EFB34F"/>
    <w:rsid w:val="74A977AE"/>
    <w:rsid w:val="764D738F"/>
    <w:rsid w:val="77B57C2D"/>
    <w:rsid w:val="78ED096F"/>
    <w:rsid w:val="7A5743FC"/>
    <w:rsid w:val="7ADFB9B1"/>
    <w:rsid w:val="7B370D06"/>
    <w:rsid w:val="7BAF55ED"/>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4"/>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5"/>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7"/>
    <w:next w:val="7"/>
    <w:link w:val="145"/>
    <w:semiHidden/>
    <w:unhideWhenUsed/>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semiHidden/>
    <w:unhideWhenUsed/>
    <w:qFormat/>
    <w:uiPriority w:val="0"/>
    <w:rPr>
      <w:sz w:val="21"/>
      <w:szCs w:val="21"/>
    </w:rPr>
  </w:style>
  <w:style w:type="character" w:styleId="40">
    <w:name w:val="footnote reference"/>
    <w:semiHidden/>
    <w:qFormat/>
    <w:uiPriority w:val="0"/>
    <w:rPr>
      <w:vertAlign w:val="superscript"/>
    </w:rPr>
  </w:style>
  <w:style w:type="paragraph" w:customStyle="1" w:styleId="41">
    <w:name w:val="二级无"/>
    <w:basedOn w:val="42"/>
    <w:qFormat/>
    <w:uiPriority w:val="0"/>
    <w:pPr>
      <w:spacing w:beforeLines="0" w:afterLines="0"/>
    </w:pPr>
    <w:rPr>
      <w:rFonts w:ascii="宋体" w:eastAsia="宋体"/>
    </w:rPr>
  </w:style>
  <w:style w:type="paragraph" w:customStyle="1" w:styleId="42">
    <w:name w:val="二级条标题"/>
    <w:basedOn w:val="43"/>
    <w:next w:val="22"/>
    <w:qFormat/>
    <w:uiPriority w:val="0"/>
    <w:pPr>
      <w:numPr>
        <w:ilvl w:val="2"/>
      </w:numPr>
      <w:spacing w:before="50" w:after="50"/>
      <w:outlineLvl w:val="3"/>
    </w:pPr>
  </w:style>
  <w:style w:type="paragraph" w:customStyle="1" w:styleId="43">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三级条标题"/>
    <w:basedOn w:val="42"/>
    <w:next w:val="22"/>
    <w:qFormat/>
    <w:uiPriority w:val="0"/>
    <w:pPr>
      <w:numPr>
        <w:ilvl w:val="3"/>
      </w:numPr>
      <w:outlineLvl w:val="4"/>
    </w:pPr>
  </w:style>
  <w:style w:type="paragraph" w:customStyle="1" w:styleId="46">
    <w:name w:val="四级条标题"/>
    <w:basedOn w:val="45"/>
    <w:next w:val="22"/>
    <w:qFormat/>
    <w:uiPriority w:val="0"/>
    <w:pPr>
      <w:numPr>
        <w:ilvl w:val="4"/>
      </w:numPr>
      <w:outlineLvl w:val="5"/>
    </w:pPr>
  </w:style>
  <w:style w:type="paragraph" w:customStyle="1" w:styleId="47">
    <w:name w:val="五级条标题"/>
    <w:basedOn w:val="46"/>
    <w:next w:val="22"/>
    <w:qFormat/>
    <w:uiPriority w:val="0"/>
    <w:pPr>
      <w:numPr>
        <w:ilvl w:val="5"/>
      </w:numPr>
      <w:outlineLvl w:val="6"/>
    </w:pPr>
  </w:style>
  <w:style w:type="paragraph" w:customStyle="1" w:styleId="48">
    <w:name w:val="三级无"/>
    <w:basedOn w:val="45"/>
    <w:qFormat/>
    <w:uiPriority w:val="0"/>
    <w:pPr>
      <w:spacing w:beforeLines="0" w:afterLines="0"/>
    </w:pPr>
    <w:rPr>
      <w:rFonts w:ascii="宋体" w:eastAsia="宋体"/>
    </w:rPr>
  </w:style>
  <w:style w:type="paragraph" w:customStyle="1" w:styleId="49">
    <w:name w:val="一级无"/>
    <w:basedOn w:val="43"/>
    <w:qFormat/>
    <w:uiPriority w:val="0"/>
    <w:pPr>
      <w:spacing w:beforeLines="0" w:afterLines="0"/>
    </w:pPr>
    <w:rPr>
      <w:rFonts w:ascii="宋体" w:eastAsia="宋体"/>
    </w:rPr>
  </w:style>
  <w:style w:type="paragraph" w:customStyle="1" w:styleId="50">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1">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2">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3">
    <w:name w:val="封面一致性程度标识2"/>
    <w:basedOn w:val="54"/>
    <w:qFormat/>
    <w:uiPriority w:val="0"/>
    <w:pPr>
      <w:framePr w:wrap="around" w:y="4469"/>
    </w:pPr>
  </w:style>
  <w:style w:type="paragraph" w:customStyle="1" w:styleId="54">
    <w:name w:val="封面一致性程度标识"/>
    <w:basedOn w:val="55"/>
    <w:qFormat/>
    <w:uiPriority w:val="0"/>
    <w:pPr>
      <w:framePr w:wrap="around"/>
      <w:spacing w:before="440"/>
    </w:pPr>
    <w:rPr>
      <w:rFonts w:ascii="宋体" w:eastAsia="宋体"/>
    </w:rPr>
  </w:style>
  <w:style w:type="paragraph" w:customStyle="1" w:styleId="55">
    <w:name w:val="封面标准英文名称"/>
    <w:basedOn w:val="56"/>
    <w:qFormat/>
    <w:uiPriority w:val="0"/>
    <w:pPr>
      <w:framePr w:wrap="around"/>
      <w:spacing w:before="370" w:line="400" w:lineRule="exact"/>
    </w:pPr>
    <w:rPr>
      <w:rFonts w:ascii="Times New Roman"/>
      <w:sz w:val="28"/>
      <w:szCs w:val="28"/>
    </w:rPr>
  </w:style>
  <w:style w:type="paragraph" w:customStyle="1" w:styleId="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
    <w:name w:val="封面标准英文名称2"/>
    <w:basedOn w:val="55"/>
    <w:qFormat/>
    <w:uiPriority w:val="0"/>
    <w:pPr>
      <w:framePr w:wrap="around" w:y="4469"/>
    </w:pPr>
  </w:style>
  <w:style w:type="paragraph" w:customStyle="1" w:styleId="58">
    <w:name w:val="其他实施日期"/>
    <w:basedOn w:val="59"/>
    <w:qFormat/>
    <w:uiPriority w:val="0"/>
    <w:pPr>
      <w:framePr w:wrap="around"/>
    </w:pPr>
  </w:style>
  <w:style w:type="paragraph" w:customStyle="1" w:styleId="59">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0">
    <w:name w:val="终结线"/>
    <w:basedOn w:val="1"/>
    <w:qFormat/>
    <w:uiPriority w:val="0"/>
    <w:pPr>
      <w:framePr w:hSpace="181" w:vSpace="181" w:wrap="around" w:vAnchor="text" w:hAnchor="margin" w:xAlign="center" w:y="285"/>
    </w:pPr>
  </w:style>
  <w:style w:type="paragraph" w:customStyle="1" w:styleId="61">
    <w:name w:val="正文公式编号制表符"/>
    <w:basedOn w:val="22"/>
    <w:next w:val="22"/>
    <w:qFormat/>
    <w:uiPriority w:val="0"/>
    <w:pPr>
      <w:ind w:firstLine="0" w:firstLineChars="0"/>
    </w:pPr>
  </w:style>
  <w:style w:type="paragraph" w:customStyle="1" w:styleId="62">
    <w:name w:val="正文表标题"/>
    <w:next w:val="22"/>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4">
    <w:name w:val="图表脚注说明"/>
    <w:basedOn w:val="1"/>
    <w:qFormat/>
    <w:uiPriority w:val="0"/>
    <w:pPr>
      <w:numPr>
        <w:ilvl w:val="0"/>
        <w:numId w:val="5"/>
      </w:numPr>
    </w:pPr>
    <w:rPr>
      <w:rFonts w:ascii="宋体"/>
      <w:sz w:val="18"/>
      <w:szCs w:val="18"/>
    </w:rPr>
  </w:style>
  <w:style w:type="paragraph" w:customStyle="1" w:styleId="65">
    <w:name w:val="条文脚注"/>
    <w:basedOn w:val="23"/>
    <w:qFormat/>
    <w:uiPriority w:val="0"/>
    <w:pPr>
      <w:numPr>
        <w:numId w:val="0"/>
      </w:numPr>
      <w:jc w:val="both"/>
    </w:pPr>
  </w:style>
  <w:style w:type="paragraph" w:customStyle="1" w:styleId="66">
    <w:name w:val="封面标准文稿编辑信息2"/>
    <w:basedOn w:val="67"/>
    <w:qFormat/>
    <w:uiPriority w:val="0"/>
    <w:pPr>
      <w:framePr w:wrap="around" w:y="4469"/>
    </w:pPr>
  </w:style>
  <w:style w:type="paragraph" w:customStyle="1" w:styleId="67">
    <w:name w:val="封面标准文稿编辑信息"/>
    <w:basedOn w:val="68"/>
    <w:qFormat/>
    <w:uiPriority w:val="0"/>
    <w:pPr>
      <w:framePr w:wrap="around"/>
      <w:spacing w:before="180" w:line="180" w:lineRule="exact"/>
    </w:pPr>
    <w:rPr>
      <w:sz w:val="21"/>
    </w:rPr>
  </w:style>
  <w:style w:type="paragraph" w:customStyle="1" w:styleId="68">
    <w:name w:val="封面标准文稿类别"/>
    <w:basedOn w:val="54"/>
    <w:qFormat/>
    <w:uiPriority w:val="0"/>
    <w:pPr>
      <w:framePr w:wrap="around"/>
      <w:spacing w:after="160" w:line="240" w:lineRule="auto"/>
    </w:pPr>
    <w:rPr>
      <w:sz w:val="24"/>
    </w:rPr>
  </w:style>
  <w:style w:type="paragraph" w:customStyle="1" w:styleId="69">
    <w:name w:val="首示例"/>
    <w:next w:val="22"/>
    <w:link w:val="134"/>
    <w:qFormat/>
    <w:uiPriority w:val="0"/>
    <w:pPr>
      <w:tabs>
        <w:tab w:val="left" w:pos="360"/>
      </w:tabs>
    </w:pPr>
    <w:rPr>
      <w:rFonts w:ascii="宋体" w:hAnsi="宋体" w:eastAsia="宋体" w:cs="Times New Roman"/>
      <w:kern w:val="2"/>
      <w:sz w:val="18"/>
      <w:szCs w:val="18"/>
      <w:lang w:val="en-US" w:eastAsia="zh-CN" w:bidi="ar-SA"/>
    </w:rPr>
  </w:style>
  <w:style w:type="paragraph" w:customStyle="1" w:styleId="70">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3">
    <w:name w:val="标准名称"/>
    <w:basedOn w:val="74"/>
    <w:link w:val="136"/>
    <w:qFormat/>
    <w:uiPriority w:val="0"/>
  </w:style>
  <w:style w:type="paragraph" w:customStyle="1" w:styleId="74">
    <w:name w:val="目次、标准名称标题"/>
    <w:basedOn w:val="1"/>
    <w:next w:val="22"/>
    <w:link w:val="13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6">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77">
    <w:name w:val="附录一级条标题"/>
    <w:basedOn w:val="78"/>
    <w:next w:val="22"/>
    <w:qFormat/>
    <w:uiPriority w:val="0"/>
    <w:pPr>
      <w:numPr>
        <w:ilvl w:val="2"/>
      </w:numPr>
      <w:tabs>
        <w:tab w:val="left" w:pos="360"/>
      </w:tabs>
      <w:autoSpaceDN w:val="0"/>
      <w:spacing w:beforeLines="50" w:afterLines="50"/>
      <w:outlineLvl w:val="2"/>
    </w:pPr>
  </w:style>
  <w:style w:type="paragraph" w:customStyle="1" w:styleId="78">
    <w:name w:val="附录章标题"/>
    <w:next w:val="22"/>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0">
    <w:name w:val="附录四级条标题"/>
    <w:basedOn w:val="81"/>
    <w:next w:val="22"/>
    <w:qFormat/>
    <w:uiPriority w:val="0"/>
    <w:pPr>
      <w:numPr>
        <w:ilvl w:val="5"/>
      </w:numPr>
      <w:tabs>
        <w:tab w:val="left" w:pos="360"/>
      </w:tabs>
      <w:outlineLvl w:val="5"/>
    </w:pPr>
  </w:style>
  <w:style w:type="paragraph" w:customStyle="1" w:styleId="81">
    <w:name w:val="附录三级条标题"/>
    <w:basedOn w:val="82"/>
    <w:next w:val="22"/>
    <w:qFormat/>
    <w:uiPriority w:val="0"/>
    <w:pPr>
      <w:numPr>
        <w:ilvl w:val="4"/>
      </w:numPr>
      <w:tabs>
        <w:tab w:val="left" w:pos="360"/>
      </w:tabs>
      <w:outlineLvl w:val="4"/>
    </w:pPr>
  </w:style>
  <w:style w:type="paragraph" w:customStyle="1" w:styleId="82">
    <w:name w:val="附录二级条标题"/>
    <w:basedOn w:val="1"/>
    <w:next w:val="22"/>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3">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4">
    <w:name w:val="附录三级无"/>
    <w:basedOn w:val="81"/>
    <w:qFormat/>
    <w:uiPriority w:val="0"/>
    <w:pPr>
      <w:tabs>
        <w:tab w:val="clear" w:pos="360"/>
      </w:tabs>
      <w:spacing w:beforeLines="0" w:afterLines="0"/>
    </w:pPr>
    <w:rPr>
      <w:rFonts w:ascii="宋体" w:eastAsia="宋体"/>
      <w:szCs w:val="21"/>
    </w:rPr>
  </w:style>
  <w:style w:type="paragraph" w:customStyle="1" w:styleId="85">
    <w:name w:val="附录一级无"/>
    <w:basedOn w:val="77"/>
    <w:qFormat/>
    <w:uiPriority w:val="0"/>
    <w:pPr>
      <w:tabs>
        <w:tab w:val="clear" w:pos="360"/>
      </w:tabs>
      <w:spacing w:beforeLines="0" w:afterLines="0"/>
    </w:pPr>
    <w:rPr>
      <w:rFonts w:ascii="宋体" w:eastAsia="宋体"/>
      <w:szCs w:val="21"/>
    </w:rPr>
  </w:style>
  <w:style w:type="paragraph" w:customStyle="1" w:styleId="86">
    <w:name w:val="附录公式"/>
    <w:basedOn w:val="22"/>
    <w:next w:val="22"/>
    <w:link w:val="141"/>
    <w:qFormat/>
    <w:uiPriority w:val="0"/>
  </w:style>
  <w:style w:type="paragraph" w:customStyle="1" w:styleId="87">
    <w:name w:val="附录二级无"/>
    <w:basedOn w:val="82"/>
    <w:qFormat/>
    <w:uiPriority w:val="0"/>
    <w:pPr>
      <w:tabs>
        <w:tab w:val="clear" w:pos="360"/>
      </w:tabs>
      <w:spacing w:beforeLines="0" w:afterLines="0"/>
    </w:pPr>
    <w:rPr>
      <w:rFonts w:ascii="宋体" w:eastAsia="宋体"/>
      <w:szCs w:val="21"/>
    </w:rPr>
  </w:style>
  <w:style w:type="paragraph" w:customStyle="1" w:styleId="88">
    <w:name w:val="附录表标题"/>
    <w:basedOn w:val="1"/>
    <w:next w:val="22"/>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89">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0">
    <w:name w:val="附录标题"/>
    <w:basedOn w:val="22"/>
    <w:next w:val="22"/>
    <w:qFormat/>
    <w:uiPriority w:val="0"/>
    <w:pPr>
      <w:ind w:firstLine="0" w:firstLineChars="0"/>
      <w:jc w:val="center"/>
    </w:pPr>
    <w:rPr>
      <w:rFonts w:ascii="黑体" w:eastAsia="黑体"/>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2"/>
    <w:qFormat/>
    <w:uiPriority w:val="0"/>
    <w:pPr>
      <w:keepNext/>
      <w:pageBreakBefore/>
      <w:widowControl/>
      <w:numPr>
        <w:ilvl w:val="0"/>
        <w:numId w:val="7"/>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93">
    <w:name w:val="其他发布部门"/>
    <w:basedOn w:val="94"/>
    <w:qFormat/>
    <w:uiPriority w:val="0"/>
    <w:pPr>
      <w:framePr w:wrap="around" w:y="15310"/>
      <w:spacing w:line="0" w:lineRule="atLeast"/>
    </w:pPr>
    <w:rPr>
      <w:rFonts w:ascii="黑体" w:eastAsia="黑体"/>
      <w:b w:val="0"/>
    </w:rPr>
  </w:style>
  <w:style w:type="paragraph" w:customStyle="1" w:styleId="94">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图标题"/>
    <w:basedOn w:val="1"/>
    <w:next w:val="22"/>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8">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参考文献"/>
    <w:basedOn w:val="1"/>
    <w:next w:val="22"/>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标准书眉_偶数页"/>
    <w:basedOn w:val="102"/>
    <w:next w:val="1"/>
    <w:qFormat/>
    <w:uiPriority w:val="0"/>
    <w:pPr>
      <w:tabs>
        <w:tab w:val="center" w:pos="4154"/>
        <w:tab w:val="right" w:pos="8306"/>
      </w:tabs>
      <w:jc w:val="left"/>
    </w:p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7">
    <w:name w:val="附录四级无"/>
    <w:basedOn w:val="80"/>
    <w:qFormat/>
    <w:uiPriority w:val="0"/>
    <w:pPr>
      <w:tabs>
        <w:tab w:val="clear" w:pos="360"/>
      </w:tabs>
      <w:spacing w:beforeLines="0" w:afterLines="0"/>
    </w:pPr>
    <w:rPr>
      <w:rFonts w:ascii="宋体" w:eastAsia="宋体"/>
      <w:szCs w:val="21"/>
    </w:rPr>
  </w:style>
  <w:style w:type="paragraph" w:customStyle="1" w:styleId="108">
    <w:name w:val="注：（正文）"/>
    <w:basedOn w:val="109"/>
    <w:next w:val="22"/>
    <w:qFormat/>
    <w:uiPriority w:val="0"/>
    <w:pPr>
      <w:numPr>
        <w:numId w:val="13"/>
      </w:numPr>
      <w:ind w:left="726" w:hanging="363"/>
    </w:pPr>
  </w:style>
  <w:style w:type="paragraph" w:customStyle="1" w:styleId="109">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0">
    <w:name w:val="示例×："/>
    <w:basedOn w:val="44"/>
    <w:qFormat/>
    <w:uiPriority w:val="0"/>
    <w:pPr>
      <w:numPr>
        <w:numId w:val="15"/>
      </w:numPr>
      <w:spacing w:beforeLines="0" w:afterLines="0"/>
      <w:outlineLvl w:val="9"/>
    </w:pPr>
    <w:rPr>
      <w:rFonts w:ascii="宋体" w:eastAsia="宋体"/>
      <w:sz w:val="18"/>
      <w:szCs w:val="18"/>
    </w:rPr>
  </w:style>
  <w:style w:type="paragraph" w:customStyle="1" w:styleId="111">
    <w:name w:val="封面标准名称2"/>
    <w:basedOn w:val="56"/>
    <w:qFormat/>
    <w:uiPriority w:val="0"/>
    <w:pPr>
      <w:framePr w:wrap="around" w:y="4469"/>
      <w:spacing w:beforeLines="630"/>
    </w:pPr>
  </w:style>
  <w:style w:type="paragraph" w:customStyle="1" w:styleId="11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3">
    <w:name w:val="列项◆（三级）"/>
    <w:basedOn w:val="1"/>
    <w:qFormat/>
    <w:uiPriority w:val="0"/>
    <w:pPr>
      <w:numPr>
        <w:ilvl w:val="2"/>
        <w:numId w:val="16"/>
      </w:numPr>
    </w:pPr>
    <w:rPr>
      <w:rFonts w:ascii="宋体"/>
      <w:szCs w:val="21"/>
    </w:rPr>
  </w:style>
  <w:style w:type="paragraph" w:customStyle="1" w:styleId="1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5">
    <w:name w:val="附录五级无"/>
    <w:basedOn w:val="116"/>
    <w:qFormat/>
    <w:uiPriority w:val="0"/>
    <w:pPr>
      <w:tabs>
        <w:tab w:val="left" w:pos="360"/>
      </w:tabs>
      <w:spacing w:beforeLines="0" w:afterLines="0"/>
    </w:pPr>
    <w:rPr>
      <w:rFonts w:ascii="宋体" w:eastAsia="宋体"/>
      <w:szCs w:val="21"/>
    </w:rPr>
  </w:style>
  <w:style w:type="paragraph" w:customStyle="1" w:styleId="116">
    <w:name w:val="附录五级条标题"/>
    <w:basedOn w:val="80"/>
    <w:next w:val="22"/>
    <w:qFormat/>
    <w:uiPriority w:val="0"/>
    <w:pPr>
      <w:numPr>
        <w:ilvl w:val="6"/>
      </w:numPr>
      <w:outlineLvl w:val="6"/>
    </w:pPr>
  </w:style>
  <w:style w:type="paragraph" w:customStyle="1" w:styleId="11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8">
    <w:name w:val="示例"/>
    <w:next w:val="117"/>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9">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2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1">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2">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4">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6">
    <w:name w:val="示例后文字"/>
    <w:basedOn w:val="22"/>
    <w:next w:val="22"/>
    <w:qFormat/>
    <w:uiPriority w:val="0"/>
    <w:pPr>
      <w:ind w:firstLine="360"/>
    </w:pPr>
    <w:rPr>
      <w:sz w:val="18"/>
    </w:rPr>
  </w:style>
  <w:style w:type="paragraph" w:customStyle="1" w:styleId="127">
    <w:name w:val="其他标准标志"/>
    <w:basedOn w:val="105"/>
    <w:qFormat/>
    <w:uiPriority w:val="0"/>
    <w:pPr>
      <w:framePr w:w="6101" w:wrap="around" w:vAnchor="page" w:hAnchor="page" w:x="4673" w:y="942"/>
    </w:pPr>
    <w:rPr>
      <w:w w:val="130"/>
    </w:rPr>
  </w:style>
  <w:style w:type="paragraph" w:customStyle="1" w:styleId="128">
    <w:name w:val="封面标准文稿类别2"/>
    <w:basedOn w:val="68"/>
    <w:qFormat/>
    <w:uiPriority w:val="0"/>
    <w:pPr>
      <w:framePr w:wrap="around" w:y="4469"/>
    </w:pPr>
  </w:style>
  <w:style w:type="paragraph" w:customStyle="1" w:styleId="12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0">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31">
    <w:name w:val="五级无"/>
    <w:basedOn w:val="47"/>
    <w:qFormat/>
    <w:uiPriority w:val="0"/>
    <w:pPr>
      <w:spacing w:beforeLines="0" w:afterLines="0"/>
    </w:pPr>
    <w:rPr>
      <w:rFonts w:ascii="宋体" w:eastAsia="宋体"/>
    </w:rPr>
  </w:style>
  <w:style w:type="paragraph" w:customStyle="1" w:styleId="132">
    <w:name w:val="图标脚注说明"/>
    <w:basedOn w:val="22"/>
    <w:qFormat/>
    <w:uiPriority w:val="0"/>
    <w:pPr>
      <w:ind w:left="840" w:hanging="420" w:firstLineChars="0"/>
    </w:pPr>
    <w:rPr>
      <w:sz w:val="18"/>
      <w:szCs w:val="18"/>
    </w:rPr>
  </w:style>
  <w:style w:type="paragraph" w:customStyle="1" w:styleId="133">
    <w:name w:val="四级无"/>
    <w:basedOn w:val="46"/>
    <w:qFormat/>
    <w:uiPriority w:val="0"/>
    <w:pPr>
      <w:spacing w:beforeLines="0" w:afterLines="0"/>
    </w:pPr>
    <w:rPr>
      <w:rFonts w:ascii="宋体" w:eastAsia="宋体"/>
    </w:rPr>
  </w:style>
  <w:style w:type="character" w:customStyle="1" w:styleId="134">
    <w:name w:val="首示例 Char"/>
    <w:link w:val="69"/>
    <w:qFormat/>
    <w:uiPriority w:val="0"/>
    <w:rPr>
      <w:rFonts w:ascii="宋体" w:hAnsi="宋体"/>
      <w:kern w:val="2"/>
      <w:sz w:val="18"/>
      <w:szCs w:val="18"/>
    </w:rPr>
  </w:style>
  <w:style w:type="character" w:customStyle="1" w:styleId="135">
    <w:name w:val="批注框文本 字符"/>
    <w:basedOn w:val="34"/>
    <w:link w:val="15"/>
    <w:qFormat/>
    <w:uiPriority w:val="0"/>
    <w:rPr>
      <w:kern w:val="2"/>
      <w:sz w:val="18"/>
      <w:szCs w:val="18"/>
    </w:rPr>
  </w:style>
  <w:style w:type="character" w:customStyle="1" w:styleId="136">
    <w:name w:val="标准名称 Char"/>
    <w:basedOn w:val="137"/>
    <w:link w:val="73"/>
    <w:qFormat/>
    <w:uiPriority w:val="0"/>
    <w:rPr>
      <w:rFonts w:ascii="黑体" w:eastAsia="黑体"/>
      <w:sz w:val="32"/>
      <w:shd w:val="clear" w:color="FFFFFF" w:fill="FFFFFF"/>
    </w:rPr>
  </w:style>
  <w:style w:type="character" w:customStyle="1" w:styleId="137">
    <w:name w:val="目次、标准名称标题 Char"/>
    <w:basedOn w:val="34"/>
    <w:link w:val="74"/>
    <w:qFormat/>
    <w:uiPriority w:val="0"/>
    <w:rPr>
      <w:rFonts w:ascii="黑体" w:eastAsia="黑体"/>
      <w:sz w:val="32"/>
      <w:shd w:val="clear" w:color="FFFFFF" w:fill="FFFFFF"/>
    </w:rPr>
  </w:style>
  <w:style w:type="character" w:customStyle="1" w:styleId="138">
    <w:name w:val="发布"/>
    <w:qFormat/>
    <w:uiPriority w:val="0"/>
    <w:rPr>
      <w:rFonts w:ascii="黑体" w:eastAsia="黑体"/>
      <w:spacing w:val="85"/>
      <w:w w:val="100"/>
      <w:position w:val="3"/>
      <w:sz w:val="28"/>
      <w:szCs w:val="28"/>
    </w:rPr>
  </w:style>
  <w:style w:type="character" w:customStyle="1" w:styleId="139">
    <w:name w:val="段 Char"/>
    <w:link w:val="22"/>
    <w:qFormat/>
    <w:uiPriority w:val="0"/>
    <w:rPr>
      <w:rFonts w:ascii="宋体"/>
      <w:sz w:val="21"/>
      <w:lang w:val="en-US" w:eastAsia="zh-CN" w:bidi="ar-SA"/>
    </w:rPr>
  </w:style>
  <w:style w:type="character" w:customStyle="1" w:styleId="140">
    <w:name w:val="占位符文本1"/>
    <w:basedOn w:val="34"/>
    <w:semiHidden/>
    <w:qFormat/>
    <w:uiPriority w:val="99"/>
    <w:rPr>
      <w:color w:val="808080"/>
    </w:rPr>
  </w:style>
  <w:style w:type="character" w:customStyle="1" w:styleId="141">
    <w:name w:val="附录公式 Char"/>
    <w:basedOn w:val="139"/>
    <w:link w:val="86"/>
    <w:qFormat/>
    <w:uiPriority w:val="0"/>
    <w:rPr>
      <w:rFonts w:ascii="宋体"/>
      <w:sz w:val="21"/>
      <w:lang w:val="en-US" w:eastAsia="zh-CN" w:bidi="ar-SA"/>
    </w:rPr>
  </w:style>
  <w:style w:type="paragraph" w:styleId="142">
    <w:name w:val="List Paragraph"/>
    <w:basedOn w:val="1"/>
    <w:qFormat/>
    <w:uiPriority w:val="34"/>
    <w:pPr>
      <w:ind w:firstLine="420" w:firstLineChars="200"/>
    </w:pPr>
    <w:rPr>
      <w:rFonts w:asciiTheme="minorHAnsi" w:hAnsiTheme="minorHAnsi" w:eastAsiaTheme="minorEastAsia" w:cstheme="minorBidi"/>
    </w:rPr>
  </w:style>
  <w:style w:type="paragraph" w:customStyle="1" w:styleId="14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4">
    <w:name w:val="批注文字 字符"/>
    <w:basedOn w:val="34"/>
    <w:link w:val="7"/>
    <w:qFormat/>
    <w:uiPriority w:val="0"/>
    <w:rPr>
      <w:kern w:val="2"/>
      <w:sz w:val="21"/>
      <w:szCs w:val="24"/>
    </w:rPr>
  </w:style>
  <w:style w:type="character" w:customStyle="1" w:styleId="145">
    <w:name w:val="批注主题 字符"/>
    <w:basedOn w:val="144"/>
    <w:link w:val="31"/>
    <w:semiHidden/>
    <w:qFormat/>
    <w:uiPriority w:val="0"/>
    <w:rPr>
      <w:b/>
      <w:bCs/>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39880-A7D4-4457-A00D-8141EDB967BD}">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15</Pages>
  <Words>5618</Words>
  <Characters>7119</Characters>
  <Lines>288</Lines>
  <Paragraphs>308</Paragraphs>
  <TotalTime>28</TotalTime>
  <ScaleCrop>false</ScaleCrop>
  <LinksUpToDate>false</LinksUpToDate>
  <CharactersWithSpaces>7372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CNIS</dc:creator>
  <cp:lastModifiedBy>洋芋儿</cp:lastModifiedBy>
  <dcterms:modified xsi:type="dcterms:W3CDTF">2025-12-29T08:43:33Z</dcterms:modified>
  <dc:title>标准名称</dc:title>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8BFCCF76F1394B4D92278EE45B55DBB9_13</vt:lpwstr>
  </property>
  <property fmtid="{D5CDD505-2E9C-101B-9397-08002B2CF9AE}" pid="4" name="KSOTemplateDocerSaveRecord">
    <vt:lpwstr>eyJoZGlkIjoiN2YzNjBkOTgyNWQ1YTMxYzM3MzMwNWFiODNmOWIzYWMiLCJ1c2VySWQiOiI0MDQ4NDE4OTMifQ==</vt:lpwstr>
  </property>
</Properties>
</file>