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9ACE7">
      <w:pPr>
        <w:pStyle w:val="37"/>
        <w:framePr w:wrap="around" w:vAnchor="page" w:hAnchor="page" w:x="1821" w:y="739"/>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5A5B146D">
      <w:pPr>
        <w:pStyle w:val="37"/>
        <w:framePr w:wrap="around" w:vAnchor="page" w:hAnchor="page" w:x="1821" w:y="739"/>
        <w:rPr>
          <w:rFonts w:ascii="Times New Roman"/>
          <w:b/>
          <w:bCs/>
        </w:rPr>
      </w:pPr>
      <w:r>
        <w:rPr>
          <w:rFonts w:hint="eastAsia" w:ascii="Times New Roman"/>
          <w:b/>
          <w:bCs/>
        </w:rPr>
        <w:t>CCS C 05</w:t>
      </w:r>
    </w:p>
    <w:p w14:paraId="732B72D6">
      <w:pPr>
        <w:pStyle w:val="41"/>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5889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4E16264">
            <w:pPr>
              <w:pStyle w:val="39"/>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53293AE8">
      <w:pPr>
        <w:pStyle w:val="39"/>
        <w:framePr w:wrap="around" w:x="1382" w:y="3031"/>
        <w:jc w:val="center"/>
        <w:rPr>
          <w:lang w:val="fr-FR"/>
        </w:rPr>
      </w:pPr>
      <w:r>
        <w:rPr>
          <w:rFonts w:hint="eastAsia"/>
          <w:lang w:val="fr-FR"/>
        </w:rPr>
        <w:t>————————————————————————————————————————</w:t>
      </w:r>
    </w:p>
    <w:p w14:paraId="6FC5B5F6">
      <w:pPr>
        <w:pStyle w:val="39"/>
        <w:framePr w:wrap="around" w:x="1382" w:y="3031"/>
        <w:rPr>
          <w:lang w:val="fr-FR"/>
        </w:rPr>
      </w:pPr>
    </w:p>
    <w:p w14:paraId="26A7FBB0">
      <w:pPr>
        <w:pStyle w:val="38"/>
        <w:keepNext/>
        <w:keepLines/>
        <w:framePr w:w="9116" w:h="5274" w:hRule="exact" w:wrap="around" w:vAnchor="page" w:hAnchor="page" w:x="1327" w:y="6897" w:anchorLock="1"/>
        <w:ind w:firstLine="0"/>
        <w:jc w:val="center"/>
        <w:outlineLvl w:val="9"/>
        <w:rPr>
          <w:rFonts w:hint="eastAsia" w:ascii="黑体" w:hAnsi="黑体" w:eastAsia="黑体" w:cs="黑体"/>
          <w:color w:val="C00000"/>
          <w:sz w:val="52"/>
          <w:szCs w:val="52"/>
          <w:lang w:val="en-US" w:eastAsia="zh-CN"/>
        </w:rPr>
      </w:pPr>
      <w:bookmarkStart w:id="1" w:name="StdEnglishName"/>
      <w:r>
        <w:rPr>
          <w:rFonts w:hint="eastAsia" w:ascii="黑体" w:hAnsi="黑体" w:eastAsia="黑体" w:cs="黑体"/>
          <w:color w:val="000000" w:themeColor="text1"/>
          <w:sz w:val="52"/>
          <w:szCs w:val="52"/>
          <w:lang w:val="en-US" w:eastAsia="zh-CN"/>
          <w14:textFill>
            <w14:solidFill>
              <w14:schemeClr w14:val="tx1"/>
            </w14:solidFill>
          </w14:textFill>
        </w:rPr>
        <w:t>“五端共管”免陪照护数智化管理平台功能要求</w:t>
      </w:r>
    </w:p>
    <w:p w14:paraId="156F5406">
      <w:pPr>
        <w:pStyle w:val="38"/>
        <w:keepNext/>
        <w:keepLines/>
        <w:framePr w:w="9116" w:h="5274" w:hRule="exact" w:wrap="around" w:vAnchor="page" w:hAnchor="page" w:x="1327" w:y="6897" w:anchorLock="1"/>
        <w:ind w:firstLine="0"/>
        <w:jc w:val="center"/>
        <w:outlineLvl w:val="9"/>
        <w:rPr>
          <w:rFonts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lang w:val="en-US" w:eastAsia="zh-CN"/>
        </w:rPr>
        <w:t xml:space="preserve">Functional </w:t>
      </w:r>
      <w:r>
        <w:rPr>
          <w:rFonts w:hint="eastAsia" w:ascii="Times New Roman" w:hAnsi="Times New Roman" w:eastAsia="黑体" w:cs="Times New Roman"/>
          <w:color w:val="000000"/>
          <w:sz w:val="28"/>
          <w:szCs w:val="28"/>
          <w:lang w:val="en-US" w:eastAsia="zh-CN"/>
        </w:rPr>
        <w:t>s</w:t>
      </w:r>
      <w:r>
        <w:rPr>
          <w:rFonts w:ascii="Times New Roman" w:hAnsi="Times New Roman" w:eastAsia="黑体" w:cs="Times New Roman"/>
          <w:color w:val="000000"/>
          <w:sz w:val="28"/>
          <w:szCs w:val="28"/>
          <w:lang w:val="en-US" w:eastAsia="zh-CN"/>
        </w:rPr>
        <w:t>pecifications for the "</w:t>
      </w:r>
      <w:r>
        <w:rPr>
          <w:rFonts w:hint="eastAsia" w:ascii="Times New Roman" w:hAnsi="Times New Roman" w:eastAsia="黑体" w:cs="Times New Roman"/>
          <w:color w:val="000000"/>
          <w:sz w:val="28"/>
          <w:szCs w:val="28"/>
          <w:lang w:val="en-US" w:eastAsia="zh-CN"/>
        </w:rPr>
        <w:t>f</w:t>
      </w:r>
      <w:r>
        <w:rPr>
          <w:rFonts w:ascii="Times New Roman" w:hAnsi="Times New Roman" w:eastAsia="黑体" w:cs="Times New Roman"/>
          <w:color w:val="000000"/>
          <w:sz w:val="28"/>
          <w:szCs w:val="28"/>
          <w:lang w:val="en-US" w:eastAsia="zh-CN"/>
        </w:rPr>
        <w:t>ive-</w:t>
      </w:r>
      <w:r>
        <w:rPr>
          <w:rFonts w:hint="eastAsia" w:ascii="Times New Roman" w:hAnsi="Times New Roman" w:eastAsia="黑体" w:cs="Times New Roman"/>
          <w:color w:val="000000"/>
          <w:sz w:val="28"/>
          <w:szCs w:val="28"/>
          <w:lang w:val="en-US" w:eastAsia="zh-CN"/>
        </w:rPr>
        <w:t>t</w:t>
      </w:r>
      <w:r>
        <w:rPr>
          <w:rFonts w:ascii="Times New Roman" w:hAnsi="Times New Roman" w:eastAsia="黑体" w:cs="Times New Roman"/>
          <w:color w:val="000000"/>
          <w:sz w:val="28"/>
          <w:szCs w:val="28"/>
          <w:lang w:val="en-US" w:eastAsia="zh-CN"/>
        </w:rPr>
        <w:t xml:space="preserve">erminal </w:t>
      </w:r>
      <w:r>
        <w:rPr>
          <w:rFonts w:hint="eastAsia" w:ascii="Times New Roman" w:hAnsi="Times New Roman" w:eastAsia="黑体" w:cs="Times New Roman"/>
          <w:color w:val="000000"/>
          <w:sz w:val="28"/>
          <w:szCs w:val="28"/>
          <w:lang w:val="en-US" w:eastAsia="zh-CN"/>
        </w:rPr>
        <w:t>j</w:t>
      </w:r>
      <w:r>
        <w:rPr>
          <w:rFonts w:ascii="Times New Roman" w:hAnsi="Times New Roman" w:eastAsia="黑体" w:cs="Times New Roman"/>
          <w:color w:val="000000"/>
          <w:sz w:val="28"/>
          <w:szCs w:val="28"/>
          <w:lang w:val="en-US" w:eastAsia="zh-CN"/>
        </w:rPr>
        <w:t xml:space="preserve">oint </w:t>
      </w:r>
      <w:r>
        <w:rPr>
          <w:rFonts w:hint="eastAsia" w:ascii="Times New Roman" w:hAnsi="Times New Roman" w:eastAsia="黑体" w:cs="Times New Roman"/>
          <w:color w:val="000000"/>
          <w:sz w:val="28"/>
          <w:szCs w:val="28"/>
          <w:lang w:val="en-US" w:eastAsia="zh-CN"/>
        </w:rPr>
        <w:t>g</w:t>
      </w:r>
      <w:r>
        <w:rPr>
          <w:rFonts w:ascii="Times New Roman" w:hAnsi="Times New Roman" w:eastAsia="黑体" w:cs="Times New Roman"/>
          <w:color w:val="000000"/>
          <w:sz w:val="28"/>
          <w:szCs w:val="28"/>
          <w:lang w:val="en-US" w:eastAsia="zh-CN"/>
        </w:rPr>
        <w:t xml:space="preserve">overnance" </w:t>
      </w:r>
      <w:r>
        <w:rPr>
          <w:rFonts w:hint="eastAsia" w:ascii="Times New Roman" w:hAnsi="Times New Roman" w:eastAsia="黑体" w:cs="Times New Roman"/>
          <w:color w:val="000000"/>
          <w:sz w:val="28"/>
          <w:szCs w:val="28"/>
          <w:lang w:val="en-US" w:eastAsia="zh-CN"/>
        </w:rPr>
        <w:t>d</w:t>
      </w:r>
      <w:r>
        <w:rPr>
          <w:rFonts w:ascii="Times New Roman" w:hAnsi="Times New Roman" w:eastAsia="黑体" w:cs="Times New Roman"/>
          <w:color w:val="000000"/>
          <w:sz w:val="28"/>
          <w:szCs w:val="28"/>
          <w:lang w:val="en-US" w:eastAsia="zh-CN"/>
        </w:rPr>
        <w:t>igital-</w:t>
      </w:r>
      <w:r>
        <w:rPr>
          <w:rFonts w:hint="eastAsia" w:ascii="Times New Roman" w:hAnsi="Times New Roman" w:eastAsia="黑体" w:cs="Times New Roman"/>
          <w:color w:val="000000"/>
          <w:sz w:val="28"/>
          <w:szCs w:val="28"/>
          <w:lang w:val="en-US" w:eastAsia="zh-CN"/>
        </w:rPr>
        <w:t>i</w:t>
      </w:r>
      <w:r>
        <w:rPr>
          <w:rFonts w:ascii="Times New Roman" w:hAnsi="Times New Roman" w:eastAsia="黑体" w:cs="Times New Roman"/>
          <w:color w:val="000000"/>
          <w:sz w:val="28"/>
          <w:szCs w:val="28"/>
          <w:lang w:val="en-US" w:eastAsia="zh-CN"/>
        </w:rPr>
        <w:t xml:space="preserve">ntelligent unaccompanied </w:t>
      </w:r>
      <w:r>
        <w:rPr>
          <w:rFonts w:hint="eastAsia" w:ascii="Times New Roman" w:hAnsi="Times New Roman" w:eastAsia="黑体" w:cs="Times New Roman"/>
          <w:color w:val="000000"/>
          <w:sz w:val="28"/>
          <w:szCs w:val="28"/>
          <w:lang w:val="en-US" w:eastAsia="zh-CN"/>
        </w:rPr>
        <w:t>c</w:t>
      </w:r>
      <w:r>
        <w:rPr>
          <w:rFonts w:ascii="Times New Roman" w:hAnsi="Times New Roman" w:eastAsia="黑体" w:cs="Times New Roman"/>
          <w:color w:val="000000"/>
          <w:sz w:val="28"/>
          <w:szCs w:val="28"/>
          <w:lang w:val="en-US" w:eastAsia="zh-CN"/>
        </w:rPr>
        <w:t xml:space="preserve">are </w:t>
      </w:r>
      <w:r>
        <w:rPr>
          <w:rFonts w:hint="eastAsia" w:ascii="Times New Roman" w:hAnsi="Times New Roman" w:eastAsia="黑体" w:cs="Times New Roman"/>
          <w:color w:val="000000"/>
          <w:sz w:val="28"/>
          <w:szCs w:val="28"/>
          <w:lang w:val="en-US" w:eastAsia="zh-CN"/>
        </w:rPr>
        <w:t>s</w:t>
      </w:r>
      <w:r>
        <w:rPr>
          <w:rFonts w:ascii="Times New Roman" w:hAnsi="Times New Roman" w:eastAsia="黑体" w:cs="Times New Roman"/>
          <w:color w:val="000000"/>
          <w:sz w:val="28"/>
          <w:szCs w:val="28"/>
          <w:lang w:val="en-US" w:eastAsia="zh-CN"/>
        </w:rPr>
        <w:t xml:space="preserve">ervice </w:t>
      </w:r>
      <w:r>
        <w:rPr>
          <w:rFonts w:hint="eastAsia" w:ascii="Times New Roman" w:hAnsi="Times New Roman" w:eastAsia="黑体" w:cs="Times New Roman"/>
          <w:color w:val="000000"/>
          <w:sz w:val="28"/>
          <w:szCs w:val="28"/>
          <w:lang w:val="en-US" w:eastAsia="zh-CN"/>
        </w:rPr>
        <w:t>p</w:t>
      </w:r>
      <w:r>
        <w:rPr>
          <w:rFonts w:ascii="Times New Roman" w:hAnsi="Times New Roman" w:eastAsia="黑体" w:cs="Times New Roman"/>
          <w:color w:val="000000"/>
          <w:sz w:val="28"/>
          <w:szCs w:val="28"/>
          <w:lang w:val="en-US" w:eastAsia="zh-CN"/>
        </w:rPr>
        <w:t>latform</w:t>
      </w:r>
    </w:p>
    <w:p w14:paraId="27F12868">
      <w:pPr>
        <w:pStyle w:val="38"/>
        <w:keepNext/>
        <w:keepLines/>
        <w:framePr w:w="9116" w:h="5274" w:hRule="exact" w:wrap="around" w:vAnchor="page" w:hAnchor="page" w:x="1327" w:y="6897" w:anchorLock="1"/>
        <w:ind w:firstLine="0"/>
        <w:jc w:val="center"/>
        <w:outlineLvl w:val="9"/>
        <w:rPr>
          <w:rFonts w:hint="eastAsia" w:ascii="Times New Roman" w:hAnsi="Times New Roman" w:cs="Times New Roman"/>
          <w:b/>
          <w:bCs/>
          <w:color w:val="000000"/>
          <w:sz w:val="28"/>
          <w:szCs w:val="28"/>
          <w:lang w:val="en-US" w:eastAsia="zh-CN"/>
        </w:rPr>
      </w:pPr>
      <w:r>
        <w:rPr>
          <w:rFonts w:hint="eastAsia" w:ascii="黑体" w:hAnsi="黑体" w:eastAsia="黑体" w:cs="黑体"/>
          <w:color w:val="000000"/>
          <w:sz w:val="28"/>
          <w:szCs w:val="28"/>
          <w:lang w:val="en-US" w:eastAsia="zh-CN"/>
        </w:rPr>
        <w:t>(征求意见稿）</w:t>
      </w:r>
    </w:p>
    <w:p w14:paraId="69A7F751">
      <w:pPr>
        <w:pStyle w:val="45"/>
        <w:framePr w:w="9331" w:wrap="around" w:hAnchor="page" w:x="1486" w:y="15099"/>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6BC7E0F3">
      <w:pPr>
        <w:pStyle w:val="43"/>
        <w:framePr w:wrap="around"/>
        <w:rPr>
          <w:rFonts w:hint="eastAsia"/>
          <w:b/>
          <w:sz w:val="28"/>
          <w:szCs w:val="28"/>
        </w:rPr>
      </w:pPr>
      <w:r>
        <w:rPr>
          <w:rFonts w:hint="eastAsia"/>
          <w:sz w:val="28"/>
          <w:szCs w:val="28"/>
        </w:rPr>
        <w:t>中国研究型医院学会 发布</w:t>
      </w:r>
      <w:bookmarkEnd w:id="1"/>
    </w:p>
    <w:p w14:paraId="6E0DB426">
      <w:pPr>
        <w:rPr>
          <w:rFonts w:hint="eastAsia" w:eastAsia="宋体"/>
        </w:rPr>
      </w:pPr>
      <w:r>
        <w:rPr>
          <w:rFonts w:hint="eastAsia" w:eastAsia="宋体"/>
        </w:rPr>
        <w:drawing>
          <wp:anchor distT="0" distB="0" distL="114300" distR="114300" simplePos="0" relativeHeight="251665408"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1EC508F9">
      <w:pPr>
        <w:spacing w:line="360" w:lineRule="auto"/>
        <w:jc w:val="center"/>
        <w:rPr>
          <w:rFonts w:hint="eastAsia" w:ascii="宋体" w:hAnsi="宋体" w:eastAsia="宋体" w:cs="Times New Roman"/>
          <w:bCs/>
          <w:sz w:val="24"/>
          <w:szCs w:val="24"/>
        </w:rPr>
      </w:pPr>
    </w:p>
    <w:p w14:paraId="07F5F2FB">
      <w:pPr>
        <w:spacing w:line="360" w:lineRule="auto"/>
        <w:jc w:val="center"/>
        <w:rPr>
          <w:rFonts w:hint="eastAsia" w:ascii="宋体" w:hAnsi="宋体" w:eastAsia="宋体" w:cs="Times New Roman"/>
          <w:bCs/>
          <w:sz w:val="24"/>
          <w:szCs w:val="24"/>
        </w:rPr>
      </w:pPr>
    </w:p>
    <w:p w14:paraId="01773558">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7E500253">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Theme="minorHAnsi" w:hAnsiTheme="minorHAnsi" w:eastAsiaTheme="minorEastAsia" w:cstheme="minorBidi"/>
          <w:color w:val="auto"/>
          <w:kern w:val="2"/>
          <w:sz w:val="21"/>
          <w:szCs w:val="22"/>
          <w:lang w:val="zh-CN"/>
        </w:rPr>
        <w:id w:val="122657363"/>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678B3163">
          <w:pPr>
            <w:pStyle w:val="56"/>
            <w:rPr>
              <w:rFonts w:hint="eastAsia"/>
              <w:sz w:val="21"/>
              <w:szCs w:val="21"/>
            </w:rPr>
          </w:pPr>
        </w:p>
        <w:p w14:paraId="01DD55C1">
          <w:pPr>
            <w:pStyle w:val="8"/>
            <w:tabs>
              <w:tab w:val="right" w:leader="dot" w:pos="8296"/>
            </w:tabs>
            <w:rPr>
              <w:rFonts w:hint="eastAsia" w:ascii="Times New Roman" w:hAnsi="Times New Roman" w:eastAsia="宋体" w:cs="Times New Roman"/>
              <w:sz w:val="22"/>
              <w:szCs w:val="24"/>
              <w14:ligatures w14:val="standardContextual"/>
            </w:rPr>
          </w:pPr>
          <w:r>
            <w:fldChar w:fldCharType="begin"/>
          </w:r>
          <w:r>
            <w:instrText xml:space="preserve"> TOC \o "1-3" \h \z \u </w:instrText>
          </w:r>
          <w:r>
            <w:fldChar w:fldCharType="separate"/>
          </w: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"_Toc216597494"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_Toc216597494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232F83D0">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"_Toc216597495"</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引言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_Toc216597495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III</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0E08CF7">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"_Toc216597496"</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1 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_Toc216597496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18CDEBB">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"_Toc216597497"</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2 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_Toc216597497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449A7A4">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"_Toc216597498"</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3 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_Toc216597498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8B11438">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"_Toc216597499"</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4 总体要求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_Toc216597499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1C6199CA">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"_Toc216597500"</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5 总体架构</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_Toc216597500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67558E02">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"_Toc216597501"</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6 功能要求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_Toc216597501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835C255">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"_Toc216597502"</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7 非功能性要求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_Toc216597502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216D2E64">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"_Toc216597503"</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8 数据、接口与安全要求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_Toc216597503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499814D">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"_Toc216597504"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9 运行与维护管理</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_Toc216597504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FE902E9">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"_Toc216597505"</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A</w:t>
          </w:r>
          <w:r>
            <w:rPr>
              <w:rStyle w:val="17"/>
              <w:rFonts w:hint="eastAsia" w:ascii="Times New Roman" w:hAnsi="Times New Roman" w:eastAsia="宋体" w:cs="Times New Roman"/>
              <w:bCs/>
            </w:rPr>
            <w:t>（</w:t>
          </w:r>
          <w:r>
            <w:rPr>
              <w:rStyle w:val="17"/>
              <w:rFonts w:ascii="Times New Roman" w:hAnsi="Times New Roman" w:eastAsia="宋体" w:cs="Times New Roman"/>
              <w:bCs/>
            </w:rPr>
            <w:t>资料性</w:t>
          </w:r>
          <w:r>
            <w:rPr>
              <w:rStyle w:val="17"/>
              <w:rFonts w:hint="eastAsia" w:ascii="Times New Roman" w:hAnsi="Times New Roman" w:eastAsia="宋体" w:cs="Times New Roman"/>
              <w:bCs/>
            </w:rPr>
            <w:t>）核</w:t>
          </w:r>
          <w:r>
            <w:rPr>
              <w:rStyle w:val="17"/>
              <w:rFonts w:ascii="Times New Roman" w:hAnsi="Times New Roman" w:eastAsia="宋体" w:cs="Times New Roman"/>
              <w:bCs/>
            </w:rPr>
            <w:t>心功能测试用例示例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_Toc216597505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8</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69217830">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"_Toc216597508"</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_Toc216597508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10</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61F27F6D">
          <w:pPr>
            <w:rPr>
              <w:rFonts w:hint="eastAsia"/>
            </w:rPr>
          </w:pPr>
          <w:r>
            <w:rPr>
              <w:b/>
              <w:bCs/>
              <w:lang w:val="zh-CN"/>
            </w:rPr>
            <w:fldChar w:fldCharType="end"/>
          </w:r>
        </w:p>
      </w:sdtContent>
    </w:sdt>
    <w:p w14:paraId="79E7D768">
      <w:pPr>
        <w:pStyle w:val="8"/>
        <w:jc w:val="center"/>
        <w:rPr>
          <w:rFonts w:hint="eastAsia"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79F1A242">
      <w:pPr>
        <w:pStyle w:val="8"/>
        <w:spacing w:before="312" w:beforeLines="100" w:after="312" w:afterLines="100"/>
        <w:jc w:val="center"/>
        <w:outlineLvl w:val="0"/>
        <w:rPr>
          <w:rFonts w:hint="eastAsia"/>
        </w:rPr>
      </w:pPr>
      <w:bookmarkStart w:id="2" w:name="_Toc216597494"/>
      <w:r>
        <w:rPr>
          <w:rFonts w:hint="eastAsia" w:ascii="黑体" w:hAnsi="黑体" w:eastAsia="黑体" w:cs="黑体"/>
          <w:sz w:val="32"/>
          <w:szCs w:val="32"/>
        </w:rPr>
        <w:t>前  言</w:t>
      </w:r>
      <w:bookmarkEnd w:id="2"/>
    </w:p>
    <w:p w14:paraId="45EAC718">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 第1部分：标准化文件的结构和起草规则》的规定起草。</w:t>
      </w:r>
    </w:p>
    <w:p w14:paraId="5AE4CD24">
      <w:pPr>
        <w:pStyle w:val="48"/>
        <w:spacing w:line="240" w:lineRule="auto"/>
        <w:rPr>
          <w:rFonts w:hint="eastAsia" w:ascii="Times New Roman" w:hAnsi="Times New Roman"/>
          <w:color w:val="000000" w:themeColor="text1"/>
          <w14:textFill>
            <w14:solidFill>
              <w14:schemeClr w14:val="tx1"/>
            </w14:solidFill>
          </w14:textFill>
        </w:rPr>
      </w:pPr>
      <w:r>
        <w:rPr>
          <w:rFonts w:hint="eastAsia"/>
        </w:rPr>
        <w:t>请注意</w:t>
      </w:r>
      <w:r>
        <w:rPr>
          <w:rFonts w:hint="eastAsia"/>
          <w:color w:val="000000" w:themeColor="text1"/>
          <w14:textFill>
            <w14:solidFill>
              <w14:schemeClr w14:val="tx1"/>
            </w14:solidFill>
          </w14:textFill>
        </w:rPr>
        <w:t>本文件的某些内容可能涉及专利。本文件的发布机构不承担识别专利的责任。</w:t>
      </w:r>
    </w:p>
    <w:p w14:paraId="169ECDB9">
      <w:pPr>
        <w:spacing w:line="24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本文件由中国研究型医院学会归口。</w:t>
      </w:r>
    </w:p>
    <w:p w14:paraId="6546FE68">
      <w:pPr>
        <w:spacing w:line="24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本文件起草单位：。</w:t>
      </w:r>
    </w:p>
    <w:p w14:paraId="6F9AD191">
      <w:pPr>
        <w:spacing w:line="24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本文件主要起草人：。</w:t>
      </w:r>
    </w:p>
    <w:p w14:paraId="21669632">
      <w:pPr>
        <w:rPr>
          <w:rFonts w:hint="eastAsia" w:ascii="宋体" w:hAnsi="宋体" w:eastAsia="宋体" w:cs="Times New Roman"/>
          <w:color w:val="002060"/>
          <w:szCs w:val="21"/>
        </w:rPr>
      </w:pPr>
      <w:r>
        <w:rPr>
          <w:rFonts w:hint="eastAsia" w:ascii="宋体" w:hAnsi="宋体" w:eastAsia="宋体" w:cs="Times New Roman"/>
          <w:color w:val="002060"/>
          <w:szCs w:val="21"/>
        </w:rPr>
        <w:br w:type="page"/>
      </w:r>
    </w:p>
    <w:p w14:paraId="779CD301">
      <w:pPr>
        <w:pStyle w:val="8"/>
        <w:spacing w:before="312" w:beforeLines="100" w:after="312" w:afterLines="100"/>
        <w:jc w:val="center"/>
        <w:outlineLvl w:val="0"/>
        <w:rPr>
          <w:rFonts w:hint="eastAsia" w:ascii="黑体" w:hAnsi="黑体" w:eastAsia="黑体" w:cs="黑体"/>
          <w:sz w:val="32"/>
          <w:szCs w:val="32"/>
        </w:rPr>
      </w:pPr>
      <w:bookmarkStart w:id="3" w:name="_Toc216597495"/>
      <w:bookmarkStart w:id="4" w:name="_Toc10029"/>
      <w:r>
        <w:rPr>
          <w:rFonts w:hint="eastAsia" w:ascii="黑体" w:hAnsi="黑体" w:eastAsia="黑体" w:cs="黑体"/>
          <w:sz w:val="32"/>
          <w:szCs w:val="32"/>
        </w:rPr>
        <w:t>引  言</w:t>
      </w:r>
      <w:bookmarkEnd w:id="3"/>
      <w:bookmarkEnd w:id="4"/>
    </w:p>
    <w:p w14:paraId="5657BB35">
      <w:pPr>
        <w:pStyle w:val="44"/>
        <w:spacing w:line="240" w:lineRule="auto"/>
      </w:pPr>
      <w:r>
        <w:t>当前我国人口老龄化进程加</w:t>
      </w:r>
      <w:r>
        <w:rPr>
          <w:rFonts w:hint="eastAsia" w:ascii="宋体" w:hAnsi="宋体" w:cs="宋体"/>
        </w:rPr>
        <w:t>速，“陪护难、陪护贵”已成为制约群众就医体验、加重家庭与社会负担的突出</w:t>
      </w:r>
      <w:r>
        <w:rPr>
          <w:rFonts w:hint="eastAsia"/>
        </w:rPr>
        <w:t>问题。推行免陪照护服务，是国家卫健委着眼于优化护理服务供给、切实改善民生的重要部署。</w:t>
      </w:r>
      <w:r>
        <w:t>在免陪照护服务的推广与深化过程中，传统的人工管理与调度方式逐渐暴露出其局限性，例如：多角色间信息壁垒导致协同效率低下；服务过程缺乏透明化、标准化记录，质量追溯与持续改进困难；对患者潜在风险的预警与干预存在延迟；以及医疗护理员队伍的专业化培训、精细化管理与人性化赋能手段不足等。这些挑战制约了免陪照护服务向规模化、同质化、高品质方向的健康发展。</w:t>
      </w:r>
    </w:p>
    <w:p w14:paraId="7EB5C52E">
      <w:pPr>
        <w:widowControl/>
        <w:spacing w:line="240" w:lineRule="auto"/>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为系统性地应对上述挑战，构建数字化、智能化的管理平台成为必然趋势。本文件旨在规范“五端共管”免陪照护数智化管理平台的功能。平台秉持“以患者为中心”的理念，通过构建连接</w:t>
      </w:r>
      <w:r>
        <w:rPr>
          <w:rStyle w:val="15"/>
          <w:rFonts w:hint="eastAsia" w:ascii="Times New Roman" w:hAnsi="Times New Roman" w:eastAsia="宋体" w:cs="Times New Roman"/>
          <w:b w:val="0"/>
          <w:szCs w:val="21"/>
        </w:rPr>
        <w:t>医护端、护理员端、患者端、家属端及管理端</w:t>
      </w:r>
      <w:r>
        <w:rPr>
          <w:rFonts w:hint="eastAsia" w:ascii="Times New Roman" w:hAnsi="Times New Roman" w:eastAsia="宋体" w:cs="Times New Roman"/>
          <w:szCs w:val="21"/>
        </w:rPr>
        <w:t>的数字化协同中枢，将物联网、云计算及数据分析技术与临床照护实践深度融合，以此重塑服务流程、固化质控标准、明晰权责边界。最终赋能护士的专业决策，规范医疗护理员的照护行为，保障患者安全与权益，满足家属的远程关怀需求，并为管理者提供科学决策支持。</w:t>
      </w:r>
    </w:p>
    <w:p w14:paraId="0D8499B0">
      <w:pPr>
        <w:spacing w:line="240" w:lineRule="auto"/>
        <w:ind w:firstLine="420" w:firstLineChars="200"/>
        <w:rPr>
          <w:rFonts w:hint="eastAsia" w:ascii="宋体" w:hAnsi="宋体" w:eastAsia="宋体" w:cs="Times New Roman"/>
          <w:szCs w:val="21"/>
        </w:rPr>
      </w:pPr>
      <w:r>
        <w:rPr>
          <w:rFonts w:hint="eastAsia" w:ascii="Times New Roman" w:hAnsi="Times New Roman" w:eastAsia="宋体" w:cs="Times New Roman"/>
          <w:szCs w:val="21"/>
        </w:rPr>
        <w:t>本文件的发布与实施，是对国家及地方卫生健康主管部门相关政策的积极响应，为各级医疗机构及相关服务商建设与应用此类平台提供统一的技术规范与功能基准，推动免陪照护服务从“模式创新”迈向“质量管理增效”，助力构建一个安全、优质、高效、协同且富有人文关怀的住院照护新生态。</w:t>
      </w:r>
    </w:p>
    <w:p w14:paraId="3308BBD2">
      <w:pPr>
        <w:spacing w:line="360" w:lineRule="exact"/>
        <w:ind w:firstLine="420" w:firstLineChars="200"/>
        <w:rPr>
          <w:rFonts w:hint="eastAsia"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br w:type="page"/>
      </w:r>
    </w:p>
    <w:p w14:paraId="711A3AAE">
      <w:pPr>
        <w:spacing w:before="0" w:beforeLines="-2147483648" w:after="0" w:afterLines="-2147483648"/>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“五端共管”免陪照护数智化管理平台功能要求</w:t>
      </w:r>
    </w:p>
    <w:p w14:paraId="164A2BC9">
      <w:pPr>
        <w:pStyle w:val="19"/>
        <w:spacing w:before="312" w:beforeLines="100" w:after="312" w:afterLines="100"/>
        <w:ind w:firstLine="0" w:firstLineChars="0"/>
        <w:jc w:val="left"/>
        <w:outlineLvl w:val="0"/>
        <w:rPr>
          <w:rFonts w:hint="eastAsia" w:ascii="黑体" w:hAnsi="黑体" w:eastAsia="黑体" w:cs="黑体"/>
          <w:bCs/>
          <w:szCs w:val="21"/>
        </w:rPr>
      </w:pPr>
      <w:bookmarkStart w:id="5" w:name="_Toc216597496"/>
      <w:r>
        <w:rPr>
          <w:rFonts w:ascii="黑体" w:hAnsi="黑体" w:eastAsia="黑体" w:cs="Heiti SC Medium"/>
          <w:bCs/>
          <w:szCs w:val="21"/>
        </w:rPr>
        <w:t>1</w:t>
      </w:r>
      <w:r>
        <w:rPr>
          <w:rFonts w:hint="eastAsia" w:ascii="黑体" w:hAnsi="黑体" w:eastAsia="黑体" w:cs="Heiti SC Medium"/>
          <w:bCs/>
          <w:szCs w:val="21"/>
        </w:rPr>
        <w:t xml:space="preserve"> </w:t>
      </w:r>
      <w:r>
        <w:rPr>
          <w:rFonts w:hint="eastAsia" w:ascii="黑体" w:hAnsi="黑体" w:eastAsia="黑体" w:cs="黑体"/>
          <w:bCs/>
          <w:szCs w:val="21"/>
        </w:rPr>
        <w:t>范围</w:t>
      </w:r>
      <w:bookmarkEnd w:id="5"/>
    </w:p>
    <w:p w14:paraId="367E7A30">
      <w:pPr>
        <w:spacing w:line="240" w:lineRule="auto"/>
        <w:ind w:firstLine="420" w:firstLineChars="200"/>
        <w:jc w:val="both"/>
        <w:rPr>
          <w:rFonts w:hint="eastAsia" w:ascii="宋体" w:hAnsi="宋体" w:eastAsia="宋体" w:cs="宋体"/>
          <w:szCs w:val="21"/>
        </w:rPr>
      </w:pPr>
      <w:r>
        <w:rPr>
          <w:rFonts w:hint="eastAsia" w:ascii="宋体" w:hAnsi="宋体" w:eastAsia="宋体" w:cs="宋体"/>
          <w:szCs w:val="21"/>
        </w:rPr>
        <w:t>本文件规定了免陪照护病房数智化管理平台的总体要求、总体架构、功能要求、非功能性要求及数据、接口与安全要求及运行与维护管理。</w:t>
      </w:r>
    </w:p>
    <w:p w14:paraId="2D2257CF">
      <w:pPr>
        <w:spacing w:line="240" w:lineRule="auto"/>
        <w:ind w:firstLine="420" w:firstLineChars="200"/>
        <w:jc w:val="both"/>
        <w:rPr>
          <w:rFonts w:hint="eastAsia" w:ascii="宋体" w:hAnsi="宋体" w:eastAsia="宋体" w:cs="宋体"/>
          <w:szCs w:val="21"/>
        </w:rPr>
      </w:pPr>
      <w:r>
        <w:rPr>
          <w:rFonts w:hint="eastAsia" w:ascii="宋体" w:hAnsi="宋体" w:eastAsia="宋体" w:cs="宋体"/>
          <w:szCs w:val="21"/>
        </w:rPr>
        <w:t>本文件适用于各级医疗机构免陪照护病房数智化管理平台的功能设计、开发、选型、部署及管理，其他单位或企业参照执行。</w:t>
      </w:r>
    </w:p>
    <w:p w14:paraId="198F67E9">
      <w:pPr>
        <w:pStyle w:val="19"/>
        <w:spacing w:before="312" w:beforeLines="100" w:after="312" w:afterLines="100"/>
        <w:ind w:firstLine="0" w:firstLineChars="0"/>
        <w:jc w:val="left"/>
        <w:outlineLvl w:val="0"/>
        <w:rPr>
          <w:rFonts w:hint="eastAsia" w:ascii="黑体" w:hAnsi="黑体" w:eastAsia="黑体" w:cs="Heiti SC Medium"/>
          <w:bCs/>
          <w:szCs w:val="21"/>
        </w:rPr>
      </w:pPr>
      <w:bookmarkStart w:id="6" w:name="_Toc216597497"/>
      <w:r>
        <w:rPr>
          <w:rFonts w:ascii="黑体" w:hAnsi="黑体" w:eastAsia="黑体" w:cs="Heiti SC Medium"/>
          <w:bCs/>
          <w:szCs w:val="21"/>
        </w:rPr>
        <w:t>2</w:t>
      </w:r>
      <w:r>
        <w:rPr>
          <w:rFonts w:hint="eastAsia" w:ascii="黑体" w:hAnsi="黑体" w:eastAsia="黑体" w:cs="Heiti SC Medium"/>
          <w:bCs/>
          <w:szCs w:val="21"/>
        </w:rPr>
        <w:t xml:space="preserve"> 规范性引用文件</w:t>
      </w:r>
      <w:bookmarkEnd w:id="6"/>
    </w:p>
    <w:p w14:paraId="2D92029A">
      <w:pPr>
        <w:pStyle w:val="4"/>
        <w:spacing w:before="0" w:line="240" w:lineRule="auto"/>
        <w:ind w:left="0" w:firstLine="404" w:firstLineChars="200"/>
        <w:rPr>
          <w:rFonts w:hint="eastAsia" w:cs="宋体"/>
        </w:rPr>
      </w:pPr>
      <w:bookmarkStart w:id="7" w:name="OLE_LINK10"/>
      <w:bookmarkStart w:id="8" w:name="_Hlk146830852"/>
      <w:r>
        <w:rPr>
          <w:rFonts w:cs="宋体"/>
          <w:color w:val="000000" w:themeColor="text1"/>
          <w:spacing w:val="-4"/>
          <w14:textFill>
            <w14:solidFill>
              <w14:schemeClr w14:val="tx1"/>
            </w14:solidFill>
          </w14:textFill>
        </w:rPr>
        <w:t>下列文件中的内容通过文中的规范性引用而构成本文件必不可少的条款。其中，</w:t>
      </w:r>
      <w:r>
        <w:rPr>
          <w:rFonts w:hint="eastAsia" w:cs="宋体"/>
          <w:color w:val="000000" w:themeColor="text1"/>
          <w:spacing w:val="-4"/>
          <w14:textFill>
            <w14:solidFill>
              <w14:schemeClr w14:val="tx1"/>
            </w14:solidFill>
          </w14:textFill>
        </w:rPr>
        <w:t>标</w:t>
      </w:r>
      <w:r>
        <w:rPr>
          <w:rFonts w:cs="宋体"/>
          <w:color w:val="000000" w:themeColor="text1"/>
          <w:spacing w:val="-4"/>
          <w14:textFill>
            <w14:solidFill>
              <w14:schemeClr w14:val="tx1"/>
            </w14:solidFill>
          </w14:textFill>
        </w:rPr>
        <w:t>注日期</w:t>
      </w:r>
      <w:r>
        <w:rPr>
          <w:rFonts w:cs="宋体"/>
          <w:color w:val="000000" w:themeColor="text1"/>
          <w14:textFill>
            <w14:solidFill>
              <w14:schemeClr w14:val="tx1"/>
            </w14:solidFill>
          </w14:textFill>
        </w:rPr>
        <w:t xml:space="preserve"> </w:t>
      </w:r>
      <w:r>
        <w:rPr>
          <w:rFonts w:cs="宋体"/>
          <w:color w:val="000000" w:themeColor="text1"/>
          <w:spacing w:val="-4"/>
          <w14:textFill>
            <w14:solidFill>
              <w14:schemeClr w14:val="tx1"/>
            </w14:solidFill>
          </w14:textFill>
        </w:rPr>
        <w:t>的引用文件，仅该日期对应的版本适用于本文件；不注日期的引用文件，其最新版本（包括</w:t>
      </w:r>
      <w:r>
        <w:rPr>
          <w:rFonts w:cs="宋体"/>
          <w:color w:val="000000" w:themeColor="text1"/>
          <w:spacing w:val="-44"/>
          <w14:textFill>
            <w14:solidFill>
              <w14:schemeClr w14:val="tx1"/>
            </w14:solidFill>
          </w14:textFill>
        </w:rPr>
        <w:t xml:space="preserve"> </w:t>
      </w:r>
      <w:r>
        <w:rPr>
          <w:rFonts w:cs="宋体"/>
          <w:color w:val="000000" w:themeColor="text1"/>
          <w14:textFill>
            <w14:solidFill>
              <w14:schemeClr w14:val="tx1"/>
            </w14:solidFill>
          </w14:textFill>
        </w:rPr>
        <w:t>所有的修改单）适用于本文件。</w:t>
      </w:r>
      <w:bookmarkEnd w:id="7"/>
      <w:bookmarkEnd w:id="8"/>
    </w:p>
    <w:p w14:paraId="557AA72F">
      <w:pPr>
        <w:spacing w:line="240" w:lineRule="auto"/>
        <w:ind w:firstLine="420" w:firstLineChars="200"/>
        <w:rPr>
          <w:rFonts w:ascii="Times New Roman" w:hAnsi="Times New Roman" w:eastAsia="宋体" w:cs="Times New Roman"/>
          <w:szCs w:val="21"/>
        </w:rPr>
      </w:pPr>
      <w:bookmarkStart w:id="9" w:name="OLE_LINK1"/>
      <w:r>
        <w:rPr>
          <w:rFonts w:ascii="Times New Roman" w:hAnsi="Times New Roman" w:eastAsia="宋体" w:cs="Times New Roman"/>
          <w:szCs w:val="21"/>
        </w:rPr>
        <w:t>GB/T 22239-2019</w:t>
      </w:r>
      <w:bookmarkEnd w:id="9"/>
      <w:r>
        <w:rPr>
          <w:rFonts w:ascii="Times New Roman" w:hAnsi="Times New Roman" w:eastAsia="宋体" w:cs="Times New Roman"/>
          <w:szCs w:val="21"/>
        </w:rPr>
        <w:t xml:space="preserve"> 信息安全技术 网络安全等级保护基本要求</w:t>
      </w:r>
    </w:p>
    <w:p w14:paraId="5D6C9CB9">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GB/T 35273-2020 信息安全技术 个人信息安全规范</w:t>
      </w:r>
    </w:p>
    <w:p w14:paraId="2AC55F91">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GB/T 39786-2021 信息安全技术 信息系统密码应用基本要求</w:t>
      </w:r>
    </w:p>
    <w:p w14:paraId="70F008E7">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WS 374-2012 卫生管理基本数据集</w:t>
      </w:r>
    </w:p>
    <w:p w14:paraId="43926DD8">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WS/T 303-2009 卫生信息数据元标准化规则</w:t>
      </w:r>
    </w:p>
    <w:p w14:paraId="638CCEE9">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WS/T 447-2014 基于电子病历的医院信息平台技术规范</w:t>
      </w:r>
    </w:p>
    <w:p w14:paraId="2BEA9983">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WS/T 500-2016 电子病历共享文档规范</w:t>
      </w:r>
    </w:p>
    <w:p w14:paraId="620FFA66">
      <w:pPr>
        <w:spacing w:line="240" w:lineRule="auto"/>
        <w:ind w:firstLine="420" w:firstLineChars="200"/>
        <w:rPr>
          <w:rFonts w:ascii="Times New Roman" w:hAnsi="Times New Roman" w:eastAsia="宋体" w:cs="Times New Roman"/>
          <w:szCs w:val="21"/>
        </w:rPr>
      </w:pPr>
      <w:bookmarkStart w:id="10" w:name="OLE_LINK2"/>
      <w:r>
        <w:rPr>
          <w:rFonts w:ascii="Times New Roman" w:hAnsi="Times New Roman" w:eastAsia="宋体" w:cs="Times New Roman"/>
          <w:szCs w:val="21"/>
        </w:rPr>
        <w:t>T/SHNA 0012</w:t>
      </w:r>
      <w:r>
        <w:rPr>
          <w:rFonts w:hint="eastAsia" w:ascii="Times New Roman" w:hAnsi="Times New Roman" w:eastAsia="宋体" w:cs="Times New Roman"/>
          <w:szCs w:val="21"/>
        </w:rPr>
        <w:t>-</w:t>
      </w:r>
      <w:r>
        <w:rPr>
          <w:rFonts w:ascii="Times New Roman" w:hAnsi="Times New Roman" w:eastAsia="宋体" w:cs="Times New Roman"/>
          <w:szCs w:val="21"/>
        </w:rPr>
        <w:t xml:space="preserve">2025 </w:t>
      </w:r>
      <w:bookmarkEnd w:id="10"/>
      <w:r>
        <w:rPr>
          <w:rFonts w:ascii="Times New Roman" w:hAnsi="Times New Roman" w:eastAsia="宋体" w:cs="Times New Roman"/>
          <w:szCs w:val="21"/>
        </w:rPr>
        <w:t>免陪照护服务基本规范</w:t>
      </w:r>
    </w:p>
    <w:p w14:paraId="1A0603A8">
      <w:pPr>
        <w:pStyle w:val="19"/>
        <w:spacing w:before="312" w:beforeLines="100" w:after="312" w:afterLines="100"/>
        <w:ind w:firstLine="0" w:firstLineChars="0"/>
        <w:jc w:val="left"/>
        <w:outlineLvl w:val="0"/>
        <w:rPr>
          <w:rFonts w:hint="eastAsia" w:ascii="黑体" w:hAnsi="黑体" w:eastAsia="黑体" w:cs="Heiti SC Medium"/>
          <w:bCs/>
          <w:szCs w:val="21"/>
        </w:rPr>
      </w:pPr>
      <w:bookmarkStart w:id="11" w:name="_Toc216597498"/>
      <w:r>
        <w:rPr>
          <w:rFonts w:ascii="黑体" w:hAnsi="黑体" w:eastAsia="黑体" w:cs="Heiti SC Medium"/>
          <w:bCs/>
          <w:szCs w:val="21"/>
        </w:rPr>
        <w:t>3</w:t>
      </w:r>
      <w:r>
        <w:rPr>
          <w:rFonts w:hint="eastAsia" w:ascii="黑体" w:hAnsi="黑体" w:eastAsia="黑体" w:cs="Heiti SC Medium"/>
          <w:bCs/>
          <w:szCs w:val="21"/>
        </w:rPr>
        <w:t xml:space="preserve"> 术语和定义</w:t>
      </w:r>
      <w:bookmarkEnd w:id="11"/>
    </w:p>
    <w:p w14:paraId="73C70D62">
      <w:pPr>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36596223">
      <w:pPr>
        <w:pStyle w:val="19"/>
        <w:numPr>
          <w:ilvl w:val="1"/>
          <w:numId w:val="0"/>
        </w:numPr>
        <w:spacing w:before="156" w:beforeLines="50" w:after="156" w:afterLines="50"/>
        <w:ind w:firstLine="420" w:firstLineChars="200"/>
        <w:jc w:val="left"/>
        <w:rPr>
          <w:rFonts w:hint="eastAsia" w:ascii="宋体" w:hAnsi="宋体" w:eastAsia="宋体" w:cs="Times New Roman"/>
          <w:b/>
          <w:szCs w:val="21"/>
        </w:rPr>
      </w:pPr>
      <w:r>
        <w:rPr>
          <w:rFonts w:ascii="黑体" w:hAnsi="黑体" w:eastAsia="黑体" w:cs="黑体"/>
          <w:szCs w:val="21"/>
        </w:rPr>
        <w:t>3.1</w:t>
      </w:r>
    </w:p>
    <w:p w14:paraId="1E16A42C">
      <w:pPr>
        <w:pStyle w:val="49"/>
        <w:numPr>
          <w:ilvl w:val="0"/>
          <w:numId w:val="0"/>
        </w:numPr>
        <w:spacing w:before="0" w:beforeLines="0" w:after="0" w:afterLines="0" w:line="240" w:lineRule="auto"/>
        <w:ind w:left="0" w:right="0" w:firstLine="420" w:firstLineChars="200"/>
        <w:jc w:val="both"/>
        <w:outlineLvl w:val="9"/>
        <w:rPr>
          <w:rFonts w:ascii="Times New Roman"/>
          <w:bCs/>
          <w:color w:val="FF0000"/>
        </w:rPr>
      </w:pPr>
      <w:r>
        <w:rPr>
          <w:rFonts w:ascii="Times New Roman"/>
          <w:bCs/>
          <w:color w:val="000000"/>
        </w:rPr>
        <w:t xml:space="preserve">免陪照护服务 </w:t>
      </w:r>
      <w:r>
        <w:rPr>
          <w:rFonts w:ascii="Times New Roman"/>
          <w:bCs/>
        </w:rPr>
        <w:t>unaccompanied care</w:t>
      </w:r>
    </w:p>
    <w:p w14:paraId="65A4DC16">
      <w:pPr>
        <w:adjustRightInd w:val="0"/>
        <w:snapToGrid w:val="0"/>
        <w:spacing w:line="240" w:lineRule="auto"/>
        <w:ind w:firstLine="420" w:firstLineChars="200"/>
        <w:rPr>
          <w:rFonts w:ascii="Times New Roman Regular" w:hAnsi="Times New Roman Regular" w:eastAsia="宋体" w:cs="Times New Roman Regular"/>
          <w:kern w:val="0"/>
          <w:szCs w:val="20"/>
        </w:rPr>
      </w:pPr>
      <w:r>
        <w:rPr>
          <w:rFonts w:ascii="Times New Roman Regular" w:hAnsi="Times New Roman Regular" w:eastAsia="宋体" w:cs="Times New Roman Regular"/>
          <w:kern w:val="0"/>
          <w:szCs w:val="20"/>
        </w:rPr>
        <w:t>患者住院期间</w:t>
      </w:r>
      <w:r>
        <w:rPr>
          <w:rFonts w:hint="eastAsia" w:ascii="Times New Roman Regular" w:hAnsi="Times New Roman Regular" w:eastAsia="宋体" w:cs="Times New Roman Regular"/>
          <w:kern w:val="0"/>
          <w:szCs w:val="20"/>
        </w:rPr>
        <w:t>，</w:t>
      </w:r>
      <w:r>
        <w:rPr>
          <w:rFonts w:ascii="Times New Roman Regular" w:hAnsi="Times New Roman Regular" w:eastAsia="宋体" w:cs="Times New Roman Regular"/>
          <w:kern w:val="0"/>
          <w:szCs w:val="20"/>
        </w:rPr>
        <w:t>在患者或其家属知情同意且自愿选择的基础上</w:t>
      </w:r>
      <w:r>
        <w:rPr>
          <w:rFonts w:hint="eastAsia" w:ascii="Times New Roman Regular" w:hAnsi="Times New Roman Regular" w:eastAsia="宋体" w:cs="Times New Roman Regular"/>
          <w:kern w:val="0"/>
          <w:szCs w:val="20"/>
        </w:rPr>
        <w:t>，</w:t>
      </w:r>
      <w:r>
        <w:rPr>
          <w:rFonts w:ascii="Times New Roman Regular" w:hAnsi="Times New Roman Regular" w:eastAsia="宋体" w:cs="Times New Roman Regular"/>
          <w:kern w:val="0"/>
          <w:szCs w:val="20"/>
        </w:rPr>
        <w:t>根据患者病情和生活自理能力等</w:t>
      </w:r>
      <w:r>
        <w:rPr>
          <w:rFonts w:hint="eastAsia" w:ascii="Times New Roman Regular" w:hAnsi="Times New Roman Regular" w:eastAsia="宋体" w:cs="Times New Roman Regular"/>
          <w:kern w:val="0"/>
          <w:szCs w:val="20"/>
        </w:rPr>
        <w:t>，</w:t>
      </w:r>
      <w:r>
        <w:rPr>
          <w:rFonts w:ascii="Times New Roman Regular" w:hAnsi="Times New Roman Regular" w:eastAsia="宋体" w:cs="Times New Roman Regular"/>
          <w:kern w:val="0"/>
          <w:szCs w:val="20"/>
        </w:rPr>
        <w:t>由护士或医院聘用医疗护理员提供的生活照护服务。</w:t>
      </w:r>
    </w:p>
    <w:p w14:paraId="009C295D">
      <w:pPr>
        <w:pStyle w:val="19"/>
        <w:numPr>
          <w:ilvl w:val="1"/>
          <w:numId w:val="0"/>
        </w:numPr>
        <w:spacing w:before="156" w:beforeLines="50" w:after="156" w:afterLines="50"/>
        <w:ind w:firstLineChars="0"/>
        <w:jc w:val="left"/>
        <w:rPr>
          <w:rFonts w:ascii="黑体" w:hAnsi="黑体" w:eastAsia="黑体" w:cs="黑体"/>
          <w:b/>
          <w:color w:val="000000"/>
          <w:szCs w:val="21"/>
        </w:rPr>
      </w:pPr>
      <w:r>
        <w:rPr>
          <w:rFonts w:hint="eastAsia" w:ascii="黑体" w:hAnsi="黑体" w:eastAsia="黑体" w:cs="黑体"/>
          <w:szCs w:val="21"/>
        </w:rPr>
        <w:t>3.2</w:t>
      </w:r>
    </w:p>
    <w:p w14:paraId="01EB8172">
      <w:pPr>
        <w:pStyle w:val="49"/>
        <w:numPr>
          <w:ilvl w:val="0"/>
          <w:numId w:val="0"/>
        </w:numPr>
        <w:spacing w:before="0" w:beforeLines="0" w:after="0" w:afterLines="0" w:line="240" w:lineRule="auto"/>
        <w:ind w:left="0" w:right="0" w:firstLine="420" w:firstLineChars="200"/>
        <w:jc w:val="both"/>
        <w:outlineLvl w:val="9"/>
        <w:rPr>
          <w:rFonts w:ascii="Times New Roman"/>
          <w:bCs/>
          <w:color w:val="000000"/>
        </w:rPr>
      </w:pPr>
      <w:r>
        <w:rPr>
          <w:rFonts w:hint="eastAsia" w:ascii="Times New Roman"/>
          <w:bCs/>
          <w:color w:val="000000"/>
        </w:rPr>
        <w:t>医疗护理员 nursing assistant/patient care assistant</w:t>
      </w:r>
    </w:p>
    <w:p w14:paraId="42D1AFC8">
      <w:pPr>
        <w:adjustRightInd w:val="0"/>
        <w:snapToGrid w:val="0"/>
        <w:spacing w:line="240" w:lineRule="auto"/>
        <w:ind w:firstLine="420" w:firstLineChars="200"/>
        <w:rPr>
          <w:rFonts w:ascii="Times New Roman Regular" w:hAnsi="Times New Roman Regular" w:eastAsia="宋体" w:cs="Times New Roman Regular"/>
          <w:kern w:val="0"/>
          <w:szCs w:val="20"/>
        </w:rPr>
      </w:pPr>
      <w:r>
        <w:rPr>
          <w:rFonts w:ascii="Times New Roman Regular" w:hAnsi="Times New Roman Regular" w:eastAsia="宋体" w:cs="Times New Roman Regular"/>
          <w:kern w:val="0"/>
          <w:szCs w:val="20"/>
        </w:rPr>
        <w:t>对病人和其他需要照护的人群提供生活照护</w:t>
      </w:r>
      <w:r>
        <w:rPr>
          <w:rFonts w:hint="eastAsia" w:ascii="Times New Roman Regular" w:hAnsi="Times New Roman Regular" w:eastAsia="宋体" w:cs="Times New Roman Regular"/>
          <w:kern w:val="0"/>
          <w:szCs w:val="20"/>
        </w:rPr>
        <w:t>，</w:t>
      </w:r>
      <w:r>
        <w:rPr>
          <w:rFonts w:ascii="Times New Roman Regular" w:hAnsi="Times New Roman Regular" w:eastAsia="宋体" w:cs="Times New Roman Regular"/>
          <w:kern w:val="0"/>
          <w:szCs w:val="20"/>
        </w:rPr>
        <w:t xml:space="preserve"> 并在医务人员的指导下进行部分辅助工作的人员。</w:t>
      </w:r>
    </w:p>
    <w:p w14:paraId="015167EF">
      <w:pPr>
        <w:pStyle w:val="19"/>
        <w:numPr>
          <w:ilvl w:val="1"/>
          <w:numId w:val="0"/>
        </w:numPr>
        <w:spacing w:before="156" w:beforeLines="50" w:after="156" w:afterLines="50"/>
        <w:ind w:firstLineChars="0"/>
        <w:jc w:val="left"/>
        <w:rPr>
          <w:rFonts w:hint="eastAsia" w:ascii="黑体" w:hAnsi="黑体" w:eastAsia="黑体" w:cs="黑体"/>
          <w:szCs w:val="21"/>
        </w:rPr>
      </w:pPr>
      <w:r>
        <w:rPr>
          <w:rFonts w:hint="eastAsia" w:ascii="黑体" w:hAnsi="黑体" w:eastAsia="黑体" w:cs="黑体"/>
          <w:szCs w:val="21"/>
        </w:rPr>
        <w:t>3.3</w:t>
      </w:r>
    </w:p>
    <w:p w14:paraId="2B0CDFA4">
      <w:pPr>
        <w:pStyle w:val="49"/>
        <w:numPr>
          <w:ilvl w:val="0"/>
          <w:numId w:val="0"/>
        </w:numPr>
        <w:spacing w:before="0" w:beforeLines="0" w:after="0" w:afterLines="0" w:line="240" w:lineRule="auto"/>
        <w:ind w:left="0" w:right="0" w:firstLine="420" w:firstLineChars="200"/>
        <w:jc w:val="both"/>
        <w:outlineLvl w:val="9"/>
        <w:rPr>
          <w:rFonts w:ascii="Times New Roman"/>
          <w:bCs/>
          <w:color w:val="000000"/>
        </w:rPr>
      </w:pPr>
      <w:r>
        <w:rPr>
          <w:rFonts w:hint="eastAsia" w:ascii="Times New Roman"/>
          <w:bCs/>
          <w:color w:val="000000"/>
        </w:rPr>
        <w:t>护理评估 nursing assessment</w:t>
      </w:r>
    </w:p>
    <w:p w14:paraId="27EC69AD">
      <w:pPr>
        <w:pStyle w:val="44"/>
      </w:pPr>
      <w:r>
        <w:t>护理</w:t>
      </w:r>
      <w:r>
        <w:rPr>
          <w:rFonts w:hint="eastAsia"/>
        </w:rPr>
        <w:t>程序</w:t>
      </w:r>
      <w:r>
        <w:t>的第一步，</w:t>
      </w:r>
      <w:r>
        <w:rPr>
          <w:rFonts w:hint="eastAsia"/>
        </w:rPr>
        <w:t>是有目的、有计划、系统地收集服务对象生理、心理、社会、精神及文化方面的健康资料并进行整理，以发现和确认其健康问题</w:t>
      </w:r>
      <w:r>
        <w:t>。</w:t>
      </w:r>
    </w:p>
    <w:p w14:paraId="339EE1AF">
      <w:pPr>
        <w:pStyle w:val="19"/>
        <w:numPr>
          <w:ilvl w:val="1"/>
          <w:numId w:val="0"/>
        </w:numPr>
        <w:adjustRightInd w:val="0"/>
        <w:snapToGrid w:val="0"/>
        <w:spacing w:before="156" w:beforeLines="50" w:after="156" w:afterLines="50"/>
        <w:jc w:val="left"/>
        <w:rPr>
          <w:rFonts w:hint="eastAsia" w:ascii="黑体" w:hAnsi="黑体" w:eastAsia="黑体" w:cs="黑体"/>
          <w:szCs w:val="21"/>
        </w:rPr>
      </w:pPr>
      <w:r>
        <w:rPr>
          <w:rFonts w:hint="eastAsia" w:ascii="黑体" w:hAnsi="黑体" w:eastAsia="黑体" w:cs="黑体"/>
          <w:szCs w:val="21"/>
        </w:rPr>
        <w:t>3.4</w:t>
      </w:r>
    </w:p>
    <w:p w14:paraId="7144D1DF">
      <w:pPr>
        <w:pStyle w:val="49"/>
        <w:numPr>
          <w:ilvl w:val="0"/>
          <w:numId w:val="0"/>
        </w:numPr>
        <w:spacing w:before="0" w:beforeLines="0" w:after="0" w:afterLines="0" w:line="240" w:lineRule="auto"/>
        <w:ind w:left="0" w:right="0" w:firstLine="420" w:firstLineChars="200"/>
        <w:jc w:val="both"/>
        <w:outlineLvl w:val="9"/>
        <w:rPr>
          <w:rFonts w:ascii="Times New Roman"/>
          <w:bCs/>
          <w:color w:val="000000"/>
        </w:rPr>
      </w:pPr>
      <w:r>
        <w:rPr>
          <w:rFonts w:hint="eastAsia" w:ascii="Times New Roman"/>
          <w:bCs/>
          <w:color w:val="000000"/>
        </w:rPr>
        <w:t>五端共管 five-terminal joint governance</w:t>
      </w:r>
    </w:p>
    <w:p w14:paraId="783451A8">
      <w:pPr>
        <w:adjustRightInd w:val="0"/>
        <w:snapToGrid w:val="0"/>
        <w:spacing w:line="240" w:lineRule="auto"/>
        <w:ind w:firstLine="420" w:firstLineChars="200"/>
        <w:rPr>
          <w:rFonts w:hint="eastAsia" w:ascii="黑体" w:hAnsi="黑体" w:eastAsia="黑体" w:cs="黑体"/>
          <w:bCs/>
          <w:szCs w:val="21"/>
        </w:rPr>
      </w:pPr>
      <w:r>
        <w:rPr>
          <w:rFonts w:ascii="Times New Roman Regular" w:hAnsi="Times New Roman Regular" w:eastAsia="宋体" w:cs="Times New Roman Regular"/>
          <w:kern w:val="0"/>
          <w:szCs w:val="20"/>
        </w:rPr>
        <w:t>以患者为核心，联动医护端、医疗护理员端、患者端、家属端、管理员端的协同管理模式。</w:t>
      </w:r>
    </w:p>
    <w:p w14:paraId="0A2D8302">
      <w:pPr>
        <w:pStyle w:val="19"/>
        <w:numPr>
          <w:ilvl w:val="1"/>
          <w:numId w:val="0"/>
        </w:numPr>
        <w:adjustRightInd w:val="0"/>
        <w:snapToGrid w:val="0"/>
        <w:spacing w:before="156" w:beforeLines="50" w:after="156" w:afterLines="50"/>
        <w:jc w:val="left"/>
        <w:rPr>
          <w:rFonts w:ascii="黑体" w:hAnsi="黑体" w:eastAsia="黑体" w:cs="黑体"/>
          <w:kern w:val="0"/>
          <w:szCs w:val="21"/>
        </w:rPr>
      </w:pPr>
      <w:r>
        <w:rPr>
          <w:rFonts w:hint="eastAsia" w:ascii="黑体" w:hAnsi="黑体" w:eastAsia="黑体" w:cs="黑体"/>
          <w:bCs/>
          <w:color w:val="000000"/>
          <w:szCs w:val="21"/>
        </w:rPr>
        <w:t>3.5</w:t>
      </w:r>
    </w:p>
    <w:p w14:paraId="0F07A9A3">
      <w:pPr>
        <w:pStyle w:val="49"/>
        <w:numPr>
          <w:ilvl w:val="0"/>
          <w:numId w:val="0"/>
        </w:numPr>
        <w:spacing w:before="0" w:beforeLines="0" w:after="0" w:afterLines="0" w:line="240" w:lineRule="auto"/>
        <w:ind w:left="0" w:right="0" w:firstLine="420" w:firstLineChars="200"/>
        <w:jc w:val="both"/>
        <w:outlineLvl w:val="9"/>
        <w:rPr>
          <w:rFonts w:ascii="Times New Roman"/>
          <w:bCs/>
          <w:color w:val="000000"/>
        </w:rPr>
      </w:pPr>
      <w:r>
        <w:rPr>
          <w:rFonts w:hint="eastAsia" w:ascii="Times New Roman"/>
          <w:bCs/>
          <w:color w:val="000000"/>
        </w:rPr>
        <w:t>免陪照护数智化管理平台 digital-intelligent management platform for unaccompanied care</w:t>
      </w:r>
    </w:p>
    <w:p w14:paraId="340397C0">
      <w:pPr>
        <w:adjustRightInd w:val="0"/>
        <w:snapToGrid w:val="0"/>
        <w:spacing w:line="240" w:lineRule="auto"/>
        <w:ind w:firstLine="420" w:firstLineChars="200"/>
        <w:rPr>
          <w:rFonts w:ascii="Times New Roman Regular" w:hAnsi="Times New Roman Regular" w:eastAsia="宋体" w:cs="Times New Roman Regular"/>
          <w:kern w:val="0"/>
          <w:szCs w:val="20"/>
        </w:rPr>
      </w:pPr>
      <w:r>
        <w:rPr>
          <w:rFonts w:ascii="Times New Roman Regular" w:hAnsi="Times New Roman Regular" w:eastAsia="宋体" w:cs="Times New Roman Regular"/>
          <w:kern w:val="0"/>
          <w:szCs w:val="20"/>
        </w:rPr>
        <w:t>采用物联网、大数据、人工智能、云计算等现代信息技术，为免陪照护服务提供</w:t>
      </w:r>
      <w:r>
        <w:rPr>
          <w:rFonts w:hint="eastAsia" w:ascii="Times New Roman Regular" w:hAnsi="Times New Roman Regular" w:eastAsia="宋体" w:cs="Times New Roman Regular"/>
          <w:kern w:val="0"/>
          <w:szCs w:val="20"/>
        </w:rPr>
        <w:t>全</w:t>
      </w:r>
      <w:r>
        <w:rPr>
          <w:rFonts w:ascii="Times New Roman Regular" w:hAnsi="Times New Roman Regular" w:eastAsia="宋体" w:cs="Times New Roman Regular"/>
          <w:kern w:val="0"/>
          <w:szCs w:val="20"/>
        </w:rPr>
        <w:t>流程管理、资源调度、质量监控和智能决策支持的</w:t>
      </w:r>
      <w:r>
        <w:rPr>
          <w:rFonts w:hint="eastAsia" w:ascii="Times New Roman Regular" w:hAnsi="Times New Roman Regular" w:eastAsia="宋体" w:cs="Times New Roman Regular"/>
          <w:kern w:val="0"/>
          <w:szCs w:val="20"/>
        </w:rPr>
        <w:t>综合信息系统</w:t>
      </w:r>
      <w:r>
        <w:rPr>
          <w:rFonts w:ascii="Times New Roman Regular" w:hAnsi="Times New Roman Regular" w:eastAsia="宋体" w:cs="Times New Roman Regular"/>
          <w:kern w:val="0"/>
          <w:szCs w:val="20"/>
        </w:rPr>
        <w:t>。</w:t>
      </w:r>
    </w:p>
    <w:p w14:paraId="08E169CF">
      <w:pPr>
        <w:pStyle w:val="19"/>
        <w:numPr>
          <w:ilvl w:val="1"/>
          <w:numId w:val="0"/>
        </w:numPr>
        <w:adjustRightInd w:val="0"/>
        <w:snapToGrid w:val="0"/>
        <w:spacing w:before="156" w:beforeLines="50" w:after="156" w:afterLines="50"/>
        <w:jc w:val="left"/>
        <w:rPr>
          <w:rFonts w:ascii="黑体" w:hAnsi="黑体" w:eastAsia="黑体" w:cs="黑体"/>
          <w:kern w:val="0"/>
          <w:szCs w:val="21"/>
        </w:rPr>
      </w:pPr>
      <w:r>
        <w:rPr>
          <w:rFonts w:hint="eastAsia" w:ascii="黑体" w:hAnsi="黑体" w:eastAsia="黑体" w:cs="黑体"/>
          <w:bCs/>
          <w:color w:val="000000"/>
          <w:szCs w:val="21"/>
        </w:rPr>
        <w:t>3.6</w:t>
      </w:r>
    </w:p>
    <w:p w14:paraId="4AA4E17F">
      <w:pPr>
        <w:pStyle w:val="49"/>
        <w:numPr>
          <w:ilvl w:val="0"/>
          <w:numId w:val="0"/>
        </w:numPr>
        <w:spacing w:before="0" w:beforeLines="0" w:after="0" w:afterLines="0" w:line="240" w:lineRule="auto"/>
        <w:ind w:left="0" w:right="0" w:firstLine="420" w:firstLineChars="200"/>
        <w:jc w:val="both"/>
        <w:outlineLvl w:val="9"/>
        <w:rPr>
          <w:rFonts w:ascii="Times New Roman"/>
          <w:bCs/>
          <w:color w:val="000000"/>
        </w:rPr>
      </w:pPr>
      <w:r>
        <w:rPr>
          <w:rFonts w:hint="eastAsia" w:ascii="Times New Roman"/>
          <w:bCs/>
          <w:color w:val="000000"/>
        </w:rPr>
        <w:t>照护计划 care plan</w:t>
      </w:r>
    </w:p>
    <w:p w14:paraId="326BA0ED">
      <w:pPr>
        <w:adjustRightInd w:val="0"/>
        <w:snapToGrid w:val="0"/>
        <w:spacing w:line="240" w:lineRule="auto"/>
        <w:ind w:firstLine="420" w:firstLineChars="200"/>
        <w:rPr>
          <w:rFonts w:ascii="Times New Roman Regular" w:hAnsi="Times New Roman Regular" w:eastAsia="宋体" w:cs="Times New Roman Regular"/>
          <w:kern w:val="0"/>
          <w:szCs w:val="20"/>
        </w:rPr>
      </w:pPr>
      <w:r>
        <w:rPr>
          <w:rFonts w:ascii="Times New Roman Regular" w:hAnsi="Times New Roman Regular" w:eastAsia="宋体" w:cs="Times New Roman Regular"/>
          <w:kern w:val="0"/>
          <w:szCs w:val="20"/>
        </w:rPr>
        <w:t>在护士主导下，基于全面的护理评估和诊断，结合医嘱及疾病护理常规，为患者制定的个性化、动态化的照护方案。</w:t>
      </w:r>
    </w:p>
    <w:p w14:paraId="66096B21">
      <w:pPr>
        <w:pStyle w:val="19"/>
        <w:numPr>
          <w:ilvl w:val="1"/>
          <w:numId w:val="0"/>
        </w:numPr>
        <w:adjustRightInd w:val="0"/>
        <w:snapToGrid w:val="0"/>
        <w:spacing w:before="156" w:beforeLines="50" w:after="156" w:afterLines="50"/>
        <w:jc w:val="left"/>
        <w:rPr>
          <w:rFonts w:ascii="黑体" w:hAnsi="黑体" w:eastAsia="黑体" w:cs="黑体"/>
          <w:kern w:val="0"/>
          <w:szCs w:val="21"/>
        </w:rPr>
      </w:pPr>
      <w:r>
        <w:rPr>
          <w:rFonts w:hint="eastAsia" w:ascii="黑体" w:hAnsi="黑体" w:eastAsia="黑体" w:cs="黑体"/>
          <w:bCs/>
          <w:color w:val="000000"/>
          <w:szCs w:val="21"/>
        </w:rPr>
        <w:t>3.7</w:t>
      </w:r>
    </w:p>
    <w:p w14:paraId="125FB253">
      <w:pPr>
        <w:pStyle w:val="49"/>
        <w:numPr>
          <w:ilvl w:val="0"/>
          <w:numId w:val="0"/>
        </w:numPr>
        <w:spacing w:before="0" w:beforeLines="0" w:after="0" w:afterLines="0" w:line="240" w:lineRule="auto"/>
        <w:ind w:left="0" w:right="0" w:firstLine="420" w:firstLineChars="200"/>
        <w:outlineLvl w:val="9"/>
        <w:rPr>
          <w:rFonts w:ascii="Times New Roman"/>
          <w:bCs/>
          <w:color w:val="000000"/>
        </w:rPr>
      </w:pPr>
      <w:r>
        <w:rPr>
          <w:rFonts w:hint="eastAsia" w:ascii="Times New Roman"/>
          <w:bCs/>
          <w:color w:val="000000"/>
        </w:rPr>
        <w:t>照护任务清单 care task list</w:t>
      </w:r>
    </w:p>
    <w:p w14:paraId="7C48CBC0">
      <w:pPr>
        <w:adjustRightInd w:val="0"/>
        <w:snapToGrid w:val="0"/>
        <w:spacing w:line="240" w:lineRule="auto"/>
        <w:ind w:firstLine="420" w:firstLineChars="200"/>
        <w:rPr>
          <w:rFonts w:ascii="Times New Roman Regular" w:hAnsi="Times New Roman Regular" w:eastAsia="宋体" w:cs="Times New Roman Regular"/>
          <w:kern w:val="0"/>
          <w:szCs w:val="20"/>
        </w:rPr>
      </w:pPr>
      <w:r>
        <w:rPr>
          <w:rFonts w:hint="eastAsia" w:ascii="Times New Roman Regular" w:hAnsi="Times New Roman Regular" w:eastAsia="宋体" w:cs="Times New Roman Regular"/>
          <w:kern w:val="0"/>
          <w:szCs w:val="20"/>
        </w:rPr>
        <w:t>依据</w:t>
      </w:r>
      <w:r>
        <w:rPr>
          <w:rFonts w:ascii="Times New Roman Regular" w:hAnsi="Times New Roman Regular" w:eastAsia="宋体" w:cs="Times New Roman Regular"/>
          <w:kern w:val="0"/>
          <w:szCs w:val="20"/>
        </w:rPr>
        <w:t>照护计划，由</w:t>
      </w:r>
      <w:r>
        <w:rPr>
          <w:rFonts w:hint="eastAsia" w:ascii="Times New Roman Regular" w:hAnsi="Times New Roman Regular" w:eastAsia="宋体" w:cs="Times New Roman Regular"/>
          <w:kern w:val="0"/>
          <w:szCs w:val="20"/>
        </w:rPr>
        <w:t>系统</w:t>
      </w:r>
      <w:r>
        <w:rPr>
          <w:rFonts w:ascii="Times New Roman Regular" w:hAnsi="Times New Roman Regular" w:eastAsia="宋体" w:cs="Times New Roman Regular"/>
          <w:kern w:val="0"/>
          <w:szCs w:val="20"/>
        </w:rPr>
        <w:t>智能分解或由护士手动委派，明确操作内容、执行时间、频次、执行人等要素，供护士与医疗护理员协同完成的任务集合。</w:t>
      </w:r>
    </w:p>
    <w:p w14:paraId="0FBD8E66">
      <w:pPr>
        <w:pStyle w:val="19"/>
        <w:numPr>
          <w:ilvl w:val="1"/>
          <w:numId w:val="0"/>
        </w:numPr>
        <w:adjustRightInd w:val="0"/>
        <w:snapToGrid w:val="0"/>
        <w:spacing w:before="156" w:beforeLines="50" w:after="156" w:afterLines="50"/>
        <w:jc w:val="left"/>
        <w:rPr>
          <w:rFonts w:ascii="黑体" w:hAnsi="黑体" w:eastAsia="黑体" w:cs="黑体"/>
          <w:kern w:val="0"/>
          <w:szCs w:val="21"/>
        </w:rPr>
      </w:pPr>
      <w:r>
        <w:rPr>
          <w:rFonts w:hint="eastAsia" w:ascii="黑体" w:hAnsi="黑体" w:eastAsia="黑体" w:cs="黑体"/>
          <w:bCs/>
          <w:color w:val="000000"/>
          <w:szCs w:val="21"/>
        </w:rPr>
        <w:t>3.8</w:t>
      </w:r>
    </w:p>
    <w:p w14:paraId="760C8617">
      <w:pPr>
        <w:pStyle w:val="49"/>
        <w:numPr>
          <w:ilvl w:val="0"/>
          <w:numId w:val="0"/>
        </w:numPr>
        <w:spacing w:before="0" w:beforeLines="0" w:after="0" w:afterLines="0" w:line="240" w:lineRule="auto"/>
        <w:ind w:left="0" w:right="0" w:firstLine="420" w:firstLineChars="200"/>
        <w:outlineLvl w:val="9"/>
        <w:rPr>
          <w:rFonts w:ascii="Times New Roman"/>
          <w:bCs/>
          <w:color w:val="000000"/>
        </w:rPr>
      </w:pPr>
      <w:r>
        <w:rPr>
          <w:rFonts w:hint="eastAsia" w:ascii="Times New Roman"/>
          <w:bCs/>
          <w:color w:val="000000"/>
        </w:rPr>
        <w:t>智能终端 intelligent terminal</w:t>
      </w:r>
    </w:p>
    <w:p w14:paraId="5981128C">
      <w:pPr>
        <w:adjustRightInd w:val="0"/>
        <w:snapToGrid w:val="0"/>
        <w:spacing w:line="240" w:lineRule="auto"/>
        <w:ind w:firstLine="420" w:firstLineChars="200"/>
        <w:rPr>
          <w:rFonts w:ascii="Times New Roman Regular" w:hAnsi="Times New Roman Regular" w:eastAsia="宋体" w:cs="Times New Roman Regular"/>
          <w:kern w:val="0"/>
          <w:szCs w:val="20"/>
        </w:rPr>
      </w:pPr>
      <w:bookmarkStart w:id="12" w:name="_Toc7758"/>
      <w:bookmarkStart w:id="13" w:name="_Toc18839"/>
      <w:r>
        <w:rPr>
          <w:rFonts w:ascii="Times New Roman Regular" w:hAnsi="Times New Roman Regular" w:eastAsia="宋体" w:cs="Times New Roman Regular"/>
          <w:kern w:val="0"/>
          <w:szCs w:val="20"/>
        </w:rPr>
        <w:t>平台中用于数据采集、信息交互和</w:t>
      </w:r>
      <w:r>
        <w:rPr>
          <w:rFonts w:hint="eastAsia" w:ascii="Times New Roman Regular" w:hAnsi="Times New Roman Regular" w:eastAsia="宋体" w:cs="Times New Roman Regular"/>
          <w:kern w:val="0"/>
          <w:szCs w:val="20"/>
        </w:rPr>
        <w:t>指令</w:t>
      </w:r>
      <w:r>
        <w:rPr>
          <w:rFonts w:ascii="Times New Roman Regular" w:hAnsi="Times New Roman Regular" w:eastAsia="宋体" w:cs="Times New Roman Regular"/>
          <w:kern w:val="0"/>
          <w:szCs w:val="20"/>
        </w:rPr>
        <w:t>执行的各类硬件设备，包括但不限于：</w:t>
      </w:r>
      <w:r>
        <w:rPr>
          <w:rFonts w:hint="eastAsia" w:ascii="Times New Roman Regular" w:hAnsi="Times New Roman Regular" w:eastAsia="宋体" w:cs="Times New Roman Regular"/>
          <w:kern w:val="0"/>
          <w:szCs w:val="20"/>
        </w:rPr>
        <w:t>医疗</w:t>
      </w:r>
      <w:r>
        <w:rPr>
          <w:rFonts w:ascii="Times New Roman Regular" w:hAnsi="Times New Roman Regular" w:eastAsia="宋体" w:cs="Times New Roman Regular"/>
          <w:kern w:val="0"/>
          <w:szCs w:val="20"/>
        </w:rPr>
        <w:t>护理员智能</w:t>
      </w:r>
      <w:r>
        <w:rPr>
          <w:rFonts w:hint="eastAsia" w:ascii="Times New Roman Regular" w:hAnsi="Times New Roman Regular" w:eastAsia="宋体" w:cs="Times New Roman Regular"/>
          <w:kern w:val="0"/>
          <w:szCs w:val="20"/>
        </w:rPr>
        <w:t>移动</w:t>
      </w:r>
      <w:r>
        <w:rPr>
          <w:rFonts w:ascii="Times New Roman Regular" w:hAnsi="Times New Roman Regular" w:eastAsia="宋体" w:cs="Times New Roman Regular"/>
          <w:kern w:val="0"/>
          <w:szCs w:val="20"/>
        </w:rPr>
        <w:t>终端、床旁交互屏、护士站</w:t>
      </w:r>
      <w:r>
        <w:rPr>
          <w:rFonts w:hint="eastAsia" w:ascii="Times New Roman Regular" w:hAnsi="Times New Roman Regular" w:eastAsia="宋体" w:cs="Times New Roman Regular"/>
          <w:kern w:val="0"/>
          <w:szCs w:val="20"/>
        </w:rPr>
        <w:t>数智</w:t>
      </w:r>
      <w:r>
        <w:rPr>
          <w:rFonts w:ascii="Times New Roman Regular" w:hAnsi="Times New Roman Regular" w:eastAsia="宋体" w:cs="Times New Roman Regular"/>
          <w:kern w:val="0"/>
          <w:szCs w:val="20"/>
        </w:rPr>
        <w:t>大屏、可穿戴生命体征监测设备、环境感知与定位设备等</w:t>
      </w:r>
      <w:bookmarkEnd w:id="12"/>
      <w:bookmarkEnd w:id="13"/>
      <w:r>
        <w:rPr>
          <w:rFonts w:hint="eastAsia" w:ascii="Times New Roman Regular" w:hAnsi="Times New Roman Regular" w:eastAsia="宋体" w:cs="Times New Roman Regular"/>
          <w:kern w:val="0"/>
          <w:szCs w:val="20"/>
        </w:rPr>
        <w:t>。</w:t>
      </w:r>
    </w:p>
    <w:p w14:paraId="79825698">
      <w:pPr>
        <w:pStyle w:val="19"/>
        <w:spacing w:before="312" w:beforeLines="100" w:after="312" w:afterLines="100"/>
        <w:ind w:firstLine="0" w:firstLineChars="0"/>
        <w:jc w:val="left"/>
        <w:outlineLvl w:val="0"/>
        <w:rPr>
          <w:rFonts w:hint="eastAsia" w:ascii="黑体" w:hAnsi="黑体" w:eastAsia="黑体" w:cs="Heiti SC Medium"/>
          <w:bCs/>
          <w:szCs w:val="21"/>
        </w:rPr>
      </w:pPr>
      <w:bookmarkStart w:id="14" w:name="_Toc216597499"/>
      <w:r>
        <w:rPr>
          <w:rFonts w:ascii="黑体" w:hAnsi="黑体" w:eastAsia="黑体" w:cs="Heiti SC Medium"/>
          <w:bCs/>
          <w:szCs w:val="21"/>
        </w:rPr>
        <w:t>4</w:t>
      </w:r>
      <w:r>
        <w:rPr>
          <w:rFonts w:hint="eastAsia" w:ascii="黑体" w:hAnsi="黑体" w:eastAsia="黑体" w:cs="Heiti SC Medium"/>
          <w:bCs/>
          <w:szCs w:val="21"/>
        </w:rPr>
        <w:t xml:space="preserve"> 总体要求</w:t>
      </w:r>
      <w:bookmarkEnd w:id="14"/>
    </w:p>
    <w:p w14:paraId="1841007B">
      <w:pPr>
        <w:pStyle w:val="19"/>
        <w:numPr>
          <w:ilvl w:val="1"/>
          <w:numId w:val="0"/>
        </w:numPr>
        <w:spacing w:before="156" w:beforeLines="50" w:after="156" w:afterLines="50"/>
        <w:ind w:left="0"/>
        <w:jc w:val="left"/>
        <w:outlineLvl w:val="9"/>
        <w:rPr>
          <w:rFonts w:hint="eastAsia" w:hAnsi="黑体" w:cs="黑体"/>
          <w:bCs/>
          <w:color w:val="000000"/>
        </w:rPr>
      </w:pPr>
      <w:bookmarkStart w:id="15" w:name="_Toc7467"/>
      <w:bookmarkStart w:id="16" w:name="_Toc17396"/>
      <w:bookmarkStart w:id="17" w:name="_Toc20948"/>
      <w:r>
        <w:rPr>
          <w:rFonts w:hint="eastAsia" w:ascii="黑体" w:hAnsi="黑体" w:eastAsia="黑体" w:cs="黑体"/>
          <w:bCs/>
          <w:color w:val="000000"/>
          <w:szCs w:val="21"/>
        </w:rPr>
        <w:t>4.1 系统性</w:t>
      </w:r>
      <w:bookmarkEnd w:id="15"/>
      <w:bookmarkEnd w:id="16"/>
      <w:bookmarkEnd w:id="17"/>
    </w:p>
    <w:p w14:paraId="10BC1A85">
      <w:pPr>
        <w:pStyle w:val="44"/>
        <w:rPr>
          <w:bCs/>
          <w:color w:val="000000"/>
          <w:szCs w:val="21"/>
        </w:rPr>
      </w:pPr>
      <w:r>
        <w:t>平台应采用顶层设计与模块化架构，实现与医院信息系统（如HIS、EMR、LIS、PACS、NIS等）的互联互通与数据共享，确保平台内部各业务模块与各智能终端间的高效协同与数据实时一致性。</w:t>
      </w:r>
    </w:p>
    <w:p w14:paraId="1B521DC3">
      <w:pPr>
        <w:pStyle w:val="19"/>
        <w:numPr>
          <w:ilvl w:val="1"/>
          <w:numId w:val="0"/>
        </w:numPr>
        <w:spacing w:before="156" w:beforeLines="50" w:after="156" w:afterLines="50"/>
        <w:ind w:left="0"/>
        <w:jc w:val="left"/>
        <w:outlineLvl w:val="9"/>
        <w:rPr>
          <w:rFonts w:hint="eastAsia" w:hAnsi="黑体" w:cs="黑体"/>
          <w:bCs/>
          <w:color w:val="000000"/>
        </w:rPr>
      </w:pPr>
      <w:bookmarkStart w:id="18" w:name="_Toc23077"/>
      <w:bookmarkStart w:id="19" w:name="_Toc26897"/>
      <w:bookmarkStart w:id="20" w:name="_Toc21219"/>
      <w:r>
        <w:rPr>
          <w:rFonts w:hint="eastAsia" w:ascii="黑体" w:hAnsi="黑体" w:eastAsia="黑体" w:cs="黑体"/>
          <w:bCs/>
          <w:color w:val="000000"/>
          <w:szCs w:val="21"/>
        </w:rPr>
        <w:t>4.2 易用性</w:t>
      </w:r>
      <w:bookmarkEnd w:id="18"/>
      <w:bookmarkEnd w:id="19"/>
      <w:bookmarkEnd w:id="20"/>
    </w:p>
    <w:p w14:paraId="384C7338">
      <w:pPr>
        <w:pStyle w:val="44"/>
        <w:spacing w:line="240" w:lineRule="auto"/>
      </w:pPr>
      <w:r>
        <w:t>平台</w:t>
      </w:r>
      <w:r>
        <w:rPr>
          <w:rFonts w:hint="eastAsia"/>
        </w:rPr>
        <w:t>各终端应</w:t>
      </w:r>
      <w:r>
        <w:t>提供清晰、简洁、友好的中文人机交互界面，操作逻辑符合医疗业务流程与</w:t>
      </w:r>
      <w:r>
        <w:rPr>
          <w:rFonts w:hint="eastAsia"/>
        </w:rPr>
        <w:t>不同</w:t>
      </w:r>
      <w:r>
        <w:t>用户</w:t>
      </w:r>
      <w:r>
        <w:rPr>
          <w:rFonts w:hint="eastAsia"/>
        </w:rPr>
        <w:t>操作</w:t>
      </w:r>
      <w:r>
        <w:t>习惯</w:t>
      </w:r>
      <w:r>
        <w:rPr>
          <w:rFonts w:hint="eastAsia"/>
        </w:rPr>
        <w:t>和认知特点，设计语言统一</w:t>
      </w:r>
      <w:r>
        <w:t>。功能操作应简洁高效，适配繁忙临床环境的快速响应需求，减少不必要的操作步骤</w:t>
      </w:r>
      <w:r>
        <w:rPr>
          <w:rFonts w:hint="eastAsia"/>
        </w:rPr>
        <w:t>。</w:t>
      </w:r>
    </w:p>
    <w:p w14:paraId="67ECF9B7">
      <w:pPr>
        <w:pStyle w:val="19"/>
        <w:numPr>
          <w:ilvl w:val="1"/>
          <w:numId w:val="0"/>
        </w:numPr>
        <w:spacing w:before="156" w:beforeLines="50" w:after="156" w:afterLines="50"/>
        <w:ind w:left="0"/>
        <w:jc w:val="left"/>
        <w:outlineLvl w:val="9"/>
        <w:rPr>
          <w:rFonts w:hint="eastAsia" w:hAnsi="黑体" w:cs="黑体"/>
          <w:bCs/>
          <w:color w:val="000000"/>
        </w:rPr>
      </w:pPr>
      <w:bookmarkStart w:id="21" w:name="_Toc25227"/>
      <w:bookmarkStart w:id="22" w:name="_Toc14309"/>
      <w:bookmarkStart w:id="23" w:name="_Toc10976"/>
      <w:r>
        <w:rPr>
          <w:rFonts w:hint="eastAsia" w:ascii="黑体" w:hAnsi="黑体" w:eastAsia="黑体" w:cs="黑体"/>
          <w:bCs/>
          <w:color w:val="000000"/>
          <w:szCs w:val="21"/>
        </w:rPr>
        <w:t>4.3 安全性</w:t>
      </w:r>
      <w:bookmarkEnd w:id="21"/>
      <w:bookmarkEnd w:id="22"/>
      <w:bookmarkEnd w:id="23"/>
    </w:p>
    <w:p w14:paraId="0934E189">
      <w:pPr>
        <w:pStyle w:val="44"/>
        <w:spacing w:line="240" w:lineRule="auto"/>
      </w:pPr>
      <w:r>
        <w:t>平台应将保障患者安全作为首要目标，通过风险预警、任务核对、异常上报等机制防范护理不良事件。同时，应建立符合国家网络安全与个人信息保护法律法规的全面安全保障体系，确保患者隐私和数据安全。</w:t>
      </w:r>
    </w:p>
    <w:p w14:paraId="4CBD0881">
      <w:pPr>
        <w:pStyle w:val="19"/>
        <w:numPr>
          <w:ilvl w:val="1"/>
          <w:numId w:val="0"/>
        </w:numPr>
        <w:spacing w:before="156" w:beforeLines="50" w:after="156" w:afterLines="50"/>
        <w:ind w:left="0"/>
        <w:jc w:val="left"/>
        <w:outlineLvl w:val="9"/>
        <w:rPr>
          <w:rFonts w:hint="eastAsia" w:hAnsi="黑体" w:cs="黑体"/>
          <w:bCs/>
          <w:color w:val="000000"/>
        </w:rPr>
      </w:pPr>
      <w:bookmarkStart w:id="24" w:name="_Toc1308"/>
      <w:bookmarkStart w:id="25" w:name="_Toc22990"/>
      <w:bookmarkStart w:id="26" w:name="_Toc12255"/>
      <w:r>
        <w:rPr>
          <w:rFonts w:hint="eastAsia" w:ascii="黑体" w:hAnsi="黑体" w:eastAsia="黑体" w:cs="黑体"/>
          <w:bCs/>
          <w:color w:val="000000"/>
          <w:szCs w:val="21"/>
        </w:rPr>
        <w:t>4.4 可靠性与可维护性</w:t>
      </w:r>
      <w:bookmarkEnd w:id="24"/>
      <w:bookmarkEnd w:id="25"/>
      <w:bookmarkEnd w:id="26"/>
    </w:p>
    <w:p w14:paraId="0AFC1E80">
      <w:pPr>
        <w:pStyle w:val="44"/>
        <w:spacing w:line="240" w:lineRule="auto"/>
        <w:rPr>
          <w:rFonts w:hint="eastAsia" w:hAnsi="宋体" w:cs="宋体"/>
          <w:bCs/>
          <w:color w:val="000000"/>
          <w:szCs w:val="21"/>
          <w:highlight w:val="yellow"/>
        </w:rPr>
      </w:pPr>
      <w:r>
        <w:t>核心服务应采用高可用架构，避免单点故障</w:t>
      </w:r>
      <w:r>
        <w:rPr>
          <w:rFonts w:hint="eastAsia"/>
        </w:rPr>
        <w:t>，</w:t>
      </w:r>
      <w:r>
        <w:t>具备完善的系统监控、日志管理、数据备份与灾难恢复机制。</w:t>
      </w:r>
    </w:p>
    <w:p w14:paraId="052ABB9E">
      <w:pPr>
        <w:pStyle w:val="19"/>
        <w:numPr>
          <w:ilvl w:val="1"/>
          <w:numId w:val="0"/>
        </w:numPr>
        <w:spacing w:before="156" w:beforeLines="50" w:after="156" w:afterLines="50"/>
        <w:ind w:left="0"/>
        <w:jc w:val="left"/>
        <w:outlineLvl w:val="9"/>
        <w:rPr>
          <w:rFonts w:hint="eastAsia" w:hAnsi="黑体" w:cs="黑体"/>
          <w:bCs/>
          <w:color w:val="000000"/>
        </w:rPr>
      </w:pPr>
      <w:bookmarkStart w:id="27" w:name="_Toc5894"/>
      <w:bookmarkStart w:id="28" w:name="_Toc13500"/>
      <w:bookmarkStart w:id="29" w:name="_Toc32268"/>
      <w:r>
        <w:rPr>
          <w:rFonts w:hint="eastAsia" w:ascii="黑体" w:hAnsi="黑体" w:eastAsia="黑体" w:cs="黑体"/>
          <w:bCs/>
          <w:color w:val="000000"/>
          <w:szCs w:val="21"/>
        </w:rPr>
        <w:t>4.5 可扩展性</w:t>
      </w:r>
      <w:bookmarkEnd w:id="27"/>
      <w:bookmarkEnd w:id="28"/>
      <w:bookmarkEnd w:id="29"/>
    </w:p>
    <w:p w14:paraId="536C48D4">
      <w:pPr>
        <w:pStyle w:val="44"/>
        <w:spacing w:line="240" w:lineRule="auto"/>
        <w:ind w:firstLineChars="200"/>
      </w:pPr>
      <w:r>
        <w:rPr>
          <w:rFonts w:hint="eastAsia"/>
        </w:rPr>
        <w:t>采用松耦合、模块化的架构设计，支持功能模块的灵活扩展、版本升级与新技术集成，适配不同医疗机构的规模差异与业务发展需求。</w:t>
      </w:r>
    </w:p>
    <w:p w14:paraId="7C32E233">
      <w:pPr>
        <w:pStyle w:val="50"/>
        <w:numPr>
          <w:ilvl w:val="3"/>
          <w:numId w:val="0"/>
        </w:numPr>
        <w:spacing w:before="312" w:beforeLines="100" w:after="312" w:afterLines="100"/>
        <w:ind w:left="0"/>
        <w:outlineLvl w:val="0"/>
        <w:rPr>
          <w:rFonts w:hint="eastAsia" w:hAnsi="黑体" w:cs="黑体"/>
          <w:bCs/>
          <w:color w:val="000000"/>
          <w:szCs w:val="22"/>
        </w:rPr>
      </w:pPr>
      <w:bookmarkStart w:id="30" w:name="_Toc1720"/>
      <w:bookmarkStart w:id="31" w:name="_Toc14651"/>
      <w:bookmarkStart w:id="32" w:name="_Toc16745"/>
      <w:bookmarkStart w:id="33" w:name="_Toc216597500"/>
      <w:bookmarkStart w:id="34" w:name="_Toc19777"/>
      <w:bookmarkStart w:id="35" w:name="_Toc15468"/>
      <w:bookmarkStart w:id="36" w:name="_Toc31764"/>
      <w:r>
        <w:rPr>
          <w:rFonts w:hint="eastAsia" w:hAnsi="黑体" w:cs="黑体"/>
          <w:bCs/>
          <w:color w:val="000000"/>
          <w:szCs w:val="22"/>
        </w:rPr>
        <w:t>5 总体架构</w:t>
      </w:r>
      <w:bookmarkEnd w:id="30"/>
      <w:bookmarkEnd w:id="31"/>
      <w:bookmarkEnd w:id="32"/>
      <w:bookmarkEnd w:id="33"/>
      <w:bookmarkEnd w:id="34"/>
      <w:bookmarkEnd w:id="35"/>
      <w:bookmarkEnd w:id="36"/>
    </w:p>
    <w:p w14:paraId="471CC207">
      <w:pPr>
        <w:pStyle w:val="44"/>
        <w:spacing w:line="240" w:lineRule="auto"/>
      </w:pPr>
      <w:r>
        <w:rPr>
          <w:rFonts w:hint="eastAsia"/>
        </w:rPr>
        <w:t>平台宜采用高可用、可扩展的微服务架构。总体架构应包括感知交互层、应用服务层、数据智能层和集成支撑层等，各级平台可根据实际需求动态调整。</w:t>
      </w:r>
    </w:p>
    <w:p w14:paraId="354C57FE">
      <w:pPr>
        <w:pStyle w:val="19"/>
        <w:numPr>
          <w:ilvl w:val="1"/>
          <w:numId w:val="0"/>
        </w:numPr>
        <w:spacing w:before="156" w:beforeLines="50" w:after="156" w:afterLines="50"/>
        <w:ind w:left="0"/>
        <w:jc w:val="left"/>
        <w:outlineLvl w:val="9"/>
        <w:rPr>
          <w:rFonts w:hint="eastAsia" w:hAnsi="黑体" w:cs="黑体"/>
          <w:bCs/>
          <w:color w:val="000000"/>
        </w:rPr>
      </w:pPr>
      <w:bookmarkStart w:id="37" w:name="_Toc12243"/>
      <w:bookmarkStart w:id="38" w:name="_Toc4618"/>
      <w:bookmarkStart w:id="39" w:name="_Toc15603"/>
      <w:r>
        <w:rPr>
          <w:rFonts w:hint="eastAsia" w:ascii="黑体" w:hAnsi="黑体" w:eastAsia="黑体" w:cs="黑体"/>
          <w:bCs/>
          <w:color w:val="000000"/>
          <w:szCs w:val="21"/>
        </w:rPr>
        <w:t>5.1 感知交互层</w:t>
      </w:r>
      <w:bookmarkEnd w:id="37"/>
      <w:bookmarkEnd w:id="38"/>
      <w:bookmarkEnd w:id="39"/>
    </w:p>
    <w:p w14:paraId="4CD86FC2">
      <w:pPr>
        <w:pStyle w:val="44"/>
        <w:spacing w:line="240" w:lineRule="auto"/>
      </w:pPr>
      <w:r>
        <w:rPr>
          <w:rFonts w:hint="eastAsia"/>
        </w:rPr>
        <w:t>负责多元数据的采集与统一人机交互。应支持接入包括但不限于患者、医疗护理员、医护人员、管理者所使用的智能终端，以及生命体征监测可穿戴设备、物联网传感器等的接入与管理。</w:t>
      </w:r>
    </w:p>
    <w:p w14:paraId="26444011">
      <w:pPr>
        <w:pStyle w:val="19"/>
        <w:numPr>
          <w:ilvl w:val="1"/>
          <w:numId w:val="0"/>
        </w:numPr>
        <w:spacing w:before="156" w:beforeLines="50" w:after="156" w:afterLines="50"/>
        <w:ind w:left="0"/>
        <w:jc w:val="left"/>
        <w:outlineLvl w:val="9"/>
        <w:rPr>
          <w:rFonts w:hint="eastAsia" w:hAnsi="黑体" w:cs="黑体"/>
          <w:bCs/>
          <w:color w:val="000000"/>
        </w:rPr>
      </w:pPr>
      <w:bookmarkStart w:id="40" w:name="_Toc17216"/>
      <w:bookmarkStart w:id="41" w:name="_Toc4594"/>
      <w:bookmarkStart w:id="42" w:name="_Toc19185"/>
      <w:r>
        <w:rPr>
          <w:rFonts w:hint="eastAsia" w:ascii="黑体" w:hAnsi="黑体" w:eastAsia="黑体" w:cs="黑体"/>
          <w:bCs/>
          <w:color w:val="000000"/>
          <w:szCs w:val="21"/>
        </w:rPr>
        <w:t>5.2 应用服务层</w:t>
      </w:r>
      <w:bookmarkEnd w:id="40"/>
      <w:bookmarkEnd w:id="41"/>
      <w:bookmarkEnd w:id="42"/>
    </w:p>
    <w:p w14:paraId="235A96CE">
      <w:pPr>
        <w:pStyle w:val="44"/>
        <w:spacing w:line="240" w:lineRule="auto"/>
      </w:pPr>
      <w:r>
        <w:rPr>
          <w:rFonts w:hint="eastAsia"/>
        </w:rPr>
        <w:t>平台的核心业务中枢。应通过微服务组件提供统一的用户、权限、任务、消息和设备管理等基础服务，并封装完整的免陪照护业务能力，通过标准化接口</w:t>
      </w:r>
      <w:r>
        <w:t>（API）</w:t>
      </w:r>
      <w:r>
        <w:rPr>
          <w:rFonts w:hint="eastAsia"/>
        </w:rPr>
        <w:t>为上层应用和终端提供服务。</w:t>
      </w:r>
    </w:p>
    <w:p w14:paraId="65583360">
      <w:pPr>
        <w:pStyle w:val="19"/>
        <w:numPr>
          <w:ilvl w:val="1"/>
          <w:numId w:val="0"/>
        </w:numPr>
        <w:spacing w:before="156" w:beforeLines="50" w:after="156" w:afterLines="50"/>
        <w:ind w:left="0"/>
        <w:jc w:val="left"/>
        <w:outlineLvl w:val="9"/>
        <w:rPr>
          <w:rFonts w:hint="eastAsia" w:hAnsi="黑体" w:cs="黑体"/>
          <w:bCs/>
          <w:color w:val="000000"/>
        </w:rPr>
      </w:pPr>
      <w:bookmarkStart w:id="43" w:name="_Toc11406"/>
      <w:bookmarkStart w:id="44" w:name="_Toc25459"/>
      <w:bookmarkStart w:id="45" w:name="_Toc3315"/>
      <w:r>
        <w:rPr>
          <w:rFonts w:hint="eastAsia" w:ascii="黑体" w:hAnsi="黑体" w:eastAsia="黑体" w:cs="黑体"/>
          <w:bCs/>
          <w:color w:val="000000"/>
          <w:szCs w:val="21"/>
        </w:rPr>
        <w:t>5.3 数据智能层</w:t>
      </w:r>
      <w:bookmarkEnd w:id="43"/>
      <w:bookmarkEnd w:id="44"/>
      <w:bookmarkEnd w:id="45"/>
    </w:p>
    <w:p w14:paraId="03B7E237">
      <w:pPr>
        <w:pStyle w:val="44"/>
        <w:spacing w:line="240" w:lineRule="auto"/>
        <w:rPr>
          <w:color w:val="auto"/>
        </w:rPr>
      </w:pPr>
      <w:r>
        <w:rPr>
          <w:rFonts w:hint="eastAsia"/>
        </w:rPr>
        <w:t>负责平台的数据汇聚、治理、存储、分析与智能化应用，提供数据采集、清洗、标准化、存储及可视化能力。宜集成人工智</w:t>
      </w:r>
      <w:r>
        <w:rPr>
          <w:rFonts w:hint="eastAsia" w:ascii="宋体"/>
        </w:rPr>
        <w:t>能算法</w:t>
      </w:r>
      <w:r>
        <w:rPr>
          <w:rFonts w:hint="eastAsia"/>
        </w:rPr>
        <w:t>，为临床决策支持提供支撑，如智能推荐护理诊断、辅助生成个性化照护计划、动态预测患者风险（如跌倒、压疮）、实现医疗护理员的智能排班与负荷均衡等功能。</w:t>
      </w:r>
    </w:p>
    <w:p w14:paraId="406E0084">
      <w:pPr>
        <w:pStyle w:val="19"/>
        <w:numPr>
          <w:ilvl w:val="1"/>
          <w:numId w:val="0"/>
        </w:numPr>
        <w:spacing w:before="156" w:beforeLines="50" w:after="156" w:afterLines="50"/>
        <w:jc w:val="left"/>
        <w:rPr>
          <w:rFonts w:hint="eastAsia" w:ascii="黑体" w:hAnsi="黑体" w:eastAsia="黑体" w:cs="黑体"/>
          <w:bCs/>
          <w:color w:val="000000"/>
          <w:szCs w:val="21"/>
        </w:rPr>
      </w:pPr>
      <w:bookmarkStart w:id="46" w:name="_Toc22149"/>
      <w:bookmarkStart w:id="47" w:name="_Toc7341"/>
      <w:bookmarkStart w:id="48" w:name="_Toc30596"/>
      <w:r>
        <w:rPr>
          <w:rFonts w:hint="eastAsia" w:ascii="黑体" w:hAnsi="黑体" w:eastAsia="黑体" w:cs="黑体"/>
          <w:bCs/>
          <w:color w:val="000000"/>
          <w:szCs w:val="21"/>
        </w:rPr>
        <w:t>5.4 集成支撑层</w:t>
      </w:r>
      <w:bookmarkEnd w:id="46"/>
      <w:bookmarkEnd w:id="47"/>
      <w:bookmarkEnd w:id="48"/>
    </w:p>
    <w:p w14:paraId="5716AC0E">
      <w:pPr>
        <w:pStyle w:val="44"/>
        <w:spacing w:line="240" w:lineRule="auto"/>
      </w:pPr>
      <w:r>
        <w:rPr>
          <w:rFonts w:hint="eastAsia"/>
        </w:rPr>
        <w:t>提供平台运行所需的基础资源与跨系统互联能力。应包括云计算资源、容器化部署环境。应建立统一的集成服务总线或平台，实现</w:t>
      </w:r>
      <w:r>
        <w:t>与医院信息系统（HIS）、电子病历系统（EMR）等院内核心系统的安全、标准化的数据交换与业务协同。</w:t>
      </w:r>
    </w:p>
    <w:p w14:paraId="1BD388B4">
      <w:pPr>
        <w:numPr>
          <w:ilvl w:val="3"/>
          <w:numId w:val="0"/>
        </w:numPr>
        <w:spacing w:before="156" w:beforeLines="50" w:after="156" w:afterLines="50"/>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5.5 基础环境要求</w:t>
      </w:r>
    </w:p>
    <w:p w14:paraId="1D301F49">
      <w:pPr>
        <w:pStyle w:val="50"/>
        <w:numPr>
          <w:ilvl w:val="3"/>
          <w:numId w:val="0"/>
        </w:numPr>
        <w:spacing w:before="0" w:beforeLines="0" w:after="0" w:afterLines="0"/>
        <w:ind w:left="0"/>
        <w:jc w:val="both"/>
        <w:outlineLvl w:val="9"/>
        <w:rPr>
          <w:rFonts w:hint="eastAsia" w:hAnsi="黑体" w:cs="黑体"/>
          <w:bCs/>
          <w:color w:val="000000" w:themeColor="text1"/>
          <w14:textFill>
            <w14:solidFill>
              <w14:schemeClr w14:val="tx1"/>
            </w14:solidFill>
          </w14:textFill>
        </w:rPr>
      </w:pPr>
      <w:r>
        <w:rPr>
          <w:rFonts w:hint="eastAsia" w:hAnsi="黑体" w:cs="黑体"/>
          <w:bCs/>
          <w:color w:val="000000" w:themeColor="text1"/>
          <w14:textFill>
            <w14:solidFill>
              <w14:schemeClr w14:val="tx1"/>
            </w14:solidFill>
          </w14:textFill>
        </w:rPr>
        <w:t>5.5.1 硬件设施</w:t>
      </w:r>
    </w:p>
    <w:p w14:paraId="5A2CE858">
      <w:pPr>
        <w:pStyle w:val="44"/>
      </w:pPr>
      <w:r>
        <w:t>硬件设施具体设备选型与数量可根据医疗机构实际业务规模、病区布局和信息化基础进行配置。宜包括但不限于以下类别：</w:t>
      </w:r>
    </w:p>
    <w:p w14:paraId="07DA53FC">
      <w:pPr>
        <w:pStyle w:val="44"/>
        <w:spacing w:line="240" w:lineRule="auto"/>
      </w:pPr>
      <w:r>
        <w:t>a) 移动计算终端：供医疗护理员、护士使用的智能移动设备，如专用手持终端（PDA）、平板电脑等。</w:t>
      </w:r>
    </w:p>
    <w:p w14:paraId="5DD4A01E">
      <w:pPr>
        <w:pStyle w:val="44"/>
        <w:spacing w:line="240" w:lineRule="auto"/>
      </w:pPr>
      <w:r>
        <w:t>b) 床旁交互设备：供患者使用的信息交互与呼叫设备，如床旁交互屏等。</w:t>
      </w:r>
    </w:p>
    <w:p w14:paraId="410F9A3B">
      <w:pPr>
        <w:pStyle w:val="44"/>
        <w:spacing w:line="240" w:lineRule="auto"/>
      </w:pPr>
      <w:r>
        <w:t>c) 中心显示与监控设备：供护士站或管理中心使用的集中展示与监控设备，如护士站数智大屏、电脑工作站等。</w:t>
      </w:r>
    </w:p>
    <w:p w14:paraId="0E9CA287">
      <w:pPr>
        <w:pStyle w:val="44"/>
        <w:spacing w:line="240" w:lineRule="auto"/>
      </w:pPr>
      <w:r>
        <w:t>d) 生命体征监测设备：可穿戴或床旁生命体征监测设备。</w:t>
      </w:r>
    </w:p>
    <w:p w14:paraId="2A13C765">
      <w:pPr>
        <w:pStyle w:val="44"/>
        <w:spacing w:line="240" w:lineRule="auto"/>
      </w:pPr>
      <w:r>
        <w:t>e) 环境感知与定位设备：如跌倒探测雷达、离床感应器、定位信标等。</w:t>
      </w:r>
    </w:p>
    <w:p w14:paraId="53D549ED">
      <w:pPr>
        <w:pStyle w:val="50"/>
        <w:numPr>
          <w:ilvl w:val="3"/>
          <w:numId w:val="0"/>
        </w:numPr>
        <w:spacing w:before="0" w:beforeLines="0" w:after="0" w:afterLines="0"/>
        <w:ind w:left="0"/>
        <w:jc w:val="both"/>
        <w:outlineLvl w:val="9"/>
        <w:rPr>
          <w:rFonts w:hint="eastAsia" w:hAnsi="黑体" w:cs="黑体"/>
          <w:bCs/>
          <w:color w:val="000000" w:themeColor="text1"/>
          <w14:textFill>
            <w14:solidFill>
              <w14:schemeClr w14:val="tx1"/>
            </w14:solidFill>
          </w14:textFill>
        </w:rPr>
      </w:pPr>
      <w:r>
        <w:rPr>
          <w:rFonts w:hint="eastAsia" w:hAnsi="黑体" w:cs="黑体"/>
          <w:bCs/>
          <w:color w:val="000000" w:themeColor="text1"/>
          <w14:textFill>
            <w14:solidFill>
              <w14:schemeClr w14:val="tx1"/>
            </w14:solidFill>
          </w14:textFill>
        </w:rPr>
        <w:t>5.5.2 软件与基础平台</w:t>
      </w:r>
    </w:p>
    <w:p w14:paraId="3881F9F1">
      <w:pPr>
        <w:pStyle w:val="44"/>
      </w:pPr>
      <w:r>
        <w:t>应包括服务器操作系统、数据库管理系统、中间件、容器化平台等支撑平台运行的基础软件。</w:t>
      </w:r>
    </w:p>
    <w:p w14:paraId="6D5E5B27">
      <w:pPr>
        <w:pStyle w:val="52"/>
        <w:numPr>
          <w:ilvl w:val="0"/>
          <w:numId w:val="0"/>
        </w:numPr>
        <w:spacing w:line="360" w:lineRule="exact"/>
        <w:jc w:val="left"/>
        <w:outlineLvl w:val="0"/>
        <w:rPr>
          <w:rFonts w:hint="eastAsia" w:hAnsi="黑体" w:cs="黑体"/>
          <w:bCs/>
          <w:color w:val="000000"/>
          <w:szCs w:val="21"/>
        </w:rPr>
      </w:pPr>
      <w:bookmarkStart w:id="49" w:name="_Toc20715"/>
      <w:bookmarkStart w:id="50" w:name="_Toc13276"/>
      <w:bookmarkStart w:id="51" w:name="_Toc216597501"/>
      <w:bookmarkStart w:id="52" w:name="_Toc10908"/>
      <w:bookmarkStart w:id="53" w:name="_Toc26301"/>
      <w:bookmarkStart w:id="54" w:name="_Toc4355"/>
      <w:bookmarkStart w:id="55" w:name="_Toc24368"/>
      <w:r>
        <w:rPr>
          <w:rFonts w:hint="eastAsia" w:hAnsi="黑体" w:cs="黑体"/>
          <w:bCs/>
          <w:color w:val="000000"/>
          <w:szCs w:val="21"/>
        </w:rPr>
        <w:t>6 功能要求</w:t>
      </w:r>
      <w:bookmarkEnd w:id="49"/>
      <w:bookmarkEnd w:id="50"/>
      <w:bookmarkEnd w:id="51"/>
      <w:bookmarkEnd w:id="52"/>
      <w:bookmarkEnd w:id="53"/>
      <w:bookmarkEnd w:id="54"/>
      <w:bookmarkEnd w:id="55"/>
    </w:p>
    <w:p w14:paraId="57DBE7BE">
      <w:pPr>
        <w:pStyle w:val="50"/>
        <w:numPr>
          <w:ilvl w:val="3"/>
          <w:numId w:val="0"/>
        </w:numPr>
        <w:spacing w:before="156" w:after="156"/>
        <w:outlineLvl w:val="9"/>
        <w:rPr>
          <w:rFonts w:hint="eastAsia" w:hAnsi="黑体" w:cs="黑体"/>
          <w:bCs/>
          <w:color w:val="000000"/>
        </w:rPr>
      </w:pPr>
      <w:bookmarkStart w:id="56" w:name="_Toc15114"/>
      <w:bookmarkStart w:id="57" w:name="_Toc10695"/>
      <w:bookmarkStart w:id="58" w:name="_Toc13603"/>
      <w:r>
        <w:rPr>
          <w:rFonts w:hint="eastAsia" w:hAnsi="黑体" w:cs="黑体"/>
          <w:bCs/>
          <w:color w:val="000000"/>
        </w:rPr>
        <w:t>6.1 基础功能</w:t>
      </w:r>
      <w:bookmarkEnd w:id="56"/>
      <w:bookmarkEnd w:id="57"/>
      <w:bookmarkEnd w:id="58"/>
    </w:p>
    <w:p w14:paraId="2A56588A">
      <w:pPr>
        <w:pStyle w:val="50"/>
        <w:numPr>
          <w:ilvl w:val="3"/>
          <w:numId w:val="0"/>
        </w:numPr>
        <w:spacing w:before="0" w:beforeLines="0" w:after="0" w:afterLines="0"/>
        <w:ind w:left="0"/>
        <w:jc w:val="both"/>
        <w:outlineLvl w:val="9"/>
        <w:rPr>
          <w:rFonts w:hint="eastAsia" w:hAnsi="黑体" w:cs="黑体"/>
          <w:bCs/>
          <w:color w:val="000000"/>
        </w:rPr>
      </w:pPr>
      <w:bookmarkStart w:id="59" w:name="_Toc7698"/>
      <w:bookmarkStart w:id="60" w:name="_Toc27181"/>
      <w:bookmarkStart w:id="61" w:name="_Toc25048"/>
      <w:r>
        <w:rPr>
          <w:rFonts w:hint="eastAsia" w:hAnsi="黑体" w:cs="黑体"/>
          <w:bCs/>
          <w:color w:val="000000"/>
        </w:rPr>
        <w:t>6.1.1 数据集成与交换</w:t>
      </w:r>
      <w:bookmarkEnd w:id="59"/>
      <w:bookmarkEnd w:id="60"/>
      <w:bookmarkEnd w:id="61"/>
    </w:p>
    <w:p w14:paraId="4D8F6AEB">
      <w:pPr>
        <w:pStyle w:val="44"/>
        <w:spacing w:line="240" w:lineRule="auto"/>
      </w:pPr>
      <w:r>
        <w:t>a) 应支持接入各类智能终端及物联网设备的实时数据，确保数据传输的实时性、准确性和完整性。</w:t>
      </w:r>
    </w:p>
    <w:p w14:paraId="12058979">
      <w:pPr>
        <w:pStyle w:val="44"/>
        <w:spacing w:line="240" w:lineRule="auto"/>
      </w:pPr>
      <w:r>
        <w:t>b) 应具备院内核心系统的数据接口，遵循WS/T 447-2014的相关要求，实现患者基本信息、诊断信息、医嘱信息、检验检查结果、护理等级等数据的自动同步与交换。</w:t>
      </w:r>
    </w:p>
    <w:p w14:paraId="7977A119">
      <w:pPr>
        <w:pStyle w:val="50"/>
        <w:numPr>
          <w:ilvl w:val="0"/>
          <w:numId w:val="0"/>
        </w:numPr>
        <w:spacing w:before="0" w:beforeLines="0" w:after="0" w:afterLines="0"/>
        <w:ind w:left="0"/>
        <w:jc w:val="both"/>
        <w:outlineLvl w:val="9"/>
        <w:rPr>
          <w:rFonts w:hint="eastAsia" w:hAnsi="黑体" w:cs="黑体"/>
          <w:bCs/>
          <w:color w:val="000000"/>
        </w:rPr>
      </w:pPr>
      <w:bookmarkStart w:id="62" w:name="_Toc26607"/>
      <w:bookmarkStart w:id="63" w:name="_Toc4007"/>
      <w:bookmarkStart w:id="64" w:name="_Toc26031"/>
      <w:r>
        <w:rPr>
          <w:rFonts w:hint="eastAsia" w:hAnsi="黑体" w:cs="黑体"/>
          <w:bCs/>
          <w:color w:val="000000"/>
        </w:rPr>
        <w:t>6.1.2 平台管理</w:t>
      </w:r>
      <w:bookmarkEnd w:id="62"/>
      <w:bookmarkEnd w:id="63"/>
      <w:bookmarkEnd w:id="64"/>
    </w:p>
    <w:p w14:paraId="7D6C3A7C">
      <w:pPr>
        <w:pStyle w:val="44"/>
        <w:spacing w:line="240" w:lineRule="auto"/>
      </w:pPr>
      <w:r>
        <w:t>a) 组织与用户管理：应支持医疗机构的组织结构（包括院区、科室、病区、床位等）进行分层级配置与管理，实现对系统各类用户（包括但不限于患者、家属、医疗护理员、医护人员、管理员）的账户进行全生命周期管理，功能应覆盖账户创建、信息维护、角色授权、状态管理（如启用、禁用）及账户注销等。</w:t>
      </w:r>
    </w:p>
    <w:p w14:paraId="3C0C915F">
      <w:pPr>
        <w:pStyle w:val="44"/>
        <w:spacing w:line="240" w:lineRule="auto"/>
      </w:pPr>
      <w:r>
        <w:t>b) 角色与权限管理：应采用基于角色的访问控制（RBAC），支持菜单权限、操作权限和数据权限的精细化配置，确保不同角色仅能访问与操作其职责范围内的功能与数据。</w:t>
      </w:r>
    </w:p>
    <w:p w14:paraId="4931B9C2">
      <w:pPr>
        <w:pStyle w:val="44"/>
        <w:spacing w:line="240" w:lineRule="auto"/>
      </w:pPr>
      <w:r>
        <w:rPr>
          <w:rFonts w:hint="eastAsia"/>
        </w:rPr>
        <w:t>c</w:t>
      </w:r>
      <w:r>
        <w:t>)</w:t>
      </w:r>
      <w:r>
        <w:rPr>
          <w:rFonts w:hint="eastAsia"/>
        </w:rPr>
        <w:t xml:space="preserve"> </w:t>
      </w:r>
      <w:r>
        <w:t>日志管理：应记录用户登录、关键操作、系统异常、数据访问等日志信息，支持分类查询、审计和安全归档，确保操作可溯源。</w:t>
      </w:r>
    </w:p>
    <w:p w14:paraId="13B035ED">
      <w:pPr>
        <w:pStyle w:val="50"/>
        <w:numPr>
          <w:ilvl w:val="0"/>
          <w:numId w:val="0"/>
        </w:numPr>
        <w:spacing w:before="156" w:after="156"/>
        <w:outlineLvl w:val="9"/>
        <w:rPr>
          <w:rFonts w:hint="eastAsia" w:hAnsi="黑体" w:cs="黑体"/>
          <w:bCs/>
          <w:color w:val="000000"/>
        </w:rPr>
      </w:pPr>
      <w:bookmarkStart w:id="65" w:name="_Toc4628"/>
      <w:bookmarkStart w:id="66" w:name="_Toc32588"/>
      <w:bookmarkStart w:id="67" w:name="_Toc11489"/>
      <w:r>
        <w:rPr>
          <w:rFonts w:hint="eastAsia" w:hAnsi="黑体" w:cs="黑体"/>
          <w:bCs/>
          <w:color w:val="000000"/>
        </w:rPr>
        <w:t>6.2 业务应用功能</w:t>
      </w:r>
      <w:bookmarkEnd w:id="65"/>
      <w:bookmarkEnd w:id="66"/>
      <w:bookmarkEnd w:id="67"/>
    </w:p>
    <w:p w14:paraId="6A116E88">
      <w:pPr>
        <w:pStyle w:val="50"/>
        <w:numPr>
          <w:ilvl w:val="0"/>
          <w:numId w:val="0"/>
        </w:numPr>
        <w:spacing w:before="0" w:beforeLines="0" w:after="0" w:afterLines="0"/>
        <w:ind w:left="0"/>
        <w:outlineLvl w:val="9"/>
        <w:rPr>
          <w:rFonts w:hint="eastAsia" w:hAnsi="黑体" w:cs="黑体"/>
        </w:rPr>
      </w:pPr>
      <w:bookmarkStart w:id="68" w:name="_Toc1866"/>
      <w:bookmarkStart w:id="69" w:name="_Toc23023"/>
      <w:bookmarkStart w:id="70" w:name="_Toc6806"/>
      <w:r>
        <w:rPr>
          <w:rFonts w:hint="eastAsia" w:hAnsi="黑体" w:cs="黑体"/>
          <w:bCs/>
          <w:color w:val="000000"/>
        </w:rPr>
        <w:t>6.2</w:t>
      </w:r>
      <w:r>
        <w:rPr>
          <w:rFonts w:hint="eastAsia" w:hAnsi="黑体" w:cs="黑体"/>
          <w:bCs/>
        </w:rPr>
        <w:t xml:space="preserve">.1 </w:t>
      </w:r>
      <w:r>
        <w:rPr>
          <w:rFonts w:hint="eastAsia" w:hAnsi="黑体" w:cs="黑体"/>
        </w:rPr>
        <w:t>医护端</w:t>
      </w:r>
    </w:p>
    <w:p w14:paraId="39CA4268">
      <w:pPr>
        <w:pStyle w:val="44"/>
        <w:spacing w:line="240" w:lineRule="auto"/>
      </w:pPr>
      <w:r>
        <w:t>a) 护理评估管理：应支持接入护理信息系统（NIS），方便护士便捷录入、查看与动态更新患者评估结果，可根据评估结果自动生成风险标识（如</w:t>
      </w:r>
      <w:r>
        <w:rPr>
          <w:rFonts w:hint="eastAsia" w:hAnsi="Times New Roman" w:cs="Times New Roman"/>
        </w:rPr>
        <w:t>“高危跌倒”、“防压疮”</w:t>
      </w:r>
      <w:r>
        <w:t>），并在各终端醒目提示，辅助护士精准识别患者照护需求。</w:t>
      </w:r>
    </w:p>
    <w:p w14:paraId="1F6251F2">
      <w:pPr>
        <w:pStyle w:val="44"/>
        <w:spacing w:line="240" w:lineRule="auto"/>
      </w:pPr>
      <w:r>
        <w:t>b) 照护计划与照护任务清单管理：应支持护士基于护理评估结果，调用标准化照护知识库（包含生活照护、临床照护等5大项18项医疗护理员职责与照护项目）快速生成初步照护计划，并可进行个性化修改与动态调整。计划下发后，系统自动分解生成每日照护任务清单，明确执行要素与责任主体。应能实时查看所有患者的任务执行状态（完成、未完成、超时、异常），并对超时或异常任务进行预警。</w:t>
      </w:r>
    </w:p>
    <w:p w14:paraId="19EE734E">
      <w:pPr>
        <w:pStyle w:val="44"/>
        <w:spacing w:line="240" w:lineRule="auto"/>
      </w:pPr>
      <w:r>
        <w:t>c) 服务质量监控：应支持实时监控照护任务清单完成情况、呼叫响应及时率、巡视记录完成率、患者满意度等数据，并对异常指标进行预警。应支持护士对医疗护理员的服务质量进行评价。</w:t>
      </w:r>
    </w:p>
    <w:p w14:paraId="6BCA2843">
      <w:pPr>
        <w:pStyle w:val="44"/>
        <w:spacing w:line="240" w:lineRule="auto"/>
      </w:pPr>
      <w:r>
        <w:t>d) 异常情况与报警处置：应能实时接收医疗护理员端上报的患者异常情况，以及智能物联网设备的报警信息（如跌倒、离床报警），支持快速响应、处置与记录。</w:t>
      </w:r>
    </w:p>
    <w:p w14:paraId="457783A2">
      <w:pPr>
        <w:pStyle w:val="44"/>
        <w:spacing w:line="240" w:lineRule="auto"/>
      </w:pPr>
      <w:r>
        <w:t>e) 知识库管理：应支持护理部或科室护士长对照护计划模板、照护任务操作标准、健康宣教内容等知识库进行自定义维护和版本管理。</w:t>
      </w:r>
    </w:p>
    <w:bookmarkEnd w:id="68"/>
    <w:bookmarkEnd w:id="69"/>
    <w:bookmarkEnd w:id="70"/>
    <w:p w14:paraId="1501A9E8">
      <w:pPr>
        <w:pStyle w:val="50"/>
        <w:numPr>
          <w:ilvl w:val="0"/>
          <w:numId w:val="0"/>
        </w:numPr>
        <w:spacing w:before="0" w:beforeLines="0" w:after="0" w:afterLines="0"/>
        <w:ind w:left="0"/>
        <w:outlineLvl w:val="9"/>
        <w:rPr>
          <w:rFonts w:hint="eastAsia" w:hAnsi="黑体" w:cs="黑体"/>
          <w:bCs/>
          <w:color w:val="000000"/>
        </w:rPr>
      </w:pPr>
      <w:bookmarkStart w:id="71" w:name="_Toc15936"/>
      <w:bookmarkStart w:id="72" w:name="_Toc6783"/>
      <w:bookmarkStart w:id="73" w:name="_Toc22704"/>
      <w:r>
        <w:rPr>
          <w:rFonts w:hint="eastAsia" w:hAnsi="黑体" w:cs="黑体"/>
          <w:bCs/>
          <w:color w:val="000000"/>
        </w:rPr>
        <w:t>6.2.2 医疗护理员端</w:t>
      </w:r>
    </w:p>
    <w:p w14:paraId="7BDFEAC4">
      <w:pPr>
        <w:pStyle w:val="44"/>
        <w:spacing w:line="240" w:lineRule="auto"/>
      </w:pPr>
      <w:r>
        <w:t>a) 患者信息查看：应支持查看所管辖患者的基本信息、过敏史、风险标识及照护注意事项等。</w:t>
      </w:r>
    </w:p>
    <w:p w14:paraId="583E57F7">
      <w:pPr>
        <w:pStyle w:val="44"/>
        <w:spacing w:line="240" w:lineRule="auto"/>
      </w:pPr>
      <w:r>
        <w:t>b）任务管理：应以时间轴或列表形式清晰展示当日照护任务清单，实时更新任务状态。每个任务应包含详细的操作步骤、质量标准和注意事项。应具备任务超时或即将到期的语音和振动提醒功能。</w:t>
      </w:r>
    </w:p>
    <w:p w14:paraId="6AC174D2">
      <w:pPr>
        <w:pStyle w:val="44"/>
        <w:spacing w:line="240" w:lineRule="auto"/>
      </w:pPr>
      <w:r>
        <w:t>c) 呼叫响应：应能实时接收患者服务呼叫并记录响应状态，支持与患者端语音交互，并对未及时响应的呼叫进行记录、查询与提醒。</w:t>
      </w:r>
    </w:p>
    <w:p w14:paraId="1AAB912E">
      <w:pPr>
        <w:pStyle w:val="44"/>
        <w:spacing w:line="240" w:lineRule="auto"/>
      </w:pPr>
      <w:r>
        <w:t>d) 报警处置：应能实时接收智能物联网设备的报警信息（如跌倒、离床报警等）。</w:t>
      </w:r>
    </w:p>
    <w:p w14:paraId="42573505">
      <w:pPr>
        <w:pStyle w:val="44"/>
      </w:pPr>
      <w:r>
        <w:t>e) 服务记录：应提供便捷的电子化记录功能，实时记录床旁照护服务、巡视打卡等任务执行情况。</w:t>
      </w:r>
    </w:p>
    <w:p w14:paraId="6544385E">
      <w:pPr>
        <w:pStyle w:val="44"/>
      </w:pPr>
      <w:r>
        <w:t>f) 交接班管理：应提供结构化的电子交班报告记录模板，方便护理员快速记录生命体征、出入量、饮食、排泄、睡眠、皮肤状况等信息，宜突出显示异常情况，报告中的异常及关注事项应自动同步至医护端及管理端，并可作为下一班次任务的重点提示。</w:t>
      </w:r>
    </w:p>
    <w:p w14:paraId="42ED52F9">
      <w:pPr>
        <w:pStyle w:val="44"/>
        <w:spacing w:line="240" w:lineRule="auto"/>
      </w:pPr>
      <w:r>
        <w:t>g) 协作请求：宜支持向护士或其他医疗护理员快速发起协作请求。</w:t>
      </w:r>
    </w:p>
    <w:bookmarkEnd w:id="71"/>
    <w:bookmarkEnd w:id="72"/>
    <w:bookmarkEnd w:id="73"/>
    <w:p w14:paraId="2594FC51">
      <w:pPr>
        <w:pStyle w:val="50"/>
        <w:numPr>
          <w:ilvl w:val="0"/>
          <w:numId w:val="0"/>
        </w:numPr>
        <w:spacing w:before="0" w:beforeLines="0" w:after="0" w:afterLines="0"/>
        <w:ind w:left="0"/>
        <w:outlineLvl w:val="9"/>
        <w:rPr>
          <w:rFonts w:hint="eastAsia" w:hAnsi="黑体" w:cs="黑体"/>
          <w:bCs/>
          <w:color w:val="000000"/>
        </w:rPr>
      </w:pPr>
      <w:bookmarkStart w:id="74" w:name="_Toc16340"/>
      <w:bookmarkStart w:id="75" w:name="_Toc4661"/>
      <w:bookmarkStart w:id="76" w:name="_Toc1081"/>
      <w:r>
        <w:rPr>
          <w:rFonts w:hint="eastAsia" w:hAnsi="黑体" w:cs="黑体"/>
          <w:bCs/>
          <w:color w:val="000000"/>
        </w:rPr>
        <w:t>6.2.3 患者端</w:t>
      </w:r>
    </w:p>
    <w:p w14:paraId="5FA06B71">
      <w:pPr>
        <w:pStyle w:val="44"/>
        <w:spacing w:line="240" w:lineRule="auto"/>
      </w:pPr>
      <w:r>
        <w:t>a) 照护任务查询：应支持实时查看</w:t>
      </w:r>
      <w:r>
        <w:rPr>
          <w:rFonts w:hint="eastAsia"/>
        </w:rPr>
        <w:t>当日</w:t>
      </w:r>
      <w:r>
        <w:t>照护任务清单及执行进度。</w:t>
      </w:r>
    </w:p>
    <w:p w14:paraId="2846BAD9">
      <w:pPr>
        <w:pStyle w:val="44"/>
        <w:spacing w:line="240" w:lineRule="auto"/>
      </w:pPr>
      <w:r>
        <w:t>b) 服务呼叫：应提供一键呼叫功能，并支持与医疗护理员或护士的语音交互，宜按照患者常见</w:t>
      </w:r>
      <w:r>
        <w:rPr>
          <w:rFonts w:hint="eastAsia"/>
        </w:rPr>
        <w:t>临时</w:t>
      </w:r>
      <w:r>
        <w:t>需求预设置服务类型选项。</w:t>
      </w:r>
    </w:p>
    <w:p w14:paraId="3C7AE6C8">
      <w:pPr>
        <w:pStyle w:val="44"/>
        <w:spacing w:line="240" w:lineRule="auto"/>
      </w:pPr>
      <w:r>
        <w:t>c) 服务评价</w:t>
      </w:r>
      <w:r>
        <w:rPr>
          <w:rFonts w:hint="eastAsia"/>
        </w:rPr>
        <w:t>与反馈</w:t>
      </w:r>
      <w:r>
        <w:t>：宜支持对已完成的照护服务项目进行满意度评价，并可提供文字或语音形式的反馈功能。</w:t>
      </w:r>
    </w:p>
    <w:p w14:paraId="51F4593A">
      <w:pPr>
        <w:pStyle w:val="44"/>
        <w:spacing w:line="240" w:lineRule="auto"/>
      </w:pPr>
      <w:r>
        <w:t>d) 便民服务：宜集成包括但不限于个人诊疗报告查询、费用查询、健康宣教、在线订餐、文娱互动等功能。</w:t>
      </w:r>
    </w:p>
    <w:p w14:paraId="260FE65B">
      <w:pPr>
        <w:pStyle w:val="44"/>
        <w:spacing w:line="240" w:lineRule="auto"/>
      </w:pPr>
      <w:r>
        <w:t>e) 亲情支持：宜支持接听家属端发起的视频或语音通话请求。</w:t>
      </w:r>
    </w:p>
    <w:p w14:paraId="4B04F432">
      <w:pPr>
        <w:pStyle w:val="44"/>
        <w:spacing w:line="240" w:lineRule="auto"/>
      </w:pPr>
      <w:r>
        <w:t>f）医疗护理员信息查看：宜支持查看执行服务的医疗护理员的资质、服务星级等信息。</w:t>
      </w:r>
      <w:bookmarkEnd w:id="74"/>
      <w:bookmarkEnd w:id="75"/>
      <w:bookmarkEnd w:id="76"/>
    </w:p>
    <w:p w14:paraId="1818F26A">
      <w:pPr>
        <w:pStyle w:val="50"/>
        <w:numPr>
          <w:ilvl w:val="0"/>
          <w:numId w:val="0"/>
        </w:numPr>
        <w:spacing w:before="0" w:beforeLines="0" w:after="0" w:afterLines="0"/>
        <w:ind w:left="0"/>
        <w:outlineLvl w:val="9"/>
        <w:rPr>
          <w:rFonts w:hint="eastAsia" w:hAnsi="黑体" w:cs="黑体"/>
          <w:bCs/>
          <w:color w:val="000000"/>
        </w:rPr>
      </w:pPr>
      <w:bookmarkStart w:id="77" w:name="_Toc23068"/>
      <w:bookmarkStart w:id="78" w:name="_Toc10930"/>
      <w:bookmarkStart w:id="79" w:name="_Toc8253"/>
      <w:r>
        <w:rPr>
          <w:rFonts w:hint="eastAsia" w:hAnsi="黑体" w:cs="黑体"/>
        </w:rPr>
        <w:t xml:space="preserve">6.2.4 </w:t>
      </w:r>
      <w:r>
        <w:rPr>
          <w:rFonts w:hint="eastAsia" w:hAnsi="黑体" w:cs="黑体"/>
          <w:bCs/>
          <w:color w:val="000000"/>
        </w:rPr>
        <w:t>家属端</w:t>
      </w:r>
    </w:p>
    <w:p w14:paraId="10189498">
      <w:pPr>
        <w:pStyle w:val="44"/>
        <w:spacing w:line="240" w:lineRule="auto"/>
      </w:pPr>
      <w:r>
        <w:t>a) 信息查看：应支持查看医疗护理员</w:t>
      </w:r>
      <w:r>
        <w:rPr>
          <w:rFonts w:hint="eastAsia"/>
        </w:rPr>
        <w:t>资质</w:t>
      </w:r>
      <w:r>
        <w:t>信息、患者的照护任务清单</w:t>
      </w:r>
      <w:r>
        <w:rPr>
          <w:rFonts w:hint="eastAsia"/>
        </w:rPr>
        <w:t>及</w:t>
      </w:r>
      <w:r>
        <w:t>执行详情等</w:t>
      </w:r>
      <w:r>
        <w:rPr>
          <w:rFonts w:hint="eastAsia"/>
        </w:rPr>
        <w:t>，实时了解患者住院照护情况</w:t>
      </w:r>
      <w:r>
        <w:t>。</w:t>
      </w:r>
    </w:p>
    <w:p w14:paraId="1A0934A8">
      <w:pPr>
        <w:pStyle w:val="44"/>
        <w:spacing w:line="240" w:lineRule="auto"/>
      </w:pPr>
      <w:r>
        <w:t>b) 远程探视：应支持向患者端发起视频或语音通话。</w:t>
      </w:r>
    </w:p>
    <w:p w14:paraId="6E35D5AA">
      <w:pPr>
        <w:pStyle w:val="44"/>
        <w:spacing w:line="240" w:lineRule="auto"/>
      </w:pPr>
      <w:r>
        <w:t>c) 评价与反馈：应支持对免陪照护服务进行评价，宜具备留言功能</w:t>
      </w:r>
      <w:r>
        <w:rPr>
          <w:rFonts w:hint="eastAsia"/>
        </w:rPr>
        <w:t>用于意见反馈</w:t>
      </w:r>
      <w:r>
        <w:t>。</w:t>
      </w:r>
      <w:bookmarkEnd w:id="77"/>
      <w:bookmarkEnd w:id="78"/>
      <w:bookmarkEnd w:id="79"/>
    </w:p>
    <w:p w14:paraId="2252C349">
      <w:pPr>
        <w:pStyle w:val="50"/>
        <w:numPr>
          <w:ilvl w:val="0"/>
          <w:numId w:val="0"/>
        </w:numPr>
        <w:spacing w:before="0" w:beforeLines="0" w:after="0" w:afterLines="0"/>
        <w:ind w:left="0"/>
        <w:outlineLvl w:val="9"/>
        <w:rPr>
          <w:rFonts w:hint="eastAsia" w:hAnsi="黑体" w:cs="黑体"/>
          <w:bCs/>
          <w:color w:val="000000"/>
        </w:rPr>
      </w:pPr>
      <w:bookmarkStart w:id="80" w:name="_Toc25420"/>
      <w:bookmarkStart w:id="81" w:name="_Toc30005"/>
      <w:bookmarkStart w:id="82" w:name="_Toc15735"/>
      <w:r>
        <w:rPr>
          <w:rFonts w:hint="eastAsia" w:hAnsi="黑体" w:cs="黑体"/>
          <w:bCs/>
          <w:color w:val="000000"/>
        </w:rPr>
        <w:t>6.2.5 管理员端</w:t>
      </w:r>
      <w:bookmarkEnd w:id="80"/>
      <w:bookmarkEnd w:id="81"/>
      <w:bookmarkEnd w:id="82"/>
    </w:p>
    <w:p w14:paraId="5C1A89FB">
      <w:pPr>
        <w:pStyle w:val="44"/>
        <w:spacing w:line="240" w:lineRule="auto"/>
      </w:pPr>
      <w:r>
        <w:t>a) 系统配置：应提供对系统参数、报警规则、消息推送模板、智能物联网设备等进行统一配置管理的功能。</w:t>
      </w:r>
    </w:p>
    <w:p w14:paraId="012C4073">
      <w:pPr>
        <w:pStyle w:val="44"/>
        <w:spacing w:line="240" w:lineRule="auto"/>
        <w:rPr>
          <w:color w:val="auto"/>
        </w:rPr>
      </w:pPr>
      <w:r>
        <w:t>b) 人员管理：</w:t>
      </w:r>
      <w:r>
        <w:rPr>
          <w:rFonts w:hint="eastAsia"/>
        </w:rPr>
        <w:t>应</w:t>
      </w:r>
      <w:r>
        <w:t>建立医疗护理员电子档案，管理其资质准入、技能</w:t>
      </w:r>
      <w:r>
        <w:rPr>
          <w:rFonts w:hint="eastAsia"/>
        </w:rPr>
        <w:t>能</w:t>
      </w:r>
      <w:r>
        <w:t>级（如A级、B级、C级、D级，参见T/SHNA 0012</w:t>
      </w:r>
      <w:r>
        <w:rPr>
          <w:rFonts w:hint="eastAsia"/>
        </w:rPr>
        <w:t>-</w:t>
      </w:r>
      <w:r>
        <w:t>2025）、</w:t>
      </w:r>
      <w:r>
        <w:rPr>
          <w:rFonts w:hint="eastAsia"/>
          <w:color w:val="auto"/>
        </w:rPr>
        <w:t>培训记录、服务质量评价等信息。</w:t>
      </w:r>
    </w:p>
    <w:p w14:paraId="19B11C39">
      <w:pPr>
        <w:pStyle w:val="44"/>
        <w:spacing w:line="240" w:lineRule="auto"/>
      </w:pPr>
      <w:r>
        <w:t>c) 数据看板：</w:t>
      </w:r>
      <w:r>
        <w:rPr>
          <w:rFonts w:hint="eastAsia"/>
        </w:rPr>
        <w:t>应</w:t>
      </w:r>
      <w:r>
        <w:t>实时</w:t>
      </w:r>
      <w:r>
        <w:rPr>
          <w:rFonts w:hint="eastAsia"/>
        </w:rPr>
        <w:t>、可视化展示</w:t>
      </w:r>
      <w:r>
        <w:t>全院或病区的核心质量及运营指标，如免陪照护服务覆盖率、照护</w:t>
      </w:r>
      <w:r>
        <w:rPr>
          <w:rFonts w:hint="eastAsia"/>
        </w:rPr>
        <w:t>任务清单</w:t>
      </w:r>
      <w:r>
        <w:t>完成率、巡视计划完成率、呼叫响应及时率、患者满意度等。</w:t>
      </w:r>
    </w:p>
    <w:p w14:paraId="3A948323">
      <w:pPr>
        <w:pStyle w:val="44"/>
        <w:spacing w:line="240" w:lineRule="auto"/>
      </w:pPr>
      <w:r>
        <w:t>d) 统计分析：</w:t>
      </w:r>
      <w:r>
        <w:rPr>
          <w:rFonts w:hint="eastAsia"/>
        </w:rPr>
        <w:t>应</w:t>
      </w:r>
      <w:r>
        <w:t>提供多维度统计分析功能，支持医疗护理员工作负荷、服务效率、服务质量等数据的深度分析，支持报表自定义生成与导出，为排班优化、绩效考核、管理决策提供数据支撑。</w:t>
      </w:r>
    </w:p>
    <w:p w14:paraId="6E779F2E">
      <w:pPr>
        <w:pStyle w:val="44"/>
        <w:spacing w:line="240" w:lineRule="auto"/>
      </w:pPr>
      <w:r>
        <w:rPr>
          <w:rFonts w:hint="eastAsia"/>
        </w:rPr>
        <w:t xml:space="preserve">e) </w:t>
      </w:r>
      <w:r>
        <w:rPr>
          <w:rStyle w:val="14"/>
          <w:rFonts w:hint="eastAsia"/>
          <w:b w:val="0"/>
          <w:bCs/>
          <w:szCs w:val="21"/>
        </w:rPr>
        <w:t>服务定价与结算支持</w:t>
      </w:r>
      <w:r>
        <w:rPr>
          <w:rFonts w:hint="eastAsia"/>
        </w:rPr>
        <w:t>：</w:t>
      </w:r>
      <w:r>
        <w:t>平台应支持将不同级别的照护服务与收费标准相关联。系统可根据确定的服务等级，自动生成服务费用清单，并支持与医院财务系统对接，为透明化、规范化收费与结算提供技术支撑。</w:t>
      </w:r>
    </w:p>
    <w:p w14:paraId="7E22988D">
      <w:pPr>
        <w:pStyle w:val="50"/>
        <w:numPr>
          <w:ilvl w:val="0"/>
          <w:numId w:val="0"/>
        </w:numPr>
        <w:spacing w:before="156" w:after="156"/>
        <w:outlineLvl w:val="0"/>
        <w:rPr>
          <w:rFonts w:hint="eastAsia" w:hAnsi="黑体" w:cs="黑体"/>
          <w:bCs/>
          <w:color w:val="000000"/>
        </w:rPr>
      </w:pPr>
      <w:bookmarkStart w:id="83" w:name="_Toc20342"/>
      <w:bookmarkStart w:id="84" w:name="_Toc25848"/>
      <w:bookmarkStart w:id="85" w:name="_Toc6898"/>
      <w:bookmarkStart w:id="86" w:name="_Toc216597502"/>
      <w:bookmarkStart w:id="87" w:name="_Toc6858"/>
      <w:bookmarkStart w:id="88" w:name="_Toc13790"/>
      <w:bookmarkStart w:id="89" w:name="_Toc23379"/>
      <w:r>
        <w:rPr>
          <w:rFonts w:hint="eastAsia" w:hAnsi="黑体" w:cs="黑体"/>
          <w:bCs/>
          <w:color w:val="000000"/>
        </w:rPr>
        <w:t xml:space="preserve">7 </w:t>
      </w:r>
      <w:r>
        <w:rPr>
          <w:rFonts w:hAnsi="黑体" w:cs="黑体"/>
          <w:bCs/>
          <w:color w:val="000000"/>
        </w:rPr>
        <w:t>非功能性</w:t>
      </w:r>
      <w:r>
        <w:rPr>
          <w:rFonts w:hint="eastAsia" w:hAnsi="黑体" w:cs="黑体"/>
          <w:bCs/>
          <w:color w:val="000000"/>
        </w:rPr>
        <w:t>要求</w:t>
      </w:r>
      <w:bookmarkEnd w:id="83"/>
      <w:bookmarkEnd w:id="84"/>
      <w:bookmarkEnd w:id="85"/>
      <w:bookmarkEnd w:id="86"/>
      <w:bookmarkEnd w:id="87"/>
      <w:bookmarkEnd w:id="88"/>
      <w:bookmarkEnd w:id="89"/>
    </w:p>
    <w:p w14:paraId="10434858">
      <w:pPr>
        <w:pStyle w:val="50"/>
        <w:numPr>
          <w:ilvl w:val="0"/>
          <w:numId w:val="0"/>
        </w:numPr>
        <w:spacing w:before="156" w:after="156" w:line="360" w:lineRule="exact"/>
        <w:outlineLvl w:val="9"/>
        <w:rPr>
          <w:rFonts w:ascii="Times New Roman Regular" w:hAnsi="Times New Roman Regular" w:eastAsia="宋体" w:cs="Times New Roman Regular"/>
          <w:b/>
          <w:color w:val="000000"/>
        </w:rPr>
      </w:pPr>
      <w:bookmarkStart w:id="90" w:name="_Toc5711"/>
      <w:bookmarkStart w:id="91" w:name="_Toc20051"/>
      <w:bookmarkStart w:id="92" w:name="_Toc1975"/>
      <w:r>
        <w:rPr>
          <w:rFonts w:hint="eastAsia" w:hAnsi="黑体" w:cs="黑体"/>
          <w:bCs/>
          <w:color w:val="000000"/>
        </w:rPr>
        <w:t>7.1 响应性能</w:t>
      </w:r>
      <w:bookmarkEnd w:id="90"/>
      <w:bookmarkEnd w:id="91"/>
      <w:bookmarkEnd w:id="92"/>
    </w:p>
    <w:p w14:paraId="003B19D6">
      <w:pPr>
        <w:pStyle w:val="44"/>
        <w:spacing w:line="240" w:lineRule="auto"/>
      </w:pPr>
      <w:r>
        <w:t>a) 平台前端页面加载及主要功能操作响应时间应 ≤ 3秒。</w:t>
      </w:r>
    </w:p>
    <w:p w14:paraId="765ACD41">
      <w:pPr>
        <w:pStyle w:val="44"/>
        <w:spacing w:line="240" w:lineRule="auto"/>
      </w:pPr>
      <w:r>
        <w:t>b) 智能硬件触发的紧急报警信息，从产生到推送至指定终端的延迟应 ≤ 2秒。</w:t>
      </w:r>
    </w:p>
    <w:p w14:paraId="14811E65">
      <w:pPr>
        <w:pStyle w:val="44"/>
        <w:spacing w:line="240" w:lineRule="auto"/>
      </w:pPr>
      <w:r>
        <w:t>c) 核心数据库高频查询操作的平均响应时间应 ≤ 2秒。</w:t>
      </w:r>
    </w:p>
    <w:p w14:paraId="3877BA38">
      <w:pPr>
        <w:pStyle w:val="50"/>
        <w:numPr>
          <w:ilvl w:val="0"/>
          <w:numId w:val="0"/>
        </w:numPr>
        <w:spacing w:before="156" w:after="156" w:line="360" w:lineRule="exact"/>
        <w:outlineLvl w:val="9"/>
        <w:rPr>
          <w:rFonts w:hint="eastAsia" w:hAnsi="黑体" w:cs="黑体"/>
          <w:bCs/>
          <w:color w:val="000000"/>
        </w:rPr>
      </w:pPr>
      <w:bookmarkStart w:id="93" w:name="_Toc18442"/>
      <w:bookmarkStart w:id="94" w:name="_Toc14699"/>
      <w:bookmarkStart w:id="95" w:name="_Toc10600"/>
      <w:r>
        <w:rPr>
          <w:rFonts w:hint="eastAsia" w:hAnsi="黑体" w:cs="黑体"/>
          <w:bCs/>
          <w:color w:val="000000"/>
        </w:rPr>
        <w:t>7.2 并发处理能力</w:t>
      </w:r>
      <w:bookmarkEnd w:id="93"/>
      <w:bookmarkEnd w:id="94"/>
      <w:bookmarkEnd w:id="95"/>
    </w:p>
    <w:p w14:paraId="642FD2A7">
      <w:pPr>
        <w:pStyle w:val="44"/>
        <w:spacing w:line="240" w:lineRule="auto"/>
      </w:pPr>
      <w:r>
        <w:t>a) 应能支持五端各类角色的并发访问需求，系统无明显卡顿或延迟。</w:t>
      </w:r>
    </w:p>
    <w:p w14:paraId="19B1487B">
      <w:pPr>
        <w:pStyle w:val="44"/>
        <w:spacing w:line="240" w:lineRule="auto"/>
      </w:pPr>
      <w:r>
        <w:t>b) 应能支持病区内多点报警事件的并发处理，报警处理流程无阻塞。</w:t>
      </w:r>
    </w:p>
    <w:p w14:paraId="41365B2B">
      <w:pPr>
        <w:pStyle w:val="50"/>
        <w:numPr>
          <w:ilvl w:val="0"/>
          <w:numId w:val="0"/>
        </w:numPr>
        <w:spacing w:before="156" w:after="156"/>
        <w:outlineLvl w:val="9"/>
        <w:rPr>
          <w:rFonts w:hint="eastAsia" w:hAnsi="黑体" w:cs="黑体"/>
          <w:bCs/>
          <w:color w:val="000000"/>
        </w:rPr>
      </w:pPr>
      <w:bookmarkStart w:id="96" w:name="_Toc25283"/>
      <w:bookmarkStart w:id="97" w:name="_Toc16324"/>
      <w:bookmarkStart w:id="98" w:name="_Toc31090"/>
      <w:r>
        <w:rPr>
          <w:rFonts w:hint="eastAsia" w:hAnsi="黑体" w:cs="黑体"/>
          <w:bCs/>
          <w:color w:val="000000"/>
        </w:rPr>
        <w:t>7.3 可靠性与可用性</w:t>
      </w:r>
      <w:bookmarkEnd w:id="96"/>
      <w:bookmarkEnd w:id="97"/>
      <w:bookmarkEnd w:id="98"/>
    </w:p>
    <w:p w14:paraId="5D545B35">
      <w:pPr>
        <w:pStyle w:val="44"/>
        <w:spacing w:line="240" w:lineRule="auto"/>
      </w:pPr>
      <w:r>
        <w:t>a) 核心业务系统的年均可用性应 ≥ 99.9%。</w:t>
      </w:r>
    </w:p>
    <w:p w14:paraId="083BF140">
      <w:pPr>
        <w:pStyle w:val="44"/>
        <w:spacing w:line="240" w:lineRule="auto"/>
      </w:pPr>
      <w:r>
        <w:t>b) 应避免单点故障，关键业务功能平均故障恢复时间应 ≤ 30分钟。</w:t>
      </w:r>
    </w:p>
    <w:p w14:paraId="7EA2D46D">
      <w:pPr>
        <w:pStyle w:val="44"/>
        <w:spacing w:line="240" w:lineRule="auto"/>
        <w:rPr>
          <w:rFonts w:ascii="Times New Roman" w:hAnsi="Times New Roman" w:cs="Times New Roman"/>
          <w:b w:val="0"/>
        </w:rPr>
      </w:pPr>
      <w:r>
        <w:t>c) 智能终端应满足7×24小时连续运行要求，月</w:t>
      </w:r>
      <w:r>
        <w:rPr>
          <w:rFonts w:hint="eastAsia"/>
        </w:rPr>
        <w:t>平均设备</w:t>
      </w:r>
      <w:r>
        <w:t>故障率应 ≤ 1%</w:t>
      </w:r>
      <w:r>
        <w:rPr>
          <w:rFonts w:hint="eastAsia"/>
        </w:rPr>
        <w:t>。</w:t>
      </w:r>
    </w:p>
    <w:p w14:paraId="47BC51EF">
      <w:pPr>
        <w:pStyle w:val="52"/>
        <w:numPr>
          <w:ilvl w:val="0"/>
          <w:numId w:val="0"/>
        </w:numPr>
        <w:outlineLvl w:val="0"/>
        <w:rPr>
          <w:rFonts w:hint="eastAsia" w:hAnsi="黑体" w:cs="黑体"/>
          <w:bCs/>
          <w:color w:val="000000"/>
          <w:szCs w:val="21"/>
        </w:rPr>
      </w:pPr>
      <w:bookmarkStart w:id="99" w:name="_Toc32020"/>
      <w:bookmarkStart w:id="100" w:name="_Toc20181"/>
      <w:bookmarkStart w:id="101" w:name="_Toc216597503"/>
      <w:bookmarkStart w:id="102" w:name="_Toc1408"/>
      <w:bookmarkStart w:id="103" w:name="_Toc4253"/>
      <w:bookmarkStart w:id="104" w:name="_Toc12334"/>
      <w:bookmarkStart w:id="105" w:name="_Toc25646"/>
      <w:r>
        <w:rPr>
          <w:rFonts w:hint="eastAsia" w:hAnsi="黑体" w:cs="黑体"/>
          <w:bCs/>
          <w:color w:val="000000"/>
          <w:szCs w:val="21"/>
        </w:rPr>
        <w:t>8 数据、接口与安全要求</w:t>
      </w:r>
      <w:bookmarkEnd w:id="99"/>
      <w:bookmarkEnd w:id="100"/>
      <w:bookmarkEnd w:id="101"/>
      <w:bookmarkEnd w:id="102"/>
      <w:bookmarkEnd w:id="103"/>
      <w:bookmarkEnd w:id="104"/>
      <w:bookmarkEnd w:id="105"/>
    </w:p>
    <w:p w14:paraId="1EA00CE0">
      <w:pPr>
        <w:pStyle w:val="50"/>
        <w:numPr>
          <w:ilvl w:val="0"/>
          <w:numId w:val="0"/>
        </w:numPr>
        <w:spacing w:before="156" w:after="156" w:line="240" w:lineRule="auto"/>
        <w:ind w:left="0"/>
        <w:outlineLvl w:val="9"/>
        <w:rPr>
          <w:rFonts w:hint="eastAsia" w:hAnsi="黑体" w:cs="黑体"/>
          <w:bCs/>
          <w:color w:val="000000"/>
        </w:rPr>
      </w:pPr>
      <w:r>
        <w:rPr>
          <w:rFonts w:hint="eastAsia" w:hAnsi="黑体" w:cs="黑体"/>
          <w:bCs/>
          <w:color w:val="000000"/>
        </w:rPr>
        <w:t>8.1 数据与接口规范</w:t>
      </w:r>
    </w:p>
    <w:p w14:paraId="7D1AB90D">
      <w:pPr>
        <w:pStyle w:val="44"/>
        <w:spacing w:line="240" w:lineRule="auto"/>
      </w:pPr>
      <w:r>
        <w:t>a) 数据标准：应遵循WS 374、WS/T 303等卫生信息数据标准，确保数据的一致性、准确性和可比性。</w:t>
      </w:r>
    </w:p>
    <w:p w14:paraId="053A1319">
      <w:pPr>
        <w:pStyle w:val="44"/>
        <w:spacing w:line="240" w:lineRule="auto"/>
      </w:pPr>
      <w:r>
        <w:t>b) 接口规范：应采用面向服务的架构（SOA）或RESTful API等技术，提供标准、统一的数据接口。与院内系统进行文档交换时，应遵循WS/T 500等规范。</w:t>
      </w:r>
    </w:p>
    <w:p w14:paraId="1FFB64CD">
      <w:pPr>
        <w:pStyle w:val="50"/>
        <w:numPr>
          <w:ilvl w:val="0"/>
          <w:numId w:val="0"/>
        </w:numPr>
        <w:spacing w:before="156" w:after="156" w:line="240" w:lineRule="auto"/>
        <w:ind w:left="0"/>
        <w:outlineLvl w:val="9"/>
        <w:rPr>
          <w:rFonts w:hint="eastAsia" w:hAnsi="黑体" w:cs="黑体"/>
          <w:bCs/>
          <w:color w:val="000000"/>
        </w:rPr>
      </w:pPr>
      <w:bookmarkStart w:id="106" w:name="_Toc831"/>
      <w:bookmarkStart w:id="107" w:name="_Toc20883"/>
      <w:bookmarkStart w:id="108" w:name="_Toc4194"/>
      <w:r>
        <w:rPr>
          <w:rFonts w:hAnsi="黑体" w:cs="黑体"/>
          <w:bCs/>
          <w:color w:val="000000"/>
        </w:rPr>
        <w:t>8.2 数据安全与隐私保护</w:t>
      </w:r>
      <w:bookmarkEnd w:id="106"/>
      <w:bookmarkEnd w:id="107"/>
      <w:bookmarkEnd w:id="108"/>
    </w:p>
    <w:p w14:paraId="38E37244">
      <w:pPr>
        <w:pStyle w:val="44"/>
      </w:pPr>
      <w:r>
        <w:t>a) 分级管理：应对数据进行分类分级，对不同级别的数据制定相应的采集、传输、存储和访问管理策略。</w:t>
      </w:r>
    </w:p>
    <w:p w14:paraId="45BFD949">
      <w:pPr>
        <w:pStyle w:val="44"/>
      </w:pPr>
      <w:r>
        <w:t>b) 加密措施：应采用符合GB/T 39786-2021要求的密码技术，对个人敏感信息（如身份证号、联系方式等）在传输和存储时进行加密处理。</w:t>
      </w:r>
    </w:p>
    <w:p w14:paraId="70231601">
      <w:pPr>
        <w:pStyle w:val="44"/>
      </w:pPr>
      <w:r>
        <w:t>c) 访问控制：应建立严格的身份认证和基于角色的数据访问控制机制，确保用户只能访问其权限范围内的数据，并详细记录数据访问日志，确保可追溯。</w:t>
      </w:r>
    </w:p>
    <w:p w14:paraId="309E16AE">
      <w:pPr>
        <w:pStyle w:val="44"/>
      </w:pPr>
      <w:r>
        <w:t>d) 隐私保护技术：应遵循GB/T 35273-2020的要求。在数据分析和对外提供时，应采用去标识化、匿名化等技术手段，最大限度保护患者隐私。</w:t>
      </w:r>
    </w:p>
    <w:p w14:paraId="0A56C13A">
      <w:pPr>
        <w:pStyle w:val="44"/>
        <w:spacing w:line="240" w:lineRule="auto"/>
      </w:pPr>
      <w:r>
        <w:t>e) 数据备份与恢复：应建立完善的数据备份与恢复机制，实现核心数据的每日增量备份和每周全量备份，备份介质宜</w:t>
      </w:r>
      <w:r>
        <w:rPr>
          <w:rFonts w:hint="eastAsia"/>
        </w:rPr>
        <w:t>采用本地、</w:t>
      </w:r>
      <w:r>
        <w:t>异地</w:t>
      </w:r>
      <w:r>
        <w:rPr>
          <w:rFonts w:hint="eastAsia"/>
        </w:rPr>
        <w:t>相结合的方式</w:t>
      </w:r>
      <w:r>
        <w:t>存放，并定期进行恢复演练。</w:t>
      </w:r>
    </w:p>
    <w:p w14:paraId="3D3F7CC0">
      <w:pPr>
        <w:pStyle w:val="50"/>
        <w:numPr>
          <w:ilvl w:val="0"/>
          <w:numId w:val="0"/>
        </w:numPr>
        <w:spacing w:before="156" w:after="156" w:line="240" w:lineRule="auto"/>
        <w:ind w:left="0"/>
        <w:outlineLvl w:val="9"/>
        <w:rPr>
          <w:rFonts w:hint="eastAsia" w:hAnsi="黑体" w:cs="黑体"/>
          <w:bCs/>
          <w:color w:val="000000"/>
        </w:rPr>
      </w:pPr>
      <w:bookmarkStart w:id="109" w:name="_Toc10017"/>
      <w:bookmarkStart w:id="110" w:name="_Toc16484"/>
      <w:bookmarkStart w:id="111" w:name="_Toc24704"/>
      <w:r>
        <w:rPr>
          <w:rFonts w:hAnsi="黑体" w:cs="黑体"/>
          <w:bCs/>
          <w:color w:val="000000"/>
        </w:rPr>
        <w:t>8.3 网络与应用安全</w:t>
      </w:r>
      <w:bookmarkEnd w:id="109"/>
      <w:bookmarkEnd w:id="110"/>
      <w:bookmarkEnd w:id="111"/>
    </w:p>
    <w:p w14:paraId="336A7FCD">
      <w:pPr>
        <w:pStyle w:val="44"/>
      </w:pPr>
      <w:r>
        <w:t>a) 等级保护：平台安全防护水平应不低于GB/T 22239-2019中规定的第</w:t>
      </w:r>
      <w:r>
        <w:rPr>
          <w:rFonts w:hint="eastAsia"/>
        </w:rPr>
        <w:t>二</w:t>
      </w:r>
      <w:r>
        <w:t>级要求。</w:t>
      </w:r>
    </w:p>
    <w:p w14:paraId="3CDF6CA4">
      <w:pPr>
        <w:pStyle w:val="44"/>
      </w:pPr>
      <w:r>
        <w:t>b) 网络防护：应在网络边界部署Web应用防火墙（WAF）、入侵防御系统（IPS）等安全设备，防范网络攻击。</w:t>
      </w:r>
    </w:p>
    <w:p w14:paraId="68D50071">
      <w:pPr>
        <w:pStyle w:val="44"/>
      </w:pPr>
      <w:r>
        <w:t>c) 应用安全：应具备防范SQL注入、跨站脚本（XSS）等常见Web攻击的能力。定期进行安全漏洞扫描和渗透测试，并及时修复已知漏洞。</w:t>
      </w:r>
    </w:p>
    <w:p w14:paraId="47A1B1CF">
      <w:pPr>
        <w:pStyle w:val="44"/>
        <w:spacing w:line="240" w:lineRule="auto"/>
      </w:pPr>
      <w:r>
        <w:t>d) 事件响应：应建立安全事件应急响应机制，能够快速识别、报告、处置和恢复。</w:t>
      </w:r>
    </w:p>
    <w:p w14:paraId="212F26CC">
      <w:pPr>
        <w:pStyle w:val="52"/>
        <w:numPr>
          <w:ilvl w:val="0"/>
          <w:numId w:val="0"/>
        </w:numPr>
        <w:outlineLvl w:val="0"/>
        <w:rPr>
          <w:rFonts w:hint="eastAsia" w:hAnsi="黑体" w:cs="黑体"/>
          <w:bCs/>
          <w:color w:val="000000"/>
          <w:szCs w:val="21"/>
        </w:rPr>
      </w:pPr>
      <w:bookmarkStart w:id="112" w:name="_Toc21206"/>
      <w:bookmarkStart w:id="113" w:name="_Toc29840"/>
      <w:bookmarkStart w:id="114" w:name="_Toc5241"/>
      <w:bookmarkStart w:id="115" w:name="_Toc216597504"/>
      <w:bookmarkStart w:id="116" w:name="_Toc25735"/>
      <w:bookmarkStart w:id="117" w:name="_Toc26343"/>
      <w:bookmarkStart w:id="118" w:name="_Toc16127"/>
      <w:r>
        <w:rPr>
          <w:rFonts w:hAnsi="黑体" w:cs="黑体"/>
          <w:bCs/>
          <w:color w:val="000000"/>
          <w:szCs w:val="21"/>
        </w:rPr>
        <w:t>9 运行与维护</w:t>
      </w:r>
      <w:bookmarkEnd w:id="112"/>
      <w:bookmarkEnd w:id="113"/>
      <w:bookmarkEnd w:id="114"/>
      <w:r>
        <w:rPr>
          <w:rFonts w:hint="eastAsia" w:hAnsi="黑体" w:cs="黑体"/>
          <w:bCs/>
          <w:color w:val="000000"/>
          <w:szCs w:val="21"/>
        </w:rPr>
        <w:t>管理</w:t>
      </w:r>
      <w:bookmarkEnd w:id="115"/>
      <w:bookmarkEnd w:id="116"/>
      <w:bookmarkEnd w:id="117"/>
      <w:bookmarkEnd w:id="118"/>
    </w:p>
    <w:p w14:paraId="28F0165C">
      <w:pPr>
        <w:pStyle w:val="50"/>
        <w:numPr>
          <w:ilvl w:val="0"/>
          <w:numId w:val="0"/>
        </w:numPr>
        <w:spacing w:before="156" w:after="156" w:line="240" w:lineRule="auto"/>
        <w:ind w:left="0"/>
        <w:outlineLvl w:val="9"/>
        <w:rPr>
          <w:rFonts w:hint="eastAsia" w:hAnsi="黑体" w:cs="黑体"/>
          <w:bCs/>
          <w:color w:val="000000"/>
        </w:rPr>
      </w:pPr>
      <w:bookmarkStart w:id="119" w:name="_Toc23184"/>
      <w:bookmarkStart w:id="120" w:name="_Toc26109"/>
      <w:bookmarkStart w:id="121" w:name="_Toc29293"/>
      <w:r>
        <w:rPr>
          <w:rFonts w:hAnsi="黑体" w:cs="黑体"/>
          <w:bCs/>
          <w:color w:val="000000"/>
        </w:rPr>
        <w:t>9.1 系统监控</w:t>
      </w:r>
      <w:bookmarkEnd w:id="119"/>
      <w:bookmarkEnd w:id="120"/>
      <w:bookmarkEnd w:id="121"/>
    </w:p>
    <w:p w14:paraId="1D968E62">
      <w:pPr>
        <w:pStyle w:val="44"/>
        <w:spacing w:line="240" w:lineRule="auto"/>
      </w:pPr>
      <w:r>
        <w:t>应提供对平台硬件资源、网络状态、中间件、数据库及应用服务的全方位、实时监控功能，并具备阈值告警能力。</w:t>
      </w:r>
    </w:p>
    <w:p w14:paraId="33E0F99A">
      <w:pPr>
        <w:pStyle w:val="50"/>
        <w:numPr>
          <w:ilvl w:val="0"/>
          <w:numId w:val="0"/>
        </w:numPr>
        <w:spacing w:before="156" w:after="156" w:line="240" w:lineRule="auto"/>
        <w:ind w:left="0"/>
        <w:outlineLvl w:val="9"/>
        <w:rPr>
          <w:rFonts w:hint="eastAsia" w:hAnsi="黑体" w:cs="黑体"/>
          <w:bCs/>
          <w:color w:val="000000"/>
        </w:rPr>
      </w:pPr>
      <w:r>
        <w:rPr>
          <w:rFonts w:hAnsi="黑体" w:cs="黑体"/>
          <w:bCs/>
          <w:color w:val="000000"/>
        </w:rPr>
        <w:t>9.</w:t>
      </w:r>
      <w:r>
        <w:rPr>
          <w:rFonts w:hint="eastAsia" w:hAnsi="黑体" w:cs="黑体"/>
          <w:bCs/>
          <w:color w:val="000000"/>
        </w:rPr>
        <w:t>2</w:t>
      </w:r>
      <w:r>
        <w:rPr>
          <w:rFonts w:hAnsi="黑体" w:cs="黑体"/>
          <w:bCs/>
          <w:color w:val="000000"/>
        </w:rPr>
        <w:t xml:space="preserve"> </w:t>
      </w:r>
      <w:r>
        <w:rPr>
          <w:rFonts w:hint="eastAsia" w:hAnsi="黑体" w:cs="黑体"/>
          <w:bCs/>
          <w:color w:val="000000"/>
        </w:rPr>
        <w:t>故障管理</w:t>
      </w:r>
    </w:p>
    <w:p w14:paraId="58D46508">
      <w:pPr>
        <w:pStyle w:val="44"/>
      </w:pPr>
      <w:r>
        <w:t>应提供故障记录、处理、跟踪和分析功能，建立故障处理知识库，以提高运维效率。</w:t>
      </w:r>
    </w:p>
    <w:p w14:paraId="6734C6CF">
      <w:pPr>
        <w:pStyle w:val="50"/>
        <w:numPr>
          <w:ilvl w:val="0"/>
          <w:numId w:val="0"/>
        </w:numPr>
        <w:spacing w:before="156" w:after="156" w:line="240" w:lineRule="auto"/>
        <w:ind w:left="0"/>
        <w:outlineLvl w:val="9"/>
        <w:rPr>
          <w:rFonts w:hint="eastAsia" w:hAnsi="黑体" w:cs="黑体"/>
          <w:bCs/>
          <w:color w:val="000000"/>
        </w:rPr>
      </w:pPr>
      <w:r>
        <w:rPr>
          <w:rFonts w:hAnsi="黑体" w:cs="黑体"/>
          <w:bCs/>
          <w:color w:val="000000"/>
        </w:rPr>
        <w:t>9.3 应急预案</w:t>
      </w:r>
    </w:p>
    <w:p w14:paraId="6EBBEA68">
      <w:pPr>
        <w:pStyle w:val="44"/>
        <w:spacing w:line="240" w:lineRule="auto"/>
      </w:pPr>
      <w:r>
        <w:t>应制定详细的应急预案，明确不同故障场景（如网络中断、核心服务器宕机、大规模数据访问异常等）下的应急响应流程、业务连续性保障措施（如切换至线下手工操作流程）及数据恢复方案。</w:t>
      </w:r>
    </w:p>
    <w:p w14:paraId="3A1C979C">
      <w:pPr>
        <w:pBdr>
          <w:bottom w:val="single" w:color="auto" w:sz="4" w:space="0"/>
        </w:pBd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br w:type="page"/>
      </w:r>
    </w:p>
    <w:p w14:paraId="75F11103">
      <w:pPr>
        <w:jc w:val="center"/>
        <w:outlineLvl w:val="0"/>
        <w:rPr>
          <w:rFonts w:hint="eastAsia" w:ascii="Times New Roman" w:hAnsi="Times New Roman" w:eastAsia="黑体" w:cs="Times New Roman"/>
          <w:bCs/>
          <w:szCs w:val="21"/>
        </w:rPr>
      </w:pPr>
      <w:bookmarkStart w:id="122" w:name="_Toc216597505"/>
      <w:r>
        <w:rPr>
          <w:rFonts w:hint="eastAsia" w:ascii="Times New Roman" w:hAnsi="Times New Roman" w:eastAsia="黑体" w:cs="Times New Roman"/>
          <w:bCs/>
          <w:szCs w:val="21"/>
        </w:rPr>
        <w:t>附 录 A</w:t>
      </w:r>
      <w:bookmarkEnd w:id="122"/>
    </w:p>
    <w:p w14:paraId="3C269C06">
      <w:pPr>
        <w:jc w:val="center"/>
        <w:outlineLvl w:val="0"/>
        <w:rPr>
          <w:rFonts w:hint="eastAsia" w:ascii="Times New Roman" w:hAnsi="Times New Roman" w:eastAsia="黑体" w:cs="Times New Roman"/>
          <w:bCs/>
          <w:szCs w:val="21"/>
        </w:rPr>
      </w:pPr>
      <w:bookmarkStart w:id="123" w:name="_Toc216597506"/>
      <w:r>
        <w:rPr>
          <w:rFonts w:hint="eastAsia" w:ascii="Times New Roman" w:hAnsi="Times New Roman" w:eastAsia="黑体" w:cs="Times New Roman"/>
          <w:bCs/>
          <w:szCs w:val="21"/>
        </w:rPr>
        <w:t>（资料性）</w:t>
      </w:r>
      <w:bookmarkEnd w:id="123"/>
    </w:p>
    <w:p w14:paraId="303C5671">
      <w:pPr>
        <w:pStyle w:val="19"/>
        <w:ind w:firstLine="0" w:firstLineChars="0"/>
        <w:jc w:val="center"/>
        <w:outlineLvl w:val="0"/>
        <w:rPr>
          <w:rFonts w:hint="eastAsia" w:ascii="Times New Roman" w:hAnsi="Times New Roman" w:eastAsia="宋体" w:cs="Times New Roman"/>
          <w:bCs/>
          <w:szCs w:val="21"/>
        </w:rPr>
      </w:pPr>
      <w:bookmarkStart w:id="124" w:name="_Toc13514"/>
      <w:bookmarkStart w:id="125" w:name="_Toc216597507"/>
      <w:r>
        <w:rPr>
          <w:rFonts w:hint="eastAsia" w:ascii="Times New Roman" w:hAnsi="Times New Roman" w:eastAsia="黑体" w:cs="Times New Roman"/>
        </w:rPr>
        <w:t>核心功能测试用例示例</w:t>
      </w:r>
      <w:bookmarkEnd w:id="124"/>
      <w:bookmarkEnd w:id="125"/>
    </w:p>
    <w:p w14:paraId="15CCF2BD">
      <w:pPr>
        <w:pStyle w:val="52"/>
        <w:numPr>
          <w:ilvl w:val="0"/>
          <w:numId w:val="0"/>
        </w:numPr>
        <w:outlineLvl w:val="9"/>
        <w:rPr>
          <w:rFonts w:hint="eastAsia" w:hAnsi="黑体" w:cs="黑体"/>
          <w:bCs/>
          <w:color w:val="000000"/>
          <w:szCs w:val="21"/>
        </w:rPr>
      </w:pPr>
      <w:bookmarkStart w:id="126" w:name="_Toc28956"/>
      <w:bookmarkStart w:id="127" w:name="_Toc11909"/>
      <w:bookmarkStart w:id="128" w:name="_Toc11123"/>
      <w:r>
        <w:rPr>
          <w:rFonts w:hAnsi="黑体" w:cs="黑体"/>
          <w:bCs/>
          <w:color w:val="000000"/>
          <w:szCs w:val="21"/>
        </w:rPr>
        <w:t>A.1用例名称：患者跌倒事件智能报警及处理闭环</w:t>
      </w:r>
      <w:bookmarkEnd w:id="126"/>
      <w:bookmarkEnd w:id="127"/>
      <w:bookmarkEnd w:id="128"/>
    </w:p>
    <w:p w14:paraId="7288ED49">
      <w:pPr>
        <w:pStyle w:val="44"/>
        <w:autoSpaceDE w:val="0"/>
        <w:autoSpaceDN w:val="0"/>
        <w:spacing w:line="240" w:lineRule="auto"/>
      </w:pPr>
      <w:r>
        <w:t>（1）预置条件：某患者卫生间跌倒监测雷达已正常工作并稳定接入平台；平台报警规则已正确配置，能够将跌倒报警消息实时推送至医疗护理员智能终端与医护端。</w:t>
      </w:r>
    </w:p>
    <w:p w14:paraId="0A04054E">
      <w:pPr>
        <w:pStyle w:val="44"/>
        <w:autoSpaceDE w:val="0"/>
        <w:autoSpaceDN w:val="0"/>
        <w:spacing w:line="240" w:lineRule="auto"/>
      </w:pPr>
      <w:r>
        <w:t>（2）操作步骤：患者在卫生间发生跌倒，跌倒监测雷达捕获异常信息并触发报警。</w:t>
      </w:r>
    </w:p>
    <w:p w14:paraId="574C3782">
      <w:pPr>
        <w:pStyle w:val="44"/>
        <w:autoSpaceDE w:val="0"/>
        <w:autoSpaceDN w:val="0"/>
        <w:spacing w:line="240" w:lineRule="auto"/>
      </w:pPr>
      <w:bookmarkStart w:id="129" w:name="_Toc24787"/>
      <w:bookmarkStart w:id="130" w:name="_Toc16103"/>
      <w:bookmarkStart w:id="131" w:name="_Toc19088"/>
      <w:r>
        <w:t>（3）预期结果：</w:t>
      </w:r>
      <w:bookmarkEnd w:id="129"/>
      <w:bookmarkEnd w:id="130"/>
      <w:bookmarkEnd w:id="131"/>
    </w:p>
    <w:p w14:paraId="21FA5C95">
      <w:pPr>
        <w:widowControl/>
        <w:spacing w:line="240" w:lineRule="auto"/>
        <w:ind w:firstLine="420" w:firstLineChars="200"/>
        <w:rPr>
          <w:rFonts w:ascii="Times New Roman" w:hAnsi="Times New Roman" w:eastAsia="宋体" w:cs="Times New Roman"/>
          <w:color w:val="000000"/>
          <w:kern w:val="0"/>
          <w:szCs w:val="20"/>
        </w:rPr>
      </w:pPr>
      <w:r>
        <w:rPr>
          <w:rFonts w:hint="eastAsia" w:ascii="Cambria Math" w:hAnsi="Cambria Math" w:eastAsia="宋体" w:cs="Cambria Math"/>
          <w:color w:val="000000"/>
          <w:kern w:val="0"/>
          <w:szCs w:val="20"/>
        </w:rPr>
        <w:t>①</w:t>
      </w:r>
      <w:r>
        <w:rPr>
          <w:rFonts w:ascii="Times New Roman" w:hAnsi="Times New Roman" w:eastAsia="宋体" w:cs="Times New Roman"/>
          <w:color w:val="000000"/>
          <w:kern w:val="0"/>
          <w:szCs w:val="20"/>
        </w:rPr>
        <w:t>平台接收报警信号后</w:t>
      </w:r>
      <w:r>
        <w:rPr>
          <w:rFonts w:hint="eastAsia" w:ascii="Times New Roman" w:hAnsi="Times New Roman" w:eastAsia="宋体" w:cs="Times New Roman"/>
          <w:color w:val="000000"/>
          <w:kern w:val="0"/>
          <w:szCs w:val="20"/>
        </w:rPr>
        <w:t>，应在</w:t>
      </w:r>
      <w:r>
        <w:rPr>
          <w:rFonts w:ascii="Times New Roman" w:hAnsi="Times New Roman" w:eastAsia="宋体" w:cs="Times New Roman"/>
          <w:color w:val="000000"/>
          <w:kern w:val="0"/>
          <w:szCs w:val="20"/>
        </w:rPr>
        <w:t>2</w:t>
      </w:r>
      <w:r>
        <w:rPr>
          <w:rFonts w:hint="eastAsia" w:ascii="Times New Roman" w:hAnsi="Times New Roman" w:eastAsia="宋体" w:cs="Times New Roman"/>
          <w:color w:val="000000"/>
          <w:kern w:val="0"/>
          <w:szCs w:val="20"/>
        </w:rPr>
        <w:t>秒内生成并推送高级别告警。告警信息应同时在护士站医护端以红色弹窗与声音提示呈现，并在医疗护理员智能终端上以强震动与醒目消息框显示，内容需清晰标明“跌倒报警”、患者位置与床位信息。</w:t>
      </w:r>
    </w:p>
    <w:p w14:paraId="1CBE7841">
      <w:pPr>
        <w:widowControl/>
        <w:spacing w:line="240" w:lineRule="auto"/>
        <w:ind w:firstLine="420" w:firstLineChars="200"/>
        <w:rPr>
          <w:rFonts w:hint="eastAsia" w:ascii="Times New Roman" w:hAnsi="Times New Roman" w:eastAsia="宋体" w:cs="Times New Roman"/>
          <w:color w:val="000000"/>
          <w:kern w:val="0"/>
          <w:szCs w:val="20"/>
        </w:rPr>
      </w:pPr>
      <w:r>
        <w:rPr>
          <w:rFonts w:hint="eastAsia" w:ascii="Cambria Math" w:hAnsi="Cambria Math" w:eastAsia="宋体" w:cs="Cambria Math"/>
          <w:color w:val="000000"/>
          <w:kern w:val="0"/>
          <w:szCs w:val="20"/>
        </w:rPr>
        <w:t>②</w:t>
      </w:r>
      <w:r>
        <w:rPr>
          <w:rFonts w:hint="eastAsia" w:ascii="Times New Roman" w:hAnsi="Times New Roman" w:eastAsia="宋体" w:cs="Times New Roman"/>
          <w:color w:val="000000"/>
          <w:kern w:val="0"/>
          <w:szCs w:val="20"/>
        </w:rPr>
        <w:t>平台自动生成紧急处置任务，推送给护士及当班医疗护理员。护士与医疗护理员通过移动终端接收任务后，须立即共同或先后赶赴现场。</w:t>
      </w:r>
    </w:p>
    <w:p w14:paraId="52180AF6">
      <w:pPr>
        <w:widowControl/>
        <w:spacing w:before="0" w:line="240" w:lineRule="auto"/>
        <w:ind w:firstLine="420" w:firstLineChars="200"/>
        <w:rPr>
          <w:rFonts w:ascii="Times New Roman" w:hAnsi="Times New Roman" w:eastAsia="宋体" w:cs="Times New Roman"/>
          <w:color w:val="000000"/>
          <w:kern w:val="0"/>
          <w:szCs w:val="20"/>
        </w:rPr>
      </w:pPr>
      <w:r>
        <w:rPr>
          <w:rFonts w:hint="eastAsia" w:ascii="Cambria Math" w:hAnsi="Cambria Math" w:eastAsia="宋体" w:cs="Cambria Math"/>
          <w:color w:val="000000"/>
          <w:kern w:val="0"/>
          <w:szCs w:val="20"/>
        </w:rPr>
        <w:t>③</w:t>
      </w:r>
      <w:r>
        <w:rPr>
          <w:rFonts w:hint="eastAsia" w:ascii="Times New Roman" w:hAnsi="Times New Roman" w:eastAsia="宋体" w:cs="Times New Roman"/>
          <w:color w:val="000000"/>
          <w:kern w:val="0"/>
          <w:szCs w:val="20"/>
        </w:rPr>
        <w:t>现场协同处置：医疗护理员首要负责现场安全与患者基础照护（如检查环境安全、安抚患者情绪）。 护士立即进行专业的医疗评估（如意识、生命体征、伤情初步判断），并指挥医疗护理员协同进行必要的搬动、体位调整等。</w:t>
      </w:r>
    </w:p>
    <w:p w14:paraId="7F6965CA">
      <w:pPr>
        <w:widowControl/>
        <w:spacing w:before="0" w:line="240" w:lineRule="auto"/>
        <w:ind w:firstLine="420" w:firstLineChars="200"/>
        <w:rPr>
          <w:rFonts w:ascii="Times New Roman" w:hAnsi="Times New Roman" w:eastAsia="宋体" w:cs="Times New Roman"/>
          <w:color w:val="000000"/>
          <w:kern w:val="0"/>
          <w:szCs w:val="20"/>
        </w:rPr>
      </w:pPr>
      <w:r>
        <w:rPr>
          <w:rFonts w:hint="eastAsia" w:ascii="Cambria Math" w:hAnsi="Cambria Math" w:eastAsia="宋体" w:cs="Cambria Math"/>
          <w:color w:val="000000"/>
          <w:kern w:val="0"/>
          <w:szCs w:val="20"/>
        </w:rPr>
        <w:t>④</w:t>
      </w:r>
      <w:r>
        <w:rPr>
          <w:rFonts w:hint="eastAsia" w:ascii="Times New Roman" w:hAnsi="Times New Roman" w:eastAsia="宋体" w:cs="Times New Roman"/>
          <w:color w:val="000000"/>
          <w:kern w:val="0"/>
          <w:szCs w:val="20"/>
        </w:rPr>
        <w:t>任务状态更新与闭环：现场联合处置完毕后，由护士在终端上将任务状态更新为“已完成”，标志着本次紧急事件的现场处置环节结束。若后续需医疗干预，则启动新的医嘱流程。</w:t>
      </w:r>
    </w:p>
    <w:p w14:paraId="09730234">
      <w:pPr>
        <w:pStyle w:val="52"/>
        <w:numPr>
          <w:ilvl w:val="0"/>
          <w:numId w:val="0"/>
        </w:numPr>
        <w:outlineLvl w:val="9"/>
        <w:rPr>
          <w:rFonts w:hint="eastAsia" w:hAnsi="黑体" w:cs="黑体"/>
          <w:bCs/>
          <w:color w:val="000000"/>
          <w:szCs w:val="21"/>
        </w:rPr>
      </w:pPr>
      <w:bookmarkStart w:id="132" w:name="_Toc1430"/>
      <w:bookmarkStart w:id="133" w:name="_Toc18408"/>
      <w:bookmarkStart w:id="134" w:name="_Toc14650"/>
      <w:r>
        <w:rPr>
          <w:rFonts w:hAnsi="黑体" w:cs="黑体"/>
          <w:bCs/>
          <w:color w:val="000000"/>
          <w:szCs w:val="21"/>
        </w:rPr>
        <w:t xml:space="preserve">A.2用例名称： </w:t>
      </w:r>
      <w:bookmarkEnd w:id="132"/>
      <w:bookmarkEnd w:id="133"/>
      <w:bookmarkEnd w:id="134"/>
      <w:r>
        <w:rPr>
          <w:rFonts w:hAnsi="黑体" w:cs="黑体"/>
          <w:bCs/>
          <w:color w:val="000000"/>
          <w:szCs w:val="21"/>
        </w:rPr>
        <w:t>护士制定照护计划并生成下发照护任务清单</w:t>
      </w:r>
    </w:p>
    <w:p w14:paraId="1C283645">
      <w:pPr>
        <w:pStyle w:val="44"/>
        <w:autoSpaceDE w:val="0"/>
        <w:autoSpaceDN w:val="0"/>
        <w:spacing w:line="240" w:lineRule="auto"/>
      </w:pPr>
      <w:r>
        <w:t>（1）预</w:t>
      </w:r>
      <w:r>
        <w:rPr>
          <w:rFonts w:hint="eastAsia"/>
        </w:rPr>
        <w:t>置条件：患者已入院，其基本信息、诊疗信息等数据已从医院信息系统同步至平台；平台知识库中已预置标准化的照护计划模板，该模板内已定义了对应的照护措施、默认频次、执行角色等规则；当班护士已登录医护端。</w:t>
      </w:r>
    </w:p>
    <w:p w14:paraId="4DB6C371">
      <w:pPr>
        <w:pStyle w:val="44"/>
        <w:autoSpaceDE w:val="0"/>
        <w:autoSpaceDN w:val="0"/>
        <w:spacing w:line="240" w:lineRule="auto"/>
      </w:pPr>
      <w:bookmarkStart w:id="135" w:name="_Toc21942"/>
      <w:bookmarkStart w:id="136" w:name="_Toc26559"/>
      <w:bookmarkStart w:id="137" w:name="_Toc22554"/>
      <w:r>
        <w:t>（2）</w:t>
      </w:r>
      <w:r>
        <w:rPr>
          <w:rFonts w:hint="eastAsia"/>
        </w:rPr>
        <w:t>操作步骤：</w:t>
      </w:r>
      <w:bookmarkEnd w:id="135"/>
      <w:bookmarkEnd w:id="136"/>
      <w:bookmarkEnd w:id="137"/>
    </w:p>
    <w:p w14:paraId="77749FBD">
      <w:pPr>
        <w:pStyle w:val="44"/>
        <w:autoSpaceDE w:val="0"/>
        <w:autoSpaceDN w:val="0"/>
        <w:spacing w:line="240" w:lineRule="auto"/>
      </w:pPr>
      <w:bookmarkStart w:id="138" w:name="_Toc2265"/>
      <w:bookmarkStart w:id="139" w:name="_Toc5583"/>
      <w:bookmarkStart w:id="140" w:name="_Toc26385"/>
      <w:r>
        <w:rPr>
          <w:rFonts w:hint="eastAsia"/>
        </w:rPr>
        <w:t>①护士进入“照护计划管理”模块，选择目标患者。</w:t>
      </w:r>
      <w:bookmarkEnd w:id="138"/>
      <w:bookmarkEnd w:id="139"/>
      <w:bookmarkEnd w:id="140"/>
    </w:p>
    <w:p w14:paraId="5020FFC2">
      <w:pPr>
        <w:pStyle w:val="44"/>
        <w:autoSpaceDE w:val="0"/>
        <w:autoSpaceDN w:val="0"/>
        <w:spacing w:line="240" w:lineRule="auto"/>
      </w:pPr>
      <w:r>
        <w:rPr>
          <w:rFonts w:hint="eastAsia"/>
        </w:rPr>
        <w:t>②系统基于患者诊断等信息，智能推荐知识库中匹配的标准化照护计划模板。护士结合对患者的个性化评估结果，对模板内容进行审核与确认，或进行个性化调整，形成该患者的专属照护计划。</w:t>
      </w:r>
    </w:p>
    <w:p w14:paraId="1D00971C">
      <w:pPr>
        <w:pStyle w:val="44"/>
        <w:autoSpaceDE w:val="0"/>
        <w:autoSpaceDN w:val="0"/>
        <w:spacing w:line="240" w:lineRule="auto"/>
      </w:pPr>
      <w:r>
        <w:rPr>
          <w:rFonts w:hint="eastAsia"/>
        </w:rPr>
        <w:t>③护士确认照护计划内容无误后，点击“下发计划”按钮。</w:t>
      </w:r>
    </w:p>
    <w:p w14:paraId="3AB1DAA6">
      <w:pPr>
        <w:pStyle w:val="44"/>
        <w:autoSpaceDE w:val="0"/>
        <w:autoSpaceDN w:val="0"/>
        <w:spacing w:line="240" w:lineRule="auto"/>
      </w:pPr>
      <w:r>
        <w:rPr>
          <w:rFonts w:hint="eastAsia"/>
        </w:rPr>
        <w:t>④平台智能解析与任务生成：平台将护士下发的“照护计划”视为一个指令包。该指令</w:t>
      </w:r>
    </w:p>
    <w:p w14:paraId="541DE519">
      <w:pPr>
        <w:pStyle w:val="44"/>
        <w:autoSpaceDE w:val="0"/>
        <w:autoSpaceDN w:val="0"/>
        <w:spacing w:line="240" w:lineRule="auto"/>
        <w:ind w:left="0" w:firstLine="420" w:firstLineChars="200"/>
      </w:pPr>
      <w:r>
        <w:rPr>
          <w:rFonts w:hint="eastAsia"/>
        </w:rPr>
        <w:t>包触发以下自动化流程：</w:t>
      </w:r>
      <w:r>
        <w:rPr>
          <w:rFonts w:hint="eastAsia"/>
        </w:rPr>
        <w:br w:type="textWrapping"/>
      </w:r>
      <w:r>
        <w:t>a.</w:t>
      </w:r>
      <w:r>
        <w:rPr>
          <w:rFonts w:hint="eastAsia"/>
        </w:rPr>
        <w:t>规则匹配：平台根据计划名称，在知识库的规则库中精确匹配到预设的措施列表及其</w:t>
      </w:r>
    </w:p>
    <w:p w14:paraId="19EAE546">
      <w:pPr>
        <w:pStyle w:val="44"/>
        <w:autoSpaceDE w:val="0"/>
        <w:autoSpaceDN w:val="0"/>
        <w:spacing w:line="240" w:lineRule="auto"/>
        <w:ind w:left="0" w:firstLine="420" w:firstLineChars="200"/>
      </w:pPr>
      <w:r>
        <w:rPr>
          <w:rFonts w:hint="eastAsia"/>
        </w:rPr>
        <w:t>执行规则。</w:t>
      </w:r>
      <w:r>
        <w:rPr>
          <w:rFonts w:hint="eastAsia"/>
        </w:rPr>
        <w:br w:type="textWrapping"/>
      </w:r>
      <w:r>
        <w:t>b.</w:t>
      </w:r>
      <w:r>
        <w:rPr>
          <w:rFonts w:hint="eastAsia"/>
        </w:rPr>
        <w:t>任务实例化：平台依据规则，将每一条措施实时转化为带有具体执行时间、执行人的</w:t>
      </w:r>
    </w:p>
    <w:p w14:paraId="636A6533">
      <w:pPr>
        <w:pStyle w:val="44"/>
        <w:autoSpaceDE w:val="0"/>
        <w:autoSpaceDN w:val="0"/>
        <w:spacing w:line="240" w:lineRule="auto"/>
        <w:ind w:left="0" w:firstLine="420" w:firstLineChars="200"/>
      </w:pPr>
      <w:r>
        <w:rPr>
          <w:rFonts w:hint="eastAsia"/>
        </w:rPr>
        <w:t>待办任务。</w:t>
      </w:r>
      <w:r>
        <w:rPr>
          <w:rFonts w:hint="eastAsia"/>
        </w:rPr>
        <w:br w:type="textWrapping"/>
      </w:r>
      <w:r>
        <w:rPr>
          <w:rFonts w:hint="eastAsia"/>
        </w:rPr>
        <w:t>* 核心转化逻辑示例：</w:t>
      </w:r>
      <w:r>
        <w:rPr>
          <w:rFonts w:hint="eastAsia"/>
        </w:rPr>
        <w:br w:type="textWrapping"/>
      </w:r>
      <w:r>
        <w:rPr>
          <w:rFonts w:hint="eastAsia"/>
        </w:rPr>
        <w:t>* 知识库规则：“预防压力性损伤”计划 → 包含措施：【翻身拍背，频次：</w:t>
      </w:r>
      <w:r>
        <w:t>q2h，角</w:t>
      </w:r>
    </w:p>
    <w:p w14:paraId="03B94D44">
      <w:pPr>
        <w:pStyle w:val="44"/>
        <w:autoSpaceDE w:val="0"/>
        <w:autoSpaceDN w:val="0"/>
        <w:spacing w:line="240" w:lineRule="auto"/>
        <w:ind w:left="0" w:firstLine="420" w:firstLineChars="200"/>
      </w:pPr>
      <w:r>
        <w:t>色:医疗护理员】、【皮肤护理，频次</w:t>
      </w:r>
      <w:r>
        <w:rPr>
          <w:rFonts w:hint="eastAsia"/>
        </w:rPr>
        <w:t>：</w:t>
      </w:r>
      <w:r>
        <w:t>qh，角色:护士+医疗护理员】、【使用便盆，频次</w:t>
      </w:r>
      <w:r>
        <w:rPr>
          <w:rFonts w:hint="eastAsia"/>
        </w:rPr>
        <w:t>：</w:t>
      </w:r>
    </w:p>
    <w:p w14:paraId="76D5E737">
      <w:pPr>
        <w:pStyle w:val="44"/>
        <w:autoSpaceDE w:val="0"/>
        <w:autoSpaceDN w:val="0"/>
        <w:spacing w:line="240" w:lineRule="auto"/>
        <w:ind w:left="0" w:firstLine="420" w:firstLineChars="200"/>
      </w:pPr>
      <w:r>
        <w:t>prn，角色</w:t>
      </w:r>
      <w:r>
        <w:rPr>
          <w:rFonts w:hint="eastAsia"/>
        </w:rPr>
        <w:t>：</w:t>
      </w:r>
      <w:r>
        <w:t>医疗护理员】</w:t>
      </w:r>
      <w:r>
        <w:br w:type="textWrapping"/>
      </w:r>
      <w:r>
        <w:rPr>
          <w:rFonts w:hint="eastAsia"/>
        </w:rPr>
        <w:t>* 平台自动生成的任务：</w:t>
      </w:r>
      <w:r>
        <w:rPr>
          <w:rFonts w:hint="eastAsia"/>
        </w:rPr>
        <w:br w:type="textWrapping"/>
      </w:r>
      <w:r>
        <w:rPr>
          <w:rFonts w:hint="eastAsia"/>
        </w:rPr>
        <w:t>* </w:t>
      </w:r>
      <w:r>
        <w:t xml:space="preserve">08:00 </w:t>
      </w:r>
      <w:r>
        <w:rPr>
          <w:rFonts w:hint="eastAsia"/>
        </w:rPr>
        <w:t>执行翻身拍背 (医疗护理员-张三)</w:t>
      </w:r>
      <w:r>
        <w:rPr>
          <w:rFonts w:hint="eastAsia"/>
        </w:rPr>
        <w:br w:type="textWrapping"/>
      </w:r>
      <w:r>
        <w:rPr>
          <w:rFonts w:hint="eastAsia"/>
        </w:rPr>
        <w:t>* </w:t>
      </w:r>
      <w:r>
        <w:t>09:00 执</w:t>
      </w:r>
      <w:r>
        <w:rPr>
          <w:rFonts w:hint="eastAsia"/>
        </w:rPr>
        <w:t>行皮肤护理 (责任护士-李四、医疗护理员-张三)</w:t>
      </w:r>
      <w:r>
        <w:rPr>
          <w:rFonts w:hint="eastAsia"/>
        </w:rPr>
        <w:br w:type="textWrapping"/>
      </w:r>
      <w:r>
        <w:rPr>
          <w:rFonts w:hint="eastAsia"/>
        </w:rPr>
        <w:t>* </w:t>
      </w:r>
      <w:r>
        <w:t xml:space="preserve">10:00 </w:t>
      </w:r>
      <w:r>
        <w:rPr>
          <w:rFonts w:hint="eastAsia"/>
        </w:rPr>
        <w:t>执行翻身拍背 (医疗护理员-张三)</w:t>
      </w:r>
      <w:r>
        <w:rPr>
          <w:rFonts w:hint="eastAsia"/>
        </w:rPr>
        <w:br w:type="textWrapping"/>
      </w:r>
      <w:r>
        <w:rPr>
          <w:rFonts w:hint="eastAsia"/>
        </w:rPr>
        <w:t>* ...（全天任务依此生成）</w:t>
      </w:r>
      <w:r>
        <w:rPr>
          <w:rFonts w:hint="eastAsia"/>
        </w:rPr>
        <w:br w:type="textWrapping"/>
      </w:r>
      <w:r>
        <w:rPr>
          <w:rFonts w:hint="eastAsia"/>
        </w:rPr>
        <w:t>* 按需 协助使用便盆 (医疗护理员-张三)</w:t>
      </w:r>
    </w:p>
    <w:p w14:paraId="07142E0F">
      <w:pPr>
        <w:pStyle w:val="44"/>
        <w:autoSpaceDE w:val="0"/>
        <w:autoSpaceDN w:val="0"/>
        <w:spacing w:line="240" w:lineRule="auto"/>
      </w:pPr>
      <w:bookmarkStart w:id="141" w:name="_Toc13012"/>
      <w:bookmarkStart w:id="142" w:name="_Toc20507"/>
      <w:bookmarkStart w:id="143" w:name="_Toc16645"/>
      <w:r>
        <w:t>（3）</w:t>
      </w:r>
      <w:r>
        <w:rPr>
          <w:rFonts w:hint="eastAsia"/>
        </w:rPr>
        <w:t>预期结果：</w:t>
      </w:r>
      <w:bookmarkEnd w:id="141"/>
      <w:bookmarkEnd w:id="142"/>
      <w:bookmarkEnd w:id="143"/>
    </w:p>
    <w:p w14:paraId="2C379957">
      <w:pPr>
        <w:pStyle w:val="44"/>
        <w:widowControl/>
        <w:ind w:firstLineChars="200"/>
        <w:jc w:val="left"/>
        <w:rPr>
          <w:rFonts w:hint="eastAsia" w:ascii="宋体" w:hAnsi="宋体" w:eastAsia="宋体" w:cs="宋体"/>
          <w:color w:val="000000"/>
          <w:kern w:val="0"/>
          <w:szCs w:val="20"/>
        </w:rPr>
      </w:pPr>
      <w:r>
        <w:rPr>
          <w:rFonts w:hint="eastAsia" w:ascii="宋体" w:hAnsi="宋体" w:cs="宋体"/>
          <w:color w:val="000000"/>
        </w:rPr>
        <w:t>①系统提示“照护计划下发成功”。</w:t>
      </w:r>
    </w:p>
    <w:p w14:paraId="6C0278AB">
      <w:pPr>
        <w:pStyle w:val="44"/>
        <w:widowControl/>
        <w:ind w:firstLineChars="200"/>
        <w:jc w:val="left"/>
        <w:rPr>
          <w:rFonts w:hint="eastAsia" w:ascii="宋体" w:hAnsi="宋体" w:eastAsia="宋体" w:cs="宋体"/>
          <w:color w:val="000000"/>
          <w:kern w:val="0"/>
          <w:szCs w:val="20"/>
        </w:rPr>
      </w:pPr>
      <w:r>
        <w:rPr>
          <w:rFonts w:hint="eastAsia" w:ascii="宋体" w:hAnsi="宋体" w:cs="宋体"/>
          <w:color w:val="000000"/>
        </w:rPr>
        <w:t>②平台依据已下发的照护计划，自动进行任务分解，生成该患者当日（或指定周期）的、包含具体执行时间点的照护任务清单。</w:t>
      </w:r>
    </w:p>
    <w:p w14:paraId="35DC1EB3">
      <w:pPr>
        <w:pStyle w:val="44"/>
        <w:spacing w:line="240" w:lineRule="auto"/>
      </w:pPr>
      <w:r>
        <w:rPr>
          <w:rFonts w:hint="eastAsia"/>
        </w:rPr>
        <w:t>③生成的照护任务清单</w:t>
      </w:r>
      <w:r>
        <w:t>实时、精准地推送至相关医疗护理员的智能终端，并同步更新至护士端管理视图。</w:t>
      </w:r>
    </w:p>
    <w:p w14:paraId="463771C4">
      <w:pPr>
        <w:pStyle w:val="44"/>
        <w:widowControl/>
        <w:jc w:val="center"/>
        <w:rPr>
          <w:rFonts w:hint="eastAsia"/>
        </w:rPr>
      </w:pPr>
      <w:r>
        <w:rPr>
          <w:rFonts w:ascii="Cambria Math" w:hAnsi="Cambria Math" w:cs="Cambria Math"/>
        </w:rPr>
        <w:t>④</w:t>
      </w:r>
      <w:r>
        <w:t xml:space="preserve"> 在护士端的“照护计划管理”模块中，可实时、透明地追踪从计划到每一个子任务的完整执行状态，形成数据驱动的管理闭环。</w:t>
      </w:r>
    </w:p>
    <w:p w14:paraId="58144777">
      <w:pPr>
        <w:widowControl/>
        <w:jc w:val="both"/>
        <w:rPr>
          <w:rFonts w:hint="eastAsia" w:ascii="宋体" w:hAnsi="宋体" w:eastAsia="宋体" w:cs="Times New Roman"/>
          <w:bCs/>
          <w:szCs w:val="21"/>
        </w:rPr>
      </w:pPr>
      <w:r>
        <w:rPr>
          <w:rFonts w:ascii="宋体" w:hAnsi="宋体" w:eastAsia="宋体" w:cs="Times New Roman"/>
          <w:bCs/>
          <w:szCs w:val="21"/>
        </w:rPr>
        <w:br w:type="page"/>
      </w:r>
    </w:p>
    <w:p w14:paraId="1DE48670">
      <w:pPr>
        <w:widowControl/>
        <w:spacing w:before="312" w:beforeLines="100" w:after="156" w:afterLines="50"/>
        <w:jc w:val="center"/>
        <w:outlineLvl w:val="0"/>
        <w:rPr>
          <w:rFonts w:hint="eastAsia" w:ascii="黑体" w:hAnsi="黑体" w:eastAsia="黑体" w:cs="黑体"/>
          <w:bCs/>
          <w:szCs w:val="21"/>
        </w:rPr>
      </w:pPr>
      <w:bookmarkStart w:id="144" w:name="_Toc216597508"/>
      <w:r>
        <w:rPr>
          <w:rFonts w:hint="eastAsia" w:ascii="黑体" w:hAnsi="黑体" w:eastAsia="黑体" w:cs="黑体"/>
          <w:bCs/>
          <w:szCs w:val="21"/>
        </w:rPr>
        <w:t>参  考  文  献</w:t>
      </w:r>
      <w:bookmarkEnd w:id="144"/>
    </w:p>
    <w:p w14:paraId="630625AA">
      <w:pPr>
        <w:spacing w:line="240" w:lineRule="auto"/>
        <w:rPr>
          <w:rFonts w:ascii="Times New Roman" w:hAnsi="Times New Roman" w:eastAsia="宋体" w:cs="Times New Roman"/>
          <w:szCs w:val="21"/>
        </w:rPr>
      </w:pPr>
      <w:r>
        <w:rPr>
          <w:rFonts w:ascii="Times New Roman" w:hAnsi="Times New Roman" w:eastAsia="宋体" w:cs="Times New Roman"/>
          <w:szCs w:val="21"/>
        </w:rPr>
        <w:t>[1] GB/T 40656-2021《智能制造 机器视觉在线检测系统 通用要求》</w:t>
      </w:r>
    </w:p>
    <w:p w14:paraId="7DDFE6B0">
      <w:pPr>
        <w:spacing w:line="240" w:lineRule="auto"/>
        <w:rPr>
          <w:rFonts w:ascii="Times New Roman" w:hAnsi="Times New Roman" w:eastAsia="宋体" w:cs="Times New Roman"/>
          <w:szCs w:val="21"/>
        </w:rPr>
      </w:pPr>
      <w:r>
        <w:rPr>
          <w:rFonts w:ascii="Times New Roman" w:hAnsi="Times New Roman" w:eastAsia="宋体" w:cs="Times New Roman"/>
          <w:szCs w:val="21"/>
        </w:rPr>
        <w:t>[2] WS/T 642-2018 医疗机构临床路径管理规范</w:t>
      </w:r>
    </w:p>
    <w:p w14:paraId="11A1D86A">
      <w:pPr>
        <w:spacing w:line="240" w:lineRule="auto"/>
        <w:rPr>
          <w:rFonts w:ascii="Times New Roman" w:hAnsi="Times New Roman" w:eastAsia="宋体" w:cs="Times New Roman"/>
          <w:szCs w:val="21"/>
        </w:rPr>
      </w:pPr>
      <w:r>
        <w:rPr>
          <w:rFonts w:ascii="Times New Roman" w:hAnsi="Times New Roman" w:eastAsia="宋体" w:cs="Times New Roman"/>
          <w:szCs w:val="21"/>
        </w:rPr>
        <w:t>[3] T/CRHA 132-2025 免陪护病房设置与管理规范</w:t>
      </w:r>
    </w:p>
    <w:p w14:paraId="08F81255">
      <w:pPr>
        <w:spacing w:line="240" w:lineRule="auto"/>
        <w:rPr>
          <w:rFonts w:ascii="Times New Roman" w:hAnsi="Times New Roman" w:eastAsia="宋体" w:cs="Times New Roman"/>
          <w:szCs w:val="21"/>
        </w:rPr>
      </w:pPr>
      <w:r>
        <w:rPr>
          <w:rFonts w:ascii="Times New Roman" w:hAnsi="Times New Roman" w:eastAsia="宋体" w:cs="Times New Roman"/>
          <w:szCs w:val="21"/>
        </w:rPr>
        <w:t>[4] T/CRHA 161-2025 医疗机构免陪照护服务管理规范</w:t>
      </w:r>
    </w:p>
    <w:p w14:paraId="2FE406B8">
      <w:pPr>
        <w:spacing w:line="240" w:lineRule="auto"/>
        <w:rPr>
          <w:rFonts w:ascii="Times New Roman" w:hAnsi="Times New Roman" w:eastAsia="宋体" w:cs="Times New Roman"/>
          <w:szCs w:val="21"/>
        </w:rPr>
      </w:pPr>
      <w:r>
        <w:rPr>
          <w:rFonts w:ascii="Times New Roman" w:hAnsi="Times New Roman" w:eastAsia="宋体" w:cs="Times New Roman"/>
          <w:szCs w:val="21"/>
        </w:rPr>
        <w:t>[5] T/SHNA 0012-2025 免陪照护服务基本规范</w:t>
      </w:r>
    </w:p>
    <w:p w14:paraId="59E29164">
      <w:pPr>
        <w:spacing w:line="240" w:lineRule="auto"/>
        <w:rPr>
          <w:rFonts w:ascii="Times New Roman" w:hAnsi="Times New Roman" w:eastAsia="宋体" w:cs="Times New Roman"/>
          <w:szCs w:val="21"/>
        </w:rPr>
      </w:pPr>
      <w:r>
        <w:rPr>
          <w:rFonts w:ascii="Times New Roman" w:hAnsi="Times New Roman" w:eastAsia="宋体" w:cs="Times New Roman"/>
          <w:szCs w:val="21"/>
        </w:rPr>
        <w:t>[6] 《医院免陪照护服务试点工作方案》国卫办医政发〔2025〕7 号</w:t>
      </w:r>
    </w:p>
    <w:p w14:paraId="63F08D48">
      <w:pPr>
        <w:spacing w:line="240" w:lineRule="auto"/>
        <w:rPr>
          <w:rFonts w:ascii="Times New Roman" w:hAnsi="Times New Roman" w:eastAsia="宋体" w:cs="Times New Roman"/>
          <w:szCs w:val="21"/>
        </w:rPr>
      </w:pPr>
      <w:r>
        <w:rPr>
          <w:rFonts w:ascii="Times New Roman" w:hAnsi="Times New Roman" w:eastAsia="宋体" w:cs="Times New Roman"/>
          <w:szCs w:val="21"/>
        </w:rPr>
        <w:t>[7] 医疗护理员国家职业标准（2024版）人社厅发〔2024〕21号</w:t>
      </w:r>
    </w:p>
    <w:p w14:paraId="1E68E8D6">
      <w:pPr>
        <w:spacing w:line="240" w:lineRule="auto"/>
        <w:rPr>
          <w:rFonts w:ascii="Times New Roman" w:hAnsi="Times New Roman" w:eastAsia="宋体" w:cs="Times New Roman"/>
          <w:szCs w:val="21"/>
        </w:rPr>
      </w:pPr>
      <w:r>
        <w:rPr>
          <w:rFonts w:ascii="Times New Roman" w:hAnsi="Times New Roman" w:eastAsia="宋体" w:cs="Times New Roman"/>
          <w:szCs w:val="21"/>
        </w:rPr>
        <w:t>[8] 《关于加强医疗护理员培训和规范管理工作的通知》(国卫医发(2019)49号)</w:t>
      </w:r>
    </w:p>
    <w:p w14:paraId="39B91FE0">
      <w:pPr>
        <w:spacing w:line="240" w:lineRule="auto"/>
        <w:rPr>
          <w:rFonts w:ascii="Times New Roman" w:hAnsi="Times New Roman" w:eastAsia="宋体" w:cs="Times New Roman"/>
          <w:szCs w:val="21"/>
        </w:rPr>
      </w:pPr>
      <w:r>
        <w:rPr>
          <w:rFonts w:ascii="Times New Roman" w:hAnsi="Times New Roman" w:eastAsia="宋体" w:cs="Times New Roman"/>
          <w:szCs w:val="21"/>
        </w:rPr>
        <w:t>[9]《国家卫生健康委办公厅关于进一步加强医疗机构护理工作的通知》(国卫办医发(2020)11号)</w:t>
      </w:r>
    </w:p>
    <w:p w14:paraId="0E08AED1">
      <w:pPr>
        <w:spacing w:line="240" w:lineRule="auto"/>
        <w:rPr>
          <w:rFonts w:ascii="Times New Roman" w:hAnsi="Times New Roman" w:eastAsia="宋体" w:cs="Times New Roman"/>
          <w:szCs w:val="21"/>
        </w:rPr>
      </w:pPr>
      <w:r>
        <w:rPr>
          <w:rFonts w:ascii="Times New Roman" w:hAnsi="Times New Roman" w:eastAsia="宋体" w:cs="Times New Roman"/>
          <w:szCs w:val="21"/>
        </w:rPr>
        <w:t>[10] 《国家卫生健康委办公厅关于印发患者安全专项行动方案(2023-2025年)的通知》(国卫办医政发(2023)13号)</w:t>
      </w:r>
    </w:p>
    <w:p w14:paraId="7E27449D">
      <w:pPr>
        <w:spacing w:line="240" w:lineRule="auto"/>
        <w:rPr>
          <w:rFonts w:ascii="Times New Roman" w:hAnsi="Times New Roman" w:eastAsia="宋体" w:cs="Times New Roman"/>
          <w:szCs w:val="21"/>
        </w:rPr>
      </w:pPr>
      <w:r>
        <w:rPr>
          <w:rFonts w:ascii="Times New Roman" w:hAnsi="Times New Roman" w:eastAsia="宋体" w:cs="Times New Roman"/>
          <w:szCs w:val="21"/>
        </w:rPr>
        <w:t>[11] 《国家卫生健康委关于印发全国护理事业发展规划(2021-2025年)的通知》(国卫医发(2022)15号)</w:t>
      </w:r>
    </w:p>
    <w:p w14:paraId="4380402F">
      <w:pPr>
        <w:spacing w:line="240" w:lineRule="auto"/>
        <w:rPr>
          <w:rFonts w:ascii="Times New Roman" w:hAnsi="Times New Roman" w:eastAsia="宋体" w:cs="Times New Roman"/>
          <w:szCs w:val="21"/>
        </w:rPr>
      </w:pPr>
      <w:r>
        <w:rPr>
          <w:rFonts w:ascii="Times New Roman" w:hAnsi="Times New Roman" w:eastAsia="宋体" w:cs="Times New Roman"/>
          <w:szCs w:val="21"/>
        </w:rPr>
        <w:t>[12] 《广东省医疗机构提供免陪照护服务试点工作方案》 粤府办发〔2025〕2号</w:t>
      </w:r>
    </w:p>
    <w:p w14:paraId="2A2B1C60">
      <w:pPr>
        <w:spacing w:line="240" w:lineRule="auto"/>
        <w:rPr>
          <w:rFonts w:ascii="Times New Roman" w:hAnsi="Times New Roman" w:eastAsia="宋体" w:cs="Times New Roman"/>
          <w:szCs w:val="21"/>
        </w:rPr>
      </w:pPr>
      <w:r>
        <w:rPr>
          <w:rFonts w:ascii="Times New Roman" w:hAnsi="Times New Roman" w:eastAsia="宋体" w:cs="Times New Roman"/>
          <w:szCs w:val="21"/>
        </w:rPr>
        <w:t>[13] 余艳,张文,熊飞宇,等.融合知识图谱与神经网络赋能数智化管理决策[J].管理科学学报,2023,26(05):231-247.</w:t>
      </w:r>
    </w:p>
    <w:p w14:paraId="21E3695F">
      <w:pPr>
        <w:spacing w:line="240" w:lineRule="auto"/>
        <w:rPr>
          <w:rFonts w:hint="eastAsia" w:ascii="宋体" w:hAnsi="宋体" w:eastAsia="宋体" w:cs="Times New Roman"/>
          <w:bCs/>
          <w:sz w:val="24"/>
          <w:szCs w:val="24"/>
        </w:rPr>
      </w:pPr>
      <w:r>
        <w:rPr>
          <w:rFonts w:hint="eastAsia" w:ascii="宋体" w:hAnsi="宋体"/>
          <w:bCs/>
          <w:sz w:val="24"/>
        </w:rPr>
        <mc:AlternateContent>
          <mc:Choice Requires="wps">
            <w:drawing>
              <wp:anchor distT="0" distB="0" distL="114300" distR="114300" simplePos="0" relativeHeight="251664384" behindDoc="0" locked="0" layoutInCell="1" allowOverlap="1">
                <wp:simplePos x="0" y="0"/>
                <wp:positionH relativeFrom="column">
                  <wp:posOffset>1847850</wp:posOffset>
                </wp:positionH>
                <wp:positionV relativeFrom="page">
                  <wp:posOffset>5652770</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5.5pt;margin-top:445.1pt;height:0.2pt;width:108pt;mso-position-vertical-relative:page;z-index:251664384;mso-width-relative:page;mso-height-relative:page;" filled="f" stroked="t" coordsize="21600,21600" o:gfxdata="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P1KwZ1wAA&#10;AAsBAAAPAAAAAAAAAAEAIAAAACIAAABkcnMvZG93bnJldi54bWxQSwECFAAUAAAACACHTuJAg4by&#10;MeYBAAC2AwAADgAAAAAAAAABACAAAAAm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eastAsia="宋体" w:cs="Times New Roman"/>
          <w:szCs w:val="21"/>
        </w:rPr>
        <w:t>[14] 张蕴伟,曹宜璠,王常颖,等.基于照护计划自动生成模型的安徽省社区居家老年人长期照护需求研究[J].健康发展与政策究,2024,27(02):91-95.</w:t>
      </w:r>
      <w:bookmarkStart w:id="145" w:name="_GoBack"/>
      <w:bookmarkEnd w:id="145"/>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F3C9">
    <w:pPr>
      <w:pStyle w:val="6"/>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5CB36D5E">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A77A349">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5CB36D5E">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A77A349">
                    <w:pPr>
                      <w:rPr>
                        <w:rFonts w:hint="eastAsia"/>
                      </w:rPr>
                    </w:pPr>
                  </w:p>
                </w:txbxContent>
              </v:textbox>
            </v:shape>
          </w:pict>
        </mc:Fallback>
      </mc:AlternateContent>
    </w:r>
  </w:p>
  <w:p w14:paraId="57354A92">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74312">
    <w:pPr>
      <w:pStyle w:val="6"/>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3AC5">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0B03AC5">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42FA">
    <w:pPr>
      <w:pStyle w:val="6"/>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16F2B">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B16F2B">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5A06">
    <w:pPr>
      <w:pStyle w:val="6"/>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01425">
                          <w:pPr>
                            <w:pStyle w:val="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6201425">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7AD3">
    <w:pPr>
      <w:pStyle w:val="6"/>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17693">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9217693">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66B4B450">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91BB">
    <w:pPr>
      <w:pStyle w:val="6"/>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1AAC2">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F51AAC2">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5AB52">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1380">
    <w:pPr>
      <w:pStyle w:val="6"/>
      <w:jc w:val="right"/>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2E7EC">
                          <w:pPr>
                            <w:pStyle w:val="6"/>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FD2E7EC">
                    <w:pPr>
                      <w:pStyle w:val="6"/>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C3E83">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FBC3E83">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A6CB">
    <w:pPr>
      <w:pStyle w:val="6"/>
      <w:tabs>
        <w:tab w:val="clear" w:pos="4153"/>
      </w:tabs>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790B7">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E3790B7">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39E4">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998D8">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7D497C85">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21AA3">
    <w:pPr>
      <w:pStyle w:val="7"/>
      <w:pBdr>
        <w:bottom w:val="none" w:color="auto"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64549A1B">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8189">
    <w:pPr>
      <w:pStyle w:val="7"/>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lang w:val="fr-FR"/>
      </w:rPr>
      <w:t>T/CRHA XXX</w:t>
    </w:r>
    <w:r>
      <w:rPr>
        <w:rFonts w:hint="eastAsia" w:ascii="Times New Roman" w:hAnsi="Times New Roman" w:eastAsia="宋体" w:cs="Times New Roman"/>
        <w:lang w:val="fr-FR"/>
      </w:rPr>
      <w:t>—</w:t>
    </w:r>
    <w:r>
      <w:rPr>
        <w:rFonts w:ascii="Times New Roman" w:hAnsi="Times New Roman" w:eastAsia="宋体" w:cs="Times New Roman"/>
        <w:lang w:val="fr-FR"/>
      </w:rPr>
      <w:t>202X</w:t>
    </w:r>
  </w:p>
  <w:p w14:paraId="47676532">
    <w:pPr>
      <w:pStyle w:val="7"/>
      <w:pBdr>
        <w:bottom w:val="none" w:color="auto"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52"/>
      <w:suff w:val="nothing"/>
      <w:lvlText w:val="%1　"/>
      <w:lvlJc w:val="left"/>
      <w:pPr>
        <w:ind w:left="0" w:firstLine="0"/>
      </w:pPr>
      <w:rPr>
        <w:rFonts w:hint="eastAsia" w:ascii="黑体" w:hAnsi="Times New Roman" w:eastAsia="黑体"/>
        <w:b/>
        <w:bCs/>
        <w:i w:val="0"/>
        <w:sz w:val="21"/>
        <w:szCs w:val="21"/>
      </w:rPr>
    </w:lvl>
    <w:lvl w:ilvl="1" w:tentative="0">
      <w:start w:val="1"/>
      <w:numFmt w:val="decimal"/>
      <w:pStyle w:val="49"/>
      <w:suff w:val="nothing"/>
      <w:lvlText w:val="%1.%2　"/>
      <w:lvlJc w:val="left"/>
      <w:pPr>
        <w:ind w:left="4394" w:firstLine="0"/>
      </w:pPr>
      <w:rPr>
        <w:rFonts w:hint="eastAsia" w:ascii="黑体" w:hAnsi="Times New Roman" w:eastAsia="黑体" w:cs="Times New Roman"/>
        <w:b/>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1"/>
      <w:suff w:val="nothing"/>
      <w:lvlText w:val="%1.%2.%3　"/>
      <w:lvlJc w:val="left"/>
      <w:pPr>
        <w:ind w:left="1701" w:firstLine="0"/>
      </w:pPr>
      <w:rPr>
        <w:rFonts w:hint="eastAsia" w:ascii="黑体" w:hAnsi="Times New Roman" w:eastAsia="黑体"/>
        <w:b w:val="0"/>
        <w:i w:val="0"/>
        <w:color w:val="000000"/>
        <w:sz w:val="21"/>
      </w:rPr>
    </w:lvl>
    <w:lvl w:ilvl="3" w:tentative="0">
      <w:start w:val="1"/>
      <w:numFmt w:val="decimal"/>
      <w:pStyle w:val="50"/>
      <w:suff w:val="nothing"/>
      <w:lvlText w:val="%1.%2.%3.%4　"/>
      <w:lvlJc w:val="left"/>
      <w:pPr>
        <w:ind w:left="4961" w:firstLine="0"/>
      </w:pPr>
      <w:rPr>
        <w:rFonts w:hint="eastAsia" w:ascii="黑体" w:hAnsi="Times New Roman" w:eastAsia="黑体"/>
        <w:b w:val="0"/>
        <w:i w:val="0"/>
        <w:sz w:val="21"/>
      </w:rPr>
    </w:lvl>
    <w:lvl w:ilvl="4" w:tentative="0">
      <w:start w:val="1"/>
      <w:numFmt w:val="decimal"/>
      <w:suff w:val="nothing"/>
      <w:lvlText w:val="%1.%2.%3.%4.%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100A"/>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64435"/>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C7EB0"/>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135"/>
    <w:rsid w:val="00786659"/>
    <w:rsid w:val="00786BDC"/>
    <w:rsid w:val="00787609"/>
    <w:rsid w:val="00792A02"/>
    <w:rsid w:val="00793300"/>
    <w:rsid w:val="007964BB"/>
    <w:rsid w:val="00797BF9"/>
    <w:rsid w:val="007A4113"/>
    <w:rsid w:val="007A6239"/>
    <w:rsid w:val="007A7289"/>
    <w:rsid w:val="007B236A"/>
    <w:rsid w:val="007B238D"/>
    <w:rsid w:val="007B582A"/>
    <w:rsid w:val="007C112A"/>
    <w:rsid w:val="007C29C5"/>
    <w:rsid w:val="007C2EA9"/>
    <w:rsid w:val="007D0EB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05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071B"/>
    <w:rsid w:val="00B410C7"/>
    <w:rsid w:val="00B41B0F"/>
    <w:rsid w:val="00B43F6E"/>
    <w:rsid w:val="00B440A9"/>
    <w:rsid w:val="00B467F0"/>
    <w:rsid w:val="00B4734E"/>
    <w:rsid w:val="00B477D4"/>
    <w:rsid w:val="00B56B2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CB8"/>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27A8"/>
    <w:rsid w:val="00FC3737"/>
    <w:rsid w:val="00FC3CB9"/>
    <w:rsid w:val="00FC420A"/>
    <w:rsid w:val="00FC51AE"/>
    <w:rsid w:val="00FD072F"/>
    <w:rsid w:val="00FD3142"/>
    <w:rsid w:val="00FD794C"/>
    <w:rsid w:val="00FE39F2"/>
    <w:rsid w:val="00FE6472"/>
    <w:rsid w:val="00FE6B1E"/>
    <w:rsid w:val="00FF1E6D"/>
    <w:rsid w:val="00FF46F9"/>
    <w:rsid w:val="00FF7904"/>
    <w:rsid w:val="01041951"/>
    <w:rsid w:val="035A307B"/>
    <w:rsid w:val="05E40C54"/>
    <w:rsid w:val="06A42377"/>
    <w:rsid w:val="07587E1D"/>
    <w:rsid w:val="093A0DE5"/>
    <w:rsid w:val="0AAC68B2"/>
    <w:rsid w:val="0AF9CB7F"/>
    <w:rsid w:val="0F877EC3"/>
    <w:rsid w:val="117D361B"/>
    <w:rsid w:val="13836007"/>
    <w:rsid w:val="13A14AC4"/>
    <w:rsid w:val="14072DAB"/>
    <w:rsid w:val="141C25E6"/>
    <w:rsid w:val="14213E6D"/>
    <w:rsid w:val="150C03F7"/>
    <w:rsid w:val="16FF69F0"/>
    <w:rsid w:val="18146519"/>
    <w:rsid w:val="18DA58EE"/>
    <w:rsid w:val="19C57049"/>
    <w:rsid w:val="1CE61304"/>
    <w:rsid w:val="1D5E7B70"/>
    <w:rsid w:val="1EEB7D15"/>
    <w:rsid w:val="206E0FC8"/>
    <w:rsid w:val="23B02BC5"/>
    <w:rsid w:val="246D27B7"/>
    <w:rsid w:val="25FE5651"/>
    <w:rsid w:val="26472A30"/>
    <w:rsid w:val="27247AA4"/>
    <w:rsid w:val="274779FD"/>
    <w:rsid w:val="2ACB3B4E"/>
    <w:rsid w:val="2D05105C"/>
    <w:rsid w:val="2D5D6C5F"/>
    <w:rsid w:val="2E47409D"/>
    <w:rsid w:val="2F7E7F6E"/>
    <w:rsid w:val="34803EC8"/>
    <w:rsid w:val="34B9379B"/>
    <w:rsid w:val="35E772E4"/>
    <w:rsid w:val="3EAE7781"/>
    <w:rsid w:val="3F01531B"/>
    <w:rsid w:val="3F779754"/>
    <w:rsid w:val="3FA78228"/>
    <w:rsid w:val="413A3D72"/>
    <w:rsid w:val="42071072"/>
    <w:rsid w:val="43B12F69"/>
    <w:rsid w:val="4417059C"/>
    <w:rsid w:val="44950376"/>
    <w:rsid w:val="4687467B"/>
    <w:rsid w:val="46D0453B"/>
    <w:rsid w:val="47671D13"/>
    <w:rsid w:val="48BB5360"/>
    <w:rsid w:val="49A2495C"/>
    <w:rsid w:val="49BB5BEF"/>
    <w:rsid w:val="4A603B63"/>
    <w:rsid w:val="4BC13157"/>
    <w:rsid w:val="4C303B79"/>
    <w:rsid w:val="519B00B4"/>
    <w:rsid w:val="52E02222"/>
    <w:rsid w:val="5439223A"/>
    <w:rsid w:val="553F0BCB"/>
    <w:rsid w:val="55C91693"/>
    <w:rsid w:val="55DD0C9B"/>
    <w:rsid w:val="5C696B87"/>
    <w:rsid w:val="5D002955"/>
    <w:rsid w:val="5DAB167E"/>
    <w:rsid w:val="5E320402"/>
    <w:rsid w:val="60732830"/>
    <w:rsid w:val="60CC2010"/>
    <w:rsid w:val="61452CD9"/>
    <w:rsid w:val="63DE1DF7"/>
    <w:rsid w:val="650F518F"/>
    <w:rsid w:val="652006F9"/>
    <w:rsid w:val="66577D56"/>
    <w:rsid w:val="678D25CA"/>
    <w:rsid w:val="68964C95"/>
    <w:rsid w:val="68B96B68"/>
    <w:rsid w:val="6C2142DB"/>
    <w:rsid w:val="6D6C01D4"/>
    <w:rsid w:val="6E782AE5"/>
    <w:rsid w:val="6EBBEF1C"/>
    <w:rsid w:val="6EBE56B6"/>
    <w:rsid w:val="70120D53"/>
    <w:rsid w:val="701E08C7"/>
    <w:rsid w:val="70932323"/>
    <w:rsid w:val="728B1D53"/>
    <w:rsid w:val="72D61BF3"/>
    <w:rsid w:val="73481A59"/>
    <w:rsid w:val="74322378"/>
    <w:rsid w:val="754049A5"/>
    <w:rsid w:val="76FF0615"/>
    <w:rsid w:val="77AFCE9C"/>
    <w:rsid w:val="7ACC7DC7"/>
    <w:rsid w:val="7B850B4A"/>
    <w:rsid w:val="7C7951F7"/>
    <w:rsid w:val="7E97382D"/>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Balloon Text"/>
    <w:basedOn w:val="1"/>
    <w:link w:val="30"/>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HTML Preformatted"/>
    <w:basedOn w:val="1"/>
    <w:link w:val="3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9"/>
    <w:autoRedefine/>
    <w:unhideWhenUsed/>
    <w:qFormat/>
    <w:uiPriority w:val="99"/>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autoRedefine/>
    <w:qFormat/>
    <w:uiPriority w:val="20"/>
    <w:rPr>
      <w:i/>
      <w:iCs/>
    </w:rPr>
  </w:style>
  <w:style w:type="character" w:styleId="17">
    <w:name w:val="Hyperlink"/>
    <w:basedOn w:val="14"/>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4"/>
    <w:autoRedefine/>
    <w:unhideWhenUsed/>
    <w:qFormat/>
    <w:uiPriority w:val="99"/>
    <w:rPr>
      <w:sz w:val="21"/>
      <w:szCs w:val="21"/>
    </w:rPr>
  </w:style>
  <w:style w:type="paragraph" w:customStyle="1" w:styleId="19">
    <w:name w:val="列出段落1"/>
    <w:basedOn w:val="1"/>
    <w:link w:val="23"/>
    <w:autoRedefine/>
    <w:qFormat/>
    <w:uiPriority w:val="34"/>
    <w:pPr>
      <w:ind w:firstLine="420" w:firstLineChars="200"/>
    </w:pPr>
  </w:style>
  <w:style w:type="character" w:customStyle="1" w:styleId="20">
    <w:name w:val="页眉 字符"/>
    <w:basedOn w:val="14"/>
    <w:link w:val="7"/>
    <w:autoRedefine/>
    <w:qFormat/>
    <w:uiPriority w:val="99"/>
    <w:rPr>
      <w:sz w:val="18"/>
      <w:szCs w:val="18"/>
    </w:rPr>
  </w:style>
  <w:style w:type="character" w:customStyle="1" w:styleId="21">
    <w:name w:val="页脚 字符"/>
    <w:basedOn w:val="14"/>
    <w:link w:val="6"/>
    <w:autoRedefine/>
    <w:qFormat/>
    <w:uiPriority w:val="99"/>
    <w:rPr>
      <w:sz w:val="18"/>
      <w:szCs w:val="18"/>
    </w:rPr>
  </w:style>
  <w:style w:type="paragraph" w:customStyle="1" w:styleId="22">
    <w:name w:val="EndNote Bibliography Title"/>
    <w:basedOn w:val="1"/>
    <w:link w:val="24"/>
    <w:autoRedefine/>
    <w:qFormat/>
    <w:uiPriority w:val="0"/>
    <w:pPr>
      <w:jc w:val="center"/>
    </w:pPr>
    <w:rPr>
      <w:rFonts w:ascii="等线" w:hAnsi="等线" w:eastAsia="等线"/>
      <w:sz w:val="20"/>
    </w:rPr>
  </w:style>
  <w:style w:type="character" w:customStyle="1" w:styleId="23">
    <w:name w:val="列出段落 Char"/>
    <w:basedOn w:val="14"/>
    <w:link w:val="19"/>
    <w:autoRedefine/>
    <w:qFormat/>
    <w:uiPriority w:val="34"/>
  </w:style>
  <w:style w:type="character" w:customStyle="1" w:styleId="24">
    <w:name w:val="EndNote Bibliography Title 字符"/>
    <w:basedOn w:val="23"/>
    <w:link w:val="22"/>
    <w:autoRedefine/>
    <w:qFormat/>
    <w:uiPriority w:val="0"/>
    <w:rPr>
      <w:rFonts w:ascii="等线" w:hAnsi="等线" w:eastAsia="等线"/>
      <w:sz w:val="20"/>
    </w:rPr>
  </w:style>
  <w:style w:type="paragraph" w:customStyle="1" w:styleId="25">
    <w:name w:val="EndNote Bibliography"/>
    <w:basedOn w:val="1"/>
    <w:link w:val="26"/>
    <w:autoRedefine/>
    <w:qFormat/>
    <w:uiPriority w:val="0"/>
    <w:rPr>
      <w:rFonts w:ascii="等线" w:hAnsi="等线" w:eastAsia="等线"/>
      <w:sz w:val="20"/>
    </w:rPr>
  </w:style>
  <w:style w:type="character" w:customStyle="1" w:styleId="26">
    <w:name w:val="EndNote Bibliography 字符"/>
    <w:basedOn w:val="23"/>
    <w:link w:val="25"/>
    <w:autoRedefine/>
    <w:qFormat/>
    <w:uiPriority w:val="0"/>
    <w:rPr>
      <w:rFonts w:ascii="等线" w:hAnsi="等线" w:eastAsia="等线"/>
      <w:sz w:val="20"/>
    </w:rPr>
  </w:style>
  <w:style w:type="character" w:customStyle="1" w:styleId="27">
    <w:name w:val="未处理的提及1"/>
    <w:basedOn w:val="14"/>
    <w:autoRedefine/>
    <w:unhideWhenUsed/>
    <w:qFormat/>
    <w:uiPriority w:val="99"/>
    <w:rPr>
      <w:color w:val="605E5C"/>
      <w:shd w:val="clear" w:color="auto" w:fill="E1DFDD"/>
    </w:rPr>
  </w:style>
  <w:style w:type="character" w:customStyle="1" w:styleId="28">
    <w:name w:val="批注文字 字符"/>
    <w:basedOn w:val="14"/>
    <w:link w:val="3"/>
    <w:autoRedefine/>
    <w:semiHidden/>
    <w:qFormat/>
    <w:uiPriority w:val="99"/>
  </w:style>
  <w:style w:type="character" w:customStyle="1" w:styleId="29">
    <w:name w:val="批注主题 字符"/>
    <w:basedOn w:val="28"/>
    <w:link w:val="11"/>
    <w:autoRedefine/>
    <w:semiHidden/>
    <w:qFormat/>
    <w:uiPriority w:val="99"/>
    <w:rPr>
      <w:b/>
      <w:bCs/>
    </w:rPr>
  </w:style>
  <w:style w:type="character" w:customStyle="1" w:styleId="30">
    <w:name w:val="批注框文本 字符"/>
    <w:basedOn w:val="14"/>
    <w:link w:val="5"/>
    <w:autoRedefine/>
    <w:semiHidden/>
    <w:qFormat/>
    <w:uiPriority w:val="99"/>
    <w:rPr>
      <w:sz w:val="18"/>
      <w:szCs w:val="18"/>
    </w:rPr>
  </w:style>
  <w:style w:type="paragraph" w:customStyle="1" w:styleId="3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字符"/>
    <w:basedOn w:val="14"/>
    <w:link w:val="9"/>
    <w:autoRedefine/>
    <w:semiHidden/>
    <w:qFormat/>
    <w:uiPriority w:val="99"/>
    <w:rPr>
      <w:rFonts w:ascii="宋体" w:hAnsi="宋体" w:eastAsia="宋体" w:cs="宋体"/>
      <w:kern w:val="0"/>
      <w:sz w:val="24"/>
      <w:szCs w:val="24"/>
    </w:rPr>
  </w:style>
  <w:style w:type="character" w:customStyle="1" w:styleId="33">
    <w:name w:val="y2iqfc"/>
    <w:basedOn w:val="14"/>
    <w:autoRedefine/>
    <w:qFormat/>
    <w:uiPriority w:val="0"/>
  </w:style>
  <w:style w:type="character" w:customStyle="1" w:styleId="34">
    <w:name w:val="inner-text-paragraph-org"/>
    <w:basedOn w:val="14"/>
    <w:autoRedefine/>
    <w:qFormat/>
    <w:uiPriority w:val="0"/>
  </w:style>
  <w:style w:type="character" w:customStyle="1" w:styleId="35">
    <w:name w:val="未处理的提及2"/>
    <w:basedOn w:val="14"/>
    <w:autoRedefine/>
    <w:unhideWhenUsed/>
    <w:qFormat/>
    <w:uiPriority w:val="99"/>
    <w:rPr>
      <w:color w:val="605E5C"/>
      <w:shd w:val="clear" w:color="auto" w:fill="E1DFDD"/>
    </w:rPr>
  </w:style>
  <w:style w:type="character" w:customStyle="1" w:styleId="36">
    <w:name w:val="列表段落 字符1"/>
    <w:basedOn w:val="14"/>
    <w:autoRedefine/>
    <w:qFormat/>
    <w:uiPriority w:val="34"/>
  </w:style>
  <w:style w:type="paragraph" w:customStyle="1" w:styleId="3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9">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autoRedefine/>
    <w:qFormat/>
    <w:uiPriority w:val="0"/>
    <w:pPr>
      <w:framePr w:w="9416" w:h="1134" w:hRule="exact" w:hSpace="125" w:vSpace="181" w:wrap="around" w:vAnchor="page" w:hAnchor="page" w:x="1327" w:y="15598" w:anchorLock="1"/>
      <w:pBdr>
        <w:top w:val="single" w:color="auto" w:sz="4" w:space="1"/>
        <w:left w:val="none" w:color="auto" w:sz="0" w:space="4"/>
        <w:bottom w:val="none" w:color="auto" w:sz="0" w:space="1"/>
        <w:right w:val="none" w:color="auto" w:sz="0" w:space="4"/>
      </w:pBdr>
      <w:jc w:val="center"/>
      <w:pPrChange w:id="0" w:author="腾 王" w:date="2025-12-14T09:02: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1" w:author="腾 王" w:date="2025-12-14T09:02:00Z">
        <w:rPr>
          <w:rFonts w:ascii="宋体" w:eastAsia="宋体"/>
          <w:b/>
          <w:spacing w:val="20"/>
          <w:w w:val="135"/>
          <w:sz w:val="28"/>
          <w:lang w:val="en-US" w:eastAsia="zh-CN" w:bidi="ar-SA"/>
        </w:rPr>
      </w:rPrChange>
    </w:rPr>
  </w:style>
  <w:style w:type="paragraph" w:customStyle="1" w:styleId="44">
    <w:name w:val="段"/>
    <w:autoRedefine/>
    <w:qFormat/>
    <w:uiPriority w:val="0"/>
    <w:pPr>
      <w:tabs>
        <w:tab w:val="center" w:pos="4201"/>
        <w:tab w:val="right" w:leader="dot" w:pos="9298"/>
      </w:tabs>
      <w:autoSpaceDE w:val="0"/>
      <w:autoSpaceDN w:val="0"/>
      <w:ind w:firstLine="420" w:firstLineChars="200"/>
      <w:jc w:val="both"/>
      <w:pPrChange w:id="2" w:author="腾 王" w:date="2025-12-14T09:26:00Z">
        <w:pPr>
          <w:autoSpaceDE w:val="0"/>
          <w:autoSpaceDN w:val="0"/>
          <w:ind w:firstLine="420" w:firstLineChars="200"/>
          <w:jc w:val="both"/>
        </w:pPr>
      </w:pPrChange>
    </w:pPr>
    <w:rPr>
      <w:rFonts w:ascii="Times New Roman" w:hAnsi="Times New Roman" w:eastAsia="宋体" w:cs="Times New Roman"/>
      <w:sz w:val="21"/>
      <w:lang w:val="en-US" w:eastAsia="zh-CN" w:bidi="ar-SA"/>
      <w:rPrChange w:id="3" w:author="腾 王" w:date="2025-12-14T09:26:00Z">
        <w:rPr>
          <w:rFonts w:ascii="宋体" w:eastAsia="宋体"/>
          <w:sz w:val="21"/>
          <w:lang w:val="en-US" w:eastAsia="zh-CN" w:bidi="ar-SA"/>
        </w:rPr>
      </w:rPrChange>
    </w:rPr>
  </w:style>
  <w:style w:type="paragraph" w:customStyle="1" w:styleId="45">
    <w:name w:val="其他发布日期"/>
    <w:basedOn w:val="46"/>
    <w:autoRedefine/>
    <w:qFormat/>
    <w:uiPriority w:val="0"/>
    <w:pPr>
      <w:framePr w:wrap="around" w:vAnchor="page" w:hAnchor="text" w:x="1419"/>
    </w:pPr>
  </w:style>
  <w:style w:type="paragraph" w:customStyle="1" w:styleId="4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8"/>
    <w:autoRedefine/>
    <w:qFormat/>
    <w:uiPriority w:val="0"/>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9">
    <w:name w:val="一级条标题"/>
    <w:next w:val="44"/>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0">
    <w:name w:val="三级条标题"/>
    <w:basedOn w:val="51"/>
    <w:next w:val="44"/>
    <w:qFormat/>
    <w:uiPriority w:val="0"/>
    <w:pPr>
      <w:numPr>
        <w:ilvl w:val="3"/>
      </w:numPr>
      <w:outlineLvl w:val="4"/>
    </w:pPr>
  </w:style>
  <w:style w:type="paragraph" w:customStyle="1" w:styleId="51">
    <w:name w:val="二级条标题"/>
    <w:basedOn w:val="49"/>
    <w:next w:val="44"/>
    <w:qFormat/>
    <w:uiPriority w:val="0"/>
    <w:pPr>
      <w:numPr>
        <w:ilvl w:val="2"/>
      </w:numPr>
      <w:spacing w:before="50" w:after="50"/>
      <w:outlineLvl w:val="3"/>
    </w:pPr>
  </w:style>
  <w:style w:type="paragraph" w:customStyle="1" w:styleId="52">
    <w:name w:val="章标题"/>
    <w:next w:val="44"/>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3">
    <w:name w:val="前言、引言标题"/>
    <w:next w:val="4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4">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55">
    <w:name w:val="标题 1 字符"/>
    <w:basedOn w:val="14"/>
    <w:link w:val="2"/>
    <w:uiPriority w:val="9"/>
    <w:rPr>
      <w:rFonts w:asciiTheme="minorHAnsi" w:hAnsiTheme="minorHAnsi" w:eastAsiaTheme="minorEastAsia" w:cstheme="minorBidi"/>
      <w:b/>
      <w:bCs/>
      <w:kern w:val="44"/>
      <w:sz w:val="44"/>
      <w:szCs w:val="44"/>
    </w:rPr>
  </w:style>
  <w:style w:type="paragraph" w:customStyle="1" w:styleId="5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39FEFA-058B-4664-BF18-B17B056E8F5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6501</Words>
  <Characters>7189</Characters>
  <Lines>78</Lines>
  <Paragraphs>21</Paragraphs>
  <TotalTime>44</TotalTime>
  <ScaleCrop>false</ScaleCrop>
  <LinksUpToDate>false</LinksUpToDate>
  <CharactersWithSpaces>7495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2025-12-10T00:16:00Z</cp:lastPrinted>
  <dcterms:modified xsi:type="dcterms:W3CDTF">2025-12-30T06:44:07Z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8C1CE2675801483382E0E2C62C2AEA09_13</vt:lpwstr>
  </property>
  <property fmtid="{D5CDD505-2E9C-101B-9397-08002B2CF9AE}" pid="4" name="KSOTemplateDocerSaveRecord">
    <vt:lpwstr>eyJoZGlkIjoiMTFmMDJjZGU0YzYzNjgxMjg1NzBlNDNlZWZkY2IyNjMiLCJ1c2VySWQiOiIxMzc2MzQzNjk3In0=</vt:lpwstr>
  </property>
</Properties>
</file>