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1E61">
      <w:pPr>
        <w:pStyle w:val="37"/>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55425AC2">
      <w:pPr>
        <w:pStyle w:val="37"/>
        <w:framePr w:wrap="around" w:vAnchor="page" w:hAnchor="page" w:x="1821" w:y="739"/>
        <w:rPr>
          <w:rFonts w:ascii="Times New Roman"/>
          <w:b/>
          <w:bCs/>
        </w:rPr>
      </w:pPr>
      <w:r>
        <w:rPr>
          <w:rFonts w:hint="eastAsia" w:ascii="Times New Roman"/>
          <w:b/>
          <w:bCs/>
        </w:rPr>
        <w:t>CCS C 05</w:t>
      </w:r>
    </w:p>
    <w:p w14:paraId="6DA0B76A">
      <w:pPr>
        <w:pStyle w:val="41"/>
        <w:framePr w:w="8178" w:h="856" w:hRule="exact" w:wrap="around" w:x="2055" w:y="2221"/>
        <w:rPr>
          <w:rFonts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F663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9A94FC6">
            <w:pPr>
              <w:pStyle w:val="39"/>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202X</w:t>
            </w:r>
          </w:p>
        </w:tc>
      </w:tr>
    </w:tbl>
    <w:p w14:paraId="0FA26EFC">
      <w:pPr>
        <w:pStyle w:val="39"/>
        <w:framePr w:wrap="around" w:x="1382" w:y="3031"/>
        <w:jc w:val="center"/>
      </w:pPr>
      <w:r>
        <w:rPr>
          <w:rFonts w:hint="eastAsia"/>
        </w:rPr>
        <w:t>————————————————————————————————————————</w:t>
      </w:r>
    </w:p>
    <w:p w14:paraId="65886454">
      <w:pPr>
        <w:pStyle w:val="39"/>
        <w:framePr w:wrap="around" w:x="1382" w:y="3031"/>
      </w:pPr>
    </w:p>
    <w:p w14:paraId="3C7DDFDB">
      <w:pPr>
        <w:framePr w:w="9116" w:h="4182" w:hRule="exact" w:wrap="around" w:vAnchor="page" w:hAnchor="page" w:x="1327" w:y="6897" w:anchorLock="1"/>
        <w:jc w:val="left"/>
        <w:rPr>
          <w:rFonts w:ascii="宋体" w:hAnsi="宋体" w:eastAsia="宋体"/>
          <w:color w:val="000000"/>
          <w:sz w:val="24"/>
        </w:rPr>
      </w:pPr>
      <w:bookmarkStart w:id="1" w:name="StdEnglishName"/>
    </w:p>
    <w:p w14:paraId="44019945">
      <w:pPr>
        <w:pStyle w:val="38"/>
        <w:keepNext/>
        <w:keepLines/>
        <w:framePr w:w="9116" w:h="4182" w:hRule="exact" w:wrap="around" w:vAnchor="page" w:hAnchor="page" w:x="1327" w:y="6897" w:anchorLock="1"/>
        <w:ind w:firstLine="0"/>
        <w:jc w:val="center"/>
        <w:rPr>
          <w:rFonts w:ascii="黑体" w:hAnsi="黑体" w:eastAsia="黑体" w:cs="黑体"/>
          <w:color w:val="000000"/>
          <w:sz w:val="52"/>
          <w:szCs w:val="52"/>
          <w:lang w:val="en-US" w:eastAsia="zh-CN"/>
        </w:rPr>
      </w:pPr>
      <w:r>
        <w:rPr>
          <w:rFonts w:ascii="黑体" w:hAnsi="黑体" w:eastAsia="黑体" w:cs="黑体"/>
          <w:color w:val="000000"/>
          <w:sz w:val="52"/>
          <w:szCs w:val="52"/>
          <w:lang w:val="en-US" w:eastAsia="zh-CN"/>
        </w:rPr>
        <w:t>中国女性局部晚期乳腺</w:t>
      </w:r>
      <w:r>
        <w:rPr>
          <w:rFonts w:ascii="黑体" w:hAnsi="黑体" w:eastAsia="黑体" w:cs="黑体"/>
          <w:color w:val="000000" w:themeColor="text1"/>
          <w:sz w:val="52"/>
          <w:szCs w:val="52"/>
          <w:lang w:val="en-US" w:eastAsia="zh-CN"/>
          <w14:textFill>
            <w14:solidFill>
              <w14:schemeClr w14:val="tx1"/>
            </w14:solidFill>
          </w14:textFill>
        </w:rPr>
        <w:t>癌诊疗规范</w:t>
      </w:r>
    </w:p>
    <w:p w14:paraId="0C61B533">
      <w:pPr>
        <w:pStyle w:val="38"/>
        <w:keepNext/>
        <w:keepLines/>
        <w:framePr w:w="9116" w:h="4182" w:hRule="exact" w:wrap="around" w:vAnchor="page" w:hAnchor="page" w:x="1327" w:y="6897" w:anchorLock="1"/>
        <w:ind w:firstLine="0"/>
        <w:jc w:val="center"/>
        <w:rPr>
          <w:rFonts w:ascii="黑体" w:hAnsi="黑体" w:eastAsia="黑体" w:cs="黑体"/>
          <w:color w:val="000000"/>
          <w:sz w:val="28"/>
          <w:szCs w:val="28"/>
          <w:lang w:val="en-US" w:eastAsia="zh-CN"/>
        </w:rPr>
      </w:pPr>
      <w:r>
        <w:rPr>
          <w:rFonts w:ascii="黑体" w:hAnsi="黑体" w:eastAsia="黑体" w:cs="黑体"/>
          <w:color w:val="000000"/>
          <w:sz w:val="28"/>
          <w:szCs w:val="28"/>
          <w:lang w:val="en-US" w:eastAsia="zh-CN"/>
        </w:rPr>
        <w:t>Standard for the Diagnosis and Treatment of Locally Advanced Breast Cancer in Chinese Women</w:t>
      </w:r>
    </w:p>
    <w:p w14:paraId="1B7123CC">
      <w:pPr>
        <w:pStyle w:val="38"/>
        <w:keepNext/>
        <w:keepLines/>
        <w:framePr w:w="9116" w:h="4182" w:hRule="exact" w:wrap="around" w:vAnchor="page" w:hAnchor="page" w:x="1327" w:y="6897" w:anchorLock="1"/>
        <w:ind w:firstLine="0"/>
        <w:jc w:val="center"/>
        <w:rPr>
          <w:rFonts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5E76FA69">
      <w:pPr>
        <w:pStyle w:val="38"/>
        <w:keepNext/>
        <w:keepLines/>
        <w:framePr w:w="9116" w:h="418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15717BEB">
      <w:pPr>
        <w:pStyle w:val="45"/>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3DAB9DD2">
      <w:pPr>
        <w:pStyle w:val="43"/>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7BD244A5">
      <w:pPr>
        <w:rPr>
          <w:rFonts w:eastAsia="宋体"/>
        </w:rPr>
      </w:pPr>
      <w:r>
        <w:rPr>
          <w:rFonts w:hint="eastAsia" w:eastAsia="宋体"/>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4CA07975">
      <w:pPr>
        <w:spacing w:line="360" w:lineRule="auto"/>
        <w:jc w:val="center"/>
        <w:rPr>
          <w:rFonts w:ascii="宋体" w:hAnsi="宋体" w:eastAsia="宋体" w:cs="Times New Roman"/>
          <w:bCs/>
          <w:sz w:val="24"/>
          <w:szCs w:val="24"/>
        </w:rPr>
      </w:pPr>
    </w:p>
    <w:p w14:paraId="43605FBC">
      <w:pPr>
        <w:spacing w:line="360" w:lineRule="auto"/>
        <w:jc w:val="center"/>
        <w:rPr>
          <w:rFonts w:ascii="宋体" w:hAnsi="宋体" w:eastAsia="宋体" w:cs="Times New Roman"/>
          <w:bCs/>
          <w:sz w:val="24"/>
          <w:szCs w:val="24"/>
        </w:rPr>
      </w:pPr>
    </w:p>
    <w:p w14:paraId="63458E27">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7E6B6CB8">
      <w:pPr>
        <w:widowControl/>
        <w:jc w:val="center"/>
        <w:rPr>
          <w:rFonts w:ascii="黑体" w:hAnsi="黑体" w:eastAsia="黑体" w:cs="黑体"/>
          <w:sz w:val="32"/>
          <w:szCs w:val="32"/>
        </w:rPr>
      </w:pPr>
      <w:r>
        <w:rPr>
          <w:rFonts w:hint="eastAsia" w:ascii="黑体" w:hAnsi="黑体" w:eastAsia="黑体" w:cs="黑体"/>
          <w:sz w:val="32"/>
          <w:szCs w:val="32"/>
        </w:rPr>
        <w:t>目  次</w:t>
      </w:r>
    </w:p>
    <w:p w14:paraId="7A36C707">
      <w:pPr>
        <w:widowControl/>
        <w:spacing w:line="360" w:lineRule="auto"/>
        <w:jc w:val="center"/>
        <w:rPr>
          <w:rFonts w:ascii="黑体" w:hAnsi="黑体" w:eastAsia="黑体" w:cs="黑体"/>
          <w:sz w:val="32"/>
          <w:szCs w:val="32"/>
        </w:rPr>
      </w:pPr>
    </w:p>
    <w:p w14:paraId="227E3EDF">
      <w:pPr>
        <w:keepNext w:val="0"/>
        <w:keepLines w:val="0"/>
        <w:pageBreakBefore w:val="0"/>
        <w:widowControl/>
        <w:tabs>
          <w:tab w:val="right" w:leader="dot" w:pos="8190"/>
        </w:tabs>
        <w:kinsoku/>
        <w:wordWrap/>
        <w:overflowPunct/>
        <w:topLinePunct w:val="0"/>
        <w:autoSpaceDE/>
        <w:autoSpaceDN/>
        <w:bidi w:val="0"/>
        <w:adjustRightInd/>
        <w:snapToGrid/>
        <w:jc w:val="left"/>
        <w:textAlignment w:val="auto"/>
        <w:rPr>
          <w:rFonts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ascii="Times New Roman" w:hAnsi="Times New Roman" w:eastAsia="宋体" w:cs="Times New Roman"/>
          <w:szCs w:val="21"/>
        </w:rPr>
        <w:t>Ⅱ</w:t>
      </w:r>
    </w:p>
    <w:p w14:paraId="603EB711">
      <w:pPr>
        <w:keepNext w:val="0"/>
        <w:keepLines w:val="0"/>
        <w:pageBreakBefore w:val="0"/>
        <w:tabs>
          <w:tab w:val="right" w:leader="dot" w:pos="8190"/>
        </w:tabs>
        <w:kinsoku/>
        <w:wordWrap/>
        <w:overflowPunct/>
        <w:topLinePunct w:val="0"/>
        <w:autoSpaceDE/>
        <w:autoSpaceDN/>
        <w:bidi w:val="0"/>
        <w:adjustRightInd/>
        <w:snapToGrid/>
        <w:textAlignment w:val="auto"/>
        <w:rPr>
          <w:rStyle w:val="17"/>
          <w:rFonts w:hint="eastAsia" w:ascii="宋体" w:hAnsi="宋体" w:eastAsia="宋体" w:cs="宋体"/>
          <w:color w:val="auto"/>
          <w:szCs w:val="21"/>
          <w:u w:val="none"/>
        </w:rPr>
      </w:pPr>
      <w:r>
        <w:rPr>
          <w:rStyle w:val="17"/>
          <w:rFonts w:hint="eastAsia" w:ascii="宋体" w:hAnsi="宋体" w:eastAsia="宋体" w:cs="宋体"/>
          <w:color w:val="auto"/>
          <w:szCs w:val="21"/>
          <w:u w:val="none"/>
          <w:lang w:val="en-US" w:eastAsia="zh-CN"/>
        </w:rPr>
        <w:t xml:space="preserve">1 </w:t>
      </w:r>
      <w:r>
        <w:rPr>
          <w:rStyle w:val="17"/>
          <w:rFonts w:hint="eastAsia" w:ascii="宋体" w:hAnsi="宋体" w:eastAsia="宋体" w:cs="宋体"/>
          <w:color w:val="auto"/>
          <w:szCs w:val="21"/>
          <w:u w:val="none"/>
        </w:rPr>
        <w:t>范围</w:t>
      </w:r>
      <w:r>
        <w:rPr>
          <w:rStyle w:val="17"/>
          <w:rFonts w:hint="eastAsia" w:ascii="宋体" w:hAnsi="宋体" w:eastAsia="宋体" w:cs="宋体"/>
          <w:color w:val="auto"/>
          <w:szCs w:val="21"/>
          <w:u w:val="none"/>
        </w:rPr>
        <w:tab/>
      </w:r>
      <w:r>
        <w:rPr>
          <w:rStyle w:val="17"/>
          <w:rFonts w:hint="eastAsia" w:ascii="宋体" w:hAnsi="宋体" w:eastAsia="宋体" w:cs="宋体"/>
          <w:color w:val="auto"/>
          <w:szCs w:val="21"/>
          <w:u w:val="none"/>
        </w:rPr>
        <w:t>1</w:t>
      </w:r>
    </w:p>
    <w:p w14:paraId="61020102">
      <w:pPr>
        <w:keepNext w:val="0"/>
        <w:keepLines w:val="0"/>
        <w:pageBreakBefore w:val="0"/>
        <w:tabs>
          <w:tab w:val="right" w:leader="dot" w:pos="8190"/>
        </w:tabs>
        <w:kinsoku/>
        <w:wordWrap/>
        <w:overflowPunct/>
        <w:topLinePunct w:val="0"/>
        <w:autoSpaceDE/>
        <w:autoSpaceDN/>
        <w:bidi w:val="0"/>
        <w:adjustRightInd/>
        <w:snapToGrid/>
        <w:textAlignment w:val="auto"/>
        <w:rPr>
          <w:rStyle w:val="17"/>
          <w:rFonts w:hint="eastAsia" w:ascii="宋体" w:hAnsi="宋体" w:eastAsia="宋体" w:cs="宋体"/>
          <w:color w:val="auto"/>
          <w:szCs w:val="21"/>
          <w:u w:val="none"/>
        </w:rPr>
      </w:pPr>
      <w:r>
        <w:rPr>
          <w:rStyle w:val="17"/>
          <w:rFonts w:hint="eastAsia" w:ascii="宋体" w:hAnsi="宋体" w:eastAsia="宋体" w:cs="宋体"/>
          <w:color w:val="auto"/>
          <w:szCs w:val="21"/>
          <w:u w:val="none"/>
        </w:rPr>
        <w:t>2  规范性引用文件</w:t>
      </w:r>
      <w:r>
        <w:rPr>
          <w:rStyle w:val="17"/>
          <w:rFonts w:hint="eastAsia" w:ascii="宋体" w:hAnsi="宋体" w:eastAsia="宋体" w:cs="宋体"/>
          <w:color w:val="auto"/>
          <w:szCs w:val="21"/>
          <w:u w:val="none"/>
        </w:rPr>
        <w:tab/>
      </w:r>
      <w:r>
        <w:rPr>
          <w:rStyle w:val="17"/>
          <w:rFonts w:hint="eastAsia" w:ascii="宋体" w:hAnsi="宋体" w:eastAsia="宋体" w:cs="宋体"/>
          <w:color w:val="auto"/>
          <w:szCs w:val="21"/>
          <w:u w:val="none"/>
        </w:rPr>
        <w:t>1</w:t>
      </w:r>
    </w:p>
    <w:p w14:paraId="48DCCC54">
      <w:pPr>
        <w:keepNext w:val="0"/>
        <w:keepLines w:val="0"/>
        <w:pageBreakBefore w:val="0"/>
        <w:tabs>
          <w:tab w:val="right" w:leader="dot" w:pos="8190"/>
        </w:tabs>
        <w:kinsoku/>
        <w:wordWrap/>
        <w:overflowPunct/>
        <w:topLinePunct w:val="0"/>
        <w:autoSpaceDE/>
        <w:autoSpaceDN/>
        <w:bidi w:val="0"/>
        <w:adjustRightInd/>
        <w:snapToGrid/>
        <w:textAlignment w:val="auto"/>
        <w:rPr>
          <w:rFonts w:ascii="宋体" w:hAnsi="宋体" w:eastAsia="宋体" w:cs="宋体"/>
          <w:szCs w:val="21"/>
        </w:rPr>
      </w:pPr>
      <w:r>
        <w:rPr>
          <w:rStyle w:val="17"/>
          <w:rFonts w:hint="eastAsia" w:ascii="宋体" w:hAnsi="宋体" w:eastAsia="宋体" w:cs="宋体"/>
          <w:color w:val="auto"/>
          <w:szCs w:val="21"/>
          <w:u w:val="none"/>
        </w:rPr>
        <w:t>附录A（规范性）……</w:t>
      </w:r>
      <w:r>
        <w:rPr>
          <w:rFonts w:hint="eastAsia" w:ascii="宋体" w:hAnsi="宋体" w:eastAsia="宋体" w:cs="宋体"/>
          <w:szCs w:val="21"/>
        </w:rPr>
        <w:tab/>
      </w:r>
      <w:r>
        <w:rPr>
          <w:rFonts w:hint="eastAsia" w:ascii="宋体" w:hAnsi="宋体" w:eastAsia="宋体" w:cs="宋体"/>
          <w:szCs w:val="21"/>
        </w:rPr>
        <w:t>3</w:t>
      </w:r>
    </w:p>
    <w:p w14:paraId="59978742">
      <w:pPr>
        <w:keepNext w:val="0"/>
        <w:keepLines w:val="0"/>
        <w:pageBreakBefore w:val="0"/>
        <w:tabs>
          <w:tab w:val="right" w:leader="dot" w:pos="8190"/>
        </w:tabs>
        <w:kinsoku/>
        <w:wordWrap/>
        <w:overflowPunct/>
        <w:topLinePunct w:val="0"/>
        <w:autoSpaceDE/>
        <w:autoSpaceDN/>
        <w:bidi w:val="0"/>
        <w:adjustRightInd/>
        <w:snapToGrid/>
        <w:textAlignment w:val="auto"/>
        <w:rPr>
          <w:rFonts w:ascii="宋体" w:hAnsi="宋体" w:eastAsia="宋体" w:cs="宋体"/>
          <w:szCs w:val="21"/>
        </w:rPr>
      </w:pPr>
      <w:r>
        <w:rPr>
          <w:rFonts w:hint="eastAsia" w:ascii="宋体" w:hAnsi="宋体" w:eastAsia="宋体" w:cs="宋体"/>
          <w:szCs w:val="21"/>
        </w:rPr>
        <w:t>参考文献</w:t>
      </w:r>
      <w:r>
        <w:rPr>
          <w:rFonts w:hint="eastAsia" w:ascii="宋体" w:hAnsi="宋体" w:eastAsia="宋体" w:cs="宋体"/>
          <w:szCs w:val="21"/>
        </w:rPr>
        <w:tab/>
      </w:r>
      <w:r>
        <w:rPr>
          <w:rFonts w:hint="eastAsia" w:ascii="宋体" w:hAnsi="宋体" w:eastAsia="宋体" w:cs="宋体"/>
          <w:szCs w:val="21"/>
        </w:rPr>
        <w:t>4</w:t>
      </w:r>
    </w:p>
    <w:p w14:paraId="252CD987">
      <w:pPr>
        <w:widowControl/>
        <w:spacing w:line="360" w:lineRule="auto"/>
        <w:jc w:val="center"/>
        <w:rPr>
          <w:rFonts w:ascii="宋体" w:hAnsi="宋体" w:eastAsia="宋体" w:cs="Times New Roman"/>
          <w:b/>
          <w:bCs/>
          <w:sz w:val="32"/>
          <w:szCs w:val="32"/>
        </w:rPr>
      </w:pPr>
    </w:p>
    <w:p w14:paraId="44A1CEC2">
      <w:pPr>
        <w:pStyle w:val="9"/>
        <w:jc w:val="center"/>
        <w:rPr>
          <w:rFonts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E85C398">
      <w:pPr>
        <w:pStyle w:val="9"/>
        <w:jc w:val="center"/>
        <w:rPr>
          <w:rFonts w:ascii="黑体" w:hAnsi="黑体" w:eastAsia="黑体" w:cs="黑体"/>
          <w:sz w:val="32"/>
          <w:szCs w:val="32"/>
        </w:rPr>
      </w:pPr>
      <w:r>
        <w:rPr>
          <w:rFonts w:hint="eastAsia" w:ascii="黑体" w:hAnsi="黑体" w:eastAsia="黑体" w:cs="黑体"/>
          <w:sz w:val="32"/>
          <w:szCs w:val="32"/>
        </w:rPr>
        <w:t>前  言</w:t>
      </w:r>
    </w:p>
    <w:p w14:paraId="3CAD4CE6">
      <w:pPr>
        <w:spacing w:line="360" w:lineRule="auto"/>
        <w:rPr>
          <w:rFonts w:ascii="宋体" w:hAnsi="宋体" w:eastAsia="宋体" w:cs="Times New Roman"/>
          <w:sz w:val="24"/>
          <w:szCs w:val="24"/>
        </w:rPr>
      </w:pPr>
    </w:p>
    <w:p w14:paraId="5F6BF39C">
      <w:pPr>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4B6DA2A1">
      <w:pPr>
        <w:pStyle w:val="48"/>
        <w:rPr>
          <w:rFonts w:ascii="宋体" w:hAnsi="宋体"/>
          <w:color w:val="000000" w:themeColor="text1"/>
          <w:highlight w:val="none"/>
          <w14:textFill>
            <w14:solidFill>
              <w14:schemeClr w14:val="tx1"/>
            </w14:solidFill>
          </w14:textFill>
        </w:rPr>
      </w:pPr>
      <w:r>
        <w:rPr>
          <w:rFonts w:hint="eastAsia"/>
        </w:rPr>
        <w:t>请注意</w:t>
      </w:r>
      <w:r>
        <w:rPr>
          <w:rFonts w:hint="eastAsia"/>
          <w:color w:val="000000" w:themeColor="text1"/>
          <w:highlight w:val="none"/>
          <w14:textFill>
            <w14:solidFill>
              <w14:schemeClr w14:val="tx1"/>
            </w14:solidFill>
          </w14:textFill>
        </w:rPr>
        <w:t>本文件的某些内容可能涉及专利。本文件的发布机构不承担识别专利的责任。</w:t>
      </w:r>
    </w:p>
    <w:p w14:paraId="4804D719">
      <w:pPr>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本文件由中国研究型医院学会乳腺专业委员会提出。</w:t>
      </w:r>
    </w:p>
    <w:p w14:paraId="7CBCC766">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0AA53887">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6F6A98E4">
      <w:pPr>
        <w:ind w:firstLine="420" w:firstLineChars="200"/>
        <w:rPr>
          <w:rFonts w:ascii="宋体" w:hAnsi="宋体" w:eastAsia="宋体" w:cs="Times New Roman"/>
          <w:szCs w:val="21"/>
        </w:rPr>
      </w:pPr>
      <w:r>
        <w:rPr>
          <w:rFonts w:hint="eastAsia" w:ascii="宋体" w:hAnsi="宋体" w:eastAsia="宋体" w:cs="Times New Roman"/>
          <w:szCs w:val="21"/>
        </w:rPr>
        <w:t>本文件主要起草人：。</w:t>
      </w:r>
    </w:p>
    <w:p w14:paraId="677853BE">
      <w:pPr>
        <w:ind w:firstLine="420" w:firstLineChars="200"/>
        <w:rPr>
          <w:rFonts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0E31960A">
      <w:pPr>
        <w:spacing w:before="156" w:beforeLines="50" w:after="156" w:afterLines="50"/>
        <w:jc w:val="center"/>
        <w:rPr>
          <w:rFonts w:ascii="黑体" w:hAnsi="黑体" w:eastAsia="黑体" w:cs="黑体"/>
          <w:sz w:val="28"/>
          <w:szCs w:val="28"/>
        </w:rPr>
      </w:pPr>
      <w:r>
        <w:rPr>
          <w:rFonts w:ascii="黑体" w:hAnsi="黑体" w:eastAsia="黑体" w:cs="黑体"/>
          <w:sz w:val="32"/>
          <w:szCs w:val="32"/>
        </w:rPr>
        <w:t>中国女性局部晚期乳腺癌诊疗团体标准</w:t>
      </w:r>
    </w:p>
    <w:p w14:paraId="1F55B455">
      <w:pPr>
        <w:pStyle w:val="19"/>
        <w:numPr>
          <w:ilvl w:val="0"/>
          <w:numId w:val="2"/>
        </w:numPr>
      </w:pPr>
      <w:r>
        <w:rPr>
          <w:rFonts w:hint="eastAsia"/>
        </w:rPr>
        <w:t>范围</w:t>
      </w:r>
    </w:p>
    <w:p w14:paraId="35F3EB49">
      <w:pPr>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本文件规定了</w:t>
      </w:r>
      <w:r>
        <w:rPr>
          <w:rFonts w:ascii="宋体" w:hAnsi="宋体" w:eastAsia="宋体" w:cs="宋体"/>
          <w:szCs w:val="21"/>
        </w:rPr>
        <w:t>中国女性局部晚期乳腺癌的诊断、</w:t>
      </w:r>
      <w:r>
        <w:rPr>
          <w:rFonts w:ascii="宋体" w:hAnsi="宋体" w:eastAsia="宋体" w:cs="宋体"/>
          <w:color w:val="000000" w:themeColor="text1"/>
          <w:szCs w:val="21"/>
          <w14:textFill>
            <w14:solidFill>
              <w14:schemeClr w14:val="tx1"/>
            </w14:solidFill>
          </w14:textFill>
        </w:rPr>
        <w:t>分类依据、治疗路径、新辅助治疗、手术治疗及术后辅助治疗的基本原则和技术要求。</w:t>
      </w:r>
    </w:p>
    <w:p w14:paraId="69961128">
      <w:pPr>
        <w:ind w:firstLine="420" w:firstLineChars="200"/>
        <w:jc w:val="left"/>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本文件适用于</w:t>
      </w:r>
      <w:r>
        <w:rPr>
          <w:rFonts w:ascii="宋体" w:hAnsi="宋体" w:eastAsia="宋体" w:cs="宋体"/>
          <w:color w:val="000000" w:themeColor="text1"/>
          <w:szCs w:val="21"/>
          <w14:textFill>
            <w14:solidFill>
              <w14:schemeClr w14:val="tx1"/>
            </w14:solidFill>
          </w14:textFill>
        </w:rPr>
        <w:t>具备乳腺癌诊疗资质的医疗机构中，对局部晚期乳腺</w:t>
      </w:r>
      <w:r>
        <w:rPr>
          <w:rFonts w:ascii="宋体" w:hAnsi="宋体" w:eastAsia="宋体" w:cs="宋体"/>
          <w:szCs w:val="21"/>
        </w:rPr>
        <w:t>癌患者的临床诊疗活动。</w:t>
      </w:r>
    </w:p>
    <w:p w14:paraId="3D1D09DE">
      <w:pPr>
        <w:pStyle w:val="19"/>
        <w:rPr>
          <w:rFonts w:ascii="宋体" w:hAnsi="宋体" w:eastAsia="宋体" w:cs="Times New Roman"/>
        </w:rPr>
      </w:pPr>
      <w:r>
        <w:rPr>
          <w:rFonts w:hint="eastAsia"/>
        </w:rPr>
        <w:t>规范性引用文件</w:t>
      </w:r>
    </w:p>
    <w:p w14:paraId="1E10576D">
      <w:pPr>
        <w:pStyle w:val="5"/>
        <w:spacing w:before="0"/>
        <w:ind w:left="0" w:firstLine="404" w:firstLineChars="200"/>
        <w:rPr>
          <w:rFonts w:cs="宋体"/>
        </w:rPr>
      </w:pPr>
      <w:bookmarkStart w:id="2" w:name="OLE_LINK10"/>
      <w:bookmarkStart w:id="3"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2"/>
      <w:r>
        <w:rPr>
          <w:color w:val="000000" w:themeColor="text1"/>
          <w14:textFill>
            <w14:solidFill>
              <w14:schemeClr w14:val="tx1"/>
            </w14:solidFill>
          </w14:textFill>
        </w:rPr>
        <w:t xml:space="preserve"> </w:t>
      </w:r>
      <w:bookmarkEnd w:id="3"/>
    </w:p>
    <w:p w14:paraId="50DB2551">
      <w:pPr>
        <w:ind w:firstLine="420" w:firstLineChars="200"/>
        <w:rPr>
          <w:rFonts w:ascii="Times New Roman" w:hAnsi="Times New Roman" w:eastAsia="宋体" w:cs="Times New Roman"/>
          <w:szCs w:val="21"/>
        </w:rPr>
      </w:pPr>
      <w:r>
        <w:rPr>
          <w:rFonts w:ascii="Times New Roman" w:hAnsi="Times New Roman" w:eastAsia="宋体" w:cs="Times New Roman"/>
          <w:szCs w:val="21"/>
        </w:rPr>
        <w:t>— AJCC Cancer Staging Manual, 8th Edition</w:t>
      </w:r>
    </w:p>
    <w:p w14:paraId="0233869F">
      <w:pPr>
        <w:ind w:firstLine="420" w:firstLineChars="200"/>
        <w:rPr>
          <w:rFonts w:ascii="Times New Roman" w:hAnsi="Times New Roman" w:eastAsia="宋体" w:cs="Times New Roman"/>
          <w:szCs w:val="21"/>
        </w:rPr>
      </w:pPr>
      <w:r>
        <w:rPr>
          <w:rFonts w:ascii="Times New Roman" w:hAnsi="Times New Roman" w:eastAsia="宋体" w:cs="Times New Roman"/>
          <w:szCs w:val="21"/>
        </w:rPr>
        <w:t>— NCCN Clinical Practice Guidelines in Oncology: Breast Cancer（Version 5.2025）</w:t>
      </w:r>
    </w:p>
    <w:p w14:paraId="0DC02E59">
      <w:pPr>
        <w:ind w:firstLine="420" w:firstLineChars="200"/>
        <w:rPr>
          <w:rFonts w:ascii="Times New Roman" w:hAnsi="Times New Roman" w:eastAsia="宋体" w:cs="Times New Roman"/>
          <w:szCs w:val="21"/>
        </w:rPr>
      </w:pPr>
      <w:r>
        <w:rPr>
          <w:rFonts w:ascii="Times New Roman" w:hAnsi="Times New Roman" w:eastAsia="宋体" w:cs="Times New Roman"/>
          <w:szCs w:val="21"/>
        </w:rPr>
        <w:t>— 中国抗癌协会乳腺癌诊治指南与规范（2024 年版）</w:t>
      </w:r>
    </w:p>
    <w:p w14:paraId="03416466">
      <w:pPr>
        <w:ind w:firstLine="420" w:firstLineChars="200"/>
        <w:rPr>
          <w:rFonts w:ascii="Times New Roman" w:hAnsi="Times New Roman" w:eastAsia="宋体" w:cs="Times New Roman"/>
          <w:szCs w:val="21"/>
        </w:rPr>
      </w:pPr>
      <w:r>
        <w:rPr>
          <w:rFonts w:ascii="Times New Roman" w:hAnsi="Times New Roman" w:eastAsia="宋体" w:cs="Times New Roman"/>
          <w:szCs w:val="21"/>
        </w:rPr>
        <w:t>— 中国晚期乳腺癌规范诊疗指南（2024 年版）</w:t>
      </w:r>
    </w:p>
    <w:p w14:paraId="11949C39">
      <w:pPr>
        <w:pStyle w:val="61"/>
        <w:numPr>
          <w:ilvl w:val="0"/>
          <w:numId w:val="3"/>
        </w:numPr>
        <w:ind w:left="780" w:leftChars="0" w:hanging="360" w:firstLineChars="0"/>
        <w:rPr>
          <w:rFonts w:ascii="Times New Roman" w:hAnsi="Times New Roman" w:eastAsia="宋体" w:cs="Times New Roman"/>
          <w:szCs w:val="21"/>
        </w:rPr>
      </w:pPr>
      <w:r>
        <w:rPr>
          <w:rFonts w:hint="eastAsia" w:ascii="Times New Roman" w:hAnsi="Times New Roman" w:eastAsia="宋体" w:cs="Times New Roman"/>
          <w:szCs w:val="21"/>
        </w:rPr>
        <w:t>中国女性局部晚期乳腺癌诊疗专家共识(2025年版)</w:t>
      </w:r>
    </w:p>
    <w:p w14:paraId="7EB56056">
      <w:pPr>
        <w:pStyle w:val="19"/>
      </w:pPr>
      <w:r>
        <w:rPr>
          <w:rFonts w:hint="eastAsia"/>
        </w:rPr>
        <w:t>术语和定义</w:t>
      </w:r>
    </w:p>
    <w:p w14:paraId="0F3DC7CC">
      <w:pPr>
        <w:ind w:firstLine="420" w:firstLineChars="200"/>
        <w:jc w:val="left"/>
        <w:rPr>
          <w:rFonts w:ascii="宋体" w:hAnsi="宋体" w:eastAsia="宋体" w:cs="Times New Roman"/>
          <w:bCs/>
          <w:szCs w:val="21"/>
        </w:rPr>
      </w:pPr>
      <w:r>
        <w:rPr>
          <w:rFonts w:hint="eastAsia" w:ascii="宋体" w:hAnsi="宋体" w:eastAsia="宋体" w:cs="Times New Roman"/>
          <w:bCs/>
          <w:szCs w:val="21"/>
        </w:rPr>
        <w:t>下列术语和定义适用于本文件。</w:t>
      </w:r>
    </w:p>
    <w:p w14:paraId="5DD27C2B">
      <w:pPr>
        <w:spacing w:before="156" w:beforeLines="50" w:after="156" w:afterLines="50"/>
        <w:ind w:firstLine="420" w:firstLineChars="200"/>
        <w:jc w:val="left"/>
        <w:rPr>
          <w:rFonts w:hint="eastAsia" w:ascii="黑体" w:hAnsi="黑体" w:eastAsia="黑体" w:cs="黑体"/>
          <w:b w:val="0"/>
          <w:bCs/>
          <w:szCs w:val="21"/>
        </w:rPr>
      </w:pPr>
      <w:r>
        <w:rPr>
          <w:rFonts w:hint="eastAsia" w:ascii="黑体" w:hAnsi="黑体" w:eastAsia="黑体" w:cs="黑体"/>
          <w:b w:val="0"/>
          <w:bCs/>
          <w:szCs w:val="21"/>
        </w:rPr>
        <w:t>3.1 局部晚期乳腺癌（locally advanced breast cancer，LABC）</w:t>
      </w:r>
    </w:p>
    <w:p w14:paraId="64316318">
      <w:pPr>
        <w:spacing w:before="156" w:beforeLines="50" w:after="156" w:afterLines="50"/>
        <w:ind w:firstLine="420" w:firstLineChars="200"/>
        <w:jc w:val="left"/>
        <w:rPr>
          <w:rFonts w:ascii="宋体" w:hAnsi="宋体" w:eastAsia="宋体" w:cs="Times New Roman"/>
          <w:bCs/>
          <w:szCs w:val="21"/>
        </w:rPr>
      </w:pPr>
      <w:r>
        <w:rPr>
          <w:rFonts w:ascii="宋体" w:hAnsi="宋体" w:eastAsia="宋体" w:cs="Times New Roman"/>
          <w:bCs/>
          <w:szCs w:val="21"/>
        </w:rPr>
        <w:t>指无远处转移但肿瘤局部或区域淋巴结广泛受累、临床分期为 AJCC 第 8 版分期系统Ⅲ期的乳腺癌。</w:t>
      </w:r>
    </w:p>
    <w:p w14:paraId="42239AAA">
      <w:pPr>
        <w:spacing w:before="156" w:beforeLines="50" w:after="156" w:afterLines="50"/>
        <w:ind w:firstLine="420" w:firstLineChars="200"/>
        <w:jc w:val="left"/>
        <w:rPr>
          <w:rFonts w:hint="eastAsia" w:ascii="黑体" w:hAnsi="黑体" w:eastAsia="黑体" w:cs="黑体"/>
          <w:b w:val="0"/>
          <w:bCs/>
          <w:szCs w:val="21"/>
        </w:rPr>
      </w:pPr>
      <w:r>
        <w:rPr>
          <w:rFonts w:hint="eastAsia" w:ascii="黑体" w:hAnsi="黑体" w:eastAsia="黑体" w:cs="黑体"/>
          <w:b w:val="0"/>
          <w:bCs/>
          <w:szCs w:val="21"/>
        </w:rPr>
        <w:t>3.2 可手术局部晚期乳腺癌</w:t>
      </w:r>
    </w:p>
    <w:p w14:paraId="45CE2755">
      <w:pPr>
        <w:spacing w:before="156" w:beforeLines="50" w:after="156" w:afterLines="50"/>
        <w:ind w:firstLine="420" w:firstLineChars="200"/>
        <w:jc w:val="left"/>
        <w:rPr>
          <w:rFonts w:ascii="宋体" w:hAnsi="宋体" w:eastAsia="宋体" w:cs="Times New Roman"/>
          <w:bCs/>
          <w:szCs w:val="21"/>
        </w:rPr>
      </w:pPr>
      <w:r>
        <w:rPr>
          <w:rFonts w:ascii="宋体" w:hAnsi="宋体" w:eastAsia="宋体" w:cs="Times New Roman"/>
          <w:bCs/>
          <w:szCs w:val="21"/>
        </w:rPr>
        <w:t>指经临床及影像学评估，在当前状态下可行根治性手术切除的局部晚期乳腺癌。</w:t>
      </w:r>
    </w:p>
    <w:p w14:paraId="118F25F6">
      <w:pPr>
        <w:spacing w:before="156" w:beforeLines="50" w:after="156" w:afterLines="50"/>
        <w:ind w:firstLine="420" w:firstLineChars="200"/>
        <w:jc w:val="left"/>
        <w:rPr>
          <w:rFonts w:hint="eastAsia" w:ascii="黑体" w:hAnsi="黑体" w:eastAsia="黑体" w:cs="黑体"/>
          <w:b w:val="0"/>
          <w:bCs/>
          <w:szCs w:val="21"/>
        </w:rPr>
      </w:pPr>
      <w:r>
        <w:rPr>
          <w:rFonts w:hint="eastAsia" w:ascii="黑体" w:hAnsi="黑体" w:eastAsia="黑体" w:cs="黑体"/>
          <w:b w:val="0"/>
          <w:bCs/>
          <w:szCs w:val="21"/>
        </w:rPr>
        <w:t>3.3 不可手术局部晚期乳腺癌</w:t>
      </w:r>
    </w:p>
    <w:p w14:paraId="6DA4C636">
      <w:pPr>
        <w:spacing w:before="156" w:beforeLines="50" w:after="156" w:afterLines="50"/>
        <w:ind w:firstLine="420" w:firstLineChars="200"/>
        <w:jc w:val="left"/>
        <w:rPr>
          <w:rFonts w:ascii="宋体" w:hAnsi="宋体" w:eastAsia="宋体" w:cs="Times New Roman"/>
          <w:bCs/>
          <w:szCs w:val="21"/>
        </w:rPr>
      </w:pPr>
      <w:r>
        <w:rPr>
          <w:rFonts w:ascii="宋体" w:hAnsi="宋体" w:eastAsia="宋体" w:cs="Times New Roman"/>
          <w:bCs/>
          <w:szCs w:val="21"/>
        </w:rPr>
        <w:t>指经规范评估，当前状态下无法实施根治性手术切除的局部晚期乳腺癌。</w:t>
      </w:r>
    </w:p>
    <w:p w14:paraId="5DE6B1D9">
      <w:pPr>
        <w:spacing w:before="156" w:beforeLines="50" w:after="156" w:afterLines="50"/>
        <w:ind w:firstLine="420" w:firstLineChars="200"/>
        <w:jc w:val="left"/>
        <w:rPr>
          <w:rFonts w:hint="eastAsia" w:ascii="黑体" w:hAnsi="黑体" w:eastAsia="黑体" w:cs="黑体"/>
          <w:b w:val="0"/>
          <w:bCs/>
          <w:szCs w:val="21"/>
        </w:rPr>
      </w:pPr>
      <w:r>
        <w:rPr>
          <w:rFonts w:hint="eastAsia" w:ascii="黑体" w:hAnsi="黑体" w:eastAsia="黑体" w:cs="黑体"/>
          <w:b w:val="0"/>
          <w:bCs/>
          <w:szCs w:val="21"/>
        </w:rPr>
        <w:t>3.4 新辅助治疗</w:t>
      </w:r>
    </w:p>
    <w:p w14:paraId="3798B67F">
      <w:pPr>
        <w:spacing w:before="156" w:beforeLines="50" w:after="156" w:afterLines="50"/>
        <w:ind w:firstLine="420" w:firstLineChars="200"/>
        <w:jc w:val="left"/>
        <w:rPr>
          <w:rFonts w:ascii="宋体" w:hAnsi="宋体" w:eastAsia="宋体" w:cs="Times New Roman"/>
          <w:bCs/>
          <w:szCs w:val="21"/>
        </w:rPr>
      </w:pPr>
      <w:r>
        <w:rPr>
          <w:rFonts w:ascii="宋体" w:hAnsi="宋体" w:eastAsia="宋体" w:cs="Times New Roman"/>
          <w:bCs/>
          <w:szCs w:val="21"/>
        </w:rPr>
        <w:t>指在乳腺癌根治性手术前实施的系统性抗肿瘤治疗，包括化疗、内分泌治疗、靶向治疗和免疫治疗等。</w:t>
      </w:r>
    </w:p>
    <w:p w14:paraId="789DEC44">
      <w:pPr>
        <w:pStyle w:val="19"/>
      </w:pPr>
      <w:r>
        <w:rPr>
          <w:rFonts w:hint="eastAsia"/>
        </w:rPr>
        <w:t>缩略语</w:t>
      </w:r>
    </w:p>
    <w:p w14:paraId="5D7DED8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6B88ACC9">
      <w:pPr>
        <w:ind w:firstLine="420"/>
        <w:jc w:val="left"/>
        <w:rPr>
          <w:rFonts w:ascii="Times New Roman" w:hAnsi="Times New Roman" w:eastAsia="宋体" w:cs="Times New Roman"/>
          <w:bCs/>
          <w:szCs w:val="21"/>
        </w:rPr>
      </w:pPr>
      <w:r>
        <w:rPr>
          <w:rFonts w:ascii="Times New Roman" w:hAnsi="Times New Roman" w:eastAsia="宋体" w:cs="Times New Roman"/>
          <w:bCs/>
          <w:szCs w:val="21"/>
        </w:rPr>
        <w:t xml:space="preserve">LABC </w:t>
      </w:r>
      <w:r>
        <w:rPr>
          <w:rFonts w:hint="eastAsia" w:ascii="Times New Roman" w:hAnsi="Times New Roman" w:eastAsia="宋体" w:cs="Times New Roman"/>
          <w:bCs/>
          <w:szCs w:val="21"/>
        </w:rPr>
        <w:t>：</w:t>
      </w:r>
      <w:r>
        <w:rPr>
          <w:rFonts w:ascii="Times New Roman" w:hAnsi="Times New Roman" w:eastAsia="宋体" w:cs="Times New Roman"/>
          <w:bCs/>
          <w:szCs w:val="21"/>
        </w:rPr>
        <w:t>局部晚期乳腺癌</w:t>
      </w:r>
    </w:p>
    <w:p w14:paraId="75597A7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 xml:space="preserve">AJCC </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美国癌症联合委员会</w:t>
      </w:r>
    </w:p>
    <w:p w14:paraId="04BC840C">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pCR</w:t>
      </w:r>
      <w:r>
        <w:rPr>
          <w:rFonts w:hint="eastAsia" w:ascii="Times New Roman" w:hAnsi="Times New Roman" w:eastAsia="宋体" w:cs="Times New Roman"/>
          <w:bCs/>
          <w:szCs w:val="21"/>
        </w:rPr>
        <w:t>：</w:t>
      </w:r>
      <w:r>
        <w:rPr>
          <w:rFonts w:ascii="Times New Roman" w:hAnsi="Times New Roman" w:eastAsia="宋体" w:cs="Times New Roman"/>
          <w:bCs/>
          <w:szCs w:val="21"/>
        </w:rPr>
        <w:t>病理完全缓解</w:t>
      </w:r>
    </w:p>
    <w:p w14:paraId="4F227F39">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HER2</w:t>
      </w:r>
      <w:r>
        <w:rPr>
          <w:rFonts w:hint="eastAsia" w:ascii="Times New Roman" w:hAnsi="Times New Roman" w:eastAsia="宋体" w:cs="Times New Roman"/>
          <w:bCs/>
          <w:szCs w:val="21"/>
        </w:rPr>
        <w:t>：</w:t>
      </w:r>
      <w:r>
        <w:rPr>
          <w:rFonts w:ascii="Times New Roman" w:hAnsi="Times New Roman" w:eastAsia="宋体" w:cs="Times New Roman"/>
          <w:bCs/>
          <w:szCs w:val="21"/>
        </w:rPr>
        <w:t>人表皮生长因子受体-2</w:t>
      </w:r>
    </w:p>
    <w:p w14:paraId="797796C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TNBC</w:t>
      </w:r>
      <w:r>
        <w:rPr>
          <w:rFonts w:hint="eastAsia" w:ascii="Times New Roman" w:hAnsi="Times New Roman" w:eastAsia="宋体" w:cs="Times New Roman"/>
          <w:bCs/>
          <w:szCs w:val="21"/>
        </w:rPr>
        <w:t>：</w:t>
      </w:r>
      <w:r>
        <w:rPr>
          <w:rFonts w:ascii="Times New Roman" w:hAnsi="Times New Roman" w:eastAsia="宋体" w:cs="Times New Roman"/>
          <w:bCs/>
          <w:szCs w:val="21"/>
        </w:rPr>
        <w:t>三阴性乳腺癌</w:t>
      </w:r>
    </w:p>
    <w:p w14:paraId="29322DE2">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HR</w:t>
      </w:r>
      <w:r>
        <w:rPr>
          <w:rFonts w:hint="eastAsia" w:ascii="Times New Roman" w:hAnsi="Times New Roman" w:eastAsia="宋体" w:cs="Times New Roman"/>
          <w:bCs/>
          <w:szCs w:val="21"/>
        </w:rPr>
        <w:t>：</w:t>
      </w:r>
      <w:r>
        <w:rPr>
          <w:rFonts w:ascii="Times New Roman" w:hAnsi="Times New Roman" w:eastAsia="宋体" w:cs="Times New Roman"/>
          <w:bCs/>
          <w:szCs w:val="21"/>
        </w:rPr>
        <w:t>激素受体</w:t>
      </w:r>
    </w:p>
    <w:p w14:paraId="6B65949B">
      <w:pPr>
        <w:pStyle w:val="19"/>
      </w:pPr>
      <w:r>
        <w:rPr>
          <w:rFonts w:hint="eastAsia"/>
        </w:rPr>
        <w:t>诊断</w:t>
      </w:r>
    </w:p>
    <w:p w14:paraId="3B74FB8A">
      <w:pPr>
        <w:jc w:val="left"/>
        <w:rPr>
          <w:rFonts w:ascii="黑体" w:hAnsi="黑体" w:eastAsia="黑体" w:cs="黑体"/>
          <w:b/>
          <w:bCs/>
        </w:rPr>
      </w:pPr>
      <w:r>
        <w:rPr>
          <w:b/>
          <w:bCs/>
        </w:rPr>
        <w:t>5.1</w:t>
      </w:r>
      <w:r>
        <w:rPr>
          <w:rFonts w:ascii="Times New Roman" w:hAnsi="Times New Roman" w:eastAsia="宋体" w:cs="Times New Roman"/>
          <w:b/>
          <w:bCs/>
          <w:szCs w:val="21"/>
        </w:rPr>
        <w:t>诊断依据</w:t>
      </w:r>
    </w:p>
    <w:p w14:paraId="0ED456FE">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局部晚期乳腺癌的诊断应综合以下内容：</w:t>
      </w:r>
    </w:p>
    <w:p w14:paraId="031A19BB">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 详细病史采集和体格检查；</w:t>
      </w:r>
    </w:p>
    <w:p w14:paraId="1B59CB0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 影像学检查，包括乳腺及腋窝超声、乳腺钼靶，必要时行乳腺 MRI 或胸部 CT；</w:t>
      </w:r>
    </w:p>
    <w:p w14:paraId="5ECF09A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 病理学检查，包括穿刺活检或切取活检；</w:t>
      </w:r>
    </w:p>
    <w:p w14:paraId="648A82C6">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d) 全身影像学评估，用于排除远处转移。</w:t>
      </w:r>
    </w:p>
    <w:p w14:paraId="047D3241">
      <w:pPr>
        <w:jc w:val="left"/>
        <w:rPr>
          <w:rFonts w:ascii="Times New Roman" w:hAnsi="Times New Roman" w:eastAsia="宋体" w:cs="Times New Roman"/>
          <w:b/>
          <w:szCs w:val="21"/>
        </w:rPr>
      </w:pPr>
      <w:r>
        <w:rPr>
          <w:rFonts w:ascii="Times New Roman" w:hAnsi="Times New Roman" w:eastAsia="宋体" w:cs="Times New Roman"/>
          <w:b/>
          <w:szCs w:val="21"/>
        </w:rPr>
        <w:t>5.2 分期与分类</w:t>
      </w:r>
    </w:p>
    <w:p w14:paraId="756159C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局部晚期乳腺癌的分期应采用 AJCC 第 8 版分期系统，ⅢA、ⅢB 和ⅢC 期乳腺癌均属于 LABC 范畴。</w:t>
      </w:r>
    </w:p>
    <w:p w14:paraId="1FF2E406">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根据可手术性评估结果，LABC 可分为：</w:t>
      </w:r>
    </w:p>
    <w:p w14:paraId="44226D6E">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 可手术 LABC；</w:t>
      </w:r>
    </w:p>
    <w:p w14:paraId="0D56701D">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 不可手术 LABC。</w:t>
      </w:r>
    </w:p>
    <w:p w14:paraId="4CED95F8">
      <w:pPr>
        <w:jc w:val="left"/>
        <w:rPr>
          <w:rFonts w:ascii="Times New Roman" w:hAnsi="Times New Roman" w:eastAsia="宋体" w:cs="Times New Roman"/>
          <w:b/>
          <w:szCs w:val="21"/>
        </w:rPr>
      </w:pPr>
      <w:r>
        <w:rPr>
          <w:rFonts w:ascii="Times New Roman" w:hAnsi="Times New Roman" w:eastAsia="宋体" w:cs="Times New Roman"/>
          <w:b/>
          <w:szCs w:val="21"/>
        </w:rPr>
        <w:t>5.3 可手术性评估</w:t>
      </w:r>
    </w:p>
    <w:p w14:paraId="39EA9D98">
      <w:pPr>
        <w:ind w:firstLine="420" w:firstLineChars="200"/>
        <w:jc w:val="left"/>
        <w:rPr>
          <w:rFonts w:ascii="Times New Roman" w:hAnsi="Times New Roman" w:eastAsia="宋体" w:cs="Times New Roman"/>
          <w:b/>
          <w:szCs w:val="21"/>
        </w:rPr>
      </w:pPr>
      <w:r>
        <w:rPr>
          <w:rFonts w:ascii="Times New Roman" w:hAnsi="Times New Roman" w:eastAsia="宋体" w:cs="Times New Roman"/>
          <w:bCs/>
          <w:szCs w:val="21"/>
        </w:rPr>
        <w:t>可手术性评估应基于以下方面：</w:t>
      </w:r>
    </w:p>
    <w:p w14:paraId="78ACAC27">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 乳房肿瘤大小及与皮肤、胸壁的关系；</w:t>
      </w:r>
    </w:p>
    <w:p w14:paraId="13554F8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 皮肤受累范围是否超过乳房表面积的 1/4；</w:t>
      </w:r>
    </w:p>
    <w:p w14:paraId="4AD7BABD">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 腋窝、锁骨下及锁骨上淋巴结是否融合、固定或包绕重要血管；</w:t>
      </w:r>
    </w:p>
    <w:p w14:paraId="7CA694B2">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d) 是否存在明确远处转移</w:t>
      </w:r>
    </w:p>
    <w:p w14:paraId="217658F0">
      <w:pPr>
        <w:pStyle w:val="19"/>
      </w:pPr>
      <w:r>
        <w:t>治疗总原则</w:t>
      </w:r>
    </w:p>
    <w:p w14:paraId="57E8F004">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局部晚期乳腺癌的治疗应遵循以手术为核心的多学科综合治疗原则。</w:t>
      </w:r>
    </w:p>
    <w:p w14:paraId="1E4CA9D0">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 对可手术 LABC，应优先实施根治性手术；</w:t>
      </w:r>
    </w:p>
    <w:p w14:paraId="7E1B5AA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 对不可手术 LABC，应首先实施新辅助治疗，争取降期后手术；</w:t>
      </w:r>
    </w:p>
    <w:p w14:paraId="12792CC6">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 治疗方案应结合肿瘤分子分型、患者一般状况及药物可及性个体化制定。</w:t>
      </w:r>
    </w:p>
    <w:p w14:paraId="264E5A70">
      <w:pPr>
        <w:pStyle w:val="19"/>
      </w:pPr>
      <w:r>
        <w:t>新辅助治疗</w:t>
      </w:r>
    </w:p>
    <w:p w14:paraId="69B45592">
      <w:pPr>
        <w:jc w:val="left"/>
        <w:rPr>
          <w:rFonts w:ascii="Times New Roman" w:hAnsi="Times New Roman" w:eastAsia="宋体" w:cs="Times New Roman"/>
          <w:bCs/>
          <w:szCs w:val="21"/>
        </w:rPr>
      </w:pPr>
      <w:r>
        <w:t xml:space="preserve">7.1 </w:t>
      </w:r>
      <w:r>
        <w:rPr>
          <w:rFonts w:ascii="Times New Roman" w:hAnsi="Times New Roman" w:eastAsia="宋体" w:cs="Times New Roman"/>
          <w:bCs/>
          <w:szCs w:val="21"/>
        </w:rPr>
        <w:t>适应证</w:t>
      </w:r>
    </w:p>
    <w:p w14:paraId="2E38107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新辅助治疗主要适用于不可手术 LABC 患者；对可手术 LABC，一般不宜常规实施新辅助治疗。</w:t>
      </w:r>
    </w:p>
    <w:p w14:paraId="08D6DDA7">
      <w:pPr>
        <w:jc w:val="left"/>
        <w:rPr>
          <w:rFonts w:ascii="Times New Roman" w:hAnsi="Times New Roman" w:eastAsia="宋体" w:cs="Times New Roman"/>
          <w:bCs/>
          <w:szCs w:val="21"/>
        </w:rPr>
      </w:pPr>
      <w:r>
        <w:rPr>
          <w:rFonts w:ascii="Times New Roman" w:hAnsi="Times New Roman" w:eastAsia="宋体" w:cs="Times New Roman"/>
          <w:bCs/>
          <w:szCs w:val="21"/>
        </w:rPr>
        <w:t>7.2 新辅助化疗</w:t>
      </w:r>
    </w:p>
    <w:p w14:paraId="07C94266">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对需接受化疗的不可手术 LABC 患者，应采用标准乳腺癌新辅助化疗方案，并每 2 个疗程评估疗效。</w:t>
      </w:r>
    </w:p>
    <w:p w14:paraId="0E021F1B">
      <w:pPr>
        <w:jc w:val="left"/>
        <w:rPr>
          <w:rFonts w:ascii="Times New Roman" w:hAnsi="Times New Roman" w:eastAsia="宋体" w:cs="Times New Roman"/>
          <w:bCs/>
          <w:szCs w:val="21"/>
        </w:rPr>
      </w:pPr>
      <w:r>
        <w:rPr>
          <w:rFonts w:ascii="Times New Roman" w:hAnsi="Times New Roman" w:eastAsia="宋体" w:cs="Times New Roman"/>
          <w:bCs/>
          <w:szCs w:val="21"/>
        </w:rPr>
        <w:t>7.3 新辅助内分泌治疗</w:t>
      </w:r>
    </w:p>
    <w:p w14:paraId="0FA643E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激素受体阳性的绝经后患者，可在评估后采用新辅助内分泌治疗，治疗时间宜不少于 6 个月或至达到手术条件。</w:t>
      </w:r>
    </w:p>
    <w:p w14:paraId="11F67BEA">
      <w:pPr>
        <w:jc w:val="left"/>
        <w:rPr>
          <w:rFonts w:ascii="Times New Roman" w:hAnsi="Times New Roman" w:eastAsia="宋体" w:cs="Times New Roman"/>
          <w:bCs/>
          <w:szCs w:val="21"/>
        </w:rPr>
      </w:pPr>
      <w:r>
        <w:rPr>
          <w:rFonts w:ascii="Times New Roman" w:hAnsi="Times New Roman" w:eastAsia="宋体" w:cs="Times New Roman"/>
          <w:bCs/>
          <w:szCs w:val="21"/>
        </w:rPr>
        <w:t>7.4 新辅助靶向治疗</w:t>
      </w:r>
    </w:p>
    <w:p w14:paraId="2C69841B">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HER2 阳性 LABC 患者宜在化疗基础上联合抗 HER2 靶向治疗。</w:t>
      </w:r>
    </w:p>
    <w:p w14:paraId="66FDC172">
      <w:pPr>
        <w:jc w:val="left"/>
        <w:rPr>
          <w:rFonts w:ascii="Times New Roman" w:hAnsi="Times New Roman" w:eastAsia="宋体" w:cs="Times New Roman"/>
          <w:bCs/>
          <w:szCs w:val="21"/>
        </w:rPr>
      </w:pPr>
      <w:r>
        <w:rPr>
          <w:rFonts w:ascii="Times New Roman" w:hAnsi="Times New Roman" w:eastAsia="宋体" w:cs="Times New Roman"/>
          <w:bCs/>
          <w:szCs w:val="21"/>
        </w:rPr>
        <w:t>7.5 新辅助免疫治疗</w:t>
      </w:r>
    </w:p>
    <w:p w14:paraId="2DB4FA5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三阴性 LABC 患者可在符合适应证的情况下，联合免疫治疗药物实施新辅助治疗。</w:t>
      </w:r>
    </w:p>
    <w:p w14:paraId="5E01F0E7">
      <w:pPr>
        <w:jc w:val="left"/>
        <w:rPr>
          <w:rFonts w:ascii="Times New Roman" w:hAnsi="Times New Roman" w:eastAsia="宋体" w:cs="Times New Roman"/>
          <w:bCs/>
          <w:szCs w:val="21"/>
        </w:rPr>
      </w:pPr>
      <w:r>
        <w:rPr>
          <w:rFonts w:ascii="Times New Roman" w:hAnsi="Times New Roman" w:eastAsia="宋体" w:cs="Times New Roman"/>
          <w:bCs/>
          <w:szCs w:val="21"/>
        </w:rPr>
        <w:t>7.6 疗效评估与停止时机</w:t>
      </w:r>
    </w:p>
    <w:p w14:paraId="096968A7">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新辅助治疗过程中应定期评估疗效，一旦达到可手术状态，应及时停止新辅助治疗并实施手术，避免延误。</w:t>
      </w:r>
    </w:p>
    <w:p w14:paraId="673D82AE">
      <w:pPr>
        <w:pStyle w:val="19"/>
        <w:rPr>
          <w:rFonts w:ascii="宋体" w:hAnsi="宋体" w:eastAsia="宋体" w:cs="Times New Roman"/>
          <w:szCs w:val="21"/>
        </w:rPr>
      </w:pPr>
      <w:r>
        <w:t>手术治疗</w:t>
      </w:r>
    </w:p>
    <w:p w14:paraId="3DCB48C5">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8.1 手术指征</w:t>
      </w:r>
    </w:p>
    <w:p w14:paraId="11A3F1E2">
      <w:pPr>
        <w:pBdr>
          <w:bottom w:val="single" w:color="auto" w:sz="4" w:space="0"/>
        </w:pBdr>
        <w:spacing w:before="156" w:beforeLines="50" w:after="156" w:afterLines="50"/>
        <w:ind w:firstLine="420"/>
        <w:rPr>
          <w:rFonts w:ascii="宋体" w:hAnsi="宋体" w:eastAsia="宋体" w:cs="Times New Roman"/>
          <w:bCs/>
          <w:szCs w:val="21"/>
        </w:rPr>
      </w:pPr>
      <w:r>
        <w:rPr>
          <w:rFonts w:ascii="宋体" w:hAnsi="宋体" w:eastAsia="宋体" w:cs="Times New Roman"/>
          <w:bCs/>
          <w:szCs w:val="21"/>
        </w:rPr>
        <w:t>对评估为可手术 LABC 的患者，应实施根治性手术。</w:t>
      </w:r>
    </w:p>
    <w:p w14:paraId="16BFFF5D">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8.2 乳房手术方式</w:t>
      </w:r>
    </w:p>
    <w:p w14:paraId="449F2E05">
      <w:pPr>
        <w:pBdr>
          <w:bottom w:val="single" w:color="auto" w:sz="4" w:space="0"/>
        </w:pBdr>
        <w:spacing w:before="156" w:beforeLines="50" w:after="156" w:afterLines="50"/>
        <w:ind w:firstLine="420"/>
        <w:rPr>
          <w:rFonts w:ascii="宋体" w:hAnsi="宋体" w:eastAsia="宋体" w:cs="Times New Roman"/>
          <w:bCs/>
          <w:szCs w:val="21"/>
        </w:rPr>
      </w:pPr>
      <w:r>
        <w:rPr>
          <w:rFonts w:ascii="宋体" w:hAnsi="宋体" w:eastAsia="宋体" w:cs="Times New Roman"/>
          <w:bCs/>
          <w:szCs w:val="21"/>
        </w:rPr>
        <w:t>乳房切除术为 LABC 的常规手术方式；在严格评估条件下，部分患者可选择保乳手术。</w:t>
      </w:r>
    </w:p>
    <w:p w14:paraId="2D923CA0">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8.3 腋窝手术方式</w:t>
      </w:r>
    </w:p>
    <w:p w14:paraId="6E021AEE">
      <w:pPr>
        <w:pBdr>
          <w:bottom w:val="single" w:color="auto" w:sz="4" w:space="0"/>
        </w:pBdr>
        <w:spacing w:before="156" w:beforeLines="50" w:after="156" w:afterLines="50"/>
        <w:ind w:firstLine="420"/>
        <w:rPr>
          <w:rFonts w:ascii="宋体" w:hAnsi="宋体" w:eastAsia="宋体" w:cs="Times New Roman"/>
          <w:bCs/>
          <w:szCs w:val="21"/>
        </w:rPr>
      </w:pPr>
      <w:r>
        <w:rPr>
          <w:rFonts w:ascii="宋体" w:hAnsi="宋体" w:eastAsia="宋体" w:cs="Times New Roman"/>
          <w:bCs/>
          <w:szCs w:val="21"/>
        </w:rPr>
        <w:t>LABC 患者腋窝手术以腋窝淋巴结清扫为主；符合条件者可行前哨淋巴结活检。</w:t>
      </w:r>
    </w:p>
    <w:p w14:paraId="0602AD70">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8.4 锁骨上淋巴结处理</w:t>
      </w:r>
    </w:p>
    <w:p w14:paraId="1CEC7C70">
      <w:pPr>
        <w:pBdr>
          <w:bottom w:val="single" w:color="auto" w:sz="4" w:space="0"/>
        </w:pBdr>
        <w:spacing w:before="156" w:beforeLines="50" w:after="156" w:afterLines="50"/>
        <w:ind w:firstLine="420"/>
        <w:rPr>
          <w:rFonts w:ascii="宋体" w:hAnsi="宋体" w:eastAsia="宋体" w:cs="Times New Roman"/>
          <w:bCs/>
          <w:szCs w:val="21"/>
        </w:rPr>
      </w:pPr>
      <w:r>
        <w:rPr>
          <w:rFonts w:ascii="宋体" w:hAnsi="宋体" w:eastAsia="宋体" w:cs="Times New Roman"/>
          <w:bCs/>
          <w:szCs w:val="21"/>
        </w:rPr>
        <w:t>锁骨上淋巴结转移可根据具体情况选择手术切除、放疗或综合治疗。</w:t>
      </w:r>
    </w:p>
    <w:p w14:paraId="10AB55A9">
      <w:pPr>
        <w:pBdr>
          <w:bottom w:val="single" w:color="auto" w:sz="4" w:space="0"/>
        </w:pBdr>
        <w:spacing w:before="156" w:beforeLines="50" w:after="156" w:afterLines="50"/>
        <w:rPr>
          <w:rFonts w:ascii="宋体" w:hAnsi="宋体" w:eastAsia="宋体" w:cs="Times New Roman"/>
          <w:b/>
          <w:szCs w:val="21"/>
        </w:rPr>
      </w:pPr>
      <w:r>
        <w:rPr>
          <w:rFonts w:ascii="宋体" w:hAnsi="宋体" w:eastAsia="宋体" w:cs="Times New Roman"/>
          <w:b/>
          <w:szCs w:val="21"/>
        </w:rPr>
        <w:t xml:space="preserve">9 </w:t>
      </w:r>
      <w:r>
        <w:rPr>
          <w:b/>
        </w:rPr>
        <w:t>术后辅助治疗</w:t>
      </w:r>
    </w:p>
    <w:p w14:paraId="1B31F2CF">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9.1 新辅助治疗后患者</w:t>
      </w:r>
    </w:p>
    <w:p w14:paraId="40870985">
      <w:pPr>
        <w:pBdr>
          <w:bottom w:val="single" w:color="auto" w:sz="4" w:space="0"/>
        </w:pBdr>
        <w:spacing w:before="156" w:beforeLines="50" w:after="156" w:afterLines="50"/>
        <w:ind w:firstLine="420"/>
        <w:rPr>
          <w:rFonts w:ascii="宋体" w:hAnsi="宋体" w:eastAsia="宋体" w:cs="Times New Roman"/>
          <w:bCs/>
          <w:szCs w:val="21"/>
        </w:rPr>
      </w:pPr>
      <w:r>
        <w:rPr>
          <w:rFonts w:ascii="宋体" w:hAnsi="宋体" w:eastAsia="宋体" w:cs="Times New Roman"/>
          <w:bCs/>
          <w:szCs w:val="21"/>
        </w:rPr>
        <w:t>术后辅助治疗方案应综合新辅助治疗前后的病理分型、分期变化及治疗反应制定。</w:t>
      </w:r>
    </w:p>
    <w:p w14:paraId="639EE880">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9.2 直接手术患者</w:t>
      </w:r>
    </w:p>
    <w:p w14:paraId="57E1EC50">
      <w:pPr>
        <w:pBdr>
          <w:bottom w:val="single" w:color="auto" w:sz="4" w:space="0"/>
        </w:pBdr>
        <w:spacing w:before="156" w:beforeLines="50" w:after="156" w:afterLines="50"/>
        <w:ind w:firstLine="420"/>
        <w:rPr>
          <w:rFonts w:ascii="宋体" w:hAnsi="宋体" w:eastAsia="宋体" w:cs="Times New Roman"/>
          <w:bCs/>
          <w:szCs w:val="21"/>
        </w:rPr>
      </w:pPr>
      <w:r>
        <w:rPr>
          <w:rFonts w:ascii="宋体" w:hAnsi="宋体" w:eastAsia="宋体" w:cs="Times New Roman"/>
          <w:bCs/>
          <w:szCs w:val="21"/>
        </w:rPr>
        <w:t>未接受新辅助治疗而直接手术的 LABC 患者，术后辅助治疗应遵循乳腺癌系统治疗指南。</w:t>
      </w:r>
    </w:p>
    <w:p w14:paraId="01B743AE">
      <w:pPr>
        <w:pBdr>
          <w:bottom w:val="single" w:color="auto" w:sz="4" w:space="0"/>
        </w:pBdr>
        <w:spacing w:before="156" w:beforeLines="50" w:after="156" w:afterLines="50"/>
        <w:rPr>
          <w:rFonts w:ascii="宋体" w:hAnsi="宋体" w:eastAsia="宋体" w:cs="Times New Roman"/>
          <w:bCs/>
          <w:szCs w:val="21"/>
        </w:rPr>
      </w:pPr>
      <w:r>
        <w:rPr>
          <w:rFonts w:ascii="宋体" w:hAnsi="宋体" w:eastAsia="宋体" w:cs="Times New Roman"/>
          <w:bCs/>
          <w:szCs w:val="21"/>
        </w:rPr>
        <w:t>9.3 辅助治疗强化</w:t>
      </w:r>
    </w:p>
    <w:p w14:paraId="20DCB4E1">
      <w:pPr>
        <w:pBdr>
          <w:bottom w:val="single" w:color="auto" w:sz="4" w:space="0"/>
        </w:pBdr>
        <w:spacing w:before="156" w:beforeLines="50" w:after="156" w:afterLines="50"/>
        <w:ind w:firstLine="42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LABC属于高复发风险乳腺癌，辅助治疗方案的制定内容应包括辅助强化治疗，依据手术后病理类型制定针对性的辅助强化治疗方案。三阴性LABC完成标准化疗方案后应实施以卡培他滨为基础的节拍治疗强化或8个疗程的辅助强化治疗；HER2阳性类型在完成化疗及靶向治疗1年后实施奈拉替尼辅助强化1年。</w:t>
      </w:r>
    </w:p>
    <w:p w14:paraId="4FA97852">
      <w:pPr>
        <w:pBdr>
          <w:bottom w:val="single" w:color="auto" w:sz="4" w:space="0"/>
        </w:pBdr>
        <w:spacing w:before="156" w:beforeLines="50" w:after="156" w:afterLines="50"/>
        <w:rPr>
          <w:rFonts w:ascii="宋体" w:hAnsi="宋体" w:eastAsia="宋体" w:cs="Times New Roman"/>
          <w:b/>
          <w:color w:val="000000" w:themeColor="text1"/>
          <w:szCs w:val="21"/>
          <w14:textFill>
            <w14:solidFill>
              <w14:schemeClr w14:val="tx1"/>
            </w14:solidFill>
          </w14:textFill>
        </w:rPr>
      </w:pPr>
      <w:r>
        <w:rPr>
          <w:rFonts w:hint="eastAsia" w:ascii="黑体" w:hAnsi="黑体" w:eastAsia="黑体" w:cs="黑体"/>
          <w:b w:val="0"/>
          <w:bCs/>
          <w:color w:val="000000" w:themeColor="text1"/>
          <w:szCs w:val="21"/>
          <w14:textFill>
            <w14:solidFill>
              <w14:schemeClr w14:val="tx1"/>
            </w14:solidFill>
          </w14:textFill>
        </w:rPr>
        <w:t xml:space="preserve">10 </w:t>
      </w:r>
      <w:r>
        <w:rPr>
          <w:rFonts w:hint="eastAsia" w:ascii="黑体" w:hAnsi="黑体" w:eastAsia="黑体" w:cs="黑体"/>
          <w:b w:val="0"/>
          <w:bCs/>
          <w:color w:val="000000" w:themeColor="text1"/>
          <w14:textFill>
            <w14:solidFill>
              <w14:schemeClr w14:val="tx1"/>
            </w14:solidFill>
          </w14:textFill>
        </w:rPr>
        <w:t>随访与质量控制</w:t>
      </w:r>
    </w:p>
    <w:p w14:paraId="7611AFE9">
      <w:pPr>
        <w:pBdr>
          <w:bottom w:val="single" w:color="auto" w:sz="4" w:space="0"/>
        </w:pBdr>
        <w:spacing w:before="156" w:beforeLines="50" w:after="156" w:afterLines="50"/>
        <w:ind w:firstLine="420"/>
        <w:rPr>
          <w:rFonts w:ascii="宋体" w:hAnsi="宋体" w:eastAsia="宋体" w:cs="Times New Roman"/>
          <w:bCs/>
          <w:color w:val="000000" w:themeColor="text1"/>
          <w:szCs w:val="21"/>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t>LABC 患者治疗后应进行规范随访，病程</w:t>
      </w:r>
      <w:r>
        <w:rPr>
          <w:rFonts w:hint="eastAsia" w:ascii="宋体" w:hAnsi="宋体" w:eastAsia="宋体" w:cs="Times New Roman"/>
          <w:bCs/>
          <w:color w:val="000000" w:themeColor="text1"/>
          <w:szCs w:val="21"/>
          <w14:textFill>
            <w14:solidFill>
              <w14:schemeClr w14:val="tx1"/>
            </w14:solidFill>
          </w14:textFill>
        </w:rPr>
        <w:t>3年内宜每3-6个月</w:t>
      </w:r>
      <w:r>
        <w:rPr>
          <w:rFonts w:ascii="宋体" w:hAnsi="宋体" w:eastAsia="宋体" w:cs="Times New Roman"/>
          <w:bCs/>
          <w:color w:val="000000" w:themeColor="text1"/>
          <w:szCs w:val="21"/>
          <w14:textFill>
            <w14:solidFill>
              <w14:schemeClr w14:val="tx1"/>
            </w14:solidFill>
          </w14:textFill>
        </w:rPr>
        <w:t>评估复发、转移及治疗相关不良反应，病程</w:t>
      </w:r>
      <w:r>
        <w:rPr>
          <w:rFonts w:hint="eastAsia" w:ascii="宋体" w:hAnsi="宋体" w:eastAsia="宋体" w:cs="Times New Roman"/>
          <w:bCs/>
          <w:color w:val="000000" w:themeColor="text1"/>
          <w:szCs w:val="21"/>
          <w14:textFill>
            <w14:solidFill>
              <w14:schemeClr w14:val="tx1"/>
            </w14:solidFill>
          </w14:textFill>
        </w:rPr>
        <w:t>3年后宜每6-12个月评估复发转移风险及生活质量指数，</w:t>
      </w:r>
      <w:r>
        <w:rPr>
          <w:rFonts w:ascii="宋体" w:hAnsi="宋体" w:eastAsia="宋体" w:cs="Times New Roman"/>
          <w:bCs/>
          <w:color w:val="000000" w:themeColor="text1"/>
          <w:szCs w:val="21"/>
          <w14:textFill>
            <w14:solidFill>
              <w14:schemeClr w14:val="tx1"/>
            </w14:solidFill>
          </w14:textFill>
        </w:rPr>
        <w:t>并纳入多学科管理和质量控制体系。</w:t>
      </w:r>
      <w:r>
        <w:rPr>
          <w:rFonts w:hint="eastAsia" w:ascii="宋体" w:hAnsi="宋体" w:eastAsia="宋体" w:cs="Times New Roman"/>
          <w:bCs/>
          <w:color w:val="000000" w:themeColor="text1"/>
          <w:szCs w:val="21"/>
          <w14:textFill>
            <w14:solidFill>
              <w14:schemeClr w14:val="tx1"/>
            </w14:solidFill>
          </w14:textFill>
        </w:rPr>
        <w:br w:type="page"/>
      </w:r>
    </w:p>
    <w:p w14:paraId="1F96857E">
      <w:pPr>
        <w:jc w:val="center"/>
        <w:rPr>
          <w:rFonts w:ascii="黑体" w:hAnsi="黑体" w:eastAsia="黑体" w:cs="黑体"/>
          <w:bCs/>
          <w:szCs w:val="21"/>
        </w:rPr>
      </w:pPr>
      <w:r>
        <w:rPr>
          <w:rFonts w:hint="eastAsia" w:ascii="黑体" w:hAnsi="黑体" w:eastAsia="黑体" w:cs="黑体"/>
          <w:bCs/>
          <w:szCs w:val="21"/>
        </w:rPr>
        <w:t>附 录 A</w:t>
      </w:r>
    </w:p>
    <w:p w14:paraId="6C8BF263">
      <w:pPr>
        <w:jc w:val="center"/>
        <w:rPr>
          <w:rFonts w:ascii="黑体" w:hAnsi="黑体" w:eastAsia="黑体" w:cs="黑体"/>
          <w:bCs/>
          <w:szCs w:val="21"/>
        </w:rPr>
      </w:pPr>
      <w:r>
        <w:rPr>
          <w:rFonts w:hint="eastAsia" w:ascii="黑体" w:hAnsi="黑体" w:eastAsia="黑体" w:cs="黑体"/>
          <w:bCs/>
          <w:szCs w:val="21"/>
        </w:rPr>
        <w:t>（规范性）</w:t>
      </w:r>
    </w:p>
    <w:p w14:paraId="282D751A">
      <w:pPr>
        <w:rPr>
          <w:rFonts w:ascii="宋体" w:hAnsi="宋体" w:eastAsia="宋体" w:cs="Times New Roman"/>
          <w:b w:val="0"/>
          <w:bCs/>
          <w:szCs w:val="21"/>
        </w:rPr>
      </w:pPr>
      <w:r>
        <w:rPr>
          <w:rFonts w:hint="eastAsia" w:ascii="宋体" w:hAnsi="宋体" w:eastAsia="宋体" w:cs="Times New Roman"/>
          <w:b w:val="0"/>
          <w:bCs/>
          <w:szCs w:val="21"/>
        </w:rPr>
        <w:t>中国女性局部晚期乳腺癌诊疗流程图</w:t>
      </w:r>
    </w:p>
    <w:p w14:paraId="1507E0C1">
      <w:pPr>
        <w:rPr>
          <w:rFonts w:ascii="宋体" w:hAnsi="宋体" w:eastAsia="宋体" w:cs="Times New Roman"/>
          <w:bCs/>
          <w:szCs w:val="21"/>
        </w:rPr>
      </w:pPr>
      <w:r>
        <w:rPr>
          <w:rFonts w:hint="eastAsia" w:ascii="宋体" w:hAnsi="宋体" w:eastAsia="宋体" w:cs="Times New Roman"/>
          <w:bCs/>
          <w:szCs w:val="21"/>
        </w:rPr>
        <w:drawing>
          <wp:inline distT="0" distB="0" distL="0" distR="0">
            <wp:extent cx="5193665" cy="5255895"/>
            <wp:effectExtent l="0" t="0" r="635" b="1905"/>
            <wp:docPr id="5348254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25452" name="图片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16916" cy="5279727"/>
                    </a:xfrm>
                    <a:prstGeom prst="rect">
                      <a:avLst/>
                    </a:prstGeom>
                  </pic:spPr>
                </pic:pic>
              </a:graphicData>
            </a:graphic>
          </wp:inline>
        </w:drawing>
      </w:r>
    </w:p>
    <w:p w14:paraId="72F21D84">
      <w:pPr>
        <w:spacing w:line="360" w:lineRule="auto"/>
        <w:rPr>
          <w:rFonts w:ascii="宋体" w:hAnsi="宋体" w:eastAsia="宋体" w:cs="Times New Roman"/>
          <w:bCs/>
          <w:szCs w:val="21"/>
        </w:rPr>
      </w:pPr>
    </w:p>
    <w:p w14:paraId="4D633E33">
      <w:pPr>
        <w:widowControl/>
        <w:jc w:val="center"/>
        <w:rPr>
          <w:rFonts w:ascii="黑体" w:hAnsi="黑体" w:eastAsia="黑体" w:cs="黑体"/>
          <w:bCs/>
          <w:szCs w:val="21"/>
        </w:rPr>
      </w:pPr>
      <w:r>
        <w:rPr>
          <w:rFonts w:hint="eastAsia" w:ascii="黑体" w:hAnsi="黑体" w:eastAsia="黑体" w:cs="黑体"/>
          <w:bCs/>
          <w:szCs w:val="21"/>
        </w:rPr>
        <w:t>附 录B</w:t>
      </w:r>
    </w:p>
    <w:p w14:paraId="698197CE">
      <w:pPr>
        <w:pStyle w:val="49"/>
      </w:pPr>
      <w:r>
        <w:rPr>
          <w:b/>
          <w:bCs/>
        </w:rPr>
        <w:t>LABC 可手术性评估要点</w:t>
      </w:r>
    </w:p>
    <w:tbl>
      <w:tblPr>
        <w:tblStyle w:val="60"/>
        <w:tblW w:w="7214" w:type="dxa"/>
        <w:tblInd w:w="0" w:type="dxa"/>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Layout w:type="autofit"/>
        <w:tblCellMar>
          <w:top w:w="0" w:type="dxa"/>
          <w:left w:w="108" w:type="dxa"/>
          <w:bottom w:w="0" w:type="dxa"/>
          <w:right w:w="108" w:type="dxa"/>
        </w:tblCellMar>
      </w:tblPr>
      <w:tblGrid>
        <w:gridCol w:w="1545"/>
        <w:gridCol w:w="5669"/>
      </w:tblGrid>
      <w:tr w14:paraId="0325C9E1">
        <w:tblPrEx>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Ex>
        <w:trPr>
          <w:trHeight w:val="371" w:hRule="atLeast"/>
        </w:trPr>
        <w:tc>
          <w:tcPr>
            <w:tcW w:w="0" w:type="auto"/>
            <w:tcBorders>
              <w:top w:val="single" w:color="auto" w:sz="4" w:space="0"/>
              <w:left w:val="single" w:color="auto" w:sz="4" w:space="0"/>
              <w:bottom w:val="single" w:color="auto" w:sz="4" w:space="0"/>
              <w:right w:val="nil"/>
              <w:insideV w:val="nil"/>
            </w:tcBorders>
            <w:shd w:val="clear" w:color="auto" w:fill="FFFFFF" w:themeFill="background1"/>
          </w:tcPr>
          <w:p w14:paraId="5768C6DD">
            <w:pPr>
              <w:widowControl/>
              <w:jc w:val="left"/>
              <w:rPr>
                <w:rFonts w:ascii="黑体" w:hAnsi="黑体" w:eastAsia="黑体" w:cs="黑体"/>
                <w:b/>
                <w:bCs/>
                <w:szCs w:val="21"/>
              </w:rPr>
            </w:pPr>
            <w:r>
              <w:rPr>
                <w:rFonts w:ascii="黑体" w:hAnsi="黑体" w:eastAsia="黑体" w:cs="黑体"/>
                <w:b/>
                <w:bCs/>
                <w:szCs w:val="21"/>
              </w:rPr>
              <w:t>评估维度</w:t>
            </w:r>
          </w:p>
        </w:tc>
        <w:tc>
          <w:tcPr>
            <w:tcW w:w="0" w:type="auto"/>
            <w:tcBorders>
              <w:top w:val="single" w:color="auto" w:sz="4" w:space="0"/>
              <w:left w:val="single" w:color="auto" w:sz="4" w:space="0"/>
              <w:bottom w:val="single" w:color="auto" w:sz="4" w:space="0"/>
              <w:right w:val="single" w:color="auto" w:sz="4" w:space="0"/>
              <w:insideV w:val="nil"/>
            </w:tcBorders>
            <w:shd w:val="clear" w:color="auto" w:fill="FFFFFF" w:themeFill="background1"/>
          </w:tcPr>
          <w:p w14:paraId="69A1E6F2">
            <w:pPr>
              <w:widowControl/>
              <w:jc w:val="left"/>
              <w:rPr>
                <w:rFonts w:ascii="黑体" w:hAnsi="黑体" w:eastAsia="黑体" w:cs="黑体"/>
                <w:b/>
                <w:bCs/>
                <w:szCs w:val="21"/>
              </w:rPr>
            </w:pPr>
            <w:r>
              <w:rPr>
                <w:rFonts w:ascii="黑体" w:hAnsi="黑体" w:eastAsia="黑体" w:cs="黑体"/>
                <w:b/>
                <w:bCs/>
                <w:szCs w:val="21"/>
              </w:rPr>
              <w:t>核心要点</w:t>
            </w:r>
          </w:p>
        </w:tc>
      </w:tr>
      <w:tr w14:paraId="1E0166E3">
        <w:tblPrEx>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Ex>
        <w:trPr>
          <w:trHeight w:val="371" w:hRule="atLeast"/>
        </w:trPr>
        <w:tc>
          <w:tcPr>
            <w:tcW w:w="0" w:type="auto"/>
            <w:tcBorders>
              <w:top w:val="single" w:color="auto" w:sz="4" w:space="0"/>
              <w:left w:val="single" w:color="auto" w:sz="4" w:space="0"/>
              <w:right w:val="single" w:color="auto" w:sz="4" w:space="0"/>
            </w:tcBorders>
            <w:shd w:val="clear" w:color="auto" w:fill="DEEAF6" w:themeFill="accent5" w:themeFillTint="33"/>
          </w:tcPr>
          <w:p w14:paraId="5BBE68CB">
            <w:pPr>
              <w:widowControl/>
              <w:jc w:val="left"/>
              <w:rPr>
                <w:rFonts w:ascii="黑体" w:hAnsi="黑体" w:eastAsia="黑体" w:cs="黑体"/>
                <w:b/>
                <w:bCs/>
                <w:szCs w:val="21"/>
              </w:rPr>
            </w:pPr>
            <w:r>
              <w:rPr>
                <w:rFonts w:ascii="黑体" w:hAnsi="黑体" w:eastAsia="黑体" w:cs="黑体"/>
                <w:b/>
                <w:bCs/>
                <w:szCs w:val="21"/>
              </w:rPr>
              <w:t>乳房局部</w:t>
            </w:r>
          </w:p>
        </w:tc>
        <w:tc>
          <w:tcPr>
            <w:tcW w:w="0" w:type="auto"/>
            <w:tcBorders>
              <w:top w:val="single" w:color="auto" w:sz="4" w:space="0"/>
              <w:left w:val="single" w:color="auto" w:sz="4" w:space="0"/>
              <w:right w:val="single" w:color="auto" w:sz="4" w:space="0"/>
            </w:tcBorders>
            <w:shd w:val="clear" w:color="auto" w:fill="DEEAF6" w:themeFill="accent5" w:themeFillTint="33"/>
          </w:tcPr>
          <w:p w14:paraId="32C72C76">
            <w:pPr>
              <w:widowControl/>
              <w:jc w:val="left"/>
              <w:rPr>
                <w:rFonts w:ascii="黑体" w:hAnsi="黑体" w:eastAsia="黑体" w:cs="黑体"/>
                <w:bCs/>
                <w:szCs w:val="21"/>
              </w:rPr>
            </w:pPr>
            <w:r>
              <w:rPr>
                <w:rFonts w:ascii="黑体" w:hAnsi="黑体" w:eastAsia="黑体" w:cs="黑体"/>
                <w:bCs/>
                <w:szCs w:val="21"/>
              </w:rPr>
              <w:t>皮肤受累是否 ≤ 1/4；是否可完整切除</w:t>
            </w:r>
          </w:p>
        </w:tc>
      </w:tr>
      <w:tr w14:paraId="586C8A6F">
        <w:tblPrEx>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Ex>
        <w:trPr>
          <w:trHeight w:val="348" w:hRule="atLeast"/>
        </w:trPr>
        <w:tc>
          <w:tcPr>
            <w:tcW w:w="0" w:type="auto"/>
            <w:tcBorders>
              <w:left w:val="single" w:color="auto" w:sz="4" w:space="0"/>
              <w:right w:val="single" w:color="auto" w:sz="4" w:space="0"/>
            </w:tcBorders>
          </w:tcPr>
          <w:p w14:paraId="36D4D8E6">
            <w:pPr>
              <w:widowControl/>
              <w:jc w:val="left"/>
              <w:rPr>
                <w:rFonts w:ascii="黑体" w:hAnsi="黑体" w:eastAsia="黑体" w:cs="黑体"/>
                <w:b/>
                <w:bCs/>
                <w:szCs w:val="21"/>
              </w:rPr>
            </w:pPr>
            <w:r>
              <w:rPr>
                <w:rFonts w:ascii="黑体" w:hAnsi="黑体" w:eastAsia="黑体" w:cs="黑体"/>
                <w:b/>
                <w:bCs/>
                <w:szCs w:val="21"/>
              </w:rPr>
              <w:t>胸壁</w:t>
            </w:r>
          </w:p>
        </w:tc>
        <w:tc>
          <w:tcPr>
            <w:tcW w:w="0" w:type="auto"/>
            <w:tcBorders>
              <w:left w:val="single" w:color="auto" w:sz="4" w:space="0"/>
              <w:right w:val="single" w:color="auto" w:sz="4" w:space="0"/>
            </w:tcBorders>
          </w:tcPr>
          <w:p w14:paraId="1E91BF81">
            <w:pPr>
              <w:widowControl/>
              <w:jc w:val="left"/>
              <w:rPr>
                <w:rFonts w:ascii="黑体" w:hAnsi="黑体" w:eastAsia="黑体" w:cs="黑体"/>
                <w:bCs/>
                <w:szCs w:val="21"/>
              </w:rPr>
            </w:pPr>
            <w:r>
              <w:rPr>
                <w:rFonts w:ascii="黑体" w:hAnsi="黑体" w:eastAsia="黑体" w:cs="黑体"/>
                <w:bCs/>
                <w:szCs w:val="21"/>
              </w:rPr>
              <w:t>是否固定、侵及胸壁或胸膜</w:t>
            </w:r>
          </w:p>
        </w:tc>
      </w:tr>
      <w:tr w14:paraId="29925073">
        <w:tblPrEx>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Ex>
        <w:trPr>
          <w:trHeight w:val="371" w:hRule="atLeast"/>
        </w:trPr>
        <w:tc>
          <w:tcPr>
            <w:tcW w:w="0" w:type="auto"/>
            <w:tcBorders>
              <w:left w:val="single" w:color="auto" w:sz="4" w:space="0"/>
              <w:right w:val="single" w:color="auto" w:sz="4" w:space="0"/>
            </w:tcBorders>
            <w:shd w:val="clear" w:color="auto" w:fill="DEEAF6" w:themeFill="accent5" w:themeFillTint="33"/>
          </w:tcPr>
          <w:p w14:paraId="5707A49B">
            <w:pPr>
              <w:widowControl/>
              <w:jc w:val="left"/>
              <w:rPr>
                <w:rFonts w:ascii="黑体" w:hAnsi="黑体" w:eastAsia="黑体" w:cs="黑体"/>
                <w:b/>
                <w:bCs/>
                <w:szCs w:val="21"/>
              </w:rPr>
            </w:pPr>
            <w:r>
              <w:rPr>
                <w:rFonts w:ascii="黑体" w:hAnsi="黑体" w:eastAsia="黑体" w:cs="黑体"/>
                <w:b/>
                <w:bCs/>
                <w:szCs w:val="21"/>
              </w:rPr>
              <w:t>腋窝</w:t>
            </w:r>
          </w:p>
        </w:tc>
        <w:tc>
          <w:tcPr>
            <w:tcW w:w="0" w:type="auto"/>
            <w:tcBorders>
              <w:left w:val="single" w:color="auto" w:sz="4" w:space="0"/>
              <w:right w:val="single" w:color="auto" w:sz="4" w:space="0"/>
            </w:tcBorders>
            <w:shd w:val="clear" w:color="auto" w:fill="DEEAF6" w:themeFill="accent5" w:themeFillTint="33"/>
          </w:tcPr>
          <w:p w14:paraId="5B42B7CE">
            <w:pPr>
              <w:widowControl/>
              <w:jc w:val="left"/>
              <w:rPr>
                <w:rFonts w:ascii="黑体" w:hAnsi="黑体" w:eastAsia="黑体" w:cs="黑体"/>
                <w:bCs/>
                <w:szCs w:val="21"/>
              </w:rPr>
            </w:pPr>
            <w:r>
              <w:rPr>
                <w:rFonts w:ascii="黑体" w:hAnsi="黑体" w:eastAsia="黑体" w:cs="黑体"/>
                <w:bCs/>
                <w:szCs w:val="21"/>
              </w:rPr>
              <w:t>淋巴结是否融合、是否包绕腋静脉</w:t>
            </w:r>
          </w:p>
        </w:tc>
      </w:tr>
      <w:tr w14:paraId="0476B3EC">
        <w:tblPrEx>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Ex>
        <w:trPr>
          <w:trHeight w:val="371" w:hRule="atLeast"/>
        </w:trPr>
        <w:tc>
          <w:tcPr>
            <w:tcW w:w="0" w:type="auto"/>
            <w:tcBorders>
              <w:left w:val="single" w:color="auto" w:sz="4" w:space="0"/>
              <w:right w:val="single" w:color="auto" w:sz="4" w:space="0"/>
            </w:tcBorders>
          </w:tcPr>
          <w:p w14:paraId="6D2513DB">
            <w:pPr>
              <w:widowControl/>
              <w:jc w:val="left"/>
              <w:rPr>
                <w:rFonts w:ascii="黑体" w:hAnsi="黑体" w:eastAsia="黑体" w:cs="黑体"/>
                <w:b/>
                <w:bCs/>
                <w:szCs w:val="21"/>
              </w:rPr>
            </w:pPr>
            <w:r>
              <w:rPr>
                <w:rFonts w:ascii="黑体" w:hAnsi="黑体" w:eastAsia="黑体" w:cs="黑体"/>
                <w:b/>
                <w:bCs/>
                <w:szCs w:val="21"/>
              </w:rPr>
              <w:t>锁骨区</w:t>
            </w:r>
          </w:p>
        </w:tc>
        <w:tc>
          <w:tcPr>
            <w:tcW w:w="0" w:type="auto"/>
            <w:tcBorders>
              <w:left w:val="single" w:color="auto" w:sz="4" w:space="0"/>
              <w:right w:val="single" w:color="auto" w:sz="4" w:space="0"/>
            </w:tcBorders>
          </w:tcPr>
          <w:p w14:paraId="4277AEB8">
            <w:pPr>
              <w:widowControl/>
              <w:jc w:val="left"/>
              <w:rPr>
                <w:rFonts w:ascii="黑体" w:hAnsi="黑体" w:eastAsia="黑体" w:cs="黑体"/>
                <w:bCs/>
                <w:szCs w:val="21"/>
              </w:rPr>
            </w:pPr>
            <w:r>
              <w:rPr>
                <w:rFonts w:ascii="黑体" w:hAnsi="黑体" w:eastAsia="黑体" w:cs="黑体"/>
                <w:bCs/>
                <w:szCs w:val="21"/>
              </w:rPr>
              <w:t>是否可通过手术或放疗控制</w:t>
            </w:r>
          </w:p>
        </w:tc>
      </w:tr>
      <w:tr w14:paraId="5C642FA7">
        <w:tblPrEx>
          <w:tblBorders>
            <w:top w:val="single" w:color="9CC2E5" w:themeColor="accent5" w:themeTint="99" w:sz="2" w:space="0"/>
            <w:left w:val="none" w:color="auto" w:sz="0" w:space="0"/>
            <w:bottom w:val="single" w:color="9CC2E5" w:themeColor="accent5" w:themeTint="99" w:sz="2" w:space="0"/>
            <w:right w:val="none" w:color="auto" w:sz="0"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Ex>
        <w:trPr>
          <w:trHeight w:val="348" w:hRule="atLeast"/>
        </w:trPr>
        <w:tc>
          <w:tcPr>
            <w:tcW w:w="0" w:type="auto"/>
            <w:tcBorders>
              <w:left w:val="single" w:color="auto" w:sz="4" w:space="0"/>
              <w:bottom w:val="single" w:color="auto" w:sz="4" w:space="0"/>
              <w:right w:val="single" w:color="auto" w:sz="4" w:space="0"/>
            </w:tcBorders>
            <w:shd w:val="clear" w:color="auto" w:fill="DEEAF6" w:themeFill="accent5" w:themeFillTint="33"/>
          </w:tcPr>
          <w:p w14:paraId="58E10780">
            <w:pPr>
              <w:widowControl/>
              <w:jc w:val="left"/>
              <w:rPr>
                <w:rFonts w:ascii="黑体" w:hAnsi="黑体" w:eastAsia="黑体" w:cs="黑体"/>
                <w:b/>
                <w:bCs/>
                <w:szCs w:val="21"/>
              </w:rPr>
            </w:pPr>
            <w:r>
              <w:rPr>
                <w:rFonts w:ascii="黑体" w:hAnsi="黑体" w:eastAsia="黑体" w:cs="黑体"/>
                <w:b/>
                <w:bCs/>
                <w:szCs w:val="21"/>
              </w:rPr>
              <w:t>全身评估</w:t>
            </w:r>
          </w:p>
        </w:tc>
        <w:tc>
          <w:tcPr>
            <w:tcW w:w="0" w:type="auto"/>
            <w:tcBorders>
              <w:left w:val="single" w:color="auto" w:sz="4" w:space="0"/>
              <w:bottom w:val="single" w:color="auto" w:sz="4" w:space="0"/>
              <w:right w:val="single" w:color="auto" w:sz="4" w:space="0"/>
            </w:tcBorders>
            <w:shd w:val="clear" w:color="auto" w:fill="DEEAF6" w:themeFill="accent5" w:themeFillTint="33"/>
          </w:tcPr>
          <w:p w14:paraId="4BE99E21">
            <w:pPr>
              <w:widowControl/>
              <w:jc w:val="left"/>
              <w:rPr>
                <w:rFonts w:ascii="黑体" w:hAnsi="黑体" w:eastAsia="黑体" w:cs="黑体"/>
                <w:bCs/>
                <w:szCs w:val="21"/>
              </w:rPr>
            </w:pPr>
            <w:r>
              <w:rPr>
                <w:rFonts w:ascii="黑体" w:hAnsi="黑体" w:eastAsia="黑体" w:cs="黑体"/>
                <w:bCs/>
                <w:szCs w:val="21"/>
              </w:rPr>
              <w:t>是否排除远处转移</w:t>
            </w:r>
          </w:p>
        </w:tc>
      </w:tr>
    </w:tbl>
    <w:p w14:paraId="2BDF4578">
      <w:pPr>
        <w:widowControl/>
        <w:jc w:val="left"/>
        <w:rPr>
          <w:rFonts w:ascii="黑体" w:hAnsi="黑体" w:eastAsia="黑体" w:cs="黑体"/>
          <w:bCs/>
          <w:szCs w:val="21"/>
        </w:rPr>
      </w:pPr>
    </w:p>
    <w:p w14:paraId="4500E6AF">
      <w:pPr>
        <w:widowControl/>
        <w:jc w:val="center"/>
        <w:rPr>
          <w:rFonts w:ascii="宋体" w:hAnsi="宋体" w:eastAsia="宋体" w:cs="Times New Roman"/>
          <w:bCs/>
          <w:szCs w:val="21"/>
        </w:rPr>
      </w:pPr>
      <w:r>
        <w:rPr>
          <w:rFonts w:ascii="宋体" w:hAnsi="宋体" w:eastAsia="宋体" w:cs="Times New Roman"/>
          <w:bCs/>
          <w:szCs w:val="21"/>
        </w:rPr>
        <w:br w:type="page"/>
      </w:r>
    </w:p>
    <w:p w14:paraId="4E9EA203">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63CA83DA">
      <w:pPr>
        <w:pStyle w:val="61"/>
        <w:numPr>
          <w:ilvl w:val="0"/>
          <w:numId w:val="4"/>
        </w:numPr>
        <w:spacing w:line="360" w:lineRule="auto"/>
        <w:ind w:left="360" w:leftChars="0" w:hanging="360" w:firstLineChars="0"/>
        <w:rPr>
          <w:rFonts w:ascii="宋体" w:hAnsi="宋体" w:eastAsia="宋体" w:cs="Times New Roman"/>
          <w:bCs/>
          <w:szCs w:val="21"/>
        </w:rPr>
      </w:pPr>
      <w:r>
        <w:rPr>
          <w:rFonts w:ascii="宋体" w:hAnsi="宋体" w:eastAsia="宋体" w:cs="Times New Roman"/>
          <w:bCs/>
          <w:szCs w:val="21"/>
        </w:rPr>
        <w:t>中国抗癌协会乳腺癌专业委员会, 中华医学会肿瘤学分会乳腺肿瘤学组. 中国抗癌协会乳腺癌诊治指南与规范(2024年版). Guidelines for breast cancer diagnosis and treatment by China Anti-cancer Association (2024 edition)[J]. 2023, PMID: NA. Doi:10.19401/j.cnki.1007-3639.2023.12.004.</w:t>
      </w:r>
    </w:p>
    <w:p w14:paraId="52599134">
      <w:pPr>
        <w:pStyle w:val="61"/>
        <w:numPr>
          <w:ilvl w:val="0"/>
          <w:numId w:val="4"/>
        </w:numPr>
        <w:spacing w:line="360" w:lineRule="auto"/>
        <w:ind w:left="360" w:leftChars="0" w:hanging="360" w:firstLineChars="0"/>
        <w:rPr>
          <w:rFonts w:ascii="宋体" w:hAnsi="宋体" w:eastAsia="宋体" w:cs="Times New Roman"/>
          <w:bCs/>
          <w:szCs w:val="21"/>
        </w:rPr>
      </w:pPr>
      <w:r>
        <w:rPr>
          <w:rFonts w:hint="eastAsia" w:ascii="宋体" w:hAnsi="宋体" w:eastAsia="宋体" w:cs="PingFang SC"/>
          <w:color w:val="000000"/>
          <w:kern w:val="0"/>
          <w:szCs w:val="21"/>
        </w:rPr>
        <w:t>中国研究型医院学会乳腺专业委员会</w:t>
      </w:r>
      <w:r>
        <w:rPr>
          <w:rFonts w:ascii="宋体" w:hAnsi="宋体" w:eastAsia="宋体" w:cs="Helvetica"/>
          <w:color w:val="000000"/>
          <w:kern w:val="0"/>
          <w:szCs w:val="21"/>
        </w:rPr>
        <w:t xml:space="preserve">, </w:t>
      </w:r>
      <w:r>
        <w:rPr>
          <w:rFonts w:hint="eastAsia" w:ascii="宋体" w:hAnsi="宋体" w:eastAsia="宋体" w:cs="PingFang SC"/>
          <w:color w:val="000000"/>
          <w:kern w:val="0"/>
          <w:szCs w:val="21"/>
        </w:rPr>
        <w:t>中国女性局部晚期乳腺癌诊疗专家组</w:t>
      </w:r>
      <w:r>
        <w:rPr>
          <w:rFonts w:ascii="宋体" w:hAnsi="宋体" w:eastAsia="宋体" w:cs="Helvetica"/>
          <w:color w:val="000000"/>
          <w:kern w:val="0"/>
          <w:szCs w:val="21"/>
        </w:rPr>
        <w:t xml:space="preserve">. </w:t>
      </w:r>
      <w:r>
        <w:rPr>
          <w:rFonts w:hint="eastAsia" w:ascii="宋体" w:hAnsi="宋体" w:eastAsia="宋体" w:cs="PingFang SC"/>
          <w:color w:val="000000"/>
          <w:kern w:val="0"/>
          <w:szCs w:val="21"/>
        </w:rPr>
        <w:t>中国女性局部晚期乳腺癌诊疗专家共识</w:t>
      </w:r>
      <w:r>
        <w:rPr>
          <w:rFonts w:ascii="宋体" w:hAnsi="宋体" w:eastAsia="宋体" w:cs="Helvetica"/>
          <w:color w:val="000000"/>
          <w:kern w:val="0"/>
          <w:szCs w:val="21"/>
        </w:rPr>
        <w:t>(2025</w:t>
      </w:r>
      <w:r>
        <w:rPr>
          <w:rFonts w:hint="eastAsia" w:ascii="宋体" w:hAnsi="宋体" w:eastAsia="宋体" w:cs="PingFang SC"/>
          <w:color w:val="000000"/>
          <w:kern w:val="0"/>
          <w:szCs w:val="21"/>
        </w:rPr>
        <w:t>年版</w:t>
      </w:r>
      <w:r>
        <w:rPr>
          <w:rFonts w:ascii="宋体" w:hAnsi="宋体" w:eastAsia="宋体" w:cs="Helvetica"/>
          <w:color w:val="000000"/>
          <w:kern w:val="0"/>
          <w:szCs w:val="21"/>
        </w:rPr>
        <w:t>)</w:t>
      </w:r>
      <w:r>
        <w:rPr>
          <w:rFonts w:ascii="宋体" w:hAnsi="宋体" w:eastAsia="宋体" w:cs="PingFang SC"/>
          <w:color w:val="000000"/>
          <w:kern w:val="0"/>
          <w:szCs w:val="21"/>
        </w:rPr>
        <w:t>[J]</w:t>
      </w:r>
      <w:r>
        <w:rPr>
          <w:rFonts w:ascii="宋体" w:hAnsi="宋体" w:eastAsia="宋体" w:cs="Helvetica"/>
          <w:color w:val="000000"/>
          <w:kern w:val="0"/>
          <w:szCs w:val="21"/>
        </w:rPr>
        <w:t xml:space="preserve">. </w:t>
      </w:r>
      <w:r>
        <w:rPr>
          <w:rFonts w:hint="eastAsia" w:ascii="宋体" w:hAnsi="宋体" w:eastAsia="宋体" w:cs="PingFang SC"/>
          <w:color w:val="000000"/>
          <w:kern w:val="0"/>
          <w:szCs w:val="21"/>
        </w:rPr>
        <w:t>中国研究型医院（中英文）</w:t>
      </w:r>
      <w:r>
        <w:rPr>
          <w:rFonts w:ascii="宋体" w:hAnsi="宋体" w:eastAsia="宋体" w:cs="Helvetica"/>
          <w:color w:val="000000"/>
          <w:kern w:val="0"/>
          <w:szCs w:val="21"/>
        </w:rPr>
        <w:t>, 2025, 12:1-10. PMID: NA. Doi: 10.19450/j.cnki.jcrh.2025.03.001.</w:t>
      </w:r>
    </w:p>
    <w:p w14:paraId="3C516EEA">
      <w:pPr>
        <w:pStyle w:val="61"/>
        <w:numPr>
          <w:ilvl w:val="0"/>
          <w:numId w:val="4"/>
        </w:numPr>
        <w:spacing w:line="360" w:lineRule="auto"/>
        <w:ind w:left="360" w:leftChars="0" w:hanging="360" w:firstLineChars="0"/>
        <w:rPr>
          <w:rFonts w:ascii="宋体" w:hAnsi="宋体" w:eastAsia="宋体" w:cs="Times New Roman"/>
          <w:bCs/>
          <w:szCs w:val="21"/>
        </w:rPr>
      </w:pPr>
      <w:r>
        <w:rPr>
          <w:rFonts w:ascii="宋体" w:hAnsi="宋体" w:eastAsia="宋体" w:cs="Times New Roman"/>
          <w:bCs/>
          <w:szCs w:val="21"/>
        </w:rPr>
        <w:t>国家肿瘤质控中心乳腺癌专家委员会, 中国抗癌协会乳腺癌专业委员会, 中国抗癌协会肿瘤药物临床研究专业委员会. 中国晚期乳腺癌规范诊疗指南（2024版）[J]. 中华肿瘤杂志, 2024, 46(12): 1079-1106. DOI: 10.3760/cma.j.cn112152-20241009-00435</w:t>
      </w:r>
    </w:p>
    <w:p w14:paraId="4FA479E7">
      <w:pPr>
        <w:pStyle w:val="61"/>
        <w:numPr>
          <w:ilvl w:val="0"/>
          <w:numId w:val="4"/>
        </w:numPr>
        <w:spacing w:line="360" w:lineRule="auto"/>
        <w:ind w:left="360" w:leftChars="0" w:hanging="360" w:firstLineChars="0"/>
        <w:rPr>
          <w:rFonts w:ascii="宋体" w:hAnsi="宋体" w:eastAsia="宋体" w:cs="Times New Roman"/>
          <w:bCs/>
          <w:szCs w:val="21"/>
        </w:rPr>
      </w:pPr>
      <w:r>
        <w:rPr>
          <w:rFonts w:ascii="宋体" w:hAnsi="宋体" w:eastAsia="宋体" w:cs="Helvetica"/>
          <w:color w:val="000000"/>
          <w:kern w:val="0"/>
          <w:szCs w:val="21"/>
        </w:rPr>
        <w:t>Giuliano AE, Edge SB, Hortobagyi GN. Eighth Edition of the AJCC Cancer Staging Manual: Breast Cancer</w:t>
      </w:r>
      <w:r>
        <w:rPr>
          <w:rFonts w:ascii="宋体" w:hAnsi="宋体" w:eastAsia="宋体" w:cs="PingFang SC"/>
          <w:color w:val="000000"/>
          <w:kern w:val="0"/>
          <w:szCs w:val="21"/>
        </w:rPr>
        <w:t>[J]</w:t>
      </w:r>
      <w:r>
        <w:rPr>
          <w:rFonts w:ascii="宋体" w:hAnsi="宋体" w:eastAsia="宋体" w:cs="Helvetica"/>
          <w:color w:val="000000"/>
          <w:kern w:val="0"/>
          <w:szCs w:val="21"/>
        </w:rPr>
        <w:t>. Ann Surg Oncol, 2018, 25:1783-5. PMID: Doi:10.1245/s10434-018-6486-6.</w:t>
      </w:r>
    </w:p>
    <w:p w14:paraId="6A21B44A">
      <w:pPr>
        <w:pStyle w:val="61"/>
        <w:numPr>
          <w:ilvl w:val="0"/>
          <w:numId w:val="4"/>
        </w:numPr>
        <w:spacing w:line="360" w:lineRule="auto"/>
        <w:ind w:left="360" w:leftChars="0" w:hanging="360" w:firstLineChars="0"/>
        <w:rPr>
          <w:rFonts w:ascii="宋体" w:hAnsi="宋体" w:eastAsia="宋体" w:cs="Times New Roman"/>
          <w:bCs/>
          <w:szCs w:val="21"/>
        </w:rPr>
      </w:pPr>
      <w:r>
        <w:rPr>
          <w:rFonts w:hint="eastAsia" w:ascii="宋体" w:hAnsi="宋体" w:eastAsia="宋体"/>
          <w:szCs w:val="21"/>
        </w:rPr>
        <mc:AlternateContent>
          <mc:Choice Requires="wps">
            <w:drawing>
              <wp:anchor distT="0" distB="0" distL="114300" distR="114300" simplePos="0" relativeHeight="251662336" behindDoc="0" locked="0" layoutInCell="1" allowOverlap="1">
                <wp:simplePos x="0" y="0"/>
                <wp:positionH relativeFrom="column">
                  <wp:posOffset>2243455</wp:posOffset>
                </wp:positionH>
                <wp:positionV relativeFrom="page">
                  <wp:posOffset>6831330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6.65pt;margin-top:537.9pt;height:0.2pt;width:108pt;mso-position-vertical-relative:page;z-index:251662336;mso-width-relative:page;mso-height-relative:page;" filled="f" stroked="t" coordsize="21600,21600" o:gfxdata="UEsDBAoAAAAAAIdO4kAAAAAAAAAAAAAAAAAEAAAAZHJzL1BLAwQUAAAACACHTuJAYIkyhtkAAAAN&#10;AQAADwAAAGRycy9kb3ducmV2LnhtbE2PQU+DQBCF7yb+h82YeLNLS4BKWXow8WBioqIHj1t2ClR2&#10;Ftkt4L939KLHee/lzfeK/WJ7MeHoO0cK1qsIBFLtTEeNgrfX+5stCB80Gd07QgVf6GFfXl4UOjdu&#10;phecqtAILiGfawVtCEMupa9btNqv3IDE3tGNVgc+x0aaUc9cbnu5iaJUWt0Rf2j1gHct1h/V2XIL&#10;ZZ/HpR/fn58e2201n/BhylCp66t1tAMRcAl/YfjBZ3QomengzmS86BXESRxzlI0oS3gER5L0lqXD&#10;r5RuQJaF/L+i/AZQSwMEFAAAAAgAh07iQIOG8jHmAQAAtgMAAA4AAABkcnMvZTJvRG9jLnhtbK1T&#10;zW4TMRC+I/EOlu9kk5SGapVND43KBUEk4AEmXnvXkv/kcbPJS/ACSNzgxJE7b0P7GIy9IS3l0gN7&#10;8I7n5xt/n8fLy701bCcjau8aPptMOZNO+Fa7ruEfP1y/uOAME7gWjHey4QeJ/HL1/NlyCLWc+96b&#10;VkZGIA7rITS8TynUVYWilxZw4oN0FFQ+Wki0jV3VRhgI3ZpqPp0uqsHHNkQvJCJ512OQHxHjUwC9&#10;UlrItRc3Vro0okZpIBEl7HVAviqnVUqK9E4plImZhhPTVFZqQvY2r9VqCXUXIfRaHI8ATznCI04W&#10;tKOmJ6g1JGA3Uf8DZbWIHr1KE+FtNRIpihCL2fSRNu97CLJwIakxnETH/wcr3u42kem24XOSxIGl&#10;G7/9/OPXp693P7/Qevv9G6MIyTQErCn7ym3icYdhEzPnvYo2/4kN2xdpDydp5T4xQc7Z2avZYkot&#10;BMXm5y8LZHVfGyKm19Jblo2GG+0ycahh9wYT9aPUPynZ7fy1NqZcnnFsaPji7DyDAw2kokEg0wYi&#10;ha7jDExHky5SLIjojW5zdcbB2G2vTGQ7yPNRvsyVuv2VlluvAfsxr4TGybE60WMw2jb84mG1cQSS&#10;FRs1ytbWt4ciXfHTdZY2x9HL8/JwX6rvn9v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CJMobZ&#10;AAAADQEAAA8AAAAAAAAAAQAgAAAAIgAAAGRycy9kb3ducmV2LnhtbFBLAQIUABQAAAAIAIdO4kCD&#10;hvIx5gEAALYDAAAOAAAAAAAAAAEAIAAAACgBAABkcnMvZTJvRG9jLnhtbFBLBQYAAAAABgAGAFkB&#10;AACABQAAAAA=&#10;">
                <v:fill on="f" focussize="0,0"/>
                <v:stroke weight="0.5pt" color="#000000 [3200]" miterlimit="8" joinstyle="miter"/>
                <v:imagedata o:title=""/>
                <o:lock v:ext="edit" aspectratio="f"/>
              </v:line>
            </w:pict>
          </mc:Fallback>
        </mc:AlternateContent>
      </w:r>
      <w:r>
        <w:rPr>
          <w:rFonts w:ascii="宋体" w:hAnsi="宋体" w:eastAsia="宋体" w:cs="Segoe UI"/>
          <w:color w:val="212121"/>
          <w:szCs w:val="21"/>
          <w:shd w:val="clear" w:color="auto" w:fill="FFFFFF"/>
        </w:rPr>
        <w:t>Gradishar WJ, Moran MS, Abraham J, et al. NCCN Guidelines® Insights: Breast Cancer, Version 5.2025. J Natl Compr Canc Netw. 2025;23(11):426-436. doi:10.6</w:t>
      </w:r>
      <w:bookmarkStart w:id="4" w:name="_GoBack"/>
      <w:bookmarkEnd w:id="4"/>
      <w:r>
        <w:rPr>
          <w:rFonts w:ascii="宋体" w:hAnsi="宋体" w:eastAsia="宋体" w:cs="Segoe UI"/>
          <w:color w:val="212121"/>
          <w:szCs w:val="21"/>
          <w:shd w:val="clear" w:color="auto" w:fill="FFFFFF"/>
        </w:rPr>
        <w:t>004/jnccn.2025.0053</w: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 w:name="PingFang SC">
    <w:altName w:val="微软雅黑"/>
    <w:panose1 w:val="00000000000000000000"/>
    <w:charset w:val="86"/>
    <w:family w:val="swiss"/>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4D6E">
    <w:pPr>
      <w:pStyle w:val="7"/>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EAAFE17">
                              <w:pPr>
                                <w:pStyle w:val="7"/>
                                <w:jc w:val="right"/>
                              </w:pPr>
                              <w:r>
                                <w:fldChar w:fldCharType="begin"/>
                              </w:r>
                              <w:r>
                                <w:instrText xml:space="preserve">PAGE   \* MERGEFORMAT</w:instrText>
                              </w:r>
                              <w:r>
                                <w:fldChar w:fldCharType="separate"/>
                              </w:r>
                              <w:r>
                                <w:rPr>
                                  <w:lang w:val="zh-CN"/>
                                </w:rPr>
                                <w:t>15</w:t>
                              </w:r>
                              <w:r>
                                <w:fldChar w:fldCharType="end"/>
                              </w:r>
                            </w:p>
                          </w:sdtContent>
                        </w:sdt>
                        <w:p w14:paraId="30E2A8D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6EAAFE17">
                        <w:pPr>
                          <w:pStyle w:val="7"/>
                          <w:jc w:val="right"/>
                        </w:pPr>
                        <w:r>
                          <w:fldChar w:fldCharType="begin"/>
                        </w:r>
                        <w:r>
                          <w:instrText xml:space="preserve">PAGE   \* MERGEFORMAT</w:instrText>
                        </w:r>
                        <w:r>
                          <w:fldChar w:fldCharType="separate"/>
                        </w:r>
                        <w:r>
                          <w:rPr>
                            <w:lang w:val="zh-CN"/>
                          </w:rPr>
                          <w:t>15</w:t>
                        </w:r>
                        <w:r>
                          <w:fldChar w:fldCharType="end"/>
                        </w:r>
                      </w:p>
                    </w:sdtContent>
                  </w:sdt>
                  <w:p w14:paraId="30E2A8D3"/>
                </w:txbxContent>
              </v:textbox>
            </v:shape>
          </w:pict>
        </mc:Fallback>
      </mc:AlternateContent>
    </w:r>
  </w:p>
  <w:p w14:paraId="0EF925E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C796">
    <w:pPr>
      <w:pStyle w:val="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A402A">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6A402A">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C87">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ABCFD">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0ABCFD">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EAF1">
    <w:pPr>
      <w:pStyle w:val="7"/>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0AFC">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20A0AFC">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9395">
    <w:pPr>
      <w:pStyle w:val="7"/>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4039">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1A4039">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923B231">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3044">
    <w:pPr>
      <w:pStyle w:val="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E3600">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ABE3600">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CCD2">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DB7EB">
    <w:pPr>
      <w:pStyle w:val="7"/>
      <w:jc w:val="righ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D0A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D3BD0AD">
                    <w:pPr>
                      <w:pStyle w:val="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F77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56F77E3"/>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D191">
    <w:pPr>
      <w:pStyle w:val="7"/>
      <w:tabs>
        <w:tab w:val="clear" w:pos="4153"/>
      </w:tabs>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9600F">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A9600F">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DB87">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D863">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42D9160C">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455E0">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60F60F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1F46">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4FADC3A1">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3D602"/>
    <w:multiLevelType w:val="multilevel"/>
    <w:tmpl w:val="B8B3D602"/>
    <w:lvl w:ilvl="0" w:tentative="0">
      <w:start w:val="1"/>
      <w:numFmt w:val="decimalFullWidth"/>
      <w:lvlText w:val="【%1】"/>
      <w:lvlJc w:val="left"/>
      <w:pPr>
        <w:ind w:left="780" w:hanging="360"/>
      </w:pPr>
      <w:rPr>
        <w:rFonts w:hint="eastAsia" w:ascii="Times New Roman" w:hAnsi="Times New Roman" w:eastAsia="宋体" w:cs="Times New Roman"/>
      </w:rPr>
    </w:lvl>
    <w:lvl w:ilvl="1" w:tentative="0">
      <w:start w:val="1"/>
      <w:numFmt w:val="bullet"/>
      <w:lvlText w:val=""/>
      <w:lvlJc w:val="left"/>
      <w:pPr>
        <w:ind w:left="1300" w:hanging="440"/>
      </w:pPr>
      <w:rPr>
        <w:rFonts w:hint="eastAsia" w:ascii="Wingdings" w:hAnsi="Wingdings"/>
      </w:rPr>
    </w:lvl>
    <w:lvl w:ilvl="2" w:tentative="0">
      <w:start w:val="1"/>
      <w:numFmt w:val="bullet"/>
      <w:lvlText w:val=""/>
      <w:lvlJc w:val="left"/>
      <w:pPr>
        <w:ind w:left="1740" w:hanging="440"/>
      </w:pPr>
      <w:rPr>
        <w:rFonts w:hint="eastAsia" w:ascii="Wingdings" w:hAnsi="Wingdings"/>
      </w:rPr>
    </w:lvl>
    <w:lvl w:ilvl="3" w:tentative="0">
      <w:start w:val="1"/>
      <w:numFmt w:val="bullet"/>
      <w:lvlText w:val=""/>
      <w:lvlJc w:val="left"/>
      <w:pPr>
        <w:ind w:left="2180" w:hanging="440"/>
      </w:pPr>
      <w:rPr>
        <w:rFonts w:hint="eastAsia" w:ascii="Wingdings" w:hAnsi="Wingdings"/>
      </w:rPr>
    </w:lvl>
    <w:lvl w:ilvl="4" w:tentative="0">
      <w:start w:val="1"/>
      <w:numFmt w:val="bullet"/>
      <w:lvlText w:val=""/>
      <w:lvlJc w:val="left"/>
      <w:pPr>
        <w:ind w:left="2620" w:hanging="440"/>
      </w:pPr>
      <w:rPr>
        <w:rFonts w:hint="eastAsia" w:ascii="Wingdings" w:hAnsi="Wingdings"/>
      </w:rPr>
    </w:lvl>
    <w:lvl w:ilvl="5" w:tentative="0">
      <w:start w:val="1"/>
      <w:numFmt w:val="bullet"/>
      <w:lvlText w:val=""/>
      <w:lvlJc w:val="left"/>
      <w:pPr>
        <w:ind w:left="3060" w:hanging="440"/>
      </w:pPr>
      <w:rPr>
        <w:rFonts w:hint="eastAsia" w:ascii="Wingdings" w:hAnsi="Wingdings"/>
      </w:rPr>
    </w:lvl>
    <w:lvl w:ilvl="6" w:tentative="0">
      <w:start w:val="1"/>
      <w:numFmt w:val="bullet"/>
      <w:lvlText w:val=""/>
      <w:lvlJc w:val="left"/>
      <w:pPr>
        <w:ind w:left="3500" w:hanging="440"/>
      </w:pPr>
      <w:rPr>
        <w:rFonts w:hint="eastAsia" w:ascii="Wingdings" w:hAnsi="Wingdings"/>
      </w:rPr>
    </w:lvl>
    <w:lvl w:ilvl="7" w:tentative="0">
      <w:start w:val="1"/>
      <w:numFmt w:val="bullet"/>
      <w:lvlText w:val=""/>
      <w:lvlJc w:val="left"/>
      <w:pPr>
        <w:ind w:left="3940" w:hanging="440"/>
      </w:pPr>
      <w:rPr>
        <w:rFonts w:hint="eastAsia" w:ascii="Wingdings" w:hAnsi="Wingdings"/>
      </w:rPr>
    </w:lvl>
    <w:lvl w:ilvl="8" w:tentative="0">
      <w:start w:val="1"/>
      <w:numFmt w:val="bullet"/>
      <w:lvlText w:val=""/>
      <w:lvlJc w:val="left"/>
      <w:pPr>
        <w:ind w:left="4380" w:hanging="440"/>
      </w:pPr>
      <w:rPr>
        <w:rFonts w:hint="eastAsia" w:ascii="Wingdings" w:hAnsi="Wingdings"/>
      </w:rPr>
    </w:lvl>
  </w:abstractNum>
  <w:abstractNum w:abstractNumId="1">
    <w:nsid w:val="CC5321B7"/>
    <w:multiLevelType w:val="multilevel"/>
    <w:tmpl w:val="CC5321B7"/>
    <w:lvl w:ilvl="0" w:tentative="0">
      <w:start w:val="1"/>
      <w:numFmt w:val="decimalFullWidth"/>
      <w:lvlText w:val="【%1】"/>
      <w:lvlJc w:val="left"/>
      <w:pPr>
        <w:ind w:left="360" w:hanging="360"/>
      </w:pPr>
      <w:rPr>
        <w:rFonts w:hint="eastAsia" w:ascii="Times New Roman" w:hAnsi="Times New Roman" w:eastAsia="宋体" w:cs="Times New Roman"/>
        <w:b w:val="0"/>
        <w:bCs w:val="0"/>
        <w:sz w:val="21"/>
        <w:szCs w:val="21"/>
      </w:rPr>
    </w:lvl>
    <w:lvl w:ilvl="1" w:tentative="0">
      <w:start w:val="1"/>
      <w:numFmt w:val="bullet"/>
      <w:lvlText w:val=""/>
      <w:lvlJc w:val="left"/>
      <w:pPr>
        <w:ind w:left="880" w:hanging="440"/>
      </w:pPr>
      <w:rPr>
        <w:rFonts w:hint="eastAsia" w:ascii="Wingdings" w:hAnsi="Wingdings"/>
      </w:rPr>
    </w:lvl>
    <w:lvl w:ilvl="2" w:tentative="0">
      <w:start w:val="1"/>
      <w:numFmt w:val="bullet"/>
      <w:lvlText w:val=""/>
      <w:lvlJc w:val="left"/>
      <w:pPr>
        <w:ind w:left="1320" w:hanging="440"/>
      </w:pPr>
      <w:rPr>
        <w:rFonts w:hint="eastAsia" w:ascii="Wingdings" w:hAnsi="Wingdings"/>
      </w:rPr>
    </w:lvl>
    <w:lvl w:ilvl="3" w:tentative="0">
      <w:start w:val="1"/>
      <w:numFmt w:val="bullet"/>
      <w:lvlText w:val=""/>
      <w:lvlJc w:val="left"/>
      <w:pPr>
        <w:ind w:left="1760" w:hanging="440"/>
      </w:pPr>
      <w:rPr>
        <w:rFonts w:hint="eastAsia" w:ascii="Wingdings" w:hAnsi="Wingdings"/>
      </w:rPr>
    </w:lvl>
    <w:lvl w:ilvl="4" w:tentative="0">
      <w:start w:val="1"/>
      <w:numFmt w:val="bullet"/>
      <w:lvlText w:val=""/>
      <w:lvlJc w:val="left"/>
      <w:pPr>
        <w:ind w:left="2200" w:hanging="440"/>
      </w:pPr>
      <w:rPr>
        <w:rFonts w:hint="eastAsia" w:ascii="Wingdings" w:hAnsi="Wingdings"/>
      </w:rPr>
    </w:lvl>
    <w:lvl w:ilvl="5" w:tentative="0">
      <w:start w:val="1"/>
      <w:numFmt w:val="bullet"/>
      <w:lvlText w:val=""/>
      <w:lvlJc w:val="left"/>
      <w:pPr>
        <w:ind w:left="2640" w:hanging="440"/>
      </w:pPr>
      <w:rPr>
        <w:rFonts w:hint="eastAsia" w:ascii="Wingdings" w:hAnsi="Wingdings"/>
      </w:rPr>
    </w:lvl>
    <w:lvl w:ilvl="6" w:tentative="0">
      <w:start w:val="1"/>
      <w:numFmt w:val="bullet"/>
      <w:lvlText w:val=""/>
      <w:lvlJc w:val="left"/>
      <w:pPr>
        <w:ind w:left="3080" w:hanging="440"/>
      </w:pPr>
      <w:rPr>
        <w:rFonts w:hint="eastAsia" w:ascii="Wingdings" w:hAnsi="Wingdings"/>
      </w:rPr>
    </w:lvl>
    <w:lvl w:ilvl="7" w:tentative="0">
      <w:start w:val="1"/>
      <w:numFmt w:val="bullet"/>
      <w:lvlText w:val=""/>
      <w:lvlJc w:val="left"/>
      <w:pPr>
        <w:ind w:left="3520" w:hanging="440"/>
      </w:pPr>
      <w:rPr>
        <w:rFonts w:hint="eastAsia" w:ascii="Wingdings" w:hAnsi="Wingdings"/>
      </w:rPr>
    </w:lvl>
    <w:lvl w:ilvl="8" w:tentative="0">
      <w:start w:val="1"/>
      <w:numFmt w:val="bullet"/>
      <w:lvlText w:val=""/>
      <w:lvlJc w:val="left"/>
      <w:pPr>
        <w:ind w:left="3960" w:hanging="440"/>
      </w:pPr>
      <w:rPr>
        <w:rFonts w:hint="eastAsia" w:ascii="Wingdings" w:hAnsi="Wingdings"/>
      </w:rPr>
    </w:lvl>
  </w:abstractNum>
  <w:abstractNum w:abstractNumId="2">
    <w:nsid w:val="FEFAAF5E"/>
    <w:multiLevelType w:val="multilevel"/>
    <w:tmpl w:val="FEFAAF5E"/>
    <w:lvl w:ilvl="0" w:tentative="0">
      <w:start w:val="1"/>
      <w:numFmt w:val="decimal"/>
      <w:pStyle w:val="19"/>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C3994"/>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2F0B"/>
    <w:rsid w:val="002257B9"/>
    <w:rsid w:val="002262E4"/>
    <w:rsid w:val="0022631D"/>
    <w:rsid w:val="00231B51"/>
    <w:rsid w:val="00236E64"/>
    <w:rsid w:val="0024007A"/>
    <w:rsid w:val="00243155"/>
    <w:rsid w:val="00244993"/>
    <w:rsid w:val="00244CDC"/>
    <w:rsid w:val="00245436"/>
    <w:rsid w:val="00247092"/>
    <w:rsid w:val="0025110E"/>
    <w:rsid w:val="00251F14"/>
    <w:rsid w:val="00251F83"/>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55B2"/>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3870"/>
    <w:rsid w:val="0033587F"/>
    <w:rsid w:val="003400F5"/>
    <w:rsid w:val="00343D89"/>
    <w:rsid w:val="00345620"/>
    <w:rsid w:val="00347CB2"/>
    <w:rsid w:val="00351D30"/>
    <w:rsid w:val="00352252"/>
    <w:rsid w:val="003523E1"/>
    <w:rsid w:val="0035267F"/>
    <w:rsid w:val="003527C8"/>
    <w:rsid w:val="00356C7D"/>
    <w:rsid w:val="00360423"/>
    <w:rsid w:val="00361449"/>
    <w:rsid w:val="003616CC"/>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1DCC"/>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0898"/>
    <w:rsid w:val="00711FCA"/>
    <w:rsid w:val="0071225A"/>
    <w:rsid w:val="007176F3"/>
    <w:rsid w:val="00721FF4"/>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BD0"/>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2D83"/>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0209"/>
    <w:rsid w:val="00AB34D1"/>
    <w:rsid w:val="00AB638B"/>
    <w:rsid w:val="00AB7E42"/>
    <w:rsid w:val="00AC053D"/>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ABF"/>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8154DB5"/>
    <w:rsid w:val="1CE61304"/>
    <w:rsid w:val="1D5E7B70"/>
    <w:rsid w:val="1EEB7D15"/>
    <w:rsid w:val="206E0FC8"/>
    <w:rsid w:val="23B02BC5"/>
    <w:rsid w:val="25FE5651"/>
    <w:rsid w:val="26472A30"/>
    <w:rsid w:val="274779FD"/>
    <w:rsid w:val="2ACB3B4E"/>
    <w:rsid w:val="2BD4145B"/>
    <w:rsid w:val="2D5D6C5F"/>
    <w:rsid w:val="2E47409D"/>
    <w:rsid w:val="34803EC8"/>
    <w:rsid w:val="34B9379B"/>
    <w:rsid w:val="35E772E4"/>
    <w:rsid w:val="3EAE7781"/>
    <w:rsid w:val="3F779754"/>
    <w:rsid w:val="3FA78228"/>
    <w:rsid w:val="413A3D72"/>
    <w:rsid w:val="43B12F69"/>
    <w:rsid w:val="4687467B"/>
    <w:rsid w:val="49A2495C"/>
    <w:rsid w:val="4A603B63"/>
    <w:rsid w:val="4BC13157"/>
    <w:rsid w:val="4C303B79"/>
    <w:rsid w:val="5439223A"/>
    <w:rsid w:val="553F0BCB"/>
    <w:rsid w:val="5C696B87"/>
    <w:rsid w:val="5D002955"/>
    <w:rsid w:val="5DAB167E"/>
    <w:rsid w:val="60732830"/>
    <w:rsid w:val="61452CD9"/>
    <w:rsid w:val="63DE1DF7"/>
    <w:rsid w:val="650F518F"/>
    <w:rsid w:val="678D25CA"/>
    <w:rsid w:val="68964C95"/>
    <w:rsid w:val="6C2142DB"/>
    <w:rsid w:val="6D6C01D4"/>
    <w:rsid w:val="6EBBEF1C"/>
    <w:rsid w:val="70120D53"/>
    <w:rsid w:val="701E08C7"/>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link w:val="5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qFormat/>
    <w:uiPriority w:val="1"/>
    <w:pPr>
      <w:spacing w:before="37"/>
      <w:ind w:left="540"/>
    </w:pPr>
    <w:rPr>
      <w:rFonts w:ascii="宋体" w:hAnsi="宋体" w:eastAsia="宋体"/>
      <w:szCs w:val="21"/>
    </w:rPr>
  </w:style>
  <w:style w:type="paragraph" w:styleId="6">
    <w:name w:val="Balloon Text"/>
    <w:basedOn w:val="1"/>
    <w:link w:val="30"/>
    <w:unhideWhenUsed/>
    <w:qFormat/>
    <w:uiPriority w:val="99"/>
    <w:rPr>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4"/>
    <w:next w:val="4"/>
    <w:link w:val="29"/>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autoRedefine/>
    <w:qFormat/>
    <w:uiPriority w:val="20"/>
    <w:rPr>
      <w:i/>
      <w:i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5"/>
    <w:autoRedefine/>
    <w:unhideWhenUsed/>
    <w:qFormat/>
    <w:uiPriority w:val="99"/>
    <w:rPr>
      <w:sz w:val="21"/>
      <w:szCs w:val="21"/>
    </w:rPr>
  </w:style>
  <w:style w:type="paragraph" w:customStyle="1" w:styleId="19">
    <w:name w:val="列出段落1"/>
    <w:basedOn w:val="1"/>
    <w:link w:val="23"/>
    <w:autoRedefine/>
    <w:qFormat/>
    <w:uiPriority w:val="34"/>
    <w:pPr>
      <w:numPr>
        <w:ilvl w:val="0"/>
        <w:numId w:val="1"/>
      </w:numPr>
      <w:spacing w:before="312" w:beforeLines="100" w:after="312" w:afterLines="100"/>
      <w:jc w:val="left"/>
    </w:pPr>
    <w:rPr>
      <w:b/>
      <w:bCs/>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5"/>
    <w:link w:val="19"/>
    <w:autoRedefine/>
    <w:qFormat/>
    <w:uiPriority w:val="34"/>
    <w:rPr>
      <w:rFonts w:asciiTheme="minorHAnsi" w:hAnsiTheme="minorHAnsi" w:eastAsiaTheme="minorEastAsia" w:cstheme="minorBidi"/>
      <w:b/>
      <w:bCs/>
      <w:kern w:val="2"/>
      <w:sz w:val="21"/>
      <w:szCs w:val="22"/>
    </w:rPr>
  </w:style>
  <w:style w:type="character" w:customStyle="1" w:styleId="24">
    <w:name w:val="EndNote Bibliography Title 字符"/>
    <w:basedOn w:val="23"/>
    <w:link w:val="22"/>
    <w:autoRedefine/>
    <w:qFormat/>
    <w:uiPriority w:val="0"/>
    <w:rPr>
      <w:rFonts w:ascii="等线" w:hAnsi="等线" w:eastAsia="等线" w:cstheme="minorBidi"/>
      <w:kern w:val="2"/>
      <w:sz w:val="20"/>
      <w:szCs w:val="22"/>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cstheme="minorBidi"/>
      <w:kern w:val="2"/>
      <w:sz w:val="20"/>
      <w:szCs w:val="22"/>
    </w:rPr>
  </w:style>
  <w:style w:type="character" w:customStyle="1" w:styleId="27">
    <w:name w:val="未处理的提及1"/>
    <w:basedOn w:val="15"/>
    <w:autoRedefine/>
    <w:unhideWhenUsed/>
    <w:qFormat/>
    <w:uiPriority w:val="99"/>
    <w:rPr>
      <w:color w:val="605E5C"/>
      <w:shd w:val="clear" w:color="auto" w:fill="E1DFDD"/>
    </w:rPr>
  </w:style>
  <w:style w:type="character" w:customStyle="1" w:styleId="28">
    <w:name w:val="批注文字 Char"/>
    <w:basedOn w:val="15"/>
    <w:link w:val="4"/>
    <w:autoRedefine/>
    <w:semiHidden/>
    <w:qFormat/>
    <w:uiPriority w:val="99"/>
  </w:style>
  <w:style w:type="character" w:customStyle="1" w:styleId="29">
    <w:name w:val="批注主题 Char"/>
    <w:basedOn w:val="28"/>
    <w:link w:val="12"/>
    <w:autoRedefine/>
    <w:semiHidden/>
    <w:qFormat/>
    <w:uiPriority w:val="99"/>
    <w:rPr>
      <w:b/>
      <w:bCs/>
    </w:rPr>
  </w:style>
  <w:style w:type="character" w:customStyle="1" w:styleId="30">
    <w:name w:val="批注框文本 Char"/>
    <w:basedOn w:val="15"/>
    <w:link w:val="6"/>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Char"/>
    <w:basedOn w:val="15"/>
    <w:link w:val="10"/>
    <w:autoRedefine/>
    <w:semiHidden/>
    <w:qFormat/>
    <w:uiPriority w:val="99"/>
    <w:rPr>
      <w:rFonts w:ascii="宋体" w:hAnsi="宋体" w:eastAsia="宋体" w:cs="宋体"/>
      <w:kern w:val="0"/>
      <w:sz w:val="24"/>
      <w:szCs w:val="24"/>
    </w:rPr>
  </w:style>
  <w:style w:type="character" w:customStyle="1" w:styleId="33">
    <w:name w:val="y2iqfc"/>
    <w:basedOn w:val="15"/>
    <w:autoRedefine/>
    <w:qFormat/>
    <w:uiPriority w:val="0"/>
  </w:style>
  <w:style w:type="character" w:customStyle="1" w:styleId="34">
    <w:name w:val="inner-text-paragraph-org"/>
    <w:basedOn w:val="15"/>
    <w:autoRedefine/>
    <w:qFormat/>
    <w:uiPriority w:val="0"/>
  </w:style>
  <w:style w:type="character" w:customStyle="1" w:styleId="35">
    <w:name w:val="未处理的提及2"/>
    <w:basedOn w:val="15"/>
    <w:autoRedefine/>
    <w:unhideWhenUsed/>
    <w:qFormat/>
    <w:uiPriority w:val="99"/>
    <w:rPr>
      <w:color w:val="605E5C"/>
      <w:shd w:val="clear" w:color="auto" w:fill="E1DFDD"/>
    </w:rPr>
  </w:style>
  <w:style w:type="character" w:customStyle="1" w:styleId="36">
    <w:name w:val="列表段落 字符1"/>
    <w:basedOn w:val="15"/>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9"/>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0">
    <w:name w:val="标题 3 Char"/>
    <w:basedOn w:val="15"/>
    <w:link w:val="3"/>
    <w:qFormat/>
    <w:uiPriority w:val="9"/>
    <w:rPr>
      <w:rFonts w:ascii="宋体" w:hAnsi="宋体" w:cs="宋体"/>
      <w:b/>
      <w:bCs/>
      <w:sz w:val="27"/>
      <w:szCs w:val="27"/>
    </w:rPr>
  </w:style>
  <w:style w:type="paragraph" w:customStyle="1" w:styleId="51">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3">
    <w:name w:val="标题 2 Char"/>
    <w:basedOn w:val="15"/>
    <w:link w:val="2"/>
    <w:qFormat/>
    <w:uiPriority w:val="9"/>
    <w:rPr>
      <w:rFonts w:asciiTheme="majorHAnsi" w:hAnsiTheme="majorHAnsi" w:eastAsiaTheme="majorEastAsia" w:cstheme="majorBidi"/>
      <w:b/>
      <w:bCs/>
      <w:kern w:val="2"/>
      <w:sz w:val="32"/>
      <w:szCs w:val="32"/>
    </w:rPr>
  </w:style>
  <w:style w:type="table" w:customStyle="1" w:styleId="54">
    <w:name w:val="Plain Table 3"/>
    <w:basedOn w:val="13"/>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5">
    <w:name w:val="Plain Table 5"/>
    <w:basedOn w:val="13"/>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6">
    <w:name w:val="Plain Table 2"/>
    <w:basedOn w:val="13"/>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7">
    <w:name w:val="Grid Table 5 Dark Accent 3"/>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58">
    <w:name w:val="Grid Table 2"/>
    <w:basedOn w:val="13"/>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9">
    <w:name w:val="Grid Table 2 Accent 4"/>
    <w:basedOn w:val="13"/>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60">
    <w:name w:val="Grid Table 2 Accent 5"/>
    <w:basedOn w:val="13"/>
    <w:qFormat/>
    <w:uiPriority w:val="47"/>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CellMar>
        <w:top w:w="0" w:type="dxa"/>
        <w:left w:w="108" w:type="dxa"/>
        <w:bottom w:w="0" w:type="dxa"/>
        <w:right w:w="108" w:type="dxa"/>
      </w:tblCellMar>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2744</Words>
  <Characters>3653</Characters>
  <Lines>28</Lines>
  <Paragraphs>8</Paragraphs>
  <TotalTime>3</TotalTime>
  <ScaleCrop>false</ScaleCrop>
  <LinksUpToDate>false</LinksUpToDate>
  <CharactersWithSpaces>3927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2025-12-30T06:49:17Z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17BDA4CC74A24725A0AAE8E81091CC4C_13</vt:lpwstr>
  </property>
  <property fmtid="{D5CDD505-2E9C-101B-9397-08002B2CF9AE}" pid="4" name="KSOTemplateDocerSaveRecord">
    <vt:lpwstr>eyJoZGlkIjoiMTFmMDJjZGU0YzYzNjgxMjg1NzBlNDNlZWZkY2IyNjMiLCJ1c2VySWQiOiIxMzc2MzQzNjk3In0=</vt:lpwstr>
  </property>
</Properties>
</file>