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629B" w14:textId="77777777" w:rsidR="004773CD" w:rsidRDefault="004773CD">
      <w:pPr>
        <w:pStyle w:val="af0"/>
        <w:rPr>
          <w:rFonts w:ascii="Times New Roman" w:eastAsia="黑体"/>
          <w:szCs w:val="21"/>
        </w:rPr>
      </w:pPr>
      <w:bookmarkStart w:id="0" w:name="_Toc329610152"/>
      <w:bookmarkStart w:id="1" w:name="_Toc329610268"/>
      <w:bookmarkStart w:id="2" w:name="_Toc327823874"/>
    </w:p>
    <w:p w14:paraId="4DFC9785" w14:textId="77777777" w:rsidR="004773CD" w:rsidRDefault="004773CD">
      <w:pPr>
        <w:pStyle w:val="af0"/>
        <w:rPr>
          <w:rFonts w:ascii="Times New Roman" w:eastAsia="黑体"/>
          <w:szCs w:val="21"/>
        </w:rPr>
      </w:pPr>
    </w:p>
    <w:p w14:paraId="6E4DA088" w14:textId="4F9511CD" w:rsidR="004773CD" w:rsidRDefault="00000000">
      <w:pPr>
        <w:pStyle w:val="ab"/>
        <w:rPr>
          <w:sz w:val="48"/>
          <w:szCs w:val="48"/>
        </w:rPr>
      </w:pPr>
      <w:r>
        <w:rPr>
          <w:rFonts w:hint="eastAsia"/>
          <w:sz w:val="48"/>
          <w:szCs w:val="48"/>
        </w:rPr>
        <w:t>《</w:t>
      </w:r>
      <w:r w:rsidR="00356469" w:rsidRPr="00356469">
        <w:rPr>
          <w:rFonts w:hint="eastAsia"/>
          <w:sz w:val="48"/>
          <w:szCs w:val="48"/>
        </w:rPr>
        <w:t>电动汽车用感应电机温升技术要求及试验方法</w:t>
      </w:r>
      <w:r>
        <w:rPr>
          <w:rFonts w:hint="eastAsia"/>
          <w:sz w:val="48"/>
          <w:szCs w:val="48"/>
        </w:rPr>
        <w:t>》</w:t>
      </w:r>
    </w:p>
    <w:p w14:paraId="33147A1E" w14:textId="77777777" w:rsidR="004773CD" w:rsidRDefault="00000000">
      <w:pPr>
        <w:pStyle w:val="ab"/>
        <w:rPr>
          <w:sz w:val="48"/>
          <w:szCs w:val="48"/>
        </w:rPr>
      </w:pPr>
      <w:r>
        <w:rPr>
          <w:rFonts w:hint="eastAsia"/>
          <w:sz w:val="48"/>
          <w:szCs w:val="48"/>
        </w:rPr>
        <w:t>编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制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说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明</w:t>
      </w:r>
    </w:p>
    <w:p w14:paraId="339D9C5A" w14:textId="77777777" w:rsidR="004773CD" w:rsidRDefault="004773CD">
      <w:pPr>
        <w:pStyle w:val="af0"/>
        <w:spacing w:line="240" w:lineRule="auto"/>
        <w:rPr>
          <w:rFonts w:ascii="Times New Roman" w:eastAsia="黑体"/>
          <w:sz w:val="32"/>
          <w:szCs w:val="32"/>
        </w:rPr>
      </w:pPr>
    </w:p>
    <w:p w14:paraId="4083FF2A" w14:textId="77777777" w:rsidR="004773CD" w:rsidRDefault="004773CD">
      <w:pPr>
        <w:pStyle w:val="af0"/>
        <w:spacing w:line="240" w:lineRule="auto"/>
        <w:rPr>
          <w:rFonts w:ascii="Times New Roman" w:eastAsia="黑体"/>
          <w:sz w:val="32"/>
          <w:szCs w:val="32"/>
        </w:rPr>
      </w:pPr>
    </w:p>
    <w:p w14:paraId="2230125D" w14:textId="77777777" w:rsidR="004773CD" w:rsidRDefault="004773CD">
      <w:pPr>
        <w:pStyle w:val="af0"/>
        <w:spacing w:line="240" w:lineRule="auto"/>
        <w:rPr>
          <w:rFonts w:ascii="Times New Roman" w:eastAsia="黑体"/>
          <w:sz w:val="32"/>
          <w:szCs w:val="32"/>
        </w:rPr>
      </w:pPr>
    </w:p>
    <w:p w14:paraId="293D3727" w14:textId="77777777" w:rsidR="004773CD" w:rsidRDefault="004773CD">
      <w:pPr>
        <w:pStyle w:val="af0"/>
        <w:spacing w:line="240" w:lineRule="auto"/>
        <w:rPr>
          <w:rFonts w:ascii="Times New Roman" w:eastAsia="黑体"/>
          <w:sz w:val="32"/>
          <w:szCs w:val="32"/>
        </w:rPr>
      </w:pPr>
    </w:p>
    <w:p w14:paraId="2C79A3F1" w14:textId="77777777" w:rsidR="004773CD" w:rsidRDefault="004773CD">
      <w:pPr>
        <w:pStyle w:val="af0"/>
        <w:spacing w:line="240" w:lineRule="auto"/>
        <w:rPr>
          <w:rFonts w:ascii="Times New Roman" w:eastAsia="黑体"/>
          <w:sz w:val="32"/>
          <w:szCs w:val="32"/>
        </w:rPr>
      </w:pPr>
    </w:p>
    <w:p w14:paraId="5193270C" w14:textId="77777777" w:rsidR="004773CD" w:rsidRDefault="004773CD">
      <w:pPr>
        <w:pStyle w:val="af0"/>
        <w:spacing w:line="240" w:lineRule="auto"/>
        <w:rPr>
          <w:rFonts w:ascii="Times New Roman" w:eastAsia="黑体"/>
          <w:sz w:val="32"/>
          <w:szCs w:val="32"/>
        </w:rPr>
      </w:pPr>
    </w:p>
    <w:p w14:paraId="27C1EE3E" w14:textId="77777777" w:rsidR="004773CD" w:rsidRDefault="00000000">
      <w:pPr>
        <w:pStyle w:val="af0"/>
        <w:spacing w:line="240" w:lineRule="auto"/>
        <w:rPr>
          <w:rFonts w:ascii="Cambria" w:hAnsi="Cambria"/>
          <w:b/>
          <w:bCs/>
          <w:kern w:val="2"/>
          <w:sz w:val="48"/>
          <w:szCs w:val="48"/>
        </w:rPr>
      </w:pPr>
      <w:r>
        <w:rPr>
          <w:rFonts w:ascii="Cambria" w:hAnsi="Cambria" w:hint="eastAsia"/>
          <w:b/>
          <w:bCs/>
          <w:kern w:val="2"/>
          <w:sz w:val="48"/>
          <w:szCs w:val="48"/>
        </w:rPr>
        <w:t>标准编制组</w:t>
      </w:r>
    </w:p>
    <w:p w14:paraId="154DD0AD" w14:textId="1ADDA465" w:rsidR="004773CD" w:rsidRDefault="00000000">
      <w:pPr>
        <w:pStyle w:val="af0"/>
        <w:spacing w:line="240" w:lineRule="auto"/>
        <w:rPr>
          <w:rFonts w:ascii="Cambria" w:hAnsi="Cambria"/>
          <w:b/>
          <w:bCs/>
          <w:kern w:val="2"/>
          <w:sz w:val="48"/>
          <w:szCs w:val="48"/>
        </w:rPr>
      </w:pPr>
      <w:r>
        <w:rPr>
          <w:rFonts w:ascii="Cambria" w:hAnsi="Cambria" w:hint="eastAsia"/>
          <w:b/>
          <w:bCs/>
          <w:kern w:val="2"/>
          <w:sz w:val="48"/>
          <w:szCs w:val="48"/>
        </w:rPr>
        <w:t>202</w:t>
      </w:r>
      <w:r>
        <w:rPr>
          <w:rFonts w:ascii="Cambria" w:hAnsi="Cambria"/>
          <w:b/>
          <w:bCs/>
          <w:kern w:val="2"/>
          <w:sz w:val="48"/>
          <w:szCs w:val="48"/>
        </w:rPr>
        <w:t>5</w:t>
      </w:r>
      <w:r>
        <w:rPr>
          <w:rFonts w:ascii="Cambria" w:hAnsi="Cambria" w:hint="eastAsia"/>
          <w:b/>
          <w:bCs/>
          <w:kern w:val="2"/>
          <w:sz w:val="48"/>
          <w:szCs w:val="48"/>
        </w:rPr>
        <w:t>年</w:t>
      </w:r>
      <w:r>
        <w:rPr>
          <w:rFonts w:ascii="Cambria" w:hAnsi="Cambria" w:hint="eastAsia"/>
          <w:b/>
          <w:bCs/>
          <w:kern w:val="2"/>
          <w:sz w:val="48"/>
          <w:szCs w:val="48"/>
        </w:rPr>
        <w:t xml:space="preserve"> </w:t>
      </w:r>
      <w:r>
        <w:rPr>
          <w:rFonts w:ascii="Cambria" w:hAnsi="Cambria"/>
          <w:b/>
          <w:bCs/>
          <w:kern w:val="2"/>
          <w:sz w:val="48"/>
          <w:szCs w:val="48"/>
        </w:rPr>
        <w:t>1</w:t>
      </w:r>
      <w:r w:rsidR="00C93F62">
        <w:rPr>
          <w:rFonts w:ascii="Cambria" w:hAnsi="Cambria" w:hint="eastAsia"/>
          <w:b/>
          <w:bCs/>
          <w:kern w:val="2"/>
          <w:sz w:val="48"/>
          <w:szCs w:val="48"/>
        </w:rPr>
        <w:t>2</w:t>
      </w:r>
      <w:r>
        <w:rPr>
          <w:rFonts w:ascii="Cambria" w:hAnsi="Cambria" w:hint="eastAsia"/>
          <w:b/>
          <w:bCs/>
          <w:kern w:val="2"/>
          <w:sz w:val="48"/>
          <w:szCs w:val="48"/>
        </w:rPr>
        <w:t>月</w:t>
      </w:r>
    </w:p>
    <w:p w14:paraId="654B441A" w14:textId="77777777" w:rsidR="004773CD" w:rsidRDefault="00000000">
      <w:pPr>
        <w:pStyle w:val="af0"/>
        <w:spacing w:line="240" w:lineRule="auto"/>
        <w:rPr>
          <w:rFonts w:ascii="Times New Roman" w:eastAsia="黑体"/>
          <w:kern w:val="2"/>
          <w:sz w:val="21"/>
          <w:szCs w:val="21"/>
        </w:rPr>
      </w:pPr>
      <w:r>
        <w:rPr>
          <w:rFonts w:ascii="Times New Roman" w:eastAsia="黑体"/>
          <w:kern w:val="2"/>
          <w:sz w:val="21"/>
          <w:szCs w:val="21"/>
        </w:rPr>
        <w:br w:type="page"/>
      </w:r>
    </w:p>
    <w:bookmarkEnd w:id="0"/>
    <w:bookmarkEnd w:id="1"/>
    <w:bookmarkEnd w:id="2"/>
    <w:p w14:paraId="2D81BAC1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lastRenderedPageBreak/>
        <w:t>工作简况</w:t>
      </w:r>
      <w:r>
        <w:rPr>
          <w:rFonts w:ascii="宋体" w:hAnsi="宋体" w:hint="eastAsia"/>
          <w:b/>
          <w:bCs/>
          <w:kern w:val="44"/>
          <w:sz w:val="30"/>
          <w:szCs w:val="30"/>
        </w:rPr>
        <w:tab/>
      </w:r>
    </w:p>
    <w:p w14:paraId="079B5D88" w14:textId="32C128AE" w:rsidR="004773CD" w:rsidRDefault="00000000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根据中国电子节能技术协会“关于《</w:t>
      </w:r>
      <w:r w:rsidR="00356469">
        <w:rPr>
          <w:rFonts w:hAnsi="宋体" w:hint="eastAsia"/>
          <w:sz w:val="24"/>
          <w:szCs w:val="24"/>
        </w:rPr>
        <w:t>电动汽车用感应电机温升技术要求及试验方法</w:t>
      </w:r>
      <w:r>
        <w:rPr>
          <w:rFonts w:hAnsi="宋体"/>
          <w:sz w:val="24"/>
          <w:szCs w:val="24"/>
        </w:rPr>
        <w:t>》团体标准立项的通知，《</w:t>
      </w:r>
      <w:r w:rsidR="00356469">
        <w:rPr>
          <w:rFonts w:hAnsi="宋体"/>
          <w:sz w:val="24"/>
          <w:szCs w:val="24"/>
        </w:rPr>
        <w:t>电动汽车用感应电机温升技术要求及试验方法</w:t>
      </w:r>
      <w:r>
        <w:rPr>
          <w:rFonts w:hAnsi="宋体"/>
          <w:sz w:val="24"/>
          <w:szCs w:val="24"/>
        </w:rPr>
        <w:t>》团体标准符合立项条件，立项号</w:t>
      </w:r>
      <w:r>
        <w:rPr>
          <w:rFonts w:hAnsi="宋体"/>
          <w:sz w:val="24"/>
          <w:szCs w:val="24"/>
        </w:rPr>
        <w:t>JH/T/DZJN63-2025</w:t>
      </w:r>
      <w:r>
        <w:rPr>
          <w:rFonts w:hAnsi="宋体"/>
          <w:sz w:val="24"/>
          <w:szCs w:val="24"/>
        </w:rPr>
        <w:t>。按照协会标准化工作要求，标准起草工作组制定了此标准。</w:t>
      </w:r>
    </w:p>
    <w:p w14:paraId="21AEBAE9" w14:textId="77777777" w:rsidR="004773CD" w:rsidRDefault="00000000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此标准由中国电子节能技术协会提出并归口，由</w:t>
      </w:r>
      <w:r>
        <w:rPr>
          <w:rFonts w:hAnsi="宋体" w:hint="eastAsia"/>
          <w:sz w:val="24"/>
          <w:szCs w:val="24"/>
        </w:rPr>
        <w:t>吉利汽车研究院（宁波）有限公司</w:t>
      </w:r>
      <w:r>
        <w:rPr>
          <w:rFonts w:hAnsi="宋体"/>
          <w:sz w:val="24"/>
          <w:szCs w:val="24"/>
        </w:rPr>
        <w:t>等单位共同起草。</w:t>
      </w:r>
    </w:p>
    <w:p w14:paraId="53F35920" w14:textId="77777777" w:rsidR="004773CD" w:rsidRDefault="00000000">
      <w:pPr>
        <w:spacing w:line="360" w:lineRule="auto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本标准为首次制定。</w:t>
      </w:r>
    </w:p>
    <w:p w14:paraId="39AF14FD" w14:textId="77777777" w:rsidR="004773CD" w:rsidRDefault="00000000">
      <w:pPr>
        <w:spacing w:beforeLines="50" w:before="156" w:afterLines="50" w:after="156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1.1 </w:t>
      </w:r>
      <w:r>
        <w:rPr>
          <w:b/>
          <w:sz w:val="28"/>
          <w:szCs w:val="28"/>
        </w:rPr>
        <w:t>制修订本标准的必要性</w:t>
      </w:r>
    </w:p>
    <w:p w14:paraId="6E8147D1" w14:textId="77777777" w:rsidR="004773CD" w:rsidRDefault="00000000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bookmarkStart w:id="3" w:name="_Hlk173520359"/>
      <w:bookmarkStart w:id="4" w:name="_Toc329610271"/>
      <w:bookmarkStart w:id="5" w:name="_Toc327823877"/>
      <w:bookmarkStart w:id="6" w:name="_Toc329610155"/>
      <w:r>
        <w:rPr>
          <w:rFonts w:hAnsi="宋体"/>
          <w:sz w:val="24"/>
          <w:szCs w:val="24"/>
        </w:rPr>
        <w:t>目前市场上高速感应电机的技术要求</w:t>
      </w:r>
      <w:r>
        <w:rPr>
          <w:rFonts w:hAnsi="宋体" w:hint="eastAsia"/>
          <w:sz w:val="24"/>
          <w:szCs w:val="24"/>
        </w:rPr>
        <w:t>和评价指标</w:t>
      </w:r>
      <w:r>
        <w:rPr>
          <w:rFonts w:hAnsi="宋体"/>
          <w:sz w:val="24"/>
          <w:szCs w:val="24"/>
        </w:rPr>
        <w:t>尚未完全统一，</w:t>
      </w:r>
      <w:r>
        <w:rPr>
          <w:rFonts w:hAnsi="宋体" w:hint="eastAsia"/>
          <w:sz w:val="24"/>
          <w:szCs w:val="24"/>
        </w:rPr>
        <w:t>异步电机高速转子由于其高速性，给转子温升测试带来了很大挑战，行业内各个企业试验方法和试验措施也各不一样（遥感红外线法，温度传感器法，温度试纸张法），这就造就了各家技术指标存在偏差，</w:t>
      </w:r>
      <w:r>
        <w:rPr>
          <w:rFonts w:hAnsi="宋体"/>
          <w:sz w:val="24"/>
          <w:szCs w:val="24"/>
        </w:rPr>
        <w:t>不同厂商的产品在温升控制方面差异较大，可能导致安全隐患或性能不稳定。本标准的制定将有助于规范市场秩序，提高产品质量和技术水平。</w:t>
      </w:r>
    </w:p>
    <w:bookmarkEnd w:id="3"/>
    <w:p w14:paraId="55997DCB" w14:textId="77777777" w:rsidR="004773CD" w:rsidRDefault="00000000">
      <w:pPr>
        <w:spacing w:beforeLines="50" w:before="156" w:afterLines="50" w:after="156"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1.2</w:t>
      </w:r>
      <w:r>
        <w:rPr>
          <w:b/>
          <w:sz w:val="28"/>
          <w:szCs w:val="28"/>
        </w:rPr>
        <w:t>编制过程</w:t>
      </w:r>
    </w:p>
    <w:bookmarkEnd w:id="4"/>
    <w:bookmarkEnd w:id="5"/>
    <w:bookmarkEnd w:id="6"/>
    <w:p w14:paraId="7C7BB879" w14:textId="77777777" w:rsidR="004773CD" w:rsidRDefault="00000000">
      <w:pPr>
        <w:spacing w:line="360" w:lineRule="auto"/>
        <w:ind w:firstLineChars="200" w:firstLine="480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在本标准的编制过程中，完成了大量的基础研究和编写工作，并邀请了国内和行业相关领域的专家进行了技术审查，确保了标准的规范性和权威性。本标准编制过程概要如下：</w:t>
      </w:r>
    </w:p>
    <w:p w14:paraId="3160F118" w14:textId="77777777" w:rsidR="004773CD" w:rsidRDefault="00000000">
      <w:pPr>
        <w:numPr>
          <w:ilvl w:val="0"/>
          <w:numId w:val="2"/>
        </w:numPr>
        <w:spacing w:line="360" w:lineRule="auto"/>
        <w:ind w:left="840" w:hanging="420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本标准由</w:t>
      </w:r>
      <w:r>
        <w:rPr>
          <w:rFonts w:hAnsi="宋体" w:hint="eastAsia"/>
          <w:sz w:val="24"/>
          <w:szCs w:val="24"/>
        </w:rPr>
        <w:t>吉利汽车研究院（宁波）有限公司</w:t>
      </w:r>
      <w:r>
        <w:rPr>
          <w:rFonts w:hAnsi="宋体"/>
          <w:sz w:val="24"/>
          <w:szCs w:val="24"/>
        </w:rPr>
        <w:t>向中国电子节能技术协会提出团体标准制立项申请书。</w:t>
      </w:r>
      <w:r>
        <w:rPr>
          <w:rFonts w:hAnsi="宋体"/>
          <w:sz w:val="24"/>
          <w:szCs w:val="24"/>
        </w:rPr>
        <w:t>2025</w:t>
      </w:r>
      <w:r>
        <w:rPr>
          <w:rFonts w:hAnsi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>6</w:t>
      </w:r>
      <w:r>
        <w:rPr>
          <w:rFonts w:hAnsi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>5</w:t>
      </w:r>
      <w:r>
        <w:rPr>
          <w:rFonts w:hAnsi="宋体"/>
          <w:sz w:val="24"/>
          <w:szCs w:val="24"/>
        </w:rPr>
        <w:t>日，中国电子节能技术协会批准立项申请书并下达标准编制计划。</w:t>
      </w:r>
    </w:p>
    <w:p w14:paraId="6F0DF85D" w14:textId="5B1485F9" w:rsidR="004773CD" w:rsidRDefault="00000000">
      <w:pPr>
        <w:numPr>
          <w:ilvl w:val="0"/>
          <w:numId w:val="2"/>
        </w:numPr>
        <w:spacing w:line="360" w:lineRule="auto"/>
        <w:ind w:left="840" w:hanging="420"/>
        <w:rPr>
          <w:rFonts w:hAnsi="宋体" w:hint="eastAsia"/>
          <w:sz w:val="24"/>
          <w:szCs w:val="24"/>
        </w:rPr>
      </w:pPr>
      <w:r>
        <w:rPr>
          <w:rFonts w:hAnsi="宋体"/>
          <w:sz w:val="24"/>
          <w:szCs w:val="24"/>
        </w:rPr>
        <w:t>标准计划下达后，在归口单位指导下，</w:t>
      </w:r>
      <w:r>
        <w:rPr>
          <w:rFonts w:hAnsi="宋体" w:hint="eastAsia"/>
          <w:sz w:val="24"/>
          <w:szCs w:val="24"/>
        </w:rPr>
        <w:t>吉利汽车研究院（宁波）有限公司</w:t>
      </w:r>
      <w:r>
        <w:rPr>
          <w:rFonts w:hAnsi="宋体"/>
          <w:sz w:val="24"/>
          <w:szCs w:val="24"/>
        </w:rPr>
        <w:t>等单位成立了标准起草组，对</w:t>
      </w:r>
      <w:r>
        <w:rPr>
          <w:rFonts w:hAnsi="宋体" w:hint="eastAsia"/>
          <w:sz w:val="24"/>
          <w:szCs w:val="24"/>
        </w:rPr>
        <w:t>行业内高速感应电机温升技术要求和试验方法</w:t>
      </w:r>
      <w:r>
        <w:rPr>
          <w:rFonts w:hAnsi="宋体"/>
          <w:sz w:val="24"/>
          <w:szCs w:val="24"/>
        </w:rPr>
        <w:t>等情况进行了调研，收集了相关技术资料，</w:t>
      </w:r>
      <w:r>
        <w:rPr>
          <w:rFonts w:hAnsi="宋体"/>
          <w:sz w:val="24"/>
          <w:szCs w:val="24"/>
        </w:rPr>
        <w:t>202</w:t>
      </w:r>
      <w:r>
        <w:rPr>
          <w:rFonts w:hAnsi="宋体" w:hint="eastAsia"/>
          <w:sz w:val="24"/>
          <w:szCs w:val="24"/>
        </w:rPr>
        <w:t>5</w:t>
      </w:r>
      <w:r>
        <w:rPr>
          <w:rFonts w:hAnsi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>1</w:t>
      </w:r>
      <w:r w:rsidR="00C93F62">
        <w:rPr>
          <w:rFonts w:hAnsi="宋体" w:hint="eastAsia"/>
          <w:sz w:val="24"/>
          <w:szCs w:val="24"/>
        </w:rPr>
        <w:t>2</w:t>
      </w:r>
      <w:r>
        <w:rPr>
          <w:rFonts w:hAnsi="宋体"/>
          <w:sz w:val="24"/>
          <w:szCs w:val="24"/>
        </w:rPr>
        <w:t>月，形成了标准的</w:t>
      </w:r>
      <w:r w:rsidR="00C93F62">
        <w:rPr>
          <w:rFonts w:hAnsi="宋体" w:hint="eastAsia"/>
          <w:sz w:val="24"/>
          <w:szCs w:val="24"/>
        </w:rPr>
        <w:t>征求意见</w:t>
      </w:r>
      <w:r>
        <w:rPr>
          <w:rFonts w:hAnsi="宋体"/>
          <w:sz w:val="24"/>
          <w:szCs w:val="24"/>
        </w:rPr>
        <w:t>稿。</w:t>
      </w:r>
    </w:p>
    <w:p w14:paraId="05FDEF0A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编制原则</w:t>
      </w:r>
    </w:p>
    <w:p w14:paraId="79C811CB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sz w:val="24"/>
          <w:szCs w:val="24"/>
        </w:rPr>
        <w:t>标</w:t>
      </w:r>
      <w:r>
        <w:rPr>
          <w:color w:val="000000"/>
          <w:sz w:val="24"/>
          <w:szCs w:val="24"/>
        </w:rPr>
        <w:t>准格式统一、规范，符合</w:t>
      </w:r>
      <w:r>
        <w:rPr>
          <w:color w:val="000000"/>
          <w:sz w:val="24"/>
          <w:szCs w:val="24"/>
        </w:rPr>
        <w:t>GB/T 1.1—2009</w:t>
      </w:r>
      <w:r>
        <w:rPr>
          <w:color w:val="000000"/>
          <w:sz w:val="24"/>
          <w:szCs w:val="24"/>
        </w:rPr>
        <w:t>要求。</w:t>
      </w:r>
    </w:p>
    <w:p w14:paraId="0B5F9DAC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 </w:t>
      </w:r>
      <w:r>
        <w:rPr>
          <w:sz w:val="24"/>
          <w:szCs w:val="24"/>
        </w:rPr>
        <w:t>标准内容符合</w:t>
      </w:r>
      <w:r>
        <w:rPr>
          <w:color w:val="000000"/>
          <w:sz w:val="24"/>
          <w:szCs w:val="24"/>
        </w:rPr>
        <w:t>统一性、协调性、适用性、一致性、规范性要</w:t>
      </w:r>
      <w:r>
        <w:rPr>
          <w:sz w:val="24"/>
          <w:szCs w:val="24"/>
        </w:rPr>
        <w:t>求。</w:t>
      </w:r>
    </w:p>
    <w:p w14:paraId="6E308BF3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>
        <w:rPr>
          <w:sz w:val="24"/>
          <w:szCs w:val="24"/>
        </w:rPr>
        <w:t>标准技术内容</w:t>
      </w:r>
      <w:r>
        <w:rPr>
          <w:color w:val="000000"/>
          <w:sz w:val="24"/>
          <w:szCs w:val="24"/>
        </w:rPr>
        <w:t>安全可靠、成熟稳定、经</w:t>
      </w:r>
      <w:r>
        <w:rPr>
          <w:sz w:val="24"/>
          <w:szCs w:val="24"/>
        </w:rPr>
        <w:t>济适用、科学先进、节能环保。</w:t>
      </w:r>
    </w:p>
    <w:p w14:paraId="5775D985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>
        <w:rPr>
          <w:sz w:val="24"/>
          <w:szCs w:val="24"/>
        </w:rPr>
        <w:t>标准实施后有利于</w:t>
      </w:r>
      <w:r>
        <w:rPr>
          <w:rFonts w:hint="eastAsia"/>
          <w:sz w:val="24"/>
          <w:szCs w:val="24"/>
        </w:rPr>
        <w:t>给行业内在高速感应电机温升技术要求和试验方法</w:t>
      </w:r>
      <w:r>
        <w:rPr>
          <w:sz w:val="24"/>
          <w:szCs w:val="24"/>
        </w:rPr>
        <w:t>提供指导性的建议以及工作的依据，</w:t>
      </w:r>
      <w:r>
        <w:rPr>
          <w:rFonts w:hint="eastAsia"/>
          <w:sz w:val="24"/>
          <w:szCs w:val="24"/>
        </w:rPr>
        <w:t>给行业内企业提供借鉴，促进</w:t>
      </w:r>
      <w:r>
        <w:rPr>
          <w:sz w:val="24"/>
          <w:szCs w:val="24"/>
        </w:rPr>
        <w:t>行业</w:t>
      </w:r>
      <w:r>
        <w:rPr>
          <w:rFonts w:hint="eastAsia"/>
          <w:sz w:val="24"/>
          <w:szCs w:val="24"/>
        </w:rPr>
        <w:t>高速</w:t>
      </w:r>
      <w:r>
        <w:rPr>
          <w:sz w:val="24"/>
          <w:szCs w:val="24"/>
        </w:rPr>
        <w:t>发展。</w:t>
      </w:r>
    </w:p>
    <w:p w14:paraId="5F26A10D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主要内容</w:t>
      </w:r>
    </w:p>
    <w:p w14:paraId="1F894CA8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>本标准规定了</w:t>
      </w:r>
      <w:r>
        <w:rPr>
          <w:rFonts w:hint="eastAsia"/>
          <w:sz w:val="24"/>
          <w:szCs w:val="24"/>
        </w:rPr>
        <w:t>新</w:t>
      </w:r>
      <w:r>
        <w:rPr>
          <w:sz w:val="24"/>
          <w:szCs w:val="24"/>
        </w:rPr>
        <w:t>能源电机中高速感应电机</w:t>
      </w:r>
      <w:r>
        <w:rPr>
          <w:rFonts w:hint="eastAsia"/>
          <w:sz w:val="24"/>
          <w:szCs w:val="24"/>
        </w:rPr>
        <w:t>温升测试时的技术要求和试验方法</w:t>
      </w:r>
      <w:r>
        <w:rPr>
          <w:sz w:val="24"/>
          <w:szCs w:val="24"/>
        </w:rPr>
        <w:t>，规范</w:t>
      </w:r>
      <w:r>
        <w:rPr>
          <w:rFonts w:hint="eastAsia"/>
          <w:sz w:val="24"/>
          <w:szCs w:val="24"/>
        </w:rPr>
        <w:t>了高速感应电机各部件</w:t>
      </w:r>
      <w:r>
        <w:rPr>
          <w:sz w:val="24"/>
          <w:szCs w:val="24"/>
        </w:rPr>
        <w:t>温升性能的技术</w:t>
      </w:r>
      <w:r>
        <w:rPr>
          <w:rFonts w:hint="eastAsia"/>
          <w:sz w:val="24"/>
          <w:szCs w:val="24"/>
        </w:rPr>
        <w:t>指标并将实际高速感应电机温升测试中的试验方法详细</w:t>
      </w:r>
      <w:proofErr w:type="gramStart"/>
      <w:r>
        <w:rPr>
          <w:rFonts w:hint="eastAsia"/>
          <w:sz w:val="24"/>
          <w:szCs w:val="24"/>
        </w:rPr>
        <w:t>编写处供大家</w:t>
      </w:r>
      <w:proofErr w:type="gramEnd"/>
      <w:r>
        <w:rPr>
          <w:rFonts w:hint="eastAsia"/>
          <w:sz w:val="24"/>
          <w:szCs w:val="24"/>
        </w:rPr>
        <w:t>参考</w:t>
      </w:r>
      <w:r>
        <w:rPr>
          <w:sz w:val="24"/>
          <w:szCs w:val="24"/>
        </w:rPr>
        <w:t>。</w:t>
      </w:r>
    </w:p>
    <w:p w14:paraId="624DF392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>本标准依据</w:t>
      </w:r>
      <w:r>
        <w:rPr>
          <w:rFonts w:hint="eastAsia"/>
          <w:sz w:val="24"/>
          <w:szCs w:val="24"/>
        </w:rPr>
        <w:t>《电动汽车术语》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GB/T 19596-2017</w:t>
      </w:r>
      <w:r>
        <w:rPr>
          <w:sz w:val="24"/>
          <w:szCs w:val="24"/>
        </w:rPr>
        <w:t>）、《</w:t>
      </w:r>
      <w:r>
        <w:rPr>
          <w:rFonts w:hint="eastAsia"/>
          <w:sz w:val="24"/>
          <w:szCs w:val="24"/>
        </w:rPr>
        <w:t>电动汽车用驱动电机系统可靠性试验方法</w:t>
      </w:r>
      <w:r>
        <w:rPr>
          <w:sz w:val="24"/>
          <w:szCs w:val="24"/>
        </w:rPr>
        <w:t>》（</w:t>
      </w:r>
      <w:r>
        <w:rPr>
          <w:rFonts w:hint="eastAsia"/>
          <w:sz w:val="24"/>
          <w:szCs w:val="24"/>
        </w:rPr>
        <w:t>GB/T 29307-2022</w:t>
      </w:r>
      <w:r>
        <w:rPr>
          <w:sz w:val="24"/>
          <w:szCs w:val="24"/>
        </w:rPr>
        <w:t>）、《</w:t>
      </w:r>
      <w:r>
        <w:rPr>
          <w:rFonts w:hint="eastAsia"/>
          <w:sz w:val="24"/>
          <w:szCs w:val="24"/>
        </w:rPr>
        <w:t>三相异步电动机经济运行</w:t>
      </w:r>
      <w:r>
        <w:rPr>
          <w:sz w:val="24"/>
          <w:szCs w:val="24"/>
        </w:rPr>
        <w:t>》（</w:t>
      </w:r>
      <w:r>
        <w:rPr>
          <w:rFonts w:hint="eastAsia"/>
          <w:sz w:val="24"/>
          <w:szCs w:val="24"/>
        </w:rPr>
        <w:t>GB/T 12497-2006</w:t>
      </w:r>
      <w:r>
        <w:rPr>
          <w:sz w:val="24"/>
          <w:szCs w:val="24"/>
        </w:rPr>
        <w:t>）、《</w:t>
      </w:r>
      <w:r>
        <w:rPr>
          <w:rFonts w:hint="eastAsia"/>
          <w:sz w:val="24"/>
          <w:szCs w:val="24"/>
        </w:rPr>
        <w:t>电动汽车用驱动电机系统</w:t>
      </w:r>
      <w:r>
        <w:rPr>
          <w:sz w:val="24"/>
          <w:szCs w:val="24"/>
        </w:rPr>
        <w:t>》（</w:t>
      </w:r>
      <w:r>
        <w:rPr>
          <w:rFonts w:hint="eastAsia"/>
          <w:sz w:val="24"/>
          <w:szCs w:val="24"/>
        </w:rPr>
        <w:t>GB/T 18488-2024</w:t>
      </w:r>
      <w:r>
        <w:rPr>
          <w:sz w:val="24"/>
          <w:szCs w:val="24"/>
        </w:rPr>
        <w:t>）技术规范，结合</w:t>
      </w:r>
      <w:r>
        <w:rPr>
          <w:rFonts w:hint="eastAsia"/>
          <w:sz w:val="24"/>
          <w:szCs w:val="24"/>
        </w:rPr>
        <w:t>高速感应电机</w:t>
      </w:r>
      <w:r>
        <w:rPr>
          <w:sz w:val="24"/>
          <w:szCs w:val="24"/>
        </w:rPr>
        <w:t>的应用实际编制。在</w:t>
      </w:r>
      <w:r>
        <w:rPr>
          <w:rFonts w:hint="eastAsia"/>
          <w:sz w:val="24"/>
          <w:szCs w:val="24"/>
        </w:rPr>
        <w:t>高速感应电机温升技术要求</w:t>
      </w:r>
      <w:r>
        <w:rPr>
          <w:sz w:val="24"/>
          <w:szCs w:val="24"/>
        </w:rPr>
        <w:t>中，</w:t>
      </w:r>
      <w:r>
        <w:rPr>
          <w:rFonts w:hint="eastAsia"/>
          <w:sz w:val="24"/>
          <w:szCs w:val="24"/>
        </w:rPr>
        <w:t>本文了对安装在不同位置上的高速感应电机测试温度和冷却液（水冷和油冷）温度进行规定、并着重对高速感应电机各部件耐温要求进行了明确，并定义了八个高速感应电机温升测试的</w:t>
      </w:r>
      <w:proofErr w:type="gramStart"/>
      <w:r>
        <w:rPr>
          <w:rFonts w:hint="eastAsia"/>
          <w:sz w:val="24"/>
          <w:szCs w:val="24"/>
        </w:rPr>
        <w:t>的</w:t>
      </w:r>
      <w:proofErr w:type="gramEnd"/>
      <w:r>
        <w:rPr>
          <w:rFonts w:hint="eastAsia"/>
          <w:sz w:val="24"/>
          <w:szCs w:val="24"/>
        </w:rPr>
        <w:t>工况，分别为峰值功率、峰值扭矩、持续功率、持续扭矩、最高工作转速、连续加减速工况、堵转工况、爬坡工况；在试验方法方面本文将高速感应电机测试环境及设备进行了明确，并介绍了定子、转子热电偶的布置位置选择和热模型机器的制作，本文还着重介绍了试验的步骤、试验数据的记录和实验报告的要求；</w:t>
      </w:r>
    </w:p>
    <w:p w14:paraId="702DD7EC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关键指标的确定</w:t>
      </w:r>
    </w:p>
    <w:p w14:paraId="12156777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电机温升测试环境温度，应与安装位置的环境温度一致；</w:t>
      </w:r>
    </w:p>
    <w:p w14:paraId="5A2EED09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4.2</w:t>
      </w:r>
      <w:r>
        <w:rPr>
          <w:rFonts w:hint="eastAsia"/>
          <w:sz w:val="24"/>
          <w:szCs w:val="24"/>
        </w:rPr>
        <w:t>电机温升测试所使用的仪器都要进行计量矫正；</w:t>
      </w:r>
    </w:p>
    <w:p w14:paraId="554863EF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4.3</w:t>
      </w:r>
      <w:r>
        <w:rPr>
          <w:rFonts w:hint="eastAsia"/>
          <w:sz w:val="24"/>
          <w:szCs w:val="24"/>
        </w:rPr>
        <w:t>在测试过程中要严格检测电机温度，并预留保护措施，避免温度过高损坏电机总成；</w:t>
      </w:r>
    </w:p>
    <w:p w14:paraId="136FB411" w14:textId="77777777" w:rsidR="004773CD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在测试测定工况温升时，电机各零部件要达到热平衡状态，电机温度在±</w:t>
      </w:r>
      <w:r>
        <w:rPr>
          <w:rFonts w:hint="eastAsia"/>
          <w:sz w:val="24"/>
          <w:szCs w:val="24"/>
        </w:rPr>
        <w:t>2k</w:t>
      </w:r>
      <w:r>
        <w:rPr>
          <w:rFonts w:hint="eastAsia"/>
          <w:sz w:val="24"/>
          <w:szCs w:val="24"/>
        </w:rPr>
        <w:t>以内波动</w:t>
      </w:r>
      <w:r>
        <w:rPr>
          <w:sz w:val="24"/>
          <w:szCs w:val="24"/>
        </w:rPr>
        <w:t>。</w:t>
      </w:r>
    </w:p>
    <w:p w14:paraId="4B09F0D4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标准水平分析</w:t>
      </w:r>
    </w:p>
    <w:p w14:paraId="594248E0" w14:textId="77777777" w:rsidR="004773CD" w:rsidRDefault="00000000">
      <w:pPr>
        <w:pStyle w:val="aa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采用国际标准和国外先进标准的程度</w:t>
      </w:r>
    </w:p>
    <w:p w14:paraId="0B4B3FFF" w14:textId="77777777" w:rsidR="004773C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lastRenderedPageBreak/>
        <w:t>经查，国外无相同类型的标准。</w:t>
      </w:r>
    </w:p>
    <w:p w14:paraId="43357230" w14:textId="77777777" w:rsidR="004773CD" w:rsidRDefault="00000000">
      <w:pPr>
        <w:pStyle w:val="aa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 </w:t>
      </w:r>
      <w:r>
        <w:rPr>
          <w:rFonts w:ascii="Times New Roman" w:hAnsi="Times New Roman"/>
          <w:sz w:val="28"/>
          <w:szCs w:val="28"/>
        </w:rPr>
        <w:t>国际、国外同类标准水平的对比分析</w:t>
      </w:r>
    </w:p>
    <w:p w14:paraId="23165A8A" w14:textId="77777777" w:rsidR="004773C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经查，国外无相同类型的标准。</w:t>
      </w:r>
    </w:p>
    <w:p w14:paraId="793E472F" w14:textId="77777777" w:rsidR="004773CD" w:rsidRDefault="00000000">
      <w:pPr>
        <w:pStyle w:val="aa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5.3 </w:t>
      </w:r>
      <w:r>
        <w:rPr>
          <w:rFonts w:ascii="宋体" w:hAnsi="宋体"/>
          <w:sz w:val="28"/>
          <w:szCs w:val="28"/>
        </w:rPr>
        <w:t>与现有标准及制定中标准协调配套的情况</w:t>
      </w:r>
    </w:p>
    <w:p w14:paraId="720A3C67" w14:textId="77777777" w:rsidR="004773C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经查，标准与现有标准及制定中的标准无重复交叉情况。</w:t>
      </w:r>
    </w:p>
    <w:p w14:paraId="691010BB" w14:textId="77777777" w:rsidR="004773CD" w:rsidRDefault="00000000">
      <w:pPr>
        <w:pStyle w:val="aa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5.4 </w:t>
      </w:r>
      <w:r>
        <w:rPr>
          <w:rFonts w:ascii="宋体" w:hAnsi="宋体"/>
          <w:sz w:val="28"/>
          <w:szCs w:val="28"/>
        </w:rPr>
        <w:t>涉及国内外专利及处置情况</w:t>
      </w:r>
    </w:p>
    <w:p w14:paraId="33CCFD80" w14:textId="77777777" w:rsidR="004773CD" w:rsidRDefault="00000000">
      <w:pPr>
        <w:spacing w:line="360" w:lineRule="auto"/>
        <w:ind w:firstLineChars="200" w:firstLine="480"/>
      </w:pPr>
      <w:r>
        <w:rPr>
          <w:sz w:val="24"/>
        </w:rPr>
        <w:t>经查，本标准不涉及国内外专利</w:t>
      </w:r>
      <w:r>
        <w:rPr>
          <w:rFonts w:hint="eastAsia"/>
        </w:rPr>
        <w:t>。</w:t>
      </w:r>
    </w:p>
    <w:p w14:paraId="47D89523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与有关的现行法律、法规和强制性国家标准的关系</w:t>
      </w:r>
    </w:p>
    <w:p w14:paraId="10EAFD2B" w14:textId="77777777" w:rsidR="004773CD" w:rsidRDefault="00000000">
      <w:pPr>
        <w:spacing w:line="360" w:lineRule="auto"/>
        <w:ind w:firstLineChars="200" w:firstLine="480"/>
      </w:pPr>
      <w:r>
        <w:rPr>
          <w:rFonts w:hAnsi="宋体"/>
          <w:sz w:val="24"/>
        </w:rPr>
        <w:t>与有关的现行法律、法规和强制性国家标准没有冲突。</w:t>
      </w:r>
    </w:p>
    <w:p w14:paraId="51C2748B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重大分歧意见的处理经过和依据</w:t>
      </w:r>
    </w:p>
    <w:p w14:paraId="007C742F" w14:textId="77777777" w:rsidR="004773C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无重大分歧。</w:t>
      </w:r>
    </w:p>
    <w:p w14:paraId="51D690D9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标准性质的建议说明</w:t>
      </w:r>
    </w:p>
    <w:p w14:paraId="4DB1D00B" w14:textId="08106DBF" w:rsidR="004773C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建议</w:t>
      </w:r>
      <w:r>
        <w:rPr>
          <w:rFonts w:hint="eastAsia"/>
          <w:sz w:val="24"/>
        </w:rPr>
        <w:t>团体标准《</w:t>
      </w:r>
      <w:r w:rsidR="00356469">
        <w:rPr>
          <w:rFonts w:hint="eastAsia"/>
          <w:sz w:val="24"/>
        </w:rPr>
        <w:t>电动汽车用感应电机温升技术要求及试验方法</w:t>
      </w:r>
      <w:r>
        <w:rPr>
          <w:rFonts w:hint="eastAsia"/>
          <w:sz w:val="24"/>
        </w:rPr>
        <w:t>》</w:t>
      </w:r>
      <w:r>
        <w:rPr>
          <w:sz w:val="24"/>
        </w:rPr>
        <w:t>作为推荐性标准</w:t>
      </w:r>
      <w:r>
        <w:rPr>
          <w:rFonts w:hint="eastAsia"/>
          <w:sz w:val="24"/>
        </w:rPr>
        <w:t>颁布实施</w:t>
      </w:r>
      <w:r>
        <w:rPr>
          <w:sz w:val="24"/>
        </w:rPr>
        <w:t>。</w:t>
      </w:r>
    </w:p>
    <w:p w14:paraId="1A220214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贯彻标准的要求和措施建议</w:t>
      </w:r>
    </w:p>
    <w:p w14:paraId="02026199" w14:textId="77777777" w:rsidR="004773CD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由于本标准反映了</w:t>
      </w:r>
      <w:r>
        <w:rPr>
          <w:rFonts w:hint="eastAsia"/>
          <w:sz w:val="24"/>
        </w:rPr>
        <w:t>高速感应电机温升的技术要求和试验方法</w:t>
      </w:r>
      <w:r>
        <w:rPr>
          <w:sz w:val="24"/>
        </w:rPr>
        <w:t>，因此可积极向</w:t>
      </w:r>
      <w:r>
        <w:rPr>
          <w:rFonts w:hAnsi="宋体" w:hint="eastAsia"/>
          <w:sz w:val="24"/>
          <w:szCs w:val="24"/>
        </w:rPr>
        <w:t>汽车</w:t>
      </w:r>
      <w:r>
        <w:rPr>
          <w:rFonts w:hAnsi="宋体"/>
          <w:sz w:val="24"/>
          <w:szCs w:val="24"/>
        </w:rPr>
        <w:t>、</w:t>
      </w:r>
      <w:r>
        <w:rPr>
          <w:rFonts w:hAnsi="宋体" w:hint="eastAsia"/>
          <w:sz w:val="24"/>
          <w:szCs w:val="24"/>
        </w:rPr>
        <w:t>采矿</w:t>
      </w:r>
      <w:r>
        <w:rPr>
          <w:rFonts w:hAnsi="宋体"/>
          <w:sz w:val="24"/>
          <w:szCs w:val="24"/>
        </w:rPr>
        <w:t>、化工、钢铁、电力等工业</w:t>
      </w:r>
      <w:r>
        <w:rPr>
          <w:rFonts w:hAnsi="宋体" w:hint="eastAsia"/>
          <w:sz w:val="24"/>
          <w:szCs w:val="24"/>
        </w:rPr>
        <w:t>企业</w:t>
      </w:r>
      <w:r>
        <w:rPr>
          <w:sz w:val="24"/>
        </w:rPr>
        <w:t>推荐采用本标准。</w:t>
      </w:r>
    </w:p>
    <w:p w14:paraId="2BA235EF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废止现行有关标准的建议</w:t>
      </w:r>
    </w:p>
    <w:p w14:paraId="105FB628" w14:textId="77777777" w:rsidR="004773CD" w:rsidRDefault="00000000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t>无。</w:t>
      </w:r>
    </w:p>
    <w:p w14:paraId="6B50FE16" w14:textId="77777777" w:rsidR="004773CD" w:rsidRDefault="00000000">
      <w:pPr>
        <w:numPr>
          <w:ilvl w:val="0"/>
          <w:numId w:val="1"/>
        </w:numPr>
        <w:spacing w:beforeLines="50" w:before="156" w:afterLines="50" w:after="156" w:line="400" w:lineRule="exact"/>
        <w:rPr>
          <w:rFonts w:ascii="宋体" w:hAnsi="宋体" w:hint="eastAsia"/>
          <w:b/>
          <w:bCs/>
          <w:kern w:val="44"/>
          <w:sz w:val="30"/>
          <w:szCs w:val="30"/>
        </w:rPr>
      </w:pPr>
      <w:r>
        <w:rPr>
          <w:rFonts w:ascii="宋体" w:hAnsi="宋体" w:hint="eastAsia"/>
          <w:b/>
          <w:bCs/>
          <w:kern w:val="44"/>
          <w:sz w:val="30"/>
          <w:szCs w:val="30"/>
        </w:rPr>
        <w:t>其他应予说明的事项</w:t>
      </w:r>
    </w:p>
    <w:p w14:paraId="089CD813" w14:textId="77777777" w:rsidR="004773CD" w:rsidRDefault="00000000">
      <w:pPr>
        <w:spacing w:line="360" w:lineRule="auto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无。</w:t>
      </w:r>
    </w:p>
    <w:p w14:paraId="74911D07" w14:textId="77777777" w:rsidR="004773CD" w:rsidRDefault="004773CD">
      <w:pPr>
        <w:autoSpaceDE w:val="0"/>
        <w:autoSpaceDN w:val="0"/>
        <w:adjustRightInd w:val="0"/>
        <w:spacing w:line="400" w:lineRule="exact"/>
        <w:ind w:firstLineChars="200" w:firstLine="420"/>
        <w:jc w:val="right"/>
        <w:rPr>
          <w:color w:val="000000"/>
          <w:szCs w:val="22"/>
        </w:rPr>
      </w:pPr>
    </w:p>
    <w:sectPr w:rsidR="00477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19E9" w14:textId="77777777" w:rsidR="00D6790D" w:rsidRDefault="00D6790D" w:rsidP="00356469">
      <w:r>
        <w:separator/>
      </w:r>
    </w:p>
  </w:endnote>
  <w:endnote w:type="continuationSeparator" w:id="0">
    <w:p w14:paraId="4C9394CF" w14:textId="77777777" w:rsidR="00D6790D" w:rsidRDefault="00D6790D" w:rsidP="0035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6C69" w14:textId="77777777" w:rsidR="00D6790D" w:rsidRDefault="00D6790D" w:rsidP="00356469">
      <w:r>
        <w:separator/>
      </w:r>
    </w:p>
  </w:footnote>
  <w:footnote w:type="continuationSeparator" w:id="0">
    <w:p w14:paraId="0850683F" w14:textId="77777777" w:rsidR="00D6790D" w:rsidRDefault="00D6790D" w:rsidP="00356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D8CF57"/>
    <w:multiLevelType w:val="singleLevel"/>
    <w:tmpl w:val="87D8CF57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C957128"/>
    <w:multiLevelType w:val="multilevel"/>
    <w:tmpl w:val="1C957128"/>
    <w:lvl w:ilvl="0">
      <w:start w:val="1"/>
      <w:numFmt w:val="chineseCounting"/>
      <w:lvlText w:val="%1、"/>
      <w:lvlJc w:val="left"/>
      <w:pPr>
        <w:tabs>
          <w:tab w:val="left" w:pos="420"/>
        </w:tabs>
        <w:ind w:left="420" w:hanging="420"/>
      </w:pPr>
      <w:rPr>
        <w:rFonts w:ascii="等线" w:eastAsia="等线" w:hAnsi="等线" w:cs="等线" w:hint="eastAsia"/>
      </w:rPr>
    </w:lvl>
    <w:lvl w:ilvl="1">
      <w:start w:val="1"/>
      <w:numFmt w:val="decimal"/>
      <w:isLgl/>
      <w:lvlText w:val="%1.%2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  <w:b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ascii="黑体" w:eastAsia="黑体"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ascii="黑体" w:eastAsia="黑体"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ascii="黑体" w:eastAsia="黑体"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080"/>
        </w:tabs>
        <w:ind w:left="1080" w:hanging="1080"/>
      </w:pPr>
      <w:rPr>
        <w:rFonts w:ascii="黑体" w:eastAsia="黑体"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080"/>
        </w:tabs>
        <w:ind w:left="1080" w:hanging="1080"/>
      </w:pPr>
      <w:rPr>
        <w:rFonts w:ascii="黑体" w:eastAsia="黑体"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ascii="黑体" w:eastAsia="黑体"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1440"/>
        </w:tabs>
        <w:ind w:left="1440" w:hanging="1440"/>
      </w:pPr>
      <w:rPr>
        <w:rFonts w:ascii="黑体" w:eastAsia="黑体" w:hint="eastAsia"/>
      </w:rPr>
    </w:lvl>
  </w:abstractNum>
  <w:num w:numId="1" w16cid:durableId="758713445">
    <w:abstractNumId w:val="1"/>
  </w:num>
  <w:num w:numId="2" w16cid:durableId="65071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A0ZDM1YTllZTNmMDhkZDI5NTljYmI0ZTZiZDYyYTQifQ=="/>
  </w:docVars>
  <w:rsids>
    <w:rsidRoot w:val="000E6898"/>
    <w:rsid w:val="00036437"/>
    <w:rsid w:val="000442E4"/>
    <w:rsid w:val="0004756C"/>
    <w:rsid w:val="00051154"/>
    <w:rsid w:val="000762B1"/>
    <w:rsid w:val="000B1043"/>
    <w:rsid w:val="000B67F8"/>
    <w:rsid w:val="000E6898"/>
    <w:rsid w:val="00102604"/>
    <w:rsid w:val="001037F8"/>
    <w:rsid w:val="00111A29"/>
    <w:rsid w:val="0014268C"/>
    <w:rsid w:val="001B5164"/>
    <w:rsid w:val="001C2FD0"/>
    <w:rsid w:val="001C6D5A"/>
    <w:rsid w:val="001D2BC4"/>
    <w:rsid w:val="001E1665"/>
    <w:rsid w:val="001F0004"/>
    <w:rsid w:val="001F39A7"/>
    <w:rsid w:val="002563FE"/>
    <w:rsid w:val="00283322"/>
    <w:rsid w:val="00283772"/>
    <w:rsid w:val="002B7651"/>
    <w:rsid w:val="002D51ED"/>
    <w:rsid w:val="002F2470"/>
    <w:rsid w:val="00343EDC"/>
    <w:rsid w:val="00355FDB"/>
    <w:rsid w:val="00356469"/>
    <w:rsid w:val="00383E1E"/>
    <w:rsid w:val="00384E50"/>
    <w:rsid w:val="003A2442"/>
    <w:rsid w:val="003A4785"/>
    <w:rsid w:val="003B29CF"/>
    <w:rsid w:val="003B2FA1"/>
    <w:rsid w:val="003C6FE3"/>
    <w:rsid w:val="003E03D1"/>
    <w:rsid w:val="003F1DB3"/>
    <w:rsid w:val="004076BD"/>
    <w:rsid w:val="004134E7"/>
    <w:rsid w:val="004214B1"/>
    <w:rsid w:val="00421DB6"/>
    <w:rsid w:val="004531BA"/>
    <w:rsid w:val="004773CD"/>
    <w:rsid w:val="004841AE"/>
    <w:rsid w:val="004848FF"/>
    <w:rsid w:val="00486587"/>
    <w:rsid w:val="004A222C"/>
    <w:rsid w:val="004A2EF3"/>
    <w:rsid w:val="004B6BA2"/>
    <w:rsid w:val="0056476D"/>
    <w:rsid w:val="005773EB"/>
    <w:rsid w:val="00594835"/>
    <w:rsid w:val="005A0925"/>
    <w:rsid w:val="005B0541"/>
    <w:rsid w:val="005C5552"/>
    <w:rsid w:val="005F3350"/>
    <w:rsid w:val="005F6170"/>
    <w:rsid w:val="0061152C"/>
    <w:rsid w:val="0061230B"/>
    <w:rsid w:val="00633D6A"/>
    <w:rsid w:val="00651ACC"/>
    <w:rsid w:val="00674E02"/>
    <w:rsid w:val="006A7615"/>
    <w:rsid w:val="006D313D"/>
    <w:rsid w:val="0073356E"/>
    <w:rsid w:val="00751377"/>
    <w:rsid w:val="0075362F"/>
    <w:rsid w:val="00756C42"/>
    <w:rsid w:val="00761C5A"/>
    <w:rsid w:val="00782759"/>
    <w:rsid w:val="007930E0"/>
    <w:rsid w:val="007A49D5"/>
    <w:rsid w:val="007C4D7A"/>
    <w:rsid w:val="007E0121"/>
    <w:rsid w:val="007E50A1"/>
    <w:rsid w:val="00820212"/>
    <w:rsid w:val="00825953"/>
    <w:rsid w:val="00886836"/>
    <w:rsid w:val="008A6E10"/>
    <w:rsid w:val="008C0945"/>
    <w:rsid w:val="008E1996"/>
    <w:rsid w:val="00914E18"/>
    <w:rsid w:val="00925D18"/>
    <w:rsid w:val="009425C7"/>
    <w:rsid w:val="00962435"/>
    <w:rsid w:val="009B705A"/>
    <w:rsid w:val="009B78A0"/>
    <w:rsid w:val="009D06D4"/>
    <w:rsid w:val="009D4CA5"/>
    <w:rsid w:val="00A15C6E"/>
    <w:rsid w:val="00A17C9C"/>
    <w:rsid w:val="00A64D4A"/>
    <w:rsid w:val="00AB2FC1"/>
    <w:rsid w:val="00B15629"/>
    <w:rsid w:val="00B16896"/>
    <w:rsid w:val="00B20D74"/>
    <w:rsid w:val="00B33E34"/>
    <w:rsid w:val="00B97B89"/>
    <w:rsid w:val="00BB52DB"/>
    <w:rsid w:val="00BC13D2"/>
    <w:rsid w:val="00BC51AC"/>
    <w:rsid w:val="00BF7A05"/>
    <w:rsid w:val="00C14867"/>
    <w:rsid w:val="00C20379"/>
    <w:rsid w:val="00C24B5A"/>
    <w:rsid w:val="00C808B2"/>
    <w:rsid w:val="00C93F62"/>
    <w:rsid w:val="00CC5461"/>
    <w:rsid w:val="00CE30ED"/>
    <w:rsid w:val="00CF1602"/>
    <w:rsid w:val="00D058ED"/>
    <w:rsid w:val="00D25690"/>
    <w:rsid w:val="00D603DC"/>
    <w:rsid w:val="00D6790D"/>
    <w:rsid w:val="00DB50AC"/>
    <w:rsid w:val="00DB6F9A"/>
    <w:rsid w:val="00E405F8"/>
    <w:rsid w:val="00E737FA"/>
    <w:rsid w:val="00EA320E"/>
    <w:rsid w:val="00F20974"/>
    <w:rsid w:val="00F555AF"/>
    <w:rsid w:val="00F8157A"/>
    <w:rsid w:val="00F95A8A"/>
    <w:rsid w:val="00FA63D5"/>
    <w:rsid w:val="0793760A"/>
    <w:rsid w:val="08157C3F"/>
    <w:rsid w:val="236D26F5"/>
    <w:rsid w:val="2E23585B"/>
    <w:rsid w:val="36941014"/>
    <w:rsid w:val="37996F99"/>
    <w:rsid w:val="571C7114"/>
    <w:rsid w:val="57B10372"/>
    <w:rsid w:val="5F681772"/>
    <w:rsid w:val="63EE48D7"/>
    <w:rsid w:val="64296608"/>
    <w:rsid w:val="6C304BB4"/>
    <w:rsid w:val="7B7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B18C6"/>
  <w15:docId w15:val="{AC5C23DD-F3A8-44A9-91E8-40C6E648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autoRedefine/>
    <w:uiPriority w:val="39"/>
    <w:qFormat/>
    <w:pPr>
      <w:jc w:val="both"/>
    </w:pPr>
    <w:rPr>
      <w:rFonts w:ascii="宋体" w:eastAsia="宋体" w:hAnsi="Times New Roman" w:cs="Times New Roman"/>
      <w:sz w:val="21"/>
    </w:rPr>
  </w:style>
  <w:style w:type="paragraph" w:styleId="aa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">
    <w:name w:val="段 Char"/>
    <w:link w:val="af"/>
    <w:autoRedefine/>
    <w:qFormat/>
    <w:rPr>
      <w:rFonts w:ascii="宋体"/>
    </w:rPr>
  </w:style>
  <w:style w:type="paragraph" w:customStyle="1" w:styleId="af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1"/>
      <w:szCs w:val="22"/>
    </w:rPr>
  </w:style>
  <w:style w:type="paragraph" w:customStyle="1" w:styleId="af0">
    <w:name w:val="封面标准文稿类别"/>
    <w:autoRedefine/>
    <w:qFormat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customStyle="1" w:styleId="TableParagraph">
    <w:name w:val="Table Paragraph"/>
    <w:basedOn w:val="a"/>
    <w:autoRedefine/>
    <w:uiPriority w:val="1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2">
    <w:name w:val="三级条标题"/>
    <w:basedOn w:val="a"/>
    <w:next w:val="af"/>
    <w:autoRedefine/>
    <w:uiPriority w:val="99"/>
    <w:qFormat/>
    <w:pPr>
      <w:widowControl/>
      <w:outlineLvl w:val="4"/>
    </w:pPr>
    <w:rPr>
      <w:rFonts w:ascii="黑体" w:eastAsia="黑体"/>
      <w:kern w:val="0"/>
    </w:rPr>
  </w:style>
  <w:style w:type="paragraph" w:customStyle="1" w:styleId="af3">
    <w:name w:val="标准文件_段"/>
    <w:link w:val="Char0"/>
    <w:autoRedefine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Char0">
    <w:name w:val="标准文件_段 Char"/>
    <w:link w:val="af3"/>
    <w:autoRedefine/>
    <w:qFormat/>
    <w:rPr>
      <w:rFonts w:ascii="宋体" w:eastAsia="宋体" w:hAnsi="Times New Roman" w:cs="Times New Roman"/>
      <w:sz w:val="21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927</Words>
  <Characters>983</Characters>
  <Application>Microsoft Office Word</Application>
  <DocSecurity>0</DocSecurity>
  <Lines>49</Lines>
  <Paragraphs>48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gyzyw</dc:creator>
  <cp:lastModifiedBy>汉聪 冯</cp:lastModifiedBy>
  <cp:revision>28</cp:revision>
  <dcterms:created xsi:type="dcterms:W3CDTF">2024-08-02T09:09:00Z</dcterms:created>
  <dcterms:modified xsi:type="dcterms:W3CDTF">2025-12-28T23:50:00Z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95C877EC3C7C41C59B0BBCB8536E87B5_13</vt:lpwstr>
  </property>
  <property fmtid="{D5CDD505-2E9C-101B-9397-08002B2CF9AE}" pid="4" name="GrammarlyDocumentId">
    <vt:lpwstr>43cd19e12233ce6ce68162ac1360879a61a7e1f44ab35c6e5609a7369e33b62d</vt:lpwstr>
  </property>
  <property fmtid="{D5CDD505-2E9C-101B-9397-08002B2CF9AE}" pid="5" name="KSOTemplateDocerSaveRecord">
    <vt:lpwstr>eyJoZGlkIjoiNjkxNGY5M2RiODBhODE3ZjhkNTllYmVlNWFjMTJhZjciLCJ1c2VySWQiOiIyNzY4MTIxMTQifQ==</vt:lpwstr>
  </property>
  <property fmtid="{D5CDD505-2E9C-101B-9397-08002B2CF9AE}" pid="6" name="EagleCloud">
    <vt:lpwstr>61676334b4e8422151e43967553014381f5e06876ebe2bbce66cedec39aecaac62ef1da9bcf4f2a6fe3944179dc06f0964480483846100e6bff331b159682aad39364240fb3cb2ed3f5b47b5a74b7b51d709f9fddb82623d50320f0c30577e0e7ace0c7ce036d5c280ea74225596bcea370a19f7d146a74528bf6b4cc8cb5bc</vt:lpwstr>
  </property>
  <property fmtid="{D5CDD505-2E9C-101B-9397-08002B2CF9AE}" pid="7" name="EagleCloud1">
    <vt:lpwstr>a9ffd12b28481fbbcbef8128b1488aa4ffaaff2f3ccf1d94ae225c59772c3c33d5c97ceb560b256d2e2b0e234dbbfe8a50aa2f7394dd27423cfcdd16efc0745dcc723aa3b34f48ddb3b34f775f0f98c7fd6d0c6504fbf436ed2a150575271ed058c422ea2f969177caabec18c0dfd712f734e49483228b8915205a3879b0de4</vt:lpwstr>
  </property>
  <property fmtid="{D5CDD505-2E9C-101B-9397-08002B2CF9AE}" pid="8" name="EagleCloud2">
    <vt:lpwstr>9eda44a73c616652fe91b8bfa14abb2b36ed8e7eb3a34113cae1bc1ac9756b2f1c384e6980c8a2f968d0c0ca6411ecc8f3f3ca47a902e531437b4c52c21f05be5d93487d9633b229ad1f25e6b53be4eb36ed90b9025c039829ce26841d6e6f8a5cfaaff2f3ccf1d94ae225c59772c3c33d5c97ceb560b256d2e2b0e234dbbfe</vt:lpwstr>
  </property>
  <property fmtid="{D5CDD505-2E9C-101B-9397-08002B2CF9AE}" pid="9" name="EagleCloud3">
    <vt:lpwstr>8a50aa2f7394dd27423cfcdd16efc0745dc106d5e2402facabef03c97657498d8ad35c3e9606e6334cbc59d15a2ae4c290a03c36927114c12d8b3bc982b2f58048e</vt:lpwstr>
  </property>
</Properties>
</file>