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C77C8">
      <w:pPr>
        <w:framePr w:w="2268" w:h="1134" w:hRule="exact" w:vSpace="181" w:wrap="around" w:vAnchor="page" w:hAnchor="page" w:x="8165" w:y="738" w:anchorLock="1"/>
        <w:spacing w:line="240" w:lineRule="atLeast"/>
        <w:rPr>
          <w:rFonts w:ascii="黑体" w:hAnsi="黑体" w:eastAsia="黑体" w:cs="黑体"/>
          <w:sz w:val="112"/>
          <w:szCs w:val="112"/>
        </w:rPr>
      </w:pPr>
      <w:sdt>
        <w:sdtPr>
          <w:rPr>
            <w:rFonts w:hint="eastAsia" w:ascii="Times New Roman" w:hAnsi="Times New Roman" w:eastAsia="宋体" w:cs="Times New Roman"/>
            <w:b/>
            <w:w w:val="150"/>
            <w:kern w:val="0"/>
            <w:sz w:val="96"/>
            <w:szCs w:val="96"/>
            <w:lang w:val="en-US" w:eastAsia="zh-CN" w:bidi="ar-SA"/>
          </w:rPr>
          <w:id w:val="147454156"/>
          <w:placeholder>
            <w:docPart w:val="{1f1e0937-a82e-4ec8-9be4-fd84868de435}"/>
          </w:placeholder>
          <w:text/>
        </w:sdtPr>
        <w:sdtEndPr>
          <w:rPr>
            <w:rFonts w:hint="eastAsia" w:ascii="黑体" w:hAnsi="黑体" w:eastAsia="黑体" w:cs="黑体"/>
            <w:b/>
            <w:w w:val="150"/>
            <w:kern w:val="0"/>
            <w:sz w:val="112"/>
            <w:szCs w:val="112"/>
            <w:lang w:val="en-US" w:eastAsia="zh-CN" w:bidi="ar-SA"/>
          </w:rPr>
        </w:sdtEndPr>
        <w:sdtContent>
          <w:bookmarkStart w:id="0" w:name="_Hlk26473981"/>
          <w:r>
            <w:rPr>
              <w:rFonts w:hint="eastAsia" w:ascii="Times New Roman" w:hAnsi="Times New Roman" w:cs="Times New Roman"/>
              <w:b/>
              <w:w w:val="150"/>
              <w:kern w:val="0"/>
              <w:sz w:val="96"/>
              <w:szCs w:val="96"/>
              <w:lang w:val="en-US" w:eastAsia="zh-CN" w:bidi="ar-SA"/>
            </w:rPr>
            <w:t>T</w:t>
          </w:r>
        </w:sdtContent>
      </w:sdt>
    </w:p>
    <w:p w14:paraId="793C0001">
      <w:pPr>
        <w:pStyle w:val="55"/>
        <w:framePr w:h="624" w:hRule="exact" w:hSpace="181" w:vSpace="181" w:wrap="around" w:hAnchor="page" w:x="1418" w:y="2269"/>
        <w:rPr>
          <w:rFonts w:ascii="黑体" w:hAnsi="黑体" w:eastAsia="黑体"/>
          <w:b w:val="0"/>
          <w:bCs w:val="0"/>
          <w:w w:val="100"/>
          <w:sz w:val="48"/>
          <w:szCs w:val="48"/>
        </w:rPr>
      </w:pPr>
      <w:sdt>
        <w:sdtPr>
          <w:rPr>
            <w:rFonts w:hint="eastAsia" w:ascii="黑体" w:hAnsi="黑体" w:eastAsia="黑体"/>
            <w:b w:val="0"/>
            <w:bCs w:val="0"/>
            <w:w w:val="100"/>
            <w:sz w:val="48"/>
            <w:szCs w:val="48"/>
          </w:rPr>
          <w:id w:val="147474807"/>
          <w:placeholder>
            <w:docPart w:val="{49969bb0-c0e8-49c0-a6f1-0eb642947298}"/>
          </w:placeholder>
          <w:text/>
        </w:sdtPr>
        <w:sdtEndPr>
          <w:rPr>
            <w:rFonts w:hint="eastAsia" w:ascii="黑体" w:hAnsi="黑体" w:eastAsia="黑体"/>
            <w:b w:val="0"/>
            <w:bCs w:val="0"/>
            <w:w w:val="100"/>
            <w:sz w:val="48"/>
            <w:szCs w:val="48"/>
          </w:rPr>
        </w:sdtEndPr>
        <w:sdtContent>
          <w:r>
            <w:rPr>
              <w:rFonts w:hint="eastAsia" w:ascii="黑体" w:hAnsi="黑体" w:eastAsia="黑体"/>
              <w:b w:val="0"/>
              <w:bCs w:val="0"/>
              <w:w w:val="100"/>
              <w:sz w:val="48"/>
              <w:szCs w:val="48"/>
              <w:lang w:val="en-US" w:eastAsia="zh-CN"/>
            </w:rPr>
            <w:t>团体</w:t>
          </w:r>
          <w:r>
            <w:rPr>
              <w:rFonts w:hint="eastAsia" w:ascii="黑体" w:hAnsi="黑体" w:eastAsia="黑体"/>
              <w:b w:val="0"/>
              <w:bCs w:val="0"/>
              <w:w w:val="100"/>
              <w:sz w:val="48"/>
              <w:szCs w:val="48"/>
            </w:rPr>
            <w:t>标准</w:t>
          </w:r>
        </w:sdtContent>
      </w:sdt>
    </w:p>
    <w:bookmarkEnd w:id="0"/>
    <w:p w14:paraId="0DD92A17">
      <w:pPr>
        <w:pStyle w:val="200"/>
        <w:outlineLvl w:val="0"/>
      </w:pPr>
      <w:r>
        <w:rPr>
          <w:rFonts w:hint="eastAsia"/>
        </w:rPr>
        <w:t xml:space="preserve">  </w:t>
      </w:r>
      <w:bookmarkStart w:id="1" w:name="_Toc26182"/>
      <w:bookmarkStart w:id="2" w:name="_Toc8719"/>
      <w:bookmarkStart w:id="3" w:name="_Toc9063"/>
      <w:bookmarkStart w:id="4" w:name="_Toc4526"/>
      <w:bookmarkStart w:id="5" w:name="_Toc1598"/>
      <w:bookmarkStart w:id="6" w:name="_Toc12742"/>
      <w:bookmarkStart w:id="7" w:name="_Toc14530"/>
      <w:bookmarkStart w:id="8" w:name="_Toc13315"/>
      <w:bookmarkStart w:id="9" w:name="_Toc231"/>
      <w:sdt>
        <w:sdtPr>
          <w:tag w:val="xxyemei"/>
          <w:id w:val="147451455"/>
          <w:placeholder>
            <w:docPart w:val="{d796bbc5-5406-4888-b2f3-c36bbee649d3}"/>
          </w:placeholder>
          <w:text/>
        </w:sdtPr>
        <w:sdtEndPr>
          <w:rPr>
            <w:rFonts w:hint="eastAsia"/>
          </w:rPr>
        </w:sdtEndPr>
        <w:sdtContent>
          <w:r>
            <w:rPr>
              <w:rFonts w:hint="eastAsia"/>
              <w:highlight w:val="lightGray"/>
            </w:rPr>
            <w:t>T</w:t>
          </w:r>
        </w:sdtContent>
      </w:sdt>
      <w:r>
        <w:rPr>
          <w:rFonts w:hint="eastAsia"/>
        </w:rPr>
        <w:t xml:space="preserve"> </w:t>
      </w:r>
      <w:sdt>
        <w:sdtPr>
          <w:rPr>
            <w:rFonts w:hint="eastAsia"/>
          </w:rPr>
          <w:tag w:val="xxyemei1"/>
          <w:id w:val="147451269"/>
          <w:placeholder>
            <w:docPart w:val="{a159c448-9bec-458e-ba63-7bdd8bfb8f76}"/>
          </w:placeholder>
          <w:showingPlcHdr/>
          <w:text/>
        </w:sdtPr>
        <w:sdtEndPr>
          <w:rPr>
            <w:rFonts w:hint="eastAsia"/>
          </w:rPr>
        </w:sdtEndPr>
        <w:sdtContent>
          <w:r>
            <w:rPr>
              <w:highlight w:val="lightGray"/>
              <w:lang w:val="fr-FR"/>
            </w:rPr>
            <w:t>XXXXX</w:t>
          </w:r>
        </w:sdtContent>
      </w:sdt>
      <w:r>
        <w:rPr>
          <w:rFonts w:hAnsi="黑体"/>
          <w:lang w:val="fr-FR"/>
        </w:rPr>
        <w:t>—</w:t>
      </w:r>
      <w:sdt>
        <w:sdtPr>
          <w:rPr>
            <w:rFonts w:hAnsi="黑体"/>
          </w:rPr>
          <w:tag w:val="xxyemei2"/>
          <w:id w:val="147456507"/>
          <w:placeholder>
            <w:docPart w:val="{86a5e2ac-a33b-4672-9de4-69e66b7a0c36}"/>
          </w:placeholder>
          <w:text/>
        </w:sdtPr>
        <w:sdtEndPr>
          <w:rPr>
            <w:rFonts w:hAnsi="黑体"/>
          </w:rPr>
        </w:sdtEndPr>
        <w:sdtContent>
          <w:r>
            <w:rPr>
              <w:rFonts w:hint="eastAsia"/>
              <w:highlight w:val="lightGray"/>
            </w:rPr>
            <w:t>202X</w:t>
          </w:r>
        </w:sdtContent>
      </w:sdt>
      <w:bookmarkEnd w:id="1"/>
      <w:bookmarkEnd w:id="2"/>
      <w:bookmarkEnd w:id="3"/>
      <w:bookmarkEnd w:id="4"/>
      <w:bookmarkEnd w:id="5"/>
      <w:bookmarkEnd w:id="6"/>
      <w:bookmarkEnd w:id="7"/>
      <w:bookmarkEnd w:id="8"/>
      <w:bookmarkEnd w:id="9"/>
    </w:p>
    <w:p w14:paraId="5F307445">
      <w:pPr>
        <w:pStyle w:val="201"/>
        <w:rPr>
          <w:rFonts w:hAnsi="宋体"/>
          <w:lang w:val="fr-FR" w:bidi="ar"/>
        </w:rPr>
      </w:pPr>
      <w:sdt>
        <w:sdtPr>
          <w:rPr>
            <w:rFonts w:hint="eastAsia" w:hAnsi="宋体"/>
            <w:lang w:bidi="ar"/>
          </w:rPr>
          <w:tag w:val="daiTihangye"/>
          <w:id w:val="147453898"/>
          <w:placeholder>
            <w:docPart w:val="{6c9195f8-b69f-498b-bbf5-ca727fd4d966}"/>
          </w:placeholder>
          <w:showingPlcHdr/>
        </w:sdtPr>
        <w:sdtEndPr>
          <w:rPr>
            <w:rFonts w:hint="eastAsia" w:hAnsi="宋体"/>
            <w:lang w:bidi="ar"/>
          </w:rPr>
        </w:sdtEndPr>
        <w:sdtContent>
          <w:r>
            <w:rPr>
              <w:color w:val="808080"/>
              <w:highlight w:val="lightGray"/>
            </w:rPr>
            <w:t xml:space="preserve">   </w:t>
          </w:r>
        </w:sdtContent>
      </w:sdt>
    </w:p>
    <w:sdt>
      <w:sdtPr>
        <w:rPr>
          <w:rFonts w:ascii="黑体" w:hAnsi="宋体" w:eastAsia="黑体" w:cs="黑体"/>
          <w:sz w:val="21"/>
          <w:szCs w:val="21"/>
          <w:lang w:bidi="ar"/>
        </w:rPr>
        <w:id w:val="147462448"/>
        <w:placeholder>
          <w:docPart w:val="{0b929a9d-a2f7-4fb8-8621-155619d1cec5}"/>
        </w:placeholder>
      </w:sdtPr>
      <w:sdtEndPr>
        <w:rPr>
          <w:rFonts w:ascii="黑体" w:hAnsi="宋体" w:eastAsia="黑体" w:cs="黑体"/>
          <w:b/>
          <w:bCs/>
          <w:sz w:val="21"/>
          <w:szCs w:val="21"/>
          <w:lang w:bidi="ar"/>
        </w:rPr>
      </w:sdtEndPr>
      <w:sdtContent>
        <w:p w14:paraId="60E95295">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ICS </w:t>
          </w:r>
          <w:r>
            <w:rPr>
              <w:rFonts w:hint="eastAsia" w:ascii="黑体" w:hAnsi="黑体" w:eastAsia="黑体"/>
              <w:sz w:val="21"/>
              <w:szCs w:val="21"/>
              <w:lang w:val="en-US" w:eastAsia="zh-CN"/>
            </w:rPr>
            <w:t>29.120</w:t>
          </w:r>
        </w:p>
        <w:p w14:paraId="7211FDF6">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CCS </w:t>
          </w:r>
          <w:r>
            <w:rPr>
              <w:rFonts w:hint="eastAsia" w:ascii="黑体" w:hAnsi="黑体" w:eastAsia="黑体"/>
              <w:sz w:val="21"/>
              <w:szCs w:val="21"/>
              <w:lang w:val="en-US" w:eastAsia="zh-CN"/>
            </w:rPr>
            <w:t>K 40</w:t>
          </w:r>
        </w:p>
        <w:p w14:paraId="3748AC6C">
          <w:pPr>
            <w:pStyle w:val="19"/>
            <w:framePr w:w="5505" w:h="900" w:hRule="exact" w:wrap="notBeside" w:vAnchor="page" w:hAnchor="page" w:x="1418" w:y="568"/>
            <w:tabs>
              <w:tab w:val="clear" w:pos="4153"/>
              <w:tab w:val="clear" w:pos="8306"/>
            </w:tabs>
            <w:spacing w:line="240" w:lineRule="auto"/>
            <w:ind w:left="3"/>
            <w:jc w:val="left"/>
            <w:rPr>
              <w:rFonts w:ascii="黑体" w:hAnsi="宋体" w:eastAsia="黑体" w:cs="黑体"/>
              <w:b/>
              <w:bCs/>
              <w:sz w:val="21"/>
              <w:szCs w:val="21"/>
              <w:lang w:bidi="ar"/>
            </w:rPr>
          </w:pPr>
        </w:p>
      </w:sdtContent>
    </w:sdt>
    <w:p w14:paraId="7A0B6DD8">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381E3AB">
      <w:pPr>
        <w:pStyle w:val="55"/>
        <w:framePr w:w="9639" w:h="6976" w:hRule="exact" w:hSpace="0" w:vSpace="0" w:wrap="around" w:hAnchor="page" w:y="6408"/>
        <w:jc w:val="center"/>
        <w:rPr>
          <w:rFonts w:ascii="黑体" w:hAnsi="黑体" w:eastAsia="黑体"/>
          <w:b w:val="0"/>
          <w:bCs w:val="0"/>
          <w:w w:val="100"/>
          <w:lang w:val="fr-FR"/>
        </w:rPr>
      </w:pPr>
    </w:p>
    <w:p w14:paraId="4907D5B0">
      <w:pPr>
        <w:pStyle w:val="202"/>
        <w:framePr w:w="9638" w:h="6973" w:hRule="exact" w:wrap="around" w:x="1418" w:y="6407"/>
        <w:rPr>
          <w:rFonts w:hint="eastAsia" w:hAnsi="宋体"/>
          <w:lang w:bidi="ar"/>
        </w:rPr>
      </w:pPr>
      <w:sdt>
        <w:sdtPr>
          <w:rPr>
            <w:rFonts w:hint="eastAsia" w:hAnsi="宋体"/>
            <w:lang w:bidi="ar"/>
          </w:rPr>
          <w:id w:val="147453738"/>
          <w:placeholder>
            <w:docPart w:val="{67d0d06c-ef95-4110-8830-86c9be6c5241}"/>
          </w:placeholder>
        </w:sdtPr>
        <w:sdtEndPr>
          <w:rPr>
            <w:rFonts w:hint="eastAsia" w:hAnsi="宋体"/>
            <w:lang w:bidi="ar"/>
          </w:rPr>
        </w:sdtEndPr>
        <w:sdtContent>
          <w:r>
            <w:rPr>
              <w:rFonts w:hint="eastAsia" w:hAnsi="宋体"/>
              <w:lang w:bidi="ar"/>
            </w:rPr>
            <w:t>智能综合配电箱（JP柜）技术规范</w:t>
          </w:r>
        </w:sdtContent>
      </w:sdt>
    </w:p>
    <w:p w14:paraId="4C9D8E1D">
      <w:pPr>
        <w:framePr w:w="9638" w:h="6973" w:hRule="exact" w:wrap="around" w:vAnchor="page" w:hAnchor="page" w:x="1418" w:y="6407"/>
        <w:ind w:left="-1418"/>
      </w:pPr>
    </w:p>
    <w:sdt>
      <w:sdtPr>
        <w:rPr>
          <w:rFonts w:hint="default" w:ascii="Times New Roman" w:hAnsi="Times New Roman" w:cs="Times New Roman"/>
        </w:rPr>
        <w:tag w:val="standardEnName"/>
        <w:id w:val="147463862"/>
        <w:placeholder>
          <w:docPart w:val="{9ab45570-4d49-4a33-b76c-3b5a8a0b582b}"/>
        </w:placeholder>
      </w:sdtPr>
      <w:sdtEndPr>
        <w:rPr>
          <w:rFonts w:hint="default" w:ascii="Times New Roman" w:hAnsi="Times New Roman" w:cs="Times New Roman"/>
        </w:rPr>
      </w:sdtEndPr>
      <w:sdtContent>
        <w:p w14:paraId="62BC622E">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r>
            <w:rPr>
              <w:rFonts w:hint="default" w:ascii="Times New Roman" w:hAnsi="Times New Roman" w:cs="Times New Roman"/>
            </w:rPr>
            <w:t>Intelligent comprehensive distribution cabinet (JP cabinet</w:t>
          </w:r>
          <w:r>
            <w:rPr>
              <w:rFonts w:hint="eastAsia" w:ascii="Times New Roman" w:hAnsi="Times New Roman" w:cs="Times New Roman"/>
              <w:lang w:eastAsia="zh-CN"/>
            </w:rPr>
            <w:t>）</w:t>
          </w:r>
          <w:r>
            <w:rPr>
              <w:rFonts w:hint="default" w:ascii="Times New Roman" w:hAnsi="Times New Roman" w:cs="Times New Roman"/>
            </w:rPr>
            <w:t>technical specification</w:t>
          </w:r>
        </w:p>
        <w:p w14:paraId="3030983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p w14:paraId="5361CBD2">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sdtContent>
    </w:sdt>
    <w:p w14:paraId="69D51698">
      <w:pPr>
        <w:framePr w:w="9638" w:h="6973" w:hRule="exact" w:wrap="around" w:vAnchor="page" w:hAnchor="page" w:x="1418" w:y="6407"/>
        <w:spacing w:line="760" w:lineRule="exact"/>
        <w:ind w:left="-1418"/>
      </w:pPr>
    </w:p>
    <w:p w14:paraId="2ED0C739">
      <w:pPr>
        <w:pStyle w:val="130"/>
        <w:framePr w:w="9638" w:h="6973" w:hRule="exact" w:wrap="around" w:vAnchor="page" w:hAnchor="page" w:x="1418" w:y="6407"/>
        <w:widowControl/>
        <w:textAlignment w:val="bottom"/>
        <w:rPr>
          <w:szCs w:val="28"/>
        </w:rPr>
      </w:pPr>
      <w:sdt>
        <w:sdtPr>
          <w:rPr>
            <w:rStyle w:val="237"/>
          </w:rPr>
          <w:tag w:val="biaoshi"/>
          <w:id w:val="147453493"/>
          <w:placeholder>
            <w:docPart w:val="{8b93df19-d3a2-4cf6-af64-545a8cba65b9}"/>
          </w:placeholder>
          <w:showingPlcHdr/>
        </w:sdtPr>
        <w:sdtEndPr>
          <w:rPr>
            <w:rStyle w:val="237"/>
            <w:rFonts w:ascii="Times New Roman" w:hAnsi="Times New Roman" w:cs="Times New Roman"/>
            <w:szCs w:val="28"/>
            <w:lang w:bidi="ar"/>
          </w:rPr>
        </w:sdtEndPr>
        <w:sdtContent>
          <w:r>
            <w:rPr>
              <w:color w:val="808080"/>
            </w:rPr>
            <w:t>点击此处添加与国际标准一致性程度的标识</w:t>
          </w:r>
        </w:sdtContent>
      </w:sdt>
    </w:p>
    <w:p w14:paraId="1A778ECE">
      <w:pPr>
        <w:pStyle w:val="130"/>
        <w:framePr w:w="9638" w:h="6973" w:hRule="exact" w:wrap="around" w:vAnchor="page" w:hAnchor="page" w:x="1418" w:y="6407"/>
        <w:widowControl/>
        <w:spacing w:before="180" w:line="240" w:lineRule="atLeast"/>
        <w:textAlignment w:val="bottom"/>
        <w:rPr>
          <w:rFonts w:ascii="Times New Roman" w:hAnsi="Times New Roman" w:eastAsia="宋体"/>
          <w:lang w:bidi="ar"/>
        </w:rPr>
      </w:pPr>
      <w:sdt>
        <w:sdtPr>
          <w:rPr>
            <w:rFonts w:hint="eastAsia" w:ascii="Times New Roman" w:hAnsi="Times New Roman" w:eastAsia="宋体"/>
            <w:lang w:bidi="ar"/>
          </w:rPr>
          <w:tag w:val="caoan"/>
          <w:id w:val="147454296"/>
          <w:placeholder>
            <w:docPart w:val="{5effb42c-7e4b-4748-a553-1e3ed4a8a110}"/>
          </w:placeholder>
          <w:dropDownList>
            <w:listItem w:displayText=" " w:value=" "/>
            <w:listItem w:displayText="草案版次选择" w:value="草案版次选择"/>
            <w:listItem w:displayText="（征求意见稿）" w:value="（征求意见稿）"/>
            <w:listItem w:displayText="（送审稿）" w:value="（送审稿）"/>
            <w:listItem w:displayText="（报批稿）" w:value="（报批稿）"/>
          </w:dropDownList>
        </w:sdtPr>
        <w:sdtEndPr>
          <w:rPr>
            <w:rFonts w:hint="eastAsia" w:ascii="Times New Roman" w:hAnsi="Times New Roman" w:eastAsia="宋体"/>
            <w:lang w:bidi="ar"/>
          </w:rPr>
        </w:sdtEndPr>
        <w:sdtContent>
          <w:r>
            <w:rPr>
              <w:rFonts w:hint="eastAsia" w:ascii="Times New Roman" w:hAnsi="Times New Roman" w:eastAsia="宋体"/>
              <w:lang w:bidi="ar"/>
            </w:rPr>
            <w:t>（征求意见稿）</w:t>
          </w:r>
        </w:sdtContent>
      </w:sdt>
    </w:p>
    <w:p w14:paraId="77AE380B">
      <w:pPr>
        <w:pStyle w:val="130"/>
        <w:framePr w:w="9638" w:h="6973" w:hRule="exact" w:wrap="around" w:vAnchor="page" w:hAnchor="page" w:x="1418" w:y="6407"/>
        <w:widowControl/>
        <w:spacing w:before="180" w:line="240" w:lineRule="atLeast"/>
        <w:textAlignment w:val="bottom"/>
        <w:rPr>
          <w:rFonts w:hAnsi="宋体"/>
          <w:bCs/>
          <w:sz w:val="21"/>
          <w:szCs w:val="28"/>
          <w:lang w:bidi="ar"/>
        </w:rPr>
      </w:pPr>
      <w:sdt>
        <w:sdtPr>
          <w:tag w:val="finishTime"/>
          <w:id w:val="147452740"/>
          <w:placeholder>
            <w:docPart w:val="{6006c831-1dff-4344-a30e-bd1d19dbe4b1}"/>
          </w:placeholder>
          <w:comboBox>
            <w:listItem w:displayText=" " w:value=" "/>
            <w:listItem w:displayText="（本草案完成时间：）" w:value="（本草案完成时间：）"/>
          </w:comboBox>
        </w:sdtPr>
        <w:sdtContent>
          <w:r>
            <w:rPr>
              <w:rFonts w:hint="eastAsia"/>
            </w:rPr>
            <w:t xml:space="preserve"> </w:t>
          </w:r>
        </w:sdtContent>
      </w:sdt>
    </w:p>
    <w:sdt>
      <w:sdtPr>
        <w:rPr>
          <w:rFonts w:ascii="Times New Roman" w:hAnsi="Times New Roman" w:eastAsia="宋体"/>
          <w:b/>
          <w:sz w:val="21"/>
          <w:szCs w:val="28"/>
        </w:rPr>
        <w:tag w:val="tishi"/>
        <w:id w:val="147479773"/>
        <w:placeholder>
          <w:docPart w:val="{0c871f9c-2089-4eac-b6ff-a01e24a2ff32}"/>
        </w:placeholder>
        <w:comboBox>
          <w:listItem w:displayText=" " w:value=" "/>
          <w:listItem w:displayText="在提交反馈意见时，请将您知道的相关专利连同支持性文件一并附上。" w:value="在提交反馈意见时，请将您知道的相关专利连同支持性文件一并附上。"/>
        </w:comboBox>
      </w:sdtPr>
      <w:sdtEndPr>
        <w:rPr>
          <w:rFonts w:ascii="Times New Roman" w:hAnsi="Times New Roman" w:eastAsia="宋体"/>
          <w:b/>
          <w:sz w:val="21"/>
          <w:szCs w:val="28"/>
        </w:rPr>
      </w:sdtEndPr>
      <w:sdtContent>
        <w:p w14:paraId="71A8FB93">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r>
            <w:rPr>
              <w:rFonts w:hint="eastAsia" w:ascii="Times New Roman" w:hAnsi="Times New Roman" w:eastAsia="宋体"/>
              <w:b/>
              <w:sz w:val="21"/>
              <w:szCs w:val="28"/>
            </w:rPr>
            <w:t xml:space="preserve"> </w:t>
          </w:r>
        </w:p>
      </w:sdtContent>
    </w:sdt>
    <w:p w14:paraId="7AC820B9">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p>
    <w:p w14:paraId="6A9C4FD1">
      <w:pPr>
        <w:pStyle w:val="198"/>
        <w:framePr w:wrap="around" w:y="14176"/>
      </w:pPr>
      <w:sdt>
        <w:sdtPr>
          <w:rPr>
            <w:rFonts w:hint="eastAsia" w:ascii="黑体" w:hAnsi="宋体"/>
            <w:bCs/>
            <w:szCs w:val="28"/>
            <w:lang w:val="fr" w:bidi="ar"/>
          </w:rPr>
          <w:tag w:val="standardNext"/>
          <w:id w:val="147476382"/>
          <w:placeholder>
            <w:docPart w:val="{ffc36ac9-555f-4fb4-b39b-c9c42afd0a0b}"/>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80417"/>
              <w:placeholder>
                <w:docPart w:val="{6520bed0-204d-45ab-a9bc-07c512250680}"/>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1029"/>
              <w:placeholder>
                <w:docPart w:val="{8702d678-4b8d-4209-b0b4-982da1757ede}"/>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79964"/>
              <w:placeholder>
                <w:docPart w:val="{bbf84e9a-ea19-48ac-8602-fd706520c678}"/>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rPr>
            <w:t>发布</w:t>
          </w:r>
        </w:sdtContent>
      </w:sdt>
    </w:p>
    <w:p w14:paraId="09AEF373">
      <w:pPr>
        <w:pStyle w:val="199"/>
        <w:framePr w:wrap="around" w:y="14176"/>
      </w:pPr>
      <w:sdt>
        <w:sdtPr>
          <w:rPr>
            <w:rFonts w:hint="eastAsia" w:ascii="黑体" w:hAnsi="宋体"/>
            <w:bCs/>
            <w:szCs w:val="28"/>
            <w:lang w:val="fr" w:bidi="ar"/>
          </w:rPr>
          <w:tag w:val="standardNext"/>
          <w:id w:val="147475347"/>
          <w:placeholder>
            <w:docPart w:val="{42e85895-5a69-4c5f-8435-6aa174df825e}"/>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64742"/>
              <w:placeholder>
                <w:docPart w:val="{273c241a-3545-4cb8-b3e1-dccdf8af0dbb}"/>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0824"/>
              <w:placeholder>
                <w:docPart w:val="{decab8c0-5632-48ca-8dfa-65fd198c0a0f}"/>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68566"/>
              <w:placeholder>
                <w:docPart w:val="{c4a20def-b4d2-4544-90c6-0a5a54de817a}"/>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w w:val="110"/>
            </w:rPr>
            <w:t>实施</w:t>
          </w:r>
        </w:sdtContent>
      </w:sdt>
    </w:p>
    <w:p w14:paraId="17BE332F">
      <w:pPr>
        <w:pStyle w:val="156"/>
        <w:framePr w:h="584" w:hRule="exact" w:hSpace="181" w:vSpace="181" w:wrap="around" w:y="14800"/>
        <w:rPr>
          <w:rFonts w:hAnsi="黑体"/>
        </w:rPr>
      </w:pPr>
      <w:sdt>
        <w:sdtPr>
          <w:rPr>
            <w:rFonts w:ascii="Times New Roman"/>
            <w:w w:val="100"/>
            <w:sz w:val="28"/>
          </w:rPr>
          <w:id w:val="147481135"/>
          <w:placeholder>
            <w:docPart w:val="{b7d6c8d2-2f40-43d5-8c2f-656491101695}"/>
          </w:placeholder>
        </w:sdtPr>
        <w:sdtEndPr>
          <w:rPr>
            <w:rFonts w:ascii="Times New Roman"/>
            <w:w w:val="100"/>
            <w:sz w:val="28"/>
          </w:rPr>
        </w:sdtEndPr>
        <w:sdtContent>
          <w:r>
            <w:rPr>
              <w:rFonts w:hint="eastAsia" w:ascii="Times New Roman"/>
              <w:w w:val="100"/>
              <w:sz w:val="28"/>
              <w:lang w:val="en-US" w:eastAsia="zh-CN"/>
            </w:rPr>
            <w:t>中国电子节能技术协会</w:t>
          </w:r>
        </w:sdtContent>
      </w:sdt>
      <w:r>
        <w:rPr>
          <w:rFonts w:ascii="Times New Roman"/>
          <w:w w:val="100"/>
          <w:sz w:val="28"/>
          <w:szCs w:val="28"/>
        </w:rPr>
        <w:t>  </w:t>
      </w:r>
      <w:r>
        <w:rPr>
          <w:rStyle w:val="234"/>
          <w:rFonts w:hint="eastAsia" w:hAnsi="黑体"/>
          <w:position w:val="0"/>
        </w:rPr>
        <w:t>发</w:t>
      </w:r>
      <w:r>
        <w:rPr>
          <w:rStyle w:val="234"/>
          <w:rFonts w:hint="eastAsia" w:hAnsi="黑体"/>
          <w:spacing w:val="0"/>
          <w:position w:val="0"/>
        </w:rPr>
        <w:t>布</w:t>
      </w:r>
    </w:p>
    <w:p w14:paraId="76BE5296">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567" w:right="1134" w:bottom="1020" w:left="1134" w:header="1418" w:footer="1134" w:gutter="283"/>
          <w:cols w:space="0" w:num="1"/>
          <w:titlePg/>
          <w:docGrid w:type="lines"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9333230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34.9pt;height:0pt;width:481.9pt;mso-position-horizontal-relative:page;mso-position-vertical-relative:page;z-index:251661312;mso-width-relative:page;mso-height-relative:page;" filled="f" stroked="t" coordsize="21600,21600" o:gfxdata="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9mWs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10" w:name="_Toc4779"/>
          <w:bookmarkStart w:id="11" w:name="qianyan"/>
          <w:bookmarkStart w:id="12"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5C625E5D">
          <w:pPr>
            <w:pStyle w:val="20"/>
            <w:tabs>
              <w:tab w:val="right" w:leader="dot" w:pos="9354"/>
            </w:tabs>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_Toc19700 </w:instrText>
          </w:r>
          <w:r>
            <w:rPr>
              <w:rFonts w:hint="eastAsia" w:ascii="宋体" w:hAnsi="宋体" w:eastAsia="宋体" w:cs="宋体"/>
              <w:szCs w:val="21"/>
            </w:rPr>
            <w:fldChar w:fldCharType="separate"/>
          </w:r>
          <w:r>
            <w:rPr>
              <w:rFonts w:hint="eastAsia" w:ascii="宋体" w:hAnsi="宋体" w:eastAsia="宋体" w:cs="宋体"/>
              <w:spacing w:val="317"/>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_Toc19700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szCs w:val="21"/>
            </w:rPr>
            <w:fldChar w:fldCharType="end"/>
          </w:r>
        </w:p>
        <w:p w14:paraId="21D9B6C1">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_Toc23179 </w:instrText>
          </w:r>
          <w:r>
            <w:rPr>
              <w:rFonts w:hint="eastAsia" w:ascii="宋体" w:hAnsi="宋体" w:eastAsia="宋体" w:cs="宋体"/>
              <w:szCs w:val="21"/>
            </w:rPr>
            <w:fldChar w:fldCharType="separate"/>
          </w:r>
          <w:r>
            <w:rPr>
              <w:rFonts w:hint="eastAsia" w:ascii="宋体" w:hAnsi="宋体" w:eastAsia="宋体" w:cs="宋体"/>
              <w:i w:val="0"/>
            </w:rPr>
            <w:t xml:space="preserve">1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_Toc23179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218311B4">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_Toc6608 </w:instrText>
          </w:r>
          <w:r>
            <w:rPr>
              <w:rFonts w:hint="eastAsia" w:ascii="宋体" w:hAnsi="宋体" w:eastAsia="宋体" w:cs="宋体"/>
              <w:szCs w:val="21"/>
            </w:rPr>
            <w:fldChar w:fldCharType="separate"/>
          </w:r>
          <w:r>
            <w:rPr>
              <w:rFonts w:hint="eastAsia" w:ascii="宋体" w:hAnsi="宋体" w:eastAsia="宋体" w:cs="宋体"/>
              <w:i w:val="0"/>
            </w:rPr>
            <w:t xml:space="preserve">2 </w:t>
          </w:r>
          <w:r>
            <w:rPr>
              <w:rFonts w:hint="eastAsia" w:ascii="宋体" w:hAnsi="宋体" w:eastAsia="宋体" w:cs="宋体"/>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_Toc6608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0734AB05">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_Toc21399 </w:instrText>
          </w:r>
          <w:r>
            <w:rPr>
              <w:rFonts w:hint="eastAsia" w:ascii="宋体" w:hAnsi="宋体" w:eastAsia="宋体" w:cs="宋体"/>
              <w:szCs w:val="21"/>
            </w:rPr>
            <w:fldChar w:fldCharType="separate"/>
          </w:r>
          <w:r>
            <w:rPr>
              <w:rFonts w:hint="eastAsia" w:ascii="宋体" w:hAnsi="宋体" w:eastAsia="宋体" w:cs="宋体"/>
              <w:i w:val="0"/>
            </w:rPr>
            <w:t xml:space="preserve">3 </w:t>
          </w:r>
          <w:r>
            <w:rPr>
              <w:rFonts w:hint="eastAsia" w:ascii="宋体" w:hAnsi="宋体" w:eastAsia="宋体" w:cs="宋体"/>
              <w:szCs w:val="21"/>
            </w:rPr>
            <w:t>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_Toc21399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39C4A4DE">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_Toc21193 </w:instrText>
          </w:r>
          <w:r>
            <w:rPr>
              <w:rFonts w:hint="eastAsia" w:ascii="宋体" w:hAnsi="宋体" w:eastAsia="宋体" w:cs="宋体"/>
              <w:szCs w:val="21"/>
            </w:rPr>
            <w:fldChar w:fldCharType="separate"/>
          </w:r>
          <w:r>
            <w:rPr>
              <w:rFonts w:hint="eastAsia" w:ascii="宋体" w:hAnsi="宋体" w:eastAsia="宋体" w:cs="宋体"/>
              <w:i w:val="0"/>
              <w:szCs w:val="21"/>
            </w:rPr>
            <w:t xml:space="preserve">4 </w:t>
          </w:r>
          <w:r>
            <w:rPr>
              <w:rFonts w:hint="eastAsia" w:ascii="宋体" w:hAnsi="宋体" w:eastAsia="宋体" w:cs="宋体"/>
              <w:szCs w:val="21"/>
              <w:lang w:val="en-US" w:eastAsia="zh-CN"/>
            </w:rPr>
            <w:t>一般要求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_Toc21193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45A429D9">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_Toc9843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lang w:val="en-US" w:eastAsia="zh-CN"/>
            </w:rPr>
            <w:t>使用条件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_Toc9843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265025AF">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_Toc17140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lang w:val="en-US" w:eastAsia="zh-CN"/>
            </w:rPr>
            <w:t>额定参数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_Toc17140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53C28739">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_Toc608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ascii="宋体" w:hAnsi="宋体" w:eastAsia="宋体" w:cs="宋体"/>
              <w:lang w:val="en-US" w:eastAsia="zh-CN"/>
            </w:rPr>
            <w:t>安装方式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_Toc608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4D834D7A">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_Toc13054 </w:instrText>
          </w:r>
          <w:r>
            <w:rPr>
              <w:rFonts w:hint="eastAsia" w:ascii="宋体" w:hAnsi="宋体" w:eastAsia="宋体" w:cs="宋体"/>
              <w:szCs w:val="21"/>
            </w:rPr>
            <w:fldChar w:fldCharType="separate"/>
          </w:r>
          <w:r>
            <w:rPr>
              <w:rFonts w:hint="eastAsia" w:ascii="宋体" w:hAnsi="宋体" w:eastAsia="宋体" w:cs="宋体"/>
              <w:i w:val="0"/>
              <w:szCs w:val="21"/>
            </w:rPr>
            <w:t xml:space="preserve">5 </w:t>
          </w:r>
          <w:r>
            <w:rPr>
              <w:rFonts w:hint="eastAsia" w:ascii="宋体" w:hAnsi="宋体" w:eastAsia="宋体" w:cs="宋体"/>
              <w:szCs w:val="21"/>
              <w:lang w:val="en-US" w:eastAsia="zh-CN"/>
            </w:rPr>
            <w:t>技术</w:t>
          </w:r>
          <w:r>
            <w:rPr>
              <w:rFonts w:hint="eastAsia" w:ascii="宋体" w:hAnsi="宋体" w:eastAsia="宋体" w:cs="宋体"/>
              <w:szCs w:val="21"/>
            </w:rPr>
            <w:t>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_Toc13054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34133816">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_Toc2931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lang w:val="en-US" w:eastAsia="zh-CN"/>
            </w:rPr>
            <w:t>箱体要求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54832446">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_Toc24156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lang w:val="en-US" w:eastAsia="zh-CN"/>
            </w:rPr>
            <w:t>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_Toc24156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374D10EE">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_Toc16183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lang w:val="en-US" w:eastAsia="zh-CN"/>
            </w:rPr>
            <w:t>功能单元要求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_Toc16183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7BEADA45">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_Toc1173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lang w:val="en-US" w:eastAsia="zh-CN"/>
            </w:rPr>
            <w:t>智能化功能要求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7FCB18F8">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_Toc24221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lang w:val="en-US" w:eastAsia="zh-CN"/>
            </w:rPr>
            <w:t>可靠性要求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_Toc24221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7ED2553A">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_Toc27730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6 </w:t>
          </w:r>
          <w:r>
            <w:rPr>
              <w:rFonts w:hint="eastAsia" w:ascii="宋体" w:hAnsi="宋体" w:eastAsia="宋体" w:cs="宋体"/>
              <w:szCs w:val="21"/>
              <w:lang w:val="en-US" w:eastAsia="zh-CN"/>
            </w:rPr>
            <w:t>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_Toc27730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3E4367F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_Toc24889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lang w:val="en-US" w:eastAsia="zh-CN"/>
            </w:rPr>
            <w:t>箱体试验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_Toc24889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26C03C04">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_Toc5152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lang w:val="en-US" w:eastAsia="zh-CN"/>
            </w:rPr>
            <w:t>性能试验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_Toc5152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3A0D54E1">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_Toc17290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lang w:val="en-US" w:eastAsia="zh-CN"/>
            </w:rPr>
            <w:t>功能单元试验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_Toc17290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6DB53BC4">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_Toc9755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lang w:val="en-US" w:eastAsia="zh-CN"/>
            </w:rPr>
            <w:t>智能化功能</w:t>
          </w:r>
          <w:bookmarkStart w:id="136" w:name="_GoBack"/>
          <w:bookmarkEnd w:id="136"/>
          <w:r>
            <w:rPr>
              <w:rFonts w:hint="eastAsia" w:ascii="宋体" w:hAnsi="宋体" w:eastAsia="宋体" w:cs="宋体"/>
              <w:lang w:val="en-US" w:eastAsia="zh-CN"/>
            </w:rPr>
            <w:t>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_Toc9755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1F28587">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_Toc4205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lang w:val="en-US" w:eastAsia="zh-CN"/>
            </w:rPr>
            <w:t>可靠性试验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_Toc4205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36CCC731">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_Toc11800 </w:instrText>
          </w:r>
          <w:r>
            <w:rPr>
              <w:rFonts w:hint="eastAsia" w:ascii="宋体" w:hAnsi="宋体" w:eastAsia="宋体" w:cs="宋体"/>
              <w:szCs w:val="21"/>
            </w:rPr>
            <w:fldChar w:fldCharType="separate"/>
          </w:r>
          <w:r>
            <w:rPr>
              <w:rFonts w:hint="eastAsia" w:ascii="宋体" w:hAnsi="宋体" w:eastAsia="宋体" w:cs="宋体"/>
              <w:i w:val="0"/>
            </w:rPr>
            <w:t xml:space="preserve">7 </w:t>
          </w:r>
          <w:r>
            <w:rPr>
              <w:rFonts w:hint="eastAsia" w:ascii="宋体" w:hAnsi="宋体" w:eastAsia="宋体" w:cs="宋体"/>
            </w:rPr>
            <w:t>检验规则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_Toc11800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7F871BC8">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_Toc18210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lang w:val="en-US" w:eastAsia="zh-CN" w:bidi="ar-SA"/>
            </w:rPr>
            <w:t>检验分类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_Toc18210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0667379F">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_Toc19985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lang w:val="en-US" w:eastAsia="zh-CN" w:bidi="ar-SA"/>
            </w:rPr>
            <w:t>出厂检验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_Toc19985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517635D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_Toc2707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lang w:val="en-US" w:eastAsia="zh-CN" w:bidi="ar-SA"/>
            </w:rPr>
            <w:t>型式检验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_Toc2707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717B153F">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_Toc19152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lang w:val="en-US" w:eastAsia="zh-CN" w:bidi="ar-SA"/>
            </w:rPr>
            <w:t>检验报告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_Toc19152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3EB44791">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_Toc11197 </w:instrText>
          </w:r>
          <w:r>
            <w:rPr>
              <w:rFonts w:hint="eastAsia" w:ascii="宋体" w:hAnsi="宋体" w:eastAsia="宋体" w:cs="宋体"/>
              <w:szCs w:val="21"/>
            </w:rPr>
            <w:fldChar w:fldCharType="separate"/>
          </w:r>
          <w:r>
            <w:rPr>
              <w:rFonts w:hint="eastAsia" w:ascii="宋体" w:hAnsi="宋体" w:eastAsia="宋体" w:cs="宋体"/>
              <w:i w:val="0"/>
            </w:rPr>
            <w:t xml:space="preserve">8 </w:t>
          </w:r>
          <w:r>
            <w:rPr>
              <w:rFonts w:hint="eastAsia" w:ascii="宋体" w:hAnsi="宋体" w:eastAsia="宋体" w:cs="宋体"/>
            </w:rPr>
            <w:t>标志、包装、运输和贮存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_Toc11197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6EDE8811">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_Toc23355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宋体" w:hAnsi="宋体" w:eastAsia="宋体" w:cs="宋体"/>
              <w:lang w:val="en-US" w:eastAsia="zh-CN" w:bidi="ar-SA"/>
            </w:rPr>
            <w:t>标志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_Toc23355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499FD7F5">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_Toc28773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宋体" w:hAnsi="宋体" w:eastAsia="宋体" w:cs="宋体"/>
              <w:lang w:val="en-US" w:eastAsia="zh-CN" w:bidi="ar-SA"/>
            </w:rPr>
            <w:t>包装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_Toc28773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7170992C">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_Toc13992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宋体" w:hAnsi="宋体" w:eastAsia="宋体" w:cs="宋体"/>
              <w:lang w:val="en-US" w:eastAsia="zh-CN" w:bidi="ar-SA"/>
            </w:rPr>
            <w:t>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_Toc13992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3B984684">
          <w:pPr>
            <w:pStyle w:val="26"/>
            <w:tabs>
              <w:tab w:val="right" w:leader="dot" w:pos="9354"/>
              <w:tab w:val="clear" w:pos="9344"/>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_Toc16520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宋体" w:hAnsi="宋体" w:eastAsia="宋体" w:cs="宋体"/>
              <w:lang w:val="en-US" w:eastAsia="zh-CN" w:bidi="ar-SA"/>
            </w:rPr>
            <w:t>贮存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_Toc16520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szCs w:val="21"/>
            </w:rPr>
            <w:fldChar w:fldCharType="end"/>
          </w:r>
        </w:p>
        <w:p w14:paraId="59BC32F2">
          <w:pPr>
            <w:pStyle w:val="94"/>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rPr>
              <w:rFonts w:hint="eastAsia" w:ascii="宋体" w:hAnsi="宋体" w:eastAsia="宋体" w:cs="宋体"/>
              <w:sz w:val="21"/>
              <w:szCs w:val="21"/>
            </w:rPr>
            <w:sectPr>
              <w:headerReference r:id="rId10" w:type="default"/>
              <w:footerReference r:id="rId11"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Cs w:val="21"/>
            </w:rPr>
            <w:fldChar w:fldCharType="end"/>
          </w:r>
        </w:p>
      </w:sdtContent>
    </w:sdt>
    <w:p w14:paraId="55177810">
      <w:pPr>
        <w:pStyle w:val="94"/>
      </w:pPr>
      <w:bookmarkStart w:id="13" w:name="_Toc29793"/>
      <w:bookmarkStart w:id="14" w:name="_Toc19700"/>
      <w:r>
        <w:rPr>
          <w:rFonts w:hint="eastAsia"/>
          <w:spacing w:val="317"/>
        </w:rPr>
        <w:t>前</w:t>
      </w:r>
      <w:r>
        <w:rPr>
          <w:rFonts w:hint="eastAsia"/>
        </w:rPr>
        <w:t>言</w:t>
      </w:r>
      <w:bookmarkEnd w:id="10"/>
      <w:bookmarkEnd w:id="13"/>
      <w:bookmarkEnd w:id="14"/>
    </w:p>
    <w:p w14:paraId="0065D3C2">
      <w:pPr>
        <w:pStyle w:val="61"/>
      </w:pPr>
      <w:r>
        <w:rPr>
          <w:rFonts w:hint="eastAsia"/>
        </w:rPr>
        <w:t>本文件按照GB/T 1.1—2020《标准化工作导则  第1部分：标准化文件的结构和起草规则》的规定起草。</w:t>
      </w:r>
    </w:p>
    <w:p w14:paraId="5D797A10">
      <w:pPr>
        <w:pStyle w:val="61"/>
      </w:pPr>
      <w:r>
        <w:rPr>
          <w:rFonts w:hint="eastAsia"/>
        </w:rPr>
        <w:t>请注意本文件的某些内容可能涉及专利。本文件的发布机构不承担识别专利的责任。</w:t>
      </w:r>
    </w:p>
    <w:p w14:paraId="184CA7AF">
      <w:pPr>
        <w:pStyle w:val="61"/>
      </w:pPr>
      <w:r>
        <w:rPr>
          <w:rFonts w:hint="eastAsia"/>
        </w:rPr>
        <w:t>本文件由中国电子节能技术协会提出。</w:t>
      </w:r>
    </w:p>
    <w:p w14:paraId="4FC9ADB4">
      <w:pPr>
        <w:pStyle w:val="61"/>
      </w:pPr>
      <w:r>
        <w:rPr>
          <w:rFonts w:hint="eastAsia"/>
        </w:rPr>
        <w:t>本文件由中国电子节能技术协会归口。</w:t>
      </w:r>
    </w:p>
    <w:p w14:paraId="0719B706">
      <w:pPr>
        <w:pStyle w:val="61"/>
      </w:pPr>
      <w:r>
        <w:rPr>
          <w:rFonts w:hint="eastAsia"/>
        </w:rPr>
        <w:t>本文件起草单位：××××、××××。</w:t>
      </w:r>
    </w:p>
    <w:p w14:paraId="008F127D">
      <w:pPr>
        <w:pStyle w:val="61"/>
      </w:pPr>
      <w:r>
        <w:rPr>
          <w:rFonts w:hint="eastAsia"/>
        </w:rPr>
        <w:t>本文件主要起草人：×××、×××。</w:t>
      </w:r>
    </w:p>
    <w:p w14:paraId="0BC4E675">
      <w:pPr>
        <w:pStyle w:val="61"/>
      </w:pPr>
    </w:p>
    <w:p w14:paraId="1BC9CDF4">
      <w:pPr>
        <w:sectPr>
          <w:pgSz w:w="11906" w:h="16838"/>
          <w:pgMar w:top="1928" w:right="1134" w:bottom="1134" w:left="1134" w:header="1418" w:footer="1134" w:gutter="284"/>
          <w:pgNumType w:fmt="upperRoman" w:start="2"/>
          <w:cols w:space="425" w:num="1"/>
          <w:formProt w:val="0"/>
          <w:docGrid w:linePitch="312" w:charSpace="0"/>
        </w:sectPr>
      </w:pPr>
    </w:p>
    <w:bookmarkEnd w:id="11"/>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2"/>
        <w:rPr>
          <w:rFonts w:hint="eastAsia" w:hAnsi="宋体"/>
          <w:lang w:bidi="ar"/>
        </w:rPr>
      </w:pPr>
      <w:bookmarkStart w:id="15" w:name="NEW_STAND_NAME"/>
      <w:sdt>
        <w:sdtPr>
          <w:rPr>
            <w:rFonts w:hAnsi="宋体"/>
            <w:lang w:bidi="ar"/>
          </w:rPr>
          <w:tag w:val="mainTextTitle"/>
          <w:id w:val="147453193"/>
          <w:placeholder>
            <w:docPart w:val="{ee073880-b451-4ff0-9253-5135824a1eff}"/>
          </w:placeholder>
        </w:sdtPr>
        <w:sdtEndPr>
          <w:rPr>
            <w:rFonts w:hint="eastAsia" w:hAnsi="宋体"/>
            <w:lang w:bidi="ar"/>
          </w:rPr>
        </w:sdtEndPr>
        <w:sdtContent>
          <w:bookmarkEnd w:id="15"/>
          <w:r>
            <w:rPr>
              <w:rFonts w:hint="eastAsia" w:hAnsi="宋体"/>
              <w:lang w:bidi="ar"/>
            </w:rPr>
            <w:t>智能综合配电箱（JP柜）技术规范</w:t>
          </w:r>
        </w:sdtContent>
      </w:sdt>
    </w:p>
    <w:p w14:paraId="5EC4DF4C">
      <w:pPr>
        <w:pStyle w:val="109"/>
        <w:spacing w:before="240" w:after="240"/>
      </w:pPr>
      <w:bookmarkStart w:id="16" w:name="_Toc26648465"/>
      <w:bookmarkStart w:id="17" w:name="_Toc17233333"/>
      <w:bookmarkStart w:id="18" w:name="_Toc97195091"/>
      <w:bookmarkStart w:id="19" w:name="_Toc12505"/>
      <w:bookmarkStart w:id="20" w:name="_Toc24884211"/>
      <w:bookmarkStart w:id="21" w:name="_Toc12617"/>
      <w:bookmarkStart w:id="22" w:name="_Toc17233325"/>
      <w:bookmarkStart w:id="23" w:name="_Toc26986530"/>
      <w:bookmarkStart w:id="24" w:name="_Toc26718930"/>
      <w:bookmarkStart w:id="25" w:name="_Toc23179"/>
      <w:bookmarkStart w:id="26" w:name="_Toc24884218"/>
      <w:bookmarkStart w:id="27" w:name="_Toc26986771"/>
      <w:r>
        <w:rPr>
          <w:rFonts w:hint="eastAsia"/>
        </w:rPr>
        <w:t>范围</w:t>
      </w:r>
      <w:bookmarkEnd w:id="16"/>
      <w:bookmarkEnd w:id="17"/>
      <w:bookmarkEnd w:id="18"/>
      <w:bookmarkEnd w:id="19"/>
      <w:bookmarkEnd w:id="20"/>
      <w:bookmarkEnd w:id="21"/>
      <w:bookmarkEnd w:id="22"/>
      <w:bookmarkEnd w:id="23"/>
      <w:bookmarkEnd w:id="24"/>
      <w:bookmarkEnd w:id="25"/>
      <w:bookmarkEnd w:id="26"/>
      <w:bookmarkEnd w:id="27"/>
    </w:p>
    <w:p w14:paraId="28455B5D">
      <w:pPr>
        <w:pStyle w:val="61"/>
        <w:rPr>
          <w:rFonts w:hint="default" w:eastAsia="宋体"/>
          <w:lang w:val="en-US" w:eastAsia="zh-CN"/>
        </w:rPr>
      </w:pPr>
      <w:bookmarkStart w:id="28" w:name="_Toc17233334"/>
      <w:bookmarkStart w:id="29" w:name="_Toc24884212"/>
      <w:bookmarkStart w:id="30" w:name="_Toc17233326"/>
      <w:bookmarkStart w:id="31" w:name="_Toc26648466"/>
      <w:bookmarkStart w:id="32" w:name="_Toc24884219"/>
      <w:r>
        <w:rPr>
          <w:rFonts w:hint="eastAsia"/>
        </w:rPr>
        <w:t>本文件规定了智能综合配电箱（JP柜）的</w:t>
      </w:r>
      <w:r>
        <w:rPr>
          <w:rFonts w:hint="eastAsia"/>
          <w:lang w:val="en-US" w:eastAsia="zh-CN"/>
        </w:rPr>
        <w:t>一般要求、技术要求、试验方法、检验规则、标志、包装、运输和贮存。</w:t>
      </w:r>
    </w:p>
    <w:p w14:paraId="3854AD99">
      <w:pPr>
        <w:pStyle w:val="61"/>
        <w:rPr>
          <w:rFonts w:hint="eastAsia"/>
          <w:lang w:eastAsia="zh-CN"/>
        </w:rPr>
      </w:pPr>
      <w:r>
        <w:rPr>
          <w:rFonts w:hint="eastAsia"/>
          <w:lang w:eastAsia="zh-CN"/>
        </w:rPr>
        <w:t>本文件适用于低压配电系统中进行计量、保护、无功补偿及运行监测的智能综合配电箱（JP柜）的设计、制造和使用。</w:t>
      </w:r>
    </w:p>
    <w:p w14:paraId="6E83A890">
      <w:pPr>
        <w:pStyle w:val="109"/>
        <w:spacing w:before="240" w:after="240"/>
      </w:pPr>
      <w:bookmarkStart w:id="33" w:name="_Toc26718931"/>
      <w:bookmarkStart w:id="34" w:name="_Toc8381"/>
      <w:bookmarkStart w:id="35" w:name="_Toc26986531"/>
      <w:bookmarkStart w:id="36" w:name="_Toc97195092"/>
      <w:bookmarkStart w:id="37" w:name="_Toc26986772"/>
      <w:bookmarkStart w:id="38" w:name="_Toc7490"/>
      <w:bookmarkStart w:id="39" w:name="_Toc6608"/>
      <w:r>
        <w:rPr>
          <w:rFonts w:hint="eastAsia"/>
        </w:rPr>
        <w:t>规范性引用文件</w:t>
      </w:r>
      <w:bookmarkEnd w:id="28"/>
      <w:bookmarkEnd w:id="29"/>
      <w:bookmarkEnd w:id="30"/>
      <w:bookmarkEnd w:id="31"/>
      <w:bookmarkEnd w:id="32"/>
      <w:bookmarkEnd w:id="33"/>
      <w:bookmarkEnd w:id="34"/>
      <w:bookmarkEnd w:id="35"/>
      <w:bookmarkEnd w:id="36"/>
      <w:bookmarkEnd w:id="37"/>
      <w:bookmarkEnd w:id="38"/>
      <w:bookmarkEnd w:id="39"/>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4BE68B35">
          <w:pPr>
            <w:pStyle w:val="61"/>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72BE878">
      <w:pPr>
        <w:pStyle w:val="61"/>
        <w:rPr>
          <w:rFonts w:hint="eastAsia"/>
        </w:rPr>
      </w:pPr>
      <w:r>
        <w:rPr>
          <w:rFonts w:hint="eastAsia"/>
        </w:rPr>
        <w:t>GB/T 191  包装储运图示标志</w:t>
      </w:r>
    </w:p>
    <w:p w14:paraId="232DA844">
      <w:pPr>
        <w:pStyle w:val="61"/>
      </w:pPr>
      <w:r>
        <w:rPr>
          <w:rFonts w:hint="eastAsia"/>
        </w:rPr>
        <w:t>GB/T 2650  金属材料焊缝破坏性试验 冲击试验</w:t>
      </w:r>
    </w:p>
    <w:p w14:paraId="6BDE5BD0">
      <w:pPr>
        <w:pStyle w:val="61"/>
        <w:rPr>
          <w:rFonts w:hint="default" w:eastAsia="宋体"/>
          <w:lang w:val="en-US" w:eastAsia="zh-CN"/>
        </w:rPr>
      </w:pPr>
      <w:r>
        <w:rPr>
          <w:rFonts w:hint="eastAsia"/>
        </w:rPr>
        <w:t>GB/T 4208</w:t>
      </w:r>
      <w:r>
        <w:rPr>
          <w:rFonts w:hint="eastAsia"/>
          <w:lang w:val="en-US" w:eastAsia="zh-CN"/>
        </w:rPr>
        <w:t xml:space="preserve">  外壳防护等级(IP代码)</w:t>
      </w:r>
    </w:p>
    <w:p w14:paraId="7B3700BB">
      <w:pPr>
        <w:pStyle w:val="61"/>
        <w:rPr>
          <w:rFonts w:hint="eastAsia"/>
        </w:rPr>
      </w:pPr>
      <w:r>
        <w:rPr>
          <w:rFonts w:hint="eastAsia"/>
        </w:rPr>
        <w:t>GB/T 6378.1  计量抽样检验程序 第1部分：按接收质量限（AQL）检索的对单一质量特性和单个AQL的逐批检验的一次抽样方案</w:t>
      </w:r>
    </w:p>
    <w:p w14:paraId="29475D44">
      <w:pPr>
        <w:pStyle w:val="61"/>
        <w:rPr>
          <w:rFonts w:hint="eastAsia"/>
          <w:lang w:val="en-US" w:eastAsia="zh-CN"/>
        </w:rPr>
      </w:pPr>
      <w:r>
        <w:rPr>
          <w:rFonts w:hint="eastAsia"/>
        </w:rPr>
        <w:t>GB/T 7251.1</w:t>
      </w:r>
      <w:r>
        <w:rPr>
          <w:rFonts w:hint="eastAsia"/>
          <w:lang w:val="en-US" w:eastAsia="zh-CN"/>
        </w:rPr>
        <w:t xml:space="preserve">  低压成套开关设备和控制设备 第1部分：总则</w:t>
      </w:r>
    </w:p>
    <w:p w14:paraId="0826A58E">
      <w:pPr>
        <w:pStyle w:val="61"/>
        <w:rPr>
          <w:rFonts w:hint="default"/>
          <w:lang w:val="en-US" w:eastAsia="zh-CN"/>
        </w:rPr>
      </w:pPr>
      <w:r>
        <w:rPr>
          <w:rFonts w:hint="default"/>
          <w:lang w:val="en-US" w:eastAsia="zh-CN"/>
        </w:rPr>
        <w:t>GB/T 10125  人造气氛腐蚀试验 盐雾试验</w:t>
      </w:r>
    </w:p>
    <w:p w14:paraId="43673118">
      <w:pPr>
        <w:pStyle w:val="61"/>
        <w:rPr>
          <w:rFonts w:hint="default"/>
          <w:lang w:val="en-US" w:eastAsia="zh-CN"/>
        </w:rPr>
      </w:pPr>
      <w:r>
        <w:rPr>
          <w:rFonts w:hint="default"/>
          <w:lang w:val="en-US" w:eastAsia="zh-CN"/>
        </w:rPr>
        <w:t>GB/T 17626.2  电磁兼容 试验和测量技术 静电放电抗扰度试验</w:t>
      </w:r>
    </w:p>
    <w:p w14:paraId="6591C50F">
      <w:pPr>
        <w:pStyle w:val="61"/>
        <w:rPr>
          <w:rFonts w:hint="default"/>
          <w:lang w:val="en-US" w:eastAsia="zh-CN"/>
        </w:rPr>
      </w:pPr>
      <w:r>
        <w:rPr>
          <w:rFonts w:hint="default"/>
          <w:lang w:val="en-US" w:eastAsia="zh-CN"/>
        </w:rPr>
        <w:t>GB/T 17626.3</w:t>
      </w:r>
      <w:r>
        <w:rPr>
          <w:rFonts w:hint="eastAsia"/>
          <w:lang w:val="en-US" w:eastAsia="zh-CN"/>
        </w:rPr>
        <w:t xml:space="preserve">  电磁兼容 试验和测量技术 第3部分：射频电磁场辐射抗扰度试验</w:t>
      </w:r>
    </w:p>
    <w:p w14:paraId="42941A03">
      <w:pPr>
        <w:pStyle w:val="61"/>
        <w:rPr>
          <w:rFonts w:hint="default"/>
          <w:lang w:val="en-US" w:eastAsia="zh-CN"/>
        </w:rPr>
      </w:pPr>
      <w:r>
        <w:rPr>
          <w:rFonts w:hint="default"/>
          <w:lang w:val="en-US" w:eastAsia="zh-CN"/>
        </w:rPr>
        <w:t>GB/T 17626.4  电磁兼容 试验和测量技术 电快速瞬变脉冲群抗扰度试验</w:t>
      </w:r>
    </w:p>
    <w:p w14:paraId="7F79A767">
      <w:pPr>
        <w:pStyle w:val="61"/>
        <w:rPr>
          <w:rFonts w:hint="default"/>
          <w:lang w:val="en-US" w:eastAsia="zh-CN"/>
        </w:rPr>
      </w:pPr>
      <w:r>
        <w:rPr>
          <w:rFonts w:hint="default"/>
          <w:lang w:val="en-US" w:eastAsia="zh-CN"/>
        </w:rPr>
        <w:t>GB/T 17626.5  电磁兼容 试验和测量技术 浪涌(冲击)抗扰度试验</w:t>
      </w:r>
    </w:p>
    <w:p w14:paraId="22E75EDA">
      <w:pPr>
        <w:pStyle w:val="61"/>
        <w:rPr>
          <w:rFonts w:hint="default"/>
          <w:lang w:val="en-US" w:eastAsia="zh-CN"/>
        </w:rPr>
      </w:pPr>
      <w:r>
        <w:rPr>
          <w:rFonts w:hint="default"/>
          <w:lang w:val="en-US" w:eastAsia="zh-CN"/>
        </w:rPr>
        <w:t>GB/T 18216.4  交流1000V和直流1500V及以下低压配电系统电气安全 防护措施的试验、测量或监控设备 第4部分：接地电阻和等电位接地电阻</w:t>
      </w:r>
    </w:p>
    <w:p w14:paraId="438AEA3B">
      <w:pPr>
        <w:pStyle w:val="61"/>
        <w:rPr>
          <w:rFonts w:hint="default"/>
          <w:lang w:val="en-US" w:eastAsia="zh-CN"/>
        </w:rPr>
      </w:pPr>
      <w:r>
        <w:rPr>
          <w:rFonts w:hint="default"/>
          <w:lang w:val="en-US" w:eastAsia="zh-CN"/>
        </w:rPr>
        <w:t>GB/T 24343  工业机械电气设备 绝缘电阻试验规范</w:t>
      </w:r>
    </w:p>
    <w:p w14:paraId="0AB676F6">
      <w:pPr>
        <w:pStyle w:val="61"/>
        <w:rPr>
          <w:rFonts w:hint="default"/>
          <w:lang w:val="en-US" w:eastAsia="zh-CN"/>
        </w:rPr>
      </w:pPr>
      <w:r>
        <w:rPr>
          <w:rFonts w:hint="default"/>
          <w:lang w:val="en-US" w:eastAsia="zh-CN"/>
        </w:rPr>
        <w:t>GB/T 24344  工业机械电气设备 耐压试验规范</w:t>
      </w:r>
    </w:p>
    <w:p w14:paraId="3E67CBC2">
      <w:pPr>
        <w:pStyle w:val="61"/>
        <w:rPr>
          <w:rFonts w:hint="eastAsia"/>
        </w:rPr>
      </w:pPr>
      <w:r>
        <w:rPr>
          <w:rFonts w:hint="eastAsia"/>
        </w:rPr>
        <w:t>GB/T 34631  再制造 机械零件剩余寿命评估指南</w:t>
      </w:r>
    </w:p>
    <w:p w14:paraId="63186146">
      <w:pPr>
        <w:pStyle w:val="61"/>
        <w:rPr>
          <w:rFonts w:hint="default" w:eastAsia="宋体"/>
          <w:lang w:val="en-US" w:eastAsia="zh-CN"/>
        </w:rPr>
      </w:pPr>
      <w:r>
        <w:rPr>
          <w:rFonts w:hint="eastAsia"/>
        </w:rPr>
        <w:t>DL/T 614</w:t>
      </w:r>
      <w:r>
        <w:rPr>
          <w:rFonts w:hint="eastAsia"/>
          <w:lang w:val="en-US" w:eastAsia="zh-CN"/>
        </w:rPr>
        <w:t xml:space="preserve">  多功能电能表</w:t>
      </w:r>
    </w:p>
    <w:p w14:paraId="4958E50D">
      <w:pPr>
        <w:pStyle w:val="61"/>
        <w:rPr>
          <w:rFonts w:hint="default" w:eastAsia="宋体"/>
          <w:lang w:val="en-US" w:eastAsia="zh-CN"/>
        </w:rPr>
      </w:pPr>
      <w:r>
        <w:rPr>
          <w:rFonts w:hint="eastAsia"/>
        </w:rPr>
        <w:t>DL/T 1441</w:t>
      </w:r>
      <w:r>
        <w:rPr>
          <w:rFonts w:hint="eastAsia"/>
          <w:lang w:val="en-US" w:eastAsia="zh-CN"/>
        </w:rPr>
        <w:t xml:space="preserve">  智能低压配电箱技术条件</w:t>
      </w:r>
    </w:p>
    <w:p w14:paraId="23B4C1DC">
      <w:pPr>
        <w:pStyle w:val="61"/>
        <w:rPr>
          <w:rFonts w:hint="default" w:eastAsia="宋体"/>
          <w:lang w:val="en-US" w:eastAsia="zh-CN"/>
        </w:rPr>
      </w:pPr>
      <w:r>
        <w:rPr>
          <w:rFonts w:hint="eastAsia"/>
        </w:rPr>
        <w:t>DL/T 1442</w:t>
      </w:r>
      <w:r>
        <w:rPr>
          <w:rFonts w:hint="eastAsia"/>
          <w:lang w:val="en-US" w:eastAsia="zh-CN"/>
        </w:rPr>
        <w:t xml:space="preserve">  智能配变终端技术条件</w:t>
      </w:r>
    </w:p>
    <w:p w14:paraId="7E0F02AA">
      <w:pPr>
        <w:pStyle w:val="109"/>
        <w:spacing w:before="240" w:after="240"/>
      </w:pPr>
      <w:bookmarkStart w:id="40" w:name="_Toc97195093"/>
      <w:bookmarkStart w:id="41" w:name="_Toc21736"/>
      <w:bookmarkStart w:id="42" w:name="_Toc11143"/>
      <w:bookmarkStart w:id="43" w:name="_Toc21399"/>
      <w:r>
        <w:rPr>
          <w:rFonts w:hint="eastAsia"/>
          <w:szCs w:val="21"/>
        </w:rPr>
        <w:t>术语和定义</w:t>
      </w:r>
      <w:bookmarkEnd w:id="40"/>
      <w:bookmarkEnd w:id="41"/>
      <w:bookmarkEnd w:id="42"/>
      <w:bookmarkEnd w:id="43"/>
    </w:p>
    <w:bookmarkEnd w:id="12"/>
    <w:p w14:paraId="3A3BF7ED">
      <w:pPr>
        <w:pStyle w:val="61"/>
      </w:pPr>
      <w:bookmarkStart w:id="44" w:name="_Toc26986532"/>
      <w:bookmarkEnd w:id="44"/>
      <w:sdt>
        <w:sdtPr>
          <w:rPr>
            <w:rFonts w:hint="eastAsi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t>下列术语和定义适用于本文件。</w:t>
          </w:r>
        </w:sdtContent>
      </w:sdt>
    </w:p>
    <w:p w14:paraId="4B6D3D92">
      <w:pPr>
        <w:pStyle w:val="110"/>
        <w:spacing w:before="120" w:after="120"/>
      </w:pPr>
      <w:bookmarkStart w:id="45" w:name="_Toc9949"/>
      <w:bookmarkEnd w:id="45"/>
      <w:bookmarkStart w:id="46" w:name="_Toc11047"/>
      <w:bookmarkEnd w:id="46"/>
      <w:bookmarkStart w:id="47" w:name="_Toc31639"/>
      <w:bookmarkEnd w:id="47"/>
      <w:bookmarkStart w:id="48" w:name="_Toc25027"/>
      <w:bookmarkEnd w:id="48"/>
      <w:bookmarkStart w:id="49" w:name="_Toc5316"/>
      <w:bookmarkEnd w:id="49"/>
      <w:bookmarkStart w:id="50" w:name="_Toc13410"/>
      <w:bookmarkEnd w:id="50"/>
      <w:bookmarkStart w:id="51" w:name="_Toc28781"/>
      <w:bookmarkEnd w:id="51"/>
      <w:bookmarkStart w:id="52" w:name="_Toc18481"/>
      <w:bookmarkEnd w:id="52"/>
      <w:bookmarkStart w:id="53" w:name="_Toc1908"/>
      <w:bookmarkEnd w:id="53"/>
    </w:p>
    <w:p w14:paraId="38DFE66D">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eastAsia"/>
          <w:lang w:eastAsia="zh-CN"/>
        </w:rPr>
        <w:t>智能综合配电箱（JP柜）</w:t>
      </w:r>
      <w:r>
        <w:rPr>
          <w:rFonts w:hint="eastAsia"/>
        </w:rPr>
        <w:t xml:space="preserve"> </w:t>
      </w:r>
      <w:r>
        <w:rPr>
          <w:rFonts w:hint="eastAsia" w:ascii="Times New Roman" w:hAnsi="Times New Roman" w:cs="Times New Roman"/>
          <w:lang w:val="en-US" w:eastAsia="zh-CN"/>
        </w:rPr>
        <w:t>i</w:t>
      </w:r>
      <w:r>
        <w:rPr>
          <w:rFonts w:hint="default" w:ascii="Times New Roman" w:hAnsi="Times New Roman" w:cs="Times New Roman"/>
          <w:lang w:val="en-US" w:eastAsia="zh-CN"/>
        </w:rPr>
        <w:t>ntelligent comprehensive distribution cabinet (JP cabinet)</w:t>
      </w:r>
    </w:p>
    <w:p w14:paraId="52A035E5">
      <w:pPr>
        <w:pStyle w:val="61"/>
        <w:rPr>
          <w:rFonts w:hint="default"/>
        </w:rPr>
      </w:pPr>
      <w:r>
        <w:rPr>
          <w:rFonts w:hint="default"/>
        </w:rPr>
        <w:t>集成了低压配电、计量、保护、无功补偿、在线监测和通信功能的成套装置，可实现电能分配、自动保护及数据远程管理。</w:t>
      </w:r>
    </w:p>
    <w:p w14:paraId="644CB88E">
      <w:pPr>
        <w:pStyle w:val="110"/>
        <w:spacing w:before="120" w:after="120"/>
        <w:rPr>
          <w:rFonts w:hint="default"/>
        </w:rPr>
      </w:pPr>
      <w:bookmarkStart w:id="54" w:name="_Toc26782"/>
      <w:bookmarkEnd w:id="54"/>
    </w:p>
    <w:p w14:paraId="50030648">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智能监测单元</w:t>
      </w:r>
      <w:r>
        <w:rPr>
          <w:rFonts w:hint="default" w:ascii="Times New Roman" w:hAnsi="Times New Roman" w:cs="Times New Roman"/>
          <w:lang w:val="en-US" w:eastAsia="zh-CN"/>
        </w:rPr>
        <w:t xml:space="preserve"> intelligent monitoring unit</w:t>
      </w:r>
    </w:p>
    <w:p w14:paraId="3B9D4436">
      <w:pPr>
        <w:pStyle w:val="61"/>
        <w:rPr>
          <w:rFonts w:hint="default"/>
          <w:lang w:val="en-US" w:eastAsia="zh-CN"/>
        </w:rPr>
      </w:pPr>
      <w:r>
        <w:rPr>
          <w:rFonts w:hint="default"/>
          <w:lang w:val="en-US" w:eastAsia="zh-CN"/>
        </w:rPr>
        <w:t>JP柜内部的功能模块，用于采集电流、电压、功率、功率因数、温度、漏电、电能质量等参数，并实现数据处理和上传功能。实现电流、电压、功率因数、温度、漏电、电能质量等参数采集及远传的模块。</w:t>
      </w:r>
    </w:p>
    <w:p w14:paraId="21C00BE5">
      <w:pPr>
        <w:pStyle w:val="109"/>
        <w:spacing w:before="240" w:after="240"/>
        <w:rPr>
          <w:szCs w:val="21"/>
        </w:rPr>
      </w:pPr>
      <w:bookmarkStart w:id="55" w:name="_Toc23660"/>
      <w:bookmarkEnd w:id="55"/>
      <w:bookmarkStart w:id="56" w:name="_Toc19552"/>
      <w:bookmarkEnd w:id="56"/>
      <w:bookmarkStart w:id="57" w:name="_Toc16545"/>
      <w:bookmarkEnd w:id="57"/>
      <w:bookmarkStart w:id="58" w:name="_Toc15874"/>
      <w:bookmarkEnd w:id="58"/>
      <w:bookmarkStart w:id="59" w:name="_Toc1854"/>
      <w:bookmarkEnd w:id="59"/>
      <w:bookmarkStart w:id="60" w:name="_Toc15067"/>
      <w:bookmarkEnd w:id="60"/>
      <w:bookmarkStart w:id="61" w:name="_Toc30783"/>
      <w:bookmarkEnd w:id="61"/>
      <w:bookmarkStart w:id="62" w:name="_Toc14826"/>
      <w:bookmarkEnd w:id="62"/>
      <w:bookmarkStart w:id="63" w:name="_Toc18262"/>
      <w:bookmarkEnd w:id="63"/>
      <w:bookmarkStart w:id="64" w:name="_Toc11308"/>
      <w:bookmarkEnd w:id="64"/>
      <w:bookmarkStart w:id="65" w:name="_Toc10025"/>
      <w:bookmarkEnd w:id="65"/>
      <w:bookmarkStart w:id="66" w:name="_Toc15835"/>
      <w:bookmarkEnd w:id="66"/>
      <w:bookmarkStart w:id="67" w:name="_Toc18321"/>
      <w:bookmarkEnd w:id="67"/>
      <w:bookmarkStart w:id="68" w:name="_Toc21193"/>
      <w:r>
        <w:rPr>
          <w:rFonts w:hint="eastAsia"/>
          <w:szCs w:val="21"/>
          <w:lang w:val="en-US" w:eastAsia="zh-CN"/>
        </w:rPr>
        <w:t>一般要求</w:t>
      </w:r>
      <w:bookmarkEnd w:id="68"/>
    </w:p>
    <w:p w14:paraId="5F951294">
      <w:pPr>
        <w:pStyle w:val="110"/>
        <w:spacing w:before="120" w:after="120"/>
      </w:pPr>
      <w:bookmarkStart w:id="69" w:name="_Toc9843"/>
      <w:r>
        <w:rPr>
          <w:rFonts w:hint="eastAsia"/>
          <w:lang w:val="en-US" w:eastAsia="zh-CN"/>
        </w:rPr>
        <w:t>使用条件</w:t>
      </w:r>
      <w:bookmarkEnd w:id="69"/>
    </w:p>
    <w:p w14:paraId="1C9A9F67">
      <w:pPr>
        <w:pStyle w:val="61"/>
        <w:rPr>
          <w:rFonts w:hint="eastAsia"/>
        </w:rPr>
      </w:pPr>
      <w:r>
        <w:rPr>
          <w:rFonts w:hint="eastAsia"/>
        </w:rPr>
        <w:t>智能综合配电箱</w:t>
      </w:r>
      <w:r>
        <w:rPr>
          <w:rFonts w:hint="eastAsia"/>
          <w:lang w:val="en-US" w:eastAsia="zh-CN"/>
        </w:rPr>
        <w:t>使用条件如下</w:t>
      </w:r>
      <w:r>
        <w:rPr>
          <w:rFonts w:hint="eastAsia"/>
        </w:rPr>
        <w:t>：</w:t>
      </w:r>
    </w:p>
    <w:p w14:paraId="621CBE5D">
      <w:pPr>
        <w:pStyle w:val="61"/>
        <w:rPr>
          <w:rFonts w:hint="eastAsia"/>
        </w:rPr>
      </w:pPr>
      <w:r>
        <w:rPr>
          <w:rFonts w:hint="eastAsia"/>
          <w:lang w:val="en-US" w:eastAsia="zh-CN"/>
        </w:rPr>
        <w:t>a）</w:t>
      </w:r>
      <w:r>
        <w:rPr>
          <w:rFonts w:hint="eastAsia"/>
        </w:rPr>
        <w:t>环境温度：</w:t>
      </w:r>
      <w:r>
        <w:rPr>
          <w:rFonts w:hint="eastAsia"/>
          <w:lang w:val="en-US" w:eastAsia="zh-CN"/>
        </w:rPr>
        <w:t>-</w:t>
      </w:r>
      <w:r>
        <w:rPr>
          <w:rFonts w:hint="eastAsia"/>
        </w:rPr>
        <w:t>25℃～+55℃；</w:t>
      </w:r>
    </w:p>
    <w:p w14:paraId="15123A26">
      <w:pPr>
        <w:pStyle w:val="61"/>
        <w:rPr>
          <w:rFonts w:hint="eastAsia"/>
        </w:rPr>
      </w:pPr>
      <w:r>
        <w:rPr>
          <w:rFonts w:hint="eastAsia"/>
          <w:lang w:val="en-US" w:eastAsia="zh-CN"/>
        </w:rPr>
        <w:t>b）</w:t>
      </w:r>
      <w:r>
        <w:rPr>
          <w:rFonts w:hint="eastAsia"/>
        </w:rPr>
        <w:t>相对湿度：≤95%（25℃时无冷凝）；</w:t>
      </w:r>
    </w:p>
    <w:p w14:paraId="144E96DB">
      <w:pPr>
        <w:pStyle w:val="61"/>
        <w:rPr>
          <w:rFonts w:hint="eastAsia"/>
        </w:rPr>
      </w:pPr>
      <w:r>
        <w:rPr>
          <w:rFonts w:hint="eastAsia"/>
          <w:lang w:val="en-US" w:eastAsia="zh-CN"/>
        </w:rPr>
        <w:t>c）</w:t>
      </w:r>
      <w:r>
        <w:rPr>
          <w:rFonts w:hint="eastAsia"/>
        </w:rPr>
        <w:t>海拔高度：≤2000m；</w:t>
      </w:r>
    </w:p>
    <w:p w14:paraId="3B9612DE">
      <w:pPr>
        <w:pStyle w:val="61"/>
        <w:rPr>
          <w:rFonts w:hint="eastAsia"/>
        </w:rPr>
      </w:pPr>
      <w:r>
        <w:rPr>
          <w:rFonts w:hint="eastAsia"/>
          <w:lang w:val="en-US" w:eastAsia="zh-CN"/>
        </w:rPr>
        <w:t>d）</w:t>
      </w:r>
      <w:r>
        <w:rPr>
          <w:rFonts w:hint="eastAsia"/>
        </w:rPr>
        <w:t>风速：≤35m/s；</w:t>
      </w:r>
    </w:p>
    <w:p w14:paraId="03270B25">
      <w:pPr>
        <w:pStyle w:val="61"/>
        <w:rPr>
          <w:rFonts w:hint="eastAsia" w:ascii="宋体" w:hAnsi="宋体" w:eastAsia="宋体" w:cs="宋体"/>
        </w:rPr>
      </w:pPr>
      <w:r>
        <w:rPr>
          <w:rFonts w:hint="eastAsia"/>
          <w:lang w:val="en-US" w:eastAsia="zh-CN"/>
        </w:rPr>
        <w:t>e）</w:t>
      </w:r>
      <w:r>
        <w:rPr>
          <w:rFonts w:hint="eastAsia"/>
        </w:rPr>
        <w:t>安装场所应无严重腐蚀性气体、强烈振动及剧烈冲击。</w:t>
      </w:r>
    </w:p>
    <w:p w14:paraId="4600F7CE">
      <w:pPr>
        <w:pStyle w:val="110"/>
        <w:spacing w:before="120" w:after="120"/>
        <w:ind w:left="0" w:firstLine="0"/>
      </w:pPr>
      <w:bookmarkStart w:id="70" w:name="_Toc17140"/>
      <w:r>
        <w:rPr>
          <w:rFonts w:hint="eastAsia"/>
          <w:lang w:val="en-US" w:eastAsia="zh-CN"/>
        </w:rPr>
        <w:t>额定参数</w:t>
      </w:r>
      <w:bookmarkEnd w:id="70"/>
    </w:p>
    <w:p w14:paraId="2E5A097C">
      <w:pPr>
        <w:pStyle w:val="61"/>
        <w:rPr>
          <w:rFonts w:hint="eastAsia"/>
          <w:lang w:val="en-US" w:eastAsia="zh-CN"/>
        </w:rPr>
      </w:pPr>
      <w:r>
        <w:rPr>
          <w:rFonts w:hint="eastAsia"/>
        </w:rPr>
        <w:t>智能综合配电箱关键额定参数应符合表</w:t>
      </w:r>
      <w:r>
        <w:rPr>
          <w:rFonts w:hint="eastAsia"/>
          <w:lang w:val="en-US" w:eastAsia="zh-CN"/>
        </w:rPr>
        <w:t>1的要求。</w:t>
      </w:r>
    </w:p>
    <w:p w14:paraId="353C2B1F">
      <w:pPr>
        <w:pStyle w:val="61"/>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表1 智能综合配电箱的关键额定参数</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0"/>
        <w:gridCol w:w="4780"/>
      </w:tblGrid>
      <w:tr w14:paraId="1387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983CC5B">
            <w:pPr>
              <w:pStyle w:val="61"/>
              <w:ind w:left="0" w:leftChars="0" w:firstLine="0" w:firstLineChars="0"/>
              <w:jc w:val="center"/>
            </w:pPr>
            <w:r>
              <w:rPr>
                <w:rFonts w:hint="eastAsia"/>
                <w:lang w:val="en-US" w:eastAsia="zh-CN"/>
              </w:rPr>
              <w:t>项目</w:t>
            </w:r>
          </w:p>
        </w:tc>
        <w:tc>
          <w:tcPr>
            <w:tcW w:w="2500" w:type="pct"/>
            <w:vAlign w:val="center"/>
          </w:tcPr>
          <w:p w14:paraId="1AE217AA">
            <w:pPr>
              <w:pStyle w:val="61"/>
              <w:ind w:left="0" w:leftChars="0" w:firstLine="0" w:firstLineChars="0"/>
              <w:jc w:val="center"/>
            </w:pPr>
            <w:r>
              <w:rPr>
                <w:rFonts w:hint="eastAsia"/>
                <w:lang w:val="en-US" w:eastAsia="zh-CN"/>
              </w:rPr>
              <w:t>数值</w:t>
            </w:r>
          </w:p>
        </w:tc>
      </w:tr>
      <w:tr w14:paraId="0330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9C3502D">
            <w:pPr>
              <w:pStyle w:val="61"/>
              <w:ind w:left="0" w:leftChars="0" w:firstLine="0" w:firstLineChars="0"/>
              <w:jc w:val="center"/>
            </w:pPr>
            <w:r>
              <w:rPr>
                <w:rFonts w:hint="eastAsia"/>
                <w:lang w:val="en-US" w:eastAsia="zh-CN"/>
              </w:rPr>
              <w:t>额定工作电压</w:t>
            </w:r>
          </w:p>
        </w:tc>
        <w:tc>
          <w:tcPr>
            <w:tcW w:w="2500" w:type="pct"/>
            <w:vAlign w:val="center"/>
          </w:tcPr>
          <w:p w14:paraId="1FA5A3B2">
            <w:pPr>
              <w:pStyle w:val="61"/>
              <w:ind w:left="0" w:leftChars="0" w:firstLine="0" w:firstLineChars="0"/>
              <w:jc w:val="center"/>
            </w:pPr>
            <w:r>
              <w:rPr>
                <w:rFonts w:hint="eastAsia"/>
                <w:lang w:val="en-US" w:eastAsia="zh-CN"/>
              </w:rPr>
              <w:t>380/220V AC</w:t>
            </w:r>
          </w:p>
        </w:tc>
      </w:tr>
      <w:tr w14:paraId="4199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8B2FA20">
            <w:pPr>
              <w:pStyle w:val="61"/>
              <w:ind w:left="0" w:leftChars="0" w:firstLine="0" w:firstLineChars="0"/>
              <w:jc w:val="center"/>
            </w:pPr>
            <w:r>
              <w:rPr>
                <w:rFonts w:hint="eastAsia"/>
                <w:lang w:val="en-US" w:eastAsia="zh-CN"/>
              </w:rPr>
              <w:t>额定频率</w:t>
            </w:r>
          </w:p>
        </w:tc>
        <w:tc>
          <w:tcPr>
            <w:tcW w:w="2500" w:type="pct"/>
            <w:vAlign w:val="center"/>
          </w:tcPr>
          <w:p w14:paraId="287900E0">
            <w:pPr>
              <w:pStyle w:val="61"/>
              <w:ind w:left="0" w:leftChars="0" w:firstLine="0" w:firstLineChars="0"/>
              <w:jc w:val="center"/>
            </w:pPr>
            <w:r>
              <w:rPr>
                <w:rFonts w:hint="eastAsia"/>
                <w:lang w:val="en-US" w:eastAsia="zh-CN"/>
              </w:rPr>
              <w:t>50Hz</w:t>
            </w:r>
          </w:p>
        </w:tc>
      </w:tr>
      <w:tr w14:paraId="0620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5492FE7">
            <w:pPr>
              <w:pStyle w:val="61"/>
              <w:ind w:left="0" w:leftChars="0" w:firstLine="0" w:firstLineChars="0"/>
              <w:jc w:val="center"/>
            </w:pPr>
            <w:r>
              <w:rPr>
                <w:rFonts w:hint="eastAsia"/>
                <w:lang w:val="en-US" w:eastAsia="zh-CN"/>
              </w:rPr>
              <w:t>额定工作电流</w:t>
            </w:r>
          </w:p>
        </w:tc>
        <w:tc>
          <w:tcPr>
            <w:tcW w:w="2500" w:type="pct"/>
            <w:vAlign w:val="center"/>
          </w:tcPr>
          <w:p w14:paraId="1A52D4E7">
            <w:pPr>
              <w:pStyle w:val="61"/>
              <w:ind w:left="0" w:leftChars="0" w:firstLine="0" w:firstLineChars="0"/>
              <w:jc w:val="center"/>
            </w:pPr>
            <w:r>
              <w:rPr>
                <w:rFonts w:hint="eastAsia"/>
                <w:lang w:val="en-US" w:eastAsia="zh-CN"/>
              </w:rPr>
              <w:t>100</w:t>
            </w:r>
            <w:r>
              <w:rPr>
                <w:rFonts w:hint="eastAsia"/>
              </w:rPr>
              <w:t>～</w:t>
            </w:r>
            <w:r>
              <w:rPr>
                <w:rFonts w:hint="eastAsia"/>
                <w:lang w:val="en-US" w:eastAsia="zh-CN"/>
              </w:rPr>
              <w:t>630A</w:t>
            </w:r>
          </w:p>
        </w:tc>
      </w:tr>
      <w:tr w14:paraId="6EC7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04268199">
            <w:pPr>
              <w:pStyle w:val="61"/>
              <w:ind w:left="0" w:leftChars="0" w:firstLine="0" w:firstLineChars="0"/>
              <w:jc w:val="center"/>
              <w:rPr>
                <w:rFonts w:hint="default"/>
                <w:lang w:val="en-US" w:eastAsia="zh-CN"/>
              </w:rPr>
            </w:pPr>
            <w:r>
              <w:rPr>
                <w:rFonts w:hint="eastAsia"/>
                <w:lang w:val="en-US" w:eastAsia="zh-CN"/>
              </w:rPr>
              <w:t>额定绝缘电压</w:t>
            </w:r>
          </w:p>
        </w:tc>
        <w:tc>
          <w:tcPr>
            <w:tcW w:w="2500" w:type="pct"/>
            <w:vAlign w:val="center"/>
          </w:tcPr>
          <w:p w14:paraId="18936926">
            <w:pPr>
              <w:pStyle w:val="61"/>
              <w:ind w:left="0" w:leftChars="0" w:firstLine="0" w:firstLineChars="0"/>
              <w:jc w:val="center"/>
              <w:rPr>
                <w:rFonts w:hint="default"/>
                <w:lang w:val="en-US" w:eastAsia="zh-CN"/>
              </w:rPr>
            </w:pPr>
            <w:r>
              <w:rPr>
                <w:rFonts w:hint="eastAsia"/>
                <w:lang w:val="en-US" w:eastAsia="zh-CN"/>
              </w:rPr>
              <w:t>690V</w:t>
            </w:r>
          </w:p>
        </w:tc>
      </w:tr>
      <w:tr w14:paraId="6040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06DCDAD">
            <w:pPr>
              <w:pStyle w:val="61"/>
              <w:ind w:left="0" w:leftChars="0" w:firstLine="0" w:firstLineChars="0"/>
              <w:jc w:val="center"/>
              <w:rPr>
                <w:rFonts w:hint="default"/>
                <w:lang w:val="en-US" w:eastAsia="zh-CN"/>
              </w:rPr>
            </w:pPr>
            <w:r>
              <w:rPr>
                <w:rFonts w:hint="eastAsia"/>
                <w:lang w:val="en-US" w:eastAsia="zh-CN"/>
              </w:rPr>
              <w:t>额定冲击耐受电压</w:t>
            </w:r>
          </w:p>
        </w:tc>
        <w:tc>
          <w:tcPr>
            <w:tcW w:w="2500" w:type="pct"/>
            <w:vAlign w:val="center"/>
          </w:tcPr>
          <w:p w14:paraId="5052A3DC">
            <w:pPr>
              <w:pStyle w:val="61"/>
              <w:ind w:left="0" w:leftChars="0" w:firstLine="0" w:firstLineChars="0"/>
              <w:jc w:val="center"/>
              <w:rPr>
                <w:rFonts w:hint="default"/>
                <w:lang w:val="en-US" w:eastAsia="zh-CN"/>
              </w:rPr>
            </w:pPr>
            <w:r>
              <w:rPr>
                <w:rFonts w:hint="eastAsia"/>
                <w:lang w:val="en-US" w:eastAsia="zh-CN"/>
              </w:rPr>
              <w:t>8000V</w:t>
            </w:r>
          </w:p>
        </w:tc>
      </w:tr>
    </w:tbl>
    <w:p w14:paraId="0DAF75A2">
      <w:pPr>
        <w:pStyle w:val="110"/>
        <w:spacing w:before="120" w:after="120"/>
        <w:ind w:left="0" w:firstLine="0"/>
        <w:rPr>
          <w:rFonts w:hint="default"/>
          <w:lang w:val="en-US" w:eastAsia="zh-CN"/>
        </w:rPr>
      </w:pPr>
      <w:bookmarkStart w:id="71" w:name="_Toc608"/>
      <w:r>
        <w:rPr>
          <w:rFonts w:hint="eastAsia"/>
          <w:lang w:val="en-US" w:eastAsia="zh-CN"/>
        </w:rPr>
        <w:t>安装方式</w:t>
      </w:r>
      <w:bookmarkEnd w:id="71"/>
    </w:p>
    <w:p w14:paraId="0561F766">
      <w:pPr>
        <w:pStyle w:val="61"/>
        <w:rPr>
          <w:rFonts w:hint="eastAsia"/>
          <w:lang w:val="en-US" w:eastAsia="zh-CN"/>
        </w:rPr>
      </w:pPr>
      <w:r>
        <w:rPr>
          <w:rFonts w:hint="default"/>
          <w:lang w:val="en-US" w:eastAsia="zh-CN"/>
        </w:rPr>
        <w:t>智能综合配电箱</w:t>
      </w:r>
      <w:r>
        <w:rPr>
          <w:rFonts w:hint="eastAsia"/>
          <w:lang w:val="en-US" w:eastAsia="zh-CN"/>
        </w:rPr>
        <w:t>包括以下两种安装方式：</w:t>
      </w:r>
    </w:p>
    <w:p w14:paraId="6DF05AA8">
      <w:pPr>
        <w:pStyle w:val="61"/>
        <w:rPr>
          <w:rFonts w:hint="default"/>
          <w:lang w:val="en-US" w:eastAsia="zh-CN"/>
        </w:rPr>
      </w:pPr>
      <w:r>
        <w:rPr>
          <w:rFonts w:hint="eastAsia"/>
          <w:lang w:val="en-US" w:eastAsia="zh-CN"/>
        </w:rPr>
        <w:t>a）杆上支架安装；</w:t>
      </w:r>
    </w:p>
    <w:p w14:paraId="53D798A1">
      <w:pPr>
        <w:pStyle w:val="61"/>
        <w:rPr>
          <w:rFonts w:hint="default"/>
          <w:lang w:val="en-US" w:eastAsia="zh-CN"/>
        </w:rPr>
      </w:pPr>
      <w:r>
        <w:rPr>
          <w:rFonts w:hint="eastAsia"/>
          <w:lang w:val="en-US" w:eastAsia="zh-CN"/>
        </w:rPr>
        <w:t>b）变压器台架（槽钢）安装。</w:t>
      </w:r>
    </w:p>
    <w:p w14:paraId="4C6B687D">
      <w:pPr>
        <w:pStyle w:val="109"/>
        <w:spacing w:before="240" w:after="240"/>
        <w:rPr>
          <w:szCs w:val="21"/>
        </w:rPr>
      </w:pPr>
      <w:bookmarkStart w:id="72" w:name="_Toc690"/>
      <w:bookmarkStart w:id="73" w:name="_Toc13054"/>
      <w:r>
        <w:rPr>
          <w:rFonts w:hint="eastAsia"/>
          <w:szCs w:val="21"/>
          <w:lang w:val="en-US" w:eastAsia="zh-CN"/>
        </w:rPr>
        <w:t>技术</w:t>
      </w:r>
      <w:r>
        <w:rPr>
          <w:rFonts w:hint="eastAsia"/>
          <w:szCs w:val="21"/>
        </w:rPr>
        <w:t>要求</w:t>
      </w:r>
      <w:bookmarkEnd w:id="72"/>
      <w:bookmarkEnd w:id="73"/>
    </w:p>
    <w:p w14:paraId="12F85071">
      <w:pPr>
        <w:pStyle w:val="110"/>
        <w:spacing w:before="120" w:after="120"/>
        <w:rPr>
          <w:rFonts w:hint="eastAsia"/>
          <w:lang w:val="en-US" w:eastAsia="zh-CN"/>
        </w:rPr>
      </w:pPr>
      <w:bookmarkStart w:id="74" w:name="_Toc2931"/>
      <w:r>
        <w:rPr>
          <w:rFonts w:hint="eastAsia"/>
          <w:lang w:val="en-US" w:eastAsia="zh-CN"/>
        </w:rPr>
        <w:t>箱体要求</w:t>
      </w:r>
      <w:bookmarkEnd w:id="74"/>
    </w:p>
    <w:p w14:paraId="285695EF">
      <w:pPr>
        <w:pStyle w:val="61"/>
        <w:ind w:left="0" w:leftChars="0" w:firstLine="0" w:firstLineChars="0"/>
        <w:rPr>
          <w:rFonts w:hint="eastAsia"/>
          <w:lang w:val="en-US" w:eastAsia="zh-CN"/>
        </w:rPr>
      </w:pPr>
      <w:r>
        <w:rPr>
          <w:rFonts w:hint="eastAsia"/>
          <w:lang w:val="en-US" w:eastAsia="zh-CN"/>
        </w:rPr>
        <w:t>5.1.1 材质要求</w:t>
      </w:r>
    </w:p>
    <w:p w14:paraId="5FCA619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柜体应采用冷轧钢板2mm或不锈钢1.5mm，表面喷涂环氧聚酯粉末，膜厚≥70μm。</w:t>
      </w:r>
    </w:p>
    <w:p w14:paraId="50159E21">
      <w:pPr>
        <w:pStyle w:val="61"/>
        <w:ind w:left="0" w:leftChars="0" w:firstLine="0" w:firstLineChars="0"/>
        <w:rPr>
          <w:rFonts w:hint="eastAsia"/>
          <w:lang w:val="en-US" w:eastAsia="zh-CN"/>
        </w:rPr>
      </w:pPr>
      <w:r>
        <w:rPr>
          <w:rFonts w:hint="eastAsia"/>
          <w:lang w:val="en-US" w:eastAsia="zh-CN"/>
        </w:rPr>
        <w:t>5.1.2 尺寸要求</w:t>
      </w:r>
    </w:p>
    <w:p w14:paraId="7A097EC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尺寸要求如下：</w:t>
      </w:r>
    </w:p>
    <w:p w14:paraId="304E0C4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a）落地柜：宽600</w:t>
      </w:r>
      <w:r>
        <w:rPr>
          <w:rFonts w:hint="eastAsia"/>
        </w:rPr>
        <w:t>～</w:t>
      </w:r>
      <w:r>
        <w:rPr>
          <w:rFonts w:hint="eastAsia"/>
          <w:lang w:val="en-US" w:eastAsia="zh-CN"/>
        </w:rPr>
        <w:t>1000mm，深300</w:t>
      </w:r>
      <w:r>
        <w:rPr>
          <w:rFonts w:hint="eastAsia"/>
        </w:rPr>
        <w:t>～</w:t>
      </w:r>
      <w:r>
        <w:rPr>
          <w:rFonts w:hint="eastAsia"/>
          <w:lang w:val="en-US" w:eastAsia="zh-CN"/>
        </w:rPr>
        <w:t>600mm，高1800</w:t>
      </w:r>
      <w:r>
        <w:rPr>
          <w:rFonts w:hint="eastAsia"/>
        </w:rPr>
        <w:t>～</w:t>
      </w:r>
      <w:r>
        <w:rPr>
          <w:rFonts w:hint="eastAsia"/>
          <w:lang w:val="en-US" w:eastAsia="zh-CN"/>
        </w:rPr>
        <w:t>2200mm；</w:t>
      </w:r>
    </w:p>
    <w:p w14:paraId="480E427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b）壁挂柜：宽400</w:t>
      </w:r>
      <w:r>
        <w:rPr>
          <w:rFonts w:hint="eastAsia"/>
        </w:rPr>
        <w:t>～</w:t>
      </w:r>
      <w:r>
        <w:rPr>
          <w:rFonts w:hint="eastAsia"/>
          <w:lang w:val="en-US" w:eastAsia="zh-CN"/>
        </w:rPr>
        <w:t>600mm，深200</w:t>
      </w:r>
      <w:r>
        <w:rPr>
          <w:rFonts w:hint="eastAsia"/>
        </w:rPr>
        <w:t>～</w:t>
      </w:r>
      <w:r>
        <w:rPr>
          <w:rFonts w:hint="eastAsia"/>
          <w:lang w:val="en-US" w:eastAsia="zh-CN"/>
        </w:rPr>
        <w:t>400mm，高800</w:t>
      </w:r>
      <w:r>
        <w:rPr>
          <w:rFonts w:hint="eastAsia"/>
        </w:rPr>
        <w:t>～</w:t>
      </w:r>
      <w:r>
        <w:rPr>
          <w:rFonts w:hint="eastAsia"/>
          <w:lang w:val="en-US" w:eastAsia="zh-CN"/>
        </w:rPr>
        <w:t>1200mm；</w:t>
      </w:r>
    </w:p>
    <w:p w14:paraId="77D18AE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c）内部布局应保证通风、散热及操作空间，设备之间留有≥50mm空间以便布线及维护。</w:t>
      </w:r>
    </w:p>
    <w:p w14:paraId="78D26D5F">
      <w:pPr>
        <w:pStyle w:val="61"/>
        <w:ind w:left="0" w:leftChars="0" w:firstLine="0" w:firstLineChars="0"/>
        <w:rPr>
          <w:rFonts w:hint="default"/>
          <w:lang w:val="en-US" w:eastAsia="zh-CN"/>
        </w:rPr>
      </w:pPr>
      <w:r>
        <w:rPr>
          <w:rFonts w:hint="eastAsia"/>
          <w:lang w:val="en-US" w:eastAsia="zh-CN"/>
        </w:rPr>
        <w:t>5.1.3 防护等级要求</w:t>
      </w:r>
    </w:p>
    <w:p w14:paraId="075995A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室内型</w:t>
      </w:r>
      <w:r>
        <w:rPr>
          <w:rFonts w:hint="default"/>
          <w:lang w:val="en-US" w:eastAsia="zh-CN"/>
        </w:rPr>
        <w:t>配电箱</w:t>
      </w:r>
      <w:r>
        <w:rPr>
          <w:rFonts w:hint="eastAsia"/>
          <w:lang w:val="en-US" w:eastAsia="zh-CN"/>
        </w:rPr>
        <w:t>防护等级应符合GB/T 4208中IP34的要求，室外型配电箱防护等级应符合GB/T 4208中IP54的要求。</w:t>
      </w:r>
    </w:p>
    <w:p w14:paraId="138B209E">
      <w:pPr>
        <w:pStyle w:val="61"/>
        <w:ind w:left="0" w:leftChars="0" w:firstLine="0" w:firstLineChars="0"/>
        <w:rPr>
          <w:rFonts w:hint="default"/>
          <w:lang w:val="en-US" w:eastAsia="zh-CN"/>
        </w:rPr>
      </w:pPr>
      <w:r>
        <w:rPr>
          <w:rFonts w:hint="eastAsia"/>
          <w:lang w:val="en-US" w:eastAsia="zh-CN"/>
        </w:rPr>
        <w:t>5.1.4 结构布局要求</w:t>
      </w:r>
    </w:p>
    <w:p w14:paraId="58C7E69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结构布局应满足以下要求：</w:t>
      </w:r>
    </w:p>
    <w:p w14:paraId="646C4E6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a）功能区应划分为主母线区、断路器区、计量区、补偿区及智能监测区；</w:t>
      </w:r>
    </w:p>
    <w:p w14:paraId="2D57AA7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b）模块间应设置防护隔板，防止干扰和热量积聚；</w:t>
      </w:r>
    </w:p>
    <w:p w14:paraId="21FA589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c）电缆布置应整齐，横平竖直，并标识清楚；</w:t>
      </w:r>
    </w:p>
    <w:p w14:paraId="44F1EF5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d）</w:t>
      </w:r>
      <w:r>
        <w:rPr>
          <w:rFonts w:hint="eastAsia" w:ascii="宋体" w:hAnsi="宋体" w:eastAsia="宋体" w:cs="宋体"/>
          <w:lang w:val="en-US" w:eastAsia="zh-CN"/>
        </w:rPr>
        <w:t>门开启角度应≥120°；</w:t>
      </w:r>
    </w:p>
    <w:p w14:paraId="7EFB555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e）</w:t>
      </w:r>
      <w:r>
        <w:rPr>
          <w:rFonts w:hint="eastAsia" w:ascii="宋体" w:hAnsi="宋体" w:eastAsia="宋体" w:cs="宋体"/>
          <w:lang w:val="en-US" w:eastAsia="zh-CN"/>
        </w:rPr>
        <w:t>锁具应防误操作、防撬，满足长期可靠性；</w:t>
      </w:r>
    </w:p>
    <w:p w14:paraId="0E469FF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f）</w:t>
      </w:r>
      <w:r>
        <w:rPr>
          <w:rFonts w:hint="eastAsia" w:ascii="宋体" w:hAnsi="宋体" w:eastAsia="宋体" w:cs="宋体"/>
          <w:lang w:val="en-US" w:eastAsia="zh-CN"/>
        </w:rPr>
        <w:t>可视观察窗应采用耐冲击透明材料。</w:t>
      </w:r>
    </w:p>
    <w:p w14:paraId="51AF5ED1">
      <w:pPr>
        <w:pStyle w:val="110"/>
        <w:spacing w:before="120" w:after="120"/>
        <w:rPr>
          <w:rFonts w:hint="eastAsia"/>
          <w:lang w:val="en-US" w:eastAsia="zh-CN"/>
        </w:rPr>
      </w:pPr>
      <w:bookmarkStart w:id="75" w:name="_Toc24156"/>
      <w:r>
        <w:rPr>
          <w:rFonts w:hint="eastAsia"/>
          <w:lang w:val="en-US" w:eastAsia="zh-CN"/>
        </w:rPr>
        <w:t>性能要求</w:t>
      </w:r>
      <w:bookmarkEnd w:id="75"/>
    </w:p>
    <w:p w14:paraId="7D0091DD">
      <w:pPr>
        <w:pStyle w:val="61"/>
        <w:ind w:left="0" w:leftChars="0" w:firstLine="0" w:firstLineChars="0"/>
        <w:rPr>
          <w:rFonts w:hint="eastAsia"/>
          <w:lang w:val="en-US" w:eastAsia="zh-CN"/>
        </w:rPr>
      </w:pPr>
      <w:r>
        <w:rPr>
          <w:rFonts w:hint="eastAsia"/>
          <w:lang w:val="en-US" w:eastAsia="zh-CN"/>
        </w:rPr>
        <w:t>5.2.1 介电性能</w:t>
      </w:r>
    </w:p>
    <w:p w14:paraId="1811D26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介电性能应满足以下要求：</w:t>
      </w:r>
    </w:p>
    <w:p w14:paraId="1FDD9E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a）主回路绝缘电阻应不小于100MΩ；</w:t>
      </w:r>
    </w:p>
    <w:p w14:paraId="34B709C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b）辅助控制回路绝缘电阻应不小于10MΩ；</w:t>
      </w:r>
    </w:p>
    <w:p w14:paraId="06E00B0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c）工频耐压性能应符合表2的要求。</w:t>
      </w:r>
    </w:p>
    <w:p w14:paraId="4E75D6C2">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表2 工频耐压性能要求</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2393"/>
        <w:gridCol w:w="1994"/>
        <w:gridCol w:w="3185"/>
      </w:tblGrid>
      <w:tr w14:paraId="49E7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6E015C5E">
            <w:pPr>
              <w:pStyle w:val="61"/>
              <w:ind w:left="0" w:leftChars="0" w:firstLine="0" w:firstLineChars="0"/>
              <w:jc w:val="center"/>
            </w:pPr>
            <w:r>
              <w:rPr>
                <w:rFonts w:hint="eastAsia"/>
                <w:lang w:val="en-US" w:eastAsia="zh-CN"/>
              </w:rPr>
              <w:t>试验对象</w:t>
            </w:r>
          </w:p>
        </w:tc>
        <w:tc>
          <w:tcPr>
            <w:tcW w:w="1250" w:type="pct"/>
            <w:vAlign w:val="center"/>
          </w:tcPr>
          <w:p w14:paraId="19A6FC70">
            <w:pPr>
              <w:pStyle w:val="61"/>
              <w:ind w:left="0" w:leftChars="0" w:firstLine="0" w:firstLineChars="0"/>
              <w:jc w:val="center"/>
            </w:pPr>
            <w:r>
              <w:rPr>
                <w:rFonts w:hint="eastAsia"/>
                <w:lang w:val="en-US" w:eastAsia="zh-CN"/>
              </w:rPr>
              <w:t>工频耐压值</w:t>
            </w:r>
          </w:p>
        </w:tc>
        <w:tc>
          <w:tcPr>
            <w:tcW w:w="1042" w:type="pct"/>
            <w:vAlign w:val="center"/>
          </w:tcPr>
          <w:p w14:paraId="27DEB9B5">
            <w:pPr>
              <w:pStyle w:val="61"/>
              <w:ind w:left="0" w:leftChars="0" w:firstLine="0" w:firstLineChars="0"/>
              <w:jc w:val="center"/>
            </w:pPr>
            <w:r>
              <w:rPr>
                <w:rFonts w:hint="eastAsia"/>
                <w:lang w:val="en-US" w:eastAsia="zh-CN"/>
              </w:rPr>
              <w:t>试验时间</w:t>
            </w:r>
          </w:p>
        </w:tc>
        <w:tc>
          <w:tcPr>
            <w:tcW w:w="1664" w:type="pct"/>
            <w:vAlign w:val="center"/>
          </w:tcPr>
          <w:p w14:paraId="79607BC8">
            <w:pPr>
              <w:pStyle w:val="61"/>
              <w:ind w:left="0" w:leftChars="0" w:firstLine="0" w:firstLineChars="0"/>
              <w:jc w:val="center"/>
            </w:pPr>
            <w:r>
              <w:rPr>
                <w:rFonts w:hint="eastAsia"/>
                <w:lang w:val="en-US" w:eastAsia="zh-CN"/>
              </w:rPr>
              <w:t>要求</w:t>
            </w:r>
          </w:p>
        </w:tc>
      </w:tr>
      <w:tr w14:paraId="23F4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47AD9033">
            <w:pPr>
              <w:pStyle w:val="61"/>
              <w:ind w:left="0" w:leftChars="0" w:firstLine="0" w:firstLineChars="0"/>
              <w:jc w:val="center"/>
            </w:pPr>
            <w:r>
              <w:rPr>
                <w:rFonts w:hint="eastAsia"/>
                <w:lang w:val="en-US" w:eastAsia="zh-CN"/>
              </w:rPr>
              <w:t>主电路</w:t>
            </w:r>
          </w:p>
        </w:tc>
        <w:tc>
          <w:tcPr>
            <w:tcW w:w="1250" w:type="pct"/>
            <w:vAlign w:val="center"/>
          </w:tcPr>
          <w:p w14:paraId="04056D20">
            <w:pPr>
              <w:pStyle w:val="61"/>
              <w:ind w:left="0" w:leftChars="0" w:firstLine="0" w:firstLineChars="0"/>
              <w:jc w:val="center"/>
            </w:pPr>
            <w:r>
              <w:rPr>
                <w:rFonts w:hint="eastAsia"/>
                <w:lang w:val="en-US" w:eastAsia="zh-CN"/>
              </w:rPr>
              <w:t>AC 2.5kV</w:t>
            </w:r>
          </w:p>
        </w:tc>
        <w:tc>
          <w:tcPr>
            <w:tcW w:w="1042" w:type="pct"/>
            <w:vAlign w:val="center"/>
          </w:tcPr>
          <w:p w14:paraId="55C341BC">
            <w:pPr>
              <w:pStyle w:val="61"/>
              <w:ind w:left="0" w:leftChars="0" w:firstLine="0" w:firstLineChars="0"/>
              <w:jc w:val="center"/>
            </w:pPr>
            <w:r>
              <w:rPr>
                <w:rFonts w:hint="eastAsia"/>
                <w:lang w:val="en-US" w:eastAsia="zh-CN"/>
              </w:rPr>
              <w:t>1min</w:t>
            </w:r>
          </w:p>
        </w:tc>
        <w:tc>
          <w:tcPr>
            <w:tcW w:w="1664" w:type="pct"/>
            <w:vAlign w:val="center"/>
          </w:tcPr>
          <w:p w14:paraId="5852E851">
            <w:pPr>
              <w:pStyle w:val="61"/>
              <w:ind w:left="0" w:leftChars="0" w:firstLine="0" w:firstLineChars="0"/>
              <w:jc w:val="center"/>
            </w:pPr>
            <w:r>
              <w:rPr>
                <w:rFonts w:hint="eastAsia"/>
                <w:lang w:val="en-US" w:eastAsia="zh-CN"/>
              </w:rPr>
              <w:t>无击穿、无闪络</w:t>
            </w:r>
          </w:p>
        </w:tc>
      </w:tr>
      <w:tr w14:paraId="1BB0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B4A2253">
            <w:pPr>
              <w:pStyle w:val="61"/>
              <w:ind w:left="0" w:leftChars="0" w:firstLine="0" w:firstLineChars="0"/>
              <w:jc w:val="center"/>
            </w:pPr>
            <w:r>
              <w:rPr>
                <w:rFonts w:hint="eastAsia"/>
                <w:lang w:val="en-US" w:eastAsia="zh-CN"/>
              </w:rPr>
              <w:t>辅助电路</w:t>
            </w:r>
          </w:p>
        </w:tc>
        <w:tc>
          <w:tcPr>
            <w:tcW w:w="1250" w:type="pct"/>
            <w:vAlign w:val="center"/>
          </w:tcPr>
          <w:p w14:paraId="479190F6">
            <w:pPr>
              <w:pStyle w:val="61"/>
              <w:ind w:left="0" w:leftChars="0" w:firstLine="0" w:firstLineChars="0"/>
              <w:jc w:val="center"/>
            </w:pPr>
            <w:r>
              <w:rPr>
                <w:rFonts w:hint="eastAsia"/>
                <w:lang w:val="en-US" w:eastAsia="zh-CN"/>
              </w:rPr>
              <w:t>AC 2.0kV</w:t>
            </w:r>
          </w:p>
        </w:tc>
        <w:tc>
          <w:tcPr>
            <w:tcW w:w="1042" w:type="pct"/>
            <w:vAlign w:val="center"/>
          </w:tcPr>
          <w:p w14:paraId="31B3FCD3">
            <w:pPr>
              <w:pStyle w:val="61"/>
              <w:ind w:left="0" w:leftChars="0" w:firstLine="0" w:firstLineChars="0"/>
              <w:jc w:val="center"/>
            </w:pPr>
            <w:r>
              <w:rPr>
                <w:rFonts w:hint="eastAsia"/>
                <w:lang w:val="en-US" w:eastAsia="zh-CN"/>
              </w:rPr>
              <w:t>1min</w:t>
            </w:r>
          </w:p>
        </w:tc>
        <w:tc>
          <w:tcPr>
            <w:tcW w:w="1664" w:type="pct"/>
            <w:vAlign w:val="center"/>
          </w:tcPr>
          <w:p w14:paraId="0DF34916">
            <w:pPr>
              <w:pStyle w:val="61"/>
              <w:ind w:left="0" w:leftChars="0" w:firstLine="0" w:firstLineChars="0"/>
              <w:jc w:val="center"/>
            </w:pPr>
            <w:r>
              <w:rPr>
                <w:rFonts w:hint="eastAsia"/>
                <w:lang w:val="en-US" w:eastAsia="zh-CN"/>
              </w:rPr>
              <w:t>无击穿、无闪络</w:t>
            </w:r>
          </w:p>
        </w:tc>
      </w:tr>
    </w:tbl>
    <w:p w14:paraId="70388D1A">
      <w:pPr>
        <w:pStyle w:val="61"/>
        <w:ind w:left="0" w:leftChars="0" w:firstLine="0" w:firstLineChars="0"/>
        <w:rPr>
          <w:rFonts w:hint="default"/>
          <w:lang w:val="en-US" w:eastAsia="zh-CN"/>
        </w:rPr>
      </w:pPr>
      <w:r>
        <w:rPr>
          <w:rFonts w:hint="eastAsia"/>
          <w:lang w:val="en-US" w:eastAsia="zh-CN"/>
        </w:rPr>
        <w:t>5.2.2 爬电距离和电气间隙</w:t>
      </w:r>
    </w:p>
    <w:p w14:paraId="52DD000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爬电距离和电气间隙应满足DL/T 1441的要求。</w:t>
      </w:r>
    </w:p>
    <w:p w14:paraId="45AA2684">
      <w:pPr>
        <w:pStyle w:val="61"/>
        <w:ind w:left="0" w:leftChars="0" w:firstLine="0" w:firstLineChars="0"/>
        <w:rPr>
          <w:rFonts w:hint="eastAsia"/>
          <w:lang w:val="en-US" w:eastAsia="zh-CN"/>
        </w:rPr>
      </w:pPr>
      <w:r>
        <w:rPr>
          <w:rFonts w:hint="eastAsia"/>
          <w:lang w:val="en-US" w:eastAsia="zh-CN"/>
        </w:rPr>
        <w:t>5.2.3 短路耐受能力</w:t>
      </w:r>
    </w:p>
    <w:p w14:paraId="3683EFB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短路耐受能力应满足以下要求：</w:t>
      </w:r>
    </w:p>
    <w:p w14:paraId="562F7C51">
      <w:pPr>
        <w:pStyle w:val="61"/>
        <w:keepNext w:val="0"/>
        <w:keepLines w:val="0"/>
        <w:pageBreakBefore w:val="0"/>
        <w:widowControl/>
        <w:numPr>
          <w:ilvl w:val="0"/>
          <w:numId w:val="32"/>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主断路器的极限分断能力（Icu）不应低于50kA；</w:t>
      </w:r>
    </w:p>
    <w:p w14:paraId="73BF229A">
      <w:pPr>
        <w:pStyle w:val="61"/>
        <w:keepNext w:val="0"/>
        <w:keepLines w:val="0"/>
        <w:pageBreakBefore w:val="0"/>
        <w:widowControl/>
        <w:numPr>
          <w:ilvl w:val="0"/>
          <w:numId w:val="0"/>
        </w:numPr>
        <w:kinsoku/>
        <w:wordWrap/>
        <w:overflowPunct/>
        <w:topLinePunct w:val="0"/>
        <w:autoSpaceDE w:val="0"/>
        <w:autoSpaceDN w:val="0"/>
        <w:bidi w:val="0"/>
        <w:adjustRightInd/>
        <w:snapToGrid/>
        <w:ind w:leftChars="200"/>
        <w:textAlignment w:val="auto"/>
        <w:rPr>
          <w:rFonts w:hint="eastAsia"/>
          <w:lang w:val="en-US" w:eastAsia="zh-CN"/>
        </w:rPr>
      </w:pPr>
      <w:r>
        <w:rPr>
          <w:rFonts w:hint="eastAsia"/>
          <w:lang w:val="en-US" w:eastAsia="zh-CN"/>
        </w:rPr>
        <w:t>b）运行分断能力（Ics）应等于100%Icu，断路器应能在规定动作次数后保持性能不降低；</w:t>
      </w:r>
    </w:p>
    <w:p w14:paraId="118F3BF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c）母线承载短路电流能力应符合表3的要求。</w:t>
      </w:r>
    </w:p>
    <w:p w14:paraId="4BA7582F">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lang w:val="en-US" w:eastAsia="zh-CN"/>
        </w:rPr>
      </w:pPr>
      <w:r>
        <w:rPr>
          <w:rFonts w:hint="eastAsia" w:ascii="黑体" w:hAnsi="黑体" w:eastAsia="黑体" w:cs="黑体"/>
          <w:lang w:val="en-US" w:eastAsia="zh-CN"/>
        </w:rPr>
        <w:t>表3 短路电流承载能力要求</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4490"/>
        <w:gridCol w:w="2900"/>
      </w:tblGrid>
      <w:tr w14:paraId="53DA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Align w:val="center"/>
          </w:tcPr>
          <w:p w14:paraId="0B559AF0">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额定电流（A）</w:t>
            </w:r>
          </w:p>
        </w:tc>
        <w:tc>
          <w:tcPr>
            <w:tcW w:w="2346" w:type="pct"/>
            <w:vAlign w:val="center"/>
          </w:tcPr>
          <w:p w14:paraId="4D57FC05">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额定短时耐受电流（kA/1s）</w:t>
            </w:r>
          </w:p>
        </w:tc>
        <w:tc>
          <w:tcPr>
            <w:tcW w:w="1515" w:type="pct"/>
            <w:vAlign w:val="center"/>
          </w:tcPr>
          <w:p w14:paraId="21395E64">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峰值电流（kA）</w:t>
            </w:r>
          </w:p>
        </w:tc>
      </w:tr>
      <w:tr w14:paraId="13EB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Align w:val="center"/>
          </w:tcPr>
          <w:p w14:paraId="688AE7A2">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≤250A</w:t>
            </w:r>
          </w:p>
        </w:tc>
        <w:tc>
          <w:tcPr>
            <w:tcW w:w="2346" w:type="pct"/>
            <w:vAlign w:val="center"/>
          </w:tcPr>
          <w:p w14:paraId="393D92CE">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≥20</w:t>
            </w:r>
          </w:p>
        </w:tc>
        <w:tc>
          <w:tcPr>
            <w:tcW w:w="1515" w:type="pct"/>
            <w:vAlign w:val="center"/>
          </w:tcPr>
          <w:p w14:paraId="15174B76">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≥40</w:t>
            </w:r>
          </w:p>
        </w:tc>
      </w:tr>
      <w:tr w14:paraId="6943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Align w:val="center"/>
          </w:tcPr>
          <w:p w14:paraId="629DD690">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400A</w:t>
            </w:r>
          </w:p>
        </w:tc>
        <w:tc>
          <w:tcPr>
            <w:tcW w:w="2346" w:type="pct"/>
            <w:vAlign w:val="center"/>
          </w:tcPr>
          <w:p w14:paraId="5B053246">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≥25</w:t>
            </w:r>
          </w:p>
        </w:tc>
        <w:tc>
          <w:tcPr>
            <w:tcW w:w="1515" w:type="pct"/>
            <w:vAlign w:val="center"/>
          </w:tcPr>
          <w:p w14:paraId="2D5DAE0F">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≥50</w:t>
            </w:r>
          </w:p>
        </w:tc>
      </w:tr>
      <w:tr w14:paraId="7FF1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Align w:val="center"/>
          </w:tcPr>
          <w:p w14:paraId="2CF50FCF">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630A</w:t>
            </w:r>
          </w:p>
        </w:tc>
        <w:tc>
          <w:tcPr>
            <w:tcW w:w="2346" w:type="pct"/>
            <w:vAlign w:val="center"/>
          </w:tcPr>
          <w:p w14:paraId="5A53456C">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≥30</w:t>
            </w:r>
          </w:p>
        </w:tc>
        <w:tc>
          <w:tcPr>
            <w:tcW w:w="1515" w:type="pct"/>
            <w:vAlign w:val="center"/>
          </w:tcPr>
          <w:p w14:paraId="61149DE6">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≥63</w:t>
            </w:r>
          </w:p>
        </w:tc>
      </w:tr>
    </w:tbl>
    <w:p w14:paraId="740BA172">
      <w:pPr>
        <w:pStyle w:val="61"/>
        <w:ind w:left="0" w:leftChars="0" w:firstLine="0" w:firstLineChars="0"/>
        <w:rPr>
          <w:rFonts w:hint="eastAsia"/>
          <w:lang w:val="en-US" w:eastAsia="zh-CN"/>
        </w:rPr>
      </w:pPr>
      <w:r>
        <w:rPr>
          <w:rFonts w:hint="eastAsia"/>
          <w:lang w:val="en-US" w:eastAsia="zh-CN"/>
        </w:rPr>
        <w:t>5.2.4 温升性能</w:t>
      </w:r>
    </w:p>
    <w:p w14:paraId="5AE9346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温升性能要求如下：</w:t>
      </w:r>
    </w:p>
    <w:p w14:paraId="749D082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a）在额定电流条件下，导体和电器元件的温升应符合GB/T 7251.1的要求。</w:t>
      </w:r>
    </w:p>
    <w:p w14:paraId="7AA8DB2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b）铜母线温升不应超过70K，接线端子温升不应超过45K。</w:t>
      </w:r>
    </w:p>
    <w:p w14:paraId="1A413EB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c）装有电容器单元、SVG/APF模块的柜体应具备强制通风措施，其内部最高温度不应超过55℃。</w:t>
      </w:r>
    </w:p>
    <w:p w14:paraId="18BD3375">
      <w:pPr>
        <w:pStyle w:val="61"/>
        <w:ind w:left="0" w:leftChars="0" w:firstLine="0" w:firstLineChars="0"/>
        <w:rPr>
          <w:rFonts w:hint="default"/>
          <w:lang w:val="en-US" w:eastAsia="zh-CN"/>
        </w:rPr>
      </w:pPr>
      <w:r>
        <w:rPr>
          <w:rFonts w:hint="eastAsia"/>
          <w:lang w:val="en-US" w:eastAsia="zh-CN"/>
        </w:rPr>
        <w:t>5.2.5 电磁兼容性</w:t>
      </w:r>
    </w:p>
    <w:p w14:paraId="44A4B9A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eastAsia="宋体"/>
          <w:lang w:val="en-US" w:eastAsia="zh-CN"/>
        </w:rPr>
      </w:pPr>
      <w:r>
        <w:rPr>
          <w:rFonts w:hint="eastAsia"/>
        </w:rPr>
        <w:t>智能综合配电箱</w:t>
      </w:r>
      <w:r>
        <w:rPr>
          <w:rFonts w:hint="eastAsia"/>
          <w:lang w:val="en-US" w:eastAsia="zh-CN"/>
        </w:rPr>
        <w:t>的</w:t>
      </w:r>
      <w:r>
        <w:rPr>
          <w:rFonts w:hint="eastAsia"/>
        </w:rPr>
        <w:t>电磁兼容性</w:t>
      </w:r>
      <w:r>
        <w:rPr>
          <w:rFonts w:hint="eastAsia"/>
          <w:lang w:val="en-US" w:eastAsia="zh-CN"/>
        </w:rPr>
        <w:t>应满足表4的要求。</w:t>
      </w:r>
    </w:p>
    <w:p w14:paraId="55EFBC0B">
      <w:pPr>
        <w:pStyle w:val="61"/>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表4 电磁兼容性要求</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0"/>
        <w:gridCol w:w="1089"/>
        <w:gridCol w:w="5589"/>
      </w:tblGrid>
      <w:tr w14:paraId="06B6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pct"/>
            <w:vAlign w:val="center"/>
          </w:tcPr>
          <w:p w14:paraId="60B7E84A">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sz w:val="21"/>
                <w:szCs w:val="21"/>
                <w:lang w:val="en-US" w:eastAsia="zh-CN"/>
              </w:rPr>
            </w:pPr>
            <w:r>
              <w:rPr>
                <w:rFonts w:hint="eastAsia"/>
                <w:sz w:val="21"/>
                <w:szCs w:val="21"/>
                <w:lang w:val="en-US" w:eastAsia="zh-CN"/>
              </w:rPr>
              <w:t>项目</w:t>
            </w:r>
          </w:p>
        </w:tc>
        <w:tc>
          <w:tcPr>
            <w:tcW w:w="569" w:type="pct"/>
            <w:vAlign w:val="center"/>
          </w:tcPr>
          <w:p w14:paraId="41FF5F0E">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sz w:val="21"/>
                <w:szCs w:val="21"/>
                <w:lang w:val="en-US" w:eastAsia="zh-CN"/>
              </w:rPr>
            </w:pPr>
            <w:r>
              <w:rPr>
                <w:rFonts w:hint="eastAsia"/>
                <w:sz w:val="21"/>
                <w:szCs w:val="21"/>
                <w:lang w:val="en-US" w:eastAsia="zh-CN"/>
              </w:rPr>
              <w:t>级别</w:t>
            </w:r>
          </w:p>
        </w:tc>
        <w:tc>
          <w:tcPr>
            <w:tcW w:w="2920" w:type="pct"/>
            <w:vAlign w:val="center"/>
          </w:tcPr>
          <w:p w14:paraId="4D0D0F57">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sz w:val="21"/>
                <w:szCs w:val="21"/>
                <w:lang w:val="en-US" w:eastAsia="zh-CN"/>
              </w:rPr>
            </w:pPr>
            <w:r>
              <w:rPr>
                <w:rFonts w:hint="eastAsia"/>
                <w:sz w:val="21"/>
                <w:szCs w:val="21"/>
                <w:lang w:val="en-US" w:eastAsia="zh-CN"/>
              </w:rPr>
              <w:t>要求</w:t>
            </w:r>
          </w:p>
        </w:tc>
      </w:tr>
      <w:tr w14:paraId="2EE2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pct"/>
            <w:vAlign w:val="center"/>
          </w:tcPr>
          <w:p w14:paraId="049D39F5">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浪涌冲击</w:t>
            </w:r>
          </w:p>
        </w:tc>
        <w:tc>
          <w:tcPr>
            <w:tcW w:w="569" w:type="pct"/>
            <w:vAlign w:val="center"/>
          </w:tcPr>
          <w:p w14:paraId="7FE34EA8">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4级</w:t>
            </w:r>
          </w:p>
        </w:tc>
        <w:tc>
          <w:tcPr>
            <w:tcW w:w="2920" w:type="pct"/>
            <w:vAlign w:val="center"/>
          </w:tcPr>
          <w:p w14:paraId="49B6D219">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4.0KV</w:t>
            </w:r>
          </w:p>
        </w:tc>
      </w:tr>
      <w:tr w14:paraId="15DA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pct"/>
            <w:vAlign w:val="center"/>
          </w:tcPr>
          <w:p w14:paraId="63701FD8">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sz w:val="21"/>
                <w:szCs w:val="21"/>
                <w:lang w:val="en-US"/>
              </w:rPr>
            </w:pPr>
            <w:r>
              <w:rPr>
                <w:rFonts w:hint="eastAsia" w:ascii="宋体" w:hAnsi="宋体" w:eastAsia="宋体" w:cs="宋体"/>
                <w:sz w:val="21"/>
                <w:szCs w:val="21"/>
                <w:lang w:val="en-US" w:eastAsia="zh-CN"/>
              </w:rPr>
              <w:t>快速瞬变脉冲</w:t>
            </w:r>
            <w:r>
              <w:rPr>
                <w:rFonts w:hint="eastAsia" w:hAnsi="宋体" w:cs="宋体"/>
                <w:sz w:val="21"/>
                <w:szCs w:val="21"/>
                <w:lang w:val="en-US" w:eastAsia="zh-CN"/>
              </w:rPr>
              <w:t>群</w:t>
            </w:r>
          </w:p>
        </w:tc>
        <w:tc>
          <w:tcPr>
            <w:tcW w:w="569" w:type="pct"/>
            <w:vAlign w:val="center"/>
          </w:tcPr>
          <w:p w14:paraId="28485A30">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4级</w:t>
            </w:r>
          </w:p>
        </w:tc>
        <w:tc>
          <w:tcPr>
            <w:tcW w:w="2920" w:type="pct"/>
            <w:vAlign w:val="center"/>
          </w:tcPr>
          <w:p w14:paraId="008EE940">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4.0KV</w:t>
            </w:r>
          </w:p>
        </w:tc>
      </w:tr>
      <w:tr w14:paraId="2D20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pct"/>
            <w:vAlign w:val="center"/>
          </w:tcPr>
          <w:p w14:paraId="06E51159">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ascii="宋体" w:hAnsi="宋体" w:eastAsia="宋体" w:cs="宋体"/>
                <w:sz w:val="21"/>
                <w:szCs w:val="21"/>
                <w:lang w:val="en-US" w:eastAsia="zh-CN"/>
              </w:rPr>
              <w:t>静电放电</w:t>
            </w:r>
          </w:p>
        </w:tc>
        <w:tc>
          <w:tcPr>
            <w:tcW w:w="569" w:type="pct"/>
            <w:vAlign w:val="center"/>
          </w:tcPr>
          <w:p w14:paraId="74BD0EAF">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4级</w:t>
            </w:r>
          </w:p>
        </w:tc>
        <w:tc>
          <w:tcPr>
            <w:tcW w:w="2920" w:type="pct"/>
            <w:vAlign w:val="center"/>
          </w:tcPr>
          <w:p w14:paraId="2A2D32FD">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sz w:val="21"/>
                <w:szCs w:val="21"/>
                <w:lang w:val="en-US"/>
              </w:rPr>
            </w:pPr>
            <w:r>
              <w:rPr>
                <w:rFonts w:hint="eastAsia"/>
                <w:sz w:val="21"/>
                <w:szCs w:val="21"/>
                <w:lang w:val="en-US" w:eastAsia="zh-CN"/>
              </w:rPr>
              <w:t>接触放电8.0KV，空气放电15.0KV</w:t>
            </w:r>
          </w:p>
        </w:tc>
      </w:tr>
      <w:tr w14:paraId="375E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pct"/>
            <w:vAlign w:val="center"/>
          </w:tcPr>
          <w:p w14:paraId="68BA5D7C">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射频电磁场</w:t>
            </w:r>
          </w:p>
        </w:tc>
        <w:tc>
          <w:tcPr>
            <w:tcW w:w="569" w:type="pct"/>
            <w:vAlign w:val="center"/>
          </w:tcPr>
          <w:p w14:paraId="3D5A6433">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21"/>
                <w:szCs w:val="21"/>
              </w:rPr>
            </w:pPr>
            <w:r>
              <w:rPr>
                <w:rFonts w:hint="eastAsia"/>
                <w:sz w:val="21"/>
                <w:szCs w:val="21"/>
                <w:lang w:val="en-US" w:eastAsia="zh-CN"/>
              </w:rPr>
              <w:t>4级</w:t>
            </w:r>
          </w:p>
        </w:tc>
        <w:tc>
          <w:tcPr>
            <w:tcW w:w="2920" w:type="pct"/>
            <w:vAlign w:val="center"/>
          </w:tcPr>
          <w:p w14:paraId="3545DA65">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10V/m</w:t>
            </w:r>
          </w:p>
        </w:tc>
      </w:tr>
    </w:tbl>
    <w:p w14:paraId="13726033">
      <w:pPr>
        <w:pStyle w:val="61"/>
        <w:ind w:left="0" w:leftChars="0" w:firstLine="0" w:firstLineChars="0"/>
        <w:rPr>
          <w:rFonts w:hint="default"/>
          <w:lang w:val="en-US" w:eastAsia="zh-CN"/>
        </w:rPr>
      </w:pPr>
      <w:r>
        <w:rPr>
          <w:rFonts w:hint="eastAsia"/>
          <w:lang w:val="en-US" w:eastAsia="zh-CN"/>
        </w:rPr>
        <w:t>5.2.6 接地要求</w:t>
      </w:r>
    </w:p>
    <w:p w14:paraId="6CB73C6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应符合DL/T 1441的要求</w:t>
      </w:r>
      <w:r>
        <w:rPr>
          <w:rFonts w:hint="eastAsia"/>
          <w:lang w:val="en-US" w:eastAsia="zh-CN"/>
        </w:rPr>
        <w:t>，接地回路的接触电阻应小于0.1Ω。</w:t>
      </w:r>
    </w:p>
    <w:p w14:paraId="133FA200">
      <w:pPr>
        <w:pStyle w:val="110"/>
        <w:spacing w:before="120" w:after="120"/>
        <w:rPr>
          <w:rFonts w:hint="eastAsia"/>
          <w:lang w:val="en-US" w:eastAsia="zh-CN"/>
        </w:rPr>
      </w:pPr>
      <w:bookmarkStart w:id="76" w:name="_Toc16183"/>
      <w:r>
        <w:rPr>
          <w:rFonts w:hint="eastAsia"/>
          <w:lang w:val="en-US" w:eastAsia="zh-CN"/>
        </w:rPr>
        <w:t>功能单元要求</w:t>
      </w:r>
      <w:bookmarkEnd w:id="76"/>
    </w:p>
    <w:p w14:paraId="03B639A0">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5.3.1 计量单元</w:t>
      </w:r>
    </w:p>
    <w:p w14:paraId="75DDCAEA">
      <w:pPr>
        <w:pStyle w:val="61"/>
        <w:rPr>
          <w:rFonts w:hint="default" w:ascii="宋体" w:hAnsi="宋体" w:eastAsia="宋体" w:cs="宋体"/>
          <w:lang w:val="en-US" w:eastAsia="zh-CN"/>
        </w:rPr>
      </w:pPr>
      <w:r>
        <w:rPr>
          <w:rFonts w:hint="eastAsia" w:ascii="宋体" w:hAnsi="宋体" w:eastAsia="宋体" w:cs="宋体"/>
          <w:lang w:val="en-US" w:eastAsia="zh-CN"/>
        </w:rPr>
        <w:t>计量单元要求如下：</w:t>
      </w:r>
    </w:p>
    <w:p w14:paraId="77D49ED8">
      <w:pPr>
        <w:pStyle w:val="61"/>
        <w:rPr>
          <w:rFonts w:hint="eastAsia" w:ascii="宋体" w:hAnsi="宋体" w:eastAsia="宋体" w:cs="宋体"/>
          <w:lang w:val="en-US" w:eastAsia="zh-CN"/>
        </w:rPr>
      </w:pPr>
      <w:r>
        <w:rPr>
          <w:rFonts w:hint="eastAsia"/>
          <w:lang w:val="en-US" w:eastAsia="zh-CN"/>
        </w:rPr>
        <w:t>a）</w:t>
      </w:r>
      <w:r>
        <w:rPr>
          <w:rFonts w:hint="eastAsia" w:ascii="宋体" w:hAnsi="宋体" w:eastAsia="宋体" w:cs="宋体"/>
          <w:lang w:val="en-US" w:eastAsia="zh-CN"/>
        </w:rPr>
        <w:t>应按照DL/T 614的要求，选配精度不低于0.5S级的电能表；</w:t>
      </w:r>
    </w:p>
    <w:p w14:paraId="09F4D2A8">
      <w:pPr>
        <w:pStyle w:val="61"/>
        <w:rPr>
          <w:rFonts w:hint="default" w:ascii="宋体" w:hAnsi="宋体" w:eastAsia="宋体" w:cs="宋体"/>
          <w:vertAlign w:val="baseline"/>
          <w:lang w:val="en-US" w:eastAsia="zh-CN"/>
        </w:rPr>
      </w:pPr>
      <w:r>
        <w:rPr>
          <w:rFonts w:hint="eastAsia"/>
          <w:lang w:val="en-US" w:eastAsia="zh-CN"/>
        </w:rPr>
        <w:t>b）智能电能表二次回路连接应采用单股铜导线，电流回路连接导线截面积不应小于4mm</w:t>
      </w:r>
      <w:r>
        <w:rPr>
          <w:rFonts w:hint="eastAsia"/>
          <w:vertAlign w:val="superscript"/>
          <w:lang w:val="en-US" w:eastAsia="zh-CN"/>
        </w:rPr>
        <w:t>2</w:t>
      </w:r>
      <w:r>
        <w:rPr>
          <w:rFonts w:hint="eastAsia"/>
          <w:lang w:val="en-US" w:eastAsia="zh-CN"/>
        </w:rPr>
        <w:t>，电压回路连接导线截面积不应小于2.5mm</w:t>
      </w:r>
      <w:r>
        <w:rPr>
          <w:rFonts w:hint="eastAsia"/>
          <w:vertAlign w:val="superscript"/>
          <w:lang w:val="en-US" w:eastAsia="zh-CN"/>
        </w:rPr>
        <w:t>2</w:t>
      </w:r>
      <w:r>
        <w:rPr>
          <w:rFonts w:hint="eastAsia"/>
          <w:vertAlign w:val="baseline"/>
          <w:lang w:val="en-US" w:eastAsia="zh-CN"/>
        </w:rPr>
        <w:t>。</w:t>
      </w:r>
    </w:p>
    <w:p w14:paraId="1FFEB1DE">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5.3.2 保护单元</w:t>
      </w:r>
    </w:p>
    <w:p w14:paraId="135A0398">
      <w:pPr>
        <w:pStyle w:val="61"/>
        <w:rPr>
          <w:rFonts w:hint="eastAsia" w:ascii="宋体" w:hAnsi="宋体" w:eastAsia="宋体" w:cs="宋体"/>
          <w:lang w:val="en-US" w:eastAsia="zh-CN"/>
        </w:rPr>
      </w:pPr>
      <w:r>
        <w:rPr>
          <w:rFonts w:hint="eastAsia" w:ascii="宋体" w:hAnsi="宋体" w:eastAsia="宋体" w:cs="宋体"/>
          <w:lang w:val="en-US" w:eastAsia="zh-CN"/>
        </w:rPr>
        <w:t>保护单元要求如下：</w:t>
      </w:r>
    </w:p>
    <w:p w14:paraId="6C900E73">
      <w:pPr>
        <w:pStyle w:val="61"/>
        <w:rPr>
          <w:rFonts w:hint="eastAsia" w:ascii="宋体" w:hAnsi="宋体" w:eastAsia="宋体" w:cs="宋体"/>
          <w:lang w:val="en-US" w:eastAsia="zh-CN"/>
        </w:rPr>
      </w:pPr>
      <w:r>
        <w:rPr>
          <w:rFonts w:hint="eastAsia"/>
          <w:lang w:val="en-US" w:eastAsia="zh-CN"/>
        </w:rPr>
        <w:t>a）</w:t>
      </w:r>
      <w:r>
        <w:rPr>
          <w:rFonts w:hint="eastAsia" w:ascii="宋体" w:hAnsi="宋体" w:eastAsia="宋体" w:cs="宋体"/>
          <w:lang w:val="en-US" w:eastAsia="zh-CN"/>
        </w:rPr>
        <w:t>过载保护：1.05In条件下2h不动作，1.3In条件下应在2h内动作；</w:t>
      </w:r>
    </w:p>
    <w:p w14:paraId="048EA8A2">
      <w:pPr>
        <w:pStyle w:val="61"/>
        <w:rPr>
          <w:rFonts w:hint="eastAsia" w:ascii="宋体" w:hAnsi="宋体" w:eastAsia="宋体" w:cs="宋体"/>
          <w:lang w:val="en-US" w:eastAsia="zh-CN"/>
        </w:rPr>
      </w:pPr>
      <w:r>
        <w:rPr>
          <w:rFonts w:hint="eastAsia"/>
          <w:lang w:val="en-US" w:eastAsia="zh-CN"/>
        </w:rPr>
        <w:t>c）</w:t>
      </w:r>
      <w:r>
        <w:rPr>
          <w:rFonts w:hint="eastAsia" w:ascii="宋体" w:hAnsi="宋体" w:eastAsia="宋体" w:cs="宋体"/>
          <w:lang w:val="en-US" w:eastAsia="zh-CN"/>
        </w:rPr>
        <w:t>漏电保护：剩余动作电流300mA，动作时间≤0.2s；</w:t>
      </w:r>
    </w:p>
    <w:p w14:paraId="4A26BCA3">
      <w:pPr>
        <w:pStyle w:val="61"/>
        <w:rPr>
          <w:rFonts w:hint="eastAsia" w:ascii="宋体" w:hAnsi="宋体" w:eastAsia="宋体" w:cs="宋体"/>
          <w:lang w:val="en-US" w:eastAsia="zh-CN"/>
        </w:rPr>
      </w:pPr>
      <w:r>
        <w:rPr>
          <w:rFonts w:hint="eastAsia"/>
          <w:lang w:val="en-US" w:eastAsia="zh-CN"/>
        </w:rPr>
        <w:t>d）</w:t>
      </w:r>
      <w:r>
        <w:rPr>
          <w:rFonts w:hint="eastAsia" w:ascii="宋体" w:hAnsi="宋体" w:eastAsia="宋体" w:cs="宋体"/>
          <w:lang w:val="en-US" w:eastAsia="zh-CN"/>
        </w:rPr>
        <w:t>欠压保护：电压≤0.7时应在5s内跳闸。</w:t>
      </w:r>
    </w:p>
    <w:p w14:paraId="0710E700">
      <w:pPr>
        <w:pStyle w:val="61"/>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5.3.3 电容器/滤波器单元</w:t>
      </w:r>
    </w:p>
    <w:p w14:paraId="5793514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电容器/滤波器单元主要包括无功补偿单元和滤波器单元，应符合DL/T 1441规定的要求。</w:t>
      </w:r>
    </w:p>
    <w:p w14:paraId="745F160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 xml:space="preserve">5.3.4 </w:t>
      </w:r>
      <w:r>
        <w:rPr>
          <w:rFonts w:hint="default" w:ascii="宋体" w:hAnsi="宋体" w:eastAsia="宋体" w:cs="宋体"/>
          <w:lang w:val="en-US" w:eastAsia="zh-CN"/>
        </w:rPr>
        <w:t>智能配变终端单元</w:t>
      </w:r>
    </w:p>
    <w:p w14:paraId="6599534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智能配变终端单元采用的智能配变终端应满足DL</w:t>
      </w:r>
      <w:r>
        <w:rPr>
          <w:rFonts w:hint="eastAsia" w:ascii="宋体" w:hAnsi="宋体" w:eastAsia="宋体" w:cs="宋体"/>
          <w:lang w:val="en-US" w:eastAsia="zh-CN"/>
        </w:rPr>
        <w:t>/</w:t>
      </w:r>
      <w:r>
        <w:rPr>
          <w:rFonts w:hint="default" w:ascii="宋体" w:hAnsi="宋体" w:eastAsia="宋体" w:cs="宋体"/>
          <w:lang w:val="en-US" w:eastAsia="zh-CN"/>
        </w:rPr>
        <w:t>T</w:t>
      </w:r>
      <w:r>
        <w:rPr>
          <w:rFonts w:hint="eastAsia" w:ascii="宋体" w:hAnsi="宋体" w:eastAsia="宋体" w:cs="宋体"/>
          <w:lang w:val="en-US" w:eastAsia="zh-CN"/>
        </w:rPr>
        <w:t xml:space="preserve"> </w:t>
      </w:r>
      <w:r>
        <w:rPr>
          <w:rFonts w:hint="default" w:ascii="宋体" w:hAnsi="宋体" w:eastAsia="宋体" w:cs="宋体"/>
          <w:lang w:val="en-US" w:eastAsia="zh-CN"/>
        </w:rPr>
        <w:t>1442的要求。</w:t>
      </w:r>
    </w:p>
    <w:p w14:paraId="6A01821B">
      <w:pPr>
        <w:pStyle w:val="110"/>
        <w:spacing w:before="120" w:after="120"/>
        <w:rPr>
          <w:rFonts w:hint="eastAsia"/>
          <w:lang w:val="en-US" w:eastAsia="zh-CN"/>
        </w:rPr>
      </w:pPr>
      <w:bookmarkStart w:id="77" w:name="_Toc1173"/>
      <w:r>
        <w:rPr>
          <w:rFonts w:hint="eastAsia"/>
          <w:lang w:val="en-US" w:eastAsia="zh-CN"/>
        </w:rPr>
        <w:t>智能化功能要求</w:t>
      </w:r>
      <w:bookmarkEnd w:id="77"/>
    </w:p>
    <w:p w14:paraId="421663E8">
      <w:pPr>
        <w:pStyle w:val="61"/>
        <w:ind w:left="0" w:leftChars="0" w:firstLine="0" w:firstLineChars="0"/>
        <w:rPr>
          <w:rFonts w:hint="eastAsia"/>
          <w:lang w:val="en-US" w:eastAsia="zh-CN"/>
        </w:rPr>
      </w:pPr>
      <w:r>
        <w:rPr>
          <w:rFonts w:hint="eastAsia"/>
          <w:lang w:val="en-US" w:eastAsia="zh-CN"/>
        </w:rPr>
        <w:t>5.4.1 数据采集功能</w:t>
      </w:r>
    </w:p>
    <w:p w14:paraId="441BA31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数据采集功能要求如下：</w:t>
      </w:r>
    </w:p>
    <w:p w14:paraId="6BD323B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a）应具备对三相电压、三相电流、有功功率、无功功率、功率因数、电能量等关键参数的实时采集功能；</w:t>
      </w:r>
    </w:p>
    <w:p w14:paraId="4484189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b）数据采集周期应不大于1s；</w:t>
      </w:r>
    </w:p>
    <w:p w14:paraId="772D65B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c）对过载、电压异常等关键事件应具备事件触发采集功能，并记录事件前后数据。</w:t>
      </w:r>
    </w:p>
    <w:p w14:paraId="03260892">
      <w:pPr>
        <w:pStyle w:val="61"/>
        <w:ind w:left="0" w:leftChars="0" w:firstLine="0" w:firstLineChars="0"/>
        <w:rPr>
          <w:rFonts w:hint="eastAsia"/>
          <w:lang w:val="en-US" w:eastAsia="zh-CN"/>
        </w:rPr>
      </w:pPr>
      <w:r>
        <w:rPr>
          <w:rFonts w:hint="eastAsia"/>
          <w:lang w:val="en-US" w:eastAsia="zh-CN"/>
        </w:rPr>
        <w:t>5.4.2 运行监测功能</w:t>
      </w:r>
    </w:p>
    <w:p w14:paraId="5FEDD74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运行监测功能要求如下：</w:t>
      </w:r>
    </w:p>
    <w:p w14:paraId="7936BA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a）应具备自身运行状态监测能力；</w:t>
      </w:r>
    </w:p>
    <w:p w14:paraId="1378624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b）各功能单元状态应能实时显示和记录；</w:t>
      </w:r>
    </w:p>
    <w:p w14:paraId="1D95D7B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c）运行数据应支持不少于90天的历史存储。</w:t>
      </w:r>
    </w:p>
    <w:p w14:paraId="4B938E4B">
      <w:pPr>
        <w:pStyle w:val="61"/>
        <w:ind w:left="0" w:leftChars="0" w:firstLine="0" w:firstLineChars="0"/>
        <w:rPr>
          <w:rFonts w:hint="eastAsia"/>
          <w:lang w:val="en-US" w:eastAsia="zh-CN"/>
        </w:rPr>
      </w:pPr>
      <w:r>
        <w:rPr>
          <w:rFonts w:hint="eastAsia"/>
          <w:lang w:val="en-US" w:eastAsia="zh-CN"/>
        </w:rPr>
        <w:t>5.4.3 故障诊断与告警功能</w:t>
      </w:r>
    </w:p>
    <w:p w14:paraId="4F65261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故障诊断与告警功能要求如下：</w:t>
      </w:r>
    </w:p>
    <w:p w14:paraId="10C48C9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a）系统应具备故障的自动识别能力；</w:t>
      </w:r>
    </w:p>
    <w:p w14:paraId="0096AC9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b）发生故障时应在1s内生成本地声光报警，并向上级系统发送告警信息；</w:t>
      </w:r>
    </w:p>
    <w:p w14:paraId="72B504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c）故障信息应包括故障类型、时间、相关运行参数等，便于记录与追溯。</w:t>
      </w:r>
    </w:p>
    <w:p w14:paraId="5713F187">
      <w:pPr>
        <w:pStyle w:val="61"/>
        <w:ind w:left="0" w:leftChars="0" w:firstLine="0" w:firstLineChars="0"/>
        <w:rPr>
          <w:rFonts w:hint="eastAsia"/>
          <w:lang w:val="en-US" w:eastAsia="zh-CN"/>
        </w:rPr>
      </w:pPr>
      <w:r>
        <w:rPr>
          <w:rFonts w:hint="eastAsia"/>
          <w:lang w:val="en-US" w:eastAsia="zh-CN"/>
        </w:rPr>
        <w:t>5.4.4 远程监控功能</w:t>
      </w:r>
    </w:p>
    <w:p w14:paraId="7B7594B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远程监控功能要求如下：</w:t>
      </w:r>
    </w:p>
    <w:p w14:paraId="1CF2203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a）系统应支持通过通信接口实现远程监视与管理；</w:t>
      </w:r>
    </w:p>
    <w:p w14:paraId="10F4CFC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b）通信方式应支持以太网或RS485，并应确保数据传输安全可靠。</w:t>
      </w:r>
    </w:p>
    <w:p w14:paraId="0CFBC7CB">
      <w:pPr>
        <w:pStyle w:val="61"/>
        <w:ind w:left="0" w:leftChars="0" w:firstLine="0" w:firstLineChars="0"/>
        <w:rPr>
          <w:rFonts w:hint="eastAsia"/>
          <w:lang w:val="en-US" w:eastAsia="zh-CN"/>
        </w:rPr>
      </w:pPr>
      <w:r>
        <w:rPr>
          <w:rFonts w:hint="eastAsia"/>
          <w:lang w:val="en-US" w:eastAsia="zh-CN"/>
        </w:rPr>
        <w:t>5.4.5 控制与联动功能</w:t>
      </w:r>
    </w:p>
    <w:p w14:paraId="08E5F1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控制与联动功能要求如下：</w:t>
      </w:r>
    </w:p>
    <w:p w14:paraId="5D2AB9B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a）系统应具备对断路器、电容补偿单元等的远程投切控制功能；</w:t>
      </w:r>
    </w:p>
    <w:p w14:paraId="3B200B8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b）控制应具备执行确认与状态反馈，防止误操作；</w:t>
      </w:r>
    </w:p>
    <w:p w14:paraId="03B5040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c）应支持与配电自动化系统、能效管理系统等的联动。</w:t>
      </w:r>
    </w:p>
    <w:p w14:paraId="6E472888">
      <w:pPr>
        <w:pStyle w:val="61"/>
        <w:ind w:left="0" w:leftChars="0" w:firstLine="0" w:firstLineChars="0"/>
        <w:rPr>
          <w:rFonts w:hint="eastAsia"/>
          <w:lang w:val="en-US" w:eastAsia="zh-CN"/>
        </w:rPr>
      </w:pPr>
      <w:r>
        <w:rPr>
          <w:rFonts w:hint="eastAsia"/>
          <w:lang w:val="en-US" w:eastAsia="zh-CN"/>
        </w:rPr>
        <w:t>5.4.6 扩展与兼容能力</w:t>
      </w:r>
    </w:p>
    <w:p w14:paraId="0598092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扩展与兼容能力要求如下：</w:t>
      </w:r>
    </w:p>
    <w:p w14:paraId="659764A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a）系统应预留接口，支持功能拓展或第三方平台接入；</w:t>
      </w:r>
    </w:p>
    <w:p w14:paraId="47841C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b）数据格式、通信规约等应具有开放性和兼容性，以适应后续系统升级。</w:t>
      </w:r>
    </w:p>
    <w:p w14:paraId="7FCDD511">
      <w:pPr>
        <w:pStyle w:val="110"/>
        <w:spacing w:before="120" w:after="120"/>
        <w:rPr>
          <w:rFonts w:hint="eastAsia"/>
          <w:lang w:val="en-US" w:eastAsia="zh-CN"/>
        </w:rPr>
      </w:pPr>
      <w:bookmarkStart w:id="78" w:name="_Toc24221"/>
      <w:r>
        <w:rPr>
          <w:rFonts w:hint="eastAsia"/>
          <w:lang w:val="en-US" w:eastAsia="zh-CN"/>
        </w:rPr>
        <w:t>可靠性要求</w:t>
      </w:r>
      <w:bookmarkEnd w:id="78"/>
    </w:p>
    <w:p w14:paraId="022F633A">
      <w:pPr>
        <w:pStyle w:val="61"/>
        <w:ind w:left="0" w:leftChars="0" w:firstLine="0" w:firstLineChars="0"/>
        <w:rPr>
          <w:rFonts w:hint="eastAsia"/>
          <w:lang w:val="en-US" w:eastAsia="zh-CN"/>
        </w:rPr>
      </w:pPr>
      <w:r>
        <w:rPr>
          <w:rFonts w:hint="eastAsia"/>
          <w:lang w:val="en-US" w:eastAsia="zh-CN"/>
        </w:rPr>
        <w:t>5.5.1 寿命要求</w:t>
      </w:r>
    </w:p>
    <w:p w14:paraId="4065EA0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箱体及关键部件使用寿命应不低于10年。</w:t>
      </w:r>
    </w:p>
    <w:p w14:paraId="4997F70E">
      <w:pPr>
        <w:pStyle w:val="61"/>
        <w:ind w:left="0" w:leftChars="0" w:firstLine="0" w:firstLineChars="0"/>
        <w:rPr>
          <w:rFonts w:hint="eastAsia"/>
          <w:lang w:val="en-US" w:eastAsia="zh-CN"/>
        </w:rPr>
      </w:pPr>
      <w:r>
        <w:rPr>
          <w:rFonts w:hint="eastAsia"/>
          <w:lang w:val="en-US" w:eastAsia="zh-CN"/>
        </w:rPr>
        <w:t>5.5.2 故障率与维护要求</w:t>
      </w:r>
    </w:p>
    <w:p w14:paraId="4E4C233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故障率与维护要求如下</w:t>
      </w:r>
      <w:r>
        <w:rPr>
          <w:rFonts w:hint="default"/>
          <w:lang w:val="en-US" w:eastAsia="zh-CN"/>
        </w:rPr>
        <w:t>：</w:t>
      </w:r>
    </w:p>
    <w:p w14:paraId="0DC34A1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a）关键部件年故障率应≤0.5%；</w:t>
      </w:r>
    </w:p>
    <w:p w14:paraId="155CE0A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b）关键部件应可单独更换，便于维护；</w:t>
      </w:r>
    </w:p>
    <w:p w14:paraId="7CB3C4C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c）设计应便于快速检修，减少维护停机时间；</w:t>
      </w:r>
    </w:p>
    <w:p w14:paraId="0F97F0B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d）在使用过程中，故障恢复时间不应超过4小时。</w:t>
      </w:r>
    </w:p>
    <w:p w14:paraId="11D0B2D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5.5.3 耐腐蚀性要求</w:t>
      </w:r>
    </w:p>
    <w:p w14:paraId="31A4D0C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金属部件应能耐受中性盐雾试验96 h，不出现明显锈蚀</w:t>
      </w:r>
      <w:r>
        <w:rPr>
          <w:rFonts w:hint="eastAsia"/>
          <w:lang w:val="en-US" w:eastAsia="zh-CN"/>
        </w:rPr>
        <w:t>。</w:t>
      </w:r>
    </w:p>
    <w:p w14:paraId="589AC037">
      <w:pPr>
        <w:pStyle w:val="109"/>
        <w:spacing w:before="240" w:after="240"/>
        <w:rPr>
          <w:rFonts w:hint="default"/>
          <w:szCs w:val="21"/>
          <w:lang w:val="en-US" w:eastAsia="zh-CN"/>
        </w:rPr>
      </w:pPr>
      <w:bookmarkStart w:id="79" w:name="_Toc27730"/>
      <w:r>
        <w:rPr>
          <w:rFonts w:hint="eastAsia"/>
          <w:szCs w:val="21"/>
          <w:lang w:val="en-US" w:eastAsia="zh-CN"/>
        </w:rPr>
        <w:t>试验方法</w:t>
      </w:r>
      <w:bookmarkEnd w:id="79"/>
    </w:p>
    <w:p w14:paraId="3458C2D8">
      <w:pPr>
        <w:pStyle w:val="110"/>
        <w:spacing w:before="120" w:after="120"/>
        <w:rPr>
          <w:rFonts w:hint="default"/>
          <w:lang w:val="en-US" w:eastAsia="zh-CN"/>
        </w:rPr>
      </w:pPr>
      <w:bookmarkStart w:id="80" w:name="_Toc24889"/>
      <w:r>
        <w:rPr>
          <w:rFonts w:hint="eastAsia"/>
          <w:lang w:val="en-US" w:eastAsia="zh-CN"/>
        </w:rPr>
        <w:t>箱体试验</w:t>
      </w:r>
      <w:bookmarkEnd w:id="80"/>
    </w:p>
    <w:p w14:paraId="554043EE">
      <w:pPr>
        <w:pStyle w:val="61"/>
        <w:ind w:left="0" w:leftChars="0" w:firstLine="0" w:firstLineChars="0"/>
        <w:rPr>
          <w:rFonts w:hint="eastAsia"/>
          <w:lang w:val="en-US" w:eastAsia="zh-CN"/>
        </w:rPr>
      </w:pPr>
      <w:r>
        <w:rPr>
          <w:rFonts w:hint="eastAsia"/>
          <w:lang w:val="en-US" w:eastAsia="zh-CN"/>
        </w:rPr>
        <w:t>6.1.1 厚度与尺寸试验</w:t>
      </w:r>
    </w:p>
    <w:p w14:paraId="71A0373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采用测厚仪测量钢板及膜厚，每处取5点，计算平均值。</w:t>
      </w:r>
    </w:p>
    <w:p w14:paraId="1218CA58">
      <w:pPr>
        <w:pStyle w:val="61"/>
        <w:ind w:left="0" w:leftChars="0" w:firstLine="0" w:firstLineChars="0"/>
        <w:rPr>
          <w:rFonts w:hint="eastAsia"/>
          <w:lang w:val="en-US" w:eastAsia="zh-CN"/>
        </w:rPr>
      </w:pPr>
      <w:r>
        <w:rPr>
          <w:rFonts w:hint="eastAsia"/>
          <w:lang w:val="en-US" w:eastAsia="zh-CN"/>
        </w:rPr>
        <w:t>6.1.2 防护等级实验</w:t>
      </w:r>
    </w:p>
    <w:p w14:paraId="3A73273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s="Times New Roman"/>
          <w:sz w:val="21"/>
          <w:lang w:val="en-US" w:eastAsia="zh-CN" w:bidi="ar-SA"/>
        </w:rPr>
      </w:pPr>
      <w:r>
        <w:rPr>
          <w:rFonts w:hint="eastAsia" w:cs="Times New Roman"/>
          <w:sz w:val="21"/>
          <w:lang w:val="en-US" w:eastAsia="zh-CN" w:bidi="ar-SA"/>
        </w:rPr>
        <w:t>应按照GB/T 4208规定的方法执行。</w:t>
      </w:r>
    </w:p>
    <w:p w14:paraId="68A652E0">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cs="Times New Roman"/>
          <w:sz w:val="21"/>
          <w:lang w:val="en-US" w:eastAsia="zh-CN" w:bidi="ar-SA"/>
        </w:rPr>
      </w:pPr>
      <w:r>
        <w:rPr>
          <w:rFonts w:hint="eastAsia" w:cs="Times New Roman"/>
          <w:sz w:val="21"/>
          <w:lang w:val="en-US" w:eastAsia="zh-CN" w:bidi="ar-SA"/>
        </w:rPr>
        <w:t>6.1.3 材料耐冲击试验</w:t>
      </w:r>
    </w:p>
    <w:p w14:paraId="32AD185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cs="Times New Roman"/>
          <w:sz w:val="21"/>
          <w:lang w:val="en-US" w:eastAsia="zh-CN" w:bidi="ar-SA"/>
        </w:rPr>
      </w:pPr>
      <w:r>
        <w:rPr>
          <w:rFonts w:hint="default" w:cs="Times New Roman"/>
          <w:sz w:val="21"/>
          <w:lang w:val="en-US" w:eastAsia="zh-CN" w:bidi="ar-SA"/>
        </w:rPr>
        <w:t>应按照GB/T 2650规定的方法执行。</w:t>
      </w:r>
    </w:p>
    <w:p w14:paraId="19657654">
      <w:pPr>
        <w:pStyle w:val="110"/>
        <w:spacing w:before="120" w:after="120"/>
        <w:rPr>
          <w:rFonts w:hint="eastAsia"/>
          <w:lang w:val="en-US" w:eastAsia="zh-CN"/>
        </w:rPr>
      </w:pPr>
      <w:bookmarkStart w:id="81" w:name="_Toc5152"/>
      <w:r>
        <w:rPr>
          <w:rFonts w:hint="eastAsia"/>
          <w:lang w:val="en-US" w:eastAsia="zh-CN"/>
        </w:rPr>
        <w:t>性能试验</w:t>
      </w:r>
      <w:bookmarkEnd w:id="81"/>
    </w:p>
    <w:p w14:paraId="5C378019">
      <w:pPr>
        <w:pStyle w:val="61"/>
        <w:ind w:left="0" w:leftChars="0" w:firstLine="0" w:firstLineChars="0"/>
        <w:rPr>
          <w:rFonts w:hint="eastAsia"/>
          <w:lang w:val="en-US" w:eastAsia="zh-CN"/>
        </w:rPr>
      </w:pPr>
      <w:r>
        <w:rPr>
          <w:rFonts w:hint="eastAsia"/>
          <w:lang w:val="en-US" w:eastAsia="zh-CN"/>
        </w:rPr>
        <w:t>6.2.1 介电性能试验</w:t>
      </w:r>
    </w:p>
    <w:p w14:paraId="7C5D44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应按照GB/T 24344规定的方法</w:t>
      </w:r>
      <w:r>
        <w:rPr>
          <w:rFonts w:hint="eastAsia" w:hAnsi="宋体" w:cs="宋体"/>
          <w:lang w:val="en-US" w:eastAsia="zh-CN"/>
        </w:rPr>
        <w:t>进行耐压试验</w:t>
      </w:r>
      <w:r>
        <w:rPr>
          <w:rFonts w:hint="eastAsia" w:ascii="宋体" w:hAnsi="宋体" w:eastAsia="宋体" w:cs="宋体"/>
          <w:lang w:val="en-US" w:eastAsia="zh-CN"/>
        </w:rPr>
        <w:t>，按照GB/T 24343规定的方法测量绝缘电阻。</w:t>
      </w:r>
    </w:p>
    <w:p w14:paraId="15EA8486">
      <w:pPr>
        <w:pStyle w:val="61"/>
        <w:ind w:left="0" w:leftChars="0" w:firstLine="0" w:firstLineChars="0"/>
        <w:rPr>
          <w:rFonts w:hint="eastAsia"/>
          <w:lang w:val="en-US" w:eastAsia="zh-CN"/>
        </w:rPr>
      </w:pPr>
      <w:r>
        <w:rPr>
          <w:rFonts w:hint="eastAsia"/>
          <w:lang w:val="en-US" w:eastAsia="zh-CN"/>
        </w:rPr>
        <w:t>6.2.2</w:t>
      </w:r>
      <w:r>
        <w:rPr>
          <w:rFonts w:hint="default"/>
          <w:lang w:val="en-US" w:eastAsia="zh-CN"/>
        </w:rPr>
        <w:t xml:space="preserve"> 爬电距离和电气间隙</w:t>
      </w:r>
      <w:r>
        <w:rPr>
          <w:rFonts w:hint="eastAsia"/>
          <w:lang w:val="en-US" w:eastAsia="zh-CN"/>
        </w:rPr>
        <w:t>试验</w:t>
      </w:r>
    </w:p>
    <w:p w14:paraId="2646562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w:t>
      </w:r>
      <w:r>
        <w:rPr>
          <w:rFonts w:hint="eastAsia"/>
          <w:lang w:val="en-US" w:eastAsia="zh-CN"/>
        </w:rPr>
        <w:t>按照</w:t>
      </w:r>
      <w:r>
        <w:rPr>
          <w:rFonts w:hint="default"/>
          <w:lang w:val="en-US" w:eastAsia="zh-CN"/>
        </w:rPr>
        <w:t>DL/T 1441规定的方法执行。</w:t>
      </w:r>
    </w:p>
    <w:p w14:paraId="77BB820B">
      <w:pPr>
        <w:pStyle w:val="61"/>
        <w:ind w:left="0" w:leftChars="0" w:firstLine="0" w:firstLineChars="0"/>
        <w:rPr>
          <w:rFonts w:hint="eastAsia"/>
          <w:lang w:val="en-US" w:eastAsia="zh-CN"/>
        </w:rPr>
      </w:pPr>
      <w:r>
        <w:rPr>
          <w:rFonts w:hint="eastAsia"/>
          <w:lang w:val="en-US" w:eastAsia="zh-CN"/>
        </w:rPr>
        <w:t>6.2.3 短路耐受试验</w:t>
      </w:r>
    </w:p>
    <w:p w14:paraId="7A1D45D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w:t>
      </w:r>
      <w:r>
        <w:rPr>
          <w:rFonts w:hint="eastAsia"/>
          <w:lang w:val="en-US" w:eastAsia="zh-CN"/>
        </w:rPr>
        <w:t>按照</w:t>
      </w:r>
      <w:r>
        <w:rPr>
          <w:rFonts w:hint="default"/>
          <w:lang w:val="en-US" w:eastAsia="zh-CN"/>
        </w:rPr>
        <w:t>GB/T 7251.1规定的方法执行。</w:t>
      </w:r>
    </w:p>
    <w:p w14:paraId="47429253">
      <w:pPr>
        <w:pStyle w:val="61"/>
        <w:ind w:left="0" w:leftChars="0" w:firstLine="0" w:firstLineChars="0"/>
        <w:rPr>
          <w:rFonts w:hint="eastAsia"/>
          <w:lang w:val="en-US" w:eastAsia="zh-CN"/>
        </w:rPr>
      </w:pPr>
      <w:r>
        <w:rPr>
          <w:rFonts w:hint="eastAsia"/>
          <w:lang w:val="en-US" w:eastAsia="zh-CN"/>
        </w:rPr>
        <w:t>6.2.4 温升试验</w:t>
      </w:r>
    </w:p>
    <w:p w14:paraId="62E881B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w:t>
      </w:r>
      <w:r>
        <w:rPr>
          <w:rFonts w:hint="eastAsia" w:ascii="Times New Roman" w:eastAsia="宋体"/>
          <w:lang w:val="en-US" w:eastAsia="zh-CN"/>
        </w:rPr>
        <w:t>按照</w:t>
      </w:r>
      <w:r>
        <w:rPr>
          <w:rFonts w:hint="default"/>
          <w:lang w:val="en-US" w:eastAsia="zh-CN"/>
        </w:rPr>
        <w:t>DL/T 1441规定的方法执行。</w:t>
      </w:r>
    </w:p>
    <w:p w14:paraId="5FE97BDF">
      <w:pPr>
        <w:pStyle w:val="61"/>
        <w:ind w:left="0" w:leftChars="0" w:firstLine="0" w:firstLineChars="0"/>
        <w:rPr>
          <w:rFonts w:hint="default"/>
          <w:lang w:val="en-US" w:eastAsia="zh-CN"/>
        </w:rPr>
      </w:pPr>
      <w:r>
        <w:rPr>
          <w:rFonts w:hint="eastAsia"/>
          <w:lang w:val="en-US" w:eastAsia="zh-CN"/>
        </w:rPr>
        <w:t>6.2.5 电磁兼容性试验</w:t>
      </w:r>
    </w:p>
    <w:p w14:paraId="178ED02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电磁兼容性试验应按照以下方法进行：</w:t>
      </w:r>
    </w:p>
    <w:p w14:paraId="3EF42F4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a）静电放电抗扰度试验按照GB/T 17626.2</w:t>
      </w:r>
      <w:r>
        <w:rPr>
          <w:rFonts w:hint="default"/>
          <w:lang w:val="en-US" w:eastAsia="zh-CN"/>
        </w:rPr>
        <w:t>规定的方法执行</w:t>
      </w:r>
      <w:r>
        <w:rPr>
          <w:rFonts w:hint="eastAsia"/>
          <w:lang w:val="en-US" w:eastAsia="zh-CN"/>
        </w:rPr>
        <w:t>；</w:t>
      </w:r>
    </w:p>
    <w:p w14:paraId="4850FF7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b）射频电磁场辐射抗扰度试验按照GB/T 17626.3</w:t>
      </w:r>
      <w:r>
        <w:rPr>
          <w:rFonts w:hint="default"/>
          <w:lang w:val="en-US" w:eastAsia="zh-CN"/>
        </w:rPr>
        <w:t>规定的方法执行</w:t>
      </w:r>
      <w:r>
        <w:rPr>
          <w:rFonts w:hint="eastAsia"/>
          <w:lang w:val="en-US" w:eastAsia="zh-CN"/>
        </w:rPr>
        <w:t>；</w:t>
      </w:r>
    </w:p>
    <w:p w14:paraId="47B331D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c）电快速瞬变脉冲群抗扰度试验按照GB/T 17626.4规定的方法执行；</w:t>
      </w:r>
    </w:p>
    <w:p w14:paraId="53E4218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d）浪涌抗扰度试验按照GB/T 17626.5规定的方法执行。</w:t>
      </w:r>
    </w:p>
    <w:p w14:paraId="480566A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 xml:space="preserve">6.2.6 </w:t>
      </w:r>
      <w:r>
        <w:rPr>
          <w:rFonts w:hint="default"/>
          <w:lang w:val="en-US" w:eastAsia="zh-CN"/>
        </w:rPr>
        <w:t>接地电阻试验</w:t>
      </w:r>
    </w:p>
    <w:p w14:paraId="40FBB8D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18216.4规定的方法执行。</w:t>
      </w:r>
    </w:p>
    <w:p w14:paraId="1EC7A48C">
      <w:pPr>
        <w:pStyle w:val="110"/>
        <w:spacing w:before="120" w:after="120"/>
        <w:rPr>
          <w:rFonts w:hint="default"/>
          <w:lang w:val="en-US" w:eastAsia="zh-CN"/>
        </w:rPr>
      </w:pPr>
      <w:bookmarkStart w:id="82" w:name="_Toc17290"/>
      <w:r>
        <w:rPr>
          <w:rFonts w:hint="default"/>
          <w:lang w:val="en-US" w:eastAsia="zh-CN"/>
        </w:rPr>
        <w:t>功能单元试验</w:t>
      </w:r>
      <w:bookmarkEnd w:id="82"/>
    </w:p>
    <w:p w14:paraId="3B47EA79">
      <w:pPr>
        <w:pStyle w:val="61"/>
        <w:ind w:left="0" w:leftChars="0" w:firstLine="0" w:firstLineChars="0"/>
        <w:rPr>
          <w:rFonts w:hint="eastAsia"/>
          <w:lang w:val="en-US" w:eastAsia="zh-CN"/>
        </w:rPr>
      </w:pPr>
      <w:r>
        <w:rPr>
          <w:rFonts w:hint="eastAsia"/>
          <w:lang w:val="en-US" w:eastAsia="zh-CN"/>
        </w:rPr>
        <w:t>6.3.1 计量单元试验</w:t>
      </w:r>
    </w:p>
    <w:p w14:paraId="315AAD2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应按照以下步骤进行：</w:t>
      </w:r>
    </w:p>
    <w:p w14:paraId="484A66C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a）</w:t>
      </w:r>
      <w:r>
        <w:rPr>
          <w:rFonts w:hint="default"/>
          <w:lang w:val="en-US" w:eastAsia="zh-CN"/>
        </w:rPr>
        <w:t>按照电能表技术条件，将电能表接入标准源输出装置</w:t>
      </w:r>
      <w:r>
        <w:rPr>
          <w:rFonts w:hint="eastAsia"/>
          <w:lang w:val="en-US" w:eastAsia="zh-CN"/>
        </w:rPr>
        <w:t>；</w:t>
      </w:r>
    </w:p>
    <w:p w14:paraId="2B90AA6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设定电压、电流标准值，分别在基本电流、最大电流及功率因数条件下加载</w:t>
      </w:r>
      <w:r>
        <w:rPr>
          <w:rFonts w:hint="eastAsia"/>
          <w:lang w:val="en-US" w:eastAsia="zh-CN"/>
        </w:rPr>
        <w:t>；</w:t>
      </w:r>
    </w:p>
    <w:p w14:paraId="1E69EC0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记录电能表示值与标准值差异，计算计量误差</w:t>
      </w:r>
      <w:r>
        <w:rPr>
          <w:rFonts w:hint="eastAsia"/>
          <w:lang w:val="en-US" w:eastAsia="zh-CN"/>
        </w:rPr>
        <w:t>；</w:t>
      </w:r>
    </w:p>
    <w:p w14:paraId="729EC4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对电压回路和电流回路的二次线径、导通情况进行检查</w:t>
      </w:r>
      <w:r>
        <w:rPr>
          <w:rFonts w:hint="eastAsia"/>
          <w:lang w:val="en-US" w:eastAsia="zh-CN"/>
        </w:rPr>
        <w:t>；</w:t>
      </w:r>
    </w:p>
    <w:p w14:paraId="1FBF5EA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e）</w:t>
      </w:r>
      <w:r>
        <w:rPr>
          <w:rFonts w:hint="default"/>
          <w:lang w:val="en-US" w:eastAsia="zh-CN"/>
        </w:rPr>
        <w:t>判定精度和接线符合要求。</w:t>
      </w:r>
    </w:p>
    <w:p w14:paraId="27287923">
      <w:pPr>
        <w:pStyle w:val="61"/>
        <w:ind w:left="0" w:leftChars="0" w:firstLine="0" w:firstLineChars="0"/>
        <w:rPr>
          <w:rFonts w:hint="eastAsia"/>
          <w:lang w:val="en-US" w:eastAsia="zh-CN"/>
        </w:rPr>
      </w:pPr>
      <w:r>
        <w:rPr>
          <w:rFonts w:hint="eastAsia"/>
          <w:lang w:val="en-US" w:eastAsia="zh-CN"/>
        </w:rPr>
        <w:t>6.3.2 保护单元试验</w:t>
      </w:r>
    </w:p>
    <w:p w14:paraId="22DD9F6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应按照以下步骤进行：</w:t>
      </w:r>
    </w:p>
    <w:p w14:paraId="2FD0B5D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a）过载保护试验：将保护装置接入可调电流源，加载1.05In，保持2h，观察其动作情况；</w:t>
      </w:r>
    </w:p>
    <w:p w14:paraId="7EA3210F">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加载1.3In，计时2h，记录动作时间。</w:t>
      </w:r>
    </w:p>
    <w:p w14:paraId="3AA33D1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b）漏电保护试验：将漏电保护装置接入剩余电流发生器，缓升至300mA，记录动作时间。</w:t>
      </w:r>
    </w:p>
    <w:p w14:paraId="14DAAE8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c）欠压保护试验：将电压源输出接入保护装置，缓降至0.7Un，记录跳闸时间。</w:t>
      </w:r>
    </w:p>
    <w:p w14:paraId="65203DB6">
      <w:pPr>
        <w:pStyle w:val="61"/>
        <w:ind w:left="0" w:leftChars="0" w:firstLine="0" w:firstLineChars="0"/>
        <w:rPr>
          <w:rFonts w:hint="eastAsia"/>
          <w:lang w:val="en-US" w:eastAsia="zh-CN"/>
        </w:rPr>
      </w:pPr>
      <w:r>
        <w:rPr>
          <w:rFonts w:hint="eastAsia"/>
          <w:lang w:val="en-US" w:eastAsia="zh-CN"/>
        </w:rPr>
        <w:t>6.3.3 电容器/滤波器单元试验</w:t>
      </w:r>
    </w:p>
    <w:p w14:paraId="2BFDA86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w:t>
      </w:r>
      <w:r>
        <w:rPr>
          <w:rFonts w:hint="default"/>
          <w:lang w:val="en-US" w:eastAsia="zh-CN"/>
        </w:rPr>
        <w:t>按照</w:t>
      </w:r>
      <w:r>
        <w:rPr>
          <w:rFonts w:hint="eastAsia"/>
          <w:lang w:val="en-US" w:eastAsia="zh-CN"/>
        </w:rPr>
        <w:t>DL/T 1441</w:t>
      </w:r>
      <w:r>
        <w:rPr>
          <w:rFonts w:hint="default"/>
          <w:lang w:val="en-US" w:eastAsia="zh-CN"/>
        </w:rPr>
        <w:t>规定的方法执行</w:t>
      </w:r>
      <w:r>
        <w:rPr>
          <w:rFonts w:hint="eastAsia"/>
          <w:lang w:val="en-US" w:eastAsia="zh-CN"/>
        </w:rPr>
        <w:t>。</w:t>
      </w:r>
    </w:p>
    <w:p w14:paraId="623AE872">
      <w:pPr>
        <w:pStyle w:val="61"/>
        <w:ind w:left="0" w:leftChars="0" w:firstLine="0" w:firstLineChars="0"/>
        <w:rPr>
          <w:rFonts w:hint="eastAsia"/>
          <w:lang w:val="en-US" w:eastAsia="zh-CN"/>
        </w:rPr>
      </w:pPr>
      <w:r>
        <w:rPr>
          <w:rFonts w:hint="eastAsia"/>
          <w:lang w:val="en-US" w:eastAsia="zh-CN"/>
        </w:rPr>
        <w:t>6.3.4 智能配变终端单元试验</w:t>
      </w:r>
    </w:p>
    <w:p w14:paraId="1FDDB5B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w:t>
      </w:r>
      <w:r>
        <w:rPr>
          <w:rFonts w:hint="default"/>
          <w:lang w:val="en-US" w:eastAsia="zh-CN"/>
        </w:rPr>
        <w:t>按照</w:t>
      </w:r>
      <w:r>
        <w:rPr>
          <w:rFonts w:hint="eastAsia"/>
          <w:lang w:val="en-US" w:eastAsia="zh-CN"/>
        </w:rPr>
        <w:t>DL/T 1442</w:t>
      </w:r>
      <w:r>
        <w:rPr>
          <w:rFonts w:hint="default"/>
          <w:lang w:val="en-US" w:eastAsia="zh-CN"/>
        </w:rPr>
        <w:t>规定的方法执行</w:t>
      </w:r>
      <w:r>
        <w:rPr>
          <w:rFonts w:hint="eastAsia"/>
          <w:lang w:val="en-US" w:eastAsia="zh-CN"/>
        </w:rPr>
        <w:t>。</w:t>
      </w:r>
    </w:p>
    <w:p w14:paraId="0C9FE150">
      <w:pPr>
        <w:pStyle w:val="110"/>
        <w:spacing w:before="120" w:after="120"/>
        <w:rPr>
          <w:rFonts w:hint="default"/>
          <w:lang w:val="en-US" w:eastAsia="zh-CN"/>
        </w:rPr>
      </w:pPr>
      <w:bookmarkStart w:id="83" w:name="_Toc9755"/>
      <w:r>
        <w:rPr>
          <w:rFonts w:hint="eastAsia"/>
          <w:lang w:val="en-US" w:eastAsia="zh-CN"/>
        </w:rPr>
        <w:t>智能化功能试验</w:t>
      </w:r>
      <w:bookmarkEnd w:id="83"/>
    </w:p>
    <w:p w14:paraId="08795E27">
      <w:pPr>
        <w:pStyle w:val="61"/>
        <w:ind w:left="0" w:leftChars="0" w:firstLine="0" w:firstLineChars="0"/>
        <w:rPr>
          <w:rFonts w:hint="default"/>
          <w:lang w:val="en-US" w:eastAsia="zh-CN"/>
        </w:rPr>
      </w:pPr>
      <w:r>
        <w:rPr>
          <w:rFonts w:hint="eastAsia"/>
          <w:lang w:val="en-US" w:eastAsia="zh-CN"/>
        </w:rPr>
        <w:t xml:space="preserve">6.4.1 </w:t>
      </w:r>
      <w:r>
        <w:rPr>
          <w:rFonts w:hint="default"/>
          <w:lang w:val="en-US" w:eastAsia="zh-CN"/>
        </w:rPr>
        <w:t>数据采集功能试验</w:t>
      </w:r>
    </w:p>
    <w:p w14:paraId="35750EE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应按照以下步骤进行：</w:t>
      </w:r>
    </w:p>
    <w:p w14:paraId="6B8E2EDC">
      <w:pPr>
        <w:pStyle w:val="61"/>
        <w:rPr>
          <w:rFonts w:hint="default" w:ascii="宋体" w:hAnsi="宋体" w:eastAsia="宋体" w:cs="宋体"/>
          <w:lang w:val="en-US" w:eastAsia="zh-CN"/>
        </w:rPr>
      </w:pPr>
      <w:r>
        <w:rPr>
          <w:rFonts w:hint="eastAsia"/>
          <w:lang w:val="en-US" w:eastAsia="zh-CN"/>
        </w:rPr>
        <w:t>a）</w:t>
      </w:r>
      <w:r>
        <w:rPr>
          <w:rFonts w:hint="eastAsia" w:ascii="宋体" w:hAnsi="宋体" w:eastAsia="宋体" w:cs="宋体"/>
          <w:lang w:val="en-US" w:eastAsia="zh-CN"/>
        </w:rPr>
        <w:t>将智能计量箱接入标准电源及负载，设定三相电压、电流、有功功率、无功功率等参数；</w:t>
      </w:r>
    </w:p>
    <w:p w14:paraId="7B961E6E">
      <w:pPr>
        <w:pStyle w:val="61"/>
        <w:rPr>
          <w:rFonts w:hint="eastAsia" w:ascii="宋体" w:hAnsi="宋体" w:eastAsia="宋体" w:cs="宋体"/>
          <w:lang w:val="en-US" w:eastAsia="zh-CN"/>
        </w:rPr>
      </w:pPr>
      <w:r>
        <w:rPr>
          <w:rFonts w:hint="eastAsia"/>
          <w:lang w:val="en-US" w:eastAsia="zh-CN"/>
        </w:rPr>
        <w:t>b）</w:t>
      </w:r>
      <w:r>
        <w:rPr>
          <w:rFonts w:hint="eastAsia" w:ascii="宋体" w:hAnsi="宋体" w:eastAsia="宋体" w:cs="宋体"/>
          <w:lang w:val="en-US" w:eastAsia="zh-CN"/>
        </w:rPr>
        <w:t>启动数据采集功能，记录采集周期；</w:t>
      </w:r>
    </w:p>
    <w:p w14:paraId="6CFCF8AA">
      <w:pPr>
        <w:pStyle w:val="61"/>
        <w:rPr>
          <w:rFonts w:hint="eastAsia" w:ascii="宋体" w:hAnsi="宋体" w:eastAsia="宋体" w:cs="宋体"/>
          <w:lang w:val="en-US" w:eastAsia="zh-CN"/>
        </w:rPr>
      </w:pPr>
      <w:r>
        <w:rPr>
          <w:rFonts w:hint="eastAsia"/>
          <w:lang w:val="en-US" w:eastAsia="zh-CN"/>
        </w:rPr>
        <w:t>c）</w:t>
      </w:r>
      <w:r>
        <w:rPr>
          <w:rFonts w:hint="eastAsia" w:ascii="宋体" w:hAnsi="宋体" w:eastAsia="宋体" w:cs="宋体"/>
          <w:lang w:val="en-US" w:eastAsia="zh-CN"/>
        </w:rPr>
        <w:t>调节负载产生过载、电压异常等事件，触发事件采集；</w:t>
      </w:r>
    </w:p>
    <w:p w14:paraId="4BA94F72">
      <w:pPr>
        <w:pStyle w:val="61"/>
        <w:rPr>
          <w:rFonts w:hint="eastAsia" w:ascii="宋体" w:hAnsi="宋体" w:eastAsia="宋体" w:cs="宋体"/>
          <w:lang w:val="en-US" w:eastAsia="zh-CN"/>
        </w:rPr>
      </w:pPr>
      <w:r>
        <w:rPr>
          <w:rFonts w:hint="eastAsia"/>
          <w:lang w:val="en-US" w:eastAsia="zh-CN"/>
        </w:rPr>
        <w:t>d）</w:t>
      </w:r>
      <w:r>
        <w:rPr>
          <w:rFonts w:hint="eastAsia" w:ascii="宋体" w:hAnsi="宋体" w:eastAsia="宋体" w:cs="宋体"/>
          <w:lang w:val="en-US" w:eastAsia="zh-CN"/>
        </w:rPr>
        <w:t>检查事件前后数据记录是否完整。</w:t>
      </w:r>
    </w:p>
    <w:p w14:paraId="7D83E79F">
      <w:pPr>
        <w:pStyle w:val="61"/>
        <w:ind w:left="0" w:leftChars="0" w:firstLine="0" w:firstLineChars="0"/>
        <w:rPr>
          <w:rFonts w:hint="default"/>
          <w:lang w:val="en-US" w:eastAsia="zh-CN"/>
        </w:rPr>
      </w:pPr>
      <w:r>
        <w:rPr>
          <w:rFonts w:hint="eastAsia"/>
          <w:lang w:val="en-US" w:eastAsia="zh-CN"/>
        </w:rPr>
        <w:t xml:space="preserve">6.4.2 </w:t>
      </w:r>
      <w:r>
        <w:rPr>
          <w:rFonts w:hint="default"/>
          <w:lang w:val="en-US" w:eastAsia="zh-CN"/>
        </w:rPr>
        <w:t>运行监测功能试验</w:t>
      </w:r>
    </w:p>
    <w:p w14:paraId="2E50993D">
      <w:pPr>
        <w:pStyle w:val="61"/>
        <w:rPr>
          <w:rFonts w:hint="default"/>
          <w:lang w:val="en-US" w:eastAsia="zh-CN"/>
        </w:rPr>
      </w:pPr>
      <w:r>
        <w:rPr>
          <w:rFonts w:hint="default"/>
          <w:lang w:val="en-US" w:eastAsia="zh-CN"/>
        </w:rPr>
        <w:t>应按照以下步骤进行：</w:t>
      </w:r>
    </w:p>
    <w:p w14:paraId="7813F228">
      <w:pPr>
        <w:pStyle w:val="61"/>
        <w:rPr>
          <w:rFonts w:hint="default"/>
          <w:lang w:val="en-US" w:eastAsia="zh-CN"/>
        </w:rPr>
      </w:pPr>
      <w:r>
        <w:rPr>
          <w:rFonts w:hint="eastAsia"/>
          <w:lang w:val="en-US" w:eastAsia="zh-CN"/>
        </w:rPr>
        <w:t>a）</w:t>
      </w:r>
      <w:r>
        <w:rPr>
          <w:rFonts w:hint="default"/>
          <w:lang w:val="en-US" w:eastAsia="zh-CN"/>
        </w:rPr>
        <w:t>通电运行系统，使各功能单元处于正常工作状态</w:t>
      </w:r>
      <w:r>
        <w:rPr>
          <w:rFonts w:hint="eastAsia"/>
          <w:lang w:val="en-US" w:eastAsia="zh-CN"/>
        </w:rPr>
        <w:t>；</w:t>
      </w:r>
    </w:p>
    <w:p w14:paraId="0FEE795A">
      <w:pPr>
        <w:pStyle w:val="61"/>
        <w:rPr>
          <w:rFonts w:hint="default"/>
          <w:lang w:val="en-US" w:eastAsia="zh-CN"/>
        </w:rPr>
      </w:pPr>
      <w:r>
        <w:rPr>
          <w:rFonts w:hint="eastAsia"/>
          <w:lang w:val="en-US" w:eastAsia="zh-CN"/>
        </w:rPr>
        <w:t>b）</w:t>
      </w:r>
      <w:r>
        <w:rPr>
          <w:rFonts w:hint="default"/>
          <w:lang w:val="en-US" w:eastAsia="zh-CN"/>
        </w:rPr>
        <w:t>观察运行状态显示与记录功能，确认是否实时更新</w:t>
      </w:r>
      <w:r>
        <w:rPr>
          <w:rFonts w:hint="eastAsia"/>
          <w:lang w:val="en-US" w:eastAsia="zh-CN"/>
        </w:rPr>
        <w:t>；</w:t>
      </w:r>
    </w:p>
    <w:p w14:paraId="30C748C5">
      <w:pPr>
        <w:pStyle w:val="61"/>
        <w:rPr>
          <w:rFonts w:hint="default"/>
          <w:lang w:val="en-US" w:eastAsia="zh-CN"/>
        </w:rPr>
      </w:pPr>
      <w:r>
        <w:rPr>
          <w:rFonts w:hint="eastAsia"/>
          <w:lang w:val="en-US" w:eastAsia="zh-CN"/>
        </w:rPr>
        <w:t>c）</w:t>
      </w:r>
      <w:r>
        <w:rPr>
          <w:rFonts w:hint="default"/>
          <w:lang w:val="en-US" w:eastAsia="zh-CN"/>
        </w:rPr>
        <w:t>读取历史存储区域，检查是否可保存90天运行数据</w:t>
      </w:r>
      <w:r>
        <w:rPr>
          <w:rFonts w:hint="eastAsia"/>
          <w:lang w:val="en-US" w:eastAsia="zh-CN"/>
        </w:rPr>
        <w:t>。</w:t>
      </w:r>
    </w:p>
    <w:p w14:paraId="60C9825B">
      <w:pPr>
        <w:pStyle w:val="61"/>
        <w:ind w:left="0" w:leftChars="0" w:firstLine="0" w:firstLineChars="0"/>
        <w:rPr>
          <w:rFonts w:hint="default"/>
          <w:lang w:val="en-US" w:eastAsia="zh-CN"/>
        </w:rPr>
      </w:pPr>
      <w:r>
        <w:rPr>
          <w:rFonts w:hint="eastAsia"/>
          <w:lang w:val="en-US" w:eastAsia="zh-CN"/>
        </w:rPr>
        <w:t xml:space="preserve">6.4.3 </w:t>
      </w:r>
      <w:r>
        <w:rPr>
          <w:rFonts w:hint="default"/>
          <w:lang w:val="en-US" w:eastAsia="zh-CN"/>
        </w:rPr>
        <w:t>故障诊断与告警功能试验</w:t>
      </w:r>
    </w:p>
    <w:p w14:paraId="7F20D3FE">
      <w:pPr>
        <w:pStyle w:val="61"/>
        <w:rPr>
          <w:rFonts w:hint="default"/>
          <w:lang w:val="en-US" w:eastAsia="zh-CN"/>
        </w:rPr>
      </w:pPr>
      <w:r>
        <w:rPr>
          <w:rFonts w:hint="default"/>
          <w:lang w:val="en-US" w:eastAsia="zh-CN"/>
        </w:rPr>
        <w:t>应按照以下步骤进行：</w:t>
      </w:r>
    </w:p>
    <w:p w14:paraId="68354789">
      <w:pPr>
        <w:pStyle w:val="61"/>
        <w:rPr>
          <w:rFonts w:hint="default"/>
          <w:lang w:val="en-US" w:eastAsia="zh-CN"/>
        </w:rPr>
      </w:pPr>
      <w:r>
        <w:rPr>
          <w:rFonts w:hint="eastAsia"/>
          <w:lang w:val="en-US" w:eastAsia="zh-CN"/>
        </w:rPr>
        <w:t>a）</w:t>
      </w:r>
      <w:r>
        <w:rPr>
          <w:rFonts w:hint="default"/>
          <w:lang w:val="en-US" w:eastAsia="zh-CN"/>
        </w:rPr>
        <w:t>人为制造典型故障（如通信中断、电压异常等）</w:t>
      </w:r>
      <w:r>
        <w:rPr>
          <w:rFonts w:hint="eastAsia"/>
          <w:lang w:val="en-US" w:eastAsia="zh-CN"/>
        </w:rPr>
        <w:t>；</w:t>
      </w:r>
    </w:p>
    <w:p w14:paraId="6FC3F69A">
      <w:pPr>
        <w:pStyle w:val="61"/>
        <w:rPr>
          <w:rFonts w:hint="default"/>
          <w:lang w:val="en-US" w:eastAsia="zh-CN"/>
        </w:rPr>
      </w:pPr>
      <w:r>
        <w:rPr>
          <w:rFonts w:hint="eastAsia"/>
          <w:lang w:val="en-US" w:eastAsia="zh-CN"/>
        </w:rPr>
        <w:t>b）</w:t>
      </w:r>
      <w:r>
        <w:rPr>
          <w:rFonts w:hint="default"/>
          <w:lang w:val="en-US" w:eastAsia="zh-CN"/>
        </w:rPr>
        <w:t>记录系统诊断时间及是否在1s内产生声光报警</w:t>
      </w:r>
      <w:r>
        <w:rPr>
          <w:rFonts w:hint="eastAsia"/>
          <w:lang w:val="en-US" w:eastAsia="zh-CN"/>
        </w:rPr>
        <w:t>；</w:t>
      </w:r>
    </w:p>
    <w:p w14:paraId="1803BCBC">
      <w:pPr>
        <w:pStyle w:val="61"/>
        <w:rPr>
          <w:rFonts w:hint="default"/>
          <w:lang w:val="en-US" w:eastAsia="zh-CN"/>
        </w:rPr>
      </w:pPr>
      <w:r>
        <w:rPr>
          <w:rFonts w:hint="eastAsia"/>
          <w:lang w:val="en-US" w:eastAsia="zh-CN"/>
        </w:rPr>
        <w:t>c）</w:t>
      </w:r>
      <w:r>
        <w:rPr>
          <w:rFonts w:hint="default"/>
          <w:lang w:val="en-US" w:eastAsia="zh-CN"/>
        </w:rPr>
        <w:t>监测上送告警信息，检查故障类型、时间、运行参数记录是否完整。</w:t>
      </w:r>
    </w:p>
    <w:p w14:paraId="4C397245">
      <w:pPr>
        <w:pStyle w:val="61"/>
        <w:ind w:left="0" w:leftChars="0" w:firstLine="0" w:firstLineChars="0"/>
        <w:rPr>
          <w:rFonts w:hint="default"/>
          <w:lang w:val="en-US" w:eastAsia="zh-CN"/>
        </w:rPr>
      </w:pPr>
      <w:r>
        <w:rPr>
          <w:rFonts w:hint="eastAsia"/>
          <w:lang w:val="en-US" w:eastAsia="zh-CN"/>
        </w:rPr>
        <w:t xml:space="preserve">6.4.4 </w:t>
      </w:r>
      <w:r>
        <w:rPr>
          <w:rFonts w:hint="default"/>
          <w:lang w:val="en-US" w:eastAsia="zh-CN"/>
        </w:rPr>
        <w:t>远程监控功能试验</w:t>
      </w:r>
    </w:p>
    <w:p w14:paraId="0BB4BEFF">
      <w:pPr>
        <w:pStyle w:val="61"/>
        <w:rPr>
          <w:rFonts w:hint="default"/>
          <w:lang w:val="en-US" w:eastAsia="zh-CN"/>
        </w:rPr>
      </w:pPr>
      <w:r>
        <w:rPr>
          <w:rFonts w:hint="default"/>
          <w:lang w:val="en-US" w:eastAsia="zh-CN"/>
        </w:rPr>
        <w:t>应按照以下步骤进行：</w:t>
      </w:r>
    </w:p>
    <w:p w14:paraId="37984E39">
      <w:pPr>
        <w:pStyle w:val="61"/>
        <w:rPr>
          <w:rFonts w:hint="default"/>
          <w:lang w:val="en-US" w:eastAsia="zh-CN"/>
        </w:rPr>
      </w:pPr>
      <w:r>
        <w:rPr>
          <w:rFonts w:hint="eastAsia"/>
          <w:lang w:val="en-US" w:eastAsia="zh-CN"/>
        </w:rPr>
        <w:t>a）</w:t>
      </w:r>
      <w:r>
        <w:rPr>
          <w:rFonts w:hint="default"/>
          <w:lang w:val="en-US" w:eastAsia="zh-CN"/>
        </w:rPr>
        <w:t>通过以太网或RS485将系统接入监控平台</w:t>
      </w:r>
      <w:r>
        <w:rPr>
          <w:rFonts w:hint="eastAsia"/>
          <w:lang w:val="en-US" w:eastAsia="zh-CN"/>
        </w:rPr>
        <w:t>；</w:t>
      </w:r>
    </w:p>
    <w:p w14:paraId="407B0035">
      <w:pPr>
        <w:pStyle w:val="61"/>
        <w:rPr>
          <w:rFonts w:hint="default"/>
          <w:lang w:val="en-US" w:eastAsia="zh-CN"/>
        </w:rPr>
      </w:pPr>
      <w:r>
        <w:rPr>
          <w:rFonts w:hint="eastAsia"/>
          <w:lang w:val="en-US" w:eastAsia="zh-CN"/>
        </w:rPr>
        <w:t>b）</w:t>
      </w:r>
      <w:r>
        <w:rPr>
          <w:rFonts w:hint="default"/>
          <w:lang w:val="en-US" w:eastAsia="zh-CN"/>
        </w:rPr>
        <w:t>执行远程监视与管理操作，观察数据刷新与状态返回</w:t>
      </w:r>
      <w:r>
        <w:rPr>
          <w:rFonts w:hint="eastAsia"/>
          <w:lang w:val="en-US" w:eastAsia="zh-CN"/>
        </w:rPr>
        <w:t>；</w:t>
      </w:r>
    </w:p>
    <w:p w14:paraId="598A05BB">
      <w:pPr>
        <w:pStyle w:val="61"/>
        <w:rPr>
          <w:rFonts w:hint="default"/>
          <w:lang w:val="en-US" w:eastAsia="zh-CN"/>
        </w:rPr>
      </w:pPr>
      <w:r>
        <w:rPr>
          <w:rFonts w:hint="eastAsia"/>
          <w:lang w:val="en-US" w:eastAsia="zh-CN"/>
        </w:rPr>
        <w:t>c）</w:t>
      </w:r>
      <w:r>
        <w:rPr>
          <w:rFonts w:hint="default"/>
          <w:lang w:val="en-US" w:eastAsia="zh-CN"/>
        </w:rPr>
        <w:t>验证通信链路的稳定性与数据完整性。</w:t>
      </w:r>
    </w:p>
    <w:p w14:paraId="6809612D">
      <w:pPr>
        <w:pStyle w:val="61"/>
        <w:ind w:left="0" w:leftChars="0" w:firstLine="0" w:firstLineChars="0"/>
        <w:rPr>
          <w:rFonts w:hint="default"/>
          <w:lang w:val="en-US" w:eastAsia="zh-CN"/>
        </w:rPr>
      </w:pPr>
      <w:r>
        <w:rPr>
          <w:rFonts w:hint="eastAsia"/>
          <w:lang w:val="en-US" w:eastAsia="zh-CN"/>
        </w:rPr>
        <w:t xml:space="preserve">6.4.5 </w:t>
      </w:r>
      <w:r>
        <w:rPr>
          <w:rFonts w:hint="default"/>
          <w:lang w:val="en-US" w:eastAsia="zh-CN"/>
        </w:rPr>
        <w:t>控制与联动功能试验</w:t>
      </w:r>
    </w:p>
    <w:p w14:paraId="034015CF">
      <w:pPr>
        <w:pStyle w:val="61"/>
        <w:rPr>
          <w:rFonts w:hint="default"/>
          <w:lang w:val="en-US" w:eastAsia="zh-CN"/>
        </w:rPr>
      </w:pPr>
      <w:r>
        <w:rPr>
          <w:rFonts w:hint="default"/>
          <w:lang w:val="en-US" w:eastAsia="zh-CN"/>
        </w:rPr>
        <w:t>应按照以下步骤进行：</w:t>
      </w:r>
    </w:p>
    <w:p w14:paraId="008E8039">
      <w:pPr>
        <w:pStyle w:val="61"/>
        <w:rPr>
          <w:rFonts w:hint="default"/>
          <w:lang w:val="en-US" w:eastAsia="zh-CN"/>
        </w:rPr>
      </w:pPr>
      <w:r>
        <w:rPr>
          <w:rFonts w:hint="eastAsia"/>
          <w:lang w:val="en-US" w:eastAsia="zh-CN"/>
        </w:rPr>
        <w:t>a）</w:t>
      </w:r>
      <w:r>
        <w:rPr>
          <w:rFonts w:hint="default"/>
          <w:lang w:val="en-US" w:eastAsia="zh-CN"/>
        </w:rPr>
        <w:t>在监控端发送断路器、电容补偿装置的远程投切控制指令</w:t>
      </w:r>
      <w:r>
        <w:rPr>
          <w:rFonts w:hint="eastAsia"/>
          <w:lang w:val="en-US" w:eastAsia="zh-CN"/>
        </w:rPr>
        <w:t>；</w:t>
      </w:r>
    </w:p>
    <w:p w14:paraId="599ABF47">
      <w:pPr>
        <w:pStyle w:val="61"/>
        <w:rPr>
          <w:rFonts w:hint="default"/>
          <w:lang w:val="en-US" w:eastAsia="zh-CN"/>
        </w:rPr>
      </w:pPr>
      <w:r>
        <w:rPr>
          <w:rFonts w:hint="eastAsia"/>
          <w:lang w:val="en-US" w:eastAsia="zh-CN"/>
        </w:rPr>
        <w:t>b）</w:t>
      </w:r>
      <w:r>
        <w:rPr>
          <w:rFonts w:hint="default"/>
          <w:lang w:val="en-US" w:eastAsia="zh-CN"/>
        </w:rPr>
        <w:t>观察本地执行动作并记录执行确认与状态反馈</w:t>
      </w:r>
      <w:r>
        <w:rPr>
          <w:rFonts w:hint="eastAsia"/>
          <w:lang w:val="en-US" w:eastAsia="zh-CN"/>
        </w:rPr>
        <w:t>；</w:t>
      </w:r>
    </w:p>
    <w:p w14:paraId="298651BB">
      <w:pPr>
        <w:pStyle w:val="61"/>
        <w:rPr>
          <w:rFonts w:hint="default"/>
          <w:lang w:val="en-US" w:eastAsia="zh-CN"/>
        </w:rPr>
      </w:pPr>
      <w:r>
        <w:rPr>
          <w:rFonts w:hint="eastAsia"/>
          <w:lang w:val="en-US" w:eastAsia="zh-CN"/>
        </w:rPr>
        <w:t>c）</w:t>
      </w:r>
      <w:r>
        <w:rPr>
          <w:rFonts w:hint="default"/>
          <w:lang w:val="en-US" w:eastAsia="zh-CN"/>
        </w:rPr>
        <w:t>模拟配电自动化系统或能效管理系统联动操作，验证联动响应过程。</w:t>
      </w:r>
    </w:p>
    <w:p w14:paraId="4E2D8308">
      <w:pPr>
        <w:pStyle w:val="61"/>
        <w:ind w:left="0" w:leftChars="0" w:firstLine="0" w:firstLineChars="0"/>
        <w:rPr>
          <w:rFonts w:hint="default"/>
          <w:lang w:val="en-US" w:eastAsia="zh-CN"/>
        </w:rPr>
      </w:pPr>
      <w:r>
        <w:rPr>
          <w:rFonts w:hint="eastAsia"/>
          <w:lang w:val="en-US" w:eastAsia="zh-CN"/>
        </w:rPr>
        <w:t xml:space="preserve">6.4.6 </w:t>
      </w:r>
      <w:r>
        <w:rPr>
          <w:rFonts w:hint="default"/>
          <w:lang w:val="en-US" w:eastAsia="zh-CN"/>
        </w:rPr>
        <w:t>扩展与兼容能力试验</w:t>
      </w:r>
    </w:p>
    <w:p w14:paraId="6E6E0791">
      <w:pPr>
        <w:pStyle w:val="61"/>
        <w:rPr>
          <w:rFonts w:hint="default"/>
          <w:lang w:val="en-US" w:eastAsia="zh-CN"/>
        </w:rPr>
      </w:pPr>
      <w:r>
        <w:rPr>
          <w:rFonts w:hint="default"/>
          <w:lang w:val="en-US" w:eastAsia="zh-CN"/>
        </w:rPr>
        <w:t>应按照以下步骤进行：</w:t>
      </w:r>
    </w:p>
    <w:p w14:paraId="158FF751">
      <w:pPr>
        <w:pStyle w:val="61"/>
        <w:rPr>
          <w:rFonts w:hint="default"/>
          <w:lang w:val="en-US" w:eastAsia="zh-CN"/>
        </w:rPr>
      </w:pPr>
      <w:r>
        <w:rPr>
          <w:rFonts w:hint="eastAsia"/>
          <w:lang w:val="en-US" w:eastAsia="zh-CN"/>
        </w:rPr>
        <w:t>a）</w:t>
      </w:r>
      <w:r>
        <w:rPr>
          <w:rFonts w:hint="default"/>
          <w:lang w:val="en-US" w:eastAsia="zh-CN"/>
        </w:rPr>
        <w:t>连接外部扩展设备或第三方系统至预留接口</w:t>
      </w:r>
      <w:r>
        <w:rPr>
          <w:rFonts w:hint="eastAsia"/>
          <w:lang w:val="en-US" w:eastAsia="zh-CN"/>
        </w:rPr>
        <w:t>；</w:t>
      </w:r>
    </w:p>
    <w:p w14:paraId="176934B4">
      <w:pPr>
        <w:pStyle w:val="61"/>
        <w:rPr>
          <w:rFonts w:hint="default"/>
          <w:lang w:val="en-US" w:eastAsia="zh-CN"/>
        </w:rPr>
      </w:pPr>
      <w:r>
        <w:rPr>
          <w:rFonts w:hint="eastAsia"/>
          <w:lang w:val="en-US" w:eastAsia="zh-CN"/>
        </w:rPr>
        <w:t>b）</w:t>
      </w:r>
      <w:r>
        <w:rPr>
          <w:rFonts w:hint="default"/>
          <w:lang w:val="en-US" w:eastAsia="zh-CN"/>
        </w:rPr>
        <w:t>进行数据交换与协议匹配测试，检查兼容性</w:t>
      </w:r>
      <w:r>
        <w:rPr>
          <w:rFonts w:hint="eastAsia"/>
          <w:lang w:val="en-US" w:eastAsia="zh-CN"/>
        </w:rPr>
        <w:t>；</w:t>
      </w:r>
    </w:p>
    <w:p w14:paraId="34A9E3A6">
      <w:pPr>
        <w:pStyle w:val="61"/>
        <w:rPr>
          <w:rFonts w:hint="default"/>
          <w:lang w:val="en-US" w:eastAsia="zh-CN"/>
        </w:rPr>
      </w:pPr>
      <w:r>
        <w:rPr>
          <w:rFonts w:hint="eastAsia"/>
          <w:lang w:val="en-US" w:eastAsia="zh-CN"/>
        </w:rPr>
        <w:t>c）</w:t>
      </w:r>
      <w:r>
        <w:rPr>
          <w:rFonts w:hint="default"/>
          <w:lang w:val="en-US" w:eastAsia="zh-CN"/>
        </w:rPr>
        <w:t>通过不同格式及通信规约进行读写操作，验证系统开放性。</w:t>
      </w:r>
    </w:p>
    <w:p w14:paraId="4904D6CD">
      <w:pPr>
        <w:pStyle w:val="110"/>
        <w:spacing w:before="120" w:after="120"/>
        <w:rPr>
          <w:rFonts w:hint="default"/>
          <w:lang w:val="en-US" w:eastAsia="zh-CN"/>
        </w:rPr>
      </w:pPr>
      <w:bookmarkStart w:id="84" w:name="_Toc4205"/>
      <w:r>
        <w:rPr>
          <w:rFonts w:hint="default"/>
          <w:lang w:val="en-US" w:eastAsia="zh-CN"/>
        </w:rPr>
        <w:t>可靠性试验</w:t>
      </w:r>
      <w:bookmarkEnd w:id="84"/>
    </w:p>
    <w:p w14:paraId="4E034F11">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6.5.1 寿命试验</w:t>
      </w:r>
    </w:p>
    <w:p w14:paraId="1AB9E11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34631规定的方法执行。</w:t>
      </w:r>
    </w:p>
    <w:p w14:paraId="1B0F5395">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6.5.2 故障率与维护试验</w:t>
      </w:r>
    </w:p>
    <w:p w14:paraId="165352F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3F561FA4">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a）在模拟负载和环境下连续运行计量箱5000 h或按规定循环操作，记录关键部件故障次数；</w:t>
      </w:r>
    </w:p>
    <w:p w14:paraId="0AF364CD">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b）检查关键部件是否可单独拆卸更换；</w:t>
      </w:r>
    </w:p>
    <w:p w14:paraId="044584F2">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c）测试自检功能，模拟内部异常状态并确认报警触发；</w:t>
      </w:r>
    </w:p>
    <w:p w14:paraId="3F5691FD">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default"/>
          <w:lang w:val="en-US" w:eastAsia="zh-CN"/>
        </w:rPr>
      </w:pPr>
      <w:r>
        <w:rPr>
          <w:rFonts w:hint="eastAsia"/>
          <w:lang w:val="en-US" w:eastAsia="zh-CN"/>
        </w:rPr>
        <w:t>d）测量故障恢复时间。</w:t>
      </w:r>
    </w:p>
    <w:p w14:paraId="1753289E">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6.5.3 耐腐蚀性试验</w:t>
      </w:r>
    </w:p>
    <w:p w14:paraId="52A55C7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10125规定的方法执行。</w:t>
      </w:r>
    </w:p>
    <w:p w14:paraId="4E822084">
      <w:pPr>
        <w:pStyle w:val="109"/>
        <w:spacing w:before="240" w:after="240"/>
        <w:ind w:left="0" w:firstLine="0"/>
      </w:pPr>
      <w:bookmarkStart w:id="85" w:name="_Toc14876"/>
      <w:bookmarkStart w:id="86" w:name="_Toc11800"/>
      <w:r>
        <w:rPr>
          <w:rFonts w:hint="eastAsia"/>
        </w:rPr>
        <w:t>检验规则</w:t>
      </w:r>
      <w:bookmarkEnd w:id="85"/>
      <w:bookmarkEnd w:id="86"/>
    </w:p>
    <w:p w14:paraId="57FEDC12">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87" w:name="_Toc26414"/>
      <w:bookmarkStart w:id="88" w:name="_Toc21802"/>
      <w:bookmarkStart w:id="89" w:name="_Toc22366"/>
      <w:bookmarkStart w:id="90" w:name="_Toc13731"/>
      <w:bookmarkStart w:id="91" w:name="_Toc18210"/>
      <w:bookmarkStart w:id="92" w:name="_Toc21586"/>
      <w:r>
        <w:rPr>
          <w:rFonts w:hint="eastAsia" w:ascii="黑体" w:hAnsi="黑体" w:eastAsia="黑体" w:cs="Times New Roman"/>
          <w:sz w:val="21"/>
          <w:lang w:val="en-US" w:eastAsia="zh-CN" w:bidi="ar-SA"/>
        </w:rPr>
        <w:t>检验分类</w:t>
      </w:r>
      <w:bookmarkEnd w:id="87"/>
      <w:bookmarkEnd w:id="88"/>
      <w:bookmarkEnd w:id="89"/>
      <w:bookmarkEnd w:id="90"/>
      <w:bookmarkEnd w:id="91"/>
      <w:bookmarkEnd w:id="92"/>
    </w:p>
    <w:p w14:paraId="4A58224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本文件要求的检验分为出厂检验和型式检验两类。</w:t>
      </w:r>
    </w:p>
    <w:p w14:paraId="77AF1153">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93" w:name="_Toc23268"/>
      <w:bookmarkStart w:id="94" w:name="_Toc4395"/>
      <w:bookmarkStart w:id="95" w:name="_Toc25862"/>
      <w:bookmarkStart w:id="96" w:name="_Toc19985"/>
      <w:r>
        <w:rPr>
          <w:rFonts w:hint="eastAsia" w:ascii="黑体" w:hAnsi="黑体" w:eastAsia="黑体" w:cs="Times New Roman"/>
          <w:sz w:val="21"/>
          <w:lang w:val="en-US" w:eastAsia="zh-CN" w:bidi="ar-SA"/>
        </w:rPr>
        <w:t>出厂检验</w:t>
      </w:r>
      <w:bookmarkEnd w:id="93"/>
      <w:bookmarkEnd w:id="94"/>
      <w:bookmarkEnd w:id="95"/>
      <w:bookmarkEnd w:id="96"/>
    </w:p>
    <w:p w14:paraId="1ED7045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出厂检验的项目应包括外观与结构检查等关键指标。各项指标均满足本文件的要求时，方可被判定为合格产品。对于不合格的产品，应进行报废处理。</w:t>
      </w:r>
    </w:p>
    <w:p w14:paraId="1FF14B09">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97" w:name="_Toc12774"/>
      <w:bookmarkStart w:id="98" w:name="_Toc2313"/>
      <w:bookmarkStart w:id="99" w:name="_Toc14006"/>
      <w:bookmarkStart w:id="100" w:name="_Toc2707"/>
      <w:bookmarkStart w:id="101" w:name="_Toc10737"/>
      <w:bookmarkStart w:id="102" w:name="_Toc26023"/>
      <w:bookmarkStart w:id="103" w:name="_Toc30059"/>
      <w:bookmarkStart w:id="104" w:name="_Toc889"/>
      <w:r>
        <w:rPr>
          <w:rFonts w:hint="eastAsia" w:ascii="黑体" w:hAnsi="黑体" w:eastAsia="黑体" w:cs="Times New Roman"/>
          <w:sz w:val="21"/>
          <w:lang w:val="en-US" w:eastAsia="zh-CN" w:bidi="ar-SA"/>
        </w:rPr>
        <w:t>型式检验</w:t>
      </w:r>
      <w:bookmarkEnd w:id="97"/>
      <w:bookmarkEnd w:id="98"/>
      <w:bookmarkEnd w:id="99"/>
      <w:bookmarkEnd w:id="100"/>
      <w:bookmarkEnd w:id="101"/>
      <w:bookmarkEnd w:id="102"/>
    </w:p>
    <w:p w14:paraId="3A6E798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7.3.1 检验时机</w:t>
      </w:r>
    </w:p>
    <w:p w14:paraId="3FAF692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ascii="宋体" w:hAnsi="Times New Roman" w:eastAsia="宋体" w:cs="Times New Roman"/>
          <w:sz w:val="21"/>
          <w:lang w:val="en-US" w:eastAsia="zh-CN" w:bidi="ar-SA"/>
        </w:rPr>
      </w:pPr>
      <w:r>
        <w:rPr>
          <w:rFonts w:ascii="宋体" w:hAnsi="Times New Roman" w:eastAsia="宋体" w:cs="Times New Roman"/>
          <w:sz w:val="21"/>
          <w:lang w:val="en-US" w:eastAsia="zh-CN" w:bidi="ar-SA"/>
        </w:rPr>
        <w:t>有下列情形之一时，应进行型式检验：</w:t>
      </w:r>
    </w:p>
    <w:p w14:paraId="2731167B">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a）新产品试制定型鉴定时；</w:t>
      </w:r>
    </w:p>
    <w:p w14:paraId="2E2C71A7">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b）设计、工艺或主要原材料有较大改变，可能影响产品性能；</w:t>
      </w:r>
    </w:p>
    <w:p w14:paraId="47D5A877">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c）正常生产满一年时；</w:t>
      </w:r>
    </w:p>
    <w:p w14:paraId="2EA47769">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d）间隔一年以上再生产时；</w:t>
      </w:r>
    </w:p>
    <w:p w14:paraId="6D94F98C">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e）出厂检验结果与同产品型号或批次的型式检验有较大差异时。</w:t>
      </w:r>
    </w:p>
    <w:p w14:paraId="190A2864">
      <w:pPr>
        <w:autoSpaceDE w:val="0"/>
        <w:autoSpaceDN w:val="0"/>
        <w:ind w:firstLine="0" w:firstLineChars="0"/>
        <w:jc w:val="both"/>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7.3.2 检验项目及要求</w:t>
      </w:r>
    </w:p>
    <w:p w14:paraId="6F61A5D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型式检验应在国家认证监督管理委员会认可的检测机构，或者具备相关认证资质的实验室完成，检验的项目应包括所有技术指标。</w:t>
      </w:r>
    </w:p>
    <w:p w14:paraId="2EA53F73">
      <w:pPr>
        <w:autoSpaceDE w:val="0"/>
        <w:autoSpaceDN w:val="0"/>
        <w:ind w:firstLine="0" w:firstLineChars="0"/>
        <w:jc w:val="both"/>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7.3.3 抽样规则</w:t>
      </w:r>
    </w:p>
    <w:p w14:paraId="083F8F7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抽样规则</w:t>
      </w:r>
      <w:r>
        <w:rPr>
          <w:rFonts w:hint="eastAsia" w:ascii="宋体" w:hAnsi="Times New Roman" w:eastAsia="宋体" w:cs="Times New Roman"/>
          <w:sz w:val="21"/>
          <w:lang w:val="en-US" w:eastAsia="zh-CN" w:bidi="ar-SA"/>
        </w:rPr>
        <w:t>应符合GB/T 6378.1的要求。</w:t>
      </w:r>
    </w:p>
    <w:p w14:paraId="310E6ABA">
      <w:pPr>
        <w:autoSpaceDE w:val="0"/>
        <w:autoSpaceDN w:val="0"/>
        <w:ind w:firstLine="0" w:firstLineChars="0"/>
        <w:jc w:val="both"/>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7.3.4 判定规则及处理措施</w:t>
      </w:r>
    </w:p>
    <w:p w14:paraId="2A358B1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所有检验项目均满足本文件的技术要求时，判定为合格。任一项不符合规定时，判定为不合格。对于不合格的产品，应进行返工或报废处理，返工产品应重新进行检验。</w:t>
      </w:r>
    </w:p>
    <w:bookmarkEnd w:id="103"/>
    <w:bookmarkEnd w:id="104"/>
    <w:p w14:paraId="172090E3">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05" w:name="_Toc19152"/>
      <w:bookmarkStart w:id="106" w:name="_Toc11482"/>
      <w:bookmarkStart w:id="107" w:name="_Toc14593"/>
      <w:bookmarkStart w:id="108" w:name="_Toc28912"/>
      <w:bookmarkStart w:id="109" w:name="_Toc4365"/>
      <w:bookmarkStart w:id="110" w:name="_Toc25505"/>
      <w:r>
        <w:rPr>
          <w:rFonts w:ascii="黑体" w:hAnsi="黑体" w:eastAsia="黑体" w:cs="Times New Roman"/>
          <w:sz w:val="21"/>
          <w:lang w:val="en-US" w:eastAsia="zh-CN" w:bidi="ar-SA"/>
        </w:rPr>
        <w:t>检验报告</w:t>
      </w:r>
      <w:bookmarkEnd w:id="105"/>
      <w:bookmarkEnd w:id="106"/>
      <w:bookmarkEnd w:id="107"/>
      <w:bookmarkEnd w:id="108"/>
      <w:bookmarkEnd w:id="109"/>
      <w:bookmarkEnd w:id="110"/>
    </w:p>
    <w:p w14:paraId="18F9B89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所有检验记录和报告应妥善存档，每次检验结束后应出具完整的检验报告，并包括下列内容：</w:t>
      </w:r>
    </w:p>
    <w:p w14:paraId="3D7B68B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a</w:t>
      </w:r>
      <w:r>
        <w:rPr>
          <w:rFonts w:hint="eastAsia" w:ascii="宋体" w:hAnsi="Times New Roman" w:eastAsia="宋体" w:cs="Times New Roman"/>
          <w:sz w:val="21"/>
          <w:lang w:val="en-US" w:eastAsia="zh-CN" w:bidi="ar-SA"/>
        </w:rPr>
        <w:t>）基本信息：产品名称、产品批次编号、检验日期、检验机构和参与人员等；</w:t>
      </w:r>
    </w:p>
    <w:p w14:paraId="3C37212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b</w:t>
      </w:r>
      <w:r>
        <w:rPr>
          <w:rFonts w:hint="eastAsia" w:ascii="宋体" w:hAnsi="Times New Roman" w:eastAsia="宋体" w:cs="Times New Roman"/>
          <w:sz w:val="21"/>
          <w:lang w:val="en-US" w:eastAsia="zh-CN" w:bidi="ar-SA"/>
        </w:rPr>
        <w:t>）检验目的与检验依据；</w:t>
      </w:r>
    </w:p>
    <w:p w14:paraId="7A97E03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c</w:t>
      </w:r>
      <w:r>
        <w:rPr>
          <w:rFonts w:hint="eastAsia" w:ascii="宋体" w:hAnsi="Times New Roman" w:eastAsia="宋体" w:cs="Times New Roman"/>
          <w:sz w:val="21"/>
          <w:lang w:val="en-US" w:eastAsia="zh-CN" w:bidi="ar-SA"/>
        </w:rPr>
        <w:t>）检验环境与检验设备清单等；</w:t>
      </w:r>
    </w:p>
    <w:p w14:paraId="2D4C4873">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d</w:t>
      </w:r>
      <w:r>
        <w:rPr>
          <w:rFonts w:hint="eastAsia" w:ascii="宋体" w:hAnsi="Times New Roman" w:eastAsia="宋体" w:cs="Times New Roman"/>
          <w:sz w:val="21"/>
          <w:lang w:val="en-US" w:eastAsia="zh-CN" w:bidi="ar-SA"/>
        </w:rPr>
        <w:t>）检验方法与检验过程；</w:t>
      </w:r>
    </w:p>
    <w:p w14:paraId="07FE3B8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e）检验数据：详细列出各项目的检测数据；</w:t>
      </w:r>
    </w:p>
    <w:p w14:paraId="4CDB740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f）检验结论：评估该批次产品是否合格。</w:t>
      </w:r>
    </w:p>
    <w:p w14:paraId="31942877">
      <w:pPr>
        <w:pStyle w:val="109"/>
        <w:keepNext w:val="0"/>
        <w:keepLines w:val="0"/>
        <w:pageBreakBefore w:val="0"/>
        <w:widowControl/>
        <w:kinsoku/>
        <w:wordWrap/>
        <w:overflowPunct/>
        <w:topLinePunct w:val="0"/>
        <w:autoSpaceDE/>
        <w:autoSpaceDN/>
        <w:bidi w:val="0"/>
        <w:adjustRightInd/>
        <w:snapToGrid/>
        <w:spacing w:before="240" w:after="240"/>
        <w:ind w:left="0" w:firstLine="0"/>
        <w:textAlignment w:val="auto"/>
      </w:pPr>
      <w:bookmarkStart w:id="111" w:name="_Toc25143"/>
      <w:bookmarkStart w:id="112" w:name="_Toc11197"/>
      <w:bookmarkStart w:id="113" w:name="_Toc25860"/>
      <w:bookmarkStart w:id="114" w:name="_Toc15135"/>
      <w:bookmarkStart w:id="115" w:name="_Toc20326"/>
      <w:bookmarkStart w:id="116" w:name="_Toc32045"/>
      <w:bookmarkStart w:id="117" w:name="_Toc19233"/>
      <w:bookmarkStart w:id="118" w:name="_Toc7323"/>
      <w:r>
        <w:rPr>
          <w:rFonts w:hint="eastAsia"/>
        </w:rPr>
        <w:t>标志、包装、运输和贮存</w:t>
      </w:r>
      <w:bookmarkEnd w:id="111"/>
      <w:bookmarkEnd w:id="112"/>
    </w:p>
    <w:bookmarkEnd w:id="113"/>
    <w:bookmarkEnd w:id="114"/>
    <w:bookmarkEnd w:id="115"/>
    <w:bookmarkEnd w:id="116"/>
    <w:bookmarkEnd w:id="117"/>
    <w:bookmarkEnd w:id="118"/>
    <w:p w14:paraId="69B98360">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19" w:name="_Toc23355"/>
      <w:bookmarkStart w:id="120" w:name="_Toc31880"/>
      <w:bookmarkStart w:id="121" w:name="_Toc820"/>
      <w:bookmarkStart w:id="122" w:name="_Toc13108"/>
      <w:r>
        <w:rPr>
          <w:rFonts w:hint="eastAsia" w:ascii="黑体" w:hAnsi="黑体" w:eastAsia="黑体" w:cs="Times New Roman"/>
          <w:sz w:val="21"/>
          <w:lang w:val="en-US" w:eastAsia="zh-CN" w:bidi="ar-SA"/>
        </w:rPr>
        <w:t>标志</w:t>
      </w:r>
      <w:bookmarkEnd w:id="119"/>
      <w:bookmarkEnd w:id="120"/>
      <w:bookmarkEnd w:id="121"/>
    </w:p>
    <w:p w14:paraId="486309F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产品标志应满足下列要求：</w:t>
      </w:r>
    </w:p>
    <w:p w14:paraId="46FB912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a）应有清晰、牢固、耐久的标志，内容包括：产品名称和型号、生产单位、出厂编号、生产日期、电气参数、安全和防爆标志等；</w:t>
      </w:r>
    </w:p>
    <w:p w14:paraId="31ED9C9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b）所有标志应清晰、耐磨，符合GB/T 191的相关规定。</w:t>
      </w:r>
    </w:p>
    <w:p w14:paraId="1EAD8029">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23" w:name="_Toc28773"/>
      <w:bookmarkStart w:id="124" w:name="_Toc6176"/>
      <w:bookmarkStart w:id="125" w:name="_Toc26567"/>
      <w:r>
        <w:rPr>
          <w:rFonts w:hint="eastAsia" w:ascii="黑体" w:hAnsi="黑体" w:eastAsia="黑体" w:cs="Times New Roman"/>
          <w:sz w:val="21"/>
          <w:lang w:val="en-US" w:eastAsia="zh-CN" w:bidi="ar-SA"/>
        </w:rPr>
        <w:t>包装</w:t>
      </w:r>
      <w:bookmarkEnd w:id="123"/>
      <w:bookmarkEnd w:id="124"/>
      <w:bookmarkEnd w:id="125"/>
    </w:p>
    <w:p w14:paraId="39EA1E0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产品包装应满足下列要求：</w:t>
      </w:r>
    </w:p>
    <w:p w14:paraId="444145A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a）包装应采用防潮、防震、防尘材料，确保产品在运输和存储过程中不受损；</w:t>
      </w:r>
    </w:p>
    <w:p w14:paraId="50C66C0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b）包装内部应有缓冲材料；</w:t>
      </w:r>
    </w:p>
    <w:p w14:paraId="0A4AE1E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c）包装箱外应标明产品的名称、型号、毛重、净重及运输标志；</w:t>
      </w:r>
    </w:p>
    <w:p w14:paraId="1159FFF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d）每件产品随包装附带说明书、合格证及出厂检验报告。</w:t>
      </w:r>
    </w:p>
    <w:p w14:paraId="17295C55">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26" w:name="_Toc13992"/>
      <w:bookmarkStart w:id="127" w:name="_Toc88"/>
      <w:bookmarkStart w:id="128" w:name="_Toc16929"/>
      <w:r>
        <w:rPr>
          <w:rFonts w:hint="eastAsia" w:ascii="黑体" w:hAnsi="黑体" w:eastAsia="黑体" w:cs="Times New Roman"/>
          <w:sz w:val="21"/>
          <w:lang w:val="en-US" w:eastAsia="zh-CN" w:bidi="ar-SA"/>
        </w:rPr>
        <w:t>运输</w:t>
      </w:r>
      <w:bookmarkEnd w:id="126"/>
      <w:bookmarkEnd w:id="127"/>
      <w:bookmarkEnd w:id="128"/>
    </w:p>
    <w:p w14:paraId="4882CFB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产品运输应满足下列要求：</w:t>
      </w:r>
    </w:p>
    <w:p w14:paraId="4E7B118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a）运输过程中应避免剧烈振动、跌落及强烈温度变化；</w:t>
      </w:r>
    </w:p>
    <w:p w14:paraId="2B59626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b）在运输过程中不得与有毒、有腐蚀性或易燃物品混装；</w:t>
      </w:r>
    </w:p>
    <w:p w14:paraId="1A2A956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c）产品运输过程中应避免暴露在高湿或雨淋环境下。</w:t>
      </w:r>
    </w:p>
    <w:p w14:paraId="0C3DB2F8">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29" w:name="_Toc16063"/>
      <w:bookmarkStart w:id="130" w:name="_Toc16520"/>
      <w:bookmarkStart w:id="131" w:name="_Toc363"/>
      <w:r>
        <w:rPr>
          <w:rFonts w:hint="eastAsia" w:ascii="黑体" w:hAnsi="黑体" w:eastAsia="黑体" w:cs="Times New Roman"/>
          <w:sz w:val="21"/>
          <w:lang w:val="en-US" w:eastAsia="zh-CN" w:bidi="ar-SA"/>
        </w:rPr>
        <w:t>贮存</w:t>
      </w:r>
      <w:bookmarkEnd w:id="129"/>
      <w:bookmarkEnd w:id="130"/>
      <w:bookmarkEnd w:id="131"/>
    </w:p>
    <w:p w14:paraId="1576DE2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产品贮存应满足下列要求：</w:t>
      </w:r>
    </w:p>
    <w:p w14:paraId="4BADD01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a）产品应存放于0℃～50℃的环境温度内，相对湿度≤85%的干燥环境中；</w:t>
      </w:r>
    </w:p>
    <w:p w14:paraId="54E4212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b）贮存环境应通风良好，避免阳光直射及高湿度环境；</w:t>
      </w:r>
    </w:p>
    <w:p w14:paraId="47468CF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c）长期贮存时，应每6个月对产品进行一次检查和维护。</w:t>
      </w:r>
    </w:p>
    <w:bookmarkEnd w:id="122"/>
    <w:p w14:paraId="510EB057">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1D63E384">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4A308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CC8D763">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1ABEB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68175F5B">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32" w:name="_Toc215"/>
      <w:bookmarkStart w:id="133" w:name="_Toc10181"/>
      <w:bookmarkStart w:id="134" w:name="_Toc16819"/>
      <w:bookmarkStart w:id="135" w:name="_Toc25614"/>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32"/>
      <w:bookmarkEnd w:id="133"/>
      <w:bookmarkEnd w:id="134"/>
      <w:bookmarkEnd w:id="135"/>
    </w:p>
    <w:sectPr>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604AFBB-E71A-46A9-84EE-4B76EDF39B4E}"/>
  </w:font>
  <w:font w:name="Arial">
    <w:panose1 w:val="020B0604020202020204"/>
    <w:charset w:val="01"/>
    <w:family w:val="swiss"/>
    <w:pitch w:val="default"/>
    <w:sig w:usb0="E0002EFF" w:usb1="C000785B" w:usb2="00000009" w:usb3="00000000" w:csb0="400001FF" w:csb1="FFFF0000"/>
    <w:embedRegular r:id="rId2" w:fontKey="{01490EF7-C272-410D-A574-4450840D3AE0}"/>
  </w:font>
  <w:font w:name="黑体">
    <w:panose1 w:val="02010609060101010101"/>
    <w:charset w:val="86"/>
    <w:family w:val="auto"/>
    <w:pitch w:val="default"/>
    <w:sig w:usb0="800002BF" w:usb1="38CF7CFA" w:usb2="00000016" w:usb3="00000000" w:csb0="00040001" w:csb1="00000000"/>
    <w:embedRegular r:id="rId3" w:fontKey="{32137A3A-D27E-40A4-BDF8-62F6CB04DD55}"/>
  </w:font>
  <w:font w:name="Courier New">
    <w:panose1 w:val="02070309020205020404"/>
    <w:charset w:val="01"/>
    <w:family w:val="modern"/>
    <w:pitch w:val="default"/>
    <w:sig w:usb0="E0002EFF" w:usb1="C0007843" w:usb2="00000009" w:usb3="00000000" w:csb0="400001FF" w:csb1="FFFF0000"/>
    <w:embedRegular r:id="rId4" w:fontKey="{9DDA813C-ADD9-41FE-B216-275530EE9213}"/>
  </w:font>
  <w:font w:name="Symbol">
    <w:panose1 w:val="05050102010706020507"/>
    <w:charset w:val="02"/>
    <w:family w:val="roman"/>
    <w:pitch w:val="default"/>
    <w:sig w:usb0="00000000" w:usb1="00000000" w:usb2="00000000" w:usb3="00000000" w:csb0="80000000" w:csb1="00000000"/>
    <w:embedRegular r:id="rId5" w:fontKey="{C14FD95C-6E52-42B6-939D-BF7869E90E4F}"/>
  </w:font>
  <w:font w:name="Calibri">
    <w:panose1 w:val="020F0502020204030204"/>
    <w:charset w:val="00"/>
    <w:family w:val="swiss"/>
    <w:pitch w:val="default"/>
    <w:sig w:usb0="E4002EFF" w:usb1="C000247B" w:usb2="00000009" w:usb3="00000000" w:csb0="200001FF" w:csb1="00000000"/>
    <w:embedRegular r:id="rId6" w:fontKey="{B436E7AA-F2EE-4774-BB91-546917861C7C}"/>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8FBB072F-7B90-4926-BC78-7D1196290A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4B0A">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413F">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66CE">
    <w:pPr>
      <w:pStyle w:val="19"/>
      <w:wordWrap w:val="0"/>
      <w:jc w:val="right"/>
      <w:rPr>
        <w:rFonts w:ascii="黑体" w:hAnsi="黑体" w:eastAsia="黑体"/>
      </w:rPr>
    </w:pPr>
    <w:r>
      <w:rPr>
        <w:rFonts w:hint="eastAsia" w:ascii="黑体" w:hAnsi="黑体" w:eastAsia="黑体"/>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A71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5520">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66"/>
    </w:pPr>
    <w:r>
      <w:rPr>
        <w:rFonts w:hint="eastAsia"/>
      </w:rPr>
      <w:t>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365C6692"/>
    <w:multiLevelType w:val="singleLevel"/>
    <w:tmpl w:val="365C6692"/>
    <w:lvl w:ilvl="0" w:tentative="0">
      <w:start w:val="1"/>
      <w:numFmt w:val="lowerLetter"/>
      <w:suff w:val="space"/>
      <w:lvlText w:val="%1)"/>
      <w:lvlJc w:val="left"/>
    </w:lvl>
  </w:abstractNum>
  <w:abstractNum w:abstractNumId="14">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8"/>
  </w:num>
  <w:num w:numId="3">
    <w:abstractNumId w:val="6"/>
  </w:num>
  <w:num w:numId="4">
    <w:abstractNumId w:val="24"/>
  </w:num>
  <w:num w:numId="5">
    <w:abstractNumId w:val="20"/>
  </w:num>
  <w:num w:numId="6">
    <w:abstractNumId w:val="0"/>
  </w:num>
  <w:num w:numId="7">
    <w:abstractNumId w:val="9"/>
  </w:num>
  <w:num w:numId="8">
    <w:abstractNumId w:val="4"/>
  </w:num>
  <w:num w:numId="9">
    <w:abstractNumId w:val="10"/>
  </w:num>
  <w:num w:numId="10">
    <w:abstractNumId w:val="17"/>
  </w:num>
  <w:num w:numId="11">
    <w:abstractNumId w:val="26"/>
  </w:num>
  <w:num w:numId="12">
    <w:abstractNumId w:val="12"/>
  </w:num>
  <w:num w:numId="13">
    <w:abstractNumId w:val="14"/>
  </w:num>
  <w:num w:numId="14">
    <w:abstractNumId w:val="8"/>
  </w:num>
  <w:num w:numId="15">
    <w:abstractNumId w:val="19"/>
  </w:num>
  <w:num w:numId="16">
    <w:abstractNumId w:val="22"/>
  </w:num>
  <w:num w:numId="17">
    <w:abstractNumId w:val="18"/>
  </w:num>
  <w:num w:numId="18">
    <w:abstractNumId w:val="30"/>
  </w:num>
  <w:num w:numId="19">
    <w:abstractNumId w:val="16"/>
  </w:num>
  <w:num w:numId="20">
    <w:abstractNumId w:val="2"/>
  </w:num>
  <w:num w:numId="21">
    <w:abstractNumId w:val="11"/>
  </w:num>
  <w:num w:numId="22">
    <w:abstractNumId w:val="31"/>
  </w:num>
  <w:num w:numId="23">
    <w:abstractNumId w:val="21"/>
  </w:num>
  <w:num w:numId="24">
    <w:abstractNumId w:val="7"/>
  </w:num>
  <w:num w:numId="25">
    <w:abstractNumId w:val="27"/>
  </w:num>
  <w:num w:numId="26">
    <w:abstractNumId w:val="29"/>
  </w:num>
  <w:num w:numId="27">
    <w:abstractNumId w:val="3"/>
  </w:num>
  <w:num w:numId="28">
    <w:abstractNumId w:val="5"/>
  </w:num>
  <w:num w:numId="29">
    <w:abstractNumId w:val="15"/>
  </w:num>
  <w:num w:numId="30">
    <w:abstractNumId w:val="25"/>
  </w:num>
  <w:num w:numId="31">
    <w:abstractNumId w:val="2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326"/>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67635A"/>
    <w:rsid w:val="01CC4A42"/>
    <w:rsid w:val="01DB1C83"/>
    <w:rsid w:val="02247ACE"/>
    <w:rsid w:val="024B6E08"/>
    <w:rsid w:val="027345B1"/>
    <w:rsid w:val="02EB239A"/>
    <w:rsid w:val="0337738D"/>
    <w:rsid w:val="035E700F"/>
    <w:rsid w:val="03802AE2"/>
    <w:rsid w:val="038F0F77"/>
    <w:rsid w:val="03936A9A"/>
    <w:rsid w:val="041A1DAA"/>
    <w:rsid w:val="04D71266"/>
    <w:rsid w:val="05017C52"/>
    <w:rsid w:val="05383DBD"/>
    <w:rsid w:val="056D7D96"/>
    <w:rsid w:val="057E74F5"/>
    <w:rsid w:val="05D13AC9"/>
    <w:rsid w:val="05E25CD6"/>
    <w:rsid w:val="060774EA"/>
    <w:rsid w:val="062067FE"/>
    <w:rsid w:val="06370BD1"/>
    <w:rsid w:val="071740BE"/>
    <w:rsid w:val="072126BE"/>
    <w:rsid w:val="074107DA"/>
    <w:rsid w:val="0741664E"/>
    <w:rsid w:val="074402CA"/>
    <w:rsid w:val="076C2B3D"/>
    <w:rsid w:val="07837045"/>
    <w:rsid w:val="07F22FA2"/>
    <w:rsid w:val="08267E19"/>
    <w:rsid w:val="082A74C0"/>
    <w:rsid w:val="089112ED"/>
    <w:rsid w:val="08C94F2B"/>
    <w:rsid w:val="08D631A4"/>
    <w:rsid w:val="08FB2C0B"/>
    <w:rsid w:val="09075A53"/>
    <w:rsid w:val="093A7BD7"/>
    <w:rsid w:val="096133B5"/>
    <w:rsid w:val="098B21E0"/>
    <w:rsid w:val="09DC47EA"/>
    <w:rsid w:val="0A49096C"/>
    <w:rsid w:val="0AAE6112"/>
    <w:rsid w:val="0ADD2F10"/>
    <w:rsid w:val="0B510CC2"/>
    <w:rsid w:val="0B61144B"/>
    <w:rsid w:val="0B7373D0"/>
    <w:rsid w:val="0B792C38"/>
    <w:rsid w:val="0BA37CB5"/>
    <w:rsid w:val="0C7015F6"/>
    <w:rsid w:val="0C8F023A"/>
    <w:rsid w:val="0C922D96"/>
    <w:rsid w:val="0C96783C"/>
    <w:rsid w:val="0C9B6BDE"/>
    <w:rsid w:val="0CA666F2"/>
    <w:rsid w:val="0CA912FB"/>
    <w:rsid w:val="0CAC0DEC"/>
    <w:rsid w:val="0CB24D02"/>
    <w:rsid w:val="0CBD4DA7"/>
    <w:rsid w:val="0CF06F2A"/>
    <w:rsid w:val="0CF7697F"/>
    <w:rsid w:val="0CF9720F"/>
    <w:rsid w:val="0D205F98"/>
    <w:rsid w:val="0D2D1B8C"/>
    <w:rsid w:val="0D397A5A"/>
    <w:rsid w:val="0D985311"/>
    <w:rsid w:val="0DA21B9C"/>
    <w:rsid w:val="0DEE2D3E"/>
    <w:rsid w:val="0E323572"/>
    <w:rsid w:val="0E5E4367"/>
    <w:rsid w:val="0E6D5BB9"/>
    <w:rsid w:val="0EAA135B"/>
    <w:rsid w:val="0EAE0E4B"/>
    <w:rsid w:val="0ED9579C"/>
    <w:rsid w:val="0F1C5EFC"/>
    <w:rsid w:val="0F576C9E"/>
    <w:rsid w:val="0FAB7138"/>
    <w:rsid w:val="0FF860F6"/>
    <w:rsid w:val="1024598E"/>
    <w:rsid w:val="107C0AD5"/>
    <w:rsid w:val="108C091C"/>
    <w:rsid w:val="10971222"/>
    <w:rsid w:val="109B5CEE"/>
    <w:rsid w:val="111B209C"/>
    <w:rsid w:val="11346DAD"/>
    <w:rsid w:val="11364E51"/>
    <w:rsid w:val="115C628C"/>
    <w:rsid w:val="117479FE"/>
    <w:rsid w:val="118045F5"/>
    <w:rsid w:val="119F4A7B"/>
    <w:rsid w:val="11B61661"/>
    <w:rsid w:val="11E82659"/>
    <w:rsid w:val="120B2110"/>
    <w:rsid w:val="126637EB"/>
    <w:rsid w:val="1279042F"/>
    <w:rsid w:val="1289734F"/>
    <w:rsid w:val="12E71E34"/>
    <w:rsid w:val="12FE379E"/>
    <w:rsid w:val="13693232"/>
    <w:rsid w:val="13DA623E"/>
    <w:rsid w:val="14047949"/>
    <w:rsid w:val="14403A45"/>
    <w:rsid w:val="144A694C"/>
    <w:rsid w:val="14755F67"/>
    <w:rsid w:val="14897755"/>
    <w:rsid w:val="14C95AF3"/>
    <w:rsid w:val="15003A82"/>
    <w:rsid w:val="15107A3E"/>
    <w:rsid w:val="15164B54"/>
    <w:rsid w:val="1579275D"/>
    <w:rsid w:val="15854FAB"/>
    <w:rsid w:val="15CE3B81"/>
    <w:rsid w:val="15E931DA"/>
    <w:rsid w:val="161D66CD"/>
    <w:rsid w:val="1662251B"/>
    <w:rsid w:val="16946B78"/>
    <w:rsid w:val="16BD34A4"/>
    <w:rsid w:val="1740285C"/>
    <w:rsid w:val="177047B1"/>
    <w:rsid w:val="1798559B"/>
    <w:rsid w:val="181451A4"/>
    <w:rsid w:val="182932F0"/>
    <w:rsid w:val="185C5798"/>
    <w:rsid w:val="187911F5"/>
    <w:rsid w:val="19020F76"/>
    <w:rsid w:val="195218C7"/>
    <w:rsid w:val="19AD1853"/>
    <w:rsid w:val="19E80F89"/>
    <w:rsid w:val="1A2E2E40"/>
    <w:rsid w:val="1A367F46"/>
    <w:rsid w:val="1A5B14D5"/>
    <w:rsid w:val="1A6C3968"/>
    <w:rsid w:val="1AB53561"/>
    <w:rsid w:val="1AB90161"/>
    <w:rsid w:val="1AD05CA5"/>
    <w:rsid w:val="1AF851FC"/>
    <w:rsid w:val="1B444464"/>
    <w:rsid w:val="1C2019B2"/>
    <w:rsid w:val="1C232937"/>
    <w:rsid w:val="1C33298F"/>
    <w:rsid w:val="1C84035C"/>
    <w:rsid w:val="1C90180A"/>
    <w:rsid w:val="1CB44504"/>
    <w:rsid w:val="1CBF06C7"/>
    <w:rsid w:val="1CD11779"/>
    <w:rsid w:val="1CD557F5"/>
    <w:rsid w:val="1CD94D8F"/>
    <w:rsid w:val="1CFE203E"/>
    <w:rsid w:val="1D3E1AE8"/>
    <w:rsid w:val="1D412E8A"/>
    <w:rsid w:val="1D6152DA"/>
    <w:rsid w:val="1D9C6312"/>
    <w:rsid w:val="1DA578BD"/>
    <w:rsid w:val="1DE37048"/>
    <w:rsid w:val="1E293DC9"/>
    <w:rsid w:val="1E592455"/>
    <w:rsid w:val="1EF503D0"/>
    <w:rsid w:val="1F4629DA"/>
    <w:rsid w:val="1F5A46D7"/>
    <w:rsid w:val="1F7D0E8D"/>
    <w:rsid w:val="1F7E2174"/>
    <w:rsid w:val="1FE16BA6"/>
    <w:rsid w:val="1FFB71EF"/>
    <w:rsid w:val="2011123A"/>
    <w:rsid w:val="202F6FF1"/>
    <w:rsid w:val="20586BFF"/>
    <w:rsid w:val="206F32C6"/>
    <w:rsid w:val="20A206AE"/>
    <w:rsid w:val="21022930"/>
    <w:rsid w:val="21167384"/>
    <w:rsid w:val="2136082C"/>
    <w:rsid w:val="21703D3E"/>
    <w:rsid w:val="221446F8"/>
    <w:rsid w:val="22487203"/>
    <w:rsid w:val="22A21F61"/>
    <w:rsid w:val="23135F56"/>
    <w:rsid w:val="23720E5B"/>
    <w:rsid w:val="239F4DAE"/>
    <w:rsid w:val="23B2431C"/>
    <w:rsid w:val="24101808"/>
    <w:rsid w:val="24B228BF"/>
    <w:rsid w:val="24E567F1"/>
    <w:rsid w:val="24E862E1"/>
    <w:rsid w:val="2560231B"/>
    <w:rsid w:val="257152D6"/>
    <w:rsid w:val="25D80104"/>
    <w:rsid w:val="25FA2770"/>
    <w:rsid w:val="26013711"/>
    <w:rsid w:val="2604378E"/>
    <w:rsid w:val="2641214D"/>
    <w:rsid w:val="26435EC5"/>
    <w:rsid w:val="26597496"/>
    <w:rsid w:val="268D6C84"/>
    <w:rsid w:val="26AC40FD"/>
    <w:rsid w:val="26C568DA"/>
    <w:rsid w:val="26D22DA5"/>
    <w:rsid w:val="26F251F5"/>
    <w:rsid w:val="26FD2518"/>
    <w:rsid w:val="2706199F"/>
    <w:rsid w:val="27191146"/>
    <w:rsid w:val="272555CB"/>
    <w:rsid w:val="272705E4"/>
    <w:rsid w:val="278B636C"/>
    <w:rsid w:val="27A74232"/>
    <w:rsid w:val="281713B7"/>
    <w:rsid w:val="281E1EFD"/>
    <w:rsid w:val="28526934"/>
    <w:rsid w:val="28AA3FD9"/>
    <w:rsid w:val="28CE6F9F"/>
    <w:rsid w:val="28D46B7D"/>
    <w:rsid w:val="29067B7B"/>
    <w:rsid w:val="29824F56"/>
    <w:rsid w:val="298F4F7D"/>
    <w:rsid w:val="29D55086"/>
    <w:rsid w:val="2A1A5F20"/>
    <w:rsid w:val="2A1F27A5"/>
    <w:rsid w:val="2A222295"/>
    <w:rsid w:val="2A3A75DF"/>
    <w:rsid w:val="2A7B0D43"/>
    <w:rsid w:val="2A984505"/>
    <w:rsid w:val="2ABA24CE"/>
    <w:rsid w:val="2ABC5A31"/>
    <w:rsid w:val="2AE76B06"/>
    <w:rsid w:val="2B0025D7"/>
    <w:rsid w:val="2B7408CF"/>
    <w:rsid w:val="2B941177"/>
    <w:rsid w:val="2BB331A5"/>
    <w:rsid w:val="2BCC070B"/>
    <w:rsid w:val="2BE03BB0"/>
    <w:rsid w:val="2BF727FE"/>
    <w:rsid w:val="2C405C02"/>
    <w:rsid w:val="2C610E53"/>
    <w:rsid w:val="2C974E26"/>
    <w:rsid w:val="2CC71744"/>
    <w:rsid w:val="2D142369"/>
    <w:rsid w:val="2D175AA2"/>
    <w:rsid w:val="2D364384"/>
    <w:rsid w:val="2D864A37"/>
    <w:rsid w:val="2DE832DC"/>
    <w:rsid w:val="2E067F10"/>
    <w:rsid w:val="2E2E745B"/>
    <w:rsid w:val="2E312AA7"/>
    <w:rsid w:val="2E7A774E"/>
    <w:rsid w:val="2EEF10A1"/>
    <w:rsid w:val="2EEF5C10"/>
    <w:rsid w:val="2F466B3B"/>
    <w:rsid w:val="2F713AA3"/>
    <w:rsid w:val="2FA5374C"/>
    <w:rsid w:val="2FAF42C8"/>
    <w:rsid w:val="2FE752D1"/>
    <w:rsid w:val="300A7A53"/>
    <w:rsid w:val="30304791"/>
    <w:rsid w:val="303B5E5F"/>
    <w:rsid w:val="304E7940"/>
    <w:rsid w:val="3069477A"/>
    <w:rsid w:val="309D614E"/>
    <w:rsid w:val="30F0112E"/>
    <w:rsid w:val="313528AE"/>
    <w:rsid w:val="315076E8"/>
    <w:rsid w:val="318D4498"/>
    <w:rsid w:val="31A11CF2"/>
    <w:rsid w:val="31E3055C"/>
    <w:rsid w:val="32AB5D01"/>
    <w:rsid w:val="32C43EEA"/>
    <w:rsid w:val="32D3237F"/>
    <w:rsid w:val="332A7819"/>
    <w:rsid w:val="334376A7"/>
    <w:rsid w:val="33492641"/>
    <w:rsid w:val="33686F6B"/>
    <w:rsid w:val="337103D7"/>
    <w:rsid w:val="33A900F6"/>
    <w:rsid w:val="33D31231"/>
    <w:rsid w:val="33D60378"/>
    <w:rsid w:val="34120C85"/>
    <w:rsid w:val="341D114F"/>
    <w:rsid w:val="34254E5C"/>
    <w:rsid w:val="349873DC"/>
    <w:rsid w:val="34A77AD0"/>
    <w:rsid w:val="34AB65F0"/>
    <w:rsid w:val="34BF4CAA"/>
    <w:rsid w:val="35020CF9"/>
    <w:rsid w:val="351729F7"/>
    <w:rsid w:val="352D62CE"/>
    <w:rsid w:val="358F02C1"/>
    <w:rsid w:val="35986C99"/>
    <w:rsid w:val="35E11274"/>
    <w:rsid w:val="35EF42A0"/>
    <w:rsid w:val="35F04FF6"/>
    <w:rsid w:val="360E3B2F"/>
    <w:rsid w:val="365C268B"/>
    <w:rsid w:val="36723C5D"/>
    <w:rsid w:val="367501B8"/>
    <w:rsid w:val="376143FD"/>
    <w:rsid w:val="38042FDA"/>
    <w:rsid w:val="38084878"/>
    <w:rsid w:val="382471D8"/>
    <w:rsid w:val="382F44FB"/>
    <w:rsid w:val="38510A7B"/>
    <w:rsid w:val="38811B6E"/>
    <w:rsid w:val="389B28F8"/>
    <w:rsid w:val="38F02E97"/>
    <w:rsid w:val="39447FDB"/>
    <w:rsid w:val="39CD5D7A"/>
    <w:rsid w:val="39E60BE9"/>
    <w:rsid w:val="39FE35D6"/>
    <w:rsid w:val="3A240899"/>
    <w:rsid w:val="3AAB598F"/>
    <w:rsid w:val="3AD4069B"/>
    <w:rsid w:val="3B3720B6"/>
    <w:rsid w:val="3B434C68"/>
    <w:rsid w:val="3B4756B8"/>
    <w:rsid w:val="3B4B21D2"/>
    <w:rsid w:val="3B5B1163"/>
    <w:rsid w:val="3B660234"/>
    <w:rsid w:val="3B7A10AA"/>
    <w:rsid w:val="3B8F2C3B"/>
    <w:rsid w:val="3B9E5419"/>
    <w:rsid w:val="3B9F3746"/>
    <w:rsid w:val="3BE23632"/>
    <w:rsid w:val="3C137C90"/>
    <w:rsid w:val="3C1557B6"/>
    <w:rsid w:val="3C670048"/>
    <w:rsid w:val="3CE1265E"/>
    <w:rsid w:val="3CED228F"/>
    <w:rsid w:val="3D0F0457"/>
    <w:rsid w:val="3D127F47"/>
    <w:rsid w:val="3D211F38"/>
    <w:rsid w:val="3D566C49"/>
    <w:rsid w:val="3D8F1791"/>
    <w:rsid w:val="3D98044D"/>
    <w:rsid w:val="3E0C4997"/>
    <w:rsid w:val="3E171CB9"/>
    <w:rsid w:val="3E204318"/>
    <w:rsid w:val="3E2E7003"/>
    <w:rsid w:val="3E4F1453"/>
    <w:rsid w:val="3E676FE7"/>
    <w:rsid w:val="3E6A003B"/>
    <w:rsid w:val="3E907376"/>
    <w:rsid w:val="3EB76FF8"/>
    <w:rsid w:val="3F0B3AFE"/>
    <w:rsid w:val="3FA550A3"/>
    <w:rsid w:val="40491ED2"/>
    <w:rsid w:val="404D5D77"/>
    <w:rsid w:val="405C7E57"/>
    <w:rsid w:val="40E65973"/>
    <w:rsid w:val="40EC0DD9"/>
    <w:rsid w:val="40EF3947"/>
    <w:rsid w:val="40FB4353"/>
    <w:rsid w:val="41263FC1"/>
    <w:rsid w:val="413B181B"/>
    <w:rsid w:val="41517290"/>
    <w:rsid w:val="41522043"/>
    <w:rsid w:val="41D35EF7"/>
    <w:rsid w:val="41D97316"/>
    <w:rsid w:val="41EA1493"/>
    <w:rsid w:val="4207790D"/>
    <w:rsid w:val="42A17DA3"/>
    <w:rsid w:val="42BC6C22"/>
    <w:rsid w:val="42C341BE"/>
    <w:rsid w:val="42EB7271"/>
    <w:rsid w:val="430B346F"/>
    <w:rsid w:val="430C3285"/>
    <w:rsid w:val="43362BE2"/>
    <w:rsid w:val="43525542"/>
    <w:rsid w:val="437454B8"/>
    <w:rsid w:val="43876DC7"/>
    <w:rsid w:val="439B2A45"/>
    <w:rsid w:val="439F6551"/>
    <w:rsid w:val="44006D4C"/>
    <w:rsid w:val="44636591"/>
    <w:rsid w:val="44C304A5"/>
    <w:rsid w:val="44FD4773"/>
    <w:rsid w:val="45486BFC"/>
    <w:rsid w:val="45DB35CC"/>
    <w:rsid w:val="45E83F3B"/>
    <w:rsid w:val="45FA7D5B"/>
    <w:rsid w:val="464229AA"/>
    <w:rsid w:val="465515D1"/>
    <w:rsid w:val="465A48FC"/>
    <w:rsid w:val="46696CCB"/>
    <w:rsid w:val="46794B93"/>
    <w:rsid w:val="46895648"/>
    <w:rsid w:val="46B02CAB"/>
    <w:rsid w:val="46D70238"/>
    <w:rsid w:val="46D87B0C"/>
    <w:rsid w:val="473C009B"/>
    <w:rsid w:val="473F1EFF"/>
    <w:rsid w:val="47613FA5"/>
    <w:rsid w:val="47BC2352"/>
    <w:rsid w:val="47C22C96"/>
    <w:rsid w:val="48457423"/>
    <w:rsid w:val="488B752C"/>
    <w:rsid w:val="48B06F92"/>
    <w:rsid w:val="48F76E74"/>
    <w:rsid w:val="490E0B33"/>
    <w:rsid w:val="49697141"/>
    <w:rsid w:val="49AF724A"/>
    <w:rsid w:val="49D1656A"/>
    <w:rsid w:val="49F64E79"/>
    <w:rsid w:val="49FE1F7F"/>
    <w:rsid w:val="4A325785"/>
    <w:rsid w:val="4A800BE6"/>
    <w:rsid w:val="4ADB5E1D"/>
    <w:rsid w:val="4AE22767"/>
    <w:rsid w:val="4BCF3BD3"/>
    <w:rsid w:val="4BD74836"/>
    <w:rsid w:val="4C371778"/>
    <w:rsid w:val="4C7C718B"/>
    <w:rsid w:val="4C8F6EBF"/>
    <w:rsid w:val="4CEA67EB"/>
    <w:rsid w:val="4D852E94"/>
    <w:rsid w:val="4DDA23BB"/>
    <w:rsid w:val="4E232905"/>
    <w:rsid w:val="4E241889"/>
    <w:rsid w:val="4E5C1022"/>
    <w:rsid w:val="4EB01641"/>
    <w:rsid w:val="4EF37BD9"/>
    <w:rsid w:val="4F0A6CD0"/>
    <w:rsid w:val="4F534BF8"/>
    <w:rsid w:val="4F587A3C"/>
    <w:rsid w:val="4FBF2D98"/>
    <w:rsid w:val="4FCA62BD"/>
    <w:rsid w:val="4FCC3F86"/>
    <w:rsid w:val="4FD33566"/>
    <w:rsid w:val="50504BB7"/>
    <w:rsid w:val="507C3BFE"/>
    <w:rsid w:val="507E34D2"/>
    <w:rsid w:val="50966C31"/>
    <w:rsid w:val="50ED2406"/>
    <w:rsid w:val="50F419E6"/>
    <w:rsid w:val="51431169"/>
    <w:rsid w:val="514E65F3"/>
    <w:rsid w:val="51761058"/>
    <w:rsid w:val="5193599C"/>
    <w:rsid w:val="519A0805"/>
    <w:rsid w:val="51AB479B"/>
    <w:rsid w:val="51F53C68"/>
    <w:rsid w:val="52102850"/>
    <w:rsid w:val="52140592"/>
    <w:rsid w:val="525A3ACB"/>
    <w:rsid w:val="525D0267"/>
    <w:rsid w:val="52B23907"/>
    <w:rsid w:val="52C11D9C"/>
    <w:rsid w:val="52EA30A1"/>
    <w:rsid w:val="52FE6B4C"/>
    <w:rsid w:val="53105563"/>
    <w:rsid w:val="53234C57"/>
    <w:rsid w:val="53343453"/>
    <w:rsid w:val="537D2167"/>
    <w:rsid w:val="53926B2B"/>
    <w:rsid w:val="53A94D22"/>
    <w:rsid w:val="53E2646E"/>
    <w:rsid w:val="544B5514"/>
    <w:rsid w:val="54560E40"/>
    <w:rsid w:val="546B0211"/>
    <w:rsid w:val="54C71C79"/>
    <w:rsid w:val="54DA7145"/>
    <w:rsid w:val="54F413E0"/>
    <w:rsid w:val="54FA3343"/>
    <w:rsid w:val="556829A3"/>
    <w:rsid w:val="55F259B1"/>
    <w:rsid w:val="56464697"/>
    <w:rsid w:val="56653928"/>
    <w:rsid w:val="567D7B45"/>
    <w:rsid w:val="569F2107"/>
    <w:rsid w:val="56A31EE4"/>
    <w:rsid w:val="56BC7955"/>
    <w:rsid w:val="56BE37C3"/>
    <w:rsid w:val="56F269C8"/>
    <w:rsid w:val="575A1E69"/>
    <w:rsid w:val="579B0E0D"/>
    <w:rsid w:val="57BD5228"/>
    <w:rsid w:val="57E22340"/>
    <w:rsid w:val="57E75E01"/>
    <w:rsid w:val="585F62DF"/>
    <w:rsid w:val="58690F0C"/>
    <w:rsid w:val="59326E77"/>
    <w:rsid w:val="593B28A8"/>
    <w:rsid w:val="59943D66"/>
    <w:rsid w:val="59A0270B"/>
    <w:rsid w:val="59C759D8"/>
    <w:rsid w:val="59DB3743"/>
    <w:rsid w:val="5A2055FA"/>
    <w:rsid w:val="5A274BDA"/>
    <w:rsid w:val="5A3B2BD8"/>
    <w:rsid w:val="5A4B6B1B"/>
    <w:rsid w:val="5A5233BE"/>
    <w:rsid w:val="5A5A4FB0"/>
    <w:rsid w:val="5A83669F"/>
    <w:rsid w:val="5AA708CA"/>
    <w:rsid w:val="5AE1122D"/>
    <w:rsid w:val="5B345801"/>
    <w:rsid w:val="5B3951AC"/>
    <w:rsid w:val="5B555777"/>
    <w:rsid w:val="5BAF30D9"/>
    <w:rsid w:val="5BEC78DC"/>
    <w:rsid w:val="5C336931"/>
    <w:rsid w:val="5C58107B"/>
    <w:rsid w:val="5C7659A5"/>
    <w:rsid w:val="5C78171D"/>
    <w:rsid w:val="5C9522F3"/>
    <w:rsid w:val="5CA54208"/>
    <w:rsid w:val="5CA711F8"/>
    <w:rsid w:val="5CBD35D4"/>
    <w:rsid w:val="5CD66444"/>
    <w:rsid w:val="5D3715D8"/>
    <w:rsid w:val="5D423AD9"/>
    <w:rsid w:val="5D487342"/>
    <w:rsid w:val="5D5A52C7"/>
    <w:rsid w:val="5D79648E"/>
    <w:rsid w:val="5D8B5480"/>
    <w:rsid w:val="5D946993"/>
    <w:rsid w:val="5DB669A1"/>
    <w:rsid w:val="5DC10EA2"/>
    <w:rsid w:val="5DC42740"/>
    <w:rsid w:val="5DD2614B"/>
    <w:rsid w:val="5DDE1A54"/>
    <w:rsid w:val="5DF5547E"/>
    <w:rsid w:val="5E937DA9"/>
    <w:rsid w:val="5EA467FA"/>
    <w:rsid w:val="5ED510A9"/>
    <w:rsid w:val="5F107C5C"/>
    <w:rsid w:val="5F3E6C4E"/>
    <w:rsid w:val="5F5B0685"/>
    <w:rsid w:val="5F927999"/>
    <w:rsid w:val="5F9E149B"/>
    <w:rsid w:val="5FB06EF5"/>
    <w:rsid w:val="5FBE38EB"/>
    <w:rsid w:val="5FC133DB"/>
    <w:rsid w:val="5FCE4022"/>
    <w:rsid w:val="5FD41360"/>
    <w:rsid w:val="5FF732A1"/>
    <w:rsid w:val="5FFE3CFF"/>
    <w:rsid w:val="602B6AA7"/>
    <w:rsid w:val="605F4D5E"/>
    <w:rsid w:val="60967D57"/>
    <w:rsid w:val="609F196E"/>
    <w:rsid w:val="60A971FB"/>
    <w:rsid w:val="60AE790C"/>
    <w:rsid w:val="60C45638"/>
    <w:rsid w:val="60E43825"/>
    <w:rsid w:val="61127BCE"/>
    <w:rsid w:val="61193A0B"/>
    <w:rsid w:val="611B6B1B"/>
    <w:rsid w:val="6129748A"/>
    <w:rsid w:val="61C947C9"/>
    <w:rsid w:val="620D321D"/>
    <w:rsid w:val="628F1E33"/>
    <w:rsid w:val="62DE42A4"/>
    <w:rsid w:val="62F5055D"/>
    <w:rsid w:val="63380AEB"/>
    <w:rsid w:val="63471527"/>
    <w:rsid w:val="63921D3E"/>
    <w:rsid w:val="63CB3C77"/>
    <w:rsid w:val="63E31B72"/>
    <w:rsid w:val="64127E15"/>
    <w:rsid w:val="64144421"/>
    <w:rsid w:val="6429154F"/>
    <w:rsid w:val="64B11E2F"/>
    <w:rsid w:val="64B67DBB"/>
    <w:rsid w:val="64C6694E"/>
    <w:rsid w:val="64CD1AD5"/>
    <w:rsid w:val="652F0685"/>
    <w:rsid w:val="65385EEE"/>
    <w:rsid w:val="654E5711"/>
    <w:rsid w:val="657A6506"/>
    <w:rsid w:val="65B23EF2"/>
    <w:rsid w:val="65E733A7"/>
    <w:rsid w:val="6639539F"/>
    <w:rsid w:val="664036B8"/>
    <w:rsid w:val="66AF3A6A"/>
    <w:rsid w:val="66FB3677"/>
    <w:rsid w:val="67F97FFA"/>
    <w:rsid w:val="682D3D04"/>
    <w:rsid w:val="6852376A"/>
    <w:rsid w:val="6884144A"/>
    <w:rsid w:val="68F465CF"/>
    <w:rsid w:val="690D7691"/>
    <w:rsid w:val="69A00928"/>
    <w:rsid w:val="69F32F6D"/>
    <w:rsid w:val="69F85C4B"/>
    <w:rsid w:val="6A3D7B02"/>
    <w:rsid w:val="6A554E4C"/>
    <w:rsid w:val="6A694D9B"/>
    <w:rsid w:val="6A6A0E44"/>
    <w:rsid w:val="6AA2357A"/>
    <w:rsid w:val="6B111D7A"/>
    <w:rsid w:val="6B3B4599"/>
    <w:rsid w:val="6B3C1D1C"/>
    <w:rsid w:val="6B43739A"/>
    <w:rsid w:val="6B563571"/>
    <w:rsid w:val="6B910106"/>
    <w:rsid w:val="6BB67B6C"/>
    <w:rsid w:val="6BC524A5"/>
    <w:rsid w:val="6BC8505C"/>
    <w:rsid w:val="6BD36970"/>
    <w:rsid w:val="6BF13D3D"/>
    <w:rsid w:val="6BFB7C75"/>
    <w:rsid w:val="6C6C46CF"/>
    <w:rsid w:val="6C9003BD"/>
    <w:rsid w:val="6C9C4FB4"/>
    <w:rsid w:val="6CB322FE"/>
    <w:rsid w:val="6CC24944"/>
    <w:rsid w:val="6CC422B2"/>
    <w:rsid w:val="6CD57C73"/>
    <w:rsid w:val="6CF43042"/>
    <w:rsid w:val="6D0F7B79"/>
    <w:rsid w:val="6D1859BB"/>
    <w:rsid w:val="6D2C16A8"/>
    <w:rsid w:val="6DAD3BA8"/>
    <w:rsid w:val="6DB9657F"/>
    <w:rsid w:val="6DF02BC2"/>
    <w:rsid w:val="6E0C7B11"/>
    <w:rsid w:val="6E645FA5"/>
    <w:rsid w:val="6E7A1325"/>
    <w:rsid w:val="6E7F06E9"/>
    <w:rsid w:val="6E922B12"/>
    <w:rsid w:val="6EC922AC"/>
    <w:rsid w:val="6F631DB9"/>
    <w:rsid w:val="6F704695"/>
    <w:rsid w:val="6F881820"/>
    <w:rsid w:val="6F9D65B5"/>
    <w:rsid w:val="703D6AAE"/>
    <w:rsid w:val="703F3234"/>
    <w:rsid w:val="704241B9"/>
    <w:rsid w:val="709C6820"/>
    <w:rsid w:val="70BE01D5"/>
    <w:rsid w:val="70C41EB3"/>
    <w:rsid w:val="70FC0CF6"/>
    <w:rsid w:val="713E2ADE"/>
    <w:rsid w:val="716B1B75"/>
    <w:rsid w:val="716C6002"/>
    <w:rsid w:val="71876217"/>
    <w:rsid w:val="718D136F"/>
    <w:rsid w:val="71F17B50"/>
    <w:rsid w:val="71F66F14"/>
    <w:rsid w:val="71FE401B"/>
    <w:rsid w:val="7238577F"/>
    <w:rsid w:val="72402885"/>
    <w:rsid w:val="7258197D"/>
    <w:rsid w:val="729F75BD"/>
    <w:rsid w:val="72C9287B"/>
    <w:rsid w:val="7310016F"/>
    <w:rsid w:val="731E7DE9"/>
    <w:rsid w:val="734D7008"/>
    <w:rsid w:val="735171B2"/>
    <w:rsid w:val="736A5E0C"/>
    <w:rsid w:val="738467A2"/>
    <w:rsid w:val="73951FDA"/>
    <w:rsid w:val="73C92407"/>
    <w:rsid w:val="74173885"/>
    <w:rsid w:val="741F6689"/>
    <w:rsid w:val="744511DB"/>
    <w:rsid w:val="74D3178F"/>
    <w:rsid w:val="74DF3CDB"/>
    <w:rsid w:val="750B0F29"/>
    <w:rsid w:val="75640639"/>
    <w:rsid w:val="75973D58"/>
    <w:rsid w:val="759A22AD"/>
    <w:rsid w:val="75BA64AB"/>
    <w:rsid w:val="762878B8"/>
    <w:rsid w:val="762B1026"/>
    <w:rsid w:val="762D3121"/>
    <w:rsid w:val="76744178"/>
    <w:rsid w:val="76EC6B38"/>
    <w:rsid w:val="76EE465E"/>
    <w:rsid w:val="773E7BB3"/>
    <w:rsid w:val="77A318EC"/>
    <w:rsid w:val="77AB69F3"/>
    <w:rsid w:val="77DA2E34"/>
    <w:rsid w:val="77FC6D03"/>
    <w:rsid w:val="78054355"/>
    <w:rsid w:val="78174088"/>
    <w:rsid w:val="782D178F"/>
    <w:rsid w:val="783C589D"/>
    <w:rsid w:val="78A97A5F"/>
    <w:rsid w:val="78C7785D"/>
    <w:rsid w:val="78D36201"/>
    <w:rsid w:val="78EC1071"/>
    <w:rsid w:val="790F6B0E"/>
    <w:rsid w:val="792620AF"/>
    <w:rsid w:val="79C922CD"/>
    <w:rsid w:val="79DC7338"/>
    <w:rsid w:val="7A0348C4"/>
    <w:rsid w:val="7A150154"/>
    <w:rsid w:val="7A5C2B58"/>
    <w:rsid w:val="7A8A28F0"/>
    <w:rsid w:val="7AF91AC4"/>
    <w:rsid w:val="7B035A61"/>
    <w:rsid w:val="7B2E3BC3"/>
    <w:rsid w:val="7B904EA5"/>
    <w:rsid w:val="7BF24BF0"/>
    <w:rsid w:val="7C09112C"/>
    <w:rsid w:val="7C127041"/>
    <w:rsid w:val="7C490589"/>
    <w:rsid w:val="7C6B04FF"/>
    <w:rsid w:val="7C7E6484"/>
    <w:rsid w:val="7CBB76D8"/>
    <w:rsid w:val="7CF16C56"/>
    <w:rsid w:val="7D225061"/>
    <w:rsid w:val="7D2F777E"/>
    <w:rsid w:val="7D521855"/>
    <w:rsid w:val="7D623654"/>
    <w:rsid w:val="7D7B29C4"/>
    <w:rsid w:val="7DC861E9"/>
    <w:rsid w:val="7E257EF5"/>
    <w:rsid w:val="7E466AB8"/>
    <w:rsid w:val="7EA877E8"/>
    <w:rsid w:val="7EB22415"/>
    <w:rsid w:val="7EBE0DBA"/>
    <w:rsid w:val="7EC871EC"/>
    <w:rsid w:val="7EDB5E10"/>
    <w:rsid w:val="7EF944E8"/>
    <w:rsid w:val="7F741DC0"/>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rPr>
      <w:sz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6c9195f8-b69f-498b-bbf5-ca727fd4d966}"/>
        <w:style w:val=""/>
        <w:category>
          <w:name w:val="常规"/>
          <w:gallery w:val="placeholder"/>
        </w:category>
        <w:types>
          <w:type w:val="bbPlcHdr"/>
        </w:types>
        <w:behaviors>
          <w:behavior w:val="content"/>
        </w:behaviors>
        <w:description w:val=""/>
        <w:guid w:val="{6C9195F8-B69F-498B-BBF5-CA727FD4D966}"/>
      </w:docPartPr>
      <w:docPartBody>
        <w:p w14:paraId="1ED0CFD2">
          <w:r>
            <w:rPr>
              <w:color w:val="808080"/>
              <w:highlight w:val="lightGray"/>
            </w:rPr>
            <w:t xml:space="preserve">   </w:t>
          </w:r>
        </w:p>
      </w:docPartBody>
    </w:docPart>
    <w:docPart>
      <w:docPartPr>
        <w:name w:val="{67d0d06c-ef95-4110-8830-86c9be6c5241}"/>
        <w:style w:val=""/>
        <w:category>
          <w:name w:val="常规"/>
          <w:gallery w:val="placeholder"/>
        </w:category>
        <w:types>
          <w:type w:val="bbPlcHdr"/>
        </w:types>
        <w:behaviors>
          <w:behavior w:val="content"/>
        </w:behaviors>
        <w:description w:val=""/>
        <w:guid w:val="{67D0D06C-EF95-4110-8830-86C9BE6C5241}"/>
      </w:docPartPr>
      <w:docPartBody>
        <w:p w14:paraId="4470B628">
          <w:r>
            <w:rPr>
              <w:color w:val="808080"/>
            </w:rPr>
            <w:t>单击此处输入文字。</w:t>
          </w:r>
        </w:p>
      </w:docPartBody>
    </w:docPart>
    <w:docPart>
      <w:docPartPr>
        <w:name w:val="{8b93df19-d3a2-4cf6-af64-545a8cba65b9}"/>
        <w:style w:val=""/>
        <w:category>
          <w:name w:val="常规"/>
          <w:gallery w:val="placeholder"/>
        </w:category>
        <w:types>
          <w:type w:val="bbPlcHdr"/>
        </w:types>
        <w:behaviors>
          <w:behavior w:val="content"/>
        </w:behaviors>
        <w:description w:val=""/>
        <w:guid w:val="{8B93DF19-D3A2-4CF6-AF64-545A8CBA65B9}"/>
      </w:docPartPr>
      <w:docPartBody>
        <w:p w14:paraId="7CD04F22">
          <w:r>
            <w:rPr>
              <w:color w:val="808080"/>
            </w:rPr>
            <w:t>点击此处添加与国际标准一致性程度的标识</w:t>
          </w:r>
        </w:p>
      </w:docPartBody>
    </w:docPart>
    <w:docPart>
      <w:docPartPr>
        <w:name w:val="{0c871f9c-2089-4eac-b6ff-a01e24a2ff32}"/>
        <w:style w:val=""/>
        <w:category>
          <w:name w:val="常规"/>
          <w:gallery w:val="placeholder"/>
        </w:category>
        <w:types>
          <w:type w:val="bbPlcHdr"/>
        </w:types>
        <w:behaviors>
          <w:behavior w:val="content"/>
        </w:behaviors>
        <w:description w:val=""/>
        <w:guid w:val="{0C871F9C-2089-4EAC-B6FF-A01E24A2FF32}"/>
      </w:docPartPr>
      <w:docPartBody>
        <w:p w14:paraId="0F292B6B">
          <w:r>
            <w:rPr>
              <w:color w:val="808080"/>
            </w:rPr>
            <w:t>选择一项。</w:t>
          </w:r>
        </w:p>
      </w:docPartBody>
    </w:docPart>
    <w:docPart>
      <w:docPartPr>
        <w:name w:val="{ffc36ac9-555f-4fb4-b39b-c9c42afd0a0b}"/>
        <w:style w:val=""/>
        <w:category>
          <w:name w:val="常规"/>
          <w:gallery w:val="placeholder"/>
        </w:category>
        <w:types>
          <w:type w:val="bbPlcHdr"/>
        </w:types>
        <w:behaviors>
          <w:behavior w:val="content"/>
        </w:behaviors>
        <w:description w:val=""/>
        <w:guid w:val="{FFC36AC9-555F-4FB4-B39B-C9C42AFD0A0B}"/>
      </w:docPartPr>
      <w:docPartBody>
        <w:p w14:paraId="71E9D27C">
          <w:r>
            <w:rPr>
              <w:color w:val="808080"/>
            </w:rPr>
            <w:t>XXXX</w:t>
          </w:r>
        </w:p>
      </w:docPartBody>
    </w:docPart>
    <w:docPart>
      <w:docPartPr>
        <w:name w:val="{42e85895-5a69-4c5f-8435-6aa174df825e}"/>
        <w:style w:val=""/>
        <w:category>
          <w:name w:val="常规"/>
          <w:gallery w:val="placeholder"/>
        </w:category>
        <w:types>
          <w:type w:val="bbPlcHdr"/>
        </w:types>
        <w:behaviors>
          <w:behavior w:val="content"/>
        </w:behaviors>
        <w:description w:val=""/>
        <w:guid w:val="{42E85895-5A69-4C5F-8435-6AA174DF825E}"/>
      </w:docPartPr>
      <w:docPartBody>
        <w:p w14:paraId="525DAB74">
          <w:r>
            <w:rPr>
              <w:color w:val="808080"/>
            </w:rPr>
            <w:t>XXXX</w:t>
          </w:r>
        </w:p>
      </w:docPartBody>
    </w:docPart>
    <w:docPart>
      <w:docPartPr>
        <w:name w:val="{b7d6c8d2-2f40-43d5-8c2f-656491101695}"/>
        <w:style w:val=""/>
        <w:category>
          <w:name w:val="常规"/>
          <w:gallery w:val="placeholder"/>
        </w:category>
        <w:types>
          <w:type w:val="bbPlcHdr"/>
        </w:types>
        <w:behaviors>
          <w:behavior w:val="content"/>
        </w:behaviors>
        <w:description w:val=""/>
        <w:guid w:val="{B7D6C8D2-2F40-43D5-8C2F-656491101695}"/>
      </w:docPartPr>
      <w:docPartBody>
        <w:p w14:paraId="29070DE0">
          <w:r>
            <w:rPr>
              <w:rFonts w:hint="eastAsia"/>
              <w:color w:val="808080"/>
              <w:highlight w:val="lightGray"/>
            </w:rPr>
            <w:t xml:space="preserve">   </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d796bbc5-5406-4888-b2f3-c36bbee649d3}"/>
        <w:style w:val=""/>
        <w:category>
          <w:name w:val="常规"/>
          <w:gallery w:val="placeholder"/>
        </w:category>
        <w:types>
          <w:type w:val="bbPlcHdr"/>
        </w:types>
        <w:behaviors>
          <w:behavior w:val="content"/>
        </w:behaviors>
        <w:description w:val=""/>
        <w:guid w:val="{D796BBC5-5406-4888-B2F3-C36BBEE649D3}"/>
      </w:docPartPr>
      <w:docPartBody>
        <w:p w14:paraId="49C97547">
          <w:r>
            <w:rPr>
              <w:color w:val="808080"/>
            </w:rPr>
            <w:t>单击此处输入文字。</w:t>
          </w:r>
        </w:p>
      </w:docPartBody>
    </w:docPart>
    <w:docPart>
      <w:docPartPr>
        <w:name w:val="{a159c448-9bec-458e-ba63-7bdd8bfb8f76}"/>
        <w:style w:val=""/>
        <w:category>
          <w:name w:val="常规"/>
          <w:gallery w:val="placeholder"/>
        </w:category>
        <w:types>
          <w:type w:val="bbPlcHdr"/>
        </w:types>
        <w:behaviors>
          <w:behavior w:val="content"/>
        </w:behaviors>
        <w:description w:val=""/>
        <w:guid w:val="{A159C448-9BEC-458E-BA63-7BDD8BFB8F76}"/>
      </w:docPartPr>
      <w:docPartBody>
        <w:p w14:paraId="7476E64E">
          <w:r>
            <w:rPr>
              <w:highlight w:val="lightGray"/>
              <w:lang w:val="fr-FR"/>
            </w:rPr>
            <w:t>XXXXX</w:t>
          </w:r>
        </w:p>
      </w:docPartBody>
    </w:docPart>
    <w:docPart>
      <w:docPartPr>
        <w:name w:val="{86a5e2ac-a33b-4672-9de4-69e66b7a0c36}"/>
        <w:style w:val=""/>
        <w:category>
          <w:name w:val="常规"/>
          <w:gallery w:val="placeholder"/>
        </w:category>
        <w:types>
          <w:type w:val="bbPlcHdr"/>
        </w:types>
        <w:behaviors>
          <w:behavior w:val="content"/>
        </w:behaviors>
        <w:description w:val=""/>
        <w:guid w:val="{86A5E2AC-A33B-4672-9DE4-69E66B7A0C36}"/>
      </w:docPartPr>
      <w:docPartBody>
        <w:p w14:paraId="4977FEF7">
          <w:r>
            <w:t>XXXX</w:t>
          </w:r>
        </w:p>
      </w:docPartBody>
    </w:docPart>
    <w:docPart>
      <w:docPartPr>
        <w:name w:val="{9ab45570-4d49-4a33-b76c-3b5a8a0b582b}"/>
        <w:style w:val=""/>
        <w:category>
          <w:name w:val="常规"/>
          <w:gallery w:val="placeholder"/>
        </w:category>
        <w:types>
          <w:type w:val="bbPlcHdr"/>
        </w:types>
        <w:behaviors>
          <w:behavior w:val="content"/>
        </w:behaviors>
        <w:description w:val=""/>
        <w:guid w:val="{9AB45570-4D49-4A33-B76C-3B5A8A0B582B}"/>
      </w:docPartPr>
      <w:docPartBody>
        <w:p w14:paraId="35F2B475">
          <w:r>
            <w:rPr>
              <w:rFonts w:hint="eastAsia"/>
            </w:rPr>
            <w:t>点击此处添加标准名称的英文译名</w:t>
          </w:r>
        </w:p>
      </w:docPartBody>
    </w:docPart>
    <w:docPart>
      <w:docPartPr>
        <w:name w:val="{6520bed0-204d-45ab-a9bc-07c512250680}"/>
        <w:style w:val=""/>
        <w:category>
          <w:name w:val="常规"/>
          <w:gallery w:val="placeholder"/>
        </w:category>
        <w:types>
          <w:type w:val="bbPlcHdr"/>
        </w:types>
        <w:behaviors>
          <w:behavior w:val="content"/>
        </w:behaviors>
        <w:description w:val=""/>
        <w:guid w:val="{6520BED0-204D-45AB-A9BC-07C512250680}"/>
      </w:docPartPr>
      <w:docPartBody>
        <w:p w14:paraId="1C2C336F">
          <w:r>
            <w:rPr>
              <w:color w:val="808080"/>
            </w:rPr>
            <w:t>XXXX</w:t>
          </w:r>
        </w:p>
      </w:docPartBody>
    </w:docPart>
    <w:docPart>
      <w:docPartPr>
        <w:name w:val="{8702d678-4b8d-4209-b0b4-982da1757ede}"/>
        <w:style w:val=""/>
        <w:category>
          <w:name w:val="常规"/>
          <w:gallery w:val="placeholder"/>
        </w:category>
        <w:types>
          <w:type w:val="bbPlcHdr"/>
        </w:types>
        <w:behaviors>
          <w:behavior w:val="content"/>
        </w:behaviors>
        <w:description w:val=""/>
        <w:guid w:val="{8702D678-4B8D-4209-B0B4-982DA1757EDE}"/>
      </w:docPartPr>
      <w:docPartBody>
        <w:p w14:paraId="72D9B6FE">
          <w:r>
            <w:rPr>
              <w:color w:val="808080"/>
            </w:rPr>
            <w:t>XX</w:t>
          </w:r>
        </w:p>
      </w:docPartBody>
    </w:docPart>
    <w:docPart>
      <w:docPartPr>
        <w:name w:val="{bbf84e9a-ea19-48ac-8602-fd706520c678}"/>
        <w:style w:val=""/>
        <w:category>
          <w:name w:val="常规"/>
          <w:gallery w:val="placeholder"/>
        </w:category>
        <w:types>
          <w:type w:val="bbPlcHdr"/>
        </w:types>
        <w:behaviors>
          <w:behavior w:val="content"/>
        </w:behaviors>
        <w:description w:val=""/>
        <w:guid w:val="{BBF84E9A-EA19-48AC-8602-FD706520C678}"/>
      </w:docPartPr>
      <w:docPartBody>
        <w:p w14:paraId="7E99E72F">
          <w:r>
            <w:rPr>
              <w:color w:val="808080"/>
            </w:rPr>
            <w:t>XX</w:t>
          </w:r>
        </w:p>
      </w:docPartBody>
    </w:docPart>
    <w:docPart>
      <w:docPartPr>
        <w:name w:val="{273c241a-3545-4cb8-b3e1-dccdf8af0dbb}"/>
        <w:style w:val=""/>
        <w:category>
          <w:name w:val="常规"/>
          <w:gallery w:val="placeholder"/>
        </w:category>
        <w:types>
          <w:type w:val="bbPlcHdr"/>
        </w:types>
        <w:behaviors>
          <w:behavior w:val="content"/>
        </w:behaviors>
        <w:description w:val=""/>
        <w:guid w:val="{273C241A-3545-4CB8-B3E1-DCCDF8AF0DBB}"/>
      </w:docPartPr>
      <w:docPartBody>
        <w:p w14:paraId="683DFD99">
          <w:r>
            <w:rPr>
              <w:color w:val="808080"/>
            </w:rPr>
            <w:t>XXXX</w:t>
          </w:r>
        </w:p>
      </w:docPartBody>
    </w:docPart>
    <w:docPart>
      <w:docPartPr>
        <w:name w:val="{decab8c0-5632-48ca-8dfa-65fd198c0a0f}"/>
        <w:style w:val=""/>
        <w:category>
          <w:name w:val="常规"/>
          <w:gallery w:val="placeholder"/>
        </w:category>
        <w:types>
          <w:type w:val="bbPlcHdr"/>
        </w:types>
        <w:behaviors>
          <w:behavior w:val="content"/>
        </w:behaviors>
        <w:description w:val=""/>
        <w:guid w:val="{DECAB8C0-5632-48CA-8DFA-65FD198C0A0F}"/>
      </w:docPartPr>
      <w:docPartBody>
        <w:p w14:paraId="0171AE19">
          <w:r>
            <w:rPr>
              <w:color w:val="808080"/>
            </w:rPr>
            <w:t>XX</w:t>
          </w:r>
        </w:p>
      </w:docPartBody>
    </w:docPart>
    <w:docPart>
      <w:docPartPr>
        <w:name w:val="{c4a20def-b4d2-4544-90c6-0a5a54de817a}"/>
        <w:style w:val=""/>
        <w:category>
          <w:name w:val="常规"/>
          <w:gallery w:val="placeholder"/>
        </w:category>
        <w:types>
          <w:type w:val="bbPlcHdr"/>
        </w:types>
        <w:behaviors>
          <w:behavior w:val="content"/>
        </w:behaviors>
        <w:description w:val=""/>
        <w:guid w:val="{C4A20DEF-B4D2-4544-90C6-0A5A54DE817A}"/>
      </w:docPartPr>
      <w:docPartBody>
        <w:p w14:paraId="68E7291A">
          <w:r>
            <w:rPr>
              <w:color w:val="808080"/>
            </w:rPr>
            <w:t>XX</w:t>
          </w:r>
        </w:p>
      </w:docPartBody>
    </w:docPart>
    <w:docPart>
      <w:docPartPr>
        <w:name w:val="{5effb42c-7e4b-4748-a553-1e3ed4a8a110}"/>
        <w:style w:val=""/>
        <w:category>
          <w:name w:val="常规"/>
          <w:gallery w:val="placeholder"/>
        </w:category>
        <w:types>
          <w:type w:val="bbPlcHdr"/>
        </w:types>
        <w:behaviors>
          <w:behavior w:val="content"/>
        </w:behaviors>
        <w:description w:val=""/>
        <w:guid w:val="{5EFFB42C-7E4B-4748-A553-1E3ED4A8A110}"/>
      </w:docPartPr>
      <w:docPartBody>
        <w:p w14:paraId="6347BD11">
          <w:r>
            <w:rPr>
              <w:color w:val="808080"/>
            </w:rPr>
            <w:t>WebOf79fewx</w:t>
          </w:r>
        </w:p>
      </w:docPartBody>
    </w:docPart>
    <w:docPart>
      <w:docPartPr>
        <w:name w:val="{6006c831-1dff-4344-a30e-bd1d19dbe4b1}"/>
        <w:style w:val=""/>
        <w:category>
          <w:name w:val="常规"/>
          <w:gallery w:val="placeholder"/>
        </w:category>
        <w:types>
          <w:type w:val="bbPlcHdr"/>
        </w:types>
        <w:behaviors>
          <w:behavior w:val="content"/>
        </w:behaviors>
        <w:description w:val=""/>
        <w:guid w:val="{6006C831-1DFF-4344-A30E-BD1D19DBE4B1}"/>
      </w:docPartPr>
      <w:docPartBody>
        <w:p w14:paraId="3BDB9293">
          <w:r>
            <w:rPr>
              <w:color w:val="808080"/>
            </w:rPr>
            <w:t>选择一项。</w:t>
          </w:r>
        </w:p>
      </w:docPartBody>
    </w:docPart>
    <w:docPart>
      <w:docPartPr>
        <w:name w:val="{1f1e0937-a82e-4ec8-9be4-fd84868de435}"/>
        <w:style w:val=""/>
        <w:category>
          <w:name w:val="常规"/>
          <w:gallery w:val="placeholder"/>
        </w:category>
        <w:types>
          <w:type w:val="bbPlcHdr"/>
        </w:types>
        <w:behaviors>
          <w:behavior w:val="content"/>
        </w:behaviors>
        <w:description w:val=""/>
        <w:guid w:val="{1F1E0937-A82E-4EC8-9BE4-FD84868DE435}"/>
      </w:docPartPr>
      <w:docPartBody>
        <w:p w14:paraId="7F356ED4">
          <w:r>
            <w:rPr>
              <w:rFonts w:hint="eastAsia" w:ascii="黑体" w:hAnsi="黑体" w:eastAsia="黑体" w:cs="黑体"/>
              <w:spacing w:val="227"/>
              <w:sz w:val="160"/>
              <w:szCs w:val="160"/>
            </w:rPr>
            <w:t>XX</w:t>
          </w:r>
        </w:p>
      </w:docPartBody>
    </w:docPart>
    <w:docPart>
      <w:docPartPr>
        <w:name w:val="{49969bb0-c0e8-49c0-a6f1-0eb642947298}"/>
        <w:style w:val=""/>
        <w:category>
          <w:name w:val="常规"/>
          <w:gallery w:val="placeholder"/>
        </w:category>
        <w:types>
          <w:type w:val="bbPlcHdr"/>
        </w:types>
        <w:behaviors>
          <w:behavior w:val="content"/>
        </w:behaviors>
        <w:description w:val=""/>
        <w:guid w:val="{49969BB0-C0E8-49C0-A6F1-0EB642947298}"/>
      </w:docPartPr>
      <w:docPartBody>
        <w:p w14:paraId="017D9E9B"/>
      </w:docPartBody>
    </w:docPart>
    <w:docPart>
      <w:docPartPr>
        <w:name w:val="{0b929a9d-a2f7-4fb8-8621-155619d1cec5}"/>
        <w:style w:val=""/>
        <w:category>
          <w:name w:val="常规"/>
          <w:gallery w:val="placeholder"/>
        </w:category>
        <w:types>
          <w:type w:val="bbPlcHdr"/>
        </w:types>
        <w:behaviors>
          <w:behavior w:val="content"/>
        </w:behaviors>
        <w:description w:val=""/>
        <w:guid w:val="{0B929A9D-A2F7-4FB8-8621-155619D1CEC5}"/>
      </w:docPartPr>
      <w:docPartBody>
        <w:p w14:paraId="2236A23D">
          <w:r>
            <w:rPr>
              <w:color w:val="808080"/>
            </w:rPr>
            <w:t>单击此处输入文字。</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11</Pages>
  <Words>5630</Words>
  <Characters>6670</Characters>
  <Lines>70</Lines>
  <Paragraphs>19</Paragraphs>
  <TotalTime>3</TotalTime>
  <ScaleCrop>false</ScaleCrop>
  <LinksUpToDate>false</LinksUpToDate>
  <CharactersWithSpaces>6970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WPS_1601460063</cp:lastModifiedBy>
  <cp:lastPrinted>2021-02-02T08:18:00Z</cp:lastPrinted>
  <dcterms:modified xsi:type="dcterms:W3CDTF">2025-11-21T02:03:25Z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2052-12.1.0.23542</vt:lpwstr>
  </property>
  <property fmtid="{D5CDD505-2E9C-101B-9397-08002B2CF9AE}" pid="15" name="ICV">
    <vt:lpwstr>1C032292553B4FB3A57141E7C9F61B0B_13</vt:lpwstr>
  </property>
  <property fmtid="{D5CDD505-2E9C-101B-9397-08002B2CF9AE}" pid="16" name="KSOTemplateDocerSaveRecord">
    <vt:lpwstr>eyJoZGlkIjoiZjg4ZGUzMmU5ZDk0M2FjMzAzOTBhZmQxMjNkNTk0NTYiLCJ1c2VySWQiOiIxMTI2MDc5Mjc4In0=</vt:lpwstr>
  </property>
</Properties>
</file>