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C77C8">
      <w:pPr>
        <w:framePr w:w="2268" w:h="1134" w:hRule="exact" w:vSpace="181" w:wrap="around" w:vAnchor="page" w:hAnchor="page" w:x="8165" w:y="738" w:anchorLock="1"/>
        <w:spacing w:line="240" w:lineRule="atLeast"/>
        <w:rPr>
          <w:rFonts w:ascii="黑体" w:hAnsi="黑体" w:eastAsia="黑体" w:cs="黑体"/>
          <w:sz w:val="112"/>
          <w:szCs w:val="112"/>
        </w:rPr>
      </w:pPr>
      <w:sdt>
        <w:sdtPr>
          <w:rPr>
            <w:rFonts w:hint="eastAsia" w:ascii="Times New Roman" w:hAnsi="Times New Roman" w:eastAsia="宋体" w:cs="Times New Roman"/>
            <w:b/>
            <w:w w:val="150"/>
            <w:kern w:val="0"/>
            <w:sz w:val="96"/>
            <w:szCs w:val="96"/>
            <w:lang w:val="en-US" w:eastAsia="zh-CN" w:bidi="ar-SA"/>
          </w:rPr>
          <w:id w:val="147454156"/>
          <w:placeholder>
            <w:docPart w:val="{1f1e0937-a82e-4ec8-9be4-fd84868de435}"/>
          </w:placeholder>
          <w:text/>
        </w:sdtPr>
        <w:sdtEndPr>
          <w:rPr>
            <w:rFonts w:hint="eastAsia" w:ascii="黑体" w:hAnsi="黑体" w:eastAsia="黑体" w:cs="黑体"/>
            <w:b/>
            <w:w w:val="150"/>
            <w:kern w:val="0"/>
            <w:sz w:val="112"/>
            <w:szCs w:val="112"/>
            <w:lang w:val="en-US" w:eastAsia="zh-CN" w:bidi="ar-SA"/>
          </w:rPr>
        </w:sdtEndPr>
        <w:sdtContent>
          <w:bookmarkStart w:id="0" w:name="_Hlk26473981"/>
          <w:r>
            <w:rPr>
              <w:rFonts w:hint="eastAsia" w:ascii="Times New Roman" w:hAnsi="Times New Roman" w:cs="Times New Roman"/>
              <w:b/>
              <w:w w:val="150"/>
              <w:kern w:val="0"/>
              <w:sz w:val="96"/>
              <w:szCs w:val="96"/>
              <w:lang w:val="en-US" w:eastAsia="zh-CN" w:bidi="ar-SA"/>
            </w:rPr>
            <w:t>T</w:t>
          </w:r>
        </w:sdtContent>
      </w:sdt>
    </w:p>
    <w:p w14:paraId="793C0001">
      <w:pPr>
        <w:pStyle w:val="55"/>
        <w:framePr w:h="624" w:hRule="exact" w:hSpace="181" w:vSpace="181" w:wrap="around" w:hAnchor="page" w:x="1418" w:y="2269"/>
        <w:rPr>
          <w:rFonts w:ascii="黑体" w:hAnsi="黑体" w:eastAsia="黑体"/>
          <w:b w:val="0"/>
          <w:bCs w:val="0"/>
          <w:w w:val="100"/>
          <w:sz w:val="48"/>
          <w:szCs w:val="48"/>
        </w:rPr>
      </w:pPr>
      <w:sdt>
        <w:sdtPr>
          <w:rPr>
            <w:rFonts w:hint="eastAsia" w:ascii="黑体" w:hAnsi="黑体" w:eastAsia="黑体"/>
            <w:b w:val="0"/>
            <w:bCs w:val="0"/>
            <w:w w:val="100"/>
            <w:sz w:val="48"/>
            <w:szCs w:val="48"/>
          </w:rPr>
          <w:id w:val="147474807"/>
          <w:placeholder>
            <w:docPart w:val="{49969bb0-c0e8-49c0-a6f1-0eb642947298}"/>
          </w:placeholder>
          <w:text/>
        </w:sdtPr>
        <w:sdtEndPr>
          <w:rPr>
            <w:rFonts w:hint="eastAsia" w:ascii="黑体" w:hAnsi="黑体" w:eastAsia="黑体"/>
            <w:b w:val="0"/>
            <w:bCs w:val="0"/>
            <w:w w:val="100"/>
            <w:sz w:val="48"/>
            <w:szCs w:val="48"/>
          </w:rPr>
        </w:sdtEndPr>
        <w:sdtContent>
          <w:r>
            <w:rPr>
              <w:rFonts w:hint="eastAsia" w:ascii="黑体" w:hAnsi="黑体" w:eastAsia="黑体"/>
              <w:b w:val="0"/>
              <w:bCs w:val="0"/>
              <w:w w:val="100"/>
              <w:sz w:val="48"/>
              <w:szCs w:val="48"/>
              <w:lang w:val="en-US" w:eastAsia="zh-CN"/>
            </w:rPr>
            <w:t>团体</w:t>
          </w:r>
          <w:r>
            <w:rPr>
              <w:rFonts w:hint="eastAsia" w:ascii="黑体" w:hAnsi="黑体" w:eastAsia="黑体"/>
              <w:b w:val="0"/>
              <w:bCs w:val="0"/>
              <w:w w:val="100"/>
              <w:sz w:val="48"/>
              <w:szCs w:val="48"/>
            </w:rPr>
            <w:t>标准</w:t>
          </w:r>
        </w:sdtContent>
      </w:sdt>
    </w:p>
    <w:bookmarkEnd w:id="0"/>
    <w:p w14:paraId="0DD92A17">
      <w:pPr>
        <w:pStyle w:val="200"/>
        <w:outlineLvl w:val="0"/>
      </w:pPr>
      <w:r>
        <w:rPr>
          <w:rFonts w:hint="eastAsia"/>
        </w:rPr>
        <w:t xml:space="preserve">  </w:t>
      </w:r>
      <w:bookmarkStart w:id="1" w:name="_Toc9063"/>
      <w:bookmarkStart w:id="2" w:name="_Toc1598"/>
      <w:bookmarkStart w:id="3" w:name="_Toc231"/>
      <w:bookmarkStart w:id="4" w:name="_Toc26182"/>
      <w:bookmarkStart w:id="5" w:name="_Toc13315"/>
      <w:bookmarkStart w:id="6" w:name="_Toc4526"/>
      <w:bookmarkStart w:id="7" w:name="_Toc8719"/>
      <w:bookmarkStart w:id="8" w:name="_Toc14530"/>
      <w:bookmarkStart w:id="9" w:name="_Toc13891"/>
      <w:sdt>
        <w:sdtPr>
          <w:tag w:val="xxyemei"/>
          <w:id w:val="147451455"/>
          <w:placeholder>
            <w:docPart w:val="{d796bbc5-5406-4888-b2f3-c36bbee649d3}"/>
          </w:placeholder>
          <w:text/>
        </w:sdtPr>
        <w:sdtEndPr>
          <w:rPr>
            <w:rFonts w:hint="eastAsia"/>
          </w:rPr>
        </w:sdtEndPr>
        <w:sdtContent>
          <w:r>
            <w:rPr>
              <w:rFonts w:hint="eastAsia"/>
              <w:highlight w:val="lightGray"/>
            </w:rPr>
            <w:t>T</w:t>
          </w:r>
        </w:sdtContent>
      </w:sdt>
      <w:r>
        <w:rPr>
          <w:rFonts w:hint="eastAsia"/>
        </w:rPr>
        <w:t xml:space="preserve"> </w:t>
      </w:r>
      <w:sdt>
        <w:sdtPr>
          <w:rPr>
            <w:rFonts w:hint="eastAsia"/>
          </w:rPr>
          <w:tag w:val="xxyemei1"/>
          <w:id w:val="147451269"/>
          <w:placeholder>
            <w:docPart w:val="{a159c448-9bec-458e-ba63-7bdd8bfb8f76}"/>
          </w:placeholder>
          <w:showingPlcHdr/>
          <w:text/>
        </w:sdtPr>
        <w:sdtEndPr>
          <w:rPr>
            <w:rFonts w:hint="eastAsia"/>
          </w:rPr>
        </w:sdtEndPr>
        <w:sdtContent>
          <w:r>
            <w:rPr>
              <w:highlight w:val="lightGray"/>
              <w:lang w:val="fr-FR"/>
            </w:rPr>
            <w:t>XXXXX</w:t>
          </w:r>
        </w:sdtContent>
      </w:sdt>
      <w:r>
        <w:rPr>
          <w:rFonts w:hAnsi="黑体"/>
          <w:lang w:val="fr-FR"/>
        </w:rPr>
        <w:t>—</w:t>
      </w:r>
      <w:sdt>
        <w:sdtPr>
          <w:rPr>
            <w:rFonts w:hAnsi="黑体"/>
          </w:rPr>
          <w:tag w:val="xxyemei2"/>
          <w:id w:val="147456507"/>
          <w:placeholder>
            <w:docPart w:val="{86a5e2ac-a33b-4672-9de4-69e66b7a0c36}"/>
          </w:placeholder>
          <w:text/>
        </w:sdtPr>
        <w:sdtEndPr>
          <w:rPr>
            <w:rFonts w:hAnsi="黑体"/>
          </w:rPr>
        </w:sdtEndPr>
        <w:sdtContent>
          <w:r>
            <w:rPr>
              <w:rFonts w:hint="eastAsia"/>
              <w:highlight w:val="lightGray"/>
            </w:rPr>
            <w:t>202X</w:t>
          </w:r>
        </w:sdtContent>
      </w:sdt>
      <w:bookmarkEnd w:id="1"/>
      <w:bookmarkEnd w:id="2"/>
      <w:bookmarkEnd w:id="3"/>
      <w:bookmarkEnd w:id="4"/>
      <w:bookmarkEnd w:id="5"/>
      <w:bookmarkEnd w:id="6"/>
      <w:bookmarkEnd w:id="7"/>
      <w:bookmarkEnd w:id="8"/>
      <w:bookmarkEnd w:id="9"/>
    </w:p>
    <w:p w14:paraId="5F307445">
      <w:pPr>
        <w:pStyle w:val="201"/>
        <w:rPr>
          <w:rFonts w:hAnsi="宋体"/>
          <w:lang w:val="fr-FR" w:bidi="ar"/>
        </w:rPr>
      </w:pPr>
      <w:sdt>
        <w:sdtPr>
          <w:rPr>
            <w:rFonts w:hint="eastAsia" w:hAnsi="宋体"/>
            <w:lang w:bidi="ar"/>
          </w:rPr>
          <w:tag w:val="daiTihangye"/>
          <w:id w:val="147453898"/>
          <w:placeholder>
            <w:docPart w:val="{6c9195f8-b69f-498b-bbf5-ca727fd4d966}"/>
          </w:placeholder>
          <w:showingPlcHdr/>
        </w:sdtPr>
        <w:sdtEndPr>
          <w:rPr>
            <w:rFonts w:hint="eastAsia" w:hAnsi="宋体"/>
            <w:lang w:bidi="ar"/>
          </w:rPr>
        </w:sdtEndPr>
        <w:sdtContent>
          <w:r>
            <w:rPr>
              <w:color w:val="808080"/>
              <w:highlight w:val="lightGray"/>
            </w:rPr>
            <w:t xml:space="preserve">   </w:t>
          </w:r>
        </w:sdtContent>
      </w:sdt>
    </w:p>
    <w:sdt>
      <w:sdtPr>
        <w:rPr>
          <w:rFonts w:ascii="黑体" w:hAnsi="宋体" w:eastAsia="黑体" w:cs="黑体"/>
          <w:sz w:val="21"/>
          <w:szCs w:val="21"/>
          <w:lang w:bidi="ar"/>
        </w:rPr>
        <w:id w:val="147462448"/>
        <w:placeholder>
          <w:docPart w:val="{0b929a9d-a2f7-4fb8-8621-155619d1cec5}"/>
        </w:placeholder>
      </w:sdtPr>
      <w:sdtEndPr>
        <w:rPr>
          <w:rFonts w:ascii="黑体" w:hAnsi="宋体" w:eastAsia="黑体" w:cs="黑体"/>
          <w:b/>
          <w:bCs/>
          <w:sz w:val="21"/>
          <w:szCs w:val="21"/>
          <w:lang w:bidi="ar"/>
        </w:rPr>
      </w:sdtEndPr>
      <w:sdtContent>
        <w:p w14:paraId="60E95295">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ICS </w:t>
          </w:r>
          <w:r>
            <w:rPr>
              <w:rFonts w:hint="eastAsia" w:ascii="黑体" w:hAnsi="黑体" w:eastAsia="黑体"/>
              <w:sz w:val="21"/>
              <w:szCs w:val="21"/>
              <w:lang w:val="en-US" w:eastAsia="zh-CN"/>
            </w:rPr>
            <w:t>29.240</w:t>
          </w:r>
        </w:p>
        <w:p w14:paraId="7211FDF6">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CCS </w:t>
          </w:r>
          <w:r>
            <w:rPr>
              <w:rFonts w:hint="eastAsia" w:ascii="黑体" w:hAnsi="黑体" w:eastAsia="黑体"/>
              <w:sz w:val="21"/>
              <w:szCs w:val="21"/>
              <w:lang w:val="en-US" w:eastAsia="zh-CN"/>
            </w:rPr>
            <w:t>F 20</w:t>
          </w:r>
        </w:p>
        <w:p w14:paraId="3748AC6C">
          <w:pPr>
            <w:pStyle w:val="19"/>
            <w:framePr w:w="5505" w:h="900" w:hRule="exact" w:wrap="notBeside" w:vAnchor="page" w:hAnchor="page" w:x="1418" w:y="568"/>
            <w:tabs>
              <w:tab w:val="clear" w:pos="4153"/>
              <w:tab w:val="clear" w:pos="8306"/>
            </w:tabs>
            <w:spacing w:line="240" w:lineRule="auto"/>
            <w:ind w:left="3"/>
            <w:jc w:val="left"/>
            <w:rPr>
              <w:rFonts w:ascii="黑体" w:hAnsi="宋体" w:eastAsia="黑体" w:cs="黑体"/>
              <w:b/>
              <w:bCs/>
              <w:sz w:val="21"/>
              <w:szCs w:val="21"/>
              <w:lang w:bidi="ar"/>
            </w:rPr>
          </w:pPr>
        </w:p>
      </w:sdtContent>
    </w:sdt>
    <w:p w14:paraId="7A0B6DD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81E3AB">
      <w:pPr>
        <w:pStyle w:val="55"/>
        <w:framePr w:w="9639" w:h="6976" w:hRule="exact" w:hSpace="0" w:vSpace="0" w:wrap="around" w:hAnchor="page" w:y="6408"/>
        <w:jc w:val="center"/>
        <w:rPr>
          <w:rFonts w:ascii="黑体" w:hAnsi="黑体" w:eastAsia="黑体"/>
          <w:b w:val="0"/>
          <w:bCs w:val="0"/>
          <w:w w:val="100"/>
          <w:lang w:val="fr-FR"/>
        </w:rPr>
      </w:pPr>
    </w:p>
    <w:p w14:paraId="4907D5B0">
      <w:pPr>
        <w:pStyle w:val="202"/>
        <w:framePr w:w="9638" w:h="6973" w:hRule="exact" w:wrap="around" w:x="1418" w:y="6407"/>
        <w:rPr>
          <w:rFonts w:hint="eastAsia" w:hAnsi="宋体"/>
          <w:lang w:bidi="ar"/>
        </w:rPr>
      </w:pPr>
      <w:sdt>
        <w:sdtPr>
          <w:rPr>
            <w:rFonts w:hint="eastAsia" w:hAnsi="宋体"/>
            <w:lang w:bidi="ar"/>
          </w:rPr>
          <w:id w:val="147453738"/>
          <w:placeholder>
            <w:docPart w:val="{67d0d06c-ef95-4110-8830-86c9be6c5241}"/>
          </w:placeholder>
        </w:sdtPr>
        <w:sdtEndPr>
          <w:rPr>
            <w:rFonts w:hint="eastAsia" w:hAnsi="宋体"/>
            <w:lang w:bidi="ar"/>
          </w:rPr>
        </w:sdtEndPr>
        <w:sdtContent>
          <w:sdt>
            <w:sdtPr>
              <w:rPr>
                <w:rFonts w:hint="eastAsia" w:hAnsi="宋体"/>
                <w:lang w:bidi="ar"/>
              </w:rPr>
              <w:tag w:val="standardName"/>
              <w:id w:val="147453696"/>
              <w:placeholder>
                <w:docPart w:val="{a72764c1-cf59-4924-8622-8227e1039431}"/>
              </w:placeholder>
            </w:sdtPr>
            <w:sdtEndPr>
              <w:rPr>
                <w:rFonts w:hint="eastAsia" w:hAnsi="宋体"/>
                <w:lang w:bidi="ar"/>
              </w:rPr>
            </w:sdtEndPr>
            <w:sdtContent>
              <w:r>
                <w:rPr>
                  <w:rFonts w:hint="eastAsia" w:hAnsi="宋体"/>
                  <w:lang w:bidi="ar"/>
                </w:rPr>
                <w:t>防窃电智能电能计量箱技术要求</w:t>
              </w:r>
            </w:sdtContent>
          </w:sdt>
        </w:sdtContent>
      </w:sdt>
    </w:p>
    <w:p w14:paraId="4C9D8E1D">
      <w:pPr>
        <w:framePr w:w="9638" w:h="6973" w:hRule="exact" w:wrap="around" w:vAnchor="page" w:hAnchor="page" w:x="1418" w:y="6407"/>
        <w:ind w:left="-1418"/>
      </w:pPr>
    </w:p>
    <w:sdt>
      <w:sdtPr>
        <w:rPr>
          <w:rFonts w:hint="default" w:ascii="Times New Roman" w:hAnsi="Times New Roman" w:cs="Times New Roman"/>
        </w:rPr>
        <w:tag w:val="standardEnName"/>
        <w:id w:val="147463862"/>
        <w:placeholder>
          <w:docPart w:val="{9ab45570-4d49-4a33-b76c-3b5a8a0b582b}"/>
        </w:placeholder>
      </w:sdtPr>
      <w:sdtEndPr>
        <w:rPr>
          <w:rFonts w:hint="default" w:ascii="Times New Roman" w:hAnsi="Times New Roman" w:cs="Times New Roman"/>
        </w:rPr>
      </w:sdtEndPr>
      <w:sdtContent>
        <w:p w14:paraId="62BC622E">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r>
            <w:rPr>
              <w:rFonts w:hint="default" w:ascii="Times New Roman" w:hAnsi="Times New Roman" w:cs="Times New Roman"/>
            </w:rPr>
            <w:t>Technical requirements for anti-theft smart electricity metering boxes</w:t>
          </w:r>
        </w:p>
        <w:p w14:paraId="3030983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p w14:paraId="5361CBD2">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sdtContent>
    </w:sdt>
    <w:p w14:paraId="69D51698">
      <w:pPr>
        <w:framePr w:w="9638" w:h="6973" w:hRule="exact" w:wrap="around" w:vAnchor="page" w:hAnchor="page" w:x="1418" w:y="6407"/>
        <w:spacing w:line="760" w:lineRule="exact"/>
        <w:ind w:left="-1418"/>
      </w:pPr>
    </w:p>
    <w:p w14:paraId="2ED0C739">
      <w:pPr>
        <w:pStyle w:val="130"/>
        <w:framePr w:w="9638" w:h="6973" w:hRule="exact" w:wrap="around" w:vAnchor="page" w:hAnchor="page" w:x="1418" w:y="6407"/>
        <w:widowControl/>
        <w:textAlignment w:val="bottom"/>
        <w:rPr>
          <w:szCs w:val="28"/>
        </w:rPr>
      </w:pPr>
      <w:sdt>
        <w:sdtPr>
          <w:rPr>
            <w:rStyle w:val="237"/>
          </w:rPr>
          <w:tag w:val="biaoshi"/>
          <w:id w:val="147453493"/>
          <w:placeholder>
            <w:docPart w:val="{8b93df19-d3a2-4cf6-af64-545a8cba65b9}"/>
          </w:placeholder>
          <w:showingPlcHdr/>
        </w:sdtPr>
        <w:sdtEndPr>
          <w:rPr>
            <w:rStyle w:val="237"/>
            <w:rFonts w:ascii="Times New Roman" w:hAnsi="Times New Roman" w:cs="Times New Roman"/>
            <w:szCs w:val="28"/>
            <w:lang w:bidi="ar"/>
          </w:rPr>
        </w:sdtEndPr>
        <w:sdtContent>
          <w:r>
            <w:rPr>
              <w:color w:val="808080"/>
            </w:rPr>
            <w:t>点击此处添加与国际标准一致性程度的标识</w:t>
          </w:r>
        </w:sdtContent>
      </w:sdt>
    </w:p>
    <w:p w14:paraId="1A778ECE">
      <w:pPr>
        <w:pStyle w:val="130"/>
        <w:framePr w:w="9638" w:h="6973" w:hRule="exact" w:wrap="around" w:vAnchor="page" w:hAnchor="page" w:x="1418" w:y="6407"/>
        <w:widowControl/>
        <w:spacing w:before="180" w:line="240" w:lineRule="atLeast"/>
        <w:textAlignment w:val="bottom"/>
        <w:rPr>
          <w:rFonts w:ascii="Times New Roman" w:hAnsi="Times New Roman" w:eastAsia="宋体"/>
          <w:lang w:bidi="ar"/>
        </w:rPr>
      </w:pPr>
      <w:sdt>
        <w:sdtPr>
          <w:rPr>
            <w:rFonts w:hint="eastAsia" w:ascii="Times New Roman" w:hAnsi="Times New Roman" w:eastAsia="宋体"/>
            <w:lang w:bidi="ar"/>
          </w:rPr>
          <w:tag w:val="caoan"/>
          <w:id w:val="147454296"/>
          <w:placeholder>
            <w:docPart w:val="{5effb42c-7e4b-4748-a553-1e3ed4a8a110}"/>
          </w:placeholder>
          <w:dropDownList>
            <w:listItem w:displayText=" " w:value=" "/>
            <w:listItem w:displayText="草案版次选择" w:value="草案版次选择"/>
            <w:listItem w:displayText="（征求意见稿）" w:value="（征求意见稿）"/>
            <w:listItem w:displayText="（送审稿）" w:value="（送审稿）"/>
            <w:listItem w:displayText="（报批稿）" w:value="（报批稿）"/>
          </w:dropDownList>
        </w:sdtPr>
        <w:sdtEndPr>
          <w:rPr>
            <w:rFonts w:hint="eastAsia" w:ascii="Times New Roman" w:hAnsi="Times New Roman" w:eastAsia="宋体"/>
            <w:lang w:bidi="ar"/>
          </w:rPr>
        </w:sdtEndPr>
        <w:sdtContent>
          <w:r>
            <w:rPr>
              <w:rFonts w:hint="eastAsia" w:ascii="Times New Roman" w:hAnsi="Times New Roman" w:eastAsia="宋体"/>
              <w:lang w:bidi="ar"/>
            </w:rPr>
            <w:t>（征求意见稿）</w:t>
          </w:r>
        </w:sdtContent>
      </w:sdt>
    </w:p>
    <w:p w14:paraId="77AE380B">
      <w:pPr>
        <w:pStyle w:val="130"/>
        <w:framePr w:w="9638" w:h="6973" w:hRule="exact" w:wrap="around" w:vAnchor="page" w:hAnchor="page" w:x="1418" w:y="6407"/>
        <w:widowControl/>
        <w:spacing w:before="180" w:line="240" w:lineRule="atLeast"/>
        <w:textAlignment w:val="bottom"/>
        <w:rPr>
          <w:rFonts w:hAnsi="宋体"/>
          <w:bCs/>
          <w:sz w:val="21"/>
          <w:szCs w:val="28"/>
          <w:lang w:bidi="ar"/>
        </w:rPr>
      </w:pPr>
      <w:sdt>
        <w:sdtPr>
          <w:tag w:val="finishTime"/>
          <w:id w:val="147452740"/>
          <w:placeholder>
            <w:docPart w:val="{6006c831-1dff-4344-a30e-bd1d19dbe4b1}"/>
          </w:placeholder>
          <w:comboBox>
            <w:listItem w:displayText=" " w:value=" "/>
            <w:listItem w:displayText="（本草案完成时间：）" w:value="（本草案完成时间：）"/>
          </w:comboBox>
        </w:sdtPr>
        <w:sdtContent>
          <w:r>
            <w:rPr>
              <w:rFonts w:hint="eastAsia"/>
            </w:rPr>
            <w:t xml:space="preserve"> </w:t>
          </w:r>
        </w:sdtContent>
      </w:sdt>
    </w:p>
    <w:sdt>
      <w:sdtPr>
        <w:rPr>
          <w:rFonts w:ascii="Times New Roman" w:hAnsi="Times New Roman" w:eastAsia="宋体"/>
          <w:b/>
          <w:sz w:val="21"/>
          <w:szCs w:val="28"/>
        </w:rPr>
        <w:tag w:val="tishi"/>
        <w:id w:val="147479773"/>
        <w:placeholder>
          <w:docPart w:val="{0c871f9c-2089-4eac-b6ff-a01e24a2ff32}"/>
        </w:placeholder>
        <w:comboBox>
          <w:listItem w:displayText=" " w:value=" "/>
          <w:listItem w:displayText="在提交反馈意见时，请将您知道的相关专利连同支持性文件一并附上。" w:value="在提交反馈意见时，请将您知道的相关专利连同支持性文件一并附上。"/>
        </w:comboBox>
      </w:sdtPr>
      <w:sdtEndPr>
        <w:rPr>
          <w:rFonts w:ascii="Times New Roman" w:hAnsi="Times New Roman" w:eastAsia="宋体"/>
          <w:b/>
          <w:sz w:val="21"/>
          <w:szCs w:val="28"/>
        </w:rPr>
      </w:sdtEndPr>
      <w:sdtContent>
        <w:p w14:paraId="71A8FB93">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r>
            <w:rPr>
              <w:rFonts w:hint="eastAsia" w:ascii="Times New Roman" w:hAnsi="Times New Roman" w:eastAsia="宋体"/>
              <w:b/>
              <w:sz w:val="21"/>
              <w:szCs w:val="28"/>
            </w:rPr>
            <w:t xml:space="preserve"> </w:t>
          </w:r>
        </w:p>
      </w:sdtContent>
    </w:sdt>
    <w:p w14:paraId="7AC820B9">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p>
    <w:p w14:paraId="6A9C4FD1">
      <w:pPr>
        <w:pStyle w:val="198"/>
        <w:framePr w:wrap="around" w:y="14176"/>
      </w:pPr>
      <w:sdt>
        <w:sdtPr>
          <w:rPr>
            <w:rFonts w:hint="eastAsia" w:ascii="黑体" w:hAnsi="宋体"/>
            <w:bCs/>
            <w:szCs w:val="28"/>
            <w:lang w:val="fr" w:bidi="ar"/>
          </w:rPr>
          <w:tag w:val="standardNext"/>
          <w:id w:val="147476382"/>
          <w:placeholder>
            <w:docPart w:val="{ffc36ac9-555f-4fb4-b39b-c9c42afd0a0b}"/>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80417"/>
              <w:placeholder>
                <w:docPart w:val="{6520bed0-204d-45ab-a9bc-07c512250680}"/>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1029"/>
              <w:placeholder>
                <w:docPart w:val="{8702d678-4b8d-4209-b0b4-982da1757ede}"/>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79964"/>
              <w:placeholder>
                <w:docPart w:val="{bbf84e9a-ea19-48ac-8602-fd706520c678}"/>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rPr>
            <w:t>发布</w:t>
          </w:r>
        </w:sdtContent>
      </w:sdt>
    </w:p>
    <w:p w14:paraId="09AEF373">
      <w:pPr>
        <w:pStyle w:val="199"/>
        <w:framePr w:wrap="around" w:y="14176"/>
      </w:pPr>
      <w:sdt>
        <w:sdtPr>
          <w:rPr>
            <w:rFonts w:hint="eastAsia" w:ascii="黑体" w:hAnsi="宋体"/>
            <w:bCs/>
            <w:szCs w:val="28"/>
            <w:lang w:val="fr" w:bidi="ar"/>
          </w:rPr>
          <w:tag w:val="standardNext"/>
          <w:id w:val="147475347"/>
          <w:placeholder>
            <w:docPart w:val="{42e85895-5a69-4c5f-8435-6aa174df825e}"/>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64742"/>
              <w:placeholder>
                <w:docPart w:val="{273c241a-3545-4cb8-b3e1-dccdf8af0dbb}"/>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0824"/>
              <w:placeholder>
                <w:docPart w:val="{decab8c0-5632-48ca-8dfa-65fd198c0a0f}"/>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68566"/>
              <w:placeholder>
                <w:docPart w:val="{c4a20def-b4d2-4544-90c6-0a5a54de817a}"/>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w w:val="110"/>
            </w:rPr>
            <w:t>实施</w:t>
          </w:r>
        </w:sdtContent>
      </w:sdt>
    </w:p>
    <w:p w14:paraId="17BE332F">
      <w:pPr>
        <w:pStyle w:val="156"/>
        <w:framePr w:h="584" w:hRule="exact" w:hSpace="181" w:vSpace="181" w:wrap="around" w:y="14800"/>
        <w:rPr>
          <w:rFonts w:hAnsi="黑体"/>
        </w:rPr>
      </w:pPr>
      <w:sdt>
        <w:sdtPr>
          <w:rPr>
            <w:rFonts w:ascii="Times New Roman"/>
            <w:w w:val="100"/>
            <w:sz w:val="28"/>
          </w:rPr>
          <w:id w:val="147481135"/>
          <w:placeholder>
            <w:docPart w:val="{b7d6c8d2-2f40-43d5-8c2f-656491101695}"/>
          </w:placeholder>
        </w:sdtPr>
        <w:sdtEndPr>
          <w:rPr>
            <w:rFonts w:ascii="Times New Roman"/>
            <w:w w:val="100"/>
            <w:sz w:val="28"/>
          </w:rPr>
        </w:sdtEndPr>
        <w:sdtContent>
          <w:r>
            <w:rPr>
              <w:rFonts w:hint="eastAsia" w:ascii="Times New Roman"/>
              <w:w w:val="100"/>
              <w:sz w:val="28"/>
              <w:lang w:val="en-US" w:eastAsia="zh-CN"/>
            </w:rPr>
            <w:t>中国电子节能技术协会</w:t>
          </w:r>
        </w:sdtContent>
      </w:sdt>
      <w:r>
        <w:rPr>
          <w:rFonts w:ascii="Times New Roman"/>
          <w:w w:val="100"/>
          <w:sz w:val="28"/>
          <w:szCs w:val="28"/>
        </w:rPr>
        <w:t>  </w:t>
      </w:r>
      <w:r>
        <w:rPr>
          <w:rStyle w:val="234"/>
          <w:rFonts w:hint="eastAsia" w:hAnsi="黑体"/>
          <w:position w:val="0"/>
        </w:rPr>
        <w:t>发</w:t>
      </w:r>
      <w:r>
        <w:rPr>
          <w:rStyle w:val="234"/>
          <w:rFonts w:hint="eastAsia" w:hAnsi="黑体"/>
          <w:spacing w:val="0"/>
          <w:position w:val="0"/>
        </w:rPr>
        <w:t>布</w:t>
      </w:r>
    </w:p>
    <w:p w14:paraId="76BE5296">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0" w:left="1134" w:header="1418" w:footer="1134" w:gutter="283"/>
          <w:cols w:space="0" w:num="1"/>
          <w:titlePg/>
          <w:docGrid w:type="lines"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9333230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34.9pt;height:0pt;width:481.9pt;mso-position-horizontal-relative:page;mso-position-vertical-relative:page;z-index:251661312;mso-width-relative:page;mso-height-relative:page;" filled="f" stroked="t" coordsize="21600,21600" o:gfxdata="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9mWs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10" w:name="_Toc4779"/>
          <w:bookmarkStart w:id="11" w:name="qianyan"/>
          <w:bookmarkStart w:id="12"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17F6009C">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_Toc26753 </w:instrText>
          </w:r>
          <w:r>
            <w:rPr>
              <w:rFonts w:hint="eastAsia" w:ascii="宋体" w:hAnsi="宋体" w:eastAsia="宋体" w:cs="宋体"/>
              <w:sz w:val="21"/>
              <w:szCs w:val="21"/>
            </w:rPr>
            <w:fldChar w:fldCharType="separate"/>
          </w:r>
          <w:r>
            <w:rPr>
              <w:rFonts w:hint="eastAsia" w:ascii="宋体" w:hAnsi="宋体" w:eastAsia="宋体" w:cs="宋体"/>
              <w:spacing w:val="317"/>
              <w:sz w:val="21"/>
              <w:szCs w:val="21"/>
            </w:rPr>
            <w:t>前</w:t>
          </w:r>
          <w:r>
            <w:rPr>
              <w:rFonts w:hint="eastAsia" w:ascii="宋体" w:hAnsi="宋体" w:eastAsia="宋体" w:cs="宋体"/>
              <w:sz w:val="21"/>
              <w:szCs w:val="21"/>
            </w:rPr>
            <w:t>言</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_Toc26753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082A226">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_Toc13427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1 </w:t>
          </w:r>
          <w:r>
            <w:rPr>
              <w:rFonts w:hint="eastAsia" w:ascii="宋体" w:hAnsi="宋体" w:eastAsia="宋体" w:cs="宋体"/>
              <w:sz w:val="21"/>
              <w:szCs w:val="21"/>
            </w:rPr>
            <w:t>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_Toc13427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6BD98D4">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_Toc3975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2 </w:t>
          </w:r>
          <w:r>
            <w:rPr>
              <w:rFonts w:hint="eastAsia" w:ascii="宋体" w:hAnsi="宋体" w:eastAsia="宋体" w:cs="宋体"/>
              <w:sz w:val="21"/>
              <w:szCs w:val="21"/>
            </w:rPr>
            <w:t>规范性引用文件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_Toc3975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EB54D82">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_Toc19648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3 </w:t>
          </w:r>
          <w:r>
            <w:rPr>
              <w:rFonts w:hint="eastAsia" w:ascii="宋体" w:hAnsi="宋体" w:eastAsia="宋体" w:cs="宋体"/>
              <w:sz w:val="21"/>
              <w:szCs w:val="21"/>
            </w:rPr>
            <w:t>术语和定义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_Toc19648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1DB0737">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_Toc8558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4 </w:t>
          </w:r>
          <w:r>
            <w:rPr>
              <w:rFonts w:hint="eastAsia" w:ascii="宋体" w:hAnsi="宋体" w:eastAsia="宋体" w:cs="宋体"/>
              <w:sz w:val="21"/>
              <w:szCs w:val="21"/>
              <w:lang w:val="en-US" w:eastAsia="zh-CN"/>
            </w:rPr>
            <w:t>基本要求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_Toc8558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3BE2596">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_Toc17685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sz w:val="21"/>
              <w:szCs w:val="21"/>
              <w:lang w:val="en-US" w:eastAsia="zh-CN"/>
            </w:rPr>
            <w:t>使用条件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_Toc17685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595EC99">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_Toc21978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sz w:val="21"/>
              <w:szCs w:val="21"/>
              <w:lang w:val="en-US" w:eastAsia="zh-CN"/>
            </w:rPr>
            <w:t>结构</w:t>
          </w:r>
          <w:bookmarkStart w:id="137" w:name="_GoBack"/>
          <w:bookmarkEnd w:id="137"/>
          <w:r>
            <w:rPr>
              <w:rFonts w:hint="eastAsia" w:ascii="宋体" w:hAnsi="宋体" w:eastAsia="宋体" w:cs="宋体"/>
              <w:sz w:val="21"/>
              <w:szCs w:val="21"/>
              <w:lang w:val="en-US" w:eastAsia="zh-CN"/>
            </w:rPr>
            <w:t>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_Toc21978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86403BE">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_Toc20943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5 </w:t>
          </w:r>
          <w:r>
            <w:rPr>
              <w:rFonts w:hint="eastAsia" w:ascii="宋体" w:hAnsi="宋体" w:eastAsia="宋体" w:cs="宋体"/>
              <w:sz w:val="21"/>
              <w:szCs w:val="21"/>
              <w:lang w:val="en-US" w:eastAsia="zh-CN"/>
            </w:rPr>
            <w:t>技术</w:t>
          </w:r>
          <w:r>
            <w:rPr>
              <w:rFonts w:hint="eastAsia" w:ascii="宋体" w:hAnsi="宋体" w:eastAsia="宋体" w:cs="宋体"/>
              <w:sz w:val="21"/>
              <w:szCs w:val="21"/>
            </w:rPr>
            <w:t>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_Toc20943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3A7E656">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_Toc11989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sz w:val="21"/>
              <w:szCs w:val="21"/>
              <w:lang w:val="en-US" w:eastAsia="zh-CN"/>
            </w:rPr>
            <w:t>材料要求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_Toc11989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59264F6">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_Toc20993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sz w:val="21"/>
              <w:szCs w:val="21"/>
              <w:lang w:val="en-US" w:eastAsia="zh-CN"/>
            </w:rPr>
            <w:t>电气性能要求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_Toc20993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B1F42B6">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_Toc29431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sz w:val="21"/>
              <w:szCs w:val="21"/>
              <w:lang w:val="en-US" w:eastAsia="zh-CN"/>
            </w:rPr>
            <w:t>防窃电功能要求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_Toc29431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59B70B0">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_Toc1303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sz w:val="21"/>
              <w:szCs w:val="21"/>
              <w:lang w:val="en-US" w:eastAsia="zh-CN"/>
            </w:rPr>
            <w:t>通信与智能化功能要求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_Toc1303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999A13C">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_Toc29283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sz w:val="21"/>
              <w:szCs w:val="21"/>
              <w:lang w:val="en-US" w:eastAsia="zh-CN"/>
            </w:rPr>
            <w:t>计量性能要求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_Toc29283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1ED4B62">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_Toc30566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rPr>
              <w:rFonts w:hint="eastAsia" w:ascii="宋体" w:hAnsi="宋体" w:eastAsia="宋体" w:cs="宋体"/>
              <w:sz w:val="21"/>
              <w:szCs w:val="21"/>
              <w:lang w:val="en-US" w:eastAsia="zh-CN"/>
            </w:rPr>
            <w:t>机械性能要求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_Toc30566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4C3482E">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_Toc6614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5.7 </w:t>
          </w:r>
          <w:r>
            <w:rPr>
              <w:rFonts w:hint="eastAsia" w:ascii="宋体" w:hAnsi="宋体" w:eastAsia="宋体" w:cs="宋体"/>
              <w:sz w:val="21"/>
              <w:szCs w:val="21"/>
              <w:lang w:val="en-US" w:eastAsia="zh-CN"/>
            </w:rPr>
            <w:t>可靠性要求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_Toc6614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DFC0B28">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_Toc5520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rPr>
            <w:t xml:space="preserve">6 </w:t>
          </w:r>
          <w:r>
            <w:rPr>
              <w:rFonts w:hint="eastAsia" w:ascii="宋体" w:hAnsi="宋体" w:eastAsia="宋体" w:cs="宋体"/>
              <w:sz w:val="21"/>
              <w:szCs w:val="21"/>
              <w:lang w:val="en-US" w:eastAsia="zh-CN"/>
            </w:rPr>
            <w:t>试验方法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_Toc5520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7564051">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_Toc21233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sz w:val="21"/>
              <w:szCs w:val="21"/>
              <w:lang w:val="en-US" w:eastAsia="zh-CN"/>
            </w:rPr>
            <w:t>材料试验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_Toc21233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2762F5E">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_Toc15376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sz w:val="21"/>
              <w:szCs w:val="21"/>
              <w:lang w:val="en-US" w:eastAsia="zh-CN"/>
            </w:rPr>
            <w:t>电气性能试验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_Toc15376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BF76953">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_Toc17443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sz w:val="21"/>
              <w:szCs w:val="21"/>
              <w:lang w:val="en-US" w:eastAsia="zh-CN"/>
            </w:rPr>
            <w:t>防窃电功能试验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_Toc17443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97119FD">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_Toc11274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sz w:val="21"/>
              <w:szCs w:val="21"/>
              <w:lang w:val="en-US" w:eastAsia="zh-CN"/>
            </w:rPr>
            <w:t>通信与智能化功能试验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_Toc11274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3138DC2">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_Toc21665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sz w:val="21"/>
              <w:szCs w:val="21"/>
              <w:lang w:val="en-US" w:eastAsia="zh-CN"/>
            </w:rPr>
            <w:t>计量性能试验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_Toc21665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B14B319">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_Toc22496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sz w:val="21"/>
              <w:szCs w:val="21"/>
              <w:lang w:val="en-US" w:eastAsia="zh-CN"/>
            </w:rPr>
            <w:t>机械性能试验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_Toc22496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C9BAC11">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_Toc15688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ascii="宋体" w:hAnsi="宋体" w:eastAsia="宋体" w:cs="宋体"/>
              <w:sz w:val="21"/>
              <w:szCs w:val="21"/>
              <w:lang w:val="en-US" w:eastAsia="zh-CN"/>
            </w:rPr>
            <w:t>可靠性试验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_Toc15688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6B1E800">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_Toc19731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7 </w:t>
          </w:r>
          <w:r>
            <w:rPr>
              <w:rFonts w:hint="eastAsia" w:ascii="宋体" w:hAnsi="宋体" w:eastAsia="宋体" w:cs="宋体"/>
              <w:sz w:val="21"/>
              <w:szCs w:val="21"/>
            </w:rPr>
            <w:t>检验规则</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_Toc19731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C8A5E15">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_Toc30045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sz w:val="21"/>
              <w:szCs w:val="21"/>
              <w:lang w:val="en-US" w:eastAsia="zh-CN" w:bidi="ar-SA"/>
            </w:rPr>
            <w:t>检验分类</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_Toc30045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F22FBA0">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_Toc28274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sz w:val="21"/>
              <w:szCs w:val="21"/>
              <w:lang w:val="en-US" w:eastAsia="zh-CN" w:bidi="ar-SA"/>
            </w:rPr>
            <w:t>出厂检验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_Toc28274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A0CAB2F">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sz w:val="21"/>
              <w:szCs w:val="21"/>
              <w:lang w:val="en-US" w:eastAsia="zh-CN" w:bidi="ar-SA"/>
            </w:rPr>
            <w:t>型式检验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_Toc647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573512A">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_Toc2234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sz w:val="21"/>
              <w:szCs w:val="21"/>
              <w:lang w:val="en-US" w:eastAsia="zh-CN" w:bidi="ar-SA"/>
            </w:rPr>
            <w:t>检验报告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_Toc2234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3C3D0DB">
          <w:pPr>
            <w:pStyle w:val="20"/>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_Toc11648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8 </w:t>
          </w:r>
          <w:r>
            <w:rPr>
              <w:rFonts w:hint="eastAsia" w:ascii="宋体" w:hAnsi="宋体" w:eastAsia="宋体" w:cs="宋体"/>
              <w:sz w:val="21"/>
              <w:szCs w:val="21"/>
            </w:rPr>
            <w:t>标志、包装、运输和贮存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_Toc11648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7DFBBAD">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_Toc23806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sz w:val="21"/>
              <w:szCs w:val="21"/>
              <w:lang w:val="en-US" w:eastAsia="zh-CN" w:bidi="ar-SA"/>
            </w:rPr>
            <w:t>标志</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_Toc23806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F0D2BCF">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_Toc26949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sz w:val="21"/>
              <w:szCs w:val="21"/>
              <w:lang w:val="en-US" w:eastAsia="zh-CN" w:bidi="ar-SA"/>
            </w:rPr>
            <w:t>包装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_Toc26949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789AAC1">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_Toc22425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sz w:val="21"/>
              <w:szCs w:val="21"/>
              <w:lang w:val="en-US" w:eastAsia="zh-CN" w:bidi="ar-SA"/>
            </w:rPr>
            <w:t>运输</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_Toc22425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19378CF">
          <w:pPr>
            <w:pStyle w:val="26"/>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_Toc26834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sz w:val="21"/>
              <w:szCs w:val="21"/>
              <w:lang w:val="en-US" w:eastAsia="zh-CN" w:bidi="ar-SA"/>
            </w:rPr>
            <w:t>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_Toc26834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BC32F2">
          <w:pPr>
            <w:pStyle w:val="94"/>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10" w:type="default"/>
              <w:footerReference r:id="rId11"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 w:val="21"/>
              <w:szCs w:val="21"/>
            </w:rPr>
            <w:fldChar w:fldCharType="end"/>
          </w:r>
        </w:p>
      </w:sdtContent>
    </w:sdt>
    <w:p w14:paraId="55177810">
      <w:pPr>
        <w:pStyle w:val="94"/>
      </w:pPr>
      <w:bookmarkStart w:id="13" w:name="_Toc26753"/>
      <w:bookmarkStart w:id="14" w:name="_Toc29793"/>
      <w:r>
        <w:rPr>
          <w:rFonts w:hint="eastAsia"/>
          <w:spacing w:val="317"/>
        </w:rPr>
        <w:t>前</w:t>
      </w:r>
      <w:r>
        <w:rPr>
          <w:rFonts w:hint="eastAsia"/>
        </w:rPr>
        <w:t>言</w:t>
      </w:r>
      <w:bookmarkEnd w:id="10"/>
      <w:bookmarkEnd w:id="13"/>
      <w:bookmarkEnd w:id="14"/>
    </w:p>
    <w:p w14:paraId="0065D3C2">
      <w:pPr>
        <w:pStyle w:val="61"/>
      </w:pPr>
      <w:r>
        <w:rPr>
          <w:rFonts w:hint="eastAsia"/>
        </w:rPr>
        <w:t>本文件按照GB/T 1.1—2020《标准化工作导则  第1部分：标准化文件的结构和起草规则》的规定起草。</w:t>
      </w:r>
    </w:p>
    <w:p w14:paraId="5D797A10">
      <w:pPr>
        <w:pStyle w:val="61"/>
      </w:pPr>
      <w:r>
        <w:rPr>
          <w:rFonts w:hint="eastAsia"/>
        </w:rPr>
        <w:t>请注意本文件的某些内容可能涉及专利。本文件的发布机构不承担识别专利的责任。</w:t>
      </w:r>
    </w:p>
    <w:p w14:paraId="184CA7AF">
      <w:pPr>
        <w:pStyle w:val="61"/>
      </w:pPr>
      <w:r>
        <w:rPr>
          <w:rFonts w:hint="eastAsia"/>
        </w:rPr>
        <w:t>本文件由中国电子节能技术协会提出。</w:t>
      </w:r>
    </w:p>
    <w:p w14:paraId="4FC9ADB4">
      <w:pPr>
        <w:pStyle w:val="61"/>
      </w:pPr>
      <w:r>
        <w:rPr>
          <w:rFonts w:hint="eastAsia"/>
        </w:rPr>
        <w:t>本文件由中国电子节能技术协会归口。</w:t>
      </w:r>
    </w:p>
    <w:p w14:paraId="0719B706">
      <w:pPr>
        <w:pStyle w:val="61"/>
      </w:pPr>
      <w:r>
        <w:rPr>
          <w:rFonts w:hint="eastAsia"/>
        </w:rPr>
        <w:t>本文件起草单位：××××、××××。</w:t>
      </w:r>
    </w:p>
    <w:p w14:paraId="008F127D">
      <w:pPr>
        <w:pStyle w:val="61"/>
      </w:pPr>
      <w:r>
        <w:rPr>
          <w:rFonts w:hint="eastAsia"/>
        </w:rPr>
        <w:t>本文件主要起草人：×××、×××。</w:t>
      </w:r>
    </w:p>
    <w:p w14:paraId="0BC4E675">
      <w:pPr>
        <w:pStyle w:val="61"/>
      </w:pPr>
    </w:p>
    <w:p w14:paraId="1BC9CDF4">
      <w:pPr>
        <w:sectPr>
          <w:pgSz w:w="11906" w:h="16838"/>
          <w:pgMar w:top="1928" w:right="1134" w:bottom="1134" w:left="1134" w:header="1418" w:footer="1134" w:gutter="284"/>
          <w:pgNumType w:fmt="upperRoman" w:start="2"/>
          <w:cols w:space="425" w:num="1"/>
          <w:formProt w:val="0"/>
          <w:docGrid w:linePitch="312" w:charSpace="0"/>
        </w:sectPr>
      </w:pPr>
    </w:p>
    <w:bookmarkEnd w:id="11"/>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2"/>
      </w:pPr>
      <w:bookmarkStart w:id="15"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r>
            <w:rPr>
              <w:rFonts w:hint="eastAsia" w:hAnsi="宋体"/>
              <w:lang w:bidi="ar"/>
            </w:rPr>
            <w:t>防窃电智能电能计量箱技术要求</w:t>
          </w:r>
        </w:sdtContent>
      </w:sdt>
      <w:bookmarkEnd w:id="15"/>
    </w:p>
    <w:p w14:paraId="5EC4DF4C">
      <w:pPr>
        <w:pStyle w:val="109"/>
        <w:spacing w:before="240" w:after="240"/>
      </w:pPr>
      <w:bookmarkStart w:id="16" w:name="_Toc12505"/>
      <w:bookmarkStart w:id="17" w:name="_Toc26986530"/>
      <w:bookmarkStart w:id="18" w:name="_Toc97195091"/>
      <w:bookmarkStart w:id="19" w:name="_Toc12617"/>
      <w:bookmarkStart w:id="20" w:name="_Toc26986771"/>
      <w:bookmarkStart w:id="21" w:name="_Toc17233325"/>
      <w:bookmarkStart w:id="22" w:name="_Toc24884211"/>
      <w:bookmarkStart w:id="23" w:name="_Toc17233333"/>
      <w:bookmarkStart w:id="24" w:name="_Toc26718930"/>
      <w:bookmarkStart w:id="25" w:name="_Toc24884218"/>
      <w:bookmarkStart w:id="26" w:name="_Toc26648465"/>
      <w:bookmarkStart w:id="27" w:name="_Toc13427"/>
      <w:r>
        <w:rPr>
          <w:rFonts w:hint="eastAsia"/>
        </w:rPr>
        <w:t>范围</w:t>
      </w:r>
      <w:bookmarkEnd w:id="16"/>
      <w:bookmarkEnd w:id="17"/>
      <w:bookmarkEnd w:id="18"/>
      <w:bookmarkEnd w:id="19"/>
      <w:bookmarkEnd w:id="20"/>
      <w:bookmarkEnd w:id="21"/>
      <w:bookmarkEnd w:id="22"/>
      <w:bookmarkEnd w:id="23"/>
      <w:bookmarkEnd w:id="24"/>
      <w:bookmarkEnd w:id="25"/>
      <w:bookmarkEnd w:id="26"/>
      <w:bookmarkEnd w:id="27"/>
    </w:p>
    <w:p w14:paraId="127F4C25">
      <w:pPr>
        <w:pStyle w:val="61"/>
        <w:rPr>
          <w:rFonts w:hint="default" w:eastAsia="宋体"/>
          <w:lang w:val="en-US" w:eastAsia="zh-CN"/>
        </w:rPr>
      </w:pPr>
      <w:bookmarkStart w:id="28" w:name="_Toc24884219"/>
      <w:bookmarkStart w:id="29" w:name="_Toc24884212"/>
      <w:bookmarkStart w:id="30" w:name="_Toc17233326"/>
      <w:bookmarkStart w:id="31" w:name="_Toc26648466"/>
      <w:bookmarkStart w:id="32" w:name="_Toc17233334"/>
      <w:r>
        <w:rPr>
          <w:rFonts w:hint="eastAsia"/>
        </w:rPr>
        <w:t>本文件规定了防窃电智能电能计量箱的</w:t>
      </w:r>
      <w:r>
        <w:rPr>
          <w:rFonts w:hint="eastAsia"/>
          <w:lang w:val="en-US" w:eastAsia="zh-CN"/>
        </w:rPr>
        <w:t>基本要求、技术要求、试验方法、检验规则、标志、包装、运输和贮存。</w:t>
      </w:r>
    </w:p>
    <w:p w14:paraId="3854AD99">
      <w:pPr>
        <w:pStyle w:val="61"/>
        <w:rPr>
          <w:rFonts w:hint="eastAsia"/>
          <w:lang w:eastAsia="zh-CN"/>
        </w:rPr>
      </w:pPr>
      <w:r>
        <w:rPr>
          <w:rFonts w:hint="eastAsia"/>
          <w:lang w:eastAsia="zh-CN"/>
        </w:rPr>
        <w:t>本文件适用于额定交流低压电网（额定电压不超过400 V，典型为220/380 V）的用户侧智能电能计量箱。</w:t>
      </w:r>
    </w:p>
    <w:p w14:paraId="6E83A890">
      <w:pPr>
        <w:pStyle w:val="109"/>
        <w:spacing w:before="240" w:after="240"/>
      </w:pPr>
      <w:bookmarkStart w:id="33" w:name="_Toc26986531"/>
      <w:bookmarkStart w:id="34" w:name="_Toc97195092"/>
      <w:bookmarkStart w:id="35" w:name="_Toc7490"/>
      <w:bookmarkStart w:id="36" w:name="_Toc26986772"/>
      <w:bookmarkStart w:id="37" w:name="_Toc26718931"/>
      <w:bookmarkStart w:id="38" w:name="_Toc8381"/>
      <w:bookmarkStart w:id="39" w:name="_Toc3975"/>
      <w:r>
        <w:rPr>
          <w:rFonts w:hint="eastAsia"/>
        </w:rPr>
        <w:t>规范性引用文件</w:t>
      </w:r>
      <w:bookmarkEnd w:id="28"/>
      <w:bookmarkEnd w:id="29"/>
      <w:bookmarkEnd w:id="30"/>
      <w:bookmarkEnd w:id="31"/>
      <w:bookmarkEnd w:id="32"/>
      <w:bookmarkEnd w:id="33"/>
      <w:bookmarkEnd w:id="34"/>
      <w:bookmarkEnd w:id="35"/>
      <w:bookmarkEnd w:id="36"/>
      <w:bookmarkEnd w:id="37"/>
      <w:bookmarkEnd w:id="38"/>
      <w:bookmarkEnd w:id="39"/>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4BE68B35">
          <w:pPr>
            <w:pStyle w:val="61"/>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90BB4AA">
      <w:pPr>
        <w:pStyle w:val="61"/>
        <w:rPr>
          <w:rFonts w:hint="default" w:eastAsia="宋体"/>
          <w:lang w:val="en-US" w:eastAsia="zh-CN"/>
        </w:rPr>
      </w:pPr>
      <w:r>
        <w:rPr>
          <w:rFonts w:hint="eastAsia"/>
        </w:rPr>
        <w:t>GB/T 191</w:t>
      </w:r>
      <w:r>
        <w:rPr>
          <w:rFonts w:hint="eastAsia"/>
          <w:lang w:val="en-US" w:eastAsia="zh-CN"/>
        </w:rPr>
        <w:t xml:space="preserve">  包装储运图示标志</w:t>
      </w:r>
    </w:p>
    <w:p w14:paraId="5434FF44">
      <w:pPr>
        <w:pStyle w:val="61"/>
        <w:rPr>
          <w:rFonts w:hint="default" w:eastAsia="宋体"/>
          <w:lang w:val="en-US" w:eastAsia="zh-CN"/>
        </w:rPr>
      </w:pPr>
      <w:r>
        <w:rPr>
          <w:rFonts w:hint="eastAsia"/>
        </w:rPr>
        <w:t>GB/T 2410</w:t>
      </w:r>
      <w:r>
        <w:rPr>
          <w:rFonts w:hint="eastAsia"/>
          <w:lang w:val="en-US" w:eastAsia="zh-CN"/>
        </w:rPr>
        <w:t xml:space="preserve">  透明塑料透光率和雾度的测定</w:t>
      </w:r>
    </w:p>
    <w:p w14:paraId="4CB5D7ED">
      <w:pPr>
        <w:pStyle w:val="61"/>
        <w:rPr>
          <w:rFonts w:hint="default" w:eastAsia="宋体"/>
          <w:lang w:val="en-US" w:eastAsia="zh-CN"/>
        </w:rPr>
      </w:pPr>
      <w:r>
        <w:rPr>
          <w:rFonts w:hint="eastAsia"/>
        </w:rPr>
        <w:t>GB/T 2423.10</w:t>
      </w:r>
      <w:r>
        <w:rPr>
          <w:rFonts w:hint="eastAsia"/>
          <w:lang w:val="en-US" w:eastAsia="zh-CN"/>
        </w:rPr>
        <w:t xml:space="preserve">  环境试验 第2部分：试验方法 试验Fc: 振动（正弦）</w:t>
      </w:r>
    </w:p>
    <w:p w14:paraId="7A1D22AA">
      <w:pPr>
        <w:pStyle w:val="61"/>
        <w:rPr>
          <w:rFonts w:hint="default" w:eastAsia="宋体"/>
          <w:lang w:val="en-US" w:eastAsia="zh-CN"/>
        </w:rPr>
      </w:pPr>
      <w:r>
        <w:rPr>
          <w:rFonts w:hint="eastAsia"/>
        </w:rPr>
        <w:t>GB/T 2650</w:t>
      </w:r>
      <w:r>
        <w:rPr>
          <w:rFonts w:hint="eastAsia"/>
          <w:lang w:val="en-US" w:eastAsia="zh-CN"/>
        </w:rPr>
        <w:t xml:space="preserve">  金属材料焊缝破坏性试验 冲击试验</w:t>
      </w:r>
    </w:p>
    <w:p w14:paraId="555E74E7">
      <w:pPr>
        <w:pStyle w:val="61"/>
        <w:rPr>
          <w:rFonts w:hint="default" w:eastAsia="宋体"/>
          <w:lang w:val="en-US" w:eastAsia="zh-CN"/>
        </w:rPr>
      </w:pPr>
      <w:r>
        <w:rPr>
          <w:rFonts w:hint="eastAsia"/>
        </w:rPr>
        <w:t>GB/T 4207</w:t>
      </w:r>
      <w:r>
        <w:rPr>
          <w:rFonts w:hint="eastAsia"/>
          <w:lang w:val="en-US" w:eastAsia="zh-CN"/>
        </w:rPr>
        <w:t xml:space="preserve">  固体绝缘材料耐电痕化指数和相比电痕化指数的测定方法</w:t>
      </w:r>
    </w:p>
    <w:p w14:paraId="790C7048">
      <w:pPr>
        <w:pStyle w:val="61"/>
        <w:rPr>
          <w:rFonts w:hint="default"/>
          <w:lang w:val="en-US" w:eastAsia="zh-CN"/>
        </w:rPr>
      </w:pPr>
      <w:r>
        <w:rPr>
          <w:rFonts w:hint="eastAsia"/>
        </w:rPr>
        <w:t>GB/T 4208</w:t>
      </w:r>
      <w:r>
        <w:rPr>
          <w:rFonts w:hint="eastAsia"/>
          <w:lang w:val="en-US" w:eastAsia="zh-CN"/>
        </w:rPr>
        <w:t xml:space="preserve">  </w:t>
      </w:r>
      <w:r>
        <w:rPr>
          <w:rFonts w:hint="eastAsia"/>
        </w:rPr>
        <w:fldChar w:fldCharType="begin"/>
      </w:r>
      <w:r>
        <w:rPr>
          <w:rFonts w:hint="eastAsia"/>
        </w:rPr>
        <w:instrText xml:space="preserve"> HYPERLINK "https://www.cssn.net.cn/cssn/productDetail/31cea068d7af92230c3a5fcd1a4333c0" \t "https://www.cssn.net.cn/cssn/_blank" </w:instrText>
      </w:r>
      <w:r>
        <w:rPr>
          <w:rFonts w:hint="eastAsia"/>
        </w:rPr>
        <w:fldChar w:fldCharType="separate"/>
      </w:r>
      <w:r>
        <w:rPr>
          <w:rFonts w:hint="eastAsia"/>
        </w:rPr>
        <w:t>外壳防护等级(IP代码)</w:t>
      </w:r>
      <w:r>
        <w:rPr>
          <w:rFonts w:hint="eastAsia"/>
        </w:rPr>
        <w:fldChar w:fldCharType="end"/>
      </w:r>
    </w:p>
    <w:p w14:paraId="48CC2472">
      <w:pPr>
        <w:pStyle w:val="61"/>
        <w:rPr>
          <w:rFonts w:hint="default" w:eastAsia="宋体"/>
          <w:lang w:val="en-US" w:eastAsia="zh-CN"/>
        </w:rPr>
      </w:pPr>
      <w:r>
        <w:rPr>
          <w:rFonts w:hint="eastAsia"/>
        </w:rPr>
        <w:t>GB/T 5169.19</w:t>
      </w:r>
      <w:r>
        <w:rPr>
          <w:rFonts w:hint="eastAsia"/>
          <w:lang w:val="en-US" w:eastAsia="zh-CN"/>
        </w:rPr>
        <w:t xml:space="preserve">  电工电子产品着火危险试验 第19部分：非正常热 模压应力释放变形试验</w:t>
      </w:r>
    </w:p>
    <w:p w14:paraId="0D3FDCBC">
      <w:pPr>
        <w:pStyle w:val="61"/>
        <w:rPr>
          <w:rFonts w:hint="default" w:eastAsia="宋体"/>
          <w:lang w:val="en-US" w:eastAsia="zh-CN"/>
        </w:rPr>
      </w:pPr>
      <w:r>
        <w:rPr>
          <w:rFonts w:hint="eastAsia"/>
        </w:rPr>
        <w:t>GB/T 6378.1</w:t>
      </w:r>
      <w:r>
        <w:rPr>
          <w:rFonts w:hint="eastAsia"/>
          <w:lang w:val="en-US" w:eastAsia="zh-CN"/>
        </w:rPr>
        <w:t xml:space="preserve">  计量抽样检验程序 第1部分：按接收质量限（AQL）检索的对单一质量特性和单个AQL的逐批检验的一次抽样方案</w:t>
      </w:r>
    </w:p>
    <w:p w14:paraId="6243A7C8">
      <w:pPr>
        <w:pStyle w:val="61"/>
        <w:rPr>
          <w:rFonts w:hint="default" w:eastAsia="宋体"/>
          <w:lang w:val="en-US" w:eastAsia="zh-CN"/>
        </w:rPr>
      </w:pPr>
      <w:r>
        <w:rPr>
          <w:rFonts w:hint="eastAsia"/>
        </w:rPr>
        <w:t>GB/T 10125</w:t>
      </w:r>
      <w:r>
        <w:rPr>
          <w:rFonts w:hint="eastAsia"/>
          <w:lang w:val="en-US" w:eastAsia="zh-CN"/>
        </w:rPr>
        <w:t xml:space="preserve">  人造气氛腐蚀试验 盐雾试验</w:t>
      </w:r>
    </w:p>
    <w:p w14:paraId="34DA1B1B">
      <w:pPr>
        <w:pStyle w:val="61"/>
        <w:rPr>
          <w:rFonts w:hint="default" w:eastAsia="宋体"/>
          <w:lang w:val="en-US" w:eastAsia="zh-CN"/>
        </w:rPr>
      </w:pPr>
      <w:r>
        <w:rPr>
          <w:rFonts w:hint="eastAsia"/>
        </w:rPr>
        <w:t>GB/T 14522</w:t>
      </w:r>
      <w:r>
        <w:rPr>
          <w:rFonts w:hint="eastAsia"/>
          <w:lang w:val="en-US" w:eastAsia="zh-CN"/>
        </w:rPr>
        <w:t xml:space="preserve">  机械工业产品用塑料、涂料、橡胶材料人工气候老化试验方法 荧光紫外灯</w:t>
      </w:r>
    </w:p>
    <w:p w14:paraId="7041DF5C">
      <w:pPr>
        <w:pStyle w:val="61"/>
        <w:rPr>
          <w:rFonts w:hint="default" w:eastAsia="宋体"/>
          <w:lang w:val="en-US" w:eastAsia="zh-CN"/>
        </w:rPr>
      </w:pPr>
      <w:r>
        <w:rPr>
          <w:rFonts w:hint="eastAsia"/>
        </w:rPr>
        <w:t>GB/T 16934</w:t>
      </w:r>
      <w:r>
        <w:rPr>
          <w:rFonts w:hint="eastAsia"/>
          <w:lang w:val="en-US" w:eastAsia="zh-CN"/>
        </w:rPr>
        <w:t xml:space="preserve">  电能计量柜</w:t>
      </w:r>
    </w:p>
    <w:p w14:paraId="39564C8B">
      <w:pPr>
        <w:pStyle w:val="61"/>
        <w:rPr>
          <w:rFonts w:hint="eastAsia"/>
        </w:rPr>
      </w:pPr>
      <w:r>
        <w:rPr>
          <w:rFonts w:hint="eastAsia"/>
        </w:rPr>
        <w:t>GB/T 17626.2  电磁兼容 试验和测量技术 静电放电抗扰度试验</w:t>
      </w:r>
    </w:p>
    <w:p w14:paraId="22700260">
      <w:pPr>
        <w:pStyle w:val="61"/>
        <w:rPr>
          <w:rFonts w:hint="eastAsia"/>
        </w:rPr>
      </w:pPr>
      <w:r>
        <w:rPr>
          <w:rFonts w:hint="eastAsia"/>
        </w:rPr>
        <w:t>GB/T 17626.4  电磁兼容 试验和测量技术 电快速瞬变脉冲群抗扰度试验</w:t>
      </w:r>
    </w:p>
    <w:p w14:paraId="6741A003">
      <w:pPr>
        <w:pStyle w:val="61"/>
        <w:rPr>
          <w:rFonts w:hint="eastAsia"/>
        </w:rPr>
      </w:pPr>
      <w:r>
        <w:rPr>
          <w:rFonts w:hint="eastAsia"/>
        </w:rPr>
        <w:t>GB/T 17626.5  电磁兼容 试验和测量技术 浪涌(冲击)抗扰度试验</w:t>
      </w:r>
    </w:p>
    <w:p w14:paraId="56130EEE">
      <w:pPr>
        <w:pStyle w:val="61"/>
        <w:rPr>
          <w:rFonts w:hint="default" w:eastAsia="宋体"/>
          <w:lang w:val="en-US" w:eastAsia="zh-CN"/>
        </w:rPr>
      </w:pPr>
      <w:r>
        <w:rPr>
          <w:rFonts w:hint="eastAsia"/>
        </w:rPr>
        <w:t>GB/T 18216.4</w:t>
      </w:r>
      <w:r>
        <w:rPr>
          <w:rFonts w:hint="eastAsia"/>
          <w:lang w:val="en-US" w:eastAsia="zh-CN"/>
        </w:rPr>
        <w:t xml:space="preserve">  交流1000V和直流1500V及以下低压配电系统电气安全 防护措施的试验、测量或监控设备 第4部分：接地电阻和等电位接地电阻</w:t>
      </w:r>
    </w:p>
    <w:p w14:paraId="4B1042A7">
      <w:pPr>
        <w:pStyle w:val="61"/>
        <w:rPr>
          <w:rFonts w:hint="eastAsia"/>
        </w:rPr>
      </w:pPr>
      <w:r>
        <w:rPr>
          <w:rFonts w:hint="eastAsia"/>
        </w:rPr>
        <w:t>GB/T 24343  工业机械电气设备 绝缘电阻试验规范</w:t>
      </w:r>
    </w:p>
    <w:p w14:paraId="7106B552">
      <w:pPr>
        <w:pStyle w:val="61"/>
        <w:rPr>
          <w:rFonts w:hint="eastAsia"/>
        </w:rPr>
      </w:pPr>
      <w:r>
        <w:rPr>
          <w:rFonts w:hint="eastAsia"/>
        </w:rPr>
        <w:t>GB/T 24344  工业机械电气设备 耐压试验规范</w:t>
      </w:r>
    </w:p>
    <w:p w14:paraId="6F392CD9">
      <w:pPr>
        <w:pStyle w:val="61"/>
        <w:rPr>
          <w:rFonts w:hint="default" w:eastAsia="宋体"/>
          <w:lang w:val="en-US" w:eastAsia="zh-CN"/>
        </w:rPr>
      </w:pPr>
      <w:r>
        <w:rPr>
          <w:rFonts w:hint="eastAsia"/>
        </w:rPr>
        <w:t>GB/T 34631</w:t>
      </w:r>
      <w:r>
        <w:rPr>
          <w:rFonts w:hint="eastAsia"/>
          <w:lang w:val="en-US" w:eastAsia="zh-CN"/>
        </w:rPr>
        <w:t xml:space="preserve">  再制造 机械零件剩余寿命评估指南</w:t>
      </w:r>
    </w:p>
    <w:p w14:paraId="0149F197">
      <w:pPr>
        <w:pStyle w:val="61"/>
        <w:rPr>
          <w:rFonts w:hint="default" w:eastAsia="宋体"/>
          <w:lang w:val="en-US" w:eastAsia="zh-CN"/>
        </w:rPr>
      </w:pPr>
      <w:r>
        <w:rPr>
          <w:rFonts w:hint="eastAsia"/>
        </w:rPr>
        <w:t>GB/T 43113</w:t>
      </w:r>
      <w:r>
        <w:rPr>
          <w:rFonts w:hint="eastAsia"/>
          <w:lang w:val="en-US" w:eastAsia="zh-CN"/>
        </w:rPr>
        <w:t xml:space="preserve">  碳纤维增强复合材料耐湿热性能评价方法</w:t>
      </w:r>
    </w:p>
    <w:p w14:paraId="39C1C945">
      <w:pPr>
        <w:pStyle w:val="61"/>
        <w:rPr>
          <w:rFonts w:hint="default" w:eastAsia="宋体"/>
          <w:lang w:val="en-US" w:eastAsia="zh-CN"/>
        </w:rPr>
      </w:pPr>
      <w:r>
        <w:rPr>
          <w:rFonts w:hint="eastAsia"/>
        </w:rPr>
        <w:t>HB 5143</w:t>
      </w:r>
      <w:r>
        <w:rPr>
          <w:rFonts w:hint="eastAsia"/>
          <w:lang w:val="en-US" w:eastAsia="zh-CN"/>
        </w:rPr>
        <w:t xml:space="preserve">  金属室温拉伸试验方法</w:t>
      </w:r>
    </w:p>
    <w:p w14:paraId="34B23173">
      <w:pPr>
        <w:pStyle w:val="61"/>
        <w:rPr>
          <w:rFonts w:hint="default" w:eastAsia="宋体"/>
          <w:lang w:val="en-US" w:eastAsia="zh-CN"/>
        </w:rPr>
      </w:pPr>
      <w:r>
        <w:rPr>
          <w:rFonts w:hint="eastAsia"/>
        </w:rPr>
        <w:t>YD/T 4712</w:t>
      </w:r>
      <w:r>
        <w:rPr>
          <w:rFonts w:hint="eastAsia"/>
          <w:lang w:val="en-US" w:eastAsia="zh-CN"/>
        </w:rPr>
        <w:t xml:space="preserve">  域名系统解析数据加密传输技术要求</w:t>
      </w:r>
    </w:p>
    <w:p w14:paraId="7E0F02AA">
      <w:pPr>
        <w:pStyle w:val="109"/>
        <w:spacing w:before="240" w:after="240"/>
      </w:pPr>
      <w:bookmarkStart w:id="40" w:name="_Toc19648"/>
      <w:bookmarkStart w:id="41" w:name="_Toc11143"/>
      <w:bookmarkStart w:id="42" w:name="_Toc21736"/>
      <w:bookmarkStart w:id="43" w:name="_Toc97195093"/>
      <w:r>
        <w:rPr>
          <w:rFonts w:hint="eastAsia"/>
          <w:szCs w:val="21"/>
        </w:rPr>
        <w:t>术语和定义</w:t>
      </w:r>
      <w:bookmarkEnd w:id="40"/>
      <w:bookmarkEnd w:id="41"/>
      <w:bookmarkEnd w:id="42"/>
      <w:bookmarkEnd w:id="43"/>
    </w:p>
    <w:bookmarkEnd w:id="12"/>
    <w:p w14:paraId="3A3BF7ED">
      <w:pPr>
        <w:pStyle w:val="61"/>
      </w:pPr>
      <w:bookmarkStart w:id="44" w:name="_Toc26986532"/>
      <w:bookmarkEnd w:id="44"/>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rPr>
              <w:rFonts w:hint="eastAsia"/>
            </w:rPr>
            <w:t>GB/T 16934界定的以及</w:t>
          </w:r>
          <w:r>
            <w:t>下列术语和定义适用于本文件。</w:t>
          </w:r>
        </w:sdtContent>
      </w:sdt>
    </w:p>
    <w:p w14:paraId="4B6D3D92">
      <w:pPr>
        <w:pStyle w:val="110"/>
        <w:spacing w:before="120" w:after="120"/>
      </w:pPr>
      <w:bookmarkStart w:id="45" w:name="_Toc13410"/>
      <w:bookmarkEnd w:id="45"/>
      <w:bookmarkStart w:id="46" w:name="_Toc9949"/>
      <w:bookmarkEnd w:id="46"/>
      <w:bookmarkStart w:id="47" w:name="_Toc11047"/>
      <w:bookmarkEnd w:id="47"/>
      <w:bookmarkStart w:id="48" w:name="_Toc18481"/>
      <w:bookmarkEnd w:id="48"/>
      <w:bookmarkStart w:id="49" w:name="_Toc25027"/>
      <w:bookmarkEnd w:id="49"/>
      <w:bookmarkStart w:id="50" w:name="_Toc31639"/>
      <w:bookmarkEnd w:id="50"/>
      <w:bookmarkStart w:id="51" w:name="_Toc1908"/>
      <w:bookmarkEnd w:id="51"/>
      <w:bookmarkStart w:id="52" w:name="_Toc18471"/>
      <w:bookmarkEnd w:id="52"/>
      <w:bookmarkStart w:id="53" w:name="_Toc5316"/>
      <w:bookmarkEnd w:id="53"/>
    </w:p>
    <w:p w14:paraId="38DFE66D">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eastAsia"/>
          <w:lang w:eastAsia="zh-CN"/>
        </w:rPr>
        <w:t>防窃电智能电能计量箱</w:t>
      </w:r>
      <w:r>
        <w:rPr>
          <w:rFonts w:hint="eastAsia"/>
        </w:rPr>
        <w:t xml:space="preserve"> </w:t>
      </w:r>
      <w:r>
        <w:rPr>
          <w:rFonts w:hint="default" w:ascii="Times New Roman" w:hAnsi="Times New Roman" w:cs="Times New Roman"/>
          <w:lang w:val="en-US" w:eastAsia="zh-CN"/>
        </w:rPr>
        <w:t>anti-theft smart electricity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metering box</w:t>
      </w:r>
    </w:p>
    <w:p w14:paraId="5814A5D1">
      <w:pPr>
        <w:pStyle w:val="61"/>
      </w:pPr>
      <w:r>
        <w:rPr>
          <w:rFonts w:hint="eastAsia"/>
        </w:rPr>
        <w:t>具备主动防窃电措施、内置智能电能表及通信接口，可实现远程抄表、异常事件上报、开箱报警等功能的整体/组合式低压计量装置。</w:t>
      </w:r>
    </w:p>
    <w:p w14:paraId="21C00BE5">
      <w:pPr>
        <w:pStyle w:val="109"/>
        <w:spacing w:before="240" w:after="240"/>
        <w:rPr>
          <w:szCs w:val="21"/>
        </w:rPr>
      </w:pPr>
      <w:bookmarkStart w:id="54" w:name="_Toc15874"/>
      <w:bookmarkEnd w:id="54"/>
      <w:bookmarkStart w:id="55" w:name="_Toc1854"/>
      <w:bookmarkEnd w:id="55"/>
      <w:bookmarkStart w:id="56" w:name="_Toc23660"/>
      <w:bookmarkEnd w:id="56"/>
      <w:bookmarkStart w:id="57" w:name="_Toc10025"/>
      <w:bookmarkEnd w:id="57"/>
      <w:bookmarkStart w:id="58" w:name="_Toc15835"/>
      <w:bookmarkEnd w:id="58"/>
      <w:bookmarkStart w:id="59" w:name="_Toc15067"/>
      <w:bookmarkEnd w:id="59"/>
      <w:bookmarkStart w:id="60" w:name="_Toc16545"/>
      <w:bookmarkEnd w:id="60"/>
      <w:bookmarkStart w:id="61" w:name="_Toc11308"/>
      <w:bookmarkEnd w:id="61"/>
      <w:bookmarkStart w:id="62" w:name="_Toc14826"/>
      <w:bookmarkEnd w:id="62"/>
      <w:bookmarkStart w:id="63" w:name="_Toc18262"/>
      <w:bookmarkEnd w:id="63"/>
      <w:bookmarkStart w:id="64" w:name="_Toc18321"/>
      <w:bookmarkEnd w:id="64"/>
      <w:bookmarkStart w:id="65" w:name="_Toc30783"/>
      <w:bookmarkEnd w:id="65"/>
      <w:bookmarkStart w:id="66" w:name="_Toc8558"/>
      <w:r>
        <w:rPr>
          <w:rFonts w:hint="eastAsia"/>
          <w:szCs w:val="21"/>
          <w:lang w:val="en-US" w:eastAsia="zh-CN"/>
        </w:rPr>
        <w:t>基本要求</w:t>
      </w:r>
      <w:bookmarkEnd w:id="66"/>
    </w:p>
    <w:p w14:paraId="5F951294">
      <w:pPr>
        <w:pStyle w:val="110"/>
        <w:spacing w:before="120" w:after="120"/>
      </w:pPr>
      <w:bookmarkStart w:id="67" w:name="_Toc17685"/>
      <w:r>
        <w:rPr>
          <w:rFonts w:hint="eastAsia"/>
          <w:lang w:val="en-US" w:eastAsia="zh-CN"/>
        </w:rPr>
        <w:t>使用条件</w:t>
      </w:r>
      <w:bookmarkEnd w:id="67"/>
    </w:p>
    <w:p w14:paraId="5D25287D">
      <w:pPr>
        <w:pStyle w:val="61"/>
        <w:ind w:left="0" w:leftChars="0" w:firstLine="0" w:firstLineChars="0"/>
        <w:rPr>
          <w:rFonts w:hint="eastAsia"/>
          <w:lang w:val="en-US" w:eastAsia="zh-CN"/>
        </w:rPr>
      </w:pPr>
      <w:r>
        <w:rPr>
          <w:rFonts w:hint="eastAsia"/>
          <w:lang w:val="en-US" w:eastAsia="zh-CN"/>
        </w:rPr>
        <w:t>4.1.1 正常使用条件</w:t>
      </w:r>
    </w:p>
    <w:p w14:paraId="7EB1E44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计量箱在以下环境条件下应能正常运行：</w:t>
      </w:r>
    </w:p>
    <w:p w14:paraId="3C827AB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a）额定电压：220/380 V AC，允许偏差±10%；</w:t>
      </w:r>
    </w:p>
    <w:p w14:paraId="24BBB75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b）额定电流：10A～100A，多表位可根据设计扩展；</w:t>
      </w:r>
    </w:p>
    <w:p w14:paraId="2746B69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c）工作频率：50 Hz，允许偏差±2%；</w:t>
      </w:r>
    </w:p>
    <w:p w14:paraId="1F41E1E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d）环境温度：-25℃～+55℃；</w:t>
      </w:r>
    </w:p>
    <w:p w14:paraId="64ECCE3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e）相对湿度：≤95%RH（无凝露）；</w:t>
      </w:r>
    </w:p>
    <w:p w14:paraId="6811C1F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f）海拔高度：≤2000 m；</w:t>
      </w:r>
    </w:p>
    <w:p w14:paraId="095308B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g）室内或半户外环境，避免直接日晒雨淋。</w:t>
      </w:r>
    </w:p>
    <w:p w14:paraId="3A32DF5A">
      <w:pPr>
        <w:pStyle w:val="61"/>
        <w:ind w:left="0" w:leftChars="0" w:firstLine="0" w:firstLineChars="0"/>
        <w:rPr>
          <w:rFonts w:hint="eastAsia"/>
          <w:lang w:val="en-US" w:eastAsia="zh-CN"/>
        </w:rPr>
      </w:pPr>
      <w:r>
        <w:rPr>
          <w:rFonts w:hint="eastAsia"/>
          <w:lang w:val="en-US" w:eastAsia="zh-CN"/>
        </w:rPr>
        <w:t>4.1.2 特殊使用条件</w:t>
      </w:r>
    </w:p>
    <w:p w14:paraId="6A17AF3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当使用条件超出4.1时，由用户与制造商协商确定，并在铭牌及说明书中注明。</w:t>
      </w:r>
    </w:p>
    <w:p w14:paraId="4600F7CE">
      <w:pPr>
        <w:pStyle w:val="110"/>
        <w:spacing w:before="120" w:after="120"/>
        <w:ind w:left="0" w:firstLine="0"/>
      </w:pPr>
      <w:bookmarkStart w:id="68" w:name="_Toc21978"/>
      <w:r>
        <w:rPr>
          <w:rFonts w:hint="eastAsia"/>
          <w:lang w:val="en-US" w:eastAsia="zh-CN"/>
        </w:rPr>
        <w:t>结构要求</w:t>
      </w:r>
      <w:bookmarkEnd w:id="68"/>
    </w:p>
    <w:p w14:paraId="4779ADB6">
      <w:pPr>
        <w:pStyle w:val="61"/>
        <w:ind w:left="0" w:leftChars="0" w:firstLine="0" w:firstLineChars="0"/>
        <w:rPr>
          <w:rFonts w:hint="eastAsia"/>
          <w:lang w:val="en-US" w:eastAsia="zh-CN"/>
        </w:rPr>
      </w:pPr>
      <w:r>
        <w:rPr>
          <w:rFonts w:hint="eastAsia"/>
          <w:lang w:val="en-US" w:eastAsia="zh-CN"/>
        </w:rPr>
        <w:t>4.2.1 箱体布局</w:t>
      </w:r>
    </w:p>
    <w:p w14:paraId="4C306604">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4.2.1.1 单表位计量箱</w:t>
      </w:r>
    </w:p>
    <w:p w14:paraId="5F71F97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单表位计量箱布局要求如下：</w:t>
      </w:r>
    </w:p>
    <w:p w14:paraId="63A1127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a）</w:t>
      </w:r>
      <w:r>
        <w:rPr>
          <w:rFonts w:hint="eastAsia" w:ascii="宋体" w:hAnsi="宋体" w:eastAsia="宋体" w:cs="宋体"/>
          <w:lang w:val="en-US" w:eastAsia="zh-CN"/>
        </w:rPr>
        <w:t>进线端子距顶部≥100 mm；</w:t>
      </w:r>
    </w:p>
    <w:p w14:paraId="7D409E4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b）</w:t>
      </w:r>
      <w:r>
        <w:rPr>
          <w:rFonts w:hint="eastAsia" w:ascii="宋体" w:hAnsi="宋体" w:eastAsia="宋体" w:cs="宋体"/>
          <w:lang w:val="en-US" w:eastAsia="zh-CN"/>
        </w:rPr>
        <w:t>出线端子距底部≥70 mm；</w:t>
      </w:r>
    </w:p>
    <w:p w14:paraId="3BAF2DA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c）</w:t>
      </w:r>
      <w:r>
        <w:rPr>
          <w:rFonts w:hint="eastAsia" w:ascii="宋体" w:hAnsi="宋体" w:eastAsia="宋体" w:cs="宋体"/>
          <w:lang w:val="en-US" w:eastAsia="zh-CN"/>
        </w:rPr>
        <w:t>内部布线合理，便于检修与维护，端子和导线标识清晰。</w:t>
      </w:r>
    </w:p>
    <w:p w14:paraId="60658C8E">
      <w:pPr>
        <w:pStyle w:val="61"/>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4.2.1.2 多表位计量箱</w:t>
      </w:r>
    </w:p>
    <w:p w14:paraId="62006DE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hAnsi="宋体" w:cs="宋体"/>
          <w:lang w:val="en-US" w:eastAsia="zh-CN"/>
        </w:rPr>
        <w:t>多</w:t>
      </w:r>
      <w:r>
        <w:rPr>
          <w:rFonts w:hint="eastAsia" w:ascii="宋体" w:hAnsi="宋体" w:eastAsia="宋体" w:cs="宋体"/>
          <w:lang w:val="en-US" w:eastAsia="zh-CN"/>
        </w:rPr>
        <w:t>表位计量箱布局要求如下：</w:t>
      </w:r>
    </w:p>
    <w:p w14:paraId="11A5E44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cs="宋体"/>
          <w:lang w:val="en-US" w:eastAsia="zh-CN"/>
        </w:rPr>
      </w:pPr>
      <w:r>
        <w:rPr>
          <w:rFonts w:hint="eastAsia" w:hAnsi="宋体" w:cs="宋体"/>
          <w:lang w:val="en-US" w:eastAsia="zh-CN"/>
        </w:rPr>
        <w:t>a）进线室垂直空间≥250 mm；</w:t>
      </w:r>
    </w:p>
    <w:p w14:paraId="478042F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cs="宋体"/>
          <w:lang w:val="en-US" w:eastAsia="zh-CN"/>
        </w:rPr>
      </w:pPr>
      <w:r>
        <w:rPr>
          <w:rFonts w:hint="eastAsia" w:hAnsi="宋体" w:cs="宋体"/>
          <w:lang w:val="en-US" w:eastAsia="zh-CN"/>
        </w:rPr>
        <w:t>b）出线室空间≥70 mm；</w:t>
      </w:r>
    </w:p>
    <w:p w14:paraId="5839BB3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hAnsi="宋体" w:cs="宋体"/>
          <w:lang w:val="en-US" w:eastAsia="zh-CN"/>
        </w:rPr>
      </w:pPr>
      <w:r>
        <w:rPr>
          <w:rFonts w:hint="eastAsia" w:hAnsi="宋体" w:cs="宋体"/>
          <w:lang w:val="en-US" w:eastAsia="zh-CN"/>
        </w:rPr>
        <w:t>c）控制模块集中布置，便于统一管理；箱体内走线整齐、端子标识明确。</w:t>
      </w:r>
    </w:p>
    <w:p w14:paraId="0DDCB65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hAnsi="宋体" w:cs="宋体"/>
          <w:lang w:val="en-US" w:eastAsia="zh-CN"/>
        </w:rPr>
      </w:pPr>
      <w:r>
        <w:rPr>
          <w:rFonts w:hint="default" w:hAnsi="宋体" w:cs="宋体"/>
          <w:lang w:val="en-US" w:eastAsia="zh-CN"/>
        </w:rPr>
        <w:t>4.</w:t>
      </w:r>
      <w:r>
        <w:rPr>
          <w:rFonts w:hint="eastAsia" w:hAnsi="宋体" w:cs="宋体"/>
          <w:lang w:val="en-US" w:eastAsia="zh-CN"/>
        </w:rPr>
        <w:t>2</w:t>
      </w:r>
      <w:r>
        <w:rPr>
          <w:rFonts w:hint="default" w:hAnsi="宋体" w:cs="宋体"/>
          <w:lang w:val="en-US" w:eastAsia="zh-CN"/>
        </w:rPr>
        <w:t>.</w:t>
      </w:r>
      <w:r>
        <w:rPr>
          <w:rFonts w:hint="eastAsia" w:hAnsi="宋体" w:cs="宋体"/>
          <w:lang w:val="en-US" w:eastAsia="zh-CN"/>
        </w:rPr>
        <w:t>2</w:t>
      </w:r>
      <w:r>
        <w:rPr>
          <w:rFonts w:hint="default" w:hAnsi="宋体" w:cs="宋体"/>
          <w:lang w:val="en-US" w:eastAsia="zh-CN"/>
        </w:rPr>
        <w:t xml:space="preserve"> 散热与通风</w:t>
      </w:r>
    </w:p>
    <w:p w14:paraId="15D128D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default" w:hAnsi="宋体" w:cs="宋体"/>
          <w:lang w:val="en-US" w:eastAsia="zh-CN"/>
        </w:rPr>
        <w:t>散热与通风</w:t>
      </w:r>
      <w:r>
        <w:rPr>
          <w:rFonts w:hint="eastAsia" w:ascii="宋体" w:hAnsi="宋体" w:eastAsia="宋体" w:cs="宋体"/>
          <w:lang w:val="en-US" w:eastAsia="zh-CN"/>
        </w:rPr>
        <w:t>要求如下：</w:t>
      </w:r>
    </w:p>
    <w:p w14:paraId="715CF46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a）</w:t>
      </w:r>
      <w:r>
        <w:rPr>
          <w:rFonts w:hint="default" w:hAnsi="宋体" w:cs="宋体"/>
          <w:lang w:val="en-US" w:eastAsia="zh-CN"/>
        </w:rPr>
        <w:t>箱体应保证内部空气流通；</w:t>
      </w:r>
    </w:p>
    <w:p w14:paraId="2044CCF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b）</w:t>
      </w:r>
      <w:r>
        <w:rPr>
          <w:rFonts w:hint="default" w:hAnsi="宋体" w:cs="宋体"/>
          <w:lang w:val="en-US" w:eastAsia="zh-CN"/>
        </w:rPr>
        <w:t>非金属箱应设置通风孔或散热片；</w:t>
      </w:r>
    </w:p>
    <w:p w14:paraId="20353E2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c）</w:t>
      </w:r>
      <w:r>
        <w:rPr>
          <w:rFonts w:hint="default" w:hAnsi="宋体" w:cs="宋体"/>
          <w:lang w:val="en-US" w:eastAsia="zh-CN"/>
        </w:rPr>
        <w:t>箱体内温升在额定负载条件下≤40℃。</w:t>
      </w:r>
    </w:p>
    <w:p w14:paraId="19D49BF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hAnsi="宋体" w:cs="宋体"/>
          <w:lang w:val="en-US" w:eastAsia="zh-CN"/>
        </w:rPr>
      </w:pPr>
      <w:r>
        <w:rPr>
          <w:rFonts w:hint="default" w:hAnsi="宋体" w:cs="宋体"/>
          <w:lang w:val="en-US" w:eastAsia="zh-CN"/>
        </w:rPr>
        <w:t>4.</w:t>
      </w:r>
      <w:r>
        <w:rPr>
          <w:rFonts w:hint="eastAsia" w:hAnsi="宋体" w:cs="宋体"/>
          <w:lang w:val="en-US" w:eastAsia="zh-CN"/>
        </w:rPr>
        <w:t>2</w:t>
      </w:r>
      <w:r>
        <w:rPr>
          <w:rFonts w:hint="default" w:hAnsi="宋体" w:cs="宋体"/>
          <w:lang w:val="en-US" w:eastAsia="zh-CN"/>
        </w:rPr>
        <w:t>.</w:t>
      </w:r>
      <w:r>
        <w:rPr>
          <w:rFonts w:hint="eastAsia" w:hAnsi="宋体" w:cs="宋体"/>
          <w:lang w:val="en-US" w:eastAsia="zh-CN"/>
        </w:rPr>
        <w:t>3</w:t>
      </w:r>
      <w:r>
        <w:rPr>
          <w:rFonts w:hint="default" w:hAnsi="宋体" w:cs="宋体"/>
          <w:lang w:val="en-US" w:eastAsia="zh-CN"/>
        </w:rPr>
        <w:t xml:space="preserve"> 安装与固定</w:t>
      </w:r>
    </w:p>
    <w:p w14:paraId="703EE58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default" w:hAnsi="宋体" w:cs="宋体"/>
          <w:lang w:val="en-US" w:eastAsia="zh-CN"/>
        </w:rPr>
        <w:t>安装与固定要求如下：</w:t>
      </w:r>
    </w:p>
    <w:p w14:paraId="1AC2832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a）</w:t>
      </w:r>
      <w:r>
        <w:rPr>
          <w:rFonts w:hint="default" w:hAnsi="宋体" w:cs="宋体"/>
          <w:lang w:val="en-US" w:eastAsia="zh-CN"/>
        </w:rPr>
        <w:t>箱体</w:t>
      </w:r>
      <w:r>
        <w:rPr>
          <w:rFonts w:hint="eastAsia" w:hAnsi="宋体" w:cs="宋体"/>
          <w:lang w:val="en-US" w:eastAsia="zh-CN"/>
        </w:rPr>
        <w:t>应</w:t>
      </w:r>
      <w:r>
        <w:rPr>
          <w:rFonts w:hint="default" w:hAnsi="宋体" w:cs="宋体"/>
          <w:lang w:val="en-US" w:eastAsia="zh-CN"/>
        </w:rPr>
        <w:t>可壁挂或落地安装；</w:t>
      </w:r>
    </w:p>
    <w:p w14:paraId="561799F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b）</w:t>
      </w:r>
      <w:r>
        <w:rPr>
          <w:rFonts w:hint="default" w:hAnsi="宋体" w:cs="宋体"/>
          <w:lang w:val="en-US" w:eastAsia="zh-CN"/>
        </w:rPr>
        <w:t>安装后水平或垂直度偏差≤3°；</w:t>
      </w:r>
    </w:p>
    <w:p w14:paraId="4453162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c）</w:t>
      </w:r>
      <w:r>
        <w:rPr>
          <w:rFonts w:hint="default" w:hAnsi="宋体" w:cs="宋体"/>
          <w:lang w:val="en-US" w:eastAsia="zh-CN"/>
        </w:rPr>
        <w:t>箱体固定牢靠，能承受正常振动与冲击；</w:t>
      </w:r>
    </w:p>
    <w:p w14:paraId="20FA30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d）</w:t>
      </w:r>
      <w:r>
        <w:rPr>
          <w:rFonts w:hint="default" w:hAnsi="宋体" w:cs="宋体"/>
          <w:lang w:val="en-US" w:eastAsia="zh-CN"/>
        </w:rPr>
        <w:t>特殊环境（如户外、地下室、配电间）应采取加固或防护措施。</w:t>
      </w:r>
    </w:p>
    <w:p w14:paraId="5308D51F">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hAnsi="宋体" w:cs="宋体"/>
          <w:lang w:val="en-US" w:eastAsia="zh-CN"/>
        </w:rPr>
      </w:pPr>
      <w:r>
        <w:rPr>
          <w:rFonts w:hint="default" w:hAnsi="宋体" w:cs="宋体"/>
          <w:lang w:val="en-US" w:eastAsia="zh-CN"/>
        </w:rPr>
        <w:t>4.</w:t>
      </w:r>
      <w:r>
        <w:rPr>
          <w:rFonts w:hint="eastAsia" w:hAnsi="宋体" w:cs="宋体"/>
          <w:lang w:val="en-US" w:eastAsia="zh-CN"/>
        </w:rPr>
        <w:t>2</w:t>
      </w:r>
      <w:r>
        <w:rPr>
          <w:rFonts w:hint="default" w:hAnsi="宋体" w:cs="宋体"/>
          <w:lang w:val="en-US" w:eastAsia="zh-CN"/>
        </w:rPr>
        <w:t>.</w:t>
      </w:r>
      <w:r>
        <w:rPr>
          <w:rFonts w:hint="eastAsia" w:hAnsi="宋体" w:cs="宋体"/>
          <w:lang w:val="en-US" w:eastAsia="zh-CN"/>
        </w:rPr>
        <w:t>4</w:t>
      </w:r>
      <w:r>
        <w:rPr>
          <w:rFonts w:hint="default" w:hAnsi="宋体" w:cs="宋体"/>
          <w:lang w:val="en-US" w:eastAsia="zh-CN"/>
        </w:rPr>
        <w:t xml:space="preserve"> 内部模块布局</w:t>
      </w:r>
    </w:p>
    <w:p w14:paraId="66F4B10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default" w:hAnsi="宋体" w:cs="宋体"/>
          <w:lang w:val="en-US" w:eastAsia="zh-CN"/>
        </w:rPr>
        <w:t>内部模块布局要求如下：</w:t>
      </w:r>
    </w:p>
    <w:p w14:paraId="6053AFC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a）</w:t>
      </w:r>
      <w:r>
        <w:rPr>
          <w:rFonts w:hint="default" w:hAnsi="宋体" w:cs="宋体"/>
          <w:lang w:val="en-US" w:eastAsia="zh-CN"/>
        </w:rPr>
        <w:t>电能表、断路器及通信模块应按功能分区布置；</w:t>
      </w:r>
    </w:p>
    <w:p w14:paraId="277739C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b）</w:t>
      </w:r>
      <w:r>
        <w:rPr>
          <w:rFonts w:hint="default" w:hAnsi="宋体" w:cs="宋体"/>
          <w:lang w:val="en-US" w:eastAsia="zh-CN"/>
        </w:rPr>
        <w:t>模块间</w:t>
      </w:r>
      <w:r>
        <w:rPr>
          <w:rFonts w:hint="eastAsia" w:hAnsi="宋体" w:cs="宋体"/>
          <w:lang w:val="en-US" w:eastAsia="zh-CN"/>
        </w:rPr>
        <w:t>应</w:t>
      </w:r>
      <w:r>
        <w:rPr>
          <w:rFonts w:hint="default" w:hAnsi="宋体" w:cs="宋体"/>
          <w:lang w:val="en-US" w:eastAsia="zh-CN"/>
        </w:rPr>
        <w:t>留有足够空间便于维护和通风；</w:t>
      </w:r>
    </w:p>
    <w:p w14:paraId="701046D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hAnsi="宋体" w:cs="宋体"/>
          <w:lang w:val="en-US" w:eastAsia="zh-CN"/>
        </w:rPr>
      </w:pPr>
      <w:r>
        <w:rPr>
          <w:rFonts w:hint="eastAsia" w:hAnsi="宋体" w:cs="宋体"/>
          <w:lang w:val="en-US" w:eastAsia="zh-CN"/>
        </w:rPr>
        <w:t>c）</w:t>
      </w:r>
      <w:r>
        <w:rPr>
          <w:rFonts w:hint="default" w:hAnsi="宋体" w:cs="宋体"/>
          <w:lang w:val="en-US" w:eastAsia="zh-CN"/>
        </w:rPr>
        <w:t>零序电流互感器应安装于三相导线上，用于旁路检测。</w:t>
      </w:r>
    </w:p>
    <w:p w14:paraId="4C6B687D">
      <w:pPr>
        <w:pStyle w:val="109"/>
        <w:spacing w:before="240" w:after="240"/>
        <w:rPr>
          <w:szCs w:val="21"/>
        </w:rPr>
      </w:pPr>
      <w:bookmarkStart w:id="69" w:name="_Toc20943"/>
      <w:bookmarkStart w:id="70" w:name="_Toc690"/>
      <w:r>
        <w:rPr>
          <w:rFonts w:hint="eastAsia"/>
          <w:szCs w:val="21"/>
          <w:lang w:val="en-US" w:eastAsia="zh-CN"/>
        </w:rPr>
        <w:t>技术</w:t>
      </w:r>
      <w:r>
        <w:rPr>
          <w:rFonts w:hint="eastAsia"/>
          <w:szCs w:val="21"/>
        </w:rPr>
        <w:t>要求</w:t>
      </w:r>
      <w:bookmarkEnd w:id="69"/>
      <w:bookmarkEnd w:id="70"/>
    </w:p>
    <w:p w14:paraId="12F85071">
      <w:pPr>
        <w:pStyle w:val="110"/>
        <w:spacing w:before="120" w:after="120"/>
        <w:rPr>
          <w:rFonts w:hint="eastAsia"/>
          <w:lang w:val="en-US" w:eastAsia="zh-CN"/>
        </w:rPr>
      </w:pPr>
      <w:bookmarkStart w:id="71" w:name="_Toc11989"/>
      <w:r>
        <w:rPr>
          <w:rFonts w:hint="eastAsia"/>
          <w:lang w:val="en-US" w:eastAsia="zh-CN"/>
        </w:rPr>
        <w:t>材料要求</w:t>
      </w:r>
      <w:bookmarkEnd w:id="71"/>
    </w:p>
    <w:p w14:paraId="285695EF">
      <w:pPr>
        <w:pStyle w:val="61"/>
        <w:ind w:left="0" w:leftChars="0" w:firstLine="0" w:firstLineChars="0"/>
        <w:rPr>
          <w:rFonts w:hint="eastAsia"/>
          <w:lang w:val="en-US" w:eastAsia="zh-CN"/>
        </w:rPr>
      </w:pPr>
      <w:r>
        <w:rPr>
          <w:rFonts w:hint="eastAsia"/>
          <w:lang w:val="en-US" w:eastAsia="zh-CN"/>
        </w:rPr>
        <w:t>5.1.1 箱体材料</w:t>
      </w:r>
    </w:p>
    <w:p w14:paraId="7A8FD98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箱体材料应满足以下要求：</w:t>
      </w:r>
    </w:p>
    <w:p w14:paraId="74EE5665">
      <w:pPr>
        <w:pStyle w:val="61"/>
        <w:rPr>
          <w:rFonts w:hint="eastAsia" w:ascii="宋体" w:hAnsi="宋体" w:eastAsia="宋体" w:cs="宋体"/>
          <w:lang w:val="en-US" w:eastAsia="zh-CN"/>
        </w:rPr>
      </w:pPr>
      <w:r>
        <w:rPr>
          <w:rFonts w:hint="eastAsia" w:ascii="宋体" w:hAnsi="宋体" w:eastAsia="宋体" w:cs="宋体"/>
          <w:lang w:val="en-US" w:eastAsia="zh-CN"/>
        </w:rPr>
        <w:t>a）箱体应采用阻燃、耐腐蚀材料，如SMC、PC、ABS或喷塑钢板；</w:t>
      </w:r>
    </w:p>
    <w:p w14:paraId="7787C68C">
      <w:pPr>
        <w:pStyle w:val="61"/>
        <w:rPr>
          <w:rFonts w:hint="eastAsia" w:ascii="宋体" w:hAnsi="宋体" w:eastAsia="宋体" w:cs="宋体"/>
          <w:lang w:val="en-US" w:eastAsia="zh-CN"/>
        </w:rPr>
      </w:pPr>
      <w:r>
        <w:rPr>
          <w:rFonts w:hint="eastAsia" w:ascii="宋体" w:hAnsi="宋体" w:eastAsia="宋体" w:cs="宋体"/>
          <w:lang w:val="en-US" w:eastAsia="zh-CN"/>
        </w:rPr>
        <w:t>b）材料抗紫外老化时间应不少于5年；</w:t>
      </w:r>
    </w:p>
    <w:p w14:paraId="2BC9B3F2">
      <w:pPr>
        <w:pStyle w:val="61"/>
        <w:rPr>
          <w:rFonts w:hint="eastAsia" w:ascii="宋体" w:hAnsi="宋体" w:eastAsia="宋体" w:cs="宋体"/>
          <w:lang w:val="en-US" w:eastAsia="zh-CN"/>
        </w:rPr>
      </w:pPr>
      <w:r>
        <w:rPr>
          <w:rFonts w:hint="eastAsia" w:ascii="宋体" w:hAnsi="宋体" w:eastAsia="宋体" w:cs="宋体"/>
          <w:lang w:val="en-US" w:eastAsia="zh-CN"/>
        </w:rPr>
        <w:t>c）箱体材料的耐温性能应不低于25℃～+70℃，热变形温度≥120℃；</w:t>
      </w:r>
    </w:p>
    <w:p w14:paraId="1ADD97D9">
      <w:pPr>
        <w:pStyle w:val="61"/>
        <w:rPr>
          <w:rFonts w:hint="eastAsia" w:ascii="宋体" w:hAnsi="宋体" w:eastAsia="宋体" w:cs="宋体"/>
          <w:lang w:val="en-US" w:eastAsia="zh-CN"/>
        </w:rPr>
      </w:pPr>
      <w:r>
        <w:rPr>
          <w:rFonts w:hint="eastAsia" w:ascii="宋体" w:hAnsi="宋体" w:eastAsia="宋体" w:cs="宋体"/>
          <w:lang w:val="en-US" w:eastAsia="zh-CN"/>
        </w:rPr>
        <w:t>d）箱体防护等级应不低于GB/T 4208中IP54的要求。</w:t>
      </w:r>
    </w:p>
    <w:p w14:paraId="50159E21">
      <w:pPr>
        <w:pStyle w:val="61"/>
        <w:ind w:left="0" w:leftChars="0" w:firstLine="0" w:firstLineChars="0"/>
        <w:rPr>
          <w:rFonts w:hint="eastAsia"/>
          <w:lang w:val="en-US" w:eastAsia="zh-CN"/>
        </w:rPr>
      </w:pPr>
      <w:r>
        <w:rPr>
          <w:rFonts w:hint="eastAsia"/>
          <w:lang w:val="en-US" w:eastAsia="zh-CN"/>
        </w:rPr>
        <w:t>5.1.2 透明观察窗材料</w:t>
      </w:r>
    </w:p>
    <w:p w14:paraId="4809F2DE">
      <w:pPr>
        <w:pStyle w:val="61"/>
        <w:rPr>
          <w:rFonts w:hint="eastAsia"/>
          <w:lang w:val="en-US" w:eastAsia="zh-CN"/>
        </w:rPr>
      </w:pPr>
      <w:r>
        <w:rPr>
          <w:rFonts w:hint="eastAsia"/>
          <w:lang w:val="en-US" w:eastAsia="zh-CN"/>
        </w:rPr>
        <w:t>透明观察窗材料应满足以下要求：</w:t>
      </w:r>
    </w:p>
    <w:p w14:paraId="360DF797">
      <w:pPr>
        <w:pStyle w:val="61"/>
        <w:rPr>
          <w:rFonts w:hint="eastAsia"/>
          <w:lang w:val="en-US" w:eastAsia="zh-CN"/>
        </w:rPr>
      </w:pPr>
      <w:r>
        <w:rPr>
          <w:rFonts w:hint="eastAsia"/>
          <w:lang w:val="en-US" w:eastAsia="zh-CN"/>
        </w:rPr>
        <w:t>a）观察窗应采用高透光率PC材料，透光率≥85%；</w:t>
      </w:r>
    </w:p>
    <w:p w14:paraId="713AC226">
      <w:pPr>
        <w:pStyle w:val="61"/>
        <w:rPr>
          <w:rFonts w:hint="default"/>
          <w:lang w:val="en-US" w:eastAsia="zh-CN"/>
        </w:rPr>
      </w:pPr>
      <w:r>
        <w:rPr>
          <w:rFonts w:hint="eastAsia"/>
          <w:lang w:val="en-US" w:eastAsia="zh-CN"/>
        </w:rPr>
        <w:t>b）材料抗冲击强度≥20kJ/m²。</w:t>
      </w:r>
    </w:p>
    <w:p w14:paraId="78D26D5F">
      <w:pPr>
        <w:pStyle w:val="61"/>
        <w:ind w:left="0" w:leftChars="0" w:firstLine="0" w:firstLineChars="0"/>
        <w:rPr>
          <w:rFonts w:hint="eastAsia"/>
          <w:lang w:val="en-US" w:eastAsia="zh-CN"/>
        </w:rPr>
      </w:pPr>
      <w:r>
        <w:rPr>
          <w:rFonts w:hint="eastAsia"/>
          <w:lang w:val="en-US" w:eastAsia="zh-CN"/>
        </w:rPr>
        <w:t>5.1.3 密封材料</w:t>
      </w:r>
    </w:p>
    <w:p w14:paraId="7FBE3B3D">
      <w:pPr>
        <w:pStyle w:val="61"/>
        <w:rPr>
          <w:rFonts w:hint="eastAsia"/>
          <w:lang w:val="en-US" w:eastAsia="zh-CN"/>
        </w:rPr>
      </w:pPr>
      <w:r>
        <w:rPr>
          <w:rFonts w:hint="eastAsia"/>
          <w:lang w:val="en-US" w:eastAsia="zh-CN"/>
        </w:rPr>
        <w:t>密封材料应满足以下要求：</w:t>
      </w:r>
    </w:p>
    <w:p w14:paraId="0A084A83">
      <w:pPr>
        <w:pStyle w:val="61"/>
        <w:rPr>
          <w:rFonts w:hint="eastAsia"/>
          <w:lang w:val="en-US" w:eastAsia="zh-CN"/>
        </w:rPr>
      </w:pPr>
      <w:r>
        <w:rPr>
          <w:rFonts w:hint="eastAsia"/>
          <w:lang w:val="en-US" w:eastAsia="zh-CN"/>
        </w:rPr>
        <w:t>a）密封条应采用耐老化橡胶（如EPDM）；</w:t>
      </w:r>
    </w:p>
    <w:p w14:paraId="74F1BFCA">
      <w:pPr>
        <w:pStyle w:val="61"/>
        <w:rPr>
          <w:rFonts w:hint="eastAsia"/>
          <w:lang w:val="en-US" w:eastAsia="zh-CN"/>
        </w:rPr>
      </w:pPr>
      <w:r>
        <w:rPr>
          <w:rFonts w:hint="eastAsia"/>
          <w:lang w:val="en-US" w:eastAsia="zh-CN"/>
        </w:rPr>
        <w:t>b）密封材料在95%RH、40℃条件下72h不失效。</w:t>
      </w:r>
    </w:p>
    <w:p w14:paraId="138B209E">
      <w:pPr>
        <w:pStyle w:val="61"/>
        <w:ind w:left="0" w:leftChars="0" w:firstLine="0" w:firstLineChars="0"/>
        <w:rPr>
          <w:rFonts w:hint="eastAsia"/>
          <w:lang w:val="en-US" w:eastAsia="zh-CN"/>
        </w:rPr>
      </w:pPr>
      <w:r>
        <w:rPr>
          <w:rFonts w:hint="eastAsia"/>
          <w:lang w:val="en-US" w:eastAsia="zh-CN"/>
        </w:rPr>
        <w:t>5.1.4 内部绝缘及支撑材料</w:t>
      </w:r>
    </w:p>
    <w:p w14:paraId="3B65BC02">
      <w:pPr>
        <w:pStyle w:val="61"/>
        <w:rPr>
          <w:rFonts w:hint="eastAsia"/>
          <w:lang w:val="en-US" w:eastAsia="zh-CN"/>
        </w:rPr>
      </w:pPr>
      <w:r>
        <w:rPr>
          <w:rFonts w:hint="eastAsia"/>
          <w:lang w:val="en-US" w:eastAsia="zh-CN"/>
        </w:rPr>
        <w:t>内部绝缘及支撑材料应满足以下要求：</w:t>
      </w:r>
    </w:p>
    <w:p w14:paraId="420DEB1A">
      <w:pPr>
        <w:pStyle w:val="61"/>
        <w:rPr>
          <w:rFonts w:hint="eastAsia"/>
          <w:lang w:val="en-US" w:eastAsia="zh-CN"/>
        </w:rPr>
      </w:pPr>
      <w:r>
        <w:rPr>
          <w:rFonts w:hint="eastAsia"/>
          <w:lang w:val="en-US" w:eastAsia="zh-CN"/>
        </w:rPr>
        <w:t>a）内部支架、隔板应使用阻燃绝缘材料，耐电痕化指数（CTI）≥600；</w:t>
      </w:r>
    </w:p>
    <w:p w14:paraId="0DFA0247">
      <w:pPr>
        <w:pStyle w:val="61"/>
        <w:rPr>
          <w:rFonts w:hint="eastAsia"/>
          <w:lang w:val="en-US" w:eastAsia="zh-CN"/>
        </w:rPr>
      </w:pPr>
      <w:r>
        <w:rPr>
          <w:rFonts w:hint="eastAsia"/>
          <w:lang w:val="en-US" w:eastAsia="zh-CN"/>
        </w:rPr>
        <w:t>b）绝缘件应满足爬电距离、电气间隙要求，不应有裂纹、变形等缺陷。</w:t>
      </w:r>
    </w:p>
    <w:p w14:paraId="51AF5ED1">
      <w:pPr>
        <w:pStyle w:val="110"/>
        <w:spacing w:before="120" w:after="120"/>
        <w:rPr>
          <w:rFonts w:hint="eastAsia"/>
          <w:lang w:val="en-US" w:eastAsia="zh-CN"/>
        </w:rPr>
      </w:pPr>
      <w:bookmarkStart w:id="72" w:name="_Toc20993"/>
      <w:r>
        <w:rPr>
          <w:rFonts w:hint="eastAsia"/>
          <w:lang w:val="en-US" w:eastAsia="zh-CN"/>
        </w:rPr>
        <w:t>电气性能要求</w:t>
      </w:r>
      <w:bookmarkEnd w:id="72"/>
    </w:p>
    <w:p w14:paraId="6965C31C">
      <w:pPr>
        <w:pStyle w:val="61"/>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5.2.1 绝缘性能</w:t>
      </w:r>
    </w:p>
    <w:p w14:paraId="5C65CEA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绝缘性能应符合下列要求：</w:t>
      </w:r>
    </w:p>
    <w:p w14:paraId="4B362E0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a）外壳与带电部件之间应保持可靠绝缘，不应发生击穿或闪络；</w:t>
      </w:r>
    </w:p>
    <w:p w14:paraId="3219B0B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b）绝缘电阻≥100MΩ；</w:t>
      </w:r>
    </w:p>
    <w:p w14:paraId="256ECAD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c）在高湿环境下（湿度≥93%RH），绝缘电阻≥5MΩ。</w:t>
      </w:r>
    </w:p>
    <w:p w14:paraId="3607FE79">
      <w:pPr>
        <w:pStyle w:val="61"/>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5.2.2 接地要求</w:t>
      </w:r>
    </w:p>
    <w:p w14:paraId="365E496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接地系统应符合以下要求：</w:t>
      </w:r>
    </w:p>
    <w:p w14:paraId="606E402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a）计量箱应设置独立的接地端子，结构可靠；</w:t>
      </w:r>
    </w:p>
    <w:p w14:paraId="006D515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b）保护接地（PE）回路的接地电阻≤0.1Ω；</w:t>
      </w:r>
    </w:p>
    <w:p w14:paraId="408300F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c）接地导体截面积不应小于16mm²（铜）或25mm²（铝）；</w:t>
      </w:r>
    </w:p>
    <w:p w14:paraId="7D7E7CB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d）接地端子在外力作用下不应出现松动、破损或脱落。</w:t>
      </w:r>
    </w:p>
    <w:p w14:paraId="0B2B5CD0">
      <w:pPr>
        <w:pStyle w:val="61"/>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5.2.3 载流能力</w:t>
      </w:r>
    </w:p>
    <w:p w14:paraId="7BD3459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载流部件应满足以下要求：</w:t>
      </w:r>
    </w:p>
    <w:p w14:paraId="763FFC8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a）内部导线的长期工作温升≤45℃；</w:t>
      </w:r>
    </w:p>
    <w:p w14:paraId="5CE676A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b）铜排载流能力应满足满载运行条件下无异常发热；</w:t>
      </w:r>
    </w:p>
    <w:p w14:paraId="1579688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c）端子接触电阻增量不应超过初始值的30%。</w:t>
      </w:r>
    </w:p>
    <w:p w14:paraId="159589D5">
      <w:pPr>
        <w:pStyle w:val="61"/>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5.2.4 电磁兼容性</w:t>
      </w:r>
    </w:p>
    <w:p w14:paraId="395B305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电磁兼容性应满足以下要求：</w:t>
      </w:r>
    </w:p>
    <w:p w14:paraId="43CD312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a）电磁辐射不应影响计量精度和通信功能；</w:t>
      </w:r>
    </w:p>
    <w:p w14:paraId="1F7ABBA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b）应具备对静电放电、电快速瞬变脉冲、浪涌干扰的抗扰能力；</w:t>
      </w:r>
    </w:p>
    <w:p w14:paraId="10FEBB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c）在强电磁场环境下，计量、通信与控制功能应正常工作。</w:t>
      </w:r>
    </w:p>
    <w:p w14:paraId="46B14BE0">
      <w:pPr>
        <w:pStyle w:val="110"/>
        <w:spacing w:before="120" w:after="120"/>
        <w:rPr>
          <w:rFonts w:hint="eastAsia"/>
          <w:lang w:val="en-US" w:eastAsia="zh-CN"/>
        </w:rPr>
      </w:pPr>
      <w:bookmarkStart w:id="73" w:name="_Toc29431"/>
      <w:r>
        <w:rPr>
          <w:rFonts w:hint="eastAsia"/>
          <w:lang w:val="en-US" w:eastAsia="zh-CN"/>
        </w:rPr>
        <w:t>防窃电功能要求</w:t>
      </w:r>
      <w:bookmarkEnd w:id="73"/>
    </w:p>
    <w:p w14:paraId="5F11DD27">
      <w:pPr>
        <w:pStyle w:val="61"/>
        <w:ind w:left="0" w:leftChars="0" w:firstLine="0" w:firstLineChars="0"/>
        <w:rPr>
          <w:rFonts w:hint="eastAsia"/>
          <w:lang w:val="en-US" w:eastAsia="zh-CN"/>
        </w:rPr>
      </w:pPr>
      <w:r>
        <w:rPr>
          <w:rFonts w:hint="eastAsia"/>
          <w:lang w:val="en-US" w:eastAsia="zh-CN"/>
        </w:rPr>
        <w:t>5.3.1 物理防窃电措施</w:t>
      </w:r>
    </w:p>
    <w:p w14:paraId="7EB8378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物理防窃电措施</w:t>
      </w:r>
      <w:r>
        <w:rPr>
          <w:rFonts w:hint="eastAsia" w:hAnsi="宋体" w:cs="宋体"/>
          <w:sz w:val="21"/>
          <w:szCs w:val="21"/>
          <w:lang w:val="en-US" w:eastAsia="zh-CN"/>
        </w:rPr>
        <w:t>如下</w:t>
      </w:r>
      <w:r>
        <w:rPr>
          <w:rFonts w:hint="eastAsia" w:ascii="宋体" w:hAnsi="宋体" w:eastAsia="宋体" w:cs="宋体"/>
          <w:sz w:val="21"/>
          <w:szCs w:val="21"/>
          <w:lang w:val="en-US" w:eastAsia="zh-CN"/>
        </w:rPr>
        <w:t>：</w:t>
      </w:r>
    </w:p>
    <w:p w14:paraId="3050BB5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a）箱体采用防撬、防撞击设计，门缝隙≤3mm；</w:t>
      </w:r>
    </w:p>
    <w:p w14:paraId="7F27603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b）箱门应配置机械锁和电子锁，门开启应触发报警信号；</w:t>
      </w:r>
    </w:p>
    <w:p w14:paraId="359C4E8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c）所有外露电气端子应有防护罩或封闭隔离；</w:t>
      </w:r>
    </w:p>
    <w:p w14:paraId="2CA9941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d）内部布线应有防剪、防拆设计，关键线路应经过保护固定。</w:t>
      </w:r>
    </w:p>
    <w:p w14:paraId="061EE917">
      <w:pPr>
        <w:pStyle w:val="61"/>
        <w:ind w:left="0" w:leftChars="0" w:firstLine="0" w:firstLineChars="0"/>
        <w:rPr>
          <w:rFonts w:hint="eastAsia"/>
          <w:lang w:val="en-US" w:eastAsia="zh-CN"/>
        </w:rPr>
      </w:pPr>
      <w:r>
        <w:rPr>
          <w:rFonts w:hint="eastAsia"/>
          <w:lang w:val="en-US" w:eastAsia="zh-CN"/>
        </w:rPr>
        <w:t>5.3.2 电气防窃电技术</w:t>
      </w:r>
    </w:p>
    <w:p w14:paraId="0A5B3DB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电气防窃电技术</w:t>
      </w:r>
      <w:r>
        <w:rPr>
          <w:rFonts w:hint="eastAsia" w:hAnsi="宋体" w:cs="宋体"/>
          <w:sz w:val="21"/>
          <w:szCs w:val="21"/>
          <w:lang w:val="en-US" w:eastAsia="zh-CN"/>
        </w:rPr>
        <w:t>要求如下</w:t>
      </w:r>
      <w:r>
        <w:rPr>
          <w:rFonts w:hint="eastAsia" w:ascii="宋体" w:hAnsi="宋体" w:eastAsia="宋体" w:cs="宋体"/>
          <w:sz w:val="21"/>
          <w:szCs w:val="21"/>
          <w:lang w:val="en-US" w:eastAsia="zh-CN"/>
        </w:rPr>
        <w:t>：</w:t>
      </w:r>
    </w:p>
    <w:p w14:paraId="507C195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a）应能实时检测电流异常、反向电流、旁路接入或跳闸等窃电行为；</w:t>
      </w:r>
    </w:p>
    <w:p w14:paraId="0D66D7A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b）应具备自动断电或报警联动功能；</w:t>
      </w:r>
    </w:p>
    <w:p w14:paraId="30A5DE1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c）关键测量环节应采用防篡改设计；</w:t>
      </w:r>
    </w:p>
    <w:p w14:paraId="7A7A0A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d）异常状态记录时间</w:t>
      </w:r>
      <w:r>
        <w:rPr>
          <w:rFonts w:hint="eastAsia" w:hAnsi="宋体" w:cs="宋体"/>
          <w:sz w:val="21"/>
          <w:szCs w:val="21"/>
          <w:lang w:val="en-US" w:eastAsia="zh-CN"/>
        </w:rPr>
        <w:t>应</w:t>
      </w:r>
      <w:r>
        <w:rPr>
          <w:rFonts w:hint="eastAsia" w:ascii="宋体" w:hAnsi="宋体" w:eastAsia="宋体" w:cs="宋体"/>
          <w:sz w:val="21"/>
          <w:szCs w:val="21"/>
          <w:lang w:val="en-US" w:eastAsia="zh-CN"/>
        </w:rPr>
        <w:t>不少于12个月。</w:t>
      </w:r>
    </w:p>
    <w:p w14:paraId="05C235DE">
      <w:pPr>
        <w:pStyle w:val="61"/>
        <w:ind w:left="0" w:leftChars="0" w:firstLine="0" w:firstLineChars="0"/>
        <w:rPr>
          <w:rFonts w:hint="eastAsia"/>
          <w:lang w:val="en-US" w:eastAsia="zh-CN"/>
        </w:rPr>
      </w:pPr>
      <w:r>
        <w:rPr>
          <w:rFonts w:hint="eastAsia"/>
          <w:lang w:val="en-US" w:eastAsia="zh-CN"/>
        </w:rPr>
        <w:t>5.3.3 数据防窃电机制</w:t>
      </w:r>
    </w:p>
    <w:p w14:paraId="1299267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数据保护应包括以下要求：</w:t>
      </w:r>
    </w:p>
    <w:p w14:paraId="542A707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a）计量数据传输加密</w:t>
      </w:r>
      <w:r>
        <w:rPr>
          <w:rFonts w:hint="eastAsia" w:hAnsi="宋体" w:cs="宋体"/>
          <w:sz w:val="21"/>
          <w:szCs w:val="21"/>
          <w:lang w:val="en-US" w:eastAsia="zh-CN"/>
        </w:rPr>
        <w:t>应符合YD/T 4712的要求</w:t>
      </w:r>
      <w:r>
        <w:rPr>
          <w:rFonts w:hint="eastAsia" w:ascii="宋体" w:hAnsi="宋体" w:eastAsia="宋体" w:cs="宋体"/>
          <w:sz w:val="21"/>
          <w:szCs w:val="21"/>
          <w:lang w:val="en-US" w:eastAsia="zh-CN"/>
        </w:rPr>
        <w:t>；</w:t>
      </w:r>
    </w:p>
    <w:p w14:paraId="38678BC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b）存储在本地的数据应具备防篡改、防删除机制，关键数据不可被非法修改；</w:t>
      </w:r>
    </w:p>
    <w:p w14:paraId="0BBCD38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c）应能记录电表配置变更、设备重置及异常操作日志，并能远程查询；</w:t>
      </w:r>
    </w:p>
    <w:p w14:paraId="69A125C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d）计量数据误差检测与校验机制应能识别非法干扰或异常数据。</w:t>
      </w:r>
    </w:p>
    <w:p w14:paraId="185DDA0E">
      <w:pPr>
        <w:pStyle w:val="110"/>
        <w:spacing w:before="120" w:after="120"/>
        <w:rPr>
          <w:rFonts w:hint="eastAsia"/>
          <w:lang w:val="en-US" w:eastAsia="zh-CN"/>
        </w:rPr>
      </w:pPr>
      <w:bookmarkStart w:id="74" w:name="_Toc1303"/>
      <w:r>
        <w:rPr>
          <w:rFonts w:hint="eastAsia"/>
          <w:lang w:val="en-US" w:eastAsia="zh-CN"/>
        </w:rPr>
        <w:t>通信与智能化功能要求</w:t>
      </w:r>
      <w:bookmarkEnd w:id="74"/>
    </w:p>
    <w:p w14:paraId="117A0CAC">
      <w:pPr>
        <w:pStyle w:val="61"/>
        <w:ind w:left="0" w:leftChars="0" w:firstLine="0" w:firstLineChars="0"/>
        <w:rPr>
          <w:rFonts w:hint="default"/>
          <w:lang w:val="en-US" w:eastAsia="zh-CN"/>
        </w:rPr>
      </w:pPr>
      <w:r>
        <w:rPr>
          <w:rFonts w:hint="eastAsia"/>
          <w:lang w:val="en-US" w:eastAsia="zh-CN"/>
        </w:rPr>
        <w:t>5.4.1 通信接口要求</w:t>
      </w:r>
    </w:p>
    <w:p w14:paraId="0E4215F6">
      <w:pPr>
        <w:pStyle w:val="61"/>
        <w:rPr>
          <w:rFonts w:hint="eastAsia"/>
          <w:lang w:val="en-US" w:eastAsia="zh-CN"/>
        </w:rPr>
      </w:pPr>
      <w:r>
        <w:rPr>
          <w:rFonts w:hint="eastAsia"/>
          <w:lang w:val="en-US" w:eastAsia="zh-CN"/>
        </w:rPr>
        <w:t>通信接口要求如下：</w:t>
      </w:r>
    </w:p>
    <w:p w14:paraId="76AE0447">
      <w:pPr>
        <w:pStyle w:val="61"/>
        <w:rPr>
          <w:rFonts w:hint="eastAsia"/>
          <w:lang w:val="en-US" w:eastAsia="zh-CN"/>
        </w:rPr>
      </w:pPr>
      <w:r>
        <w:rPr>
          <w:rFonts w:hint="eastAsia"/>
          <w:lang w:val="en-US" w:eastAsia="zh-CN"/>
        </w:rPr>
        <w:t>a）应至少提供一种支持远程数据传输的接口，如RS-485、RJ45或光纤接口；</w:t>
      </w:r>
    </w:p>
    <w:p w14:paraId="67D3064D">
      <w:pPr>
        <w:pStyle w:val="61"/>
        <w:rPr>
          <w:rFonts w:hint="eastAsia"/>
          <w:lang w:val="en-US" w:eastAsia="zh-CN"/>
        </w:rPr>
      </w:pPr>
      <w:r>
        <w:rPr>
          <w:rFonts w:hint="eastAsia"/>
          <w:lang w:val="en-US" w:eastAsia="zh-CN"/>
        </w:rPr>
        <w:t>b）通信接口应支持DL/T 645-2007、Modbus RTU/TCP等标准协议；</w:t>
      </w:r>
    </w:p>
    <w:p w14:paraId="4882CDDB">
      <w:pPr>
        <w:pStyle w:val="61"/>
        <w:rPr>
          <w:rFonts w:hint="eastAsia"/>
          <w:lang w:val="en-US" w:eastAsia="zh-CN"/>
        </w:rPr>
      </w:pPr>
      <w:r>
        <w:rPr>
          <w:rFonts w:hint="eastAsia"/>
          <w:lang w:val="en-US" w:eastAsia="zh-CN"/>
        </w:rPr>
        <w:t>c）接口速率不应低于9600bps或等效工业标准。</w:t>
      </w:r>
    </w:p>
    <w:p w14:paraId="1D8E67AF">
      <w:pPr>
        <w:pStyle w:val="61"/>
        <w:ind w:left="0" w:leftChars="0" w:firstLine="0" w:firstLineChars="0"/>
        <w:rPr>
          <w:rFonts w:hint="eastAsia"/>
          <w:lang w:val="en-US" w:eastAsia="zh-CN"/>
        </w:rPr>
      </w:pPr>
      <w:r>
        <w:rPr>
          <w:rFonts w:hint="eastAsia"/>
          <w:lang w:val="en-US" w:eastAsia="zh-CN"/>
        </w:rPr>
        <w:t>5.4.2 远程监控与管理</w:t>
      </w:r>
    </w:p>
    <w:p w14:paraId="4970F8B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远程监控与管理要求如下：</w:t>
      </w:r>
    </w:p>
    <w:p w14:paraId="72C732B4">
      <w:pPr>
        <w:pStyle w:val="61"/>
        <w:rPr>
          <w:rFonts w:hint="eastAsia"/>
          <w:lang w:val="en-US" w:eastAsia="zh-CN"/>
        </w:rPr>
      </w:pPr>
      <w:r>
        <w:rPr>
          <w:rFonts w:hint="eastAsia"/>
          <w:lang w:val="en-US" w:eastAsia="zh-CN"/>
        </w:rPr>
        <w:t>a）可远程读取有功、无功电能数据及电流、电压等电气参数；</w:t>
      </w:r>
    </w:p>
    <w:p w14:paraId="543FA3F5">
      <w:pPr>
        <w:pStyle w:val="61"/>
        <w:rPr>
          <w:rFonts w:hint="eastAsia"/>
          <w:lang w:val="en-US" w:eastAsia="zh-CN"/>
        </w:rPr>
      </w:pPr>
      <w:r>
        <w:rPr>
          <w:rFonts w:hint="eastAsia"/>
          <w:lang w:val="en-US" w:eastAsia="zh-CN"/>
        </w:rPr>
        <w:t>b）可远程监控设备状态，包括门锁状态、异常报警、过流、短路等事件；</w:t>
      </w:r>
    </w:p>
    <w:p w14:paraId="30A15E75">
      <w:pPr>
        <w:pStyle w:val="61"/>
        <w:rPr>
          <w:rFonts w:hint="eastAsia"/>
          <w:lang w:val="en-US" w:eastAsia="zh-CN"/>
        </w:rPr>
      </w:pPr>
      <w:r>
        <w:rPr>
          <w:rFonts w:hint="eastAsia"/>
          <w:lang w:val="en-US" w:eastAsia="zh-CN"/>
        </w:rPr>
        <w:t>c）应能远程设置计量箱工作模式、报警阈值及通信参数；</w:t>
      </w:r>
    </w:p>
    <w:p w14:paraId="04C24A76">
      <w:pPr>
        <w:pStyle w:val="61"/>
        <w:rPr>
          <w:rFonts w:hint="eastAsia"/>
          <w:lang w:val="en-US" w:eastAsia="zh-CN"/>
        </w:rPr>
      </w:pPr>
      <w:r>
        <w:rPr>
          <w:rFonts w:hint="eastAsia"/>
          <w:lang w:val="en-US" w:eastAsia="zh-CN"/>
        </w:rPr>
        <w:t>d）远程管理系统应支持历史数据查询及导出，数据保留不少于12个月。</w:t>
      </w:r>
    </w:p>
    <w:p w14:paraId="51970AF2">
      <w:pPr>
        <w:pStyle w:val="61"/>
        <w:ind w:left="0" w:leftChars="0" w:firstLine="0" w:firstLineChars="0"/>
        <w:rPr>
          <w:rFonts w:hint="eastAsia"/>
          <w:lang w:val="en-US" w:eastAsia="zh-CN"/>
        </w:rPr>
      </w:pPr>
      <w:r>
        <w:rPr>
          <w:rFonts w:hint="eastAsia"/>
          <w:lang w:val="en-US" w:eastAsia="zh-CN"/>
        </w:rPr>
        <w:t>5.4.3 智能分析与预警</w:t>
      </w:r>
    </w:p>
    <w:p w14:paraId="61058F62">
      <w:pPr>
        <w:pStyle w:val="61"/>
        <w:rPr>
          <w:rFonts w:hint="eastAsia"/>
          <w:lang w:val="en-US" w:eastAsia="zh-CN"/>
        </w:rPr>
      </w:pPr>
      <w:r>
        <w:rPr>
          <w:rFonts w:hint="eastAsia"/>
          <w:lang w:val="en-US" w:eastAsia="zh-CN"/>
        </w:rPr>
        <w:t>智能分析与预警要求如下：</w:t>
      </w:r>
    </w:p>
    <w:p w14:paraId="4916858B">
      <w:pPr>
        <w:pStyle w:val="61"/>
        <w:rPr>
          <w:rFonts w:hint="eastAsia"/>
          <w:lang w:val="en-US" w:eastAsia="zh-CN"/>
        </w:rPr>
      </w:pPr>
      <w:r>
        <w:rPr>
          <w:rFonts w:hint="eastAsia"/>
          <w:lang w:val="en-US" w:eastAsia="zh-CN"/>
        </w:rPr>
        <w:t>a）应能识别异常用电行为，如反向电流、异常波动、旁路接入等；</w:t>
      </w:r>
    </w:p>
    <w:p w14:paraId="1705490E">
      <w:pPr>
        <w:pStyle w:val="61"/>
        <w:rPr>
          <w:rFonts w:hint="eastAsia"/>
          <w:lang w:val="en-US" w:eastAsia="zh-CN"/>
        </w:rPr>
      </w:pPr>
      <w:r>
        <w:rPr>
          <w:rFonts w:hint="eastAsia"/>
          <w:lang w:val="en-US" w:eastAsia="zh-CN"/>
        </w:rPr>
        <w:t>b）应能自动生成报警信息并同时发送至本地及远程管理平台；</w:t>
      </w:r>
    </w:p>
    <w:p w14:paraId="2ACF5F35">
      <w:pPr>
        <w:pStyle w:val="61"/>
        <w:rPr>
          <w:rFonts w:hint="eastAsia"/>
          <w:lang w:val="en-US" w:eastAsia="zh-CN"/>
        </w:rPr>
      </w:pPr>
      <w:r>
        <w:rPr>
          <w:rFonts w:hint="eastAsia"/>
          <w:lang w:val="en-US" w:eastAsia="zh-CN"/>
        </w:rPr>
        <w:t>c）应具备用电统计与分析功能，可按日、周、月生成报表；</w:t>
      </w:r>
    </w:p>
    <w:p w14:paraId="7683A563">
      <w:pPr>
        <w:pStyle w:val="61"/>
        <w:rPr>
          <w:rFonts w:hint="eastAsia"/>
          <w:lang w:val="en-US" w:eastAsia="zh-CN"/>
        </w:rPr>
      </w:pPr>
      <w:r>
        <w:rPr>
          <w:rFonts w:hint="eastAsia"/>
          <w:lang w:val="en-US" w:eastAsia="zh-CN"/>
        </w:rPr>
        <w:t>d）报警响应时间≤5s。</w:t>
      </w:r>
    </w:p>
    <w:p w14:paraId="485D588D">
      <w:pPr>
        <w:pStyle w:val="110"/>
        <w:spacing w:before="120" w:after="120"/>
        <w:rPr>
          <w:rFonts w:hint="eastAsia"/>
          <w:lang w:val="en-US" w:eastAsia="zh-CN"/>
        </w:rPr>
      </w:pPr>
      <w:bookmarkStart w:id="75" w:name="_Toc29283"/>
      <w:r>
        <w:rPr>
          <w:rFonts w:hint="eastAsia"/>
          <w:lang w:val="en-US" w:eastAsia="zh-CN"/>
        </w:rPr>
        <w:t>计量性能要求</w:t>
      </w:r>
      <w:bookmarkEnd w:id="75"/>
    </w:p>
    <w:p w14:paraId="43DC30BE">
      <w:pPr>
        <w:pStyle w:val="61"/>
        <w:ind w:left="0" w:leftChars="0" w:firstLine="0" w:firstLineChars="0"/>
        <w:rPr>
          <w:rFonts w:hint="eastAsia"/>
          <w:lang w:val="en-US" w:eastAsia="zh-CN"/>
        </w:rPr>
      </w:pPr>
      <w:r>
        <w:rPr>
          <w:rFonts w:hint="eastAsia"/>
          <w:lang w:val="en-US" w:eastAsia="zh-CN"/>
        </w:rPr>
        <w:t>5.5.1 精度等级</w:t>
      </w:r>
    </w:p>
    <w:p w14:paraId="3E4376E6">
      <w:pPr>
        <w:pStyle w:val="61"/>
        <w:rPr>
          <w:rFonts w:hint="eastAsia"/>
          <w:lang w:val="en-US" w:eastAsia="zh-CN"/>
        </w:rPr>
      </w:pPr>
      <w:r>
        <w:rPr>
          <w:rFonts w:hint="eastAsia"/>
          <w:lang w:val="en-US" w:eastAsia="zh-CN"/>
        </w:rPr>
        <w:t>精度等级要求如下：</w:t>
      </w:r>
    </w:p>
    <w:p w14:paraId="1F5371E6">
      <w:pPr>
        <w:pStyle w:val="61"/>
        <w:rPr>
          <w:rFonts w:hint="default"/>
          <w:lang w:val="en-US" w:eastAsia="zh-CN"/>
        </w:rPr>
      </w:pPr>
      <w:r>
        <w:rPr>
          <w:rFonts w:hint="eastAsia"/>
          <w:lang w:val="en-US" w:eastAsia="zh-CN"/>
        </w:rPr>
        <w:t>a）应符合GB/T 16934的要求；</w:t>
      </w:r>
    </w:p>
    <w:p w14:paraId="52B47093">
      <w:pPr>
        <w:pStyle w:val="61"/>
        <w:rPr>
          <w:rFonts w:hint="eastAsia"/>
          <w:lang w:val="en-US" w:eastAsia="zh-CN"/>
        </w:rPr>
      </w:pPr>
      <w:r>
        <w:rPr>
          <w:rFonts w:hint="eastAsia"/>
          <w:lang w:val="en-US" w:eastAsia="zh-CN"/>
        </w:rPr>
        <w:t>b）有功电能计量精度等级应为1.0或更高，误差不应超过±1%；</w:t>
      </w:r>
    </w:p>
    <w:p w14:paraId="05F7A074">
      <w:pPr>
        <w:pStyle w:val="61"/>
        <w:rPr>
          <w:rFonts w:hint="eastAsia"/>
          <w:lang w:val="en-US" w:eastAsia="zh-CN"/>
        </w:rPr>
      </w:pPr>
      <w:r>
        <w:rPr>
          <w:rFonts w:hint="eastAsia"/>
          <w:lang w:val="en-US" w:eastAsia="zh-CN"/>
        </w:rPr>
        <w:t>c）无功电能计量精度等级应为2.0或更高，误差不应超过±2%；</w:t>
      </w:r>
    </w:p>
    <w:p w14:paraId="5B0CF841">
      <w:pPr>
        <w:pStyle w:val="61"/>
        <w:rPr>
          <w:rFonts w:hint="eastAsia"/>
          <w:lang w:val="en-US" w:eastAsia="zh-CN"/>
        </w:rPr>
      </w:pPr>
      <w:r>
        <w:rPr>
          <w:rFonts w:hint="eastAsia"/>
          <w:lang w:val="en-US" w:eastAsia="zh-CN"/>
        </w:rPr>
        <w:t>d）计量精度应在额定电压±10%、频率±2%的条件下保持稳定。</w:t>
      </w:r>
    </w:p>
    <w:p w14:paraId="437F28B3">
      <w:pPr>
        <w:pStyle w:val="61"/>
        <w:ind w:left="0" w:leftChars="0" w:firstLine="0" w:firstLineChars="0"/>
        <w:rPr>
          <w:rFonts w:hint="eastAsia"/>
          <w:lang w:val="en-US" w:eastAsia="zh-CN"/>
        </w:rPr>
      </w:pPr>
      <w:r>
        <w:rPr>
          <w:rFonts w:hint="eastAsia"/>
          <w:lang w:val="en-US" w:eastAsia="zh-CN"/>
        </w:rPr>
        <w:t>5.5.2 动态特性</w:t>
      </w:r>
    </w:p>
    <w:p w14:paraId="61FC432B">
      <w:pPr>
        <w:pStyle w:val="61"/>
        <w:rPr>
          <w:rFonts w:hint="default"/>
          <w:lang w:val="en-US" w:eastAsia="zh-CN"/>
        </w:rPr>
      </w:pPr>
      <w:r>
        <w:rPr>
          <w:rFonts w:hint="default"/>
          <w:lang w:val="en-US" w:eastAsia="zh-CN"/>
        </w:rPr>
        <w:t>动态响应性能</w:t>
      </w:r>
      <w:r>
        <w:rPr>
          <w:rFonts w:hint="eastAsia"/>
          <w:lang w:val="en-US" w:eastAsia="zh-CN"/>
        </w:rPr>
        <w:t>要求如下</w:t>
      </w:r>
      <w:r>
        <w:rPr>
          <w:rFonts w:hint="default"/>
          <w:lang w:val="en-US" w:eastAsia="zh-CN"/>
        </w:rPr>
        <w:t>：</w:t>
      </w:r>
    </w:p>
    <w:p w14:paraId="6D7E5F0F">
      <w:pPr>
        <w:pStyle w:val="61"/>
        <w:rPr>
          <w:rFonts w:hint="eastAsia" w:ascii="宋体" w:hAnsi="宋体" w:eastAsia="宋体" w:cs="宋体"/>
          <w:lang w:val="en-US" w:eastAsia="zh-CN"/>
        </w:rPr>
      </w:pPr>
      <w:r>
        <w:rPr>
          <w:rFonts w:hint="eastAsia" w:ascii="宋体" w:hAnsi="宋体" w:eastAsia="宋体" w:cs="宋体"/>
          <w:lang w:val="en-US" w:eastAsia="zh-CN"/>
        </w:rPr>
        <w:t>a）负载变化速率为0.1～2×I</w:t>
      </w:r>
      <w:r>
        <w:rPr>
          <w:rFonts w:hint="eastAsia" w:ascii="宋体" w:hAnsi="宋体" w:eastAsia="宋体" w:cs="宋体"/>
          <w:vertAlign w:val="subscript"/>
          <w:lang w:val="en-US" w:eastAsia="zh-CN"/>
        </w:rPr>
        <w:t>n</w:t>
      </w:r>
      <w:r>
        <w:rPr>
          <w:rFonts w:hint="eastAsia" w:ascii="宋体" w:hAnsi="宋体" w:eastAsia="宋体" w:cs="宋体"/>
          <w:lang w:val="en-US" w:eastAsia="zh-CN"/>
        </w:rPr>
        <w:t>/s时，计量误差不应超过±1.5倍精度等级；</w:t>
      </w:r>
    </w:p>
    <w:p w14:paraId="20FA5607">
      <w:pPr>
        <w:pStyle w:val="61"/>
        <w:rPr>
          <w:rFonts w:hint="eastAsia" w:ascii="宋体" w:hAnsi="宋体" w:eastAsia="宋体" w:cs="宋体"/>
          <w:lang w:val="en-US" w:eastAsia="zh-CN"/>
        </w:rPr>
      </w:pPr>
      <w:r>
        <w:rPr>
          <w:rFonts w:hint="eastAsia" w:ascii="宋体" w:hAnsi="宋体" w:eastAsia="宋体" w:cs="宋体"/>
          <w:lang w:val="en-US" w:eastAsia="zh-CN"/>
        </w:rPr>
        <w:t>b）电压波动±10%时，计量误差不应超过精度等级要求；</w:t>
      </w:r>
    </w:p>
    <w:p w14:paraId="40309344">
      <w:pPr>
        <w:pStyle w:val="61"/>
        <w:rPr>
          <w:rFonts w:hint="eastAsia" w:ascii="宋体" w:hAnsi="宋体" w:eastAsia="宋体" w:cs="宋体"/>
          <w:lang w:val="en-US" w:eastAsia="zh-CN"/>
        </w:rPr>
      </w:pPr>
      <w:r>
        <w:rPr>
          <w:rFonts w:hint="eastAsia" w:ascii="宋体" w:hAnsi="宋体" w:eastAsia="宋体" w:cs="宋体"/>
          <w:lang w:val="en-US" w:eastAsia="zh-CN"/>
        </w:rPr>
        <w:t>c）三相不平衡度≤4%时，计量误差不应超过精度等级要求；</w:t>
      </w:r>
    </w:p>
    <w:p w14:paraId="74DB6A23">
      <w:pPr>
        <w:pStyle w:val="61"/>
        <w:rPr>
          <w:rFonts w:hint="eastAsia" w:ascii="宋体" w:hAnsi="宋体" w:eastAsia="宋体" w:cs="宋体"/>
          <w:lang w:val="en-US" w:eastAsia="zh-CN"/>
        </w:rPr>
      </w:pPr>
      <w:r>
        <w:rPr>
          <w:rFonts w:hint="eastAsia" w:ascii="宋体" w:hAnsi="宋体" w:eastAsia="宋体" w:cs="宋体"/>
          <w:lang w:val="en-US" w:eastAsia="zh-CN"/>
        </w:rPr>
        <w:t>d）电压谐波含量≤5%（THD）时，计量误差不应超过精度等级要求。</w:t>
      </w:r>
    </w:p>
    <w:p w14:paraId="66B5037E">
      <w:pPr>
        <w:pStyle w:val="110"/>
        <w:spacing w:before="120" w:after="120"/>
        <w:rPr>
          <w:rFonts w:hint="eastAsia"/>
          <w:lang w:val="en-US" w:eastAsia="zh-CN"/>
        </w:rPr>
      </w:pPr>
      <w:bookmarkStart w:id="76" w:name="_Toc30566"/>
      <w:r>
        <w:rPr>
          <w:rFonts w:hint="eastAsia"/>
          <w:lang w:val="en-US" w:eastAsia="zh-CN"/>
        </w:rPr>
        <w:t>机械性能要求</w:t>
      </w:r>
      <w:bookmarkEnd w:id="76"/>
    </w:p>
    <w:p w14:paraId="36D363A6">
      <w:pPr>
        <w:pStyle w:val="61"/>
        <w:ind w:left="0" w:leftChars="0" w:firstLine="0" w:firstLineChars="0"/>
        <w:rPr>
          <w:rFonts w:hint="default"/>
          <w:lang w:val="en-US" w:eastAsia="zh-CN"/>
        </w:rPr>
      </w:pPr>
      <w:r>
        <w:rPr>
          <w:rFonts w:hint="eastAsia"/>
          <w:lang w:val="en-US" w:eastAsia="zh-CN"/>
        </w:rPr>
        <w:t>5.6.1 机械强度要求</w:t>
      </w:r>
    </w:p>
    <w:p w14:paraId="525F783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箱体及内部支架应能承受垂直50 N、水平30 N的静载力而不变形或损坏。</w:t>
      </w:r>
    </w:p>
    <w:p w14:paraId="1DD6170A">
      <w:pPr>
        <w:pStyle w:val="61"/>
        <w:ind w:left="0" w:leftChars="0" w:firstLine="0" w:firstLineChars="0"/>
        <w:rPr>
          <w:rFonts w:hint="default"/>
          <w:lang w:val="en-US" w:eastAsia="zh-CN"/>
        </w:rPr>
      </w:pPr>
      <w:r>
        <w:rPr>
          <w:rFonts w:hint="eastAsia"/>
          <w:lang w:val="en-US" w:eastAsia="zh-CN"/>
        </w:rPr>
        <w:t>5.6.2 耐冲击性要求</w:t>
      </w:r>
    </w:p>
    <w:p w14:paraId="739B027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箱体应能承受1 kJ的冲击而不出现明显变形或破裂，门开启扭矩应≥5 Nm，保证防撬性能。</w:t>
      </w:r>
    </w:p>
    <w:p w14:paraId="47CABCA8">
      <w:pPr>
        <w:pStyle w:val="61"/>
        <w:ind w:left="0" w:leftChars="0" w:firstLine="0" w:firstLineChars="0"/>
        <w:rPr>
          <w:rFonts w:hint="default"/>
          <w:lang w:val="en-US" w:eastAsia="zh-CN"/>
        </w:rPr>
      </w:pPr>
      <w:r>
        <w:rPr>
          <w:rFonts w:hint="eastAsia"/>
          <w:lang w:val="en-US" w:eastAsia="zh-CN"/>
        </w:rPr>
        <w:t>5.6.3 耐振动性要求</w:t>
      </w:r>
    </w:p>
    <w:p w14:paraId="3998F2C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计量箱应能承受10～55 Hz，振幅0.35 mm的振动而不损坏结构或影响电气性能</w:t>
      </w:r>
      <w:r>
        <w:rPr>
          <w:rFonts w:hint="eastAsia"/>
          <w:lang w:val="en-US" w:eastAsia="zh-CN"/>
        </w:rPr>
        <w:t>。</w:t>
      </w:r>
    </w:p>
    <w:p w14:paraId="7FCDD511">
      <w:pPr>
        <w:pStyle w:val="110"/>
        <w:spacing w:before="120" w:after="120"/>
        <w:rPr>
          <w:rFonts w:hint="eastAsia"/>
          <w:lang w:val="en-US" w:eastAsia="zh-CN"/>
        </w:rPr>
      </w:pPr>
      <w:bookmarkStart w:id="77" w:name="_Toc6614"/>
      <w:r>
        <w:rPr>
          <w:rFonts w:hint="eastAsia"/>
          <w:lang w:val="en-US" w:eastAsia="zh-CN"/>
        </w:rPr>
        <w:t>可靠性要求</w:t>
      </w:r>
      <w:bookmarkEnd w:id="77"/>
    </w:p>
    <w:p w14:paraId="022F633A">
      <w:pPr>
        <w:pStyle w:val="61"/>
        <w:ind w:left="0" w:leftChars="0" w:firstLine="0" w:firstLineChars="0"/>
        <w:rPr>
          <w:rFonts w:hint="eastAsia"/>
          <w:lang w:val="en-US" w:eastAsia="zh-CN"/>
        </w:rPr>
      </w:pPr>
      <w:r>
        <w:rPr>
          <w:rFonts w:hint="eastAsia"/>
          <w:lang w:val="en-US" w:eastAsia="zh-CN"/>
        </w:rPr>
        <w:t>5.7.1 寿命要求</w:t>
      </w:r>
    </w:p>
    <w:p w14:paraId="4065EA0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箱体及关键部件使用寿命应不低于10年。</w:t>
      </w:r>
    </w:p>
    <w:p w14:paraId="4997F70E">
      <w:pPr>
        <w:pStyle w:val="61"/>
        <w:ind w:left="0" w:leftChars="0" w:firstLine="0" w:firstLineChars="0"/>
        <w:rPr>
          <w:rFonts w:hint="eastAsia"/>
          <w:lang w:val="en-US" w:eastAsia="zh-CN"/>
        </w:rPr>
      </w:pPr>
      <w:r>
        <w:rPr>
          <w:rFonts w:hint="eastAsia"/>
          <w:lang w:val="en-US" w:eastAsia="zh-CN"/>
        </w:rPr>
        <w:t>5.7.2 故障率与维护要求</w:t>
      </w:r>
    </w:p>
    <w:p w14:paraId="4E4C233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故障率与维护要求如下</w:t>
      </w:r>
      <w:r>
        <w:rPr>
          <w:rFonts w:hint="default"/>
          <w:lang w:val="en-US" w:eastAsia="zh-CN"/>
        </w:rPr>
        <w:t>：</w:t>
      </w:r>
    </w:p>
    <w:p w14:paraId="0DC34A1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a）计量箱关键部件年故障率应≤0.5%；</w:t>
      </w:r>
    </w:p>
    <w:p w14:paraId="155CE0A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b）关键部件应可单独更换，便于维护；</w:t>
      </w:r>
    </w:p>
    <w:p w14:paraId="7CB3C4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c）设计应便于快速检修，减少维护停机时间；</w:t>
      </w:r>
    </w:p>
    <w:p w14:paraId="0BB25E7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d）计量箱应具备自检功能，可检测内部异常状态并触发报警；</w:t>
      </w:r>
    </w:p>
    <w:p w14:paraId="0F97F0B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e）在使用过程中，故障恢复时间不应超过4小时。</w:t>
      </w:r>
    </w:p>
    <w:p w14:paraId="11D0B2D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5.7.3 耐腐蚀性要求</w:t>
      </w:r>
    </w:p>
    <w:p w14:paraId="31A4D0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金属部件应能耐受中性盐雾试验96 h，不出现明显锈蚀</w:t>
      </w:r>
      <w:r>
        <w:rPr>
          <w:rFonts w:hint="eastAsia"/>
          <w:lang w:val="en-US" w:eastAsia="zh-CN"/>
        </w:rPr>
        <w:t>。</w:t>
      </w:r>
    </w:p>
    <w:p w14:paraId="589AC037">
      <w:pPr>
        <w:pStyle w:val="109"/>
        <w:spacing w:before="240" w:after="240"/>
        <w:rPr>
          <w:rFonts w:hint="default"/>
          <w:szCs w:val="21"/>
          <w:lang w:val="en-US" w:eastAsia="zh-CN"/>
        </w:rPr>
      </w:pPr>
      <w:bookmarkStart w:id="78" w:name="_Toc5520"/>
      <w:r>
        <w:rPr>
          <w:rFonts w:hint="eastAsia"/>
          <w:szCs w:val="21"/>
          <w:lang w:val="en-US" w:eastAsia="zh-CN"/>
        </w:rPr>
        <w:t>试验方法</w:t>
      </w:r>
      <w:bookmarkEnd w:id="78"/>
    </w:p>
    <w:p w14:paraId="3458C2D8">
      <w:pPr>
        <w:pStyle w:val="110"/>
        <w:spacing w:before="120" w:after="120"/>
        <w:rPr>
          <w:rFonts w:hint="default"/>
          <w:lang w:val="en-US" w:eastAsia="zh-CN"/>
        </w:rPr>
      </w:pPr>
      <w:bookmarkStart w:id="79" w:name="_Toc21233"/>
      <w:r>
        <w:rPr>
          <w:rFonts w:hint="eastAsia"/>
          <w:lang w:val="en-US" w:eastAsia="zh-CN"/>
        </w:rPr>
        <w:t>材料试验</w:t>
      </w:r>
      <w:bookmarkEnd w:id="79"/>
    </w:p>
    <w:p w14:paraId="1A0BA7C1">
      <w:pPr>
        <w:pStyle w:val="61"/>
        <w:ind w:left="0" w:leftChars="0" w:firstLine="0" w:firstLineChars="0"/>
        <w:rPr>
          <w:rFonts w:hint="eastAsia"/>
          <w:lang w:val="en-US" w:eastAsia="zh-CN"/>
        </w:rPr>
      </w:pPr>
      <w:r>
        <w:rPr>
          <w:rFonts w:hint="eastAsia"/>
          <w:lang w:val="en-US" w:eastAsia="zh-CN"/>
        </w:rPr>
        <w:t>6.1.1 箱体材料试验</w:t>
      </w:r>
    </w:p>
    <w:p w14:paraId="11494EE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应按照以下方法进行：</w:t>
      </w:r>
    </w:p>
    <w:p w14:paraId="7F039F7F">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宋体" w:hAnsi="Times New Roman" w:eastAsia="宋体" w:cs="Times New Roman"/>
          <w:sz w:val="21"/>
          <w:lang w:val="en-US" w:eastAsia="zh-CN" w:bidi="ar-SA"/>
        </w:rPr>
        <w:t>a）</w:t>
      </w:r>
      <w:r>
        <w:rPr>
          <w:rFonts w:hint="eastAsia"/>
          <w:lang w:val="en-US" w:eastAsia="zh-CN"/>
        </w:rPr>
        <w:t>抗紫外老化试验：应按照GB/T 14522规定的方法执行；</w:t>
      </w:r>
    </w:p>
    <w:p w14:paraId="003F8EB5">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ascii="宋体" w:hAnsi="Times New Roman" w:eastAsia="宋体" w:cs="Times New Roman"/>
          <w:sz w:val="21"/>
          <w:lang w:val="en-US" w:eastAsia="zh-CN" w:bidi="ar-SA"/>
        </w:rPr>
        <w:t>b）</w:t>
      </w:r>
      <w:r>
        <w:rPr>
          <w:rFonts w:hint="eastAsia"/>
          <w:lang w:val="en-US" w:eastAsia="zh-CN"/>
        </w:rPr>
        <w:t>耐温性能试验：应按照GB/T 5169.19规定的方法执行；</w:t>
      </w:r>
    </w:p>
    <w:p w14:paraId="2E2AE19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cs="Times New Roman"/>
          <w:sz w:val="21"/>
          <w:lang w:val="en-US" w:eastAsia="zh-CN" w:bidi="ar-SA"/>
        </w:rPr>
        <w:t>c</w:t>
      </w:r>
      <w:r>
        <w:rPr>
          <w:rFonts w:hint="default" w:ascii="宋体" w:hAnsi="Times New Roman" w:eastAsia="宋体" w:cs="Times New Roman"/>
          <w:sz w:val="21"/>
          <w:lang w:val="en-US" w:eastAsia="zh-CN" w:bidi="ar-SA"/>
        </w:rPr>
        <w:t>）</w:t>
      </w:r>
      <w:r>
        <w:rPr>
          <w:rFonts w:hint="eastAsia" w:cs="Times New Roman"/>
          <w:sz w:val="21"/>
          <w:lang w:val="en-US" w:eastAsia="zh-CN" w:bidi="ar-SA"/>
        </w:rPr>
        <w:t>防护等级试验：应按照GB/T 4208规定的方法执行。</w:t>
      </w:r>
    </w:p>
    <w:p w14:paraId="72AE07F3">
      <w:pPr>
        <w:pStyle w:val="61"/>
        <w:ind w:left="0" w:leftChars="0" w:firstLine="0" w:firstLineChars="0"/>
        <w:rPr>
          <w:rFonts w:hint="eastAsia"/>
          <w:lang w:val="en-US" w:eastAsia="zh-CN"/>
        </w:rPr>
      </w:pPr>
      <w:r>
        <w:rPr>
          <w:rFonts w:hint="eastAsia"/>
          <w:lang w:val="en-US" w:eastAsia="zh-CN"/>
        </w:rPr>
        <w:t>6.1.2 透明观察窗材料试验</w:t>
      </w:r>
    </w:p>
    <w:p w14:paraId="667CD45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应按照以下方法进行：</w:t>
      </w:r>
    </w:p>
    <w:p w14:paraId="2D9EBB7E">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宋体" w:hAnsi="Times New Roman" w:eastAsia="宋体" w:cs="Times New Roman"/>
          <w:sz w:val="21"/>
          <w:lang w:val="en-US" w:eastAsia="zh-CN" w:bidi="ar-SA"/>
        </w:rPr>
        <w:t>a）</w:t>
      </w:r>
      <w:r>
        <w:rPr>
          <w:rFonts w:hint="eastAsia" w:cs="Times New Roman"/>
          <w:sz w:val="21"/>
          <w:lang w:val="en-US" w:eastAsia="zh-CN" w:bidi="ar-SA"/>
        </w:rPr>
        <w:t>透光率测试</w:t>
      </w:r>
      <w:r>
        <w:rPr>
          <w:rFonts w:hint="eastAsia"/>
          <w:lang w:val="en-US" w:eastAsia="zh-CN"/>
        </w:rPr>
        <w:t>：应按照GB/T 2410规定的方法执行；</w:t>
      </w:r>
    </w:p>
    <w:p w14:paraId="113DCAD3">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ascii="宋体" w:hAnsi="Times New Roman" w:eastAsia="宋体" w:cs="Times New Roman"/>
          <w:sz w:val="21"/>
          <w:lang w:val="en-US" w:eastAsia="zh-CN" w:bidi="ar-SA"/>
        </w:rPr>
        <w:t>b）</w:t>
      </w:r>
      <w:r>
        <w:rPr>
          <w:rFonts w:hint="eastAsia" w:cs="Times New Roman"/>
          <w:sz w:val="21"/>
          <w:lang w:val="en-US" w:eastAsia="zh-CN" w:bidi="ar-SA"/>
        </w:rPr>
        <w:t>耐</w:t>
      </w:r>
      <w:r>
        <w:rPr>
          <w:rFonts w:hint="eastAsia"/>
          <w:lang w:val="en-US" w:eastAsia="zh-CN"/>
        </w:rPr>
        <w:t>冲击试验：应按照GB/T 2650规定的方法执行。</w:t>
      </w:r>
    </w:p>
    <w:p w14:paraId="310D8F81">
      <w:pPr>
        <w:pStyle w:val="61"/>
        <w:ind w:left="0" w:leftChars="0" w:firstLine="0" w:firstLineChars="0"/>
        <w:rPr>
          <w:rFonts w:hint="eastAsia"/>
          <w:lang w:val="en-US" w:eastAsia="zh-CN"/>
        </w:rPr>
      </w:pPr>
      <w:r>
        <w:rPr>
          <w:rFonts w:hint="eastAsia"/>
          <w:lang w:val="en-US" w:eastAsia="zh-CN"/>
        </w:rPr>
        <w:t>6.1.3 密封材料试验</w:t>
      </w:r>
    </w:p>
    <w:p w14:paraId="58BEBF8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43113规定的方法测定密封材料的耐湿热性能。</w:t>
      </w:r>
    </w:p>
    <w:p w14:paraId="0C0E61D9">
      <w:pPr>
        <w:pStyle w:val="61"/>
        <w:ind w:left="0" w:leftChars="0" w:firstLine="0" w:firstLineChars="0"/>
        <w:rPr>
          <w:rFonts w:hint="eastAsia"/>
          <w:lang w:val="en-US" w:eastAsia="zh-CN"/>
        </w:rPr>
      </w:pPr>
      <w:r>
        <w:rPr>
          <w:rFonts w:hint="eastAsia"/>
          <w:lang w:val="en-US" w:eastAsia="zh-CN"/>
        </w:rPr>
        <w:t>6.1.4 内部绝缘及支撑材料试验</w:t>
      </w:r>
    </w:p>
    <w:p w14:paraId="1F1EC1E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应按照GB/T 4207规定的方法测定材料的耐电痕化指数。</w:t>
      </w:r>
    </w:p>
    <w:p w14:paraId="19657654">
      <w:pPr>
        <w:pStyle w:val="110"/>
        <w:spacing w:before="120" w:after="120"/>
        <w:rPr>
          <w:rFonts w:hint="eastAsia"/>
          <w:lang w:val="en-US" w:eastAsia="zh-CN"/>
        </w:rPr>
      </w:pPr>
      <w:bookmarkStart w:id="80" w:name="_Toc15376"/>
      <w:r>
        <w:rPr>
          <w:rFonts w:hint="eastAsia"/>
          <w:lang w:val="en-US" w:eastAsia="zh-CN"/>
        </w:rPr>
        <w:t>电气性能试验</w:t>
      </w:r>
      <w:bookmarkEnd w:id="80"/>
    </w:p>
    <w:p w14:paraId="5C378019">
      <w:pPr>
        <w:pStyle w:val="61"/>
        <w:ind w:left="0" w:leftChars="0" w:firstLine="0" w:firstLineChars="0"/>
        <w:rPr>
          <w:rFonts w:hint="eastAsia"/>
          <w:lang w:val="en-US" w:eastAsia="zh-CN"/>
        </w:rPr>
      </w:pPr>
      <w:r>
        <w:rPr>
          <w:rFonts w:hint="eastAsia"/>
          <w:lang w:val="en-US" w:eastAsia="zh-CN"/>
        </w:rPr>
        <w:t>6.2.1 绝缘性能试验</w:t>
      </w:r>
    </w:p>
    <w:p w14:paraId="7C5D44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应按照GB/T 24344规定的方法</w:t>
      </w:r>
      <w:r>
        <w:rPr>
          <w:rFonts w:hint="eastAsia" w:hAnsi="宋体" w:cs="宋体"/>
          <w:lang w:val="en-US" w:eastAsia="zh-CN"/>
        </w:rPr>
        <w:t>进行耐压试验</w:t>
      </w:r>
      <w:r>
        <w:rPr>
          <w:rFonts w:hint="eastAsia" w:ascii="宋体" w:hAnsi="宋体" w:eastAsia="宋体" w:cs="宋体"/>
          <w:lang w:val="en-US" w:eastAsia="zh-CN"/>
        </w:rPr>
        <w:t>，按照GB/T 24343规定的方法测量绝缘电阻。</w:t>
      </w:r>
    </w:p>
    <w:p w14:paraId="5D849C8B">
      <w:pPr>
        <w:pStyle w:val="61"/>
        <w:ind w:left="0" w:leftChars="0" w:firstLine="0" w:firstLineChars="0"/>
        <w:rPr>
          <w:rFonts w:hint="eastAsia"/>
          <w:lang w:val="en-US" w:eastAsia="zh-CN"/>
        </w:rPr>
      </w:pPr>
      <w:r>
        <w:rPr>
          <w:rFonts w:hint="eastAsia"/>
          <w:lang w:val="en-US" w:eastAsia="zh-CN"/>
        </w:rPr>
        <w:t>6.2.2 接地电阻试验</w:t>
      </w:r>
    </w:p>
    <w:p w14:paraId="63AD416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18216.4规定的方法执行。</w:t>
      </w:r>
    </w:p>
    <w:p w14:paraId="13EDF83D">
      <w:pPr>
        <w:pStyle w:val="61"/>
        <w:ind w:left="0" w:leftChars="0" w:firstLine="0" w:firstLineChars="0"/>
        <w:rPr>
          <w:rFonts w:hint="eastAsia"/>
          <w:lang w:val="en-US" w:eastAsia="zh-CN"/>
        </w:rPr>
      </w:pPr>
      <w:r>
        <w:rPr>
          <w:rFonts w:hint="eastAsia"/>
          <w:lang w:val="en-US" w:eastAsia="zh-CN"/>
        </w:rPr>
        <w:t>6.2.3 载流能力试验</w:t>
      </w:r>
    </w:p>
    <w:p w14:paraId="29840EB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应按照以下方法进行：</w:t>
      </w:r>
    </w:p>
    <w:p w14:paraId="21C3C7C2">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宋体" w:hAnsi="Times New Roman" w:eastAsia="宋体" w:cs="Times New Roman"/>
          <w:sz w:val="21"/>
          <w:lang w:val="en-US" w:eastAsia="zh-CN" w:bidi="ar-SA"/>
        </w:rPr>
        <w:t>a）导线温升测试</w:t>
      </w:r>
      <w:r>
        <w:rPr>
          <w:rFonts w:hint="eastAsia"/>
          <w:lang w:val="en-US" w:eastAsia="zh-CN"/>
        </w:rPr>
        <w:t>：在满载条件下连续运行计量箱，使用温度传感器测量内部导线温升；</w:t>
      </w:r>
    </w:p>
    <w:p w14:paraId="68DC18F9">
      <w:pPr>
        <w:pStyle w:val="61"/>
        <w:keepNext w:val="0"/>
        <w:keepLines w:val="0"/>
        <w:pageBreakBefore w:val="0"/>
        <w:widowControl/>
        <w:numPr>
          <w:ilvl w:val="0"/>
          <w:numId w:val="0"/>
        </w:numPr>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ascii="宋体" w:hAnsi="Times New Roman" w:eastAsia="宋体" w:cs="Times New Roman"/>
          <w:sz w:val="21"/>
          <w:lang w:val="en-US" w:eastAsia="zh-CN" w:bidi="ar-SA"/>
        </w:rPr>
        <w:t>b）</w:t>
      </w:r>
      <w:r>
        <w:rPr>
          <w:rFonts w:hint="eastAsia"/>
          <w:lang w:val="en-US" w:eastAsia="zh-CN"/>
        </w:rPr>
        <w:t>铜排载流能力测试：在额定负载下运行，观察铜排是否异常发热；</w:t>
      </w:r>
    </w:p>
    <w:p w14:paraId="39728E5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cs="Times New Roman"/>
          <w:sz w:val="21"/>
          <w:lang w:val="en-US" w:eastAsia="zh-CN" w:bidi="ar-SA"/>
        </w:rPr>
        <w:t>c</w:t>
      </w:r>
      <w:r>
        <w:rPr>
          <w:rFonts w:hint="default" w:ascii="宋体" w:hAnsi="Times New Roman" w:eastAsia="宋体" w:cs="Times New Roman"/>
          <w:sz w:val="21"/>
          <w:lang w:val="en-US" w:eastAsia="zh-CN" w:bidi="ar-SA"/>
        </w:rPr>
        <w:t>）</w:t>
      </w:r>
      <w:r>
        <w:rPr>
          <w:rFonts w:hint="eastAsia" w:cs="Times New Roman"/>
          <w:sz w:val="21"/>
          <w:lang w:val="en-US" w:eastAsia="zh-CN" w:bidi="ar-SA"/>
        </w:rPr>
        <w:t>端子接触电阻测试：使用微欧计测量端子接触电阻，记录初始值；运行满载条件24 h后再次测量，计算接触电阻增量。</w:t>
      </w:r>
    </w:p>
    <w:p w14:paraId="5FE97BDF">
      <w:pPr>
        <w:pStyle w:val="61"/>
        <w:ind w:left="0" w:leftChars="0" w:firstLine="0" w:firstLineChars="0"/>
        <w:rPr>
          <w:rFonts w:hint="eastAsia"/>
          <w:lang w:val="en-US" w:eastAsia="zh-CN"/>
        </w:rPr>
      </w:pPr>
      <w:r>
        <w:rPr>
          <w:rFonts w:hint="eastAsia"/>
          <w:lang w:val="en-US" w:eastAsia="zh-CN"/>
        </w:rPr>
        <w:t>6.2.4 电磁兼容性试验</w:t>
      </w:r>
    </w:p>
    <w:p w14:paraId="178ED02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电磁兼容性试验应按照以下方法进行：</w:t>
      </w:r>
    </w:p>
    <w:p w14:paraId="3EF42F4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a）静电放电抗扰度试验按照GB/T 17626.2</w:t>
      </w:r>
      <w:r>
        <w:rPr>
          <w:rFonts w:hint="default"/>
          <w:lang w:val="en-US" w:eastAsia="zh-CN"/>
        </w:rPr>
        <w:t>规定的方法执行</w:t>
      </w:r>
      <w:r>
        <w:rPr>
          <w:rFonts w:hint="eastAsia"/>
          <w:lang w:val="en-US" w:eastAsia="zh-CN"/>
        </w:rPr>
        <w:t>；</w:t>
      </w:r>
    </w:p>
    <w:p w14:paraId="47B331D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b）电快速瞬变脉冲群抗扰度试验按照GB/T 17626.4规定的方法执行；</w:t>
      </w:r>
    </w:p>
    <w:p w14:paraId="2A6B292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c）浪涌抗扰度试验按照GB/T 17626.5规定的方法执行。</w:t>
      </w:r>
    </w:p>
    <w:p w14:paraId="26775496">
      <w:pPr>
        <w:pStyle w:val="110"/>
        <w:spacing w:before="120" w:after="120"/>
        <w:rPr>
          <w:rFonts w:hint="eastAsia"/>
          <w:lang w:val="en-US" w:eastAsia="zh-CN"/>
        </w:rPr>
      </w:pPr>
      <w:bookmarkStart w:id="81" w:name="_Toc17443"/>
      <w:r>
        <w:rPr>
          <w:rFonts w:hint="eastAsia"/>
          <w:lang w:val="en-US" w:eastAsia="zh-CN"/>
        </w:rPr>
        <w:t>防窃电功能试验</w:t>
      </w:r>
      <w:bookmarkEnd w:id="81"/>
    </w:p>
    <w:p w14:paraId="3DFB4086">
      <w:pPr>
        <w:pStyle w:val="61"/>
        <w:ind w:left="0" w:leftChars="0" w:firstLine="0" w:firstLineChars="0"/>
        <w:rPr>
          <w:rFonts w:hint="default"/>
          <w:lang w:val="en-US" w:eastAsia="zh-CN"/>
        </w:rPr>
      </w:pPr>
      <w:r>
        <w:rPr>
          <w:rFonts w:hint="eastAsia"/>
          <w:lang w:val="en-US" w:eastAsia="zh-CN"/>
        </w:rPr>
        <w:t>6.3.1 物理防窃电措施试验</w:t>
      </w:r>
    </w:p>
    <w:p w14:paraId="03A2EC6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应按照以下步骤进行：</w:t>
      </w:r>
    </w:p>
    <w:p w14:paraId="15E65A3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a）使用游标卡尺测量箱体门缝隙；</w:t>
      </w:r>
    </w:p>
    <w:p w14:paraId="560B2F4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b）手动操作机械锁和电子锁，确认锁闭和开启顺畅，门开启时本地及远程报警触发；</w:t>
      </w:r>
    </w:p>
    <w:p w14:paraId="111300D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c）目视检查所有外露电气端子有防护罩或封闭隔离，并使用绝缘棒确认不可直接接触带电部件；</w:t>
      </w:r>
    </w:p>
    <w:p w14:paraId="27AFC76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d）手动轻拉内部关键线路，确认线路固定、防剪、防拆设计有效。</w:t>
      </w:r>
    </w:p>
    <w:p w14:paraId="4F978CEB">
      <w:pPr>
        <w:pStyle w:val="61"/>
        <w:ind w:left="0" w:leftChars="0" w:firstLine="0" w:firstLineChars="0"/>
        <w:rPr>
          <w:rFonts w:hint="default"/>
          <w:lang w:val="en-US" w:eastAsia="zh-CN"/>
        </w:rPr>
      </w:pPr>
      <w:r>
        <w:rPr>
          <w:rFonts w:hint="eastAsia"/>
          <w:lang w:val="en-US" w:eastAsia="zh-CN"/>
        </w:rPr>
        <w:t>6.3.2 电气防窃电试验</w:t>
      </w:r>
    </w:p>
    <w:p w14:paraId="61DF7D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496D908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a）模拟反向电流、旁路接入或跳闸等异常用电行为，使用电流检测仪确认计量箱能实时检测异常并触发报警或断电；</w:t>
      </w:r>
    </w:p>
    <w:p w14:paraId="39031A9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b）尝试拆卸或干扰关键测量环节，确认防篡改设计有效；</w:t>
      </w:r>
    </w:p>
    <w:p w14:paraId="1B6479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c）检查异常状态记录功能，确认系统能完整记录异常状态并可追溯至少12个月。</w:t>
      </w:r>
    </w:p>
    <w:p w14:paraId="7F9FB120">
      <w:pPr>
        <w:pStyle w:val="61"/>
        <w:ind w:left="0" w:leftChars="0" w:firstLine="0" w:firstLineChars="0"/>
        <w:rPr>
          <w:rFonts w:hint="default"/>
          <w:lang w:val="en-US" w:eastAsia="zh-CN"/>
        </w:rPr>
      </w:pPr>
      <w:r>
        <w:rPr>
          <w:rFonts w:hint="eastAsia"/>
          <w:lang w:val="en-US" w:eastAsia="zh-CN"/>
        </w:rPr>
        <w:t>6.3.3 数据防窃电试验</w:t>
      </w:r>
    </w:p>
    <w:p w14:paraId="6AD4DE0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682282C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a）通过通信接口采集计量数据；</w:t>
      </w:r>
    </w:p>
    <w:p w14:paraId="54175F8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b）尝试修改或删除本地存储数据，确认防篡改、防删除功能有效；</w:t>
      </w:r>
    </w:p>
    <w:p w14:paraId="6974F5E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c）执行电表配置变更或设备重置操作，确认日志记录完整且可远程查询；</w:t>
      </w:r>
    </w:p>
    <w:p w14:paraId="03E6A64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d）模拟异常干扰或电流波动，确认计量数据误差检测与校验机制能识别非法干扰并触发报警。</w:t>
      </w:r>
    </w:p>
    <w:p w14:paraId="1FA84F4D">
      <w:pPr>
        <w:pStyle w:val="110"/>
        <w:spacing w:before="120" w:after="120"/>
        <w:rPr>
          <w:rFonts w:hint="eastAsia"/>
          <w:lang w:val="en-US" w:eastAsia="zh-CN"/>
        </w:rPr>
      </w:pPr>
      <w:bookmarkStart w:id="82" w:name="_Toc11274"/>
      <w:r>
        <w:rPr>
          <w:rFonts w:hint="eastAsia"/>
          <w:lang w:val="en-US" w:eastAsia="zh-CN"/>
        </w:rPr>
        <w:t>通信与智能化功能试验</w:t>
      </w:r>
      <w:bookmarkEnd w:id="82"/>
    </w:p>
    <w:p w14:paraId="5A8E8E4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6.4.1 通信接口试验</w:t>
      </w:r>
    </w:p>
    <w:p w14:paraId="0BCE19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23D00A4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a）使用通信测试仪或协议分析仪，检测RS-485、RJ45或光纤接口的物理连通性；</w:t>
      </w:r>
    </w:p>
    <w:p w14:paraId="195F8C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b）使用测试软件验证通信接口的数据读写功能；</w:t>
      </w:r>
    </w:p>
    <w:p w14:paraId="4A3D8BC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c）测量接口传输速率；</w:t>
      </w:r>
    </w:p>
    <w:p w14:paraId="5C71E9E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d）在接口正常工作情况下，断开或重连接口，确认通信能正常恢复。</w:t>
      </w:r>
    </w:p>
    <w:p w14:paraId="6450CA3E">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6.4.2 远程监控与管理试验</w:t>
      </w:r>
    </w:p>
    <w:p w14:paraId="3A4C9B9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29B4CE3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a）通过远程管理平台电气参数，确认数据与现场仪表一致；</w:t>
      </w:r>
    </w:p>
    <w:p w14:paraId="44AEF56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b）远程监控门锁状态、异常报警、过流、短路事件，确认监控状态准确显示；</w:t>
      </w:r>
    </w:p>
    <w:p w14:paraId="2481A6C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c）在远程管理平台修改计量箱工作模式、报警阈值及通信参数，确认设置能正确下发并生效；</w:t>
      </w:r>
    </w:p>
    <w:p w14:paraId="187FD44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d）查询历史数据记录，确认数据可导出且保存时间不少于12个月。</w:t>
      </w:r>
    </w:p>
    <w:p w14:paraId="424F8039">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6.4.3 智能分析与预警试验</w:t>
      </w:r>
    </w:p>
    <w:p w14:paraId="1A4F629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2C9B97D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a）模拟异常用电行为，确认系统能自动识别并生成报警；</w:t>
      </w:r>
    </w:p>
    <w:p w14:paraId="25E1862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b）检查报警信息是否同时发送至本地和远程管理平台；</w:t>
      </w:r>
    </w:p>
    <w:p w14:paraId="7AF6A1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c）验证系统能生成按日、周、月的用电统计与分析报表，并与实际数据一致；</w:t>
      </w:r>
    </w:p>
    <w:p w14:paraId="18F36F6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d）记录报警响应时间。</w:t>
      </w:r>
    </w:p>
    <w:p w14:paraId="575695B0">
      <w:pPr>
        <w:pStyle w:val="110"/>
        <w:spacing w:before="120" w:after="120"/>
        <w:rPr>
          <w:rFonts w:hint="eastAsia"/>
          <w:lang w:val="en-US" w:eastAsia="zh-CN"/>
        </w:rPr>
      </w:pPr>
      <w:bookmarkStart w:id="83" w:name="_Toc21665"/>
      <w:r>
        <w:rPr>
          <w:rFonts w:hint="eastAsia"/>
          <w:lang w:val="en-US" w:eastAsia="zh-CN"/>
        </w:rPr>
        <w:t>计量性能试验</w:t>
      </w:r>
      <w:bookmarkEnd w:id="83"/>
    </w:p>
    <w:p w14:paraId="43C8A616">
      <w:pPr>
        <w:pStyle w:val="61"/>
        <w:ind w:left="0" w:leftChars="0" w:firstLine="0" w:firstLineChars="0"/>
        <w:rPr>
          <w:rFonts w:hint="eastAsia"/>
          <w:lang w:val="en-US" w:eastAsia="zh-CN"/>
        </w:rPr>
      </w:pPr>
      <w:r>
        <w:rPr>
          <w:rFonts w:hint="eastAsia"/>
          <w:lang w:val="en-US" w:eastAsia="zh-CN"/>
        </w:rPr>
        <w:t>6.5.1 精度等级试验</w:t>
      </w:r>
    </w:p>
    <w:p w14:paraId="03F9D5A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47D1B4B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a）将计量箱按额定电压和额定频率接入标准试验电源，使用经校准的标准计量装置进行有功、无功电能测量；</w:t>
      </w:r>
    </w:p>
    <w:p w14:paraId="67C9EA9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b）在额定电压±10%、频率±2%条件下重复测量，确认计量误差保持稳定；</w:t>
      </w:r>
    </w:p>
    <w:p w14:paraId="4863814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c）使用三相负载，记录计量箱读数与标准计量装置读数的偏差，计算误差并验证精度等级符合要求。</w:t>
      </w:r>
    </w:p>
    <w:p w14:paraId="55051C3D">
      <w:pPr>
        <w:pStyle w:val="61"/>
        <w:ind w:left="0" w:leftChars="0" w:firstLine="0" w:firstLineChars="0"/>
        <w:rPr>
          <w:rFonts w:hint="eastAsia"/>
          <w:lang w:val="en-US" w:eastAsia="zh-CN"/>
        </w:rPr>
      </w:pPr>
      <w:r>
        <w:rPr>
          <w:rFonts w:hint="eastAsia"/>
          <w:lang w:val="en-US" w:eastAsia="zh-CN"/>
        </w:rPr>
        <w:t>6.5.2 动态特性试验</w:t>
      </w:r>
    </w:p>
    <w:p w14:paraId="0675EC1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610ABB5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a）通过可控负载设备施加变化速率为0.1～2×I</w:t>
      </w:r>
      <w:r>
        <w:rPr>
          <w:rFonts w:hint="eastAsia"/>
          <w:vertAlign w:val="subscript"/>
          <w:lang w:val="en-US" w:eastAsia="zh-CN"/>
        </w:rPr>
        <w:t>n</w:t>
      </w:r>
      <w:r>
        <w:rPr>
          <w:rFonts w:hint="eastAsia"/>
          <w:lang w:val="en-US" w:eastAsia="zh-CN"/>
        </w:rPr>
        <w:t>/s的负载，实时记录计量箱输出值，与标准计量装置比对；</w:t>
      </w:r>
    </w:p>
    <w:p w14:paraId="0EB3678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b）在电压波动±10%的情况下，测量计量误差；</w:t>
      </w:r>
    </w:p>
    <w:p w14:paraId="5190E2C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c）模拟三相不平衡（不平衡度≤4%），测量计量误差；</w:t>
      </w:r>
    </w:p>
    <w:p w14:paraId="1ECB148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d）模拟电压谐波（THD≤5%），测量计量误差。</w:t>
      </w:r>
    </w:p>
    <w:p w14:paraId="765DAE7F">
      <w:pPr>
        <w:pStyle w:val="110"/>
        <w:spacing w:before="120" w:after="120"/>
        <w:rPr>
          <w:rFonts w:hint="eastAsia"/>
          <w:lang w:val="en-US" w:eastAsia="zh-CN"/>
        </w:rPr>
      </w:pPr>
      <w:bookmarkStart w:id="84" w:name="_Toc22496"/>
      <w:r>
        <w:rPr>
          <w:rFonts w:hint="eastAsia"/>
          <w:lang w:val="en-US" w:eastAsia="zh-CN"/>
        </w:rPr>
        <w:t>机械性能试验</w:t>
      </w:r>
      <w:bookmarkEnd w:id="84"/>
    </w:p>
    <w:p w14:paraId="70692470">
      <w:pPr>
        <w:pStyle w:val="61"/>
        <w:ind w:left="0" w:leftChars="0" w:firstLine="0" w:firstLineChars="0"/>
        <w:rPr>
          <w:rFonts w:hint="eastAsia"/>
          <w:lang w:val="en-US" w:eastAsia="zh-CN"/>
        </w:rPr>
      </w:pPr>
      <w:r>
        <w:rPr>
          <w:rFonts w:hint="eastAsia"/>
          <w:lang w:val="en-US" w:eastAsia="zh-CN"/>
        </w:rPr>
        <w:t>6.6.1 机械强度试验</w:t>
      </w:r>
    </w:p>
    <w:p w14:paraId="3EF1B9B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应按照HB 5143规定的方法执行。</w:t>
      </w:r>
    </w:p>
    <w:p w14:paraId="0CD70C7E">
      <w:pPr>
        <w:pStyle w:val="61"/>
        <w:ind w:left="0" w:leftChars="0" w:firstLine="0" w:firstLineChars="0"/>
        <w:rPr>
          <w:rFonts w:hint="eastAsia"/>
          <w:lang w:val="en-US" w:eastAsia="zh-CN"/>
        </w:rPr>
      </w:pPr>
      <w:r>
        <w:rPr>
          <w:rFonts w:hint="eastAsia"/>
          <w:lang w:val="en-US" w:eastAsia="zh-CN"/>
        </w:rPr>
        <w:t>6.6.2 耐冲击性试验</w:t>
      </w:r>
    </w:p>
    <w:p w14:paraId="397E029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2650规定的方法执行。</w:t>
      </w:r>
    </w:p>
    <w:p w14:paraId="29685A23">
      <w:pPr>
        <w:pStyle w:val="61"/>
        <w:ind w:left="0" w:leftChars="0" w:firstLine="0" w:firstLineChars="0"/>
        <w:rPr>
          <w:rFonts w:hint="eastAsia"/>
          <w:lang w:val="en-US" w:eastAsia="zh-CN"/>
        </w:rPr>
      </w:pPr>
      <w:r>
        <w:rPr>
          <w:rFonts w:hint="eastAsia"/>
          <w:lang w:val="en-US" w:eastAsia="zh-CN"/>
        </w:rPr>
        <w:t>6.6.3 耐振动性试验</w:t>
      </w:r>
    </w:p>
    <w:p w14:paraId="04B903A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2423.10规定的方法执行。</w:t>
      </w:r>
    </w:p>
    <w:p w14:paraId="4904D6CD">
      <w:pPr>
        <w:pStyle w:val="110"/>
        <w:spacing w:before="120" w:after="120"/>
        <w:rPr>
          <w:rFonts w:hint="default"/>
          <w:lang w:val="en-US" w:eastAsia="zh-CN"/>
        </w:rPr>
      </w:pPr>
      <w:bookmarkStart w:id="85" w:name="_Toc15688"/>
      <w:r>
        <w:rPr>
          <w:rFonts w:hint="default"/>
          <w:lang w:val="en-US" w:eastAsia="zh-CN"/>
        </w:rPr>
        <w:t>可靠性试验</w:t>
      </w:r>
      <w:bookmarkEnd w:id="85"/>
    </w:p>
    <w:p w14:paraId="4E034F11">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6.7.1 寿命试验</w:t>
      </w:r>
    </w:p>
    <w:p w14:paraId="1AB9E11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34631规定的方法执行。</w:t>
      </w:r>
    </w:p>
    <w:p w14:paraId="1B0F5395">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6.7.2 故障率与维护试验</w:t>
      </w:r>
    </w:p>
    <w:p w14:paraId="165352F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3F561FA4">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a）在模拟负载和环境下连续运行计量箱5000 h或按规定循环操作，记录关键部件故障次数；</w:t>
      </w:r>
    </w:p>
    <w:p w14:paraId="0AF364C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b）检查关键部件是否可单独拆卸更换；</w:t>
      </w:r>
    </w:p>
    <w:p w14:paraId="044584F2">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c）模拟内部异常状态测试自检功能；</w:t>
      </w:r>
    </w:p>
    <w:p w14:paraId="3F5691F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default"/>
          <w:lang w:val="en-US" w:eastAsia="zh-CN"/>
        </w:rPr>
      </w:pPr>
      <w:r>
        <w:rPr>
          <w:rFonts w:hint="eastAsia"/>
          <w:lang w:val="en-US" w:eastAsia="zh-CN"/>
        </w:rPr>
        <w:t>d）测量故障恢复时间。</w:t>
      </w:r>
    </w:p>
    <w:p w14:paraId="1753289E">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r>
        <w:rPr>
          <w:rFonts w:hint="eastAsia"/>
          <w:lang w:val="en-US" w:eastAsia="zh-CN"/>
        </w:rPr>
        <w:t>6.7.3 耐腐蚀性试验</w:t>
      </w:r>
    </w:p>
    <w:p w14:paraId="52A55C7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10125规定的方法执行。</w:t>
      </w:r>
    </w:p>
    <w:p w14:paraId="453C7DC0">
      <w:pPr>
        <w:pStyle w:val="109"/>
        <w:spacing w:before="240" w:after="240"/>
        <w:ind w:left="0" w:firstLine="0"/>
      </w:pPr>
      <w:bookmarkStart w:id="86" w:name="_Toc19731"/>
      <w:bookmarkStart w:id="87" w:name="_Toc14876"/>
      <w:r>
        <w:rPr>
          <w:rFonts w:hint="eastAsia"/>
        </w:rPr>
        <w:t>检验规则</w:t>
      </w:r>
      <w:bookmarkEnd w:id="86"/>
      <w:bookmarkEnd w:id="87"/>
    </w:p>
    <w:p w14:paraId="3CB109B7">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88" w:name="_Toc13731"/>
      <w:bookmarkStart w:id="89" w:name="_Toc21802"/>
      <w:bookmarkStart w:id="90" w:name="_Toc22366"/>
      <w:bookmarkStart w:id="91" w:name="_Toc26414"/>
      <w:bookmarkStart w:id="92" w:name="_Toc21586"/>
      <w:bookmarkStart w:id="93" w:name="_Toc30045"/>
      <w:r>
        <w:rPr>
          <w:rFonts w:hint="eastAsia" w:ascii="黑体" w:hAnsi="黑体" w:eastAsia="黑体" w:cs="Times New Roman"/>
          <w:sz w:val="21"/>
          <w:lang w:val="en-US" w:eastAsia="zh-CN" w:bidi="ar-SA"/>
        </w:rPr>
        <w:t>检验分类</w:t>
      </w:r>
      <w:bookmarkEnd w:id="88"/>
      <w:bookmarkEnd w:id="89"/>
      <w:bookmarkEnd w:id="90"/>
      <w:bookmarkEnd w:id="91"/>
      <w:bookmarkEnd w:id="92"/>
      <w:bookmarkEnd w:id="93"/>
    </w:p>
    <w:p w14:paraId="6ECE789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本文件要求的检验分为出厂检验和型式检验两类。</w:t>
      </w:r>
    </w:p>
    <w:p w14:paraId="7A74BB38">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94" w:name="_Toc23268"/>
      <w:bookmarkStart w:id="95" w:name="_Toc25862"/>
      <w:bookmarkStart w:id="96" w:name="_Toc4395"/>
      <w:bookmarkStart w:id="97" w:name="_Toc28274"/>
      <w:r>
        <w:rPr>
          <w:rFonts w:hint="eastAsia" w:ascii="黑体" w:hAnsi="黑体" w:eastAsia="黑体" w:cs="Times New Roman"/>
          <w:sz w:val="21"/>
          <w:lang w:val="en-US" w:eastAsia="zh-CN" w:bidi="ar-SA"/>
        </w:rPr>
        <w:t>出厂检验</w:t>
      </w:r>
      <w:bookmarkEnd w:id="94"/>
      <w:bookmarkEnd w:id="95"/>
      <w:bookmarkEnd w:id="96"/>
      <w:bookmarkEnd w:id="97"/>
    </w:p>
    <w:p w14:paraId="2E3CEE9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出厂检验的项目应包括外观与结构检查等关键指标。各项指标均满足本文件的要求时，方可被判定为合格产品。对于不合格的产品，应进行报废处理。</w:t>
      </w:r>
    </w:p>
    <w:p w14:paraId="5772B994">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98" w:name="_Toc12774"/>
      <w:bookmarkStart w:id="99" w:name="_Toc647"/>
      <w:bookmarkStart w:id="100" w:name="_Toc14006"/>
      <w:bookmarkStart w:id="101" w:name="_Toc26023"/>
      <w:bookmarkStart w:id="102" w:name="_Toc2313"/>
      <w:bookmarkStart w:id="103" w:name="_Toc10737"/>
      <w:bookmarkStart w:id="104" w:name="_Toc889"/>
      <w:bookmarkStart w:id="105" w:name="_Toc30059"/>
      <w:r>
        <w:rPr>
          <w:rFonts w:hint="eastAsia" w:ascii="黑体" w:hAnsi="黑体" w:eastAsia="黑体" w:cs="Times New Roman"/>
          <w:sz w:val="21"/>
          <w:lang w:val="en-US" w:eastAsia="zh-CN" w:bidi="ar-SA"/>
        </w:rPr>
        <w:t>型式检验</w:t>
      </w:r>
      <w:bookmarkEnd w:id="98"/>
      <w:bookmarkEnd w:id="99"/>
      <w:bookmarkEnd w:id="100"/>
      <w:bookmarkEnd w:id="101"/>
      <w:bookmarkEnd w:id="102"/>
      <w:bookmarkEnd w:id="103"/>
    </w:p>
    <w:p w14:paraId="6746533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7.3.1 检验时机</w:t>
      </w:r>
    </w:p>
    <w:p w14:paraId="0FF3F0E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ascii="宋体" w:hAnsi="Times New Roman" w:eastAsia="宋体" w:cs="Times New Roman"/>
          <w:sz w:val="21"/>
          <w:lang w:val="en-US" w:eastAsia="zh-CN" w:bidi="ar-SA"/>
        </w:rPr>
      </w:pPr>
      <w:r>
        <w:rPr>
          <w:rFonts w:ascii="宋体" w:hAnsi="Times New Roman" w:eastAsia="宋体" w:cs="Times New Roman"/>
          <w:sz w:val="21"/>
          <w:lang w:val="en-US" w:eastAsia="zh-CN" w:bidi="ar-SA"/>
        </w:rPr>
        <w:t>有下列情形之一时，应进行型式检验：</w:t>
      </w:r>
    </w:p>
    <w:p w14:paraId="1C6E7C8E">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a）新产品试制定型鉴定时；</w:t>
      </w:r>
    </w:p>
    <w:p w14:paraId="55AD1FD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b）设计、工艺或主要原材料有较大改变，可能影响产品性能；</w:t>
      </w:r>
    </w:p>
    <w:p w14:paraId="6DAC37AD">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c）正常生产满一年时；</w:t>
      </w:r>
    </w:p>
    <w:p w14:paraId="02E0D240">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d）间隔一年以上再生产时；</w:t>
      </w:r>
    </w:p>
    <w:p w14:paraId="05EE9208">
      <w:pPr>
        <w:pStyle w:val="61"/>
        <w:keepNext w:val="0"/>
        <w:keepLines w:val="0"/>
        <w:pageBreakBefore w:val="0"/>
        <w:widowControl/>
        <w:kinsoku/>
        <w:wordWrap/>
        <w:overflowPunct/>
        <w:topLinePunct w:val="0"/>
        <w:autoSpaceDE w:val="0"/>
        <w:autoSpaceDN w:val="0"/>
        <w:bidi w:val="0"/>
        <w:adjustRightInd/>
        <w:snapToGrid/>
        <w:ind w:firstLine="420" w:firstLineChars="200"/>
        <w:jc w:val="both"/>
        <w:textAlignment w:val="auto"/>
        <w:rPr>
          <w:rFonts w:hint="eastAsia"/>
          <w:lang w:val="en-US" w:eastAsia="zh-CN"/>
        </w:rPr>
      </w:pPr>
      <w:r>
        <w:rPr>
          <w:rFonts w:hint="eastAsia"/>
          <w:lang w:val="en-US" w:eastAsia="zh-CN"/>
        </w:rPr>
        <w:t>e）出厂检验结果与同产品型号或批次的型式检验有较大差异时。</w:t>
      </w:r>
    </w:p>
    <w:p w14:paraId="2C64F9E7">
      <w:pPr>
        <w:autoSpaceDE w:val="0"/>
        <w:autoSpaceDN w:val="0"/>
        <w:ind w:firstLine="0" w:firstLineChars="0"/>
        <w:jc w:val="both"/>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7.3.2 检验项目及要求</w:t>
      </w:r>
    </w:p>
    <w:p w14:paraId="38D3D7D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型式检验应在国家认证监督管理委员会认可的检测机构，或者具备相关认证资质的实验室完成，检验的项目应包括所有技术指标。</w:t>
      </w:r>
    </w:p>
    <w:p w14:paraId="767D2BAB">
      <w:pPr>
        <w:autoSpaceDE w:val="0"/>
        <w:autoSpaceDN w:val="0"/>
        <w:ind w:firstLine="0" w:firstLineChars="0"/>
        <w:jc w:val="both"/>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7.3.3 抽样规则</w:t>
      </w:r>
    </w:p>
    <w:p w14:paraId="20B28B6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抽样规则</w:t>
      </w:r>
      <w:r>
        <w:rPr>
          <w:rFonts w:hint="eastAsia" w:ascii="宋体" w:hAnsi="Times New Roman" w:eastAsia="宋体" w:cs="Times New Roman"/>
          <w:sz w:val="21"/>
          <w:lang w:val="en-US" w:eastAsia="zh-CN" w:bidi="ar-SA"/>
        </w:rPr>
        <w:t>应符合GB/T 6378.1的要求。</w:t>
      </w:r>
    </w:p>
    <w:p w14:paraId="320C4842">
      <w:pPr>
        <w:autoSpaceDE w:val="0"/>
        <w:autoSpaceDN w:val="0"/>
        <w:ind w:firstLine="0" w:firstLineChars="0"/>
        <w:jc w:val="both"/>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7.3.4 判定规则及处理措施</w:t>
      </w:r>
    </w:p>
    <w:p w14:paraId="1C3CD26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所有检验项目均满足本文件的技术要求时，判定为合格。任一项不符合规定时，判定为不合格。对于不合格的产品，应进行返工或报废处理，返工产品应重新进行检验。</w:t>
      </w:r>
    </w:p>
    <w:bookmarkEnd w:id="104"/>
    <w:bookmarkEnd w:id="105"/>
    <w:p w14:paraId="57F6DC2A">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106" w:name="_Toc25505"/>
      <w:bookmarkStart w:id="107" w:name="_Toc28912"/>
      <w:bookmarkStart w:id="108" w:name="_Toc14593"/>
      <w:bookmarkStart w:id="109" w:name="_Toc2234"/>
      <w:bookmarkStart w:id="110" w:name="_Toc11482"/>
      <w:bookmarkStart w:id="111" w:name="_Toc4365"/>
      <w:r>
        <w:rPr>
          <w:rFonts w:ascii="黑体" w:hAnsi="黑体" w:eastAsia="黑体" w:cs="Times New Roman"/>
          <w:sz w:val="21"/>
          <w:lang w:val="en-US" w:eastAsia="zh-CN" w:bidi="ar-SA"/>
        </w:rPr>
        <w:t>检验报告</w:t>
      </w:r>
      <w:bookmarkEnd w:id="106"/>
      <w:bookmarkEnd w:id="107"/>
      <w:bookmarkEnd w:id="108"/>
      <w:bookmarkEnd w:id="109"/>
      <w:bookmarkEnd w:id="110"/>
      <w:bookmarkEnd w:id="111"/>
    </w:p>
    <w:p w14:paraId="346920D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所有检验记录和报告应妥善存档，每次检验结束后应出具完整的检验报告，并包括下列内容：</w:t>
      </w:r>
    </w:p>
    <w:p w14:paraId="401D629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a</w:t>
      </w:r>
      <w:r>
        <w:rPr>
          <w:rFonts w:hint="eastAsia" w:ascii="宋体" w:hAnsi="Times New Roman" w:eastAsia="宋体" w:cs="Times New Roman"/>
          <w:sz w:val="21"/>
          <w:lang w:val="en-US" w:eastAsia="zh-CN" w:bidi="ar-SA"/>
        </w:rPr>
        <w:t>）基本信息：产品名称、产品批次编号、检验日期、检验机构和参与人员等；</w:t>
      </w:r>
    </w:p>
    <w:p w14:paraId="425C4B8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b</w:t>
      </w:r>
      <w:r>
        <w:rPr>
          <w:rFonts w:hint="eastAsia" w:ascii="宋体" w:hAnsi="Times New Roman" w:eastAsia="宋体" w:cs="Times New Roman"/>
          <w:sz w:val="21"/>
          <w:lang w:val="en-US" w:eastAsia="zh-CN" w:bidi="ar-SA"/>
        </w:rPr>
        <w:t>）检验目的与检验依据；</w:t>
      </w:r>
    </w:p>
    <w:p w14:paraId="69CAE3A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c</w:t>
      </w:r>
      <w:r>
        <w:rPr>
          <w:rFonts w:hint="eastAsia" w:ascii="宋体" w:hAnsi="Times New Roman" w:eastAsia="宋体" w:cs="Times New Roman"/>
          <w:sz w:val="21"/>
          <w:lang w:val="en-US" w:eastAsia="zh-CN" w:bidi="ar-SA"/>
        </w:rPr>
        <w:t>）检验环境与检验设备清单等；</w:t>
      </w:r>
    </w:p>
    <w:p w14:paraId="278CFE9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cs="Times New Roman"/>
          <w:sz w:val="21"/>
          <w:lang w:val="en-US" w:eastAsia="zh-CN" w:bidi="ar-SA"/>
        </w:rPr>
        <w:t>d</w:t>
      </w:r>
      <w:r>
        <w:rPr>
          <w:rFonts w:hint="eastAsia" w:ascii="宋体" w:hAnsi="Times New Roman" w:eastAsia="宋体" w:cs="Times New Roman"/>
          <w:sz w:val="21"/>
          <w:lang w:val="en-US" w:eastAsia="zh-CN" w:bidi="ar-SA"/>
        </w:rPr>
        <w:t>）检验方法与检验过程；</w:t>
      </w:r>
    </w:p>
    <w:p w14:paraId="6710078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e）检验数据：详细列出各项目的检测数据；</w:t>
      </w:r>
    </w:p>
    <w:p w14:paraId="6CFCA41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f）检验结论：评估该批次产品是否合格。</w:t>
      </w:r>
    </w:p>
    <w:p w14:paraId="3331254F">
      <w:pPr>
        <w:pStyle w:val="109"/>
        <w:keepNext w:val="0"/>
        <w:keepLines w:val="0"/>
        <w:pageBreakBefore w:val="0"/>
        <w:widowControl/>
        <w:kinsoku/>
        <w:wordWrap/>
        <w:overflowPunct/>
        <w:topLinePunct w:val="0"/>
        <w:autoSpaceDE/>
        <w:autoSpaceDN/>
        <w:bidi w:val="0"/>
        <w:adjustRightInd/>
        <w:snapToGrid/>
        <w:spacing w:before="240" w:after="240"/>
        <w:ind w:left="0" w:firstLine="0"/>
        <w:textAlignment w:val="auto"/>
      </w:pPr>
      <w:bookmarkStart w:id="112" w:name="_Toc11648"/>
      <w:bookmarkStart w:id="113" w:name="_Toc25143"/>
      <w:bookmarkStart w:id="114" w:name="_Toc32045"/>
      <w:bookmarkStart w:id="115" w:name="_Toc15135"/>
      <w:bookmarkStart w:id="116" w:name="_Toc25860"/>
      <w:bookmarkStart w:id="117" w:name="_Toc19233"/>
      <w:bookmarkStart w:id="118" w:name="_Toc7323"/>
      <w:bookmarkStart w:id="119" w:name="_Toc20326"/>
      <w:r>
        <w:rPr>
          <w:rFonts w:hint="eastAsia"/>
        </w:rPr>
        <w:t>标志、包装、运输和贮存</w:t>
      </w:r>
      <w:bookmarkEnd w:id="112"/>
      <w:bookmarkEnd w:id="113"/>
    </w:p>
    <w:bookmarkEnd w:id="114"/>
    <w:bookmarkEnd w:id="115"/>
    <w:bookmarkEnd w:id="116"/>
    <w:bookmarkEnd w:id="117"/>
    <w:bookmarkEnd w:id="118"/>
    <w:bookmarkEnd w:id="119"/>
    <w:p w14:paraId="7F711ED6">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120" w:name="_Toc820"/>
      <w:bookmarkStart w:id="121" w:name="_Toc23806"/>
      <w:bookmarkStart w:id="122" w:name="_Toc31880"/>
      <w:bookmarkStart w:id="123" w:name="_Toc13108"/>
      <w:r>
        <w:rPr>
          <w:rFonts w:hint="eastAsia" w:ascii="黑体" w:hAnsi="黑体" w:eastAsia="黑体" w:cs="Times New Roman"/>
          <w:sz w:val="21"/>
          <w:lang w:val="en-US" w:eastAsia="zh-CN" w:bidi="ar-SA"/>
        </w:rPr>
        <w:t>标志</w:t>
      </w:r>
      <w:bookmarkEnd w:id="120"/>
      <w:bookmarkEnd w:id="121"/>
      <w:bookmarkEnd w:id="122"/>
    </w:p>
    <w:p w14:paraId="31B9017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产品标志应满足下列要求：</w:t>
      </w:r>
    </w:p>
    <w:p w14:paraId="2179E05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a）应有清晰、牢固、耐久的标志，内容包括：产品名称和型号、生产单位、出厂编号、生产日期、电气参数、安全和防爆标志等；</w:t>
      </w:r>
    </w:p>
    <w:p w14:paraId="5B9F2BB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b）所有标志应清晰、耐磨，符合GB/T 191的相关规定。</w:t>
      </w:r>
    </w:p>
    <w:p w14:paraId="045DC0DD">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124" w:name="_Toc6176"/>
      <w:bookmarkStart w:id="125" w:name="_Toc26567"/>
      <w:bookmarkStart w:id="126" w:name="_Toc26949"/>
      <w:r>
        <w:rPr>
          <w:rFonts w:hint="eastAsia" w:ascii="黑体" w:hAnsi="黑体" w:eastAsia="黑体" w:cs="Times New Roman"/>
          <w:sz w:val="21"/>
          <w:lang w:val="en-US" w:eastAsia="zh-CN" w:bidi="ar-SA"/>
        </w:rPr>
        <w:t>包装</w:t>
      </w:r>
      <w:bookmarkEnd w:id="124"/>
      <w:bookmarkEnd w:id="125"/>
      <w:bookmarkEnd w:id="126"/>
    </w:p>
    <w:p w14:paraId="1BBC918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产品包装应满足下列要求：</w:t>
      </w:r>
    </w:p>
    <w:p w14:paraId="2C2817E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a）包装应采用防潮、防震、防尘材料，确保产品在运输和存储过程中不受损；</w:t>
      </w:r>
    </w:p>
    <w:p w14:paraId="1929B84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b）包装内部应有缓冲材料；</w:t>
      </w:r>
    </w:p>
    <w:p w14:paraId="70907BC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c）包装箱外应标明产品的名称、型号、毛重、净重及运输标志；</w:t>
      </w:r>
    </w:p>
    <w:p w14:paraId="71EA3DC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d）每件产品随包装附带说明书、合格证及出厂检验报告。</w:t>
      </w:r>
    </w:p>
    <w:p w14:paraId="425151D0">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127" w:name="_Toc16929"/>
      <w:bookmarkStart w:id="128" w:name="_Toc22425"/>
      <w:bookmarkStart w:id="129" w:name="_Toc88"/>
      <w:r>
        <w:rPr>
          <w:rFonts w:hint="eastAsia" w:ascii="黑体" w:hAnsi="黑体" w:eastAsia="黑体" w:cs="Times New Roman"/>
          <w:sz w:val="21"/>
          <w:lang w:val="en-US" w:eastAsia="zh-CN" w:bidi="ar-SA"/>
        </w:rPr>
        <w:t>运输</w:t>
      </w:r>
      <w:bookmarkEnd w:id="127"/>
      <w:bookmarkEnd w:id="128"/>
      <w:bookmarkEnd w:id="129"/>
    </w:p>
    <w:p w14:paraId="44BC73E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产品运输应满足下列要求：</w:t>
      </w:r>
    </w:p>
    <w:p w14:paraId="0CB7288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a）运输过程中应避免剧烈振动、跌落及强烈温度变化；</w:t>
      </w:r>
    </w:p>
    <w:p w14:paraId="6999B08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b）在运输过程中不得与有毒、有腐蚀性或易燃物品混装；</w:t>
      </w:r>
    </w:p>
    <w:p w14:paraId="481733A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c）产品运输过程中应避免暴露在高湿或雨淋环境下。</w:t>
      </w:r>
    </w:p>
    <w:p w14:paraId="3D25F92B">
      <w:pPr>
        <w:numPr>
          <w:ilvl w:val="2"/>
          <w:numId w:val="2"/>
        </w:numPr>
        <w:spacing w:before="120" w:beforeLines="50" w:after="120" w:afterLines="50"/>
        <w:jc w:val="both"/>
        <w:outlineLvl w:val="1"/>
        <w:rPr>
          <w:rFonts w:ascii="黑体" w:hAnsi="黑体" w:eastAsia="黑体" w:cs="Times New Roman"/>
          <w:sz w:val="21"/>
          <w:lang w:val="en-US" w:eastAsia="zh-CN" w:bidi="ar-SA"/>
        </w:rPr>
      </w:pPr>
      <w:bookmarkStart w:id="130" w:name="_Toc16063"/>
      <w:bookmarkStart w:id="131" w:name="_Toc363"/>
      <w:bookmarkStart w:id="132" w:name="_Toc26834"/>
      <w:r>
        <w:rPr>
          <w:rFonts w:hint="eastAsia" w:ascii="黑体" w:hAnsi="黑体" w:eastAsia="黑体" w:cs="Times New Roman"/>
          <w:sz w:val="21"/>
          <w:lang w:val="en-US" w:eastAsia="zh-CN" w:bidi="ar-SA"/>
        </w:rPr>
        <w:t>贮存</w:t>
      </w:r>
      <w:bookmarkEnd w:id="130"/>
      <w:bookmarkEnd w:id="131"/>
      <w:bookmarkEnd w:id="132"/>
    </w:p>
    <w:p w14:paraId="74D4BC7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产品贮存应满足下列要求：</w:t>
      </w:r>
    </w:p>
    <w:p w14:paraId="204FE76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a）产品应存放于0℃～50℃的环境温度内，相对湿度≤85%的干燥环境中；</w:t>
      </w:r>
    </w:p>
    <w:p w14:paraId="346CDB6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b）贮存环境应通风良好，避免阳光直射及高湿度环境；</w:t>
      </w:r>
    </w:p>
    <w:p w14:paraId="4F29730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c）长期贮存时，应每6个月对产品进行一次检查和维护。</w:t>
      </w:r>
    </w:p>
    <w:bookmarkEnd w:id="123"/>
    <w:p w14:paraId="29F76D90">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1D63E384">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4A308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CC8D763">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33" w:name="_Toc10181"/>
      <w:bookmarkStart w:id="134" w:name="_Toc25614"/>
      <w:bookmarkStart w:id="135" w:name="_Toc215"/>
      <w:bookmarkStart w:id="136" w:name="_Toc16819"/>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33"/>
      <w:bookmarkEnd w:id="134"/>
      <w:bookmarkEnd w:id="135"/>
      <w:bookmarkEnd w:id="136"/>
    </w:p>
    <w:sectPr>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8E95D7-149E-4143-A3CE-25BA6591946E}"/>
  </w:font>
  <w:font w:name="Arial">
    <w:panose1 w:val="020B0604020202020204"/>
    <w:charset w:val="01"/>
    <w:family w:val="swiss"/>
    <w:pitch w:val="default"/>
    <w:sig w:usb0="E0002EFF" w:usb1="C000785B" w:usb2="00000009" w:usb3="00000000" w:csb0="400001FF" w:csb1="FFFF0000"/>
    <w:embedRegular r:id="rId2" w:fontKey="{9F936D8C-F50E-421B-9347-F5CE20D0E353}"/>
  </w:font>
  <w:font w:name="黑体">
    <w:panose1 w:val="02010609060101010101"/>
    <w:charset w:val="86"/>
    <w:family w:val="auto"/>
    <w:pitch w:val="default"/>
    <w:sig w:usb0="800002BF" w:usb1="38CF7CFA" w:usb2="00000016" w:usb3="00000000" w:csb0="00040001" w:csb1="00000000"/>
    <w:embedRegular r:id="rId3" w:fontKey="{A5114834-02E5-4265-938B-A1363B143F25}"/>
  </w:font>
  <w:font w:name="Courier New">
    <w:panose1 w:val="02070309020205020404"/>
    <w:charset w:val="01"/>
    <w:family w:val="modern"/>
    <w:pitch w:val="default"/>
    <w:sig w:usb0="E0002EFF" w:usb1="C0007843" w:usb2="00000009" w:usb3="00000000" w:csb0="400001FF" w:csb1="FFFF0000"/>
    <w:embedRegular r:id="rId4" w:fontKey="{3336AC24-3BEB-4AB4-B5FB-2AA1818652D5}"/>
  </w:font>
  <w:font w:name="Symbol">
    <w:panose1 w:val="05050102010706020507"/>
    <w:charset w:val="02"/>
    <w:family w:val="roman"/>
    <w:pitch w:val="default"/>
    <w:sig w:usb0="00000000" w:usb1="00000000" w:usb2="00000000" w:usb3="00000000" w:csb0="80000000" w:csb1="00000000"/>
    <w:embedRegular r:id="rId5" w:fontKey="{7A7C516F-1C8B-4824-AD8D-29BACF2C9D8B}"/>
  </w:font>
  <w:font w:name="Calibri">
    <w:panose1 w:val="020F0502020204030204"/>
    <w:charset w:val="00"/>
    <w:family w:val="swiss"/>
    <w:pitch w:val="default"/>
    <w:sig w:usb0="E4002EFF" w:usb1="C000247B" w:usb2="00000009" w:usb3="00000000" w:csb0="200001FF" w:csb1="00000000"/>
    <w:embedRegular r:id="rId6" w:fontKey="{E9CEC5AB-B3B4-4BDC-92AC-389D84324AF6}"/>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1F482EDB-5E2A-43E3-9A3E-B7B4B7F74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B0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13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6CE">
    <w:pPr>
      <w:pStyle w:val="19"/>
      <w:wordWrap w:val="0"/>
      <w:jc w:val="right"/>
      <w:rPr>
        <w:rFonts w:ascii="黑体" w:hAnsi="黑体" w:eastAsia="黑体"/>
      </w:rPr>
    </w:pPr>
    <w:r>
      <w:rPr>
        <w:rFonts w:hint="eastAsia" w:ascii="黑体" w:hAnsi="黑体" w:eastAsia="黑体"/>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A71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552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66"/>
    </w:pPr>
    <w:r>
      <w:rPr>
        <w:rFonts w:hint="eastAsia"/>
      </w:rPr>
      <w:t>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7"/>
  </w:num>
  <w:num w:numId="3">
    <w:abstractNumId w:val="6"/>
  </w:num>
  <w:num w:numId="4">
    <w:abstractNumId w:val="23"/>
  </w:num>
  <w:num w:numId="5">
    <w:abstractNumId w:val="19"/>
  </w:num>
  <w:num w:numId="6">
    <w:abstractNumId w:val="0"/>
  </w:num>
  <w:num w:numId="7">
    <w:abstractNumId w:val="9"/>
  </w:num>
  <w:num w:numId="8">
    <w:abstractNumId w:val="4"/>
  </w:num>
  <w:num w:numId="9">
    <w:abstractNumId w:val="10"/>
  </w:num>
  <w:num w:numId="10">
    <w:abstractNumId w:val="16"/>
  </w:num>
  <w:num w:numId="11">
    <w:abstractNumId w:val="25"/>
  </w:num>
  <w:num w:numId="12">
    <w:abstractNumId w:val="12"/>
  </w:num>
  <w:num w:numId="13">
    <w:abstractNumId w:val="13"/>
  </w:num>
  <w:num w:numId="14">
    <w:abstractNumId w:val="8"/>
  </w:num>
  <w:num w:numId="15">
    <w:abstractNumId w:val="18"/>
  </w:num>
  <w:num w:numId="16">
    <w:abstractNumId w:val="21"/>
  </w:num>
  <w:num w:numId="17">
    <w:abstractNumId w:val="17"/>
  </w:num>
  <w:num w:numId="18">
    <w:abstractNumId w:val="29"/>
  </w:num>
  <w:num w:numId="19">
    <w:abstractNumId w:val="15"/>
  </w:num>
  <w:num w:numId="20">
    <w:abstractNumId w:val="2"/>
  </w:num>
  <w:num w:numId="21">
    <w:abstractNumId w:val="11"/>
  </w:num>
  <w:num w:numId="22">
    <w:abstractNumId w:val="30"/>
  </w:num>
  <w:num w:numId="23">
    <w:abstractNumId w:val="20"/>
  </w:num>
  <w:num w:numId="24">
    <w:abstractNumId w:val="7"/>
  </w:num>
  <w:num w:numId="25">
    <w:abstractNumId w:val="26"/>
  </w:num>
  <w:num w:numId="26">
    <w:abstractNumId w:val="28"/>
  </w:num>
  <w:num w:numId="27">
    <w:abstractNumId w:val="3"/>
  </w:num>
  <w:num w:numId="28">
    <w:abstractNumId w:val="5"/>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DB1C83"/>
    <w:rsid w:val="02247ACE"/>
    <w:rsid w:val="024B6E08"/>
    <w:rsid w:val="027345B1"/>
    <w:rsid w:val="02EB239A"/>
    <w:rsid w:val="0337738D"/>
    <w:rsid w:val="035E700F"/>
    <w:rsid w:val="03802AE2"/>
    <w:rsid w:val="038F0F77"/>
    <w:rsid w:val="03936A9A"/>
    <w:rsid w:val="041A1DAA"/>
    <w:rsid w:val="04D71266"/>
    <w:rsid w:val="05017C52"/>
    <w:rsid w:val="05383DBD"/>
    <w:rsid w:val="056D7D96"/>
    <w:rsid w:val="057E74F5"/>
    <w:rsid w:val="05D13AC9"/>
    <w:rsid w:val="05E25CD6"/>
    <w:rsid w:val="062067FE"/>
    <w:rsid w:val="06370BD1"/>
    <w:rsid w:val="071740BE"/>
    <w:rsid w:val="072126BE"/>
    <w:rsid w:val="074107DA"/>
    <w:rsid w:val="0741664E"/>
    <w:rsid w:val="074402CA"/>
    <w:rsid w:val="074B2F2B"/>
    <w:rsid w:val="076C2B3D"/>
    <w:rsid w:val="07837045"/>
    <w:rsid w:val="07F22FA2"/>
    <w:rsid w:val="08267E19"/>
    <w:rsid w:val="082A74C0"/>
    <w:rsid w:val="089112ED"/>
    <w:rsid w:val="08C94F2B"/>
    <w:rsid w:val="08D631A4"/>
    <w:rsid w:val="08FB2C0B"/>
    <w:rsid w:val="09075A53"/>
    <w:rsid w:val="096133B5"/>
    <w:rsid w:val="098B21E0"/>
    <w:rsid w:val="09DC47EA"/>
    <w:rsid w:val="0A49096C"/>
    <w:rsid w:val="0AAE6112"/>
    <w:rsid w:val="0B510CC2"/>
    <w:rsid w:val="0B61144B"/>
    <w:rsid w:val="0B7373D0"/>
    <w:rsid w:val="0BA37CB5"/>
    <w:rsid w:val="0C7015F6"/>
    <w:rsid w:val="0C8F023A"/>
    <w:rsid w:val="0C96783C"/>
    <w:rsid w:val="0C9B6BDE"/>
    <w:rsid w:val="0CA666F2"/>
    <w:rsid w:val="0CA912FB"/>
    <w:rsid w:val="0CAC0DEC"/>
    <w:rsid w:val="0CB24D02"/>
    <w:rsid w:val="0CBD4DA7"/>
    <w:rsid w:val="0CF06F2A"/>
    <w:rsid w:val="0CF7697F"/>
    <w:rsid w:val="0CF9720F"/>
    <w:rsid w:val="0D205F98"/>
    <w:rsid w:val="0D397A5A"/>
    <w:rsid w:val="0D985311"/>
    <w:rsid w:val="0DA21B9C"/>
    <w:rsid w:val="0DEE2D3E"/>
    <w:rsid w:val="0E323572"/>
    <w:rsid w:val="0E5E4367"/>
    <w:rsid w:val="0E6D5BB9"/>
    <w:rsid w:val="0EAA135B"/>
    <w:rsid w:val="0EAE0E4B"/>
    <w:rsid w:val="0ED9579C"/>
    <w:rsid w:val="0F1C5EFC"/>
    <w:rsid w:val="0F576C9E"/>
    <w:rsid w:val="0FAB7138"/>
    <w:rsid w:val="0FF860F6"/>
    <w:rsid w:val="1024598E"/>
    <w:rsid w:val="107C0AD5"/>
    <w:rsid w:val="108C091C"/>
    <w:rsid w:val="10971222"/>
    <w:rsid w:val="11346DAD"/>
    <w:rsid w:val="11364E51"/>
    <w:rsid w:val="115C628C"/>
    <w:rsid w:val="117479FE"/>
    <w:rsid w:val="118045F5"/>
    <w:rsid w:val="119F4A7B"/>
    <w:rsid w:val="11A6405B"/>
    <w:rsid w:val="11B61661"/>
    <w:rsid w:val="11E82659"/>
    <w:rsid w:val="120B2110"/>
    <w:rsid w:val="126637EB"/>
    <w:rsid w:val="1279042F"/>
    <w:rsid w:val="1289734F"/>
    <w:rsid w:val="12E71E34"/>
    <w:rsid w:val="12FE379E"/>
    <w:rsid w:val="13693232"/>
    <w:rsid w:val="13947D4D"/>
    <w:rsid w:val="13DA623E"/>
    <w:rsid w:val="14047949"/>
    <w:rsid w:val="14403A45"/>
    <w:rsid w:val="14755F67"/>
    <w:rsid w:val="14897755"/>
    <w:rsid w:val="14C95AF3"/>
    <w:rsid w:val="15003A82"/>
    <w:rsid w:val="15107A3E"/>
    <w:rsid w:val="15164B54"/>
    <w:rsid w:val="154871D8"/>
    <w:rsid w:val="1579275D"/>
    <w:rsid w:val="15854FAB"/>
    <w:rsid w:val="15E931DA"/>
    <w:rsid w:val="161D66CD"/>
    <w:rsid w:val="1662251B"/>
    <w:rsid w:val="16946B78"/>
    <w:rsid w:val="16BD34A4"/>
    <w:rsid w:val="1740285C"/>
    <w:rsid w:val="177047B1"/>
    <w:rsid w:val="1798559B"/>
    <w:rsid w:val="181451A4"/>
    <w:rsid w:val="182932F0"/>
    <w:rsid w:val="185C5798"/>
    <w:rsid w:val="19020F76"/>
    <w:rsid w:val="195218C7"/>
    <w:rsid w:val="19AD1853"/>
    <w:rsid w:val="19E80F89"/>
    <w:rsid w:val="19F87CF8"/>
    <w:rsid w:val="1A2E2E40"/>
    <w:rsid w:val="1A5B14D5"/>
    <w:rsid w:val="1A6C3968"/>
    <w:rsid w:val="1AB53561"/>
    <w:rsid w:val="1AD05CA5"/>
    <w:rsid w:val="1AF851FC"/>
    <w:rsid w:val="1B444464"/>
    <w:rsid w:val="1C2019B2"/>
    <w:rsid w:val="1C232937"/>
    <w:rsid w:val="1C84035C"/>
    <w:rsid w:val="1C90180A"/>
    <w:rsid w:val="1CB44504"/>
    <w:rsid w:val="1CBF06C7"/>
    <w:rsid w:val="1CD11779"/>
    <w:rsid w:val="1CD557F5"/>
    <w:rsid w:val="1CFE203E"/>
    <w:rsid w:val="1D3E1AE8"/>
    <w:rsid w:val="1D412E8A"/>
    <w:rsid w:val="1D6152DA"/>
    <w:rsid w:val="1D9C6312"/>
    <w:rsid w:val="1DA578BD"/>
    <w:rsid w:val="1DE37048"/>
    <w:rsid w:val="1E293DC9"/>
    <w:rsid w:val="1E592455"/>
    <w:rsid w:val="1F4629DA"/>
    <w:rsid w:val="1F5A46D7"/>
    <w:rsid w:val="1F7D0E8D"/>
    <w:rsid w:val="1F7E2174"/>
    <w:rsid w:val="1FFB71EF"/>
    <w:rsid w:val="2011123A"/>
    <w:rsid w:val="202F6FF1"/>
    <w:rsid w:val="20586BFF"/>
    <w:rsid w:val="206F32C6"/>
    <w:rsid w:val="20A206AE"/>
    <w:rsid w:val="21167384"/>
    <w:rsid w:val="2136082C"/>
    <w:rsid w:val="21703D3E"/>
    <w:rsid w:val="221446F8"/>
    <w:rsid w:val="22A21F61"/>
    <w:rsid w:val="23135F56"/>
    <w:rsid w:val="23720E5B"/>
    <w:rsid w:val="239F4DAE"/>
    <w:rsid w:val="23B2431C"/>
    <w:rsid w:val="24101808"/>
    <w:rsid w:val="24E862E1"/>
    <w:rsid w:val="2560231B"/>
    <w:rsid w:val="257152D6"/>
    <w:rsid w:val="25D80104"/>
    <w:rsid w:val="26013711"/>
    <w:rsid w:val="2604378E"/>
    <w:rsid w:val="2641214D"/>
    <w:rsid w:val="26435EC5"/>
    <w:rsid w:val="26597496"/>
    <w:rsid w:val="268D6C84"/>
    <w:rsid w:val="26AC40FD"/>
    <w:rsid w:val="26C568DA"/>
    <w:rsid w:val="26D22DA5"/>
    <w:rsid w:val="26F251F5"/>
    <w:rsid w:val="26FD2518"/>
    <w:rsid w:val="2706199F"/>
    <w:rsid w:val="27191146"/>
    <w:rsid w:val="272555CB"/>
    <w:rsid w:val="272705E4"/>
    <w:rsid w:val="278B636C"/>
    <w:rsid w:val="27A74232"/>
    <w:rsid w:val="281713B7"/>
    <w:rsid w:val="28526934"/>
    <w:rsid w:val="28AA3FD9"/>
    <w:rsid w:val="28CE6F9F"/>
    <w:rsid w:val="28D46B7D"/>
    <w:rsid w:val="298F4F7D"/>
    <w:rsid w:val="29D55086"/>
    <w:rsid w:val="2A1A5F20"/>
    <w:rsid w:val="2A1F27A5"/>
    <w:rsid w:val="2A222295"/>
    <w:rsid w:val="2A3A75DF"/>
    <w:rsid w:val="2A7B0D43"/>
    <w:rsid w:val="2A984505"/>
    <w:rsid w:val="2ABA24CE"/>
    <w:rsid w:val="2ABC5A31"/>
    <w:rsid w:val="2AE76B06"/>
    <w:rsid w:val="2B0025D7"/>
    <w:rsid w:val="2B7408CF"/>
    <w:rsid w:val="2B941177"/>
    <w:rsid w:val="2BB331A5"/>
    <w:rsid w:val="2BCC070B"/>
    <w:rsid w:val="2BF727FE"/>
    <w:rsid w:val="2C405C02"/>
    <w:rsid w:val="2C610E53"/>
    <w:rsid w:val="2C974E26"/>
    <w:rsid w:val="2CC71744"/>
    <w:rsid w:val="2D142369"/>
    <w:rsid w:val="2D175AA2"/>
    <w:rsid w:val="2D364384"/>
    <w:rsid w:val="2D864A37"/>
    <w:rsid w:val="2DE832DC"/>
    <w:rsid w:val="2E067F10"/>
    <w:rsid w:val="2E2E745B"/>
    <w:rsid w:val="2E312AA7"/>
    <w:rsid w:val="2E7A774E"/>
    <w:rsid w:val="2EA65243"/>
    <w:rsid w:val="2EEF10A1"/>
    <w:rsid w:val="2EEF5C10"/>
    <w:rsid w:val="2F466B3B"/>
    <w:rsid w:val="2FA5374C"/>
    <w:rsid w:val="2FAF42C8"/>
    <w:rsid w:val="2FE752D1"/>
    <w:rsid w:val="300A7A53"/>
    <w:rsid w:val="30304791"/>
    <w:rsid w:val="303B5E5F"/>
    <w:rsid w:val="304E7940"/>
    <w:rsid w:val="3069477A"/>
    <w:rsid w:val="309D614E"/>
    <w:rsid w:val="30F0112E"/>
    <w:rsid w:val="313528AE"/>
    <w:rsid w:val="318D4498"/>
    <w:rsid w:val="31A11CF2"/>
    <w:rsid w:val="31E3055C"/>
    <w:rsid w:val="32AB5D01"/>
    <w:rsid w:val="32D3237F"/>
    <w:rsid w:val="332A7819"/>
    <w:rsid w:val="334376A7"/>
    <w:rsid w:val="33492641"/>
    <w:rsid w:val="33686F6B"/>
    <w:rsid w:val="33A900F6"/>
    <w:rsid w:val="33D31231"/>
    <w:rsid w:val="33D60378"/>
    <w:rsid w:val="34120C85"/>
    <w:rsid w:val="341D114F"/>
    <w:rsid w:val="349873DC"/>
    <w:rsid w:val="34A77AD0"/>
    <w:rsid w:val="34BF4CAA"/>
    <w:rsid w:val="35020CF9"/>
    <w:rsid w:val="351729F7"/>
    <w:rsid w:val="352D62CE"/>
    <w:rsid w:val="358F02C1"/>
    <w:rsid w:val="35986C99"/>
    <w:rsid w:val="35E11274"/>
    <w:rsid w:val="35EF42A0"/>
    <w:rsid w:val="35F04FF6"/>
    <w:rsid w:val="360E3B2F"/>
    <w:rsid w:val="365C268B"/>
    <w:rsid w:val="36723C5D"/>
    <w:rsid w:val="367501B8"/>
    <w:rsid w:val="368470CC"/>
    <w:rsid w:val="376143FD"/>
    <w:rsid w:val="38042FDA"/>
    <w:rsid w:val="38084878"/>
    <w:rsid w:val="382471D8"/>
    <w:rsid w:val="38510A7B"/>
    <w:rsid w:val="38811B6E"/>
    <w:rsid w:val="389B28F8"/>
    <w:rsid w:val="38F02E97"/>
    <w:rsid w:val="39447FDB"/>
    <w:rsid w:val="395B30CE"/>
    <w:rsid w:val="39CD5D7A"/>
    <w:rsid w:val="39E60BE9"/>
    <w:rsid w:val="39FE35D6"/>
    <w:rsid w:val="3A240899"/>
    <w:rsid w:val="3AAB598F"/>
    <w:rsid w:val="3AD4069B"/>
    <w:rsid w:val="3B3720B6"/>
    <w:rsid w:val="3B434C68"/>
    <w:rsid w:val="3B4756B8"/>
    <w:rsid w:val="3B4B21D2"/>
    <w:rsid w:val="3B5B1163"/>
    <w:rsid w:val="3B660234"/>
    <w:rsid w:val="3B7A10AA"/>
    <w:rsid w:val="3B8F2C3B"/>
    <w:rsid w:val="3B9E5419"/>
    <w:rsid w:val="3B9F3746"/>
    <w:rsid w:val="3BE23632"/>
    <w:rsid w:val="3C137C90"/>
    <w:rsid w:val="3C1557B6"/>
    <w:rsid w:val="3C670048"/>
    <w:rsid w:val="3CE1265E"/>
    <w:rsid w:val="3D0F0457"/>
    <w:rsid w:val="3D211F38"/>
    <w:rsid w:val="3D513680"/>
    <w:rsid w:val="3D566C49"/>
    <w:rsid w:val="3D8F1791"/>
    <w:rsid w:val="3D98044D"/>
    <w:rsid w:val="3E0C4997"/>
    <w:rsid w:val="3E204318"/>
    <w:rsid w:val="3E2E7003"/>
    <w:rsid w:val="3E4F1453"/>
    <w:rsid w:val="3E676FE7"/>
    <w:rsid w:val="3E6A003B"/>
    <w:rsid w:val="3E907376"/>
    <w:rsid w:val="3F0B3AFE"/>
    <w:rsid w:val="3FA550A3"/>
    <w:rsid w:val="40491ED2"/>
    <w:rsid w:val="404D5D77"/>
    <w:rsid w:val="405C7E57"/>
    <w:rsid w:val="40E65973"/>
    <w:rsid w:val="40EC0DD9"/>
    <w:rsid w:val="40EF3947"/>
    <w:rsid w:val="40FB4353"/>
    <w:rsid w:val="41263FC1"/>
    <w:rsid w:val="413B181B"/>
    <w:rsid w:val="41517290"/>
    <w:rsid w:val="41522043"/>
    <w:rsid w:val="41D35EF7"/>
    <w:rsid w:val="41D97316"/>
    <w:rsid w:val="41EA1493"/>
    <w:rsid w:val="4207790D"/>
    <w:rsid w:val="42A17DA3"/>
    <w:rsid w:val="42BC6C22"/>
    <w:rsid w:val="42EB7271"/>
    <w:rsid w:val="430B346F"/>
    <w:rsid w:val="430C3285"/>
    <w:rsid w:val="43525542"/>
    <w:rsid w:val="437454B8"/>
    <w:rsid w:val="43876DC7"/>
    <w:rsid w:val="439B2A45"/>
    <w:rsid w:val="439F6551"/>
    <w:rsid w:val="44006D4C"/>
    <w:rsid w:val="44636591"/>
    <w:rsid w:val="44C304A5"/>
    <w:rsid w:val="44FD4773"/>
    <w:rsid w:val="45486BFC"/>
    <w:rsid w:val="45DB35CC"/>
    <w:rsid w:val="45E83F3B"/>
    <w:rsid w:val="45FA7D5B"/>
    <w:rsid w:val="464229AA"/>
    <w:rsid w:val="465A48FC"/>
    <w:rsid w:val="46696CCB"/>
    <w:rsid w:val="46794B93"/>
    <w:rsid w:val="46895648"/>
    <w:rsid w:val="46D70238"/>
    <w:rsid w:val="46D87B0C"/>
    <w:rsid w:val="473C009B"/>
    <w:rsid w:val="473F1EFF"/>
    <w:rsid w:val="47613FA5"/>
    <w:rsid w:val="47BC2352"/>
    <w:rsid w:val="47C22C96"/>
    <w:rsid w:val="48457423"/>
    <w:rsid w:val="48530866"/>
    <w:rsid w:val="488B752C"/>
    <w:rsid w:val="48B06F92"/>
    <w:rsid w:val="48F76E74"/>
    <w:rsid w:val="490E0B33"/>
    <w:rsid w:val="49AF724A"/>
    <w:rsid w:val="49D1656A"/>
    <w:rsid w:val="49F64E79"/>
    <w:rsid w:val="4A075F7D"/>
    <w:rsid w:val="4A325785"/>
    <w:rsid w:val="4A800BE6"/>
    <w:rsid w:val="4ADB5E1D"/>
    <w:rsid w:val="4AE22767"/>
    <w:rsid w:val="4BCF3BD3"/>
    <w:rsid w:val="4BD74836"/>
    <w:rsid w:val="4C371778"/>
    <w:rsid w:val="4C7C718B"/>
    <w:rsid w:val="4C8F6EBF"/>
    <w:rsid w:val="4CEA67EB"/>
    <w:rsid w:val="4DDA23BB"/>
    <w:rsid w:val="4E232905"/>
    <w:rsid w:val="4E241889"/>
    <w:rsid w:val="4E5C1022"/>
    <w:rsid w:val="4EB01641"/>
    <w:rsid w:val="4EF37BD9"/>
    <w:rsid w:val="4F0A6CD0"/>
    <w:rsid w:val="4F534BF8"/>
    <w:rsid w:val="4F587A3C"/>
    <w:rsid w:val="4FBF2D98"/>
    <w:rsid w:val="4FCA62BD"/>
    <w:rsid w:val="4FCC3F86"/>
    <w:rsid w:val="4FD33566"/>
    <w:rsid w:val="50504BB7"/>
    <w:rsid w:val="507C3BFE"/>
    <w:rsid w:val="507E34D2"/>
    <w:rsid w:val="50966C31"/>
    <w:rsid w:val="50ED2406"/>
    <w:rsid w:val="50F419E6"/>
    <w:rsid w:val="51431169"/>
    <w:rsid w:val="514E65F3"/>
    <w:rsid w:val="51825244"/>
    <w:rsid w:val="5193599C"/>
    <w:rsid w:val="519A0805"/>
    <w:rsid w:val="51F53C68"/>
    <w:rsid w:val="52102850"/>
    <w:rsid w:val="525A3ACB"/>
    <w:rsid w:val="525D0267"/>
    <w:rsid w:val="52B23907"/>
    <w:rsid w:val="52C11D9C"/>
    <w:rsid w:val="52EA30A1"/>
    <w:rsid w:val="52FE6B4C"/>
    <w:rsid w:val="53105563"/>
    <w:rsid w:val="53234C57"/>
    <w:rsid w:val="53343453"/>
    <w:rsid w:val="537D2167"/>
    <w:rsid w:val="53926B2B"/>
    <w:rsid w:val="53A94D22"/>
    <w:rsid w:val="53E2646E"/>
    <w:rsid w:val="544B5514"/>
    <w:rsid w:val="54560E40"/>
    <w:rsid w:val="546B0211"/>
    <w:rsid w:val="54C71C79"/>
    <w:rsid w:val="54DA0EF3"/>
    <w:rsid w:val="54DA7145"/>
    <w:rsid w:val="54F413E0"/>
    <w:rsid w:val="54FA3343"/>
    <w:rsid w:val="556829A3"/>
    <w:rsid w:val="55F259B1"/>
    <w:rsid w:val="56464697"/>
    <w:rsid w:val="56653928"/>
    <w:rsid w:val="567D7B45"/>
    <w:rsid w:val="569F2107"/>
    <w:rsid w:val="56A31EE4"/>
    <w:rsid w:val="56BC7955"/>
    <w:rsid w:val="56BE37C3"/>
    <w:rsid w:val="56F269C8"/>
    <w:rsid w:val="575A1E69"/>
    <w:rsid w:val="579B0E0D"/>
    <w:rsid w:val="57BD5228"/>
    <w:rsid w:val="57E22340"/>
    <w:rsid w:val="57E75E01"/>
    <w:rsid w:val="58690F0C"/>
    <w:rsid w:val="59326E77"/>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AF30D9"/>
    <w:rsid w:val="5BEC78DC"/>
    <w:rsid w:val="5C3133BD"/>
    <w:rsid w:val="5C336931"/>
    <w:rsid w:val="5C58107B"/>
    <w:rsid w:val="5C7659A5"/>
    <w:rsid w:val="5C78171D"/>
    <w:rsid w:val="5C9522F3"/>
    <w:rsid w:val="5CA54208"/>
    <w:rsid w:val="5CA711F8"/>
    <w:rsid w:val="5CBD35D4"/>
    <w:rsid w:val="5CD66444"/>
    <w:rsid w:val="5D3715D8"/>
    <w:rsid w:val="5D423AD9"/>
    <w:rsid w:val="5D487342"/>
    <w:rsid w:val="5D5A52C7"/>
    <w:rsid w:val="5D8B5480"/>
    <w:rsid w:val="5D946993"/>
    <w:rsid w:val="5DB669A1"/>
    <w:rsid w:val="5DC10EA2"/>
    <w:rsid w:val="5DC42740"/>
    <w:rsid w:val="5DD2614B"/>
    <w:rsid w:val="5DDE1A54"/>
    <w:rsid w:val="5DF5547E"/>
    <w:rsid w:val="5E937DA9"/>
    <w:rsid w:val="5ED510A9"/>
    <w:rsid w:val="5F107C5C"/>
    <w:rsid w:val="5F3E6C4E"/>
    <w:rsid w:val="5F5B0685"/>
    <w:rsid w:val="5F927999"/>
    <w:rsid w:val="5F9E149B"/>
    <w:rsid w:val="5FB06EF5"/>
    <w:rsid w:val="5FC133DB"/>
    <w:rsid w:val="5FCB425A"/>
    <w:rsid w:val="5FCE4022"/>
    <w:rsid w:val="5FD41360"/>
    <w:rsid w:val="5FF732A1"/>
    <w:rsid w:val="5FF923DA"/>
    <w:rsid w:val="5FFE3CFF"/>
    <w:rsid w:val="602B6AA7"/>
    <w:rsid w:val="605F4D5E"/>
    <w:rsid w:val="60967D57"/>
    <w:rsid w:val="609F196E"/>
    <w:rsid w:val="60A971FB"/>
    <w:rsid w:val="60AE790C"/>
    <w:rsid w:val="60C45638"/>
    <w:rsid w:val="61127BCE"/>
    <w:rsid w:val="61193A0B"/>
    <w:rsid w:val="611B6B1B"/>
    <w:rsid w:val="6129748A"/>
    <w:rsid w:val="61C947C9"/>
    <w:rsid w:val="620D321D"/>
    <w:rsid w:val="628F1E33"/>
    <w:rsid w:val="62DE42A4"/>
    <w:rsid w:val="63380AEB"/>
    <w:rsid w:val="63471527"/>
    <w:rsid w:val="63921D3E"/>
    <w:rsid w:val="63CB3C77"/>
    <w:rsid w:val="63E31B72"/>
    <w:rsid w:val="64127E15"/>
    <w:rsid w:val="64144421"/>
    <w:rsid w:val="6429154F"/>
    <w:rsid w:val="64B67DBB"/>
    <w:rsid w:val="64C6694E"/>
    <w:rsid w:val="64CD1AD5"/>
    <w:rsid w:val="65385EEE"/>
    <w:rsid w:val="654E5711"/>
    <w:rsid w:val="657A6506"/>
    <w:rsid w:val="65B23EF2"/>
    <w:rsid w:val="65E733A7"/>
    <w:rsid w:val="6639539F"/>
    <w:rsid w:val="664036B8"/>
    <w:rsid w:val="66AF3A6A"/>
    <w:rsid w:val="66FB3677"/>
    <w:rsid w:val="67F97FFA"/>
    <w:rsid w:val="6852376A"/>
    <w:rsid w:val="6884144A"/>
    <w:rsid w:val="68F465CF"/>
    <w:rsid w:val="690D7691"/>
    <w:rsid w:val="69A00928"/>
    <w:rsid w:val="69F32F6D"/>
    <w:rsid w:val="69F85C4B"/>
    <w:rsid w:val="6A554E4C"/>
    <w:rsid w:val="6A694D9B"/>
    <w:rsid w:val="6A6A0E44"/>
    <w:rsid w:val="6AA2357A"/>
    <w:rsid w:val="6B111D7A"/>
    <w:rsid w:val="6B3B4599"/>
    <w:rsid w:val="6B3C1D1C"/>
    <w:rsid w:val="6B43739A"/>
    <w:rsid w:val="6B563571"/>
    <w:rsid w:val="6B910106"/>
    <w:rsid w:val="6BB67B6C"/>
    <w:rsid w:val="6BC8505C"/>
    <w:rsid w:val="6BD36970"/>
    <w:rsid w:val="6BF13D3D"/>
    <w:rsid w:val="6BFB7C75"/>
    <w:rsid w:val="6C6C46CF"/>
    <w:rsid w:val="6C9003BD"/>
    <w:rsid w:val="6C9C4FB4"/>
    <w:rsid w:val="6CB322FE"/>
    <w:rsid w:val="6CC24944"/>
    <w:rsid w:val="6CC422B2"/>
    <w:rsid w:val="6CD57C73"/>
    <w:rsid w:val="6CF43042"/>
    <w:rsid w:val="6D1859BB"/>
    <w:rsid w:val="6D2C16A8"/>
    <w:rsid w:val="6DAD3BA8"/>
    <w:rsid w:val="6DB9657F"/>
    <w:rsid w:val="6DF02BC2"/>
    <w:rsid w:val="6E0C7B11"/>
    <w:rsid w:val="6E7A1325"/>
    <w:rsid w:val="6E7F06E9"/>
    <w:rsid w:val="6E922B12"/>
    <w:rsid w:val="6F631DB9"/>
    <w:rsid w:val="6F704695"/>
    <w:rsid w:val="6F881820"/>
    <w:rsid w:val="6F9D65B5"/>
    <w:rsid w:val="703D6AAE"/>
    <w:rsid w:val="703F3234"/>
    <w:rsid w:val="704241B9"/>
    <w:rsid w:val="709C6820"/>
    <w:rsid w:val="70BE01D5"/>
    <w:rsid w:val="70C41EB3"/>
    <w:rsid w:val="70FC0CF6"/>
    <w:rsid w:val="716B1B75"/>
    <w:rsid w:val="716C6002"/>
    <w:rsid w:val="71876217"/>
    <w:rsid w:val="718D136F"/>
    <w:rsid w:val="71F17B50"/>
    <w:rsid w:val="71F66F14"/>
    <w:rsid w:val="71FE401B"/>
    <w:rsid w:val="7238577F"/>
    <w:rsid w:val="72402885"/>
    <w:rsid w:val="729F75BD"/>
    <w:rsid w:val="72C9287B"/>
    <w:rsid w:val="7310016F"/>
    <w:rsid w:val="731E7DE9"/>
    <w:rsid w:val="734C5BFD"/>
    <w:rsid w:val="734D7008"/>
    <w:rsid w:val="735171B2"/>
    <w:rsid w:val="736A5E0C"/>
    <w:rsid w:val="738467A2"/>
    <w:rsid w:val="73951FDA"/>
    <w:rsid w:val="73C92407"/>
    <w:rsid w:val="74173885"/>
    <w:rsid w:val="741F6689"/>
    <w:rsid w:val="744511DB"/>
    <w:rsid w:val="74D3178F"/>
    <w:rsid w:val="74DF3CDB"/>
    <w:rsid w:val="75640639"/>
    <w:rsid w:val="75973D58"/>
    <w:rsid w:val="759A22AD"/>
    <w:rsid w:val="75BA64AB"/>
    <w:rsid w:val="75FF0C10"/>
    <w:rsid w:val="762B1026"/>
    <w:rsid w:val="76744178"/>
    <w:rsid w:val="76EC6B38"/>
    <w:rsid w:val="76EE465E"/>
    <w:rsid w:val="773E7BB3"/>
    <w:rsid w:val="77AB69F3"/>
    <w:rsid w:val="77DA2E34"/>
    <w:rsid w:val="77FC6D03"/>
    <w:rsid w:val="78174088"/>
    <w:rsid w:val="782D178F"/>
    <w:rsid w:val="78A97A5F"/>
    <w:rsid w:val="78C7785D"/>
    <w:rsid w:val="78D36201"/>
    <w:rsid w:val="78EC1071"/>
    <w:rsid w:val="790F6B0E"/>
    <w:rsid w:val="792620AF"/>
    <w:rsid w:val="79C922CD"/>
    <w:rsid w:val="7A0348C4"/>
    <w:rsid w:val="7A150154"/>
    <w:rsid w:val="7A5C2B58"/>
    <w:rsid w:val="7B035A61"/>
    <w:rsid w:val="7BF24BF0"/>
    <w:rsid w:val="7C09112C"/>
    <w:rsid w:val="7C127041"/>
    <w:rsid w:val="7C490589"/>
    <w:rsid w:val="7C6B04FF"/>
    <w:rsid w:val="7C7E6484"/>
    <w:rsid w:val="7CBB76D8"/>
    <w:rsid w:val="7CF16C56"/>
    <w:rsid w:val="7D225061"/>
    <w:rsid w:val="7D2F777E"/>
    <w:rsid w:val="7D521855"/>
    <w:rsid w:val="7D623654"/>
    <w:rsid w:val="7D7B29C4"/>
    <w:rsid w:val="7DC861E9"/>
    <w:rsid w:val="7E257EF5"/>
    <w:rsid w:val="7E466AB8"/>
    <w:rsid w:val="7EA877E8"/>
    <w:rsid w:val="7EB22415"/>
    <w:rsid w:val="7EBE0DBA"/>
    <w:rsid w:val="7EC871EC"/>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rPr>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6c9195f8-b69f-498b-bbf5-ca727fd4d966}"/>
        <w:style w:val=""/>
        <w:category>
          <w:name w:val="常规"/>
          <w:gallery w:val="placeholder"/>
        </w:category>
        <w:types>
          <w:type w:val="bbPlcHdr"/>
        </w:types>
        <w:behaviors>
          <w:behavior w:val="content"/>
        </w:behaviors>
        <w:description w:val=""/>
        <w:guid w:val="{6C9195F8-B69F-498B-BBF5-CA727FD4D966}"/>
      </w:docPartPr>
      <w:docPartBody>
        <w:p w14:paraId="1ED0CFD2">
          <w:r>
            <w:rPr>
              <w:color w:val="808080"/>
              <w:highlight w:val="lightGray"/>
            </w:rPr>
            <w:t xml:space="preserve">   </w:t>
          </w:r>
        </w:p>
      </w:docPartBody>
    </w:docPart>
    <w:docPart>
      <w:docPartPr>
        <w:name w:val="{67d0d06c-ef95-4110-8830-86c9be6c5241}"/>
        <w:style w:val=""/>
        <w:category>
          <w:name w:val="常规"/>
          <w:gallery w:val="placeholder"/>
        </w:category>
        <w:types>
          <w:type w:val="bbPlcHdr"/>
        </w:types>
        <w:behaviors>
          <w:behavior w:val="content"/>
        </w:behaviors>
        <w:description w:val=""/>
        <w:guid w:val="{67D0D06C-EF95-4110-8830-86C9BE6C5241}"/>
      </w:docPartPr>
      <w:docPartBody>
        <w:p w14:paraId="4470B628">
          <w:r>
            <w:rPr>
              <w:color w:val="808080"/>
            </w:rPr>
            <w:t>单击此处输入文字。</w:t>
          </w:r>
        </w:p>
      </w:docPartBody>
    </w:docPart>
    <w:docPart>
      <w:docPartPr>
        <w:name w:val="{a72764c1-cf59-4924-8622-8227e1039431}"/>
        <w:style w:val=""/>
        <w:category>
          <w:name w:val="常规"/>
          <w:gallery w:val="placeholder"/>
        </w:category>
        <w:types>
          <w:type w:val="bbPlcHdr"/>
        </w:types>
        <w:behaviors>
          <w:behavior w:val="content"/>
        </w:behaviors>
        <w:description w:val=""/>
        <w:guid w:val="{A72764C1-CF59-4924-8622-8227E1039431}"/>
      </w:docPartPr>
      <w:docPartBody>
        <w:p w14:paraId="34F1595A">
          <w:r>
            <w:rPr>
              <w:color w:val="808080"/>
            </w:rPr>
            <w:t>点击此处添加标准名称</w:t>
          </w:r>
        </w:p>
      </w:docPartBody>
    </w:docPart>
    <w:docPart>
      <w:docPartPr>
        <w:name w:val="{8b93df19-d3a2-4cf6-af64-545a8cba65b9}"/>
        <w:style w:val=""/>
        <w:category>
          <w:name w:val="常规"/>
          <w:gallery w:val="placeholder"/>
        </w:category>
        <w:types>
          <w:type w:val="bbPlcHdr"/>
        </w:types>
        <w:behaviors>
          <w:behavior w:val="content"/>
        </w:behaviors>
        <w:description w:val=""/>
        <w:guid w:val="{8B93DF19-D3A2-4CF6-AF64-545A8CBA65B9}"/>
      </w:docPartPr>
      <w:docPartBody>
        <w:p w14:paraId="7CD04F22">
          <w:r>
            <w:rPr>
              <w:color w:val="808080"/>
            </w:rPr>
            <w:t>点击此处添加与国际标准一致性程度的标识</w:t>
          </w:r>
        </w:p>
      </w:docPartBody>
    </w:docPart>
    <w:docPart>
      <w:docPartPr>
        <w:name w:val="{0c871f9c-2089-4eac-b6ff-a01e24a2ff32}"/>
        <w:style w:val=""/>
        <w:category>
          <w:name w:val="常规"/>
          <w:gallery w:val="placeholder"/>
        </w:category>
        <w:types>
          <w:type w:val="bbPlcHdr"/>
        </w:types>
        <w:behaviors>
          <w:behavior w:val="content"/>
        </w:behaviors>
        <w:description w:val=""/>
        <w:guid w:val="{0C871F9C-2089-4EAC-B6FF-A01E24A2FF32}"/>
      </w:docPartPr>
      <w:docPartBody>
        <w:p w14:paraId="0F292B6B">
          <w:r>
            <w:rPr>
              <w:color w:val="808080"/>
            </w:rPr>
            <w:t>选择一项。</w:t>
          </w:r>
        </w:p>
      </w:docPartBody>
    </w:docPart>
    <w:docPart>
      <w:docPartPr>
        <w:name w:val="{ffc36ac9-555f-4fb4-b39b-c9c42afd0a0b}"/>
        <w:style w:val=""/>
        <w:category>
          <w:name w:val="常规"/>
          <w:gallery w:val="placeholder"/>
        </w:category>
        <w:types>
          <w:type w:val="bbPlcHdr"/>
        </w:types>
        <w:behaviors>
          <w:behavior w:val="content"/>
        </w:behaviors>
        <w:description w:val=""/>
        <w:guid w:val="{FFC36AC9-555F-4FB4-B39B-C9C42AFD0A0B}"/>
      </w:docPartPr>
      <w:docPartBody>
        <w:p w14:paraId="71E9D27C">
          <w:r>
            <w:rPr>
              <w:color w:val="808080"/>
            </w:rPr>
            <w:t>XXXX</w:t>
          </w:r>
        </w:p>
      </w:docPartBody>
    </w:docPart>
    <w:docPart>
      <w:docPartPr>
        <w:name w:val="{42e85895-5a69-4c5f-8435-6aa174df825e}"/>
        <w:style w:val=""/>
        <w:category>
          <w:name w:val="常规"/>
          <w:gallery w:val="placeholder"/>
        </w:category>
        <w:types>
          <w:type w:val="bbPlcHdr"/>
        </w:types>
        <w:behaviors>
          <w:behavior w:val="content"/>
        </w:behaviors>
        <w:description w:val=""/>
        <w:guid w:val="{42E85895-5A69-4C5F-8435-6AA174DF825E}"/>
      </w:docPartPr>
      <w:docPartBody>
        <w:p w14:paraId="525DAB74">
          <w:r>
            <w:rPr>
              <w:color w:val="808080"/>
            </w:rPr>
            <w:t>XXXX</w:t>
          </w:r>
        </w:p>
      </w:docPartBody>
    </w:docPart>
    <w:docPart>
      <w:docPartPr>
        <w:name w:val="{b7d6c8d2-2f40-43d5-8c2f-656491101695}"/>
        <w:style w:val=""/>
        <w:category>
          <w:name w:val="常规"/>
          <w:gallery w:val="placeholder"/>
        </w:category>
        <w:types>
          <w:type w:val="bbPlcHdr"/>
        </w:types>
        <w:behaviors>
          <w:behavior w:val="content"/>
        </w:behaviors>
        <w:description w:val=""/>
        <w:guid w:val="{B7D6C8D2-2F40-43D5-8C2F-656491101695}"/>
      </w:docPartPr>
      <w:docPartBody>
        <w:p w14:paraId="29070DE0">
          <w:r>
            <w:rPr>
              <w:rFonts w:hint="eastAsia"/>
              <w:color w:val="808080"/>
              <w:highlight w:val="lightGray"/>
            </w:rPr>
            <w:t xml:space="preserve">   </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d796bbc5-5406-4888-b2f3-c36bbee649d3}"/>
        <w:style w:val=""/>
        <w:category>
          <w:name w:val="常规"/>
          <w:gallery w:val="placeholder"/>
        </w:category>
        <w:types>
          <w:type w:val="bbPlcHdr"/>
        </w:types>
        <w:behaviors>
          <w:behavior w:val="content"/>
        </w:behaviors>
        <w:description w:val=""/>
        <w:guid w:val="{D796BBC5-5406-4888-B2F3-C36BBEE649D3}"/>
      </w:docPartPr>
      <w:docPartBody>
        <w:p w14:paraId="49C97547">
          <w:r>
            <w:rPr>
              <w:color w:val="808080"/>
            </w:rPr>
            <w:t>单击此处输入文字。</w:t>
          </w:r>
        </w:p>
      </w:docPartBody>
    </w:docPart>
    <w:docPart>
      <w:docPartPr>
        <w:name w:val="{a159c448-9bec-458e-ba63-7bdd8bfb8f76}"/>
        <w:style w:val=""/>
        <w:category>
          <w:name w:val="常规"/>
          <w:gallery w:val="placeholder"/>
        </w:category>
        <w:types>
          <w:type w:val="bbPlcHdr"/>
        </w:types>
        <w:behaviors>
          <w:behavior w:val="content"/>
        </w:behaviors>
        <w:description w:val=""/>
        <w:guid w:val="{A159C448-9BEC-458E-BA63-7BDD8BFB8F76}"/>
      </w:docPartPr>
      <w:docPartBody>
        <w:p w14:paraId="7476E64E">
          <w:r>
            <w:rPr>
              <w:highlight w:val="lightGray"/>
              <w:lang w:val="fr-FR"/>
            </w:rPr>
            <w:t>XXXXX</w:t>
          </w:r>
        </w:p>
      </w:docPartBody>
    </w:docPart>
    <w:docPart>
      <w:docPartPr>
        <w:name w:val="{86a5e2ac-a33b-4672-9de4-69e66b7a0c36}"/>
        <w:style w:val=""/>
        <w:category>
          <w:name w:val="常规"/>
          <w:gallery w:val="placeholder"/>
        </w:category>
        <w:types>
          <w:type w:val="bbPlcHdr"/>
        </w:types>
        <w:behaviors>
          <w:behavior w:val="content"/>
        </w:behaviors>
        <w:description w:val=""/>
        <w:guid w:val="{86A5E2AC-A33B-4672-9DE4-69E66B7A0C36}"/>
      </w:docPartPr>
      <w:docPartBody>
        <w:p w14:paraId="4977FEF7">
          <w:r>
            <w:t>XXXX</w:t>
          </w:r>
        </w:p>
      </w:docPartBody>
    </w:docPart>
    <w:docPart>
      <w:docPartPr>
        <w:name w:val="{9ab45570-4d49-4a33-b76c-3b5a8a0b582b}"/>
        <w:style w:val=""/>
        <w:category>
          <w:name w:val="常规"/>
          <w:gallery w:val="placeholder"/>
        </w:category>
        <w:types>
          <w:type w:val="bbPlcHdr"/>
        </w:types>
        <w:behaviors>
          <w:behavior w:val="content"/>
        </w:behaviors>
        <w:description w:val=""/>
        <w:guid w:val="{9AB45570-4D49-4A33-B76C-3B5A8A0B582B}"/>
      </w:docPartPr>
      <w:docPartBody>
        <w:p w14:paraId="35F2B475">
          <w:r>
            <w:rPr>
              <w:rFonts w:hint="eastAsia"/>
            </w:rPr>
            <w:t>点击此处添加标准名称的英文译名</w:t>
          </w:r>
        </w:p>
      </w:docPartBody>
    </w:docPart>
    <w:docPart>
      <w:docPartPr>
        <w:name w:val="{6520bed0-204d-45ab-a9bc-07c512250680}"/>
        <w:style w:val=""/>
        <w:category>
          <w:name w:val="常规"/>
          <w:gallery w:val="placeholder"/>
        </w:category>
        <w:types>
          <w:type w:val="bbPlcHdr"/>
        </w:types>
        <w:behaviors>
          <w:behavior w:val="content"/>
        </w:behaviors>
        <w:description w:val=""/>
        <w:guid w:val="{6520BED0-204D-45AB-A9BC-07C512250680}"/>
      </w:docPartPr>
      <w:docPartBody>
        <w:p w14:paraId="1C2C336F">
          <w:r>
            <w:rPr>
              <w:color w:val="808080"/>
            </w:rPr>
            <w:t>XXXX</w:t>
          </w:r>
        </w:p>
      </w:docPartBody>
    </w:docPart>
    <w:docPart>
      <w:docPartPr>
        <w:name w:val="{8702d678-4b8d-4209-b0b4-982da1757ede}"/>
        <w:style w:val=""/>
        <w:category>
          <w:name w:val="常规"/>
          <w:gallery w:val="placeholder"/>
        </w:category>
        <w:types>
          <w:type w:val="bbPlcHdr"/>
        </w:types>
        <w:behaviors>
          <w:behavior w:val="content"/>
        </w:behaviors>
        <w:description w:val=""/>
        <w:guid w:val="{8702D678-4B8D-4209-B0B4-982DA1757EDE}"/>
      </w:docPartPr>
      <w:docPartBody>
        <w:p w14:paraId="72D9B6FE">
          <w:r>
            <w:rPr>
              <w:color w:val="808080"/>
            </w:rPr>
            <w:t>XX</w:t>
          </w:r>
        </w:p>
      </w:docPartBody>
    </w:docPart>
    <w:docPart>
      <w:docPartPr>
        <w:name w:val="{bbf84e9a-ea19-48ac-8602-fd706520c678}"/>
        <w:style w:val=""/>
        <w:category>
          <w:name w:val="常规"/>
          <w:gallery w:val="placeholder"/>
        </w:category>
        <w:types>
          <w:type w:val="bbPlcHdr"/>
        </w:types>
        <w:behaviors>
          <w:behavior w:val="content"/>
        </w:behaviors>
        <w:description w:val=""/>
        <w:guid w:val="{BBF84E9A-EA19-48AC-8602-FD706520C678}"/>
      </w:docPartPr>
      <w:docPartBody>
        <w:p w14:paraId="7E99E72F">
          <w:r>
            <w:rPr>
              <w:color w:val="808080"/>
            </w:rPr>
            <w:t>XX</w:t>
          </w:r>
        </w:p>
      </w:docPartBody>
    </w:docPart>
    <w:docPart>
      <w:docPartPr>
        <w:name w:val="{273c241a-3545-4cb8-b3e1-dccdf8af0dbb}"/>
        <w:style w:val=""/>
        <w:category>
          <w:name w:val="常规"/>
          <w:gallery w:val="placeholder"/>
        </w:category>
        <w:types>
          <w:type w:val="bbPlcHdr"/>
        </w:types>
        <w:behaviors>
          <w:behavior w:val="content"/>
        </w:behaviors>
        <w:description w:val=""/>
        <w:guid w:val="{273C241A-3545-4CB8-B3E1-DCCDF8AF0DBB}"/>
      </w:docPartPr>
      <w:docPartBody>
        <w:p w14:paraId="683DFD99">
          <w:r>
            <w:rPr>
              <w:color w:val="808080"/>
            </w:rPr>
            <w:t>XXXX</w:t>
          </w:r>
        </w:p>
      </w:docPartBody>
    </w:docPart>
    <w:docPart>
      <w:docPartPr>
        <w:name w:val="{decab8c0-5632-48ca-8dfa-65fd198c0a0f}"/>
        <w:style w:val=""/>
        <w:category>
          <w:name w:val="常规"/>
          <w:gallery w:val="placeholder"/>
        </w:category>
        <w:types>
          <w:type w:val="bbPlcHdr"/>
        </w:types>
        <w:behaviors>
          <w:behavior w:val="content"/>
        </w:behaviors>
        <w:description w:val=""/>
        <w:guid w:val="{DECAB8C0-5632-48CA-8DFA-65FD198C0A0F}"/>
      </w:docPartPr>
      <w:docPartBody>
        <w:p w14:paraId="0171AE19">
          <w:r>
            <w:rPr>
              <w:color w:val="808080"/>
            </w:rPr>
            <w:t>XX</w:t>
          </w:r>
        </w:p>
      </w:docPartBody>
    </w:docPart>
    <w:docPart>
      <w:docPartPr>
        <w:name w:val="{c4a20def-b4d2-4544-90c6-0a5a54de817a}"/>
        <w:style w:val=""/>
        <w:category>
          <w:name w:val="常规"/>
          <w:gallery w:val="placeholder"/>
        </w:category>
        <w:types>
          <w:type w:val="bbPlcHdr"/>
        </w:types>
        <w:behaviors>
          <w:behavior w:val="content"/>
        </w:behaviors>
        <w:description w:val=""/>
        <w:guid w:val="{C4A20DEF-B4D2-4544-90C6-0A5A54DE817A}"/>
      </w:docPartPr>
      <w:docPartBody>
        <w:p w14:paraId="68E7291A">
          <w:r>
            <w:rPr>
              <w:color w:val="808080"/>
            </w:rPr>
            <w:t>XX</w:t>
          </w:r>
        </w:p>
      </w:docPartBody>
    </w:docPart>
    <w:docPart>
      <w:docPartPr>
        <w:name w:val="{5effb42c-7e4b-4748-a553-1e3ed4a8a110}"/>
        <w:style w:val=""/>
        <w:category>
          <w:name w:val="常规"/>
          <w:gallery w:val="placeholder"/>
        </w:category>
        <w:types>
          <w:type w:val="bbPlcHdr"/>
        </w:types>
        <w:behaviors>
          <w:behavior w:val="content"/>
        </w:behaviors>
        <w:description w:val=""/>
        <w:guid w:val="{5EFFB42C-7E4B-4748-A553-1E3ED4A8A110}"/>
      </w:docPartPr>
      <w:docPartBody>
        <w:p w14:paraId="6347BD11">
          <w:r>
            <w:rPr>
              <w:color w:val="808080"/>
            </w:rPr>
            <w:t>WebOf79fewx</w:t>
          </w:r>
        </w:p>
      </w:docPartBody>
    </w:docPart>
    <w:docPart>
      <w:docPartPr>
        <w:name w:val="{6006c831-1dff-4344-a30e-bd1d19dbe4b1}"/>
        <w:style w:val=""/>
        <w:category>
          <w:name w:val="常规"/>
          <w:gallery w:val="placeholder"/>
        </w:category>
        <w:types>
          <w:type w:val="bbPlcHdr"/>
        </w:types>
        <w:behaviors>
          <w:behavior w:val="content"/>
        </w:behaviors>
        <w:description w:val=""/>
        <w:guid w:val="{6006C831-1DFF-4344-A30E-BD1D19DBE4B1}"/>
      </w:docPartPr>
      <w:docPartBody>
        <w:p w14:paraId="3BDB9293">
          <w:r>
            <w:rPr>
              <w:color w:val="808080"/>
            </w:rPr>
            <w:t>选择一项。</w:t>
          </w:r>
        </w:p>
      </w:docPartBody>
    </w:docPart>
    <w:docPart>
      <w:docPartPr>
        <w:name w:val="{1f1e0937-a82e-4ec8-9be4-fd84868de435}"/>
        <w:style w:val=""/>
        <w:category>
          <w:name w:val="常规"/>
          <w:gallery w:val="placeholder"/>
        </w:category>
        <w:types>
          <w:type w:val="bbPlcHdr"/>
        </w:types>
        <w:behaviors>
          <w:behavior w:val="content"/>
        </w:behaviors>
        <w:description w:val=""/>
        <w:guid w:val="{1F1E0937-A82E-4EC8-9BE4-FD84868DE435}"/>
      </w:docPartPr>
      <w:docPartBody>
        <w:p w14:paraId="7F356ED4">
          <w:r>
            <w:rPr>
              <w:rFonts w:hint="eastAsia" w:ascii="黑体" w:hAnsi="黑体" w:eastAsia="黑体" w:cs="黑体"/>
              <w:spacing w:val="227"/>
              <w:sz w:val="160"/>
              <w:szCs w:val="160"/>
            </w:rPr>
            <w:t>XX</w:t>
          </w:r>
        </w:p>
      </w:docPartBody>
    </w:docPart>
    <w:docPart>
      <w:docPartPr>
        <w:name w:val="{49969bb0-c0e8-49c0-a6f1-0eb642947298}"/>
        <w:style w:val=""/>
        <w:category>
          <w:name w:val="常规"/>
          <w:gallery w:val="placeholder"/>
        </w:category>
        <w:types>
          <w:type w:val="bbPlcHdr"/>
        </w:types>
        <w:behaviors>
          <w:behavior w:val="content"/>
        </w:behaviors>
        <w:description w:val=""/>
        <w:guid w:val="{49969BB0-C0E8-49C0-A6F1-0EB642947298}"/>
      </w:docPartPr>
      <w:docPartBody>
        <w:p w14:paraId="017D9E9B"/>
      </w:docPartBody>
    </w:docPart>
    <w:docPart>
      <w:docPartPr>
        <w:name w:val="{0b929a9d-a2f7-4fb8-8621-155619d1cec5}"/>
        <w:style w:val=""/>
        <w:category>
          <w:name w:val="常规"/>
          <w:gallery w:val="placeholder"/>
        </w:category>
        <w:types>
          <w:type w:val="bbPlcHdr"/>
        </w:types>
        <w:behaviors>
          <w:behavior w:val="content"/>
        </w:behaviors>
        <w:description w:val=""/>
        <w:guid w:val="{0B929A9D-A2F7-4FB8-8621-155619D1CEC5}"/>
      </w:docPartPr>
      <w:docPartBody>
        <w:p w14:paraId="2236A23D">
          <w:r>
            <w:rPr>
              <w:color w:val="808080"/>
            </w:rPr>
            <w:t>单击此处输入文字。</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11</Pages>
  <Words>6513</Words>
  <Characters>7542</Characters>
  <Lines>70</Lines>
  <Paragraphs>19</Paragraphs>
  <TotalTime>0</TotalTime>
  <ScaleCrop>false</ScaleCrop>
  <LinksUpToDate>false</LinksUpToDate>
  <CharactersWithSpaces>7867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WPS_1601460063</cp:lastModifiedBy>
  <cp:lastPrinted>2021-02-02T08:18:00Z</cp:lastPrinted>
  <dcterms:modified xsi:type="dcterms:W3CDTF">2025-11-21T02:01:42Z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2052-12.1.0.23542</vt:lpwstr>
  </property>
  <property fmtid="{D5CDD505-2E9C-101B-9397-08002B2CF9AE}" pid="15" name="ICV">
    <vt:lpwstr>D02EF4F580B241E397F77449555B6A27_13</vt:lpwstr>
  </property>
  <property fmtid="{D5CDD505-2E9C-101B-9397-08002B2CF9AE}" pid="16" name="KSOTemplateDocerSaveRecord">
    <vt:lpwstr>eyJoZGlkIjoiZjg4ZGUzMmU5ZDk0M2FjMzAzOTBhZmQxMjNkNTk0NTYiLCJ1c2VySWQiOiIxMTI2MDc5Mjc4In0=</vt:lpwstr>
  </property>
</Properties>
</file>