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2C4A3">
      <w:pPr>
        <w:spacing w:line="240" w:lineRule="auto"/>
        <w:jc w:val="both"/>
        <w:rPr>
          <w:rFonts w:eastAsia="黑体"/>
          <w:color w:val="auto"/>
          <w:sz w:val="30"/>
        </w:rPr>
      </w:pPr>
    </w:p>
    <w:p w14:paraId="44683CCE">
      <w:pPr>
        <w:pStyle w:val="11"/>
        <w:outlineLvl w:val="9"/>
        <w:rPr>
          <w:rFonts w:hint="eastAsia" w:ascii="黑体" w:hAnsi="黑体" w:eastAsia="黑体" w:cs="黑体"/>
          <w:b w:val="0"/>
          <w:bCs/>
          <w:color w:val="auto"/>
          <w:sz w:val="52"/>
          <w:szCs w:val="52"/>
        </w:rPr>
      </w:pPr>
      <w:r>
        <w:rPr>
          <w:rFonts w:hint="eastAsia"/>
          <w:color w:val="auto"/>
          <w:sz w:val="48"/>
          <w:szCs w:val="48"/>
          <w:lang w:eastAsia="zh-CN"/>
        </w:rPr>
        <w:t>《</w:t>
      </w:r>
      <w:r>
        <w:rPr>
          <w:rFonts w:hint="eastAsia" w:eastAsia="黑体"/>
          <w:color w:val="auto"/>
          <w:sz w:val="48"/>
          <w:szCs w:val="48"/>
        </w:rPr>
        <w:t>分布式</w:t>
      </w:r>
      <w:r>
        <w:rPr>
          <w:rFonts w:hint="eastAsia" w:ascii="黑体" w:hAnsi="黑体" w:eastAsia="黑体" w:cs="黑体"/>
          <w:b w:val="0"/>
          <w:bCs/>
          <w:color w:val="auto"/>
          <w:sz w:val="52"/>
          <w:szCs w:val="52"/>
        </w:rPr>
        <w:t>光伏储能系统涉网性能</w:t>
      </w:r>
    </w:p>
    <w:p w14:paraId="07ACEA79">
      <w:pPr>
        <w:pStyle w:val="11"/>
        <w:outlineLvl w:val="9"/>
        <w:rPr>
          <w:b/>
          <w:color w:val="auto"/>
        </w:rPr>
      </w:pPr>
      <w:r>
        <w:rPr>
          <w:rFonts w:hint="eastAsia" w:ascii="黑体" w:hAnsi="黑体" w:eastAsia="黑体" w:cs="黑体"/>
          <w:b w:val="0"/>
          <w:bCs/>
          <w:color w:val="auto"/>
          <w:sz w:val="52"/>
          <w:szCs w:val="52"/>
        </w:rPr>
        <w:t>技术规范</w:t>
      </w:r>
      <w:r>
        <w:rPr>
          <w:rFonts w:hint="eastAsia"/>
          <w:color w:val="auto"/>
          <w:sz w:val="48"/>
          <w:szCs w:val="48"/>
          <w:lang w:eastAsia="zh-CN"/>
        </w:rPr>
        <w:t>》</w:t>
      </w:r>
    </w:p>
    <w:p w14:paraId="78017DB8">
      <w:pPr>
        <w:tabs>
          <w:tab w:val="left" w:pos="303"/>
        </w:tabs>
        <w:ind w:firstLine="198" w:firstLineChars="66"/>
        <w:jc w:val="center"/>
        <w:rPr>
          <w:rFonts w:eastAsia="黑体"/>
          <w:color w:val="auto"/>
          <w:sz w:val="30"/>
        </w:rPr>
      </w:pPr>
    </w:p>
    <w:p w14:paraId="3EFFA89F">
      <w:pPr>
        <w:tabs>
          <w:tab w:val="left" w:pos="303"/>
        </w:tabs>
        <w:spacing w:line="240" w:lineRule="auto"/>
        <w:ind w:firstLine="198" w:firstLineChars="66"/>
        <w:jc w:val="center"/>
        <w:rPr>
          <w:rFonts w:eastAsia="黑体"/>
          <w:color w:val="auto"/>
          <w:sz w:val="30"/>
        </w:rPr>
      </w:pPr>
    </w:p>
    <w:p w14:paraId="4B23C5BE">
      <w:pPr>
        <w:tabs>
          <w:tab w:val="left" w:pos="0"/>
        </w:tabs>
        <w:spacing w:line="240" w:lineRule="auto"/>
        <w:jc w:val="center"/>
        <w:rPr>
          <w:rFonts w:eastAsia="黑体"/>
          <w:color w:val="auto"/>
          <w:sz w:val="44"/>
          <w:szCs w:val="44"/>
        </w:rPr>
      </w:pPr>
      <w:r>
        <w:rPr>
          <w:rFonts w:eastAsia="黑体"/>
          <w:color w:val="auto"/>
          <w:sz w:val="48"/>
          <w:szCs w:val="48"/>
        </w:rPr>
        <w:t>编制说明</w:t>
      </w:r>
    </w:p>
    <w:p w14:paraId="47663526">
      <w:pPr>
        <w:spacing w:line="240" w:lineRule="auto"/>
        <w:ind w:firstLine="420"/>
        <w:rPr>
          <w:color w:val="auto"/>
        </w:rPr>
      </w:pPr>
    </w:p>
    <w:p w14:paraId="58F18DA9">
      <w:pPr>
        <w:spacing w:line="240" w:lineRule="auto"/>
        <w:ind w:firstLine="420"/>
        <w:rPr>
          <w:color w:val="auto"/>
        </w:rPr>
      </w:pPr>
    </w:p>
    <w:p w14:paraId="48CF30BA">
      <w:pPr>
        <w:spacing w:line="240" w:lineRule="auto"/>
        <w:ind w:firstLine="420"/>
        <w:rPr>
          <w:color w:val="auto"/>
        </w:rPr>
      </w:pPr>
    </w:p>
    <w:p w14:paraId="4451E658">
      <w:pPr>
        <w:spacing w:line="240" w:lineRule="auto"/>
        <w:ind w:firstLine="420"/>
        <w:rPr>
          <w:color w:val="auto"/>
        </w:rPr>
      </w:pPr>
    </w:p>
    <w:p w14:paraId="51B08823">
      <w:pPr>
        <w:spacing w:line="240" w:lineRule="auto"/>
        <w:ind w:firstLine="420"/>
        <w:rPr>
          <w:color w:val="auto"/>
        </w:rPr>
      </w:pPr>
    </w:p>
    <w:p w14:paraId="1FA0CE7C">
      <w:pPr>
        <w:spacing w:line="240" w:lineRule="auto"/>
        <w:ind w:firstLine="420"/>
        <w:rPr>
          <w:color w:val="auto"/>
        </w:rPr>
      </w:pPr>
    </w:p>
    <w:p w14:paraId="2189161A">
      <w:pPr>
        <w:spacing w:line="240" w:lineRule="auto"/>
        <w:ind w:firstLine="420"/>
        <w:rPr>
          <w:color w:val="auto"/>
        </w:rPr>
      </w:pPr>
    </w:p>
    <w:p w14:paraId="109DDB1B">
      <w:pPr>
        <w:spacing w:line="240" w:lineRule="auto"/>
        <w:ind w:firstLine="420"/>
        <w:rPr>
          <w:color w:val="auto"/>
        </w:rPr>
      </w:pPr>
    </w:p>
    <w:p w14:paraId="46FA2058">
      <w:pPr>
        <w:spacing w:line="240" w:lineRule="auto"/>
        <w:ind w:firstLine="420"/>
        <w:rPr>
          <w:color w:val="auto"/>
        </w:rPr>
      </w:pPr>
      <w:bookmarkStart w:id="21" w:name="_GoBack"/>
      <w:bookmarkEnd w:id="21"/>
    </w:p>
    <w:p w14:paraId="6009CC89">
      <w:pPr>
        <w:spacing w:line="240" w:lineRule="auto"/>
        <w:ind w:firstLine="420"/>
        <w:rPr>
          <w:color w:val="auto"/>
        </w:rPr>
      </w:pPr>
    </w:p>
    <w:p w14:paraId="0FEE3F5D">
      <w:pPr>
        <w:spacing w:line="240" w:lineRule="auto"/>
        <w:ind w:firstLine="420"/>
        <w:rPr>
          <w:color w:val="auto"/>
        </w:rPr>
      </w:pPr>
    </w:p>
    <w:p w14:paraId="7D6255B7">
      <w:pPr>
        <w:spacing w:line="240" w:lineRule="auto"/>
        <w:ind w:firstLine="420"/>
        <w:rPr>
          <w:color w:val="auto"/>
        </w:rPr>
      </w:pPr>
    </w:p>
    <w:p w14:paraId="40768843">
      <w:pPr>
        <w:spacing w:line="240" w:lineRule="auto"/>
        <w:ind w:firstLine="420"/>
        <w:rPr>
          <w:color w:val="auto"/>
        </w:rPr>
      </w:pPr>
    </w:p>
    <w:p w14:paraId="53121B71">
      <w:pPr>
        <w:rPr>
          <w:color w:val="auto"/>
        </w:rPr>
      </w:pPr>
    </w:p>
    <w:p w14:paraId="09FD98E8">
      <w:pPr>
        <w:ind w:firstLine="420"/>
        <w:rPr>
          <w:color w:val="auto"/>
        </w:rPr>
      </w:pPr>
    </w:p>
    <w:p w14:paraId="382FF621">
      <w:pPr>
        <w:ind w:firstLine="420"/>
        <w:rPr>
          <w:color w:val="auto"/>
        </w:rPr>
      </w:pPr>
    </w:p>
    <w:p w14:paraId="181A3EE6">
      <w:pPr>
        <w:ind w:firstLine="420"/>
        <w:rPr>
          <w:color w:val="auto"/>
          <w:sz w:val="24"/>
        </w:rPr>
      </w:pPr>
    </w:p>
    <w:p w14:paraId="07380270">
      <w:pPr>
        <w:tabs>
          <w:tab w:val="left" w:pos="0"/>
        </w:tabs>
        <w:spacing w:line="240" w:lineRule="auto"/>
        <w:jc w:val="center"/>
        <w:rPr>
          <w:rFonts w:ascii="Times New Roman" w:hAnsi="Times New Roman" w:eastAsia="黑体" w:cs="Times New Roman"/>
          <w:color w:val="auto"/>
          <w:sz w:val="48"/>
          <w:szCs w:val="48"/>
        </w:rPr>
      </w:pPr>
    </w:p>
    <w:p w14:paraId="175D9D15">
      <w:pPr>
        <w:tabs>
          <w:tab w:val="left" w:pos="0"/>
        </w:tabs>
        <w:spacing w:line="240" w:lineRule="auto"/>
        <w:jc w:val="center"/>
        <w:rPr>
          <w:rFonts w:hint="eastAsia" w:ascii="Times New Roman" w:hAnsi="Times New Roman" w:eastAsia="黑体" w:cs="Times New Roman"/>
          <w:color w:val="auto"/>
          <w:sz w:val="48"/>
          <w:szCs w:val="48"/>
        </w:rPr>
      </w:pPr>
      <w:bookmarkStart w:id="0" w:name="_Toc2017"/>
      <w:r>
        <w:rPr>
          <w:rFonts w:hint="eastAsia" w:ascii="Times New Roman" w:hAnsi="Times New Roman" w:eastAsia="黑体" w:cs="Times New Roman"/>
          <w:color w:val="auto"/>
          <w:sz w:val="48"/>
          <w:szCs w:val="48"/>
        </w:rPr>
        <w:t>标准编制组</w:t>
      </w:r>
      <w:bookmarkEnd w:id="0"/>
    </w:p>
    <w:p w14:paraId="56E934E6">
      <w:pPr>
        <w:tabs>
          <w:tab w:val="left" w:pos="0"/>
        </w:tabs>
        <w:spacing w:line="240" w:lineRule="auto"/>
        <w:jc w:val="center"/>
        <w:rPr>
          <w:rFonts w:hint="default" w:ascii="Times New Roman" w:hAnsi="Times New Roman" w:eastAsia="黑体" w:cs="Times New Roman"/>
          <w:color w:val="auto"/>
          <w:sz w:val="48"/>
          <w:szCs w:val="48"/>
          <w:lang w:val="en-US" w:eastAsia="zh-CN"/>
        </w:rPr>
        <w:sectPr>
          <w:footerReference r:id="rId3" w:type="default"/>
          <w:pgSz w:w="11906" w:h="16838"/>
          <w:pgMar w:top="1440" w:right="1800" w:bottom="1440" w:left="1800" w:header="851" w:footer="992" w:gutter="0"/>
          <w:cols w:space="720" w:num="1"/>
          <w:docGrid w:type="lines" w:linePitch="312" w:charSpace="0"/>
        </w:sectPr>
      </w:pPr>
      <w:bookmarkStart w:id="1" w:name="_Toc15439"/>
      <w:r>
        <w:rPr>
          <w:rFonts w:hint="eastAsia" w:ascii="Times New Roman" w:hAnsi="Times New Roman" w:eastAsia="黑体" w:cs="Times New Roman"/>
          <w:color w:val="auto"/>
          <w:sz w:val="48"/>
          <w:szCs w:val="48"/>
        </w:rPr>
        <w:t>202</w:t>
      </w:r>
      <w:r>
        <w:rPr>
          <w:rFonts w:hint="eastAsia" w:ascii="Times New Roman" w:hAnsi="Times New Roman" w:eastAsia="黑体" w:cs="Times New Roman"/>
          <w:color w:val="auto"/>
          <w:sz w:val="48"/>
          <w:szCs w:val="48"/>
          <w:lang w:val="en-US" w:eastAsia="zh-CN"/>
        </w:rPr>
        <w:t>5</w:t>
      </w:r>
      <w:r>
        <w:rPr>
          <w:rFonts w:hint="eastAsia" w:ascii="Times New Roman" w:hAnsi="Times New Roman" w:eastAsia="黑体" w:cs="Times New Roman"/>
          <w:color w:val="auto"/>
          <w:sz w:val="48"/>
          <w:szCs w:val="48"/>
        </w:rPr>
        <w:t>.</w:t>
      </w:r>
      <w:bookmarkEnd w:id="1"/>
      <w:r>
        <w:rPr>
          <w:rFonts w:hint="eastAsia" w:ascii="Times New Roman" w:hAnsi="Times New Roman" w:eastAsia="黑体" w:cs="Times New Roman"/>
          <w:color w:val="auto"/>
          <w:sz w:val="48"/>
          <w:szCs w:val="48"/>
          <w:lang w:val="en-US" w:eastAsia="zh-CN"/>
        </w:rPr>
        <w:t>07</w:t>
      </w:r>
    </w:p>
    <w:p w14:paraId="72E6334A">
      <w:pPr>
        <w:ind w:firstLine="420"/>
        <w:jc w:val="center"/>
        <w:rPr>
          <w:rFonts w:hint="eastAsia" w:eastAsia="黑体"/>
          <w:color w:val="auto"/>
          <w:sz w:val="40"/>
          <w:szCs w:val="40"/>
          <w:lang w:val="en-US" w:eastAsia="zh-CN"/>
        </w:rPr>
      </w:pPr>
      <w:r>
        <w:rPr>
          <w:rFonts w:eastAsia="黑体"/>
          <w:color w:val="auto"/>
          <w:sz w:val="40"/>
          <w:szCs w:val="40"/>
        </w:rPr>
        <w:t>目</w:t>
      </w:r>
      <w:r>
        <w:rPr>
          <w:rFonts w:hint="eastAsia" w:eastAsia="黑体"/>
          <w:color w:val="auto"/>
          <w:sz w:val="40"/>
          <w:szCs w:val="40"/>
        </w:rPr>
        <w:t xml:space="preserve"> </w:t>
      </w:r>
      <w:r>
        <w:rPr>
          <w:rFonts w:hint="eastAsia" w:eastAsia="黑体"/>
          <w:color w:val="auto"/>
          <w:sz w:val="40"/>
          <w:szCs w:val="40"/>
          <w:lang w:val="en-US" w:eastAsia="zh-CN"/>
        </w:rPr>
        <w:t>录</w:t>
      </w:r>
    </w:p>
    <w:p w14:paraId="21F43B62">
      <w:pPr>
        <w:pStyle w:val="6"/>
        <w:keepNext w:val="0"/>
        <w:keepLines w:val="0"/>
        <w:pageBreakBefore w:val="0"/>
        <w:tabs>
          <w:tab w:val="right" w:leader="dot" w:pos="8306"/>
        </w:tabs>
        <w:kinsoku/>
        <w:wordWrap/>
        <w:overflowPunct/>
        <w:topLinePunct w:val="0"/>
        <w:autoSpaceDE/>
        <w:autoSpaceDN/>
        <w:bidi w:val="0"/>
        <w:adjustRightInd/>
        <w:spacing w:line="360" w:lineRule="auto"/>
        <w:textAlignment w:val="auto"/>
        <w:rPr>
          <w:color w:val="auto"/>
        </w:rPr>
      </w:pPr>
      <w:r>
        <w:rPr>
          <w:rFonts w:eastAsia="黑体"/>
          <w:color w:val="auto"/>
          <w:sz w:val="24"/>
          <w:szCs w:val="24"/>
        </w:rPr>
        <w:fldChar w:fldCharType="begin"/>
      </w:r>
      <w:r>
        <w:rPr>
          <w:rFonts w:eastAsia="黑体"/>
          <w:color w:val="auto"/>
          <w:sz w:val="24"/>
          <w:szCs w:val="24"/>
        </w:rPr>
        <w:instrText xml:space="preserve">TOC \o "1-3" \h \z \u</w:instrText>
      </w:r>
      <w:r>
        <w:rPr>
          <w:rFonts w:eastAsia="黑体"/>
          <w:color w:val="auto"/>
          <w:sz w:val="24"/>
          <w:szCs w:val="24"/>
        </w:rPr>
        <w:fldChar w:fldCharType="separate"/>
      </w:r>
      <w:r>
        <w:rPr>
          <w:rFonts w:eastAsia="黑体"/>
          <w:color w:val="auto"/>
          <w:szCs w:val="24"/>
        </w:rPr>
        <w:fldChar w:fldCharType="begin"/>
      </w:r>
      <w:r>
        <w:rPr>
          <w:rFonts w:eastAsia="黑体"/>
          <w:color w:val="auto"/>
          <w:szCs w:val="24"/>
        </w:rPr>
        <w:instrText xml:space="preserve"> HYPERLINK \l _Toc27600 </w:instrText>
      </w:r>
      <w:r>
        <w:rPr>
          <w:rFonts w:eastAsia="黑体"/>
          <w:color w:val="auto"/>
          <w:szCs w:val="24"/>
        </w:rPr>
        <w:fldChar w:fldCharType="separate"/>
      </w:r>
      <w:r>
        <w:rPr>
          <w:rFonts w:hint="eastAsia"/>
          <w:color w:val="auto"/>
        </w:rPr>
        <w:t xml:space="preserve">一、 </w:t>
      </w:r>
      <w:r>
        <w:rPr>
          <w:rFonts w:hint="default"/>
          <w:color w:val="auto"/>
        </w:rPr>
        <w:t>工作简况</w:t>
      </w:r>
      <w:r>
        <w:rPr>
          <w:color w:val="auto"/>
        </w:rPr>
        <w:tab/>
      </w:r>
      <w:r>
        <w:rPr>
          <w:color w:val="auto"/>
        </w:rPr>
        <w:fldChar w:fldCharType="begin"/>
      </w:r>
      <w:r>
        <w:rPr>
          <w:color w:val="auto"/>
        </w:rPr>
        <w:instrText xml:space="preserve"> PAGEREF _Toc27600 \h </w:instrText>
      </w:r>
      <w:r>
        <w:rPr>
          <w:color w:val="auto"/>
        </w:rPr>
        <w:fldChar w:fldCharType="separate"/>
      </w:r>
      <w:r>
        <w:rPr>
          <w:color w:val="auto"/>
        </w:rPr>
        <w:t>1</w:t>
      </w:r>
      <w:r>
        <w:rPr>
          <w:color w:val="auto"/>
        </w:rPr>
        <w:fldChar w:fldCharType="end"/>
      </w:r>
      <w:r>
        <w:rPr>
          <w:rFonts w:eastAsia="黑体"/>
          <w:color w:val="auto"/>
          <w:szCs w:val="24"/>
        </w:rPr>
        <w:fldChar w:fldCharType="end"/>
      </w:r>
    </w:p>
    <w:p w14:paraId="0DED9F8A">
      <w:pPr>
        <w:pStyle w:val="7"/>
        <w:keepNext w:val="0"/>
        <w:keepLines w:val="0"/>
        <w:pageBreakBefore w:val="0"/>
        <w:tabs>
          <w:tab w:val="right" w:leader="dot" w:pos="8306"/>
        </w:tabs>
        <w:kinsoku/>
        <w:wordWrap/>
        <w:overflowPunct/>
        <w:topLinePunct w:val="0"/>
        <w:autoSpaceDE/>
        <w:autoSpaceDN/>
        <w:bidi w:val="0"/>
        <w:adjustRightInd/>
        <w:spacing w:line="360" w:lineRule="auto"/>
        <w:textAlignment w:val="auto"/>
        <w:rPr>
          <w:color w:val="auto"/>
        </w:rPr>
      </w:pPr>
      <w:r>
        <w:rPr>
          <w:rFonts w:eastAsia="黑体"/>
          <w:color w:val="auto"/>
          <w:szCs w:val="24"/>
        </w:rPr>
        <w:fldChar w:fldCharType="begin"/>
      </w:r>
      <w:r>
        <w:rPr>
          <w:rFonts w:eastAsia="黑体"/>
          <w:color w:val="auto"/>
          <w:szCs w:val="24"/>
        </w:rPr>
        <w:instrText xml:space="preserve"> HYPERLINK \l _Toc8570 </w:instrText>
      </w:r>
      <w:r>
        <w:rPr>
          <w:rFonts w:eastAsia="黑体"/>
          <w:color w:val="auto"/>
          <w:szCs w:val="24"/>
        </w:rPr>
        <w:fldChar w:fldCharType="separate"/>
      </w:r>
      <w:r>
        <w:rPr>
          <w:rFonts w:hint="eastAsia"/>
          <w:color w:val="auto"/>
          <w:lang w:val="en-US" w:eastAsia="zh-CN"/>
        </w:rPr>
        <w:t>1.1任务来源和协作单位</w:t>
      </w:r>
      <w:r>
        <w:rPr>
          <w:color w:val="auto"/>
        </w:rPr>
        <w:tab/>
      </w:r>
      <w:r>
        <w:rPr>
          <w:color w:val="auto"/>
        </w:rPr>
        <w:fldChar w:fldCharType="begin"/>
      </w:r>
      <w:r>
        <w:rPr>
          <w:color w:val="auto"/>
        </w:rPr>
        <w:instrText xml:space="preserve"> PAGEREF _Toc8570 \h </w:instrText>
      </w:r>
      <w:r>
        <w:rPr>
          <w:color w:val="auto"/>
        </w:rPr>
        <w:fldChar w:fldCharType="separate"/>
      </w:r>
      <w:r>
        <w:rPr>
          <w:color w:val="auto"/>
        </w:rPr>
        <w:t>1</w:t>
      </w:r>
      <w:r>
        <w:rPr>
          <w:color w:val="auto"/>
        </w:rPr>
        <w:fldChar w:fldCharType="end"/>
      </w:r>
      <w:r>
        <w:rPr>
          <w:rFonts w:eastAsia="黑体"/>
          <w:color w:val="auto"/>
          <w:szCs w:val="24"/>
        </w:rPr>
        <w:fldChar w:fldCharType="end"/>
      </w:r>
    </w:p>
    <w:p w14:paraId="0BD6942D">
      <w:pPr>
        <w:pStyle w:val="7"/>
        <w:keepNext w:val="0"/>
        <w:keepLines w:val="0"/>
        <w:pageBreakBefore w:val="0"/>
        <w:tabs>
          <w:tab w:val="right" w:leader="dot" w:pos="8306"/>
        </w:tabs>
        <w:kinsoku/>
        <w:wordWrap/>
        <w:overflowPunct/>
        <w:topLinePunct w:val="0"/>
        <w:autoSpaceDE/>
        <w:autoSpaceDN/>
        <w:bidi w:val="0"/>
        <w:adjustRightInd/>
        <w:spacing w:line="360" w:lineRule="auto"/>
        <w:textAlignment w:val="auto"/>
        <w:rPr>
          <w:color w:val="auto"/>
        </w:rPr>
      </w:pPr>
      <w:r>
        <w:rPr>
          <w:rFonts w:eastAsia="黑体"/>
          <w:color w:val="auto"/>
          <w:szCs w:val="24"/>
        </w:rPr>
        <w:fldChar w:fldCharType="begin"/>
      </w:r>
      <w:r>
        <w:rPr>
          <w:rFonts w:eastAsia="黑体"/>
          <w:color w:val="auto"/>
          <w:szCs w:val="24"/>
        </w:rPr>
        <w:instrText xml:space="preserve"> HYPERLINK \l _Toc5122 </w:instrText>
      </w:r>
      <w:r>
        <w:rPr>
          <w:rFonts w:eastAsia="黑体"/>
          <w:color w:val="auto"/>
          <w:szCs w:val="24"/>
        </w:rPr>
        <w:fldChar w:fldCharType="separate"/>
      </w:r>
      <w:r>
        <w:rPr>
          <w:rFonts w:hint="eastAsia"/>
          <w:color w:val="auto"/>
          <w:lang w:val="en-US" w:eastAsia="zh-CN"/>
        </w:rPr>
        <w:t>1.2</w:t>
      </w:r>
      <w:r>
        <w:rPr>
          <w:rFonts w:hint="eastAsia" w:cs="Times New Roman"/>
          <w:color w:val="auto"/>
          <w:szCs w:val="24"/>
          <w:lang w:val="en-US" w:eastAsia="zh-CN"/>
        </w:rPr>
        <w:t>主要工作过程</w:t>
      </w:r>
      <w:r>
        <w:rPr>
          <w:color w:val="auto"/>
        </w:rPr>
        <w:tab/>
      </w:r>
      <w:r>
        <w:rPr>
          <w:color w:val="auto"/>
        </w:rPr>
        <w:fldChar w:fldCharType="begin"/>
      </w:r>
      <w:r>
        <w:rPr>
          <w:color w:val="auto"/>
        </w:rPr>
        <w:instrText xml:space="preserve"> PAGEREF _Toc5122 \h </w:instrText>
      </w:r>
      <w:r>
        <w:rPr>
          <w:color w:val="auto"/>
        </w:rPr>
        <w:fldChar w:fldCharType="separate"/>
      </w:r>
      <w:r>
        <w:rPr>
          <w:color w:val="auto"/>
        </w:rPr>
        <w:t>1</w:t>
      </w:r>
      <w:r>
        <w:rPr>
          <w:color w:val="auto"/>
        </w:rPr>
        <w:fldChar w:fldCharType="end"/>
      </w:r>
      <w:r>
        <w:rPr>
          <w:rFonts w:eastAsia="黑体"/>
          <w:color w:val="auto"/>
          <w:szCs w:val="24"/>
        </w:rPr>
        <w:fldChar w:fldCharType="end"/>
      </w:r>
    </w:p>
    <w:p w14:paraId="36C60DD3">
      <w:pPr>
        <w:pStyle w:val="6"/>
        <w:keepNext w:val="0"/>
        <w:keepLines w:val="0"/>
        <w:pageBreakBefore w:val="0"/>
        <w:tabs>
          <w:tab w:val="right" w:leader="dot" w:pos="8306"/>
        </w:tabs>
        <w:kinsoku/>
        <w:wordWrap/>
        <w:overflowPunct/>
        <w:topLinePunct w:val="0"/>
        <w:autoSpaceDE/>
        <w:autoSpaceDN/>
        <w:bidi w:val="0"/>
        <w:adjustRightInd/>
        <w:spacing w:line="360" w:lineRule="auto"/>
        <w:textAlignment w:val="auto"/>
        <w:rPr>
          <w:color w:val="auto"/>
        </w:rPr>
      </w:pPr>
      <w:r>
        <w:rPr>
          <w:rFonts w:eastAsia="黑体"/>
          <w:color w:val="auto"/>
          <w:szCs w:val="24"/>
        </w:rPr>
        <w:fldChar w:fldCharType="begin"/>
      </w:r>
      <w:r>
        <w:rPr>
          <w:rFonts w:eastAsia="黑体"/>
          <w:color w:val="auto"/>
          <w:szCs w:val="24"/>
        </w:rPr>
        <w:instrText xml:space="preserve"> HYPERLINK \l _Toc19332 </w:instrText>
      </w:r>
      <w:r>
        <w:rPr>
          <w:rFonts w:eastAsia="黑体"/>
          <w:color w:val="auto"/>
          <w:szCs w:val="24"/>
        </w:rPr>
        <w:fldChar w:fldCharType="separate"/>
      </w:r>
      <w:r>
        <w:rPr>
          <w:rFonts w:hint="default"/>
          <w:color w:val="auto"/>
        </w:rPr>
        <w:t>二、标准主要技术内容</w:t>
      </w:r>
      <w:r>
        <w:rPr>
          <w:color w:val="auto"/>
        </w:rPr>
        <w:tab/>
      </w:r>
      <w:r>
        <w:rPr>
          <w:color w:val="auto"/>
        </w:rPr>
        <w:fldChar w:fldCharType="begin"/>
      </w:r>
      <w:r>
        <w:rPr>
          <w:color w:val="auto"/>
        </w:rPr>
        <w:instrText xml:space="preserve"> PAGEREF _Toc19332 \h </w:instrText>
      </w:r>
      <w:r>
        <w:rPr>
          <w:color w:val="auto"/>
        </w:rPr>
        <w:fldChar w:fldCharType="separate"/>
      </w:r>
      <w:r>
        <w:rPr>
          <w:color w:val="auto"/>
        </w:rPr>
        <w:t>2</w:t>
      </w:r>
      <w:r>
        <w:rPr>
          <w:color w:val="auto"/>
        </w:rPr>
        <w:fldChar w:fldCharType="end"/>
      </w:r>
      <w:r>
        <w:rPr>
          <w:rFonts w:eastAsia="黑体"/>
          <w:color w:val="auto"/>
          <w:szCs w:val="24"/>
        </w:rPr>
        <w:fldChar w:fldCharType="end"/>
      </w:r>
    </w:p>
    <w:p w14:paraId="14F8756C">
      <w:pPr>
        <w:pStyle w:val="7"/>
        <w:keepNext w:val="0"/>
        <w:keepLines w:val="0"/>
        <w:pageBreakBefore w:val="0"/>
        <w:tabs>
          <w:tab w:val="right" w:leader="dot" w:pos="8306"/>
        </w:tabs>
        <w:kinsoku/>
        <w:wordWrap/>
        <w:overflowPunct/>
        <w:topLinePunct w:val="0"/>
        <w:autoSpaceDE/>
        <w:autoSpaceDN/>
        <w:bidi w:val="0"/>
        <w:adjustRightInd/>
        <w:spacing w:line="360" w:lineRule="auto"/>
        <w:textAlignment w:val="auto"/>
        <w:rPr>
          <w:color w:val="auto"/>
        </w:rPr>
      </w:pPr>
      <w:r>
        <w:rPr>
          <w:rFonts w:eastAsia="黑体"/>
          <w:color w:val="auto"/>
          <w:szCs w:val="24"/>
        </w:rPr>
        <w:fldChar w:fldCharType="begin"/>
      </w:r>
      <w:r>
        <w:rPr>
          <w:rFonts w:eastAsia="黑体"/>
          <w:color w:val="auto"/>
          <w:szCs w:val="24"/>
        </w:rPr>
        <w:instrText xml:space="preserve"> HYPERLINK \l _Toc23195 </w:instrText>
      </w:r>
      <w:r>
        <w:rPr>
          <w:rFonts w:eastAsia="黑体"/>
          <w:color w:val="auto"/>
          <w:szCs w:val="24"/>
        </w:rPr>
        <w:fldChar w:fldCharType="separate"/>
      </w:r>
      <w:r>
        <w:rPr>
          <w:rFonts w:hint="default"/>
          <w:color w:val="auto"/>
          <w:lang w:val="en-US" w:eastAsia="zh-CN"/>
        </w:rPr>
        <w:t>2.1 有功功率控制调节</w:t>
      </w:r>
      <w:r>
        <w:rPr>
          <w:color w:val="auto"/>
        </w:rPr>
        <w:tab/>
      </w:r>
      <w:r>
        <w:rPr>
          <w:color w:val="auto"/>
        </w:rPr>
        <w:fldChar w:fldCharType="begin"/>
      </w:r>
      <w:r>
        <w:rPr>
          <w:color w:val="auto"/>
        </w:rPr>
        <w:instrText xml:space="preserve"> PAGEREF _Toc23195 \h </w:instrText>
      </w:r>
      <w:r>
        <w:rPr>
          <w:color w:val="auto"/>
        </w:rPr>
        <w:fldChar w:fldCharType="separate"/>
      </w:r>
      <w:r>
        <w:rPr>
          <w:color w:val="auto"/>
        </w:rPr>
        <w:t>2</w:t>
      </w:r>
      <w:r>
        <w:rPr>
          <w:color w:val="auto"/>
        </w:rPr>
        <w:fldChar w:fldCharType="end"/>
      </w:r>
      <w:r>
        <w:rPr>
          <w:rFonts w:eastAsia="黑体"/>
          <w:color w:val="auto"/>
          <w:szCs w:val="24"/>
        </w:rPr>
        <w:fldChar w:fldCharType="end"/>
      </w:r>
    </w:p>
    <w:p w14:paraId="578FCF21">
      <w:pPr>
        <w:pStyle w:val="7"/>
        <w:keepNext w:val="0"/>
        <w:keepLines w:val="0"/>
        <w:pageBreakBefore w:val="0"/>
        <w:tabs>
          <w:tab w:val="right" w:leader="dot" w:pos="8306"/>
        </w:tabs>
        <w:kinsoku/>
        <w:wordWrap/>
        <w:overflowPunct/>
        <w:topLinePunct w:val="0"/>
        <w:autoSpaceDE/>
        <w:autoSpaceDN/>
        <w:bidi w:val="0"/>
        <w:adjustRightInd/>
        <w:spacing w:line="360" w:lineRule="auto"/>
        <w:textAlignment w:val="auto"/>
        <w:rPr>
          <w:color w:val="auto"/>
        </w:rPr>
      </w:pPr>
      <w:r>
        <w:rPr>
          <w:rFonts w:eastAsia="黑体"/>
          <w:color w:val="auto"/>
          <w:szCs w:val="24"/>
        </w:rPr>
        <w:fldChar w:fldCharType="begin"/>
      </w:r>
      <w:r>
        <w:rPr>
          <w:rFonts w:eastAsia="黑体"/>
          <w:color w:val="auto"/>
          <w:szCs w:val="24"/>
        </w:rPr>
        <w:instrText xml:space="preserve"> HYPERLINK \l _Toc9138 </w:instrText>
      </w:r>
      <w:r>
        <w:rPr>
          <w:rFonts w:eastAsia="黑体"/>
          <w:color w:val="auto"/>
          <w:szCs w:val="24"/>
        </w:rPr>
        <w:fldChar w:fldCharType="separate"/>
      </w:r>
      <w:r>
        <w:rPr>
          <w:rFonts w:hint="default"/>
          <w:color w:val="auto"/>
          <w:lang w:val="en-US" w:eastAsia="zh-CN"/>
        </w:rPr>
        <w:t>2.2无功电压控制调节</w:t>
      </w:r>
      <w:r>
        <w:rPr>
          <w:color w:val="auto"/>
        </w:rPr>
        <w:tab/>
      </w:r>
      <w:r>
        <w:rPr>
          <w:color w:val="auto"/>
        </w:rPr>
        <w:fldChar w:fldCharType="begin"/>
      </w:r>
      <w:r>
        <w:rPr>
          <w:color w:val="auto"/>
        </w:rPr>
        <w:instrText xml:space="preserve"> PAGEREF _Toc9138 \h </w:instrText>
      </w:r>
      <w:r>
        <w:rPr>
          <w:color w:val="auto"/>
        </w:rPr>
        <w:fldChar w:fldCharType="separate"/>
      </w:r>
      <w:r>
        <w:rPr>
          <w:color w:val="auto"/>
        </w:rPr>
        <w:t>2</w:t>
      </w:r>
      <w:r>
        <w:rPr>
          <w:color w:val="auto"/>
        </w:rPr>
        <w:fldChar w:fldCharType="end"/>
      </w:r>
      <w:r>
        <w:rPr>
          <w:rFonts w:eastAsia="黑体"/>
          <w:color w:val="auto"/>
          <w:szCs w:val="24"/>
        </w:rPr>
        <w:fldChar w:fldCharType="end"/>
      </w:r>
    </w:p>
    <w:p w14:paraId="72705EAB">
      <w:pPr>
        <w:pStyle w:val="7"/>
        <w:keepNext w:val="0"/>
        <w:keepLines w:val="0"/>
        <w:pageBreakBefore w:val="0"/>
        <w:tabs>
          <w:tab w:val="right" w:leader="dot" w:pos="8306"/>
        </w:tabs>
        <w:kinsoku/>
        <w:wordWrap/>
        <w:overflowPunct/>
        <w:topLinePunct w:val="0"/>
        <w:autoSpaceDE/>
        <w:autoSpaceDN/>
        <w:bidi w:val="0"/>
        <w:adjustRightInd/>
        <w:spacing w:line="360" w:lineRule="auto"/>
        <w:textAlignment w:val="auto"/>
        <w:rPr>
          <w:color w:val="auto"/>
        </w:rPr>
      </w:pPr>
      <w:r>
        <w:rPr>
          <w:rFonts w:eastAsia="黑体"/>
          <w:color w:val="auto"/>
          <w:szCs w:val="24"/>
        </w:rPr>
        <w:fldChar w:fldCharType="begin"/>
      </w:r>
      <w:r>
        <w:rPr>
          <w:rFonts w:eastAsia="黑体"/>
          <w:color w:val="auto"/>
          <w:szCs w:val="24"/>
        </w:rPr>
        <w:instrText xml:space="preserve"> HYPERLINK \l _Toc24520 </w:instrText>
      </w:r>
      <w:r>
        <w:rPr>
          <w:rFonts w:eastAsia="黑体"/>
          <w:color w:val="auto"/>
          <w:szCs w:val="24"/>
        </w:rPr>
        <w:fldChar w:fldCharType="separate"/>
      </w:r>
      <w:r>
        <w:rPr>
          <w:rFonts w:hint="default"/>
          <w:color w:val="auto"/>
          <w:lang w:val="en-US" w:eastAsia="zh-CN"/>
        </w:rPr>
        <w:t>2.3启停</w:t>
      </w:r>
      <w:r>
        <w:rPr>
          <w:color w:val="auto"/>
        </w:rPr>
        <w:tab/>
      </w:r>
      <w:r>
        <w:rPr>
          <w:color w:val="auto"/>
        </w:rPr>
        <w:fldChar w:fldCharType="begin"/>
      </w:r>
      <w:r>
        <w:rPr>
          <w:color w:val="auto"/>
        </w:rPr>
        <w:instrText xml:space="preserve"> PAGEREF _Toc24520 \h </w:instrText>
      </w:r>
      <w:r>
        <w:rPr>
          <w:color w:val="auto"/>
        </w:rPr>
        <w:fldChar w:fldCharType="separate"/>
      </w:r>
      <w:r>
        <w:rPr>
          <w:color w:val="auto"/>
        </w:rPr>
        <w:t>3</w:t>
      </w:r>
      <w:r>
        <w:rPr>
          <w:color w:val="auto"/>
        </w:rPr>
        <w:fldChar w:fldCharType="end"/>
      </w:r>
      <w:r>
        <w:rPr>
          <w:rFonts w:eastAsia="黑体"/>
          <w:color w:val="auto"/>
          <w:szCs w:val="24"/>
        </w:rPr>
        <w:fldChar w:fldCharType="end"/>
      </w:r>
    </w:p>
    <w:p w14:paraId="4E2B46D0">
      <w:pPr>
        <w:pStyle w:val="7"/>
        <w:keepNext w:val="0"/>
        <w:keepLines w:val="0"/>
        <w:pageBreakBefore w:val="0"/>
        <w:tabs>
          <w:tab w:val="right" w:leader="dot" w:pos="8306"/>
        </w:tabs>
        <w:kinsoku/>
        <w:wordWrap/>
        <w:overflowPunct/>
        <w:topLinePunct w:val="0"/>
        <w:autoSpaceDE/>
        <w:autoSpaceDN/>
        <w:bidi w:val="0"/>
        <w:adjustRightInd/>
        <w:spacing w:line="360" w:lineRule="auto"/>
        <w:textAlignment w:val="auto"/>
        <w:rPr>
          <w:color w:val="auto"/>
        </w:rPr>
      </w:pPr>
      <w:r>
        <w:rPr>
          <w:rFonts w:eastAsia="黑体"/>
          <w:color w:val="auto"/>
          <w:szCs w:val="24"/>
        </w:rPr>
        <w:fldChar w:fldCharType="begin"/>
      </w:r>
      <w:r>
        <w:rPr>
          <w:rFonts w:eastAsia="黑体"/>
          <w:color w:val="auto"/>
          <w:szCs w:val="24"/>
        </w:rPr>
        <w:instrText xml:space="preserve"> HYPERLINK \l _Toc13857 </w:instrText>
      </w:r>
      <w:r>
        <w:rPr>
          <w:rFonts w:eastAsia="黑体"/>
          <w:color w:val="auto"/>
          <w:szCs w:val="24"/>
        </w:rPr>
        <w:fldChar w:fldCharType="separate"/>
      </w:r>
      <w:r>
        <w:rPr>
          <w:rFonts w:hint="default"/>
          <w:color w:val="auto"/>
          <w:lang w:val="en-US" w:eastAsia="zh-CN"/>
        </w:rPr>
        <w:t>2.4电能质量</w:t>
      </w:r>
      <w:r>
        <w:rPr>
          <w:color w:val="auto"/>
        </w:rPr>
        <w:tab/>
      </w:r>
      <w:r>
        <w:rPr>
          <w:color w:val="auto"/>
        </w:rPr>
        <w:fldChar w:fldCharType="begin"/>
      </w:r>
      <w:r>
        <w:rPr>
          <w:color w:val="auto"/>
        </w:rPr>
        <w:instrText xml:space="preserve"> PAGEREF _Toc13857 \h </w:instrText>
      </w:r>
      <w:r>
        <w:rPr>
          <w:color w:val="auto"/>
        </w:rPr>
        <w:fldChar w:fldCharType="separate"/>
      </w:r>
      <w:r>
        <w:rPr>
          <w:color w:val="auto"/>
        </w:rPr>
        <w:t>3</w:t>
      </w:r>
      <w:r>
        <w:rPr>
          <w:color w:val="auto"/>
        </w:rPr>
        <w:fldChar w:fldCharType="end"/>
      </w:r>
      <w:r>
        <w:rPr>
          <w:rFonts w:eastAsia="黑体"/>
          <w:color w:val="auto"/>
          <w:szCs w:val="24"/>
        </w:rPr>
        <w:fldChar w:fldCharType="end"/>
      </w:r>
    </w:p>
    <w:p w14:paraId="1E65CBF6">
      <w:pPr>
        <w:pStyle w:val="7"/>
        <w:keepNext w:val="0"/>
        <w:keepLines w:val="0"/>
        <w:pageBreakBefore w:val="0"/>
        <w:tabs>
          <w:tab w:val="right" w:leader="dot" w:pos="8306"/>
        </w:tabs>
        <w:kinsoku/>
        <w:wordWrap/>
        <w:overflowPunct/>
        <w:topLinePunct w:val="0"/>
        <w:autoSpaceDE/>
        <w:autoSpaceDN/>
        <w:bidi w:val="0"/>
        <w:adjustRightInd/>
        <w:spacing w:line="360" w:lineRule="auto"/>
        <w:textAlignment w:val="auto"/>
        <w:rPr>
          <w:color w:val="auto"/>
        </w:rPr>
      </w:pPr>
      <w:r>
        <w:rPr>
          <w:rFonts w:eastAsia="黑体"/>
          <w:color w:val="auto"/>
          <w:szCs w:val="24"/>
        </w:rPr>
        <w:fldChar w:fldCharType="begin"/>
      </w:r>
      <w:r>
        <w:rPr>
          <w:rFonts w:eastAsia="黑体"/>
          <w:color w:val="auto"/>
          <w:szCs w:val="24"/>
        </w:rPr>
        <w:instrText xml:space="preserve"> HYPERLINK \l _Toc24887 </w:instrText>
      </w:r>
      <w:r>
        <w:rPr>
          <w:rFonts w:eastAsia="黑体"/>
          <w:color w:val="auto"/>
          <w:szCs w:val="24"/>
        </w:rPr>
        <w:fldChar w:fldCharType="separate"/>
      </w:r>
      <w:r>
        <w:rPr>
          <w:rFonts w:hint="default"/>
          <w:color w:val="auto"/>
          <w:lang w:val="en-US" w:eastAsia="zh-CN"/>
        </w:rPr>
        <w:t>2.5电网运行适应性</w:t>
      </w:r>
      <w:r>
        <w:rPr>
          <w:color w:val="auto"/>
        </w:rPr>
        <w:tab/>
      </w:r>
      <w:r>
        <w:rPr>
          <w:color w:val="auto"/>
        </w:rPr>
        <w:fldChar w:fldCharType="begin"/>
      </w:r>
      <w:r>
        <w:rPr>
          <w:color w:val="auto"/>
        </w:rPr>
        <w:instrText xml:space="preserve"> PAGEREF _Toc24887 \h </w:instrText>
      </w:r>
      <w:r>
        <w:rPr>
          <w:color w:val="auto"/>
        </w:rPr>
        <w:fldChar w:fldCharType="separate"/>
      </w:r>
      <w:r>
        <w:rPr>
          <w:color w:val="auto"/>
        </w:rPr>
        <w:t>4</w:t>
      </w:r>
      <w:r>
        <w:rPr>
          <w:color w:val="auto"/>
        </w:rPr>
        <w:fldChar w:fldCharType="end"/>
      </w:r>
      <w:r>
        <w:rPr>
          <w:rFonts w:eastAsia="黑体"/>
          <w:color w:val="auto"/>
          <w:szCs w:val="24"/>
        </w:rPr>
        <w:fldChar w:fldCharType="end"/>
      </w:r>
    </w:p>
    <w:p w14:paraId="7317C392">
      <w:pPr>
        <w:pStyle w:val="7"/>
        <w:keepNext w:val="0"/>
        <w:keepLines w:val="0"/>
        <w:pageBreakBefore w:val="0"/>
        <w:tabs>
          <w:tab w:val="right" w:leader="dot" w:pos="8306"/>
        </w:tabs>
        <w:kinsoku/>
        <w:wordWrap/>
        <w:overflowPunct/>
        <w:topLinePunct w:val="0"/>
        <w:autoSpaceDE/>
        <w:autoSpaceDN/>
        <w:bidi w:val="0"/>
        <w:adjustRightInd/>
        <w:spacing w:line="360" w:lineRule="auto"/>
        <w:textAlignment w:val="auto"/>
        <w:rPr>
          <w:color w:val="auto"/>
        </w:rPr>
      </w:pPr>
      <w:r>
        <w:rPr>
          <w:rFonts w:eastAsia="黑体"/>
          <w:color w:val="auto"/>
          <w:szCs w:val="24"/>
        </w:rPr>
        <w:fldChar w:fldCharType="begin"/>
      </w:r>
      <w:r>
        <w:rPr>
          <w:rFonts w:eastAsia="黑体"/>
          <w:color w:val="auto"/>
          <w:szCs w:val="24"/>
        </w:rPr>
        <w:instrText xml:space="preserve"> HYPERLINK \l _Toc11205 </w:instrText>
      </w:r>
      <w:r>
        <w:rPr>
          <w:rFonts w:eastAsia="黑体"/>
          <w:color w:val="auto"/>
          <w:szCs w:val="24"/>
        </w:rPr>
        <w:fldChar w:fldCharType="separate"/>
      </w:r>
      <w:r>
        <w:rPr>
          <w:rFonts w:hint="default"/>
          <w:color w:val="auto"/>
          <w:lang w:val="en-US" w:eastAsia="zh-CN"/>
        </w:rPr>
        <w:t>2.6 继电保护和安全自动装置</w:t>
      </w:r>
      <w:r>
        <w:rPr>
          <w:color w:val="auto"/>
        </w:rPr>
        <w:tab/>
      </w:r>
      <w:r>
        <w:rPr>
          <w:color w:val="auto"/>
        </w:rPr>
        <w:fldChar w:fldCharType="begin"/>
      </w:r>
      <w:r>
        <w:rPr>
          <w:color w:val="auto"/>
        </w:rPr>
        <w:instrText xml:space="preserve"> PAGEREF _Toc11205 \h </w:instrText>
      </w:r>
      <w:r>
        <w:rPr>
          <w:color w:val="auto"/>
        </w:rPr>
        <w:fldChar w:fldCharType="separate"/>
      </w:r>
      <w:r>
        <w:rPr>
          <w:color w:val="auto"/>
        </w:rPr>
        <w:t>4</w:t>
      </w:r>
      <w:r>
        <w:rPr>
          <w:color w:val="auto"/>
        </w:rPr>
        <w:fldChar w:fldCharType="end"/>
      </w:r>
      <w:r>
        <w:rPr>
          <w:rFonts w:eastAsia="黑体"/>
          <w:color w:val="auto"/>
          <w:szCs w:val="24"/>
        </w:rPr>
        <w:fldChar w:fldCharType="end"/>
      </w:r>
    </w:p>
    <w:p w14:paraId="7F63B8D6">
      <w:pPr>
        <w:pStyle w:val="7"/>
        <w:keepNext w:val="0"/>
        <w:keepLines w:val="0"/>
        <w:pageBreakBefore w:val="0"/>
        <w:tabs>
          <w:tab w:val="right" w:leader="dot" w:pos="8306"/>
        </w:tabs>
        <w:kinsoku/>
        <w:wordWrap/>
        <w:overflowPunct/>
        <w:topLinePunct w:val="0"/>
        <w:autoSpaceDE/>
        <w:autoSpaceDN/>
        <w:bidi w:val="0"/>
        <w:adjustRightInd/>
        <w:spacing w:line="360" w:lineRule="auto"/>
        <w:textAlignment w:val="auto"/>
        <w:rPr>
          <w:color w:val="auto"/>
        </w:rPr>
      </w:pPr>
      <w:r>
        <w:rPr>
          <w:rFonts w:eastAsia="黑体"/>
          <w:color w:val="auto"/>
          <w:szCs w:val="24"/>
        </w:rPr>
        <w:fldChar w:fldCharType="begin"/>
      </w:r>
      <w:r>
        <w:rPr>
          <w:rFonts w:eastAsia="黑体"/>
          <w:color w:val="auto"/>
          <w:szCs w:val="24"/>
        </w:rPr>
        <w:instrText xml:space="preserve"> HYPERLINK \l _Toc9753 </w:instrText>
      </w:r>
      <w:r>
        <w:rPr>
          <w:rFonts w:eastAsia="黑体"/>
          <w:color w:val="auto"/>
          <w:szCs w:val="24"/>
        </w:rPr>
        <w:fldChar w:fldCharType="separate"/>
      </w:r>
      <w:r>
        <w:rPr>
          <w:rFonts w:hint="default"/>
          <w:color w:val="auto"/>
          <w:lang w:val="en-US" w:eastAsia="zh-CN"/>
        </w:rPr>
        <w:t>2.7 通信和信息</w:t>
      </w:r>
      <w:r>
        <w:rPr>
          <w:color w:val="auto"/>
        </w:rPr>
        <w:tab/>
      </w:r>
      <w:r>
        <w:rPr>
          <w:color w:val="auto"/>
        </w:rPr>
        <w:fldChar w:fldCharType="begin"/>
      </w:r>
      <w:r>
        <w:rPr>
          <w:color w:val="auto"/>
        </w:rPr>
        <w:instrText xml:space="preserve"> PAGEREF _Toc9753 \h </w:instrText>
      </w:r>
      <w:r>
        <w:rPr>
          <w:color w:val="auto"/>
        </w:rPr>
        <w:fldChar w:fldCharType="separate"/>
      </w:r>
      <w:r>
        <w:rPr>
          <w:color w:val="auto"/>
        </w:rPr>
        <w:t>4</w:t>
      </w:r>
      <w:r>
        <w:rPr>
          <w:color w:val="auto"/>
        </w:rPr>
        <w:fldChar w:fldCharType="end"/>
      </w:r>
      <w:r>
        <w:rPr>
          <w:rFonts w:eastAsia="黑体"/>
          <w:color w:val="auto"/>
          <w:szCs w:val="24"/>
        </w:rPr>
        <w:fldChar w:fldCharType="end"/>
      </w:r>
    </w:p>
    <w:p w14:paraId="72D40FD4">
      <w:pPr>
        <w:pStyle w:val="7"/>
        <w:keepNext w:val="0"/>
        <w:keepLines w:val="0"/>
        <w:pageBreakBefore w:val="0"/>
        <w:tabs>
          <w:tab w:val="right" w:leader="dot" w:pos="8306"/>
        </w:tabs>
        <w:kinsoku/>
        <w:wordWrap/>
        <w:overflowPunct/>
        <w:topLinePunct w:val="0"/>
        <w:autoSpaceDE/>
        <w:autoSpaceDN/>
        <w:bidi w:val="0"/>
        <w:adjustRightInd/>
        <w:spacing w:line="360" w:lineRule="auto"/>
        <w:textAlignment w:val="auto"/>
        <w:rPr>
          <w:color w:val="auto"/>
        </w:rPr>
      </w:pPr>
      <w:r>
        <w:rPr>
          <w:rFonts w:eastAsia="黑体"/>
          <w:color w:val="auto"/>
          <w:szCs w:val="24"/>
        </w:rPr>
        <w:fldChar w:fldCharType="begin"/>
      </w:r>
      <w:r>
        <w:rPr>
          <w:rFonts w:eastAsia="黑体"/>
          <w:color w:val="auto"/>
          <w:szCs w:val="24"/>
        </w:rPr>
        <w:instrText xml:space="preserve"> HYPERLINK \l _Toc12500 </w:instrText>
      </w:r>
      <w:r>
        <w:rPr>
          <w:rFonts w:eastAsia="黑体"/>
          <w:color w:val="auto"/>
          <w:szCs w:val="24"/>
        </w:rPr>
        <w:fldChar w:fldCharType="separate"/>
      </w:r>
      <w:r>
        <w:rPr>
          <w:rFonts w:hint="default"/>
          <w:color w:val="auto"/>
          <w:lang w:val="en-US" w:eastAsia="zh-CN"/>
        </w:rPr>
        <w:t>2.8 电能计量</w:t>
      </w:r>
      <w:r>
        <w:rPr>
          <w:color w:val="auto"/>
        </w:rPr>
        <w:tab/>
      </w:r>
      <w:r>
        <w:rPr>
          <w:color w:val="auto"/>
        </w:rPr>
        <w:fldChar w:fldCharType="begin"/>
      </w:r>
      <w:r>
        <w:rPr>
          <w:color w:val="auto"/>
        </w:rPr>
        <w:instrText xml:space="preserve"> PAGEREF _Toc12500 \h </w:instrText>
      </w:r>
      <w:r>
        <w:rPr>
          <w:color w:val="auto"/>
        </w:rPr>
        <w:fldChar w:fldCharType="separate"/>
      </w:r>
      <w:r>
        <w:rPr>
          <w:color w:val="auto"/>
        </w:rPr>
        <w:t>5</w:t>
      </w:r>
      <w:r>
        <w:rPr>
          <w:color w:val="auto"/>
        </w:rPr>
        <w:fldChar w:fldCharType="end"/>
      </w:r>
      <w:r>
        <w:rPr>
          <w:rFonts w:eastAsia="黑体"/>
          <w:color w:val="auto"/>
          <w:szCs w:val="24"/>
        </w:rPr>
        <w:fldChar w:fldCharType="end"/>
      </w:r>
    </w:p>
    <w:p w14:paraId="083F307F">
      <w:pPr>
        <w:pStyle w:val="7"/>
        <w:keepNext w:val="0"/>
        <w:keepLines w:val="0"/>
        <w:pageBreakBefore w:val="0"/>
        <w:tabs>
          <w:tab w:val="right" w:leader="dot" w:pos="8306"/>
        </w:tabs>
        <w:kinsoku/>
        <w:wordWrap/>
        <w:overflowPunct/>
        <w:topLinePunct w:val="0"/>
        <w:autoSpaceDE/>
        <w:autoSpaceDN/>
        <w:bidi w:val="0"/>
        <w:adjustRightInd/>
        <w:spacing w:line="360" w:lineRule="auto"/>
        <w:textAlignment w:val="auto"/>
        <w:rPr>
          <w:color w:val="auto"/>
        </w:rPr>
      </w:pPr>
      <w:r>
        <w:rPr>
          <w:rFonts w:eastAsia="黑体"/>
          <w:color w:val="auto"/>
          <w:szCs w:val="24"/>
        </w:rPr>
        <w:fldChar w:fldCharType="begin"/>
      </w:r>
      <w:r>
        <w:rPr>
          <w:rFonts w:eastAsia="黑体"/>
          <w:color w:val="auto"/>
          <w:szCs w:val="24"/>
        </w:rPr>
        <w:instrText xml:space="preserve"> HYPERLINK \l _Toc19571 </w:instrText>
      </w:r>
      <w:r>
        <w:rPr>
          <w:rFonts w:eastAsia="黑体"/>
          <w:color w:val="auto"/>
          <w:szCs w:val="24"/>
        </w:rPr>
        <w:fldChar w:fldCharType="separate"/>
      </w:r>
      <w:r>
        <w:rPr>
          <w:rFonts w:hint="default"/>
          <w:color w:val="auto"/>
          <w:lang w:val="en-US" w:eastAsia="zh-CN"/>
        </w:rPr>
        <w:t>2.9 并网检测</w:t>
      </w:r>
      <w:r>
        <w:rPr>
          <w:color w:val="auto"/>
        </w:rPr>
        <w:tab/>
      </w:r>
      <w:r>
        <w:rPr>
          <w:color w:val="auto"/>
        </w:rPr>
        <w:fldChar w:fldCharType="begin"/>
      </w:r>
      <w:r>
        <w:rPr>
          <w:color w:val="auto"/>
        </w:rPr>
        <w:instrText xml:space="preserve"> PAGEREF _Toc19571 \h </w:instrText>
      </w:r>
      <w:r>
        <w:rPr>
          <w:color w:val="auto"/>
        </w:rPr>
        <w:fldChar w:fldCharType="separate"/>
      </w:r>
      <w:r>
        <w:rPr>
          <w:color w:val="auto"/>
        </w:rPr>
        <w:t>5</w:t>
      </w:r>
      <w:r>
        <w:rPr>
          <w:color w:val="auto"/>
        </w:rPr>
        <w:fldChar w:fldCharType="end"/>
      </w:r>
      <w:r>
        <w:rPr>
          <w:rFonts w:eastAsia="黑体"/>
          <w:color w:val="auto"/>
          <w:szCs w:val="24"/>
        </w:rPr>
        <w:fldChar w:fldCharType="end"/>
      </w:r>
    </w:p>
    <w:p w14:paraId="60FCD8F4">
      <w:pPr>
        <w:pStyle w:val="6"/>
        <w:keepNext w:val="0"/>
        <w:keepLines w:val="0"/>
        <w:pageBreakBefore w:val="0"/>
        <w:tabs>
          <w:tab w:val="right" w:leader="dot" w:pos="8306"/>
        </w:tabs>
        <w:kinsoku/>
        <w:wordWrap/>
        <w:overflowPunct/>
        <w:topLinePunct w:val="0"/>
        <w:autoSpaceDE/>
        <w:autoSpaceDN/>
        <w:bidi w:val="0"/>
        <w:adjustRightInd/>
        <w:spacing w:line="360" w:lineRule="auto"/>
        <w:textAlignment w:val="auto"/>
        <w:rPr>
          <w:color w:val="auto"/>
        </w:rPr>
      </w:pPr>
      <w:r>
        <w:rPr>
          <w:rFonts w:eastAsia="黑体"/>
          <w:color w:val="auto"/>
          <w:szCs w:val="24"/>
        </w:rPr>
        <w:fldChar w:fldCharType="begin"/>
      </w:r>
      <w:r>
        <w:rPr>
          <w:rFonts w:eastAsia="黑体"/>
          <w:color w:val="auto"/>
          <w:szCs w:val="24"/>
        </w:rPr>
        <w:instrText xml:space="preserve"> HYPERLINK \l _Toc2902 </w:instrText>
      </w:r>
      <w:r>
        <w:rPr>
          <w:rFonts w:eastAsia="黑体"/>
          <w:color w:val="auto"/>
          <w:szCs w:val="24"/>
        </w:rPr>
        <w:fldChar w:fldCharType="separate"/>
      </w:r>
      <w:r>
        <w:rPr>
          <w:rFonts w:hint="default"/>
          <w:color w:val="auto"/>
        </w:rPr>
        <w:t>三、采用国际标准的程度及水平</w:t>
      </w:r>
      <w:r>
        <w:rPr>
          <w:color w:val="auto"/>
        </w:rPr>
        <w:tab/>
      </w:r>
      <w:r>
        <w:rPr>
          <w:color w:val="auto"/>
        </w:rPr>
        <w:fldChar w:fldCharType="begin"/>
      </w:r>
      <w:r>
        <w:rPr>
          <w:color w:val="auto"/>
        </w:rPr>
        <w:instrText xml:space="preserve"> PAGEREF _Toc2902 \h </w:instrText>
      </w:r>
      <w:r>
        <w:rPr>
          <w:color w:val="auto"/>
        </w:rPr>
        <w:fldChar w:fldCharType="separate"/>
      </w:r>
      <w:r>
        <w:rPr>
          <w:color w:val="auto"/>
        </w:rPr>
        <w:t>5</w:t>
      </w:r>
      <w:r>
        <w:rPr>
          <w:color w:val="auto"/>
        </w:rPr>
        <w:fldChar w:fldCharType="end"/>
      </w:r>
      <w:r>
        <w:rPr>
          <w:rFonts w:eastAsia="黑体"/>
          <w:color w:val="auto"/>
          <w:szCs w:val="24"/>
        </w:rPr>
        <w:fldChar w:fldCharType="end"/>
      </w:r>
    </w:p>
    <w:p w14:paraId="5BC7C2ED">
      <w:pPr>
        <w:pStyle w:val="6"/>
        <w:keepNext w:val="0"/>
        <w:keepLines w:val="0"/>
        <w:pageBreakBefore w:val="0"/>
        <w:tabs>
          <w:tab w:val="right" w:leader="dot" w:pos="8306"/>
        </w:tabs>
        <w:kinsoku/>
        <w:wordWrap/>
        <w:overflowPunct/>
        <w:topLinePunct w:val="0"/>
        <w:autoSpaceDE/>
        <w:autoSpaceDN/>
        <w:bidi w:val="0"/>
        <w:adjustRightInd/>
        <w:spacing w:line="360" w:lineRule="auto"/>
        <w:textAlignment w:val="auto"/>
        <w:rPr>
          <w:color w:val="auto"/>
        </w:rPr>
      </w:pPr>
      <w:r>
        <w:rPr>
          <w:rFonts w:eastAsia="黑体"/>
          <w:color w:val="auto"/>
          <w:szCs w:val="24"/>
        </w:rPr>
        <w:fldChar w:fldCharType="begin"/>
      </w:r>
      <w:r>
        <w:rPr>
          <w:rFonts w:eastAsia="黑体"/>
          <w:color w:val="auto"/>
          <w:szCs w:val="24"/>
        </w:rPr>
        <w:instrText xml:space="preserve"> HYPERLINK \l _Toc2521 </w:instrText>
      </w:r>
      <w:r>
        <w:rPr>
          <w:rFonts w:eastAsia="黑体"/>
          <w:color w:val="auto"/>
          <w:szCs w:val="24"/>
        </w:rPr>
        <w:fldChar w:fldCharType="separate"/>
      </w:r>
      <w:r>
        <w:rPr>
          <w:rFonts w:hint="default"/>
          <w:color w:val="auto"/>
        </w:rPr>
        <w:t>四、重大</w:t>
      </w:r>
      <w:r>
        <w:rPr>
          <w:rFonts w:hint="eastAsia"/>
          <w:color w:val="auto"/>
          <w:lang w:eastAsia="zh-CN"/>
        </w:rPr>
        <w:t>分歧意见</w:t>
      </w:r>
      <w:r>
        <w:rPr>
          <w:rFonts w:hint="default"/>
          <w:color w:val="auto"/>
        </w:rPr>
        <w:t>的处理经过和依据</w:t>
      </w:r>
      <w:r>
        <w:rPr>
          <w:color w:val="auto"/>
        </w:rPr>
        <w:tab/>
      </w:r>
      <w:r>
        <w:rPr>
          <w:color w:val="auto"/>
        </w:rPr>
        <w:fldChar w:fldCharType="begin"/>
      </w:r>
      <w:r>
        <w:rPr>
          <w:color w:val="auto"/>
        </w:rPr>
        <w:instrText xml:space="preserve"> PAGEREF _Toc2521 \h </w:instrText>
      </w:r>
      <w:r>
        <w:rPr>
          <w:color w:val="auto"/>
        </w:rPr>
        <w:fldChar w:fldCharType="separate"/>
      </w:r>
      <w:r>
        <w:rPr>
          <w:color w:val="auto"/>
        </w:rPr>
        <w:t>5</w:t>
      </w:r>
      <w:r>
        <w:rPr>
          <w:color w:val="auto"/>
        </w:rPr>
        <w:fldChar w:fldCharType="end"/>
      </w:r>
      <w:r>
        <w:rPr>
          <w:rFonts w:eastAsia="黑体"/>
          <w:color w:val="auto"/>
          <w:szCs w:val="24"/>
        </w:rPr>
        <w:fldChar w:fldCharType="end"/>
      </w:r>
    </w:p>
    <w:p w14:paraId="6BCBFC5E">
      <w:pPr>
        <w:pStyle w:val="6"/>
        <w:keepNext w:val="0"/>
        <w:keepLines w:val="0"/>
        <w:pageBreakBefore w:val="0"/>
        <w:tabs>
          <w:tab w:val="right" w:leader="dot" w:pos="8306"/>
        </w:tabs>
        <w:kinsoku/>
        <w:wordWrap/>
        <w:overflowPunct/>
        <w:topLinePunct w:val="0"/>
        <w:autoSpaceDE/>
        <w:autoSpaceDN/>
        <w:bidi w:val="0"/>
        <w:adjustRightInd/>
        <w:spacing w:line="360" w:lineRule="auto"/>
        <w:textAlignment w:val="auto"/>
        <w:rPr>
          <w:color w:val="auto"/>
        </w:rPr>
      </w:pPr>
      <w:r>
        <w:rPr>
          <w:rFonts w:eastAsia="黑体"/>
          <w:color w:val="auto"/>
          <w:szCs w:val="24"/>
        </w:rPr>
        <w:fldChar w:fldCharType="begin"/>
      </w:r>
      <w:r>
        <w:rPr>
          <w:rFonts w:eastAsia="黑体"/>
          <w:color w:val="auto"/>
          <w:szCs w:val="24"/>
        </w:rPr>
        <w:instrText xml:space="preserve"> HYPERLINK \l _Toc19325 </w:instrText>
      </w:r>
      <w:r>
        <w:rPr>
          <w:rFonts w:eastAsia="黑体"/>
          <w:color w:val="auto"/>
          <w:szCs w:val="24"/>
        </w:rPr>
        <w:fldChar w:fldCharType="separate"/>
      </w:r>
      <w:r>
        <w:rPr>
          <w:rFonts w:hint="default"/>
          <w:color w:val="auto"/>
        </w:rPr>
        <w:t>五、其它应予说明的事项</w:t>
      </w:r>
      <w:r>
        <w:rPr>
          <w:color w:val="auto"/>
        </w:rPr>
        <w:tab/>
      </w:r>
      <w:r>
        <w:rPr>
          <w:color w:val="auto"/>
        </w:rPr>
        <w:fldChar w:fldCharType="begin"/>
      </w:r>
      <w:r>
        <w:rPr>
          <w:color w:val="auto"/>
        </w:rPr>
        <w:instrText xml:space="preserve"> PAGEREF _Toc19325 \h </w:instrText>
      </w:r>
      <w:r>
        <w:rPr>
          <w:color w:val="auto"/>
        </w:rPr>
        <w:fldChar w:fldCharType="separate"/>
      </w:r>
      <w:r>
        <w:rPr>
          <w:color w:val="auto"/>
        </w:rPr>
        <w:t>6</w:t>
      </w:r>
      <w:r>
        <w:rPr>
          <w:color w:val="auto"/>
        </w:rPr>
        <w:fldChar w:fldCharType="end"/>
      </w:r>
      <w:r>
        <w:rPr>
          <w:rFonts w:eastAsia="黑体"/>
          <w:color w:val="auto"/>
          <w:szCs w:val="24"/>
        </w:rPr>
        <w:fldChar w:fldCharType="end"/>
      </w:r>
    </w:p>
    <w:p w14:paraId="2D957BD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eastAsia="黑体"/>
          <w:color w:val="auto"/>
          <w:szCs w:val="32"/>
        </w:rPr>
      </w:pPr>
      <w:r>
        <w:rPr>
          <w:rFonts w:eastAsia="黑体"/>
          <w:color w:val="auto"/>
          <w:szCs w:val="24"/>
        </w:rPr>
        <w:fldChar w:fldCharType="end"/>
      </w:r>
    </w:p>
    <w:p w14:paraId="599C4838">
      <w:pPr>
        <w:pStyle w:val="2"/>
        <w:numPr>
          <w:ilvl w:val="0"/>
          <w:numId w:val="2"/>
        </w:numPr>
        <w:bidi w:val="0"/>
        <w:rPr>
          <w:rFonts w:hint="default"/>
          <w:color w:val="auto"/>
        </w:rPr>
        <w:sectPr>
          <w:pgSz w:w="11906" w:h="16838"/>
          <w:pgMar w:top="1440" w:right="1800" w:bottom="1440" w:left="1800" w:header="851" w:footer="992" w:gutter="0"/>
          <w:cols w:space="425" w:num="1"/>
          <w:docGrid w:type="lines" w:linePitch="312" w:charSpace="0"/>
        </w:sectPr>
      </w:pPr>
    </w:p>
    <w:p w14:paraId="0FDE518C">
      <w:pPr>
        <w:pStyle w:val="2"/>
        <w:numPr>
          <w:ilvl w:val="0"/>
          <w:numId w:val="2"/>
        </w:numPr>
        <w:bidi w:val="0"/>
        <w:rPr>
          <w:rFonts w:hint="default"/>
          <w:color w:val="auto"/>
        </w:rPr>
      </w:pPr>
      <w:bookmarkStart w:id="2" w:name="_Toc27600"/>
      <w:r>
        <w:rPr>
          <w:rFonts w:hint="default"/>
          <w:color w:val="auto"/>
        </w:rPr>
        <w:t>工作简况</w:t>
      </w:r>
      <w:bookmarkEnd w:id="2"/>
    </w:p>
    <w:p w14:paraId="6F011FAB">
      <w:pPr>
        <w:pStyle w:val="3"/>
        <w:bidi w:val="0"/>
        <w:rPr>
          <w:rFonts w:hint="default"/>
          <w:color w:val="auto"/>
          <w:lang w:val="en-US" w:eastAsia="zh-CN"/>
        </w:rPr>
      </w:pPr>
      <w:bookmarkStart w:id="3" w:name="_Toc8570"/>
      <w:r>
        <w:rPr>
          <w:rFonts w:hint="eastAsia"/>
          <w:color w:val="auto"/>
          <w:lang w:val="en-US" w:eastAsia="zh-CN"/>
        </w:rPr>
        <w:t>1.1任务来源和协作单位</w:t>
      </w:r>
      <w:bookmarkEnd w:id="3"/>
    </w:p>
    <w:p w14:paraId="13DA6F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lang w:val="en-US" w:eastAsia="zh-CN"/>
        </w:rPr>
      </w:pPr>
      <w:r>
        <w:rPr>
          <w:rFonts w:hint="eastAsia" w:ascii="宋体" w:hAnsi="宋体" w:eastAsia="宋体" w:cs="宋体"/>
          <w:color w:val="auto"/>
          <w:sz w:val="24"/>
          <w:szCs w:val="24"/>
          <w:lang w:val="en-US" w:eastAsia="zh-CN"/>
        </w:rPr>
        <w:t>根据</w:t>
      </w:r>
      <w:r>
        <w:rPr>
          <w:rFonts w:hint="eastAsia" w:ascii="宋体" w:hAnsi="宋体" w:eastAsia="宋体" w:cs="宋体"/>
          <w:color w:val="auto"/>
          <w:sz w:val="24"/>
          <w:szCs w:val="24"/>
        </w:rPr>
        <w:t>中国电子节能技术协会团体标准制修订工作安排，制定《</w:t>
      </w:r>
      <w:r>
        <w:rPr>
          <w:rFonts w:hint="eastAsia" w:ascii="宋体" w:hAnsi="宋体" w:eastAsia="宋体" w:cs="宋体"/>
          <w:color w:val="auto"/>
          <w:sz w:val="24"/>
          <w:szCs w:val="24"/>
          <w:lang w:val="en-US" w:eastAsia="zh-CN"/>
        </w:rPr>
        <w:t>分布式光伏储能系统涉网性能技术规范</w:t>
      </w:r>
      <w:r>
        <w:rPr>
          <w:rFonts w:hint="eastAsia" w:ascii="宋体" w:hAnsi="宋体" w:eastAsia="宋体" w:cs="宋体"/>
          <w:color w:val="auto"/>
          <w:sz w:val="24"/>
          <w:szCs w:val="24"/>
        </w:rPr>
        <w:t>》团体标准，立项号为JH/T/DZJN</w:t>
      </w:r>
      <w:r>
        <w:rPr>
          <w:rFonts w:hint="eastAsia" w:ascii="宋体" w:hAnsi="宋体" w:eastAsia="宋体" w:cs="宋体"/>
          <w:color w:val="auto"/>
          <w:sz w:val="24"/>
          <w:szCs w:val="24"/>
          <w:lang w:val="en-US" w:eastAsia="zh-CN"/>
        </w:rPr>
        <w:t>119</w:t>
      </w:r>
      <w:r>
        <w:rPr>
          <w:rFonts w:hint="eastAsia" w:ascii="宋体" w:hAnsi="宋体" w:eastAsia="宋体" w:cs="宋体"/>
          <w:color w:val="auto"/>
          <w:sz w:val="24"/>
          <w:szCs w:val="24"/>
        </w:rPr>
        <w:t>-2024。委托</w:t>
      </w:r>
      <w:r>
        <w:rPr>
          <w:rFonts w:hint="eastAsia" w:ascii="宋体" w:hAnsi="宋体" w:eastAsia="宋体" w:cs="宋体"/>
          <w:color w:val="auto"/>
          <w:sz w:val="24"/>
          <w:szCs w:val="24"/>
          <w:lang w:val="en-US" w:eastAsia="zh-CN"/>
        </w:rPr>
        <w:t>云南电力试验研究院（集团）有限公司、</w:t>
      </w:r>
      <w:r>
        <w:rPr>
          <w:rFonts w:hint="eastAsia" w:ascii="宋体" w:hAnsi="宋体" w:eastAsia="宋体" w:cs="宋体"/>
          <w:color w:val="auto"/>
          <w:sz w:val="24"/>
          <w:szCs w:val="24"/>
        </w:rPr>
        <w:t>华能新能源股份有限公司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南方电网电力科技股份有限公司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深圳市英威腾电气股份有限公司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广东新型储能国家研究院有限公司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哈尔滨电站科技开发有限公司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中煤木垒新能源有限公司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深圳拓邦股份有限公司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华能新能源股份有限公司陕西分公司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广西电网有限责任公司电力科学研究院</w:t>
      </w:r>
      <w:r>
        <w:rPr>
          <w:rFonts w:hint="eastAsia" w:ascii="宋体" w:hAnsi="宋体" w:cs="宋体"/>
          <w:color w:val="auto"/>
          <w:sz w:val="24"/>
          <w:szCs w:val="24"/>
          <w:lang w:eastAsia="zh-CN"/>
        </w:rPr>
        <w:t>、</w:t>
      </w:r>
      <w:r>
        <w:rPr>
          <w:rFonts w:hint="eastAsia"/>
          <w:color w:val="auto"/>
        </w:rPr>
        <w:t>内蒙古华电辉腾锡勒风力发电有限公司</w:t>
      </w:r>
      <w:r>
        <w:rPr>
          <w:rFonts w:hint="eastAsia" w:ascii="宋体" w:hAnsi="宋体" w:eastAsia="宋体" w:cs="宋体"/>
          <w:color w:val="auto"/>
          <w:sz w:val="24"/>
          <w:szCs w:val="24"/>
        </w:rPr>
        <w:t>参与起草《</w:t>
      </w:r>
      <w:r>
        <w:rPr>
          <w:rFonts w:hint="eastAsia" w:ascii="宋体" w:hAnsi="宋体" w:eastAsia="宋体" w:cs="宋体"/>
          <w:color w:val="auto"/>
          <w:sz w:val="24"/>
          <w:szCs w:val="24"/>
          <w:lang w:val="en-US" w:eastAsia="zh-CN"/>
        </w:rPr>
        <w:t>分布式光伏储能系统涉网性能技术规范</w:t>
      </w:r>
      <w:r>
        <w:rPr>
          <w:rFonts w:hint="eastAsia" w:ascii="宋体" w:hAnsi="宋体" w:eastAsia="宋体" w:cs="宋体"/>
          <w:color w:val="auto"/>
          <w:sz w:val="24"/>
          <w:szCs w:val="24"/>
        </w:rPr>
        <w:t>》</w:t>
      </w:r>
      <w:r>
        <w:rPr>
          <w:rFonts w:hint="eastAsia" w:ascii="宋体" w:hAnsi="宋体" w:cs="宋体"/>
          <w:color w:val="auto"/>
          <w:sz w:val="24"/>
          <w:szCs w:val="24"/>
          <w:lang w:eastAsia="zh-CN"/>
        </w:rPr>
        <w:t>。</w:t>
      </w:r>
    </w:p>
    <w:p w14:paraId="2DC49B32">
      <w:pPr>
        <w:pStyle w:val="3"/>
        <w:bidi w:val="0"/>
        <w:rPr>
          <w:rFonts w:hint="eastAsia" w:cs="Times New Roman"/>
          <w:color w:val="auto"/>
          <w:sz w:val="24"/>
          <w:szCs w:val="24"/>
          <w:lang w:val="en-US" w:eastAsia="zh-CN"/>
        </w:rPr>
      </w:pPr>
      <w:bookmarkStart w:id="4" w:name="_Toc5122"/>
      <w:r>
        <w:rPr>
          <w:rFonts w:hint="eastAsia"/>
          <w:color w:val="auto"/>
          <w:lang w:val="en-US" w:eastAsia="zh-CN"/>
        </w:rPr>
        <w:t>1.2</w:t>
      </w:r>
      <w:r>
        <w:rPr>
          <w:rFonts w:hint="eastAsia" w:cs="Times New Roman"/>
          <w:color w:val="auto"/>
          <w:sz w:val="24"/>
          <w:szCs w:val="24"/>
          <w:lang w:val="en-US" w:eastAsia="zh-CN"/>
        </w:rPr>
        <w:t>主要工作过程</w:t>
      </w:r>
      <w:bookmarkEnd w:id="4"/>
    </w:p>
    <w:p w14:paraId="3E6E6F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lang w:val="en-US" w:eastAsia="zh-CN"/>
        </w:rPr>
      </w:pPr>
      <w:bookmarkStart w:id="5" w:name="_Toc24804"/>
      <w:r>
        <w:rPr>
          <w:rFonts w:hint="eastAsia"/>
          <w:color w:val="auto"/>
          <w:lang w:val="en-US" w:eastAsia="zh-CN"/>
        </w:rPr>
        <w:t>1.2.1资料的收集与分析</w:t>
      </w:r>
      <w:bookmarkEnd w:id="5"/>
    </w:p>
    <w:p w14:paraId="6ABE6B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在标准编制过程中，起草工作组收集了以下资料：</w:t>
      </w:r>
    </w:p>
    <w:p w14:paraId="082D8470">
      <w:pPr>
        <w:keepNext w:val="0"/>
        <w:keepLines w:val="0"/>
        <w:pageBreakBefore w:val="0"/>
        <w:kinsoku/>
        <w:wordWrap/>
        <w:overflowPunct/>
        <w:topLinePunct w:val="0"/>
        <w:bidi w:val="0"/>
        <w:adjustRightInd/>
        <w:snapToGrid/>
        <w:spacing w:line="360" w:lineRule="auto"/>
        <w:ind w:left="479" w:leftChars="228"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GB/T 33593-2017 分布式电源并网技术要求 </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color w:val="auto"/>
          <w:sz w:val="24"/>
          <w:szCs w:val="24"/>
        </w:rPr>
        <w:t>GB/T 33982-2017 分布式电源并网继电保护技术规范</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color w:val="auto"/>
          <w:sz w:val="24"/>
          <w:szCs w:val="24"/>
        </w:rPr>
        <w:t>GB/T 34932-2017 </w:t>
      </w:r>
      <w:r>
        <w:rPr>
          <w:rFonts w:hint="eastAsia" w:ascii="Times New Roman" w:hAnsi="Times New Roman" w:cs="Times New Roman"/>
          <w:color w:val="auto"/>
          <w:sz w:val="24"/>
          <w:szCs w:val="24"/>
          <w:lang w:eastAsia="zh-CN"/>
        </w:rPr>
        <w:t>分布式光伏储能系统</w:t>
      </w:r>
      <w:r>
        <w:rPr>
          <w:rFonts w:hint="default" w:ascii="Times New Roman" w:hAnsi="Times New Roman" w:eastAsia="宋体" w:cs="Times New Roman"/>
          <w:color w:val="auto"/>
          <w:sz w:val="24"/>
          <w:szCs w:val="24"/>
        </w:rPr>
        <w:t>远程监控技术规范</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color w:val="auto"/>
          <w:sz w:val="24"/>
          <w:szCs w:val="24"/>
        </w:rPr>
        <w:t>GB/T 33592-2017 分布式电源并网运行控制规范</w:t>
      </w:r>
    </w:p>
    <w:p w14:paraId="54AD47BA">
      <w:pPr>
        <w:keepNext w:val="0"/>
        <w:keepLines w:val="0"/>
        <w:pageBreakBefore w:val="0"/>
        <w:kinsoku/>
        <w:wordWrap/>
        <w:overflowPunct/>
        <w:topLinePunct w:val="0"/>
        <w:bidi w:val="0"/>
        <w:adjustRightInd/>
        <w:snapToGrid/>
        <w:spacing w:line="360" w:lineRule="auto"/>
        <w:ind w:left="479" w:leftChars="228" w:firstLine="0" w:firstLineChars="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GB</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 xml:space="preserve">T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29319-2012 光伏发电系统接入配电网技术规定</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color w:val="auto"/>
          <w:sz w:val="24"/>
          <w:szCs w:val="24"/>
        </w:rPr>
        <w:t>NB/T 32015-2013 分布式电源接入配电网技术规定</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color w:val="auto"/>
          <w:sz w:val="24"/>
          <w:szCs w:val="24"/>
        </w:rPr>
        <w:t>NB/T 33011-2014 分布式电源接入电网测试技术规范</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color w:val="auto"/>
          <w:sz w:val="24"/>
          <w:szCs w:val="24"/>
        </w:rPr>
        <w:t>NB/T 33010-2014 分布式电源接入电网运行控制规范</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color w:val="auto"/>
          <w:sz w:val="24"/>
          <w:szCs w:val="24"/>
        </w:rPr>
        <w:t>NB/T 33013-2014 分布式电源孤岛运行控制规范</w:t>
      </w:r>
    </w:p>
    <w:p w14:paraId="234737ED">
      <w:pPr>
        <w:keepNext w:val="0"/>
        <w:keepLines w:val="0"/>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Q</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CSG</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1211001-2014</w:t>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cs="Times New Roman"/>
          <w:color w:val="auto"/>
          <w:sz w:val="24"/>
          <w:szCs w:val="24"/>
          <w:lang w:eastAsia="zh-CN"/>
        </w:rPr>
        <w:t>分布式光伏储能系统</w:t>
      </w:r>
      <w:r>
        <w:rPr>
          <w:rFonts w:hint="default" w:ascii="Times New Roman" w:hAnsi="Times New Roman" w:eastAsia="宋体" w:cs="Times New Roman"/>
          <w:color w:val="auto"/>
          <w:sz w:val="24"/>
          <w:szCs w:val="24"/>
        </w:rPr>
        <w:t>接入电网技术规范</w:t>
      </w:r>
    </w:p>
    <w:p w14:paraId="623BD5B2">
      <w:pPr>
        <w:keepNext w:val="0"/>
        <w:keepLines w:val="0"/>
        <w:pageBreakBefore w:val="0"/>
        <w:kinsoku/>
        <w:wordWrap/>
        <w:overflowPunct/>
        <w:topLinePunct w:val="0"/>
        <w:bidi w:val="0"/>
        <w:adjustRightInd/>
        <w:snapToGrid/>
        <w:spacing w:line="360" w:lineRule="auto"/>
        <w:ind w:left="479" w:leftChars="228" w:firstLine="0" w:firstLineChars="0"/>
        <w:textAlignment w:val="auto"/>
        <w:rPr>
          <w:rFonts w:hint="eastAsia"/>
          <w:color w:val="auto"/>
        </w:rPr>
      </w:pPr>
      <w:r>
        <w:rPr>
          <w:rFonts w:hint="default" w:ascii="Times New Roman" w:hAnsi="Times New Roman" w:eastAsia="宋体" w:cs="Times New Roman"/>
          <w:color w:val="auto"/>
          <w:sz w:val="24"/>
          <w:szCs w:val="24"/>
        </w:rPr>
        <w:t xml:space="preserve">T/JX </w:t>
      </w:r>
      <w:r>
        <w:rPr>
          <w:rFonts w:hint="default"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rPr>
        <w:t>008—2018</w:t>
      </w:r>
      <w:r>
        <w:rPr>
          <w:rFonts w:hint="default" w:ascii="Times New Roman" w:hAnsi="Times New Roman" w:eastAsia="宋体" w:cs="Times New Roman"/>
          <w:color w:val="auto"/>
          <w:sz w:val="24"/>
          <w:szCs w:val="24"/>
          <w:lang w:val="en-US" w:eastAsia="zh-CN"/>
        </w:rPr>
        <w:t xml:space="preserve"> 分布式光伏发电并网技术规范</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color w:val="auto"/>
          <w:sz w:val="24"/>
          <w:szCs w:val="24"/>
        </w:rPr>
        <w:t>T/CEC 173-2018 分布式储能系统接入配电网设计规范</w:t>
      </w:r>
      <w:r>
        <w:rPr>
          <w:rFonts w:hint="default" w:ascii="Times New Roman" w:hAnsi="Times New Roman" w:eastAsia="宋体" w:cs="Times New Roman"/>
          <w:color w:val="auto"/>
          <w:sz w:val="24"/>
          <w:szCs w:val="24"/>
        </w:rPr>
        <w:br w:type="textWrapping"/>
      </w:r>
      <w:r>
        <w:rPr>
          <w:rFonts w:hint="default" w:ascii="Times New Roman" w:hAnsi="Times New Roman" w:eastAsia="宋体" w:cs="Times New Roman"/>
          <w:color w:val="auto"/>
          <w:sz w:val="24"/>
          <w:szCs w:val="24"/>
        </w:rPr>
        <w:t>T/CEC 174-2018 分布式储能系统远程集中监控技术规范</w:t>
      </w:r>
    </w:p>
    <w:p w14:paraId="00B59D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本标准侧重分布式</w:t>
      </w:r>
      <w:r>
        <w:rPr>
          <w:rFonts w:hint="eastAsia" w:ascii="宋体" w:hAnsi="宋体" w:eastAsia="宋体" w:cs="宋体"/>
          <w:color w:val="auto"/>
          <w:sz w:val="24"/>
          <w:szCs w:val="24"/>
          <w:lang w:val="en-US" w:eastAsia="zh-CN"/>
        </w:rPr>
        <w:t>光伏储能</w:t>
      </w:r>
      <w:r>
        <w:rPr>
          <w:rFonts w:hint="eastAsia" w:ascii="宋体" w:hAnsi="宋体" w:eastAsia="宋体" w:cs="宋体"/>
          <w:color w:val="auto"/>
          <w:sz w:val="24"/>
          <w:szCs w:val="24"/>
        </w:rPr>
        <w:t>系统的</w:t>
      </w:r>
      <w:r>
        <w:rPr>
          <w:rFonts w:hint="eastAsia" w:ascii="宋体" w:hAnsi="宋体" w:eastAsia="宋体" w:cs="宋体"/>
          <w:color w:val="auto"/>
          <w:sz w:val="24"/>
          <w:szCs w:val="24"/>
          <w:lang w:val="en-US" w:eastAsia="zh-CN"/>
        </w:rPr>
        <w:t>涉网相关性能，</w:t>
      </w:r>
      <w:r>
        <w:rPr>
          <w:rFonts w:hint="eastAsia" w:ascii="宋体" w:hAnsi="宋体" w:eastAsia="宋体" w:cs="宋体"/>
          <w:color w:val="auto"/>
          <w:sz w:val="24"/>
          <w:szCs w:val="24"/>
        </w:rPr>
        <w:t>上述标准及文件针对多个业务领域的</w:t>
      </w:r>
      <w:r>
        <w:rPr>
          <w:rFonts w:hint="eastAsia" w:ascii="宋体" w:hAnsi="宋体" w:eastAsia="宋体" w:cs="宋体"/>
          <w:color w:val="auto"/>
          <w:sz w:val="24"/>
          <w:szCs w:val="24"/>
          <w:lang w:val="en-US" w:eastAsia="zh-CN"/>
        </w:rPr>
        <w:t>分布式光伏系统和分布式储能系统</w:t>
      </w:r>
      <w:r>
        <w:rPr>
          <w:rFonts w:hint="eastAsia" w:ascii="宋体" w:hAnsi="宋体" w:eastAsia="宋体" w:cs="宋体"/>
          <w:color w:val="auto"/>
          <w:sz w:val="24"/>
          <w:szCs w:val="24"/>
        </w:rPr>
        <w:t>均有相关规定，但对于本标准提出的</w:t>
      </w:r>
      <w:r>
        <w:rPr>
          <w:rFonts w:hint="eastAsia" w:ascii="宋体" w:hAnsi="宋体" w:eastAsia="宋体" w:cs="宋体"/>
          <w:color w:val="auto"/>
          <w:sz w:val="24"/>
          <w:szCs w:val="24"/>
          <w:lang w:val="en-US" w:eastAsia="zh-CN"/>
        </w:rPr>
        <w:t>分布式光伏储能系统涉网的性能指标</w:t>
      </w:r>
      <w:r>
        <w:rPr>
          <w:rFonts w:hint="eastAsia" w:ascii="宋体" w:hAnsi="宋体" w:eastAsia="宋体" w:cs="宋体"/>
          <w:color w:val="auto"/>
          <w:sz w:val="24"/>
          <w:szCs w:val="24"/>
        </w:rPr>
        <w:t>未给予规定，本标准是对上述标准的补充和完善，并与现有标准协调一致。</w:t>
      </w:r>
    </w:p>
    <w:p w14:paraId="449F76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auto"/>
          <w:lang w:val="en-US" w:eastAsia="zh-CN"/>
        </w:rPr>
      </w:pPr>
      <w:bookmarkStart w:id="6" w:name="_Toc15196"/>
      <w:r>
        <w:rPr>
          <w:rFonts w:hint="eastAsia" w:ascii="Times New Roman" w:hAnsi="Times New Roman" w:eastAsia="宋体" w:cs="Times New Roman"/>
          <w:color w:val="auto"/>
          <w:lang w:val="en-US" w:eastAsia="zh-CN"/>
        </w:rPr>
        <w:t>1.2.2 任务落实情况</w:t>
      </w:r>
      <w:bookmarkEnd w:id="6"/>
    </w:p>
    <w:p w14:paraId="0B49AACE">
      <w:pPr>
        <w:keepNext w:val="0"/>
        <w:keepLines w:val="0"/>
        <w:pageBreakBefore w:val="0"/>
        <w:widowControl w:val="0"/>
        <w:tabs>
          <w:tab w:val="left" w:pos="237"/>
        </w:tabs>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sz w:val="24"/>
          <w:szCs w:val="24"/>
          <w:lang w:val="en-US" w:eastAsia="zh-CN"/>
        </w:rPr>
        <w:t>分布式光伏储能系统涉网性能技术规范</w:t>
      </w:r>
      <w:r>
        <w:rPr>
          <w:rFonts w:hint="eastAsia" w:ascii="宋体" w:hAnsi="宋体" w:eastAsia="宋体" w:cs="宋体"/>
          <w:color w:val="auto"/>
          <w:kern w:val="0"/>
          <w:sz w:val="24"/>
          <w:szCs w:val="24"/>
        </w:rPr>
        <w:t>》由</w:t>
      </w:r>
      <w:r>
        <w:rPr>
          <w:rFonts w:hint="eastAsia" w:ascii="宋体" w:hAnsi="宋体" w:eastAsia="宋体" w:cs="宋体"/>
          <w:color w:val="auto"/>
          <w:sz w:val="24"/>
          <w:szCs w:val="24"/>
          <w:lang w:val="en-US" w:eastAsia="zh-CN"/>
        </w:rPr>
        <w:t>云南电力试验研究院（集团）有限公司</w:t>
      </w:r>
      <w:r>
        <w:rPr>
          <w:rFonts w:hint="eastAsia" w:ascii="宋体" w:hAnsi="宋体" w:eastAsia="宋体" w:cs="宋体"/>
          <w:color w:val="auto"/>
          <w:kern w:val="0"/>
          <w:sz w:val="24"/>
          <w:szCs w:val="24"/>
        </w:rPr>
        <w:t>主要负责，根据项目任务书，成立了《</w:t>
      </w:r>
      <w:r>
        <w:rPr>
          <w:rFonts w:hint="eastAsia" w:ascii="宋体" w:hAnsi="宋体" w:eastAsia="宋体" w:cs="宋体"/>
          <w:color w:val="auto"/>
          <w:sz w:val="24"/>
          <w:szCs w:val="24"/>
          <w:lang w:val="en-US" w:eastAsia="zh-CN"/>
        </w:rPr>
        <w:t>分布式光伏储能系统涉网性能技术规范</w:t>
      </w:r>
      <w:r>
        <w:rPr>
          <w:rFonts w:hint="eastAsia" w:ascii="宋体" w:hAnsi="宋体" w:eastAsia="宋体" w:cs="宋体"/>
          <w:color w:val="auto"/>
          <w:kern w:val="0"/>
          <w:sz w:val="24"/>
          <w:szCs w:val="24"/>
        </w:rPr>
        <w:t>》编制小组，通过组织机构的成立，一方面加强标准编制过程中的协调和领导，另一方面保证编制标准的规范性和科学性。</w:t>
      </w:r>
    </w:p>
    <w:p w14:paraId="2C0EA0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auto"/>
          <w:lang w:val="en-US" w:eastAsia="zh-CN"/>
        </w:rPr>
      </w:pPr>
      <w:bookmarkStart w:id="7" w:name="_Toc23304"/>
      <w:r>
        <w:rPr>
          <w:rFonts w:hint="eastAsia" w:ascii="Times New Roman" w:hAnsi="Times New Roman" w:eastAsia="宋体" w:cs="Times New Roman"/>
          <w:color w:val="auto"/>
          <w:lang w:val="en-US" w:eastAsia="zh-CN"/>
        </w:rPr>
        <w:t>1.2.3 工作过程</w:t>
      </w:r>
      <w:bookmarkEnd w:id="7"/>
    </w:p>
    <w:p w14:paraId="660E56CF">
      <w:pPr>
        <w:keepNext w:val="0"/>
        <w:keepLines w:val="0"/>
        <w:pageBreakBefore w:val="0"/>
        <w:widowControl w:val="0"/>
        <w:tabs>
          <w:tab w:val="left" w:pos="237"/>
        </w:tabs>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（1）2025年02月至2025年03月，项目组完成标准的前期预研工作，联系相关企业、科研单位等，基于分布式光伏储能系统涉网性能技术规范的有关问题进行调研和分析。</w:t>
      </w:r>
    </w:p>
    <w:p w14:paraId="74CC5D14">
      <w:pPr>
        <w:keepNext w:val="0"/>
        <w:keepLines w:val="0"/>
        <w:pageBreakBefore w:val="0"/>
        <w:widowControl w:val="0"/>
        <w:tabs>
          <w:tab w:val="left" w:pos="237"/>
        </w:tabs>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（2）2025年04月29日，召开标准启动会，成立起草工作组，正式启动《分布式光伏储能系统涉网性能技术规范》的团体标准编制工作，根据启动会企业代表意见，明确各方编制任务，确定编制组成员分工。</w:t>
      </w:r>
    </w:p>
    <w:p w14:paraId="265EA017">
      <w:pPr>
        <w:keepNext w:val="0"/>
        <w:keepLines w:val="0"/>
        <w:pageBreakBefore w:val="0"/>
        <w:widowControl w:val="0"/>
        <w:tabs>
          <w:tab w:val="left" w:pos="237"/>
        </w:tabs>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（3）2025年05月至2025年07月，工作组成员根据启动会讨论内容和要求，开展标准编制工作，期间组织研讨会，相关各方就规范汇总初稿和编制说明等工作成果进行了讨论并形成修改意见。</w:t>
      </w:r>
    </w:p>
    <w:p w14:paraId="1301B968">
      <w:pPr>
        <w:keepNext w:val="0"/>
        <w:keepLines w:val="0"/>
        <w:pageBreakBefore w:val="0"/>
        <w:widowControl w:val="0"/>
        <w:tabs>
          <w:tab w:val="left" w:pos="237"/>
        </w:tabs>
        <w:kinsoku/>
        <w:wordWrap/>
        <w:overflowPunct/>
        <w:topLinePunct w:val="0"/>
        <w:autoSpaceDE/>
        <w:autoSpaceDN/>
        <w:bidi w:val="0"/>
        <w:adjustRightInd/>
        <w:snapToGrid/>
        <w:spacing w:line="360" w:lineRule="auto"/>
        <w:ind w:firstLine="420"/>
        <w:jc w:val="left"/>
        <w:textAlignment w:val="auto"/>
        <w:rPr>
          <w:rFonts w:hint="default"/>
          <w:color w:val="auto"/>
          <w:lang w:val="en-US" w:eastAsia="zh-CN"/>
        </w:rPr>
      </w:pPr>
      <w:r>
        <w:rPr>
          <w:rFonts w:hint="eastAsia" w:ascii="宋体" w:hAnsi="宋体" w:eastAsia="宋体" w:cs="宋体"/>
          <w:color w:val="auto"/>
          <w:sz w:val="24"/>
          <w:szCs w:val="24"/>
          <w:lang w:val="en-US" w:eastAsia="zh-CN"/>
        </w:rPr>
        <w:t>（4）2025年08月至2025年12月，组织专家征求标准修改意见，工作组展开修改事宜。</w:t>
      </w:r>
    </w:p>
    <w:p w14:paraId="6F1AF4E0">
      <w:pPr>
        <w:pStyle w:val="2"/>
        <w:bidi w:val="0"/>
        <w:rPr>
          <w:rFonts w:hint="default"/>
          <w:color w:val="auto"/>
        </w:rPr>
      </w:pPr>
      <w:bookmarkStart w:id="8" w:name="_Toc19332"/>
      <w:r>
        <w:rPr>
          <w:rFonts w:hint="default"/>
          <w:color w:val="auto"/>
        </w:rPr>
        <w:t>二、标准主要技术内容</w:t>
      </w:r>
      <w:bookmarkEnd w:id="8"/>
    </w:p>
    <w:p w14:paraId="765BD09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bookmarkStart w:id="9" w:name="_Toc23195"/>
      <w:r>
        <w:rPr>
          <w:rStyle w:val="14"/>
          <w:rFonts w:hint="default"/>
          <w:color w:val="auto"/>
          <w:lang w:val="en-US" w:eastAsia="zh-CN"/>
        </w:rPr>
        <w:t>2.1 有功功率控制调节</w:t>
      </w:r>
      <w:bookmarkEnd w:id="9"/>
      <w:r>
        <w:rPr>
          <w:rFonts w:hint="default" w:ascii="Times New Roman" w:hAnsi="Times New Roman" w:eastAsia="宋体" w:cs="Times New Roman"/>
          <w:b/>
          <w:bCs/>
          <w:color w:val="auto"/>
          <w:kern w:val="0"/>
          <w:sz w:val="24"/>
          <w:szCs w:val="24"/>
          <w:lang w:val="en-US" w:eastAsia="zh-CN" w:bidi="ar"/>
        </w:rPr>
        <w:t xml:space="preserve"> </w:t>
      </w:r>
    </w:p>
    <w:p w14:paraId="39970ED2">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kern w:val="0"/>
          <w:sz w:val="24"/>
          <w:szCs w:val="24"/>
          <w:lang w:val="en-US" w:eastAsia="zh-CN" w:bidi="ar"/>
        </w:rPr>
        <w:t xml:space="preserve"> </w:t>
      </w:r>
      <w:r>
        <w:rPr>
          <w:rFonts w:hint="default" w:ascii="Times New Roman" w:hAnsi="Times New Roman" w:eastAsia="宋体" w:cs="Times New Roman"/>
          <w:color w:val="auto"/>
          <w:sz w:val="24"/>
          <w:szCs w:val="24"/>
        </w:rPr>
        <w:t>通过 10（20）kV电压等级并网的</w:t>
      </w:r>
      <w:r>
        <w:rPr>
          <w:rFonts w:hint="default" w:ascii="Times New Roman" w:hAnsi="Times New Roman" w:eastAsia="宋体" w:cs="Times New Roman"/>
          <w:color w:val="auto"/>
          <w:sz w:val="24"/>
          <w:szCs w:val="24"/>
          <w:lang w:eastAsia="zh-CN"/>
        </w:rPr>
        <w:t>分布式光伏储能系统</w:t>
      </w:r>
      <w:r>
        <w:rPr>
          <w:rFonts w:hint="default" w:ascii="Times New Roman" w:hAnsi="Times New Roman" w:eastAsia="宋体" w:cs="Times New Roman"/>
          <w:color w:val="auto"/>
          <w:sz w:val="24"/>
          <w:szCs w:val="24"/>
        </w:rPr>
        <w:t>应具有有功功率调节能力，必要时能根据电网调度机构指令调节电源的有功功率输出。</w:t>
      </w:r>
    </w:p>
    <w:p w14:paraId="00CEA469">
      <w:pPr>
        <w:pStyle w:val="3"/>
        <w:bidi w:val="0"/>
        <w:rPr>
          <w:rFonts w:hint="default"/>
          <w:color w:val="auto"/>
        </w:rPr>
      </w:pPr>
      <w:bookmarkStart w:id="10" w:name="_Toc9138"/>
      <w:r>
        <w:rPr>
          <w:rFonts w:hint="default"/>
          <w:color w:val="auto"/>
          <w:lang w:val="en-US" w:eastAsia="zh-CN"/>
        </w:rPr>
        <w:t>2.2无功电压控制调节</w:t>
      </w:r>
      <w:bookmarkEnd w:id="10"/>
      <w:r>
        <w:rPr>
          <w:rFonts w:hint="default"/>
          <w:color w:val="auto"/>
          <w:lang w:val="en-US" w:eastAsia="zh-CN"/>
        </w:rPr>
        <w:t xml:space="preserve"> </w:t>
      </w:r>
    </w:p>
    <w:p w14:paraId="07B2B7D4">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2.2.1 无功电压</w:t>
      </w:r>
    </w:p>
    <w:p w14:paraId="798606F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通过 10（20）kV 电压等级并网的</w:t>
      </w:r>
      <w:r>
        <w:rPr>
          <w:rFonts w:hint="default" w:ascii="Times New Roman" w:hAnsi="Times New Roman" w:eastAsia="宋体" w:cs="Times New Roman"/>
          <w:color w:val="auto"/>
          <w:sz w:val="24"/>
          <w:szCs w:val="24"/>
          <w:lang w:eastAsia="zh-CN"/>
        </w:rPr>
        <w:t>分布式光伏储能系统</w:t>
      </w:r>
      <w:r>
        <w:rPr>
          <w:rFonts w:hint="default" w:ascii="Times New Roman" w:hAnsi="Times New Roman" w:eastAsia="宋体" w:cs="Times New Roman"/>
          <w:color w:val="auto"/>
          <w:sz w:val="24"/>
          <w:szCs w:val="24"/>
        </w:rPr>
        <w:t>应具有</w:t>
      </w:r>
      <w:r>
        <w:rPr>
          <w:rFonts w:hint="default" w:ascii="Times New Roman" w:hAnsi="Times New Roman" w:eastAsia="宋体" w:cs="Times New Roman"/>
          <w:color w:val="auto"/>
          <w:sz w:val="24"/>
          <w:szCs w:val="24"/>
          <w:lang w:val="en-US" w:eastAsia="zh-CN"/>
        </w:rPr>
        <w:t>无功</w:t>
      </w:r>
      <w:r>
        <w:rPr>
          <w:rFonts w:hint="default" w:ascii="Times New Roman" w:hAnsi="Times New Roman" w:eastAsia="宋体" w:cs="Times New Roman"/>
          <w:color w:val="auto"/>
          <w:sz w:val="24"/>
          <w:szCs w:val="24"/>
        </w:rPr>
        <w:t>功率调节能力，必要时能</w:t>
      </w:r>
      <w:r>
        <w:rPr>
          <w:rFonts w:hint="default" w:ascii="Times New Roman" w:hAnsi="Times New Roman" w:eastAsia="宋体" w:cs="Times New Roman"/>
          <w:color w:val="auto"/>
          <w:sz w:val="24"/>
          <w:szCs w:val="24"/>
          <w:lang w:val="en-US" w:eastAsia="zh-CN"/>
        </w:rPr>
        <w:t>发出或吸收一定的无功，根据并网点电压水平调节无功输出，参与电网电压调节能力</w:t>
      </w:r>
      <w:r>
        <w:rPr>
          <w:rFonts w:hint="default" w:ascii="Times New Roman" w:hAnsi="Times New Roman" w:eastAsia="宋体" w:cs="Times New Roman"/>
          <w:color w:val="auto"/>
          <w:sz w:val="24"/>
          <w:szCs w:val="24"/>
        </w:rPr>
        <w:t>。</w:t>
      </w:r>
    </w:p>
    <w:p w14:paraId="04F0D08E">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2.2.2功率因素</w:t>
      </w:r>
    </w:p>
    <w:p w14:paraId="63D037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color w:val="auto"/>
          <w:sz w:val="24"/>
          <w:szCs w:val="24"/>
          <w:lang w:eastAsia="zh-CN"/>
        </w:rPr>
        <w:t>分布式光伏储能系统</w:t>
      </w:r>
      <w:r>
        <w:rPr>
          <w:rFonts w:hint="default" w:ascii="Times New Roman" w:hAnsi="Times New Roman" w:eastAsia="宋体" w:cs="Times New Roman"/>
          <w:color w:val="auto"/>
          <w:sz w:val="24"/>
          <w:szCs w:val="24"/>
        </w:rPr>
        <w:t>功率因数应在0.95（超前）</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0.95（滞后</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范围内连续可调</w:t>
      </w:r>
      <w:r>
        <w:rPr>
          <w:rFonts w:hint="default" w:ascii="Times New Roman" w:hAnsi="Times New Roman" w:eastAsia="宋体" w:cs="Times New Roman"/>
          <w:color w:val="auto"/>
          <w:sz w:val="24"/>
          <w:szCs w:val="24"/>
          <w:lang w:eastAsia="zh-CN"/>
        </w:rPr>
        <w:t>。</w:t>
      </w:r>
    </w:p>
    <w:p w14:paraId="47AEA0FB">
      <w:pPr>
        <w:pStyle w:val="3"/>
        <w:bidi w:val="0"/>
        <w:rPr>
          <w:rFonts w:hint="default"/>
          <w:color w:val="auto"/>
          <w:lang w:val="en-US" w:eastAsia="zh-CN"/>
        </w:rPr>
      </w:pPr>
      <w:bookmarkStart w:id="11" w:name="_Toc24520"/>
      <w:r>
        <w:rPr>
          <w:rFonts w:hint="default"/>
          <w:color w:val="auto"/>
          <w:lang w:val="en-US" w:eastAsia="zh-CN"/>
        </w:rPr>
        <w:t>2.3启停</w:t>
      </w:r>
      <w:bookmarkEnd w:id="11"/>
    </w:p>
    <w:p w14:paraId="339A119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通过 10（20）kV 电压等级并网的</w:t>
      </w:r>
      <w:r>
        <w:rPr>
          <w:rFonts w:hint="default" w:ascii="Times New Roman" w:hAnsi="Times New Roman" w:eastAsia="宋体" w:cs="Times New Roman"/>
          <w:color w:val="auto"/>
          <w:sz w:val="24"/>
          <w:szCs w:val="24"/>
          <w:lang w:eastAsia="zh-CN"/>
        </w:rPr>
        <w:t>分布式光伏储能系统</w:t>
      </w:r>
      <w:r>
        <w:rPr>
          <w:rFonts w:hint="default" w:ascii="Times New Roman" w:hAnsi="Times New Roman" w:eastAsia="宋体" w:cs="Times New Roman"/>
          <w:color w:val="auto"/>
          <w:sz w:val="24"/>
          <w:szCs w:val="24"/>
        </w:rPr>
        <w:t>应具备按电网调度机构指令启停的能力。</w:t>
      </w:r>
    </w:p>
    <w:p w14:paraId="4293C14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eastAsia="zh-CN"/>
        </w:rPr>
        <w:t>分布式光伏储能系统</w:t>
      </w:r>
      <w:r>
        <w:rPr>
          <w:rFonts w:hint="default" w:ascii="Times New Roman" w:hAnsi="Times New Roman" w:eastAsia="宋体" w:cs="Times New Roman"/>
          <w:color w:val="auto"/>
          <w:sz w:val="24"/>
          <w:szCs w:val="24"/>
        </w:rPr>
        <w:t>启动时</w:t>
      </w:r>
      <w:r>
        <w:rPr>
          <w:rFonts w:hint="default" w:ascii="Times New Roman" w:hAnsi="Times New Roman" w:eastAsia="宋体" w:cs="Times New Roman"/>
          <w:color w:val="auto"/>
          <w:sz w:val="24"/>
          <w:szCs w:val="24"/>
          <w:lang w:val="en-US" w:eastAsia="zh-CN"/>
        </w:rPr>
        <w:t>输出功率不应超过电网规定的最大功率，</w:t>
      </w:r>
      <w:r>
        <w:rPr>
          <w:rFonts w:hint="default" w:ascii="Times New Roman" w:hAnsi="Times New Roman" w:eastAsia="宋体" w:cs="Times New Roman"/>
          <w:color w:val="auto"/>
          <w:sz w:val="24"/>
          <w:szCs w:val="24"/>
        </w:rPr>
        <w:t>不应引起公共连接点电能质量超出本标准规定范围。</w:t>
      </w:r>
    </w:p>
    <w:p w14:paraId="235238E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eastAsia="zh-CN"/>
        </w:rPr>
        <w:t>分布式光伏储能系统</w:t>
      </w:r>
      <w:r>
        <w:rPr>
          <w:rFonts w:hint="default" w:ascii="Times New Roman" w:hAnsi="Times New Roman" w:eastAsia="宋体" w:cs="Times New Roman"/>
          <w:color w:val="auto"/>
          <w:sz w:val="24"/>
          <w:szCs w:val="24"/>
        </w:rPr>
        <w:t>启动时</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如果电网电压或频率超出正常运行范围，或电网处于异常运行状态，</w:t>
      </w:r>
      <w:r>
        <w:rPr>
          <w:rFonts w:hint="default" w:ascii="Times New Roman" w:hAnsi="Times New Roman" w:eastAsia="宋体" w:cs="Times New Roman"/>
          <w:color w:val="auto"/>
          <w:sz w:val="24"/>
          <w:szCs w:val="24"/>
          <w:lang w:eastAsia="zh-CN"/>
        </w:rPr>
        <w:t>分布式光伏储能系统</w:t>
      </w:r>
      <w:r>
        <w:rPr>
          <w:rFonts w:hint="default" w:ascii="Times New Roman" w:hAnsi="Times New Roman" w:eastAsia="宋体" w:cs="Times New Roman"/>
          <w:color w:val="auto"/>
          <w:sz w:val="24"/>
          <w:szCs w:val="24"/>
        </w:rPr>
        <w:t>不应启动。</w:t>
      </w:r>
    </w:p>
    <w:p w14:paraId="33E5F9FE">
      <w:pPr>
        <w:pStyle w:val="3"/>
        <w:bidi w:val="0"/>
        <w:rPr>
          <w:rFonts w:hint="default"/>
          <w:color w:val="auto"/>
        </w:rPr>
      </w:pPr>
      <w:bookmarkStart w:id="12" w:name="_Toc13857"/>
      <w:r>
        <w:rPr>
          <w:rFonts w:hint="default"/>
          <w:color w:val="auto"/>
          <w:lang w:val="en-US" w:eastAsia="zh-CN"/>
        </w:rPr>
        <w:t>2.4电能质量</w:t>
      </w:r>
      <w:bookmarkEnd w:id="12"/>
      <w:r>
        <w:rPr>
          <w:rFonts w:hint="default"/>
          <w:color w:val="auto"/>
          <w:lang w:val="en-US" w:eastAsia="zh-CN"/>
        </w:rPr>
        <w:t xml:space="preserve"> </w:t>
      </w:r>
    </w:p>
    <w:p w14:paraId="10EC2157">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 xml:space="preserve">2.4.1 一般性要求 </w:t>
      </w:r>
    </w:p>
    <w:p w14:paraId="3AF923D0">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 xml:space="preserve">2.4.1.1 </w:t>
      </w:r>
      <w:r>
        <w:rPr>
          <w:rFonts w:hint="default" w:ascii="Times New Roman" w:hAnsi="Times New Roman" w:eastAsia="宋体" w:cs="Times New Roman"/>
          <w:color w:val="auto"/>
          <w:kern w:val="0"/>
          <w:sz w:val="24"/>
          <w:szCs w:val="24"/>
          <w:lang w:val="en-US" w:eastAsia="zh-CN" w:bidi="ar"/>
        </w:rPr>
        <w:t xml:space="preserve">分布式光伏储能系统向负载或向电网发出电能的质量，在谐波、电压偏差、电压不平衡度、电压波动和闪变等方面应满足相关国家标准要求。 </w:t>
      </w:r>
    </w:p>
    <w:p w14:paraId="2AF50041">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 xml:space="preserve">2.4.1.2 </w:t>
      </w:r>
      <w:r>
        <w:rPr>
          <w:rFonts w:hint="default" w:ascii="Times New Roman" w:hAnsi="Times New Roman" w:eastAsia="宋体" w:cs="Times New Roman"/>
          <w:color w:val="auto"/>
          <w:kern w:val="0"/>
          <w:sz w:val="24"/>
          <w:szCs w:val="24"/>
          <w:lang w:val="en-US" w:eastAsia="zh-CN" w:bidi="ar"/>
        </w:rPr>
        <w:t xml:space="preserve">分布式光伏储能系统接入电网的并网点应装设电能质量在线监测装置，装置应满足 GB/T 19862要求。 </w:t>
      </w:r>
    </w:p>
    <w:p w14:paraId="75A45EAB">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 xml:space="preserve">2.4.1.3 </w:t>
      </w:r>
      <w:r>
        <w:rPr>
          <w:rFonts w:hint="default" w:ascii="Times New Roman" w:hAnsi="Times New Roman" w:eastAsia="宋体" w:cs="Times New Roman"/>
          <w:color w:val="auto"/>
          <w:kern w:val="0"/>
          <w:sz w:val="24"/>
          <w:szCs w:val="24"/>
          <w:lang w:val="en-US" w:eastAsia="zh-CN" w:bidi="ar"/>
        </w:rPr>
        <w:t xml:space="preserve">分布式光伏储能系统的电能质量监测历史数据应至少保存一年，必要时供用户和电网调用。 </w:t>
      </w:r>
    </w:p>
    <w:p w14:paraId="6647E248">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 xml:space="preserve">2.4.2 谐波 </w:t>
      </w:r>
    </w:p>
    <w:p w14:paraId="17E967A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 xml:space="preserve">2.4.2.1 </w:t>
      </w:r>
      <w:r>
        <w:rPr>
          <w:rFonts w:hint="default" w:ascii="Times New Roman" w:hAnsi="Times New Roman" w:eastAsia="宋体" w:cs="Times New Roman"/>
          <w:color w:val="auto"/>
          <w:kern w:val="0"/>
          <w:sz w:val="24"/>
          <w:szCs w:val="24"/>
          <w:lang w:val="en-US" w:eastAsia="zh-CN" w:bidi="ar"/>
        </w:rPr>
        <w:t xml:space="preserve">分布式光伏储能系统所接入公共连接点的谐波注入电流应满足GB/T 14549 的要求。 </w:t>
      </w:r>
    </w:p>
    <w:p w14:paraId="46212999">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 xml:space="preserve">2.4.2.2 </w:t>
      </w:r>
      <w:r>
        <w:rPr>
          <w:rFonts w:hint="default" w:ascii="Times New Roman" w:hAnsi="Times New Roman" w:eastAsia="宋体" w:cs="Times New Roman"/>
          <w:color w:val="auto"/>
          <w:kern w:val="0"/>
          <w:sz w:val="24"/>
          <w:szCs w:val="24"/>
          <w:lang w:val="en-US" w:eastAsia="zh-CN" w:bidi="ar"/>
        </w:rPr>
        <w:t xml:space="preserve">分布式光伏储能系统接入后，所接入公共连接点的间谐波应满足GB/T 24337 的要求。 </w:t>
      </w:r>
    </w:p>
    <w:p w14:paraId="130E800B">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 xml:space="preserve">2.4.3 电压偏差 </w:t>
      </w:r>
    </w:p>
    <w:p w14:paraId="7D13929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分布式光伏储能系统接入后，所接入公共连接点的电压偏差应满足GB/T 12325 的要求。 </w:t>
      </w:r>
    </w:p>
    <w:p w14:paraId="62FD628C">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 xml:space="preserve">2.4..4 电压波动和闪变 </w:t>
      </w:r>
    </w:p>
    <w:p w14:paraId="1BD8022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分布式光伏储能系统接入后，所接入公共连接点的电压波动和闪变值应满足 GB/T 12326 的要求。 </w:t>
      </w:r>
    </w:p>
    <w:p w14:paraId="68C4441E">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 xml:space="preserve">2.4..5 电压不平衡度 </w:t>
      </w:r>
    </w:p>
    <w:p w14:paraId="34170BE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分布式光伏储能系统接入后，所接入公共连接点的电压不平衡度应满足 GB/T 15543 的要求。 </w:t>
      </w:r>
    </w:p>
    <w:p w14:paraId="1CD346A3">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 xml:space="preserve">2.4..6 直流分量 </w:t>
      </w:r>
    </w:p>
    <w:p w14:paraId="77DF1E4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变流器类型分布式电源接入后，向公共连接点注入的直流电流分量不应超过其交流额定值的0.5%。</w:t>
      </w:r>
    </w:p>
    <w:p w14:paraId="0AEE1A82">
      <w:pPr>
        <w:pStyle w:val="3"/>
        <w:bidi w:val="0"/>
        <w:rPr>
          <w:rFonts w:hint="default"/>
          <w:color w:val="auto"/>
        </w:rPr>
      </w:pPr>
      <w:bookmarkStart w:id="13" w:name="_Toc24887"/>
      <w:r>
        <w:rPr>
          <w:rFonts w:hint="default"/>
          <w:color w:val="auto"/>
          <w:lang w:val="en-US" w:eastAsia="zh-CN"/>
        </w:rPr>
        <w:t>2.5电网运行适应性</w:t>
      </w:r>
      <w:bookmarkEnd w:id="13"/>
      <w:r>
        <w:rPr>
          <w:rFonts w:hint="default"/>
          <w:color w:val="auto"/>
          <w:lang w:val="en-US" w:eastAsia="zh-CN"/>
        </w:rPr>
        <w:t xml:space="preserve"> </w:t>
      </w:r>
    </w:p>
    <w:p w14:paraId="4CAA6750">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2.5.1 电压运行范围</w:t>
      </w:r>
    </w:p>
    <w:p w14:paraId="0BFFBAA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color w:val="auto"/>
          <w:sz w:val="24"/>
          <w:szCs w:val="24"/>
          <w:lang w:eastAsia="zh-CN"/>
        </w:rPr>
        <w:t>分布式光伏储能系统</w:t>
      </w:r>
      <w:r>
        <w:rPr>
          <w:rFonts w:hint="default" w:ascii="Times New Roman" w:hAnsi="Times New Roman" w:eastAsia="宋体" w:cs="Times New Roman"/>
          <w:color w:val="auto"/>
          <w:sz w:val="24"/>
          <w:szCs w:val="24"/>
        </w:rPr>
        <w:t>并网点电压</w:t>
      </w:r>
      <w:r>
        <w:rPr>
          <w:rFonts w:hint="default" w:ascii="Times New Roman" w:hAnsi="Times New Roman" w:eastAsia="宋体" w:cs="Times New Roman"/>
          <w:color w:val="auto"/>
          <w:sz w:val="24"/>
          <w:szCs w:val="24"/>
          <w:lang w:val="en-US" w:eastAsia="zh-CN"/>
        </w:rPr>
        <w:t>的正常运行范围</w:t>
      </w:r>
      <w:r>
        <w:rPr>
          <w:rFonts w:hint="default" w:ascii="Times New Roman" w:hAnsi="Times New Roman" w:eastAsia="宋体" w:cs="Times New Roman"/>
          <w:color w:val="auto"/>
          <w:sz w:val="24"/>
          <w:szCs w:val="24"/>
        </w:rPr>
        <w:t>在90%～110%标称电压之间。</w:t>
      </w:r>
    </w:p>
    <w:p w14:paraId="51F016A5">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2.5.2 频率运行范围</w:t>
      </w:r>
    </w:p>
    <w:p w14:paraId="1FC7CEE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color w:val="auto"/>
          <w:sz w:val="24"/>
          <w:szCs w:val="24"/>
          <w:lang w:eastAsia="zh-CN"/>
        </w:rPr>
        <w:t>分布式光伏储能系统</w:t>
      </w:r>
      <w:r>
        <w:rPr>
          <w:rFonts w:hint="default" w:ascii="Times New Roman" w:hAnsi="Times New Roman" w:eastAsia="宋体" w:cs="Times New Roman"/>
          <w:color w:val="auto"/>
          <w:sz w:val="24"/>
          <w:szCs w:val="24"/>
        </w:rPr>
        <w:t>并网点</w:t>
      </w:r>
      <w:r>
        <w:rPr>
          <w:rFonts w:hint="default" w:ascii="Times New Roman" w:hAnsi="Times New Roman" w:eastAsia="宋体" w:cs="Times New Roman"/>
          <w:color w:val="auto"/>
          <w:sz w:val="24"/>
          <w:szCs w:val="24"/>
          <w:lang w:val="en-US" w:eastAsia="zh-CN"/>
        </w:rPr>
        <w:t>频率的正常运行范围在49.5-50.2Hz之间。</w:t>
      </w:r>
    </w:p>
    <w:p w14:paraId="67D5A282">
      <w:pPr>
        <w:pStyle w:val="3"/>
        <w:bidi w:val="0"/>
        <w:rPr>
          <w:rFonts w:hint="default"/>
          <w:color w:val="auto"/>
        </w:rPr>
      </w:pPr>
      <w:bookmarkStart w:id="14" w:name="_Toc11205"/>
      <w:r>
        <w:rPr>
          <w:rFonts w:hint="default"/>
          <w:color w:val="auto"/>
          <w:lang w:val="en-US" w:eastAsia="zh-CN"/>
        </w:rPr>
        <w:t>2.6 继电保护和安全自动装置</w:t>
      </w:r>
      <w:bookmarkEnd w:id="14"/>
      <w:r>
        <w:rPr>
          <w:rFonts w:hint="default"/>
          <w:color w:val="auto"/>
          <w:lang w:val="en-US" w:eastAsia="zh-CN"/>
        </w:rPr>
        <w:t xml:space="preserve"> </w:t>
      </w:r>
    </w:p>
    <w:p w14:paraId="1FC59E6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2.6.1.1 一般要求</w:t>
      </w:r>
    </w:p>
    <w:p w14:paraId="5C13CD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分布式光伏储能系统</w:t>
      </w:r>
      <w:r>
        <w:rPr>
          <w:rFonts w:hint="default" w:ascii="Times New Roman" w:hAnsi="Times New Roman" w:eastAsia="宋体" w:cs="Times New Roman"/>
          <w:color w:val="auto"/>
          <w:sz w:val="24"/>
          <w:szCs w:val="24"/>
        </w:rPr>
        <w:t>的保护</w:t>
      </w:r>
      <w:r>
        <w:rPr>
          <w:rFonts w:hint="default" w:ascii="Times New Roman" w:hAnsi="Times New Roman" w:eastAsia="宋体" w:cs="Times New Roman"/>
          <w:color w:val="auto"/>
          <w:sz w:val="24"/>
          <w:szCs w:val="24"/>
          <w:lang w:val="en-US" w:eastAsia="zh-CN"/>
        </w:rPr>
        <w:t>优先采用电流保护、距离保护等成熟、成本低的保护装置。保护装置</w:t>
      </w:r>
      <w:r>
        <w:rPr>
          <w:rFonts w:hint="default" w:ascii="Times New Roman" w:hAnsi="Times New Roman" w:eastAsia="宋体" w:cs="Times New Roman"/>
          <w:color w:val="auto"/>
          <w:sz w:val="24"/>
          <w:szCs w:val="24"/>
        </w:rPr>
        <w:t>应符合可靠性、选择性、灵敏性和速动性的要求，其技术条件应满足GB/T 14285的要求。</w:t>
      </w:r>
      <w:r>
        <w:rPr>
          <w:rFonts w:hint="default" w:ascii="Times New Roman" w:hAnsi="Times New Roman" w:eastAsia="宋体" w:cs="Times New Roman"/>
          <w:b/>
          <w:bCs/>
          <w:color w:val="auto"/>
          <w:kern w:val="0"/>
          <w:sz w:val="24"/>
          <w:szCs w:val="24"/>
          <w:lang w:val="en-US" w:eastAsia="zh-CN" w:bidi="ar"/>
        </w:rPr>
        <w:t xml:space="preserve"> </w:t>
      </w:r>
    </w:p>
    <w:p w14:paraId="200EECFB">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2.6.2 保护要求</w:t>
      </w:r>
    </w:p>
    <w:p w14:paraId="08888DE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color w:val="auto"/>
          <w:sz w:val="24"/>
          <w:szCs w:val="24"/>
          <w:lang w:eastAsia="zh-CN"/>
        </w:rPr>
        <w:t>分布式光伏储能系统</w:t>
      </w:r>
      <w:r>
        <w:rPr>
          <w:rFonts w:hint="default" w:ascii="Times New Roman" w:hAnsi="Times New Roman" w:eastAsia="宋体" w:cs="Times New Roman"/>
          <w:color w:val="auto"/>
          <w:sz w:val="24"/>
          <w:szCs w:val="24"/>
        </w:rPr>
        <w:t>的</w:t>
      </w:r>
      <w:r>
        <w:rPr>
          <w:rFonts w:hint="default" w:ascii="Times New Roman" w:hAnsi="Times New Roman" w:eastAsia="宋体" w:cs="Times New Roman"/>
          <w:color w:val="auto"/>
          <w:sz w:val="24"/>
          <w:szCs w:val="24"/>
          <w:lang w:val="en-US" w:eastAsia="zh-CN"/>
        </w:rPr>
        <w:t>电压</w:t>
      </w:r>
      <w:r>
        <w:rPr>
          <w:rFonts w:hint="default" w:ascii="Times New Roman" w:hAnsi="Times New Roman" w:eastAsia="宋体" w:cs="Times New Roman"/>
          <w:color w:val="auto"/>
          <w:sz w:val="24"/>
          <w:szCs w:val="24"/>
        </w:rPr>
        <w:t>保护</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频率保护、线路保护、防孤岛保护</w:t>
      </w:r>
      <w:r>
        <w:rPr>
          <w:rFonts w:hint="default" w:ascii="Times New Roman" w:hAnsi="Times New Roman" w:eastAsia="宋体" w:cs="Times New Roman"/>
          <w:color w:val="auto"/>
          <w:sz w:val="24"/>
          <w:szCs w:val="24"/>
        </w:rPr>
        <w:t xml:space="preserve">应满足GB/T </w:t>
      </w:r>
      <w:r>
        <w:rPr>
          <w:rFonts w:hint="default" w:ascii="Times New Roman" w:hAnsi="Times New Roman" w:eastAsia="宋体" w:cs="Times New Roman"/>
          <w:color w:val="auto"/>
          <w:sz w:val="24"/>
          <w:szCs w:val="24"/>
          <w:lang w:val="en-US" w:eastAsia="zh-CN"/>
        </w:rPr>
        <w:t>33593</w:t>
      </w:r>
      <w:r>
        <w:rPr>
          <w:rFonts w:hint="default" w:ascii="Times New Roman" w:hAnsi="Times New Roman" w:eastAsia="宋体" w:cs="Times New Roman"/>
          <w:color w:val="auto"/>
          <w:sz w:val="24"/>
          <w:szCs w:val="24"/>
        </w:rPr>
        <w:t>的要求。</w:t>
      </w:r>
    </w:p>
    <w:p w14:paraId="20F16131">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2.6.3 脱网后要求</w:t>
      </w:r>
      <w:r>
        <w:rPr>
          <w:rFonts w:hint="default" w:ascii="Times New Roman" w:hAnsi="Times New Roman" w:eastAsia="宋体" w:cs="Times New Roman"/>
          <w:b/>
          <w:bCs/>
          <w:color w:val="auto"/>
          <w:kern w:val="0"/>
          <w:sz w:val="24"/>
          <w:szCs w:val="24"/>
          <w:lang w:val="en-US" w:eastAsia="zh-CN" w:bidi="ar"/>
        </w:rPr>
        <w:tab/>
      </w:r>
    </w:p>
    <w:p w14:paraId="6A5457F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系统发生扰动脱网后，在电网电压和频率恢复到正常运行范围之前</w:t>
      </w:r>
      <w:r>
        <w:rPr>
          <w:rFonts w:hint="default" w:ascii="Times New Roman" w:hAnsi="Times New Roman" w:eastAsia="宋体" w:cs="Times New Roman"/>
          <w:color w:val="auto"/>
          <w:sz w:val="24"/>
          <w:szCs w:val="24"/>
          <w:lang w:eastAsia="zh-CN"/>
        </w:rPr>
        <w:t>分布式光伏储能系统</w:t>
      </w:r>
      <w:r>
        <w:rPr>
          <w:rFonts w:hint="default" w:ascii="Times New Roman" w:hAnsi="Times New Roman" w:eastAsia="宋体" w:cs="Times New Roman"/>
          <w:color w:val="auto"/>
          <w:sz w:val="24"/>
          <w:szCs w:val="24"/>
        </w:rPr>
        <w:t>不允许并网。在电网电压和频率恢复正常后，</w:t>
      </w:r>
      <w:r>
        <w:rPr>
          <w:rFonts w:hint="default" w:ascii="Times New Roman" w:hAnsi="Times New Roman" w:eastAsia="宋体" w:cs="Times New Roman"/>
          <w:color w:val="auto"/>
          <w:sz w:val="24"/>
          <w:szCs w:val="24"/>
          <w:lang w:eastAsia="zh-CN"/>
        </w:rPr>
        <w:t>分布式光伏储能系统</w:t>
      </w:r>
      <w:r>
        <w:rPr>
          <w:rFonts w:hint="default" w:ascii="Times New Roman" w:hAnsi="Times New Roman" w:eastAsia="宋体" w:cs="Times New Roman"/>
          <w:color w:val="auto"/>
          <w:sz w:val="24"/>
          <w:szCs w:val="24"/>
        </w:rPr>
        <w:t>需要经过一定延时后才能重新并网，延时值应在20</w:t>
      </w:r>
      <w:r>
        <w:rPr>
          <w:rFonts w:hint="default" w:ascii="Times New Roman" w:hAnsi="Times New Roman" w:eastAsia="宋体" w:cs="Times New Roman"/>
          <w:color w:val="auto"/>
          <w:sz w:val="24"/>
          <w:szCs w:val="24"/>
          <w:lang w:val="en-US" w:eastAsia="zh-CN"/>
        </w:rPr>
        <w:t>s-</w:t>
      </w:r>
      <w:r>
        <w:rPr>
          <w:rFonts w:hint="default" w:ascii="Times New Roman" w:hAnsi="Times New Roman" w:eastAsia="宋体" w:cs="Times New Roman"/>
          <w:color w:val="auto"/>
          <w:sz w:val="24"/>
          <w:szCs w:val="24"/>
        </w:rPr>
        <w:t>5min范围内可调</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具体由电网调度机构给定。</w:t>
      </w:r>
    </w:p>
    <w:p w14:paraId="33F1DAEB">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2.6.4 防孤岛要求</w:t>
      </w:r>
    </w:p>
    <w:p w14:paraId="265B826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分布式光伏储能系统</w:t>
      </w:r>
      <w:r>
        <w:rPr>
          <w:rFonts w:hint="default" w:ascii="Times New Roman" w:hAnsi="Times New Roman" w:eastAsia="宋体" w:cs="Times New Roman"/>
          <w:color w:val="auto"/>
          <w:sz w:val="24"/>
          <w:szCs w:val="24"/>
        </w:rPr>
        <w:t>应具备快速监测孤岛且立即断开与电网连接的能力，防孤岛保护动作时间不大于2s</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 xml:space="preserve">防孤岛保护应与配电网侧线路保护相配合。 </w:t>
      </w:r>
      <w:r>
        <w:rPr>
          <w:rFonts w:hint="default" w:ascii="Times New Roman" w:hAnsi="Times New Roman" w:eastAsia="宋体" w:cs="Times New Roman"/>
          <w:color w:val="auto"/>
          <w:sz w:val="24"/>
          <w:szCs w:val="24"/>
          <w:lang w:eastAsia="zh-CN"/>
        </w:rPr>
        <w:tab/>
      </w:r>
    </w:p>
    <w:p w14:paraId="2EDAF08C">
      <w:pPr>
        <w:pStyle w:val="3"/>
        <w:bidi w:val="0"/>
        <w:rPr>
          <w:rFonts w:hint="default"/>
          <w:color w:val="auto"/>
          <w:lang w:val="en-US" w:eastAsia="zh-CN"/>
        </w:rPr>
      </w:pPr>
      <w:bookmarkStart w:id="15" w:name="_Toc9753"/>
      <w:r>
        <w:rPr>
          <w:rFonts w:hint="default"/>
          <w:color w:val="auto"/>
          <w:lang w:val="en-US" w:eastAsia="zh-CN"/>
        </w:rPr>
        <w:t>2.7 通信和信息</w:t>
      </w:r>
      <w:bookmarkEnd w:id="15"/>
    </w:p>
    <w:p w14:paraId="283A349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color w:val="auto"/>
          <w:sz w:val="24"/>
          <w:szCs w:val="24"/>
          <w:lang w:val="en-US" w:eastAsia="zh-CN"/>
        </w:rPr>
        <w:t>通过10（20）kV 电压等级并网的分布式光伏储能系统应具备与电网调度机构之间进行数据通信的能力。通信方式和信息传输由双方协商一致后作出规定，包括互相提供的信号种类、提供信号的方式和实时性要求等。</w:t>
      </w:r>
    </w:p>
    <w:p w14:paraId="1F8CD0BF">
      <w:pPr>
        <w:pStyle w:val="3"/>
        <w:bidi w:val="0"/>
        <w:rPr>
          <w:rFonts w:hint="default"/>
          <w:color w:val="auto"/>
          <w:lang w:val="en-US" w:eastAsia="zh-CN"/>
        </w:rPr>
      </w:pPr>
      <w:bookmarkStart w:id="16" w:name="_Toc12500"/>
      <w:r>
        <w:rPr>
          <w:rFonts w:hint="default"/>
          <w:color w:val="auto"/>
          <w:lang w:val="en-US" w:eastAsia="zh-CN"/>
        </w:rPr>
        <w:t>2.8 电能计量</w:t>
      </w:r>
      <w:bookmarkEnd w:id="16"/>
    </w:p>
    <w:p w14:paraId="690E2F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kern w:val="0"/>
          <w:sz w:val="24"/>
          <w:szCs w:val="24"/>
          <w:lang w:val="en-US" w:eastAsia="zh-CN" w:bidi="ar"/>
        </w:rPr>
        <w:t xml:space="preserve">2.8.1 </w:t>
      </w:r>
      <w:r>
        <w:rPr>
          <w:rFonts w:hint="default" w:ascii="Times New Roman" w:hAnsi="Times New Roman" w:eastAsia="宋体" w:cs="Times New Roman"/>
          <w:color w:val="auto"/>
          <w:kern w:val="0"/>
          <w:sz w:val="24"/>
          <w:szCs w:val="24"/>
          <w:lang w:val="en-US" w:eastAsia="zh-CN" w:bidi="ar"/>
        </w:rPr>
        <w:t>分布式光伏储能系统</w:t>
      </w:r>
      <w:r>
        <w:rPr>
          <w:rFonts w:hint="default" w:ascii="Times New Roman" w:hAnsi="Times New Roman" w:eastAsia="宋体" w:cs="Times New Roman"/>
          <w:b w:val="0"/>
          <w:bCs w:val="0"/>
          <w:color w:val="auto"/>
          <w:kern w:val="0"/>
          <w:sz w:val="24"/>
          <w:szCs w:val="24"/>
          <w:lang w:val="en-US" w:eastAsia="zh-CN" w:bidi="ar"/>
        </w:rPr>
        <w:t xml:space="preserve">接入电网前，应明确计量点，计量点位置应综合考虑，应考虑到产权分界点，电源并网点，自用电线路等多方面因素。 </w:t>
      </w:r>
    </w:p>
    <w:p w14:paraId="143D21B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b w:val="0"/>
          <w:bCs w:val="0"/>
          <w:color w:val="auto"/>
          <w:kern w:val="0"/>
          <w:sz w:val="24"/>
          <w:szCs w:val="24"/>
          <w:lang w:val="en-US" w:eastAsia="zh-CN" w:bidi="ar"/>
        </w:rPr>
        <w:t xml:space="preserve">2.8.2 分布式电源计量点应装设双向电能计量装置，设备配置要求和技术要求应符DL/T448的相关规定。 </w:t>
      </w:r>
    </w:p>
    <w:p w14:paraId="61D8215B">
      <w:pPr>
        <w:pStyle w:val="3"/>
        <w:bidi w:val="0"/>
        <w:rPr>
          <w:rFonts w:hint="default"/>
          <w:color w:val="auto"/>
        </w:rPr>
      </w:pPr>
      <w:bookmarkStart w:id="17" w:name="_Toc19571"/>
      <w:r>
        <w:rPr>
          <w:rFonts w:hint="default"/>
          <w:color w:val="auto"/>
          <w:lang w:val="en-US" w:eastAsia="zh-CN"/>
        </w:rPr>
        <w:t>2.9 并网检测</w:t>
      </w:r>
      <w:bookmarkEnd w:id="17"/>
      <w:r>
        <w:rPr>
          <w:rFonts w:hint="default"/>
          <w:color w:val="auto"/>
          <w:lang w:val="en-US" w:eastAsia="zh-CN"/>
        </w:rPr>
        <w:t xml:space="preserve"> </w:t>
      </w:r>
    </w:p>
    <w:p w14:paraId="4AC3BAC1">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 xml:space="preserve">2.9.1 检测要求 </w:t>
      </w:r>
    </w:p>
    <w:p w14:paraId="5150A892">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 xml:space="preserve">2.9.1.1 </w:t>
      </w:r>
      <w:r>
        <w:rPr>
          <w:rFonts w:hint="default" w:ascii="Times New Roman" w:hAnsi="Times New Roman" w:eastAsia="宋体" w:cs="Times New Roman"/>
          <w:color w:val="auto"/>
          <w:kern w:val="0"/>
          <w:sz w:val="24"/>
          <w:szCs w:val="24"/>
          <w:lang w:val="en-US" w:eastAsia="zh-CN" w:bidi="ar"/>
        </w:rPr>
        <w:t>分布式光伏储能系统应当在该系统全容量并网运行后6个月内向电网企业提供相关并网检测报告。</w:t>
      </w:r>
    </w:p>
    <w:p w14:paraId="0835D10C">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 xml:space="preserve">2.9.1.2 </w:t>
      </w:r>
      <w:r>
        <w:rPr>
          <w:rFonts w:hint="default" w:ascii="Times New Roman" w:hAnsi="Times New Roman" w:eastAsia="宋体" w:cs="Times New Roman"/>
          <w:color w:val="auto"/>
          <w:kern w:val="0"/>
          <w:sz w:val="24"/>
          <w:szCs w:val="24"/>
          <w:lang w:val="en-US" w:eastAsia="zh-CN" w:bidi="ar"/>
        </w:rPr>
        <w:t xml:space="preserve">分布式光伏储能系统接入电网的检测点为分布式光伏储能系统并网点，应由具备相应资质的机构进行检测，并在检测前将检测方案报所接入电网企业备案。 </w:t>
      </w:r>
    </w:p>
    <w:p w14:paraId="2CF5EA7C">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 xml:space="preserve">2.9.2 检测内容 </w:t>
      </w:r>
    </w:p>
    <w:p w14:paraId="1334FC85">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检测应按照国家或有关行业对分布式光伏储能系统并网运行制定的相关标准或规定进行，应包括 </w:t>
      </w:r>
    </w:p>
    <w:p w14:paraId="0E651AD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但不仅限于以下内容： </w:t>
      </w:r>
    </w:p>
    <w:p w14:paraId="199A57A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a) 电能质量检测； </w:t>
      </w:r>
    </w:p>
    <w:p w14:paraId="5BF75D0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b) 有功功率控制调节能力检测；</w:t>
      </w:r>
    </w:p>
    <w:p w14:paraId="1BA815C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0"/>
          <w:sz w:val="24"/>
          <w:szCs w:val="24"/>
          <w:lang w:val="en-US" w:eastAsia="zh-CN" w:bidi="ar"/>
        </w:rPr>
        <w:t>c) 无功电压控制调节能力检测；</w:t>
      </w:r>
    </w:p>
    <w:p w14:paraId="074683F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 xml:space="preserve">d) 并网运行适应性检测； </w:t>
      </w:r>
    </w:p>
    <w:p w14:paraId="25FE221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kern w:val="0"/>
          <w:sz w:val="24"/>
          <w:szCs w:val="24"/>
          <w:lang w:val="en-US" w:eastAsia="zh-CN" w:bidi="ar"/>
        </w:rPr>
        <w:t>e) 安全与保护功能检测。</w:t>
      </w:r>
    </w:p>
    <w:p w14:paraId="70A3C4B2">
      <w:pPr>
        <w:pStyle w:val="2"/>
        <w:bidi w:val="0"/>
        <w:rPr>
          <w:rFonts w:hint="default"/>
          <w:color w:val="auto"/>
        </w:rPr>
      </w:pPr>
      <w:bookmarkStart w:id="18" w:name="_Toc2902"/>
      <w:r>
        <w:rPr>
          <w:rFonts w:hint="default"/>
          <w:color w:val="auto"/>
        </w:rPr>
        <w:t>三、采用国际标准的程度及水平</w:t>
      </w:r>
      <w:bookmarkEnd w:id="18"/>
    </w:p>
    <w:p w14:paraId="1D21653B">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对国际、国内标准进行了广泛的查阅和评估，目前暂无本方面的标准。本标准在制定过程中坚持科学性、有效性和前瞻性，总结了分布式光伏储能系统并网技术的规范要求，具有较好的工程推广价值。</w:t>
      </w:r>
    </w:p>
    <w:p w14:paraId="59714390">
      <w:pPr>
        <w:pStyle w:val="2"/>
        <w:bidi w:val="0"/>
        <w:rPr>
          <w:rFonts w:hint="default"/>
          <w:color w:val="auto"/>
        </w:rPr>
      </w:pPr>
      <w:bookmarkStart w:id="19" w:name="_Toc2521"/>
      <w:r>
        <w:rPr>
          <w:rFonts w:hint="default"/>
          <w:color w:val="auto"/>
        </w:rPr>
        <w:t>四、重大</w:t>
      </w:r>
      <w:r>
        <w:rPr>
          <w:rFonts w:hint="eastAsia"/>
          <w:color w:val="auto"/>
          <w:lang w:eastAsia="zh-CN"/>
        </w:rPr>
        <w:t>分歧意见</w:t>
      </w:r>
      <w:r>
        <w:rPr>
          <w:rFonts w:hint="default"/>
          <w:color w:val="auto"/>
        </w:rPr>
        <w:t>的处理经过和依据</w:t>
      </w:r>
      <w:bookmarkEnd w:id="19"/>
    </w:p>
    <w:p w14:paraId="42196B4D">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无。</w:t>
      </w:r>
    </w:p>
    <w:p w14:paraId="6415CE1A">
      <w:pPr>
        <w:pStyle w:val="2"/>
        <w:bidi w:val="0"/>
        <w:rPr>
          <w:rFonts w:hint="default"/>
          <w:color w:val="auto"/>
        </w:rPr>
      </w:pPr>
      <w:bookmarkStart w:id="20" w:name="_Toc19325"/>
      <w:r>
        <w:rPr>
          <w:rFonts w:hint="default"/>
          <w:color w:val="auto"/>
        </w:rPr>
        <w:t>五、其它应予说明的事项</w:t>
      </w:r>
      <w:bookmarkEnd w:id="20"/>
    </w:p>
    <w:p w14:paraId="5A7A06C7">
      <w:pPr>
        <w:spacing w:line="360" w:lineRule="auto"/>
        <w:ind w:firstLine="480" w:firstLineChars="200"/>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24"/>
          <w:szCs w:val="24"/>
          <w:lang w:val="en-US" w:eastAsia="zh-CN"/>
        </w:rPr>
        <w:t>无。</w:t>
      </w:r>
    </w:p>
    <w:p w14:paraId="4E2685B5">
      <w:pPr>
        <w:rPr>
          <w:rFonts w:hint="default" w:ascii="Times New Roman" w:hAnsi="Times New Roman" w:eastAsia="宋体" w:cs="Times New Roman"/>
          <w:color w:val="auto"/>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F9E3E">
    <w:pPr>
      <w:pStyle w:val="4"/>
      <w:jc w:val="center"/>
    </w:pPr>
  </w:p>
  <w:p w14:paraId="5F5B219E">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9F8CB">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15330">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115330">
                    <w:pPr>
                      <w:pStyle w:val="4"/>
                    </w:pPr>
                    <w:r>
                      <w:fldChar w:fldCharType="begin"/>
                    </w:r>
                    <w:r>
                      <w:instrText xml:space="preserve"> PAGE  \* MERGEFORMAT </w:instrText>
                    </w:r>
                    <w:r>
                      <w:fldChar w:fldCharType="separate"/>
                    </w:r>
                    <w:r>
                      <w:t>3</w:t>
                    </w:r>
                    <w:r>
                      <w:fldChar w:fldCharType="end"/>
                    </w:r>
                  </w:p>
                </w:txbxContent>
              </v:textbox>
            </v:shape>
          </w:pict>
        </mc:Fallback>
      </mc:AlternateContent>
    </w:r>
  </w:p>
  <w:p w14:paraId="5B4F5F23">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CD5CD"/>
    <w:multiLevelType w:val="singleLevel"/>
    <w:tmpl w:val="AEFCD5CD"/>
    <w:lvl w:ilvl="0" w:tentative="0">
      <w:start w:val="1"/>
      <w:numFmt w:val="chineseCounting"/>
      <w:suff w:val="nothing"/>
      <w:lvlText w:val="%1、"/>
      <w:lvlJc w:val="left"/>
      <w:rPr>
        <w:rFonts w:hint="eastAsia"/>
      </w:rPr>
    </w:lvl>
  </w:abstractNum>
  <w:abstractNum w:abstractNumId="1">
    <w:nsid w:val="00000013"/>
    <w:multiLevelType w:val="multilevel"/>
    <w:tmpl w:val="00000013"/>
    <w:lvl w:ilvl="0" w:tentative="0">
      <w:start w:val="1"/>
      <w:numFmt w:val="none"/>
      <w:pStyle w:val="12"/>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21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898"/>
    <w:rsid w:val="000E6898"/>
    <w:rsid w:val="004531BA"/>
    <w:rsid w:val="040569E0"/>
    <w:rsid w:val="08521EE9"/>
    <w:rsid w:val="0C3703FE"/>
    <w:rsid w:val="10EC50C5"/>
    <w:rsid w:val="1BB93645"/>
    <w:rsid w:val="2EEB534C"/>
    <w:rsid w:val="356847E1"/>
    <w:rsid w:val="381A58BA"/>
    <w:rsid w:val="3BBC7AEA"/>
    <w:rsid w:val="40521924"/>
    <w:rsid w:val="422E23F6"/>
    <w:rsid w:val="48FF12D0"/>
    <w:rsid w:val="4E2240D2"/>
    <w:rsid w:val="5DC55113"/>
    <w:rsid w:val="61A3613F"/>
    <w:rsid w:val="61D201D5"/>
    <w:rsid w:val="61D33DF6"/>
    <w:rsid w:val="668A0D0A"/>
    <w:rsid w:val="7CB52772"/>
    <w:rsid w:val="7EEC7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9"/>
    <w:pPr>
      <w:keepNext/>
      <w:keepLines/>
      <w:spacing w:before="100" w:beforeLines="0" w:beforeAutospacing="0" w:after="100" w:afterLines="0" w:afterAutospacing="0" w:line="360" w:lineRule="auto"/>
      <w:outlineLvl w:val="0"/>
    </w:pPr>
    <w:rPr>
      <w:b/>
      <w:kern w:val="44"/>
      <w:sz w:val="30"/>
    </w:rPr>
  </w:style>
  <w:style w:type="paragraph" w:styleId="3">
    <w:name w:val="heading 2"/>
    <w:basedOn w:val="1"/>
    <w:next w:val="1"/>
    <w:link w:val="14"/>
    <w:unhideWhenUsed/>
    <w:qFormat/>
    <w:uiPriority w:val="9"/>
    <w:pPr>
      <w:keepNext/>
      <w:keepLines/>
      <w:spacing w:beforeLines="0" w:beforeAutospacing="0" w:afterLines="0" w:afterAutospacing="0" w:line="360" w:lineRule="auto"/>
      <w:outlineLvl w:val="1"/>
    </w:pPr>
    <w:rPr>
      <w:rFonts w:ascii="Arial" w:hAnsi="Arial" w:eastAsia="宋体"/>
      <w:b/>
      <w:sz w:val="2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nhideWhenUsed/>
    <w:qFormat/>
    <w:uiPriority w:val="39"/>
  </w:style>
  <w:style w:type="paragraph" w:styleId="7">
    <w:name w:val="toc 2"/>
    <w:basedOn w:val="1"/>
    <w:next w:val="1"/>
    <w:qFormat/>
    <w:uiPriority w:val="39"/>
    <w:pPr>
      <w:spacing w:line="240" w:lineRule="auto"/>
      <w:ind w:left="420" w:leftChars="200"/>
    </w:pPr>
    <w:rPr>
      <w:rFonts w:eastAsia="宋体"/>
    </w:rPr>
  </w:style>
  <w:style w:type="paragraph" w:styleId="8">
    <w:name w:val="Title"/>
    <w:basedOn w:val="1"/>
    <w:next w:val="1"/>
    <w:qFormat/>
    <w:uiPriority w:val="0"/>
    <w:pPr>
      <w:spacing w:before="240" w:after="60"/>
      <w:jc w:val="center"/>
      <w:outlineLvl w:val="0"/>
    </w:pPr>
    <w:rPr>
      <w:rFonts w:ascii="Cambria" w:hAnsi="Cambria" w:cs="Times New Roman"/>
      <w:b/>
      <w:bCs/>
      <w:sz w:val="32"/>
      <w:szCs w:val="32"/>
    </w:rPr>
  </w:style>
  <w:style w:type="paragraph" w:customStyle="1" w:styleId="11">
    <w:name w:val="目次、标准名称标题"/>
    <w:basedOn w:val="12"/>
    <w:next w:val="13"/>
    <w:qFormat/>
    <w:uiPriority w:val="0"/>
    <w:pPr>
      <w:numPr>
        <w:numId w:val="0"/>
      </w:numPr>
      <w:spacing w:line="460" w:lineRule="exact"/>
    </w:pPr>
  </w:style>
  <w:style w:type="paragraph" w:customStyle="1" w:styleId="12">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4">
    <w:name w:val="标题 2 Char"/>
    <w:link w:val="3"/>
    <w:qFormat/>
    <w:uiPriority w:val="0"/>
    <w:rPr>
      <w:rFonts w:ascii="Arial" w:hAnsi="Arial" w:eastAsia="宋体"/>
      <w:b/>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2991</Words>
  <Characters>3484</Characters>
  <Lines>1</Lines>
  <Paragraphs>1</Paragraphs>
  <TotalTime>0</TotalTime>
  <ScaleCrop>false</ScaleCrop>
  <LinksUpToDate>false</LinksUpToDate>
  <CharactersWithSpaces>3629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2019-05-15T02:42:00Z</dcterms:created>
  <dc:creator>gyzyw</dc:creator>
  <cp:lastModifiedBy>Elaine</cp:lastModifiedBy>
  <dcterms:modified xsi:type="dcterms:W3CDTF">2025-12-18T08:22:46Z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eyJoZGlkIjoiNjkxNGY5M2RiODBhODE3ZjhkNTllYmVlNWFjMTJhZjciLCJ1c2VySWQiOiIyNzY4MTIxMTQifQ==</vt:lpwstr>
  </property>
  <property fmtid="{D5CDD505-2E9C-101B-9397-08002B2CF9AE}" pid="3" name="KSOProductBuildVer">
    <vt:lpwstr>2052-12.1.0.24034</vt:lpwstr>
  </property>
  <property fmtid="{D5CDD505-2E9C-101B-9397-08002B2CF9AE}" pid="4" name="ICV">
    <vt:lpwstr>B25D077078A84F54BC82C76875C73C6B_12</vt:lpwstr>
  </property>
</Properties>
</file>