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5C301">
      <w:pPr>
        <w:adjustRightInd w:val="0"/>
        <w:snapToGrid w:val="0"/>
        <w:spacing w:before="0" w:after="0" w:line="360" w:lineRule="auto"/>
        <w:jc w:val="center"/>
        <w:rPr>
          <w:rFonts w:ascii="黑体" w:hAnsi="Times New Roman" w:eastAsia="黑体" w:cs="Times New Roman"/>
          <w:sz w:val="32"/>
          <w:szCs w:val="32"/>
        </w:rPr>
      </w:pPr>
      <w:r>
        <w:rPr>
          <w:rFonts w:hint="eastAsia" w:ascii="黑体" w:hAnsi="Times New Roman" w:eastAsia="黑体" w:cs="Times New Roman"/>
          <w:sz w:val="32"/>
          <w:szCs w:val="32"/>
        </w:rPr>
        <w:t>《电力设备在线监测与智能诊断装置技术要求》</w:t>
      </w:r>
    </w:p>
    <w:p w14:paraId="19B5C302">
      <w:pPr>
        <w:adjustRightInd w:val="0"/>
        <w:snapToGrid w:val="0"/>
        <w:spacing w:before="0" w:after="0" w:line="360" w:lineRule="auto"/>
        <w:jc w:val="center"/>
        <w:rPr>
          <w:rFonts w:ascii="黑体" w:hAnsi="Times New Roman" w:eastAsia="黑体" w:cs="Times New Roman"/>
          <w:sz w:val="32"/>
          <w:szCs w:val="32"/>
        </w:rPr>
      </w:pPr>
      <w:r>
        <w:rPr>
          <w:rFonts w:hint="eastAsia" w:ascii="黑体" w:hAnsi="Times New Roman" w:eastAsia="黑体" w:cs="Times New Roman"/>
          <w:sz w:val="32"/>
          <w:szCs w:val="32"/>
        </w:rPr>
        <w:t>（征求意见稿）编制说明</w:t>
      </w:r>
    </w:p>
    <w:p w14:paraId="19B5C303">
      <w:pPr>
        <w:adjustRightInd w:val="0"/>
        <w:spacing w:before="156" w:beforeLines="50" w:after="156" w:afterLines="50" w:line="360" w:lineRule="auto"/>
        <w:outlineLvl w:val="0"/>
        <w:rPr>
          <w:rFonts w:ascii="宋体" w:hAnsi="宋体" w:eastAsia="宋体" w:cs="宋体"/>
          <w:sz w:val="24"/>
        </w:rPr>
      </w:pPr>
      <w:r>
        <w:rPr>
          <w:rFonts w:hint="eastAsia" w:ascii="宋体" w:hAnsi="宋体" w:eastAsia="宋体" w:cs="Times New Roman"/>
          <w:b/>
          <w:bCs/>
          <w:sz w:val="24"/>
        </w:rPr>
        <w:t>一、工作简况</w:t>
      </w:r>
    </w:p>
    <w:p w14:paraId="19B5C304">
      <w:pPr>
        <w:adjustRightInd w:val="0"/>
        <w:spacing w:before="0" w:after="0" w:line="360" w:lineRule="auto"/>
        <w:outlineLvl w:val="1"/>
        <w:rPr>
          <w:rFonts w:ascii="宋体" w:hAnsi="宋体" w:eastAsia="宋体" w:cs="宋体"/>
          <w:sz w:val="24"/>
        </w:rPr>
      </w:pPr>
      <w:r>
        <w:rPr>
          <w:rFonts w:hint="eastAsia" w:ascii="宋体" w:hAnsi="宋体" w:eastAsia="宋体" w:cs="宋体"/>
          <w:sz w:val="24"/>
        </w:rPr>
        <w:t>（一）任务来源</w:t>
      </w:r>
    </w:p>
    <w:p w14:paraId="19B5C305">
      <w:pPr>
        <w:adjustRightInd w:val="0"/>
        <w:spacing w:before="0" w:after="0" w:line="360" w:lineRule="auto"/>
        <w:ind w:firstLine="480" w:firstLineChars="200"/>
        <w:rPr>
          <w:rFonts w:hint="eastAsia" w:ascii="宋体" w:hAnsi="宋体" w:eastAsia="宋体" w:cs="宋体"/>
          <w:color w:val="0000FF"/>
          <w:sz w:val="24"/>
          <w:highlight w:val="none"/>
        </w:rPr>
      </w:pPr>
      <w:r>
        <w:rPr>
          <w:rFonts w:hint="eastAsia" w:ascii="宋体" w:hAnsi="宋体" w:eastAsia="宋体" w:cs="宋体"/>
          <w:sz w:val="24"/>
          <w:highlight w:val="none"/>
        </w:rPr>
        <w:t>由中国电子节能技术协会</w:t>
      </w:r>
      <w:r>
        <w:rPr>
          <w:rFonts w:hint="eastAsia" w:ascii="宋体" w:hAnsi="宋体" w:eastAsia="宋体" w:cs="宋体"/>
          <w:sz w:val="24"/>
          <w:highlight w:val="none"/>
          <w:lang w:val="en-US" w:eastAsia="zh-CN"/>
        </w:rPr>
        <w:t>归口管理的</w:t>
      </w:r>
      <w:r>
        <w:rPr>
          <w:rFonts w:hint="eastAsia" w:ascii="宋体" w:hAnsi="宋体" w:eastAsia="宋体" w:cs="宋体"/>
          <w:sz w:val="24"/>
          <w:highlight w:val="none"/>
        </w:rPr>
        <w:t>《电力设备在线监测与智能诊断装置技术要求》（计划号：JH/T/DZJN100-2025）的编制工作。</w:t>
      </w:r>
    </w:p>
    <w:p w14:paraId="19B5C306">
      <w:pPr>
        <w:adjustRightInd w:val="0"/>
        <w:spacing w:before="0" w:after="0" w:line="360" w:lineRule="auto"/>
        <w:outlineLvl w:val="1"/>
        <w:rPr>
          <w:rFonts w:ascii="宋体" w:hAnsi="宋体" w:eastAsia="宋体" w:cs="宋体"/>
          <w:sz w:val="24"/>
        </w:rPr>
      </w:pPr>
      <w:r>
        <w:rPr>
          <w:rFonts w:hint="eastAsia" w:ascii="宋体" w:hAnsi="宋体" w:eastAsia="宋体" w:cs="宋体"/>
          <w:sz w:val="24"/>
        </w:rPr>
        <w:t>（二）主要工作过程</w:t>
      </w:r>
    </w:p>
    <w:p w14:paraId="5BB2B87A">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highlight w:val="none"/>
        </w:rPr>
        <w:t>2025年</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sz w:val="24"/>
          <w:highlight w:val="none"/>
        </w:rPr>
        <w:t>月</w:t>
      </w:r>
      <w:bookmarkStart w:id="0" w:name="_GoBack"/>
      <w:bookmarkEnd w:id="0"/>
      <w:r>
        <w:rPr>
          <w:rFonts w:hint="eastAsia" w:ascii="宋体" w:hAnsi="宋体" w:eastAsia="宋体" w:cs="宋体"/>
          <w:sz w:val="24"/>
        </w:rPr>
        <w:t>，起草单位组建了标准编制组，明确了各单位职责，召开首次工作会议，确定标准编制大纲和进度计划。随后，编制组多次召开工作会议，通过现场调研、技术走访、设备测试、文献查阅、运行案例分析及专家座谈等多种方式开展系统调查研究，对电力设备在线监测与智能诊断装置的产业现状、典型应用场景、关键监测参数、智能识别需求、通信与数据处理模式及工程化部署要求进行了全面分析。重点开展了变压器、断路器、电缆、开关柜等典型一次设备的在线监测系统与智能诊断平台的调研工作。在调研过程中，编制组收集了大量来自电网企业、设备制造企业和科研机构的监测数据与工程应用案例，涵盖不同监测技术路线（如光纤传感、超声、局部放电、电参量监测、气体监测等）、不同安装结构、不同通信方式以及不同AI诊断算法策略的装备样例。通过对监测精度、采样频率、响应时间、诊断模型准确度、数据完整性、抗干扰性能及现场运行可靠性的深入分析，系统梳理了在线监测参数体系、智能诊断算法构建逻辑以及影响监测与识别准确性的关键因素，明确了提升设备智能化水平、系统联动能力和长期运行可靠性的关键技术方向。同时，编制组对国内外相关标准、技术规范及测试评价体系进行了系统比对研究，参考了国际组织在电力装备状态监测、故障诊断、安全通信及数据模型方面的先进技术要求，并结合我国电力系统在智能监测与智能运维实践中的技术积累，构建了在线监测与智能诊断装置的总体技术要求框架、关键性能指标体系以及功能验证与环境适应性试验方法。</w:t>
      </w:r>
    </w:p>
    <w:p w14:paraId="69171FE6">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在充分调研和深入分析的基础上，编制组于2025年11月开始撰写标准草案，并组织召开多场技术内容研讨会，重点讨论监测功能要求、AI诊断算法验证方法、数据安全要求与通信接口一致性等关键问题，最终形成标准的主要技术框架。撰写过程中，成员依据调研结果和行业运行需求，对标准各章节条款进行了多轮论证、补充和修改，确保标准内容的科学性、工程适用性和可操作性。经过多次内部技术审核与文本优化，于2025年11月，编制组最终形成了《电力设备在线监测与智能诊断装置技术要求》标准的征求意见稿。</w:t>
      </w:r>
    </w:p>
    <w:p w14:paraId="19B5C30A">
      <w:p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二、标准编制原则和确定主要内容的依据及解决的主要问题</w:t>
      </w:r>
    </w:p>
    <w:p w14:paraId="19B5C30B">
      <w:pPr>
        <w:adjustRightInd w:val="0"/>
        <w:spacing w:before="0" w:after="0" w:line="360" w:lineRule="auto"/>
        <w:outlineLvl w:val="1"/>
        <w:rPr>
          <w:rFonts w:ascii="宋体" w:hAnsi="宋体" w:eastAsia="宋体" w:cs="宋体"/>
          <w:sz w:val="24"/>
        </w:rPr>
      </w:pPr>
      <w:r>
        <w:rPr>
          <w:rFonts w:hint="eastAsia" w:ascii="宋体" w:hAnsi="宋体" w:eastAsia="宋体" w:cs="宋体"/>
          <w:sz w:val="24"/>
        </w:rPr>
        <w:t>（一）编制背景和意义</w:t>
      </w:r>
    </w:p>
    <w:p w14:paraId="36F11407">
      <w:pPr>
        <w:adjustRightInd w:val="0"/>
        <w:spacing w:before="0" w:after="0" w:line="360" w:lineRule="auto"/>
        <w:ind w:firstLine="480" w:firstLineChars="200"/>
        <w:outlineLvl w:val="2"/>
        <w:rPr>
          <w:rFonts w:hint="eastAsia" w:ascii="宋体" w:hAnsi="宋体" w:eastAsia="宋体" w:cs="宋体"/>
          <w:sz w:val="24"/>
        </w:rPr>
      </w:pPr>
      <w:r>
        <w:rPr>
          <w:rFonts w:hint="eastAsia" w:ascii="宋体" w:hAnsi="宋体" w:eastAsia="宋体" w:cs="宋体"/>
          <w:sz w:val="24"/>
        </w:rPr>
        <w:t>1.编制背景</w:t>
      </w:r>
    </w:p>
    <w:p w14:paraId="25527203">
      <w:pPr>
        <w:numPr>
          <w:ilvl w:val="0"/>
          <w:numId w:val="0"/>
        </w:num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随着电力系统向数字化、智能化和状态检修方向转型，电力设备在线监测与智能诊断技术已成为保障电网安全稳定运行的重要技术手段。在线监测装置可实时采集关键状态参数，智能诊断系统可基于多源数据进行设备健康评估、故障预测与运行风险识别，为实现设备全生命周期管理和主动运维提供支撑。尤其在“双碳目标”、电网智能化升级及新能源高比例接入的背景下，对在线监测与智能诊断装置的性能、稳定性及互联互通能力提出了更高要求。行业整体呈现以下特点：</w:t>
      </w:r>
    </w:p>
    <w:p w14:paraId="2A1BACE7">
      <w:pPr>
        <w:numPr>
          <w:ilvl w:val="0"/>
          <w:numId w:val="1"/>
        </w:num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监测与诊断技术路线多样，影响因素复杂</w:t>
      </w:r>
      <w:r>
        <w:rPr>
          <w:rFonts w:hint="eastAsia" w:ascii="宋体" w:hAnsi="宋体" w:eastAsia="宋体" w:cs="宋体"/>
          <w:sz w:val="24"/>
          <w:lang w:eastAsia="zh-CN"/>
        </w:rPr>
        <w:t>：电力设备在线监测涉及电参量测量、局部放电监测、光纤温度监测、SF</w:t>
      </w:r>
      <w:r>
        <w:rPr>
          <w:rFonts w:hint="eastAsia" w:ascii="宋体" w:hAnsi="宋体" w:eastAsia="宋体" w:cs="宋体"/>
          <w:sz w:val="24"/>
          <w:vertAlign w:val="subscript"/>
          <w:lang w:val="en-US" w:eastAsia="zh-CN"/>
        </w:rPr>
        <w:t>6</w:t>
      </w:r>
      <w:r>
        <w:rPr>
          <w:rFonts w:hint="eastAsia" w:ascii="宋体" w:hAnsi="宋体" w:eastAsia="宋体" w:cs="宋体"/>
          <w:sz w:val="24"/>
          <w:lang w:eastAsia="zh-CN"/>
        </w:rPr>
        <w:t>气体监测、振动与超声检测、开关动作特性监测等多类技术，涵盖采样电路、传感器布置、数据融合算法、通信与边缘处理等多个环节。监测精度、抗干扰能力、响应速度受设备结构、安装方式、电磁环境、传感器类型、数据处理策略等多重因素影响。不同厂家采用不同监测技术路线，导致监测性能和诊断结论存在差异，对行业统一的技术要求和验证方法提出挑战。</w:t>
      </w:r>
    </w:p>
    <w:p w14:paraId="6AE8D4C1">
      <w:pPr>
        <w:numPr>
          <w:ilvl w:val="0"/>
          <w:numId w:val="1"/>
        </w:num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应用场景复杂、性能适配性要求高：在线监测与诊断装置应用于电力系统的高压、高温、高湿、强电磁干扰、振动冲击、粉尘腐蚀、局促空间等多种复杂工况。不同设备类型对监测参数体系与性能提出差异化要求。各类应用工况对通信可靠性、数据完整性、诊断算法的准确率、漏报/误报率、延时响应等提出更严苛的要求，因此迫切需要系统化、可评价、可验证的技术要求。</w:t>
      </w:r>
    </w:p>
    <w:p w14:paraId="0BD7BCE4">
      <w:pPr>
        <w:numPr>
          <w:ilvl w:val="0"/>
          <w:numId w:val="1"/>
        </w:numPr>
        <w:adjustRightInd w:val="0"/>
        <w:spacing w:before="0" w:after="0" w:line="360" w:lineRule="auto"/>
        <w:ind w:left="0" w:leftChars="0" w:firstLine="480" w:firstLineChars="200"/>
        <w:rPr>
          <w:rFonts w:hint="eastAsia" w:ascii="宋体" w:hAnsi="宋体" w:eastAsia="宋体" w:cs="宋体"/>
          <w:sz w:val="24"/>
          <w:lang w:eastAsia="zh-CN"/>
        </w:rPr>
      </w:pPr>
      <w:r>
        <w:rPr>
          <w:rFonts w:hint="eastAsia" w:ascii="宋体" w:hAnsi="宋体" w:eastAsia="宋体" w:cs="宋体"/>
          <w:sz w:val="24"/>
          <w:lang w:eastAsia="zh-CN"/>
        </w:rPr>
        <w:t>材料质量参差不齐，行业迫切需要规范化：当前在线监测与智能诊断装置的研发体系和产业化水平发展迅速，但部分产品存在监测漂移、抗干扰能力不足、数据丢包率高、事件记录不完整、诊断算法稳定性不足等情况，导致在实际工程应用中出现误报、漏报或监测失效现象，影响设备运行风险判断和电网运维效率。</w:t>
      </w:r>
      <w:r>
        <w:rPr>
          <w:rFonts w:hint="eastAsia" w:ascii="宋体" w:hAnsi="宋体" w:eastAsia="宋体" w:cs="宋体"/>
          <w:sz w:val="24"/>
          <w:lang w:val="en-US" w:eastAsia="zh-CN"/>
        </w:rPr>
        <w:t>同时</w:t>
      </w:r>
      <w:r>
        <w:rPr>
          <w:rFonts w:hint="eastAsia" w:ascii="宋体" w:hAnsi="宋体" w:eastAsia="宋体" w:cs="宋体"/>
          <w:sz w:val="24"/>
          <w:lang w:eastAsia="zh-CN"/>
        </w:rPr>
        <w:t>行业缺乏统一的技术要求体系和标准化检测体系，影响装置推广应用和规模化部署。</w:t>
      </w:r>
    </w:p>
    <w:p w14:paraId="7A2A8108">
      <w:pPr>
        <w:keepNext w:val="0"/>
        <w:keepLines w:val="0"/>
        <w:pageBreakBefore w:val="0"/>
        <w:widowControl w:val="0"/>
        <w:numPr>
          <w:ilvl w:val="0"/>
          <w:numId w:val="1"/>
        </w:numPr>
        <w:kinsoku/>
        <w:wordWrap/>
        <w:overflowPunct/>
        <w:topLinePunct w:val="0"/>
        <w:autoSpaceDE/>
        <w:autoSpaceDN/>
        <w:bidi w:val="0"/>
        <w:adjustRightInd w:val="0"/>
        <w:snapToGrid/>
        <w:spacing w:before="0" w:after="0"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政策压力突出：在《“十四五”现代能源体系规划》等多项国家及行业政策推动下，电力企业全面加强设备状态监测与智能诊断体系建设，对装置的功能完整性、监测数据可溯源性、互联互通能力、网络安全保护、边缘处理能力及智能化水平提出了更高要求。电力设备在线监测与智能诊断装置作为电力装备智能化的重要基础单元，建立统一的技术要求和试验方法，对于提升我国智能感知装备水平、促进行业技术升级、保障电网安全稳定运行具有重要意义。</w:t>
      </w:r>
    </w:p>
    <w:p w14:paraId="6385D32C">
      <w:pPr>
        <w:keepNext w:val="0"/>
        <w:keepLines w:val="0"/>
        <w:pageBreakBefore w:val="0"/>
        <w:widowControl w:val="0"/>
        <w:kinsoku/>
        <w:wordWrap/>
        <w:overflowPunct/>
        <w:topLinePunct w:val="0"/>
        <w:autoSpaceDE/>
        <w:autoSpaceDN/>
        <w:bidi w:val="0"/>
        <w:adjustRightInd w:val="0"/>
        <w:snapToGrid/>
        <w:spacing w:before="0" w:after="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然而，目前行业在电力设备在线监测与智能诊断装置的研发、质量控制和性能评价方面，仍主要依赖传统电力设备监测类标准或通用传感与信息化规范，存在以下突出问题：</w:t>
      </w:r>
    </w:p>
    <w:p w14:paraId="2E96FF69">
      <w:pPr>
        <w:numPr>
          <w:ilvl w:val="0"/>
          <w:numId w:val="2"/>
        </w:numPr>
        <w:adjustRightInd w:val="0"/>
        <w:spacing w:before="0" w:after="0"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标准适用性不足</w:t>
      </w:r>
      <w:r>
        <w:rPr>
          <w:rFonts w:hint="eastAsia" w:ascii="宋体" w:hAnsi="宋体" w:eastAsia="宋体" w:cs="宋体"/>
          <w:sz w:val="24"/>
          <w:lang w:eastAsia="zh-CN"/>
        </w:rPr>
        <w:t>。现有标准多侧重于一般监测设备的基本电气性能、安全要求或单一参数的测量方法，对电力设备在线监测与智能诊断装置所特有的多参数融合监测能力、数据智能处理机制、诊断模型适配性、系统级协同功能等覆盖不足，难以满足现代电网对高可靠性、全生命周期状态感知和智能诊断的实际需求。</w:t>
      </w:r>
    </w:p>
    <w:p w14:paraId="184A11B5">
      <w:pPr>
        <w:numPr>
          <w:ilvl w:val="0"/>
          <w:numId w:val="2"/>
        </w:numPr>
        <w:adjustRightInd w:val="0"/>
        <w:spacing w:before="0"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试验与检测方法不统一。不同企业在温度、振动、局放、气体、声学、电磁等多种监测参数的测试方法、标定方式、采样精度、数据同步机制及环境适应性测试条件方面差异显著；仪器校准流程、试验工况设置以及数据处理算法不一致，导致监测结果可比性差，部分检测条件与电力设备真实运行环境不匹配，难以准确评价装置的监测有效性和诊断可靠性。</w:t>
      </w:r>
    </w:p>
    <w:p w14:paraId="32E39C09">
      <w:pPr>
        <w:numPr>
          <w:ilvl w:val="0"/>
          <w:numId w:val="2"/>
        </w:numPr>
        <w:adjustRightInd w:val="0"/>
        <w:spacing w:before="0" w:after="0" w:line="360" w:lineRule="auto"/>
        <w:ind w:left="0" w:leftChars="0" w:firstLine="480" w:firstLineChars="200"/>
        <w:rPr>
          <w:rFonts w:hint="eastAsia" w:ascii="宋体" w:hAnsi="宋体" w:eastAsia="宋体" w:cs="宋体"/>
          <w:sz w:val="24"/>
          <w:lang w:eastAsia="zh-CN"/>
        </w:rPr>
      </w:pPr>
      <w:r>
        <w:rPr>
          <w:rFonts w:hint="eastAsia" w:ascii="宋体" w:hAnsi="宋体" w:eastAsia="宋体" w:cs="宋体"/>
          <w:sz w:val="24"/>
        </w:rPr>
        <w:t>关键指标和技术要求不明确</w:t>
      </w:r>
      <w:r>
        <w:rPr>
          <w:rFonts w:hint="eastAsia" w:ascii="宋体" w:hAnsi="宋体" w:eastAsia="宋体" w:cs="宋体"/>
          <w:sz w:val="24"/>
          <w:lang w:eastAsia="zh-CN"/>
        </w:rPr>
        <w:t>。在线监测与智能诊断装置在采集精度、数据完整性、时序同步、抗电磁干扰能力、长期稳定性、诊断算法准确率、模型可解释性、接口协议兼容性及网络安全性等方面的关键指标仍缺乏统一的技术要求和验证体系。部分装置在实际运行中存在监测参数漂移、数据缺失、误报漏报、抗干扰性能不足或算法模型在复杂场景下可靠性不稳定等问题，影响电力设备状态评估的准确性与电网运行的安全性。</w:t>
      </w:r>
    </w:p>
    <w:p w14:paraId="0F5E8688">
      <w:pPr>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auto"/>
        <w:ind w:leftChars="0" w:firstLine="480" w:firstLineChars="200"/>
        <w:textAlignment w:val="auto"/>
        <w:rPr>
          <w:rFonts w:hint="eastAsia" w:ascii="宋体" w:hAnsi="宋体" w:eastAsia="宋体" w:cs="宋体"/>
          <w:sz w:val="24"/>
        </w:rPr>
      </w:pPr>
      <w:r>
        <w:rPr>
          <w:rFonts w:hint="eastAsia" w:ascii="宋体" w:hAnsi="宋体" w:eastAsia="宋体" w:cs="宋体"/>
          <w:sz w:val="24"/>
        </w:rPr>
        <w:t>4）工艺控制与材料一致性缺乏规范。在线监测与智能诊断装置在传感器封装工艺、数据采集模块设计、电源管理、边缘计算单元构建、通信协议实现、软件版本管理及系统集成流程等方面，行业内缺乏统一的工艺控制要求与一致性保证机制；企业间研发设计标准、生产流程记录方式、装置全生命周期可追溯性管理及一致性验证流程不统一，导致产品批次之间性能波动较大，影响电网现场应用、系统集成和大规模推广的工程化效果。</w:t>
      </w:r>
    </w:p>
    <w:p w14:paraId="19B5C315">
      <w:pPr>
        <w:adjustRightInd w:val="0"/>
        <w:spacing w:before="0" w:after="0" w:line="360" w:lineRule="auto"/>
        <w:ind w:firstLine="480" w:firstLineChars="200"/>
        <w:outlineLvl w:val="2"/>
      </w:pPr>
      <w:r>
        <w:rPr>
          <w:rFonts w:hint="eastAsia" w:ascii="宋体" w:hAnsi="宋体" w:eastAsia="宋体" w:cs="宋体"/>
          <w:sz w:val="24"/>
        </w:rPr>
        <w:t>2.编制意义</w:t>
      </w:r>
    </w:p>
    <w:p w14:paraId="3401F82A">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1）提升监测装备技术水平，支撑电力装备智能化与状态可视化建设</w:t>
      </w:r>
    </w:p>
    <w:p w14:paraId="497CF150">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本标准的制定是落实国家先进基础材料发展和质量提升工程的重要举措。随着催化、吸附和绿色化工产业的快速发展，大孔拟薄水铝石作为多孔氧化铝材料体系中的关键前驱体，在高性能催化剂载体、吸附材料及功能陶瓷中的作用愈发突出。通过建立大孔拟薄水铝石的统一技术要求，规范晶相纯度、孔结构参数、含水量、杂质含量、热稳定性等核心指标，有助于提升材料质量一致性，增强产业链上游基础材料的可靠性与可控性，为国家新材料体系的构建和行业高端化发展提供坚实支撑。</w:t>
      </w:r>
    </w:p>
    <w:p w14:paraId="702DED7E">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2）为装置研发、生产和系统集成提供统一依据，推动行业规范化、规模化发展</w:t>
      </w:r>
    </w:p>
    <w:p w14:paraId="0961CE21">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本标准将为生产企业与系统集成单位提供统一的设计原则、关键技术要求、模块化接口规范、试验方法及检验规则，涵盖传感器性能、电源管理、数据采集与处理、通信协议、边缘计算能力、安全防护以及系统级协同等关键环节。通过标准化手段规范研发设计和制造流程，可提升在线监测与智能诊断装置的稳定性、批次一致性和诊断结果可预测性，推动相关产品从原型验证向工程化、产业化规模应用升级，促进行业整体技术体系完善和电力装备产业链能力提升。</w:t>
      </w:r>
    </w:p>
    <w:p w14:paraId="3EC1A223">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）为监测性能验证与诊断模型评价提供科学依据，提升数据可比性与权威性</w:t>
      </w:r>
    </w:p>
    <w:p w14:paraId="7E71137B">
      <w:pPr>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auto"/>
        <w:ind w:leftChars="0" w:firstLine="480" w:firstLineChars="200"/>
        <w:textAlignment w:val="auto"/>
        <w:rPr>
          <w:rFonts w:hint="eastAsia" w:ascii="宋体" w:hAnsi="宋体" w:eastAsia="宋体" w:cs="宋体"/>
          <w:sz w:val="24"/>
        </w:rPr>
      </w:pPr>
      <w:r>
        <w:rPr>
          <w:rFonts w:hint="eastAsia" w:ascii="宋体" w:hAnsi="宋体" w:eastAsia="宋体" w:cs="宋体"/>
          <w:sz w:val="24"/>
        </w:rPr>
        <w:t>本标准对电气量、热量、振动、局放、气体、电磁场等监测参数的测试条件、测量方法、校准流程、数据处理要求及评价指标进行统一规定，同时明确智能诊断模型的训练验证原则、准确率评价方法及结果解释要求，可为设备制造商、电网企业、科研机构及第三方检测机构提供科学、可复现、可比对的性能评价体系。统一的测试与诊断验证标准能够减少因测试条件或算法差异造成的评价偏差，提高数据准确性、可溯源性和决策可靠性，为电网运维策略制定、设备健康管理和行业监管提供关键技术依据。</w:t>
      </w:r>
    </w:p>
    <w:p w14:paraId="316CE76E">
      <w:pPr>
        <w:numPr>
          <w:ilvl w:val="0"/>
          <w:numId w:val="2"/>
        </w:numPr>
        <w:adjustRightInd w:val="0"/>
        <w:spacing w:before="0" w:after="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促进在线监测与智能诊断技术在多场景应用拓展，推动电力装备智能化高质量发展</w:t>
      </w:r>
    </w:p>
    <w:p w14:paraId="098808E8">
      <w:pPr>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auto"/>
        <w:ind w:leftChars="0" w:firstLine="480" w:firstLineChars="200"/>
        <w:textAlignment w:val="auto"/>
        <w:rPr>
          <w:rFonts w:hint="eastAsia" w:ascii="宋体" w:hAnsi="宋体" w:eastAsia="宋体" w:cs="宋体"/>
          <w:sz w:val="24"/>
        </w:rPr>
      </w:pPr>
      <w:r>
        <w:rPr>
          <w:rFonts w:hint="eastAsia" w:ascii="宋体" w:hAnsi="宋体" w:eastAsia="宋体" w:cs="宋体"/>
          <w:sz w:val="24"/>
        </w:rPr>
        <w:t>本标准的实施将推动企业加强多参数融合感知、高可靠性硬件设计、智能算法建模、抗干扰技术、网络安全保护及系统协同优化等关键技术研发，促进装置性能持续提升。通过改善在线监测与智能诊断装置在变压器、开关设备、电缆、储能系统、电机等设备中的应用稳定性和诊断准确性，可支撑输变电、配电网、新能源、电动汽车充换电、电力电子装备等领域的智能化升级。同时，标准化体系的构建将带动传感器制造、边缘计算终端、检测校准设备、软件平台等上下游产业协同发展，推动我国电力装备监测技术的高质量、可持续发展。</w:t>
      </w:r>
    </w:p>
    <w:p w14:paraId="19B5C31C">
      <w:pPr>
        <w:adjustRightInd w:val="0"/>
        <w:spacing w:before="0" w:after="0" w:line="360" w:lineRule="auto"/>
        <w:outlineLvl w:val="1"/>
        <w:rPr>
          <w:rFonts w:ascii="宋体" w:hAnsi="宋体" w:eastAsia="宋体" w:cs="宋体"/>
          <w:sz w:val="24"/>
        </w:rPr>
      </w:pPr>
      <w:r>
        <w:rPr>
          <w:rFonts w:hint="eastAsia" w:ascii="宋体" w:hAnsi="宋体" w:eastAsia="宋体" w:cs="宋体"/>
          <w:sz w:val="24"/>
        </w:rPr>
        <w:t>（二）标准编制原则和依据</w:t>
      </w:r>
    </w:p>
    <w:p w14:paraId="19B5C31D">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本标准编制遵循适配性、协调性、科学性、创新性等原则。</w:t>
      </w:r>
    </w:p>
    <w:p w14:paraId="19B5C31E">
      <w:pPr>
        <w:adjustRightInd w:val="0"/>
        <w:spacing w:before="0" w:after="0" w:line="360" w:lineRule="auto"/>
        <w:ind w:firstLine="480" w:firstLineChars="200"/>
        <w:outlineLvl w:val="2"/>
        <w:rPr>
          <w:rFonts w:ascii="宋体" w:hAnsi="宋体" w:eastAsia="宋体" w:cs="宋体"/>
          <w:sz w:val="24"/>
        </w:rPr>
      </w:pPr>
      <w:r>
        <w:rPr>
          <w:rFonts w:hint="eastAsia" w:ascii="宋体" w:hAnsi="宋体" w:eastAsia="宋体" w:cs="宋体"/>
          <w:sz w:val="24"/>
        </w:rPr>
        <w:t>1.行业适配性原则</w:t>
      </w:r>
    </w:p>
    <w:p w14:paraId="52BE303D">
      <w:pPr>
        <w:adjustRightInd w:val="0"/>
        <w:spacing w:before="0"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电力设备在线监测与智能诊断装置作为支撑电网数字化感知、智能化运维与状态检修体系的关键装备，广泛应用于变压器、断路器、GIS、电缆、储能系统、电动机、电力电子设备等多类电力装备中，涵盖传感技术、电气检测、信号处理、通信网络、边缘计算、数据管理与智能算法等多个专业方向。为确保标准内容能够适应多场景、多设备类型的技术需求，本标准在调研典型监测装置结构、分析大量工程应用案例以及对比不同运维场景需求的基础上，从传感器参数要求、数据采集处理规范、智能诊断模型性能、环境与电磁适应性，到安全防护、软件功能及运行可靠性等方面提出系统化技术规范。</w:t>
      </w:r>
    </w:p>
    <w:p w14:paraId="27BD514B">
      <w:pPr>
        <w:adjustRightInd w:val="0"/>
        <w:spacing w:before="0"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标准重点明确了在线监测与智能诊断装置的关键组成要素，包括传感单元的测量性能、电源模块与能量管理、电磁兼容设计、数据采集精度及带宽、通信接口与协议规范、边缘计算与诊断算法要求、数据完整性与安全性以及装置结构防护等级等内容。同时覆盖从信息采集、信号传输、数据处理、健康评估到诊断输出的全过程控制要求。针对不同监测对象和不同应用场景，标准提出了对应的性能评价方法，包括测量精度、稳定性、响应时间、误差控制、电磁抗干扰能力、诊断准确率、误报警率与可解释性要求，以全面反映装置在实际运行环境中的适用性和可靠性。此外，标准对应的系统构成进行了逻辑划分。核心系统包括传感器测量体系、数据采集与处理模块、边缘分析与诊断算法平台，与信号质量、算力配置及通信链路性能密切相关；辅助系统包括电源管理、结构防护、安装固定、系统集成调试等单元；附属影响因素则包括运行环境温湿度、电磁场强度、设备布置位置及电力系统工况等对监测结果稳定性的影响。对系统组成的明确界定为性能一致性评价、智能诊断算法优化以及装置工程化应用提供依据。</w:t>
      </w:r>
    </w:p>
    <w:p w14:paraId="19B5C320">
      <w:pPr>
        <w:adjustRightInd w:val="0"/>
        <w:spacing w:before="0" w:after="0" w:line="360" w:lineRule="auto"/>
        <w:ind w:firstLine="480" w:firstLineChars="200"/>
        <w:outlineLvl w:val="2"/>
        <w:rPr>
          <w:rFonts w:ascii="宋体" w:hAnsi="宋体" w:eastAsia="宋体" w:cs="宋体"/>
          <w:sz w:val="24"/>
        </w:rPr>
      </w:pPr>
      <w:r>
        <w:rPr>
          <w:rFonts w:hint="eastAsia" w:ascii="宋体" w:hAnsi="宋体" w:eastAsia="宋体" w:cs="宋体"/>
          <w:sz w:val="24"/>
        </w:rPr>
        <w:t>2.协调性原则</w:t>
      </w:r>
    </w:p>
    <w:p w14:paraId="19B5C321">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本标准与现行国家及行业标准充分衔接，包括GB/T 44380</w:t>
      </w:r>
      <w:r>
        <w:rPr>
          <w:rFonts w:hint="eastAsia" w:ascii="宋体" w:hAnsi="宋体" w:eastAsia="宋体" w:cs="宋体"/>
          <w:sz w:val="24"/>
          <w:lang w:eastAsia="zh-CN"/>
        </w:rPr>
        <w:t>《</w:t>
      </w:r>
      <w:r>
        <w:rPr>
          <w:rFonts w:hint="eastAsia" w:ascii="宋体" w:hAnsi="宋体" w:eastAsia="宋体" w:cs="宋体"/>
          <w:sz w:val="24"/>
        </w:rPr>
        <w:t>电力设备状态检修通用术语</w:t>
      </w:r>
      <w:r>
        <w:rPr>
          <w:rFonts w:hint="eastAsia" w:ascii="宋体" w:hAnsi="宋体" w:eastAsia="宋体" w:cs="宋体"/>
          <w:sz w:val="24"/>
          <w:lang w:eastAsia="zh-CN"/>
        </w:rPr>
        <w:t>》、DL/T 417《电力设备局部放电现场测量导则》</w:t>
      </w:r>
      <w:r>
        <w:rPr>
          <w:rFonts w:hint="eastAsia" w:ascii="宋体" w:hAnsi="宋体" w:eastAsia="宋体" w:cs="宋体"/>
          <w:sz w:val="24"/>
        </w:rPr>
        <w:t>等，避免技术内容发生重复或冲突；同时，借鉴国际先进经验，确保标准技术水平与国际接轨。</w:t>
      </w:r>
    </w:p>
    <w:p w14:paraId="19B5C322">
      <w:pPr>
        <w:adjustRightInd w:val="0"/>
        <w:spacing w:before="0" w:after="0" w:line="360" w:lineRule="auto"/>
        <w:ind w:firstLine="480" w:firstLineChars="200"/>
        <w:outlineLvl w:val="2"/>
        <w:rPr>
          <w:rFonts w:ascii="宋体" w:hAnsi="宋体" w:eastAsia="宋体" w:cs="宋体"/>
          <w:sz w:val="24"/>
        </w:rPr>
      </w:pPr>
      <w:r>
        <w:rPr>
          <w:rFonts w:hint="eastAsia" w:ascii="宋体" w:hAnsi="宋体" w:eastAsia="宋体" w:cs="宋体"/>
          <w:sz w:val="24"/>
        </w:rPr>
        <w:t>3.科学性原则</w:t>
      </w:r>
    </w:p>
    <w:p w14:paraId="19B5C323">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本标准采用“基础性能要求+监测功能指标+电磁与环境适应性+智能诊断评价”的融合技术路线，强调测量参数的可控性、测试方法的可操作性和诊断结果的可验证性。标准各项技术指标均来源于大量实际工程运行数据、实验平台验证结果及行业普遍需求，并经多轮对比、参数优化与技术论证，确保所提出的技术要求具备充分的科学依据，试验方法具有代表性、重复性和可溯源性。</w:t>
      </w:r>
    </w:p>
    <w:p w14:paraId="19B5C324">
      <w:pPr>
        <w:adjustRightInd w:val="0"/>
        <w:spacing w:before="0" w:after="0" w:line="360" w:lineRule="auto"/>
        <w:ind w:firstLine="480" w:firstLineChars="200"/>
        <w:outlineLvl w:val="2"/>
        <w:rPr>
          <w:rFonts w:ascii="宋体" w:hAnsi="宋体" w:eastAsia="宋体" w:cs="宋体"/>
          <w:sz w:val="24"/>
        </w:rPr>
      </w:pPr>
      <w:r>
        <w:rPr>
          <w:rFonts w:hint="eastAsia" w:ascii="宋体" w:hAnsi="宋体" w:eastAsia="宋体" w:cs="宋体"/>
          <w:sz w:val="24"/>
        </w:rPr>
        <w:t>4.创新性原则</w:t>
      </w:r>
    </w:p>
    <w:p w14:paraId="3EF203E2">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本标准针对电力设备在线监测与智能诊断领域的发展特点，首次在行业标准体系中提出“多源感知融合+边缘智能诊断+网络安全保障”的整体技术框架，涵盖多参量融合监测策略、智能算法性能评价体系、数据完整性与安全性要求、抗干扰设计、装置健康自检能力及远程协同功能。同时将先进的监测技术、智能模型验证方法、装置可靠性评价及全生命周期数据管理理念纳入统一标准体系，为提升电力设备状态监测与智能诊断装置的智能化水平、工程化能力和行业高质量发展提供重要技术支撑。</w:t>
      </w:r>
    </w:p>
    <w:p w14:paraId="19B5C326">
      <w:pPr>
        <w:numPr>
          <w:ilvl w:val="0"/>
          <w:numId w:val="3"/>
        </w:numPr>
        <w:adjustRightInd w:val="0"/>
        <w:spacing w:before="0" w:after="0" w:line="360" w:lineRule="auto"/>
        <w:rPr>
          <w:rFonts w:ascii="宋体" w:hAnsi="宋体" w:eastAsia="宋体" w:cs="宋体"/>
          <w:color w:val="auto"/>
          <w:sz w:val="24"/>
        </w:rPr>
      </w:pPr>
      <w:r>
        <w:rPr>
          <w:rFonts w:hint="eastAsia" w:ascii="宋体" w:hAnsi="宋体" w:eastAsia="宋体" w:cs="宋体"/>
          <w:color w:val="auto"/>
          <w:sz w:val="24"/>
        </w:rPr>
        <w:t>标准主要内容</w:t>
      </w:r>
    </w:p>
    <w:p w14:paraId="19B5C327">
      <w:pPr>
        <w:adjustRightInd w:val="0"/>
        <w:spacing w:before="0" w:after="0"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本标准主要内容包括：范围、规范性引用文件、术语和定义、在线监测装置技术要求、智能诊断装置技术要求、电气安全要求、环境要求、可靠性要求及试验方法。</w:t>
      </w:r>
    </w:p>
    <w:p w14:paraId="19B5C328">
      <w:pPr>
        <w:numPr>
          <w:ilvl w:val="0"/>
          <w:numId w:val="4"/>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kern w:val="0"/>
          <w:sz w:val="24"/>
          <w:lang w:bidi="ar"/>
        </w:rPr>
        <w:t>范围：</w:t>
      </w:r>
      <w:r>
        <w:rPr>
          <w:rFonts w:hint="eastAsia" w:ascii="宋体" w:hAnsi="宋体" w:eastAsia="宋体" w:cs="宋体"/>
          <w:sz w:val="24"/>
        </w:rPr>
        <w:t>该部分明确标准编制目的及适用范围。</w:t>
      </w:r>
    </w:p>
    <w:p w14:paraId="60DFD0AC">
      <w:pPr>
        <w:numPr>
          <w:ilvl w:val="0"/>
          <w:numId w:val="4"/>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sz w:val="24"/>
        </w:rPr>
        <w:t>规范性引用文件：该部分列出标准实施所需的现行标准，涵盖电气安全、环境试验、电磁兼容、数据通信接口、传感器性能</w:t>
      </w:r>
      <w:r>
        <w:rPr>
          <w:rFonts w:hint="eastAsia" w:ascii="宋体" w:hAnsi="宋体" w:eastAsia="宋体" w:cs="宋体"/>
          <w:sz w:val="24"/>
          <w:lang w:val="en-US" w:eastAsia="zh-CN"/>
        </w:rPr>
        <w:t>评价等相关领域</w:t>
      </w:r>
      <w:r>
        <w:rPr>
          <w:rFonts w:hint="eastAsia" w:ascii="宋体" w:hAnsi="宋体" w:eastAsia="宋体" w:cs="宋体"/>
          <w:sz w:val="24"/>
        </w:rPr>
        <w:t>。</w:t>
      </w:r>
    </w:p>
    <w:p w14:paraId="19B5C32A">
      <w:pPr>
        <w:numPr>
          <w:ilvl w:val="0"/>
          <w:numId w:val="4"/>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sz w:val="24"/>
        </w:rPr>
        <w:t>术语和定义：该部分界定了核心术语。</w:t>
      </w:r>
    </w:p>
    <w:p w14:paraId="25C8D457">
      <w:pPr>
        <w:numPr>
          <w:ilvl w:val="0"/>
          <w:numId w:val="4"/>
        </w:numPr>
        <w:adjustRightInd w:val="0"/>
        <w:spacing w:before="0" w:after="0" w:line="360" w:lineRule="auto"/>
        <w:ind w:firstLine="480" w:firstLineChars="200"/>
        <w:outlineLvl w:val="1"/>
        <w:rPr>
          <w:rFonts w:hint="eastAsia" w:ascii="宋体" w:hAnsi="宋体" w:eastAsia="宋体" w:cs="宋体"/>
          <w:sz w:val="24"/>
        </w:rPr>
      </w:pPr>
      <w:r>
        <w:rPr>
          <w:rFonts w:hint="eastAsia" w:ascii="宋体" w:hAnsi="宋体" w:eastAsia="宋体" w:cs="宋体"/>
          <w:sz w:val="24"/>
          <w:highlight w:val="none"/>
        </w:rPr>
        <w:t>在线监测装置技术要求：该部分规定在线监测装置的基本功能、监测参数、性能指标、实时性、数据采集精度、通信接口要求、防护等级等技术要求</w:t>
      </w:r>
      <w:r>
        <w:rPr>
          <w:rFonts w:hint="eastAsia" w:ascii="宋体" w:hAnsi="宋体" w:eastAsia="宋体" w:cs="宋体"/>
          <w:sz w:val="24"/>
          <w:highlight w:val="none"/>
          <w:lang w:eastAsia="zh-CN"/>
        </w:rPr>
        <w:t>。</w:t>
      </w:r>
    </w:p>
    <w:p w14:paraId="2F44E430">
      <w:pPr>
        <w:numPr>
          <w:ilvl w:val="0"/>
          <w:numId w:val="4"/>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sz w:val="24"/>
        </w:rPr>
        <w:t>智能诊断装置技术要求：该部分规定智能诊断装置的数据分析、状态评估、故障诊断、预测性维护能力、数据存储与追溯等方面的技术要求。</w:t>
      </w:r>
    </w:p>
    <w:p w14:paraId="199A71A5">
      <w:pPr>
        <w:numPr>
          <w:ilvl w:val="0"/>
          <w:numId w:val="4"/>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sz w:val="24"/>
        </w:rPr>
        <w:t>电气安全要求：该部分规定装置的绝缘性能、接地要求、耐压性能、漏电保护及相关电气安全指标。</w:t>
      </w:r>
    </w:p>
    <w:p w14:paraId="0B6D0264">
      <w:pPr>
        <w:numPr>
          <w:ilvl w:val="0"/>
          <w:numId w:val="4"/>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sz w:val="24"/>
        </w:rPr>
        <w:t>环境要求：该部分明确装置在</w:t>
      </w:r>
      <w:r>
        <w:rPr>
          <w:rFonts w:hint="eastAsia" w:ascii="宋体" w:hAnsi="宋体" w:eastAsia="宋体" w:cs="宋体"/>
          <w:sz w:val="24"/>
          <w:lang w:val="en-US" w:eastAsia="zh-CN"/>
        </w:rPr>
        <w:t>不同</w:t>
      </w:r>
      <w:r>
        <w:rPr>
          <w:rFonts w:hint="eastAsia" w:ascii="宋体" w:hAnsi="宋体" w:eastAsia="宋体" w:cs="宋体"/>
          <w:sz w:val="24"/>
        </w:rPr>
        <w:t>环境条件下的适应性要求</w:t>
      </w:r>
      <w:r>
        <w:rPr>
          <w:rFonts w:hint="eastAsia" w:ascii="宋体" w:hAnsi="宋体" w:eastAsia="宋体" w:cs="宋体"/>
          <w:sz w:val="24"/>
          <w:lang w:eastAsia="zh-CN"/>
        </w:rPr>
        <w:t>。</w:t>
      </w:r>
    </w:p>
    <w:p w14:paraId="691EF2B7">
      <w:pPr>
        <w:numPr>
          <w:ilvl w:val="0"/>
          <w:numId w:val="4"/>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sz w:val="24"/>
        </w:rPr>
        <w:t>可靠性要求</w:t>
      </w:r>
      <w:r>
        <w:rPr>
          <w:rFonts w:hint="eastAsia" w:ascii="宋体" w:hAnsi="宋体" w:eastAsia="宋体" w:cs="宋体"/>
          <w:sz w:val="24"/>
          <w:lang w:eastAsia="zh-CN"/>
        </w:rPr>
        <w:t>：该部分规定装置的平均无故障时间等可靠性指标。</w:t>
      </w:r>
    </w:p>
    <w:p w14:paraId="5BF2C1EB">
      <w:pPr>
        <w:numPr>
          <w:ilvl w:val="0"/>
          <w:numId w:val="4"/>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sz w:val="24"/>
        </w:rPr>
        <w:t>试验方法：该部分明确在线监测装置与智能诊断装置的性能测试、电气安全试验、环境试验、可靠性验证方法。</w:t>
      </w:r>
    </w:p>
    <w:p w14:paraId="19B5C330">
      <w:p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三、主要实验或验证的分析、综述报告、技术经济论证，预期的经济效果</w:t>
      </w:r>
    </w:p>
    <w:p w14:paraId="1384756B">
      <w:pPr>
        <w:adjustRightInd w:val="0"/>
        <w:spacing w:before="0" w:after="0" w:line="360" w:lineRule="auto"/>
        <w:ind w:firstLine="480" w:firstLineChars="200"/>
        <w:rPr>
          <w:rFonts w:ascii="宋体" w:hAnsi="宋体" w:eastAsia="宋体" w:cs="宋体"/>
          <w:sz w:val="24"/>
          <w:szCs w:val="24"/>
        </w:rPr>
      </w:pPr>
      <w:r>
        <w:rPr>
          <w:rFonts w:ascii="宋体" w:hAnsi="宋体" w:eastAsia="宋体" w:cs="宋体"/>
          <w:sz w:val="24"/>
          <w:szCs w:val="24"/>
        </w:rPr>
        <w:t>编制组通过对典型在线监测装置生产企业、电力科研机构及多类运行场景开展系统调研，收集了不同类型在线监测与智能诊断装置在实际工况下的测量性能、运行稳定性、通信可靠性和诊断效果。重点组织了对局放监测、温度监测、振动监测、油色谱分析、湿度监测、电参量监测等多类装置的功能验证试验，包括测量精度测试、电磁兼容性能验证、响应速度测试、通信协议互操作性验证、环境适应性试验以及智能诊断算法的准确率、误报率和可重复性分析。实验结果表明，在优化的传感单元配置、信号调理参数、数据采样策略及算法模型条件下，各类监测装置可在复杂电网场景中实现高精度、稳定、可靠的监测；在强电磁干扰、温湿度波动及电力设备振动等工况下性能保持性良好，测量误差小，批次一致性高。通过对实验数据的统计分析与对比验证，为标准中传感器要求、性能指标、电磁与环境适应性、通信与数据接口规范及诊断算法评价方法的确定提供了可靠的技术依据。</w:t>
      </w:r>
    </w:p>
    <w:p w14:paraId="16F5E1E8">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通过国内外标准文献、行业技术资料、产品手册、专利及工程案例的广泛调研分析，编制组系统总结了当前电力设备在线监测与智能诊断技术的发展趋势，包括多参量融合监测技术、边缘计算与智能算法应用、先进传感器技术、数字孪生辅助诊断、电力物联网通信技术以及设备自主健康管理等关键方向。调研结果显示，通过提升传感器灵敏度、采用抗干扰设计、优化数据采集策略、引入深度学习诊断模型，可显著提高智能诊断的准确率、鲁棒性和实时性。对比国内外在线监测标准体系和技术路线，总结了在测量性能指标、电磁兼容要求、数据接口规范、网络与信息安全要求及诊断算法验证方法等方面的差异，为标准技术条款的设置提供了国际对标依据，确保本标准的科学性、先进性和工程适用性。</w:t>
      </w:r>
    </w:p>
    <w:p w14:paraId="24027F92">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结合典型企业的生产实践和电力企业的运行需求，编制组对在线监测与智能诊断装置的技术经济性进行了系统论证。分析结果表明，通过采用成熟的监测平台架构，结合优化的传感器选型、电磁兼容设计和算法模型部署策略，可在提升监测准确性和诊断智能性的同时降低装置整机功耗、减少维护频次并提升设备可靠性。生命周期成本分析显示，在综合考虑硬件成本、软件算法维护、通信模块投入、现场安装调试成本及长期运维费用后，通过实施标准化的产品设计、数据接口和诊断算法验证流程，可显著降低装置的单位成本，提高批次一致性，缩短系统集成周期，增强企业产品竞争力和电力用户的经济效益。</w:t>
      </w:r>
    </w:p>
    <w:p w14:paraId="3DEF2215">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本标准的实施将促进生产企业在传感器选型、装置结构设计、电磁兼容、数据采集处理、智能诊断算法开发、质量检测及出厂验收等环节采用统一的技术规范，提高研发效率与产品一致性；通过规范化的试验方法和评价指标，加强装置在变电站、配电网、储能系统、新能源场站等多场景下的运行可靠性；降低电力企业的测试成本、运维成本和误报带来的停运损失，推动在线监测与智能诊断装置的规模化应用。随着标准化装置在输变电、配电、电力电子、新能源和储能等领域的广泛部署，将产生显著的经济与社会效益，对推动我国电力装备数字化、智能化与现代化运维体系建设具有重要意义。</w:t>
      </w:r>
    </w:p>
    <w:p w14:paraId="19B5C333">
      <w:pPr>
        <w:numPr>
          <w:ilvl w:val="0"/>
          <w:numId w:val="5"/>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知识产权情况说明</w:t>
      </w:r>
    </w:p>
    <w:p w14:paraId="19B5C334">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无。</w:t>
      </w:r>
    </w:p>
    <w:p w14:paraId="19B5C335">
      <w:pPr>
        <w:numPr>
          <w:ilvl w:val="0"/>
          <w:numId w:val="5"/>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采用国际标准和国外先进标准情况，与国际、国外同类标准水平的对比情况</w:t>
      </w:r>
    </w:p>
    <w:p w14:paraId="19B5C336">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无。</w:t>
      </w:r>
    </w:p>
    <w:p w14:paraId="19B5C337">
      <w:pPr>
        <w:numPr>
          <w:ilvl w:val="0"/>
          <w:numId w:val="5"/>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与现行相关法律、法规、规章及相关标准，特别是强制性标准的协调性</w:t>
      </w:r>
    </w:p>
    <w:p w14:paraId="19B5C338">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本标准与现行国家标准如GB/T 44380《电力设备状态检修通用术语》、DL/T 417《电力设备局部放电现场测量导则》等协调一致，与现行相关法律、法规、规章协调一致。</w:t>
      </w:r>
    </w:p>
    <w:p w14:paraId="19B5C339">
      <w:pPr>
        <w:numPr>
          <w:ilvl w:val="0"/>
          <w:numId w:val="5"/>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重大分歧意见的处理经过和依据</w:t>
      </w:r>
    </w:p>
    <w:p w14:paraId="19B5C33A">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本标准制定过程中无重大分歧意见。</w:t>
      </w:r>
    </w:p>
    <w:p w14:paraId="19B5C33B">
      <w:pPr>
        <w:numPr>
          <w:ilvl w:val="0"/>
          <w:numId w:val="5"/>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标准性质的建议说明</w:t>
      </w:r>
    </w:p>
    <w:p w14:paraId="19B5C33C">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lang w:val="en-US" w:eastAsia="zh-CN"/>
        </w:rPr>
        <w:t>建议作为团体标准</w:t>
      </w:r>
      <w:r>
        <w:rPr>
          <w:rFonts w:hint="eastAsia" w:ascii="宋体" w:hAnsi="宋体" w:eastAsia="宋体" w:cs="宋体"/>
          <w:sz w:val="24"/>
        </w:rPr>
        <w:t>。</w:t>
      </w:r>
    </w:p>
    <w:p w14:paraId="19B5C33D">
      <w:pPr>
        <w:numPr>
          <w:ilvl w:val="0"/>
          <w:numId w:val="5"/>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贯彻标准的要求和措施建议</w:t>
      </w:r>
    </w:p>
    <w:p w14:paraId="19B5C33E">
      <w:pPr>
        <w:adjustRightInd w:val="0"/>
        <w:spacing w:before="0" w:after="0" w:line="360" w:lineRule="auto"/>
        <w:ind w:firstLine="480" w:firstLineChars="200"/>
      </w:pPr>
      <w:r>
        <w:rPr>
          <w:rFonts w:hint="eastAsia" w:ascii="宋体" w:hAnsi="宋体" w:eastAsia="宋体" w:cs="宋体"/>
          <w:sz w:val="24"/>
        </w:rPr>
        <w:t>建议本标准在发布后即开始实施。</w:t>
      </w:r>
    </w:p>
    <w:p w14:paraId="19B5C33F">
      <w:pPr>
        <w:numPr>
          <w:ilvl w:val="0"/>
          <w:numId w:val="5"/>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替代或废止现行相关标准的建议</w:t>
      </w:r>
    </w:p>
    <w:p w14:paraId="19B5C340">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本标准无替代或废止现行国家/行业标准的内容。</w:t>
      </w:r>
    </w:p>
    <w:p w14:paraId="19B5C341">
      <w:pPr>
        <w:numPr>
          <w:ilvl w:val="0"/>
          <w:numId w:val="5"/>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其他应予说明的事项</w:t>
      </w:r>
    </w:p>
    <w:p w14:paraId="19B5C342">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无。</w:t>
      </w:r>
    </w:p>
    <w:p w14:paraId="19B5C343">
      <w:pPr>
        <w:adjustRightInd w:val="0"/>
        <w:spacing w:before="0" w:after="0" w:line="360" w:lineRule="auto"/>
        <w:ind w:firstLine="480" w:firstLineChars="200"/>
        <w:rPr>
          <w:rFonts w:ascii="宋体" w:hAnsi="宋体" w:eastAsia="宋体" w:cs="宋体"/>
          <w:sz w:val="24"/>
        </w:rPr>
      </w:pPr>
    </w:p>
    <w:p w14:paraId="19B5C344">
      <w:pPr>
        <w:adjustRightInd w:val="0"/>
        <w:spacing w:before="0" w:after="0" w:line="360" w:lineRule="auto"/>
        <w:ind w:firstLine="480" w:firstLineChars="200"/>
        <w:jc w:val="right"/>
        <w:rPr>
          <w:rFonts w:ascii="宋体" w:hAnsi="宋体" w:eastAsia="宋体" w:cs="宋体"/>
          <w:sz w:val="24"/>
        </w:rPr>
      </w:pPr>
      <w:r>
        <w:rPr>
          <w:rFonts w:hint="eastAsia" w:ascii="宋体" w:hAnsi="宋体" w:eastAsia="宋体" w:cs="宋体"/>
          <w:sz w:val="24"/>
        </w:rPr>
        <w:t>《电力设备在线监测与智能诊断装置技术要求》编制工作组</w:t>
      </w:r>
    </w:p>
    <w:p w14:paraId="19B5C345">
      <w:pPr>
        <w:adjustRightInd w:val="0"/>
        <w:spacing w:before="0" w:after="0" w:line="360" w:lineRule="auto"/>
        <w:ind w:firstLine="480" w:firstLineChars="200"/>
        <w:jc w:val="right"/>
        <w:rPr>
          <w:rFonts w:ascii="宋体" w:hAnsi="宋体" w:eastAsia="宋体" w:cs="宋体"/>
          <w:sz w:val="24"/>
        </w:rPr>
      </w:pPr>
      <w:r>
        <w:rPr>
          <w:rFonts w:hint="eastAsia" w:ascii="宋体" w:hAnsi="宋体" w:eastAsia="宋体" w:cs="宋体"/>
          <w:sz w:val="24"/>
        </w:rPr>
        <w:t>2025年</w:t>
      </w:r>
      <w:r>
        <w:rPr>
          <w:rFonts w:hint="eastAsia" w:ascii="宋体" w:hAnsi="宋体" w:eastAsia="宋体" w:cs="宋体"/>
          <w:sz w:val="24"/>
          <w:lang w:val="en-US" w:eastAsia="zh-CN"/>
        </w:rPr>
        <w:t>11</w:t>
      </w:r>
      <w:r>
        <w:rPr>
          <w:rFonts w:hint="eastAsia" w:ascii="宋体" w:hAnsi="宋体" w:eastAsia="宋体" w:cs="宋体"/>
          <w:sz w:val="24"/>
        </w:rPr>
        <w:t>月</w:t>
      </w:r>
      <w:r>
        <w:rPr>
          <w:rFonts w:hint="eastAsia" w:ascii="宋体" w:hAnsi="宋体" w:eastAsia="宋体" w:cs="宋体"/>
          <w:sz w:val="24"/>
          <w:lang w:val="en-US" w:eastAsia="zh-CN"/>
        </w:rPr>
        <w:t>28</w:t>
      </w:r>
      <w:r>
        <w:rPr>
          <w:rFonts w:hint="eastAsia" w:ascii="宋体" w:hAnsi="宋体" w:eastAsia="宋体" w:cs="宋体"/>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0FF5B"/>
    <w:multiLevelType w:val="singleLevel"/>
    <w:tmpl w:val="88B0FF5B"/>
    <w:lvl w:ilvl="0" w:tentative="0">
      <w:start w:val="3"/>
      <w:numFmt w:val="chineseCounting"/>
      <w:suff w:val="nothing"/>
      <w:lvlText w:val="（%1）"/>
      <w:lvlJc w:val="left"/>
      <w:rPr>
        <w:rFonts w:hint="eastAsia"/>
      </w:rPr>
    </w:lvl>
  </w:abstractNum>
  <w:abstractNum w:abstractNumId="1">
    <w:nsid w:val="C9C5B596"/>
    <w:multiLevelType w:val="singleLevel"/>
    <w:tmpl w:val="C9C5B596"/>
    <w:lvl w:ilvl="0" w:tentative="0">
      <w:start w:val="4"/>
      <w:numFmt w:val="chineseCounting"/>
      <w:suff w:val="nothing"/>
      <w:lvlText w:val="%1、"/>
      <w:lvlJc w:val="left"/>
      <w:rPr>
        <w:rFonts w:hint="eastAsia"/>
      </w:rPr>
    </w:lvl>
  </w:abstractNum>
  <w:abstractNum w:abstractNumId="2">
    <w:nsid w:val="CA5A9C77"/>
    <w:multiLevelType w:val="singleLevel"/>
    <w:tmpl w:val="CA5A9C77"/>
    <w:lvl w:ilvl="0" w:tentative="0">
      <w:start w:val="1"/>
      <w:numFmt w:val="decimal"/>
      <w:lvlText w:val="%1."/>
      <w:lvlJc w:val="left"/>
      <w:pPr>
        <w:tabs>
          <w:tab w:val="left" w:pos="312"/>
        </w:tabs>
      </w:pPr>
    </w:lvl>
  </w:abstractNum>
  <w:abstractNum w:abstractNumId="3">
    <w:nsid w:val="210279CC"/>
    <w:multiLevelType w:val="singleLevel"/>
    <w:tmpl w:val="210279CC"/>
    <w:lvl w:ilvl="0" w:tentative="0">
      <w:start w:val="1"/>
      <w:numFmt w:val="decimal"/>
      <w:suff w:val="nothing"/>
      <w:lvlText w:val="%1）"/>
      <w:lvlJc w:val="left"/>
    </w:lvl>
  </w:abstractNum>
  <w:abstractNum w:abstractNumId="4">
    <w:nsid w:val="660B1B11"/>
    <w:multiLevelType w:val="singleLevel"/>
    <w:tmpl w:val="660B1B11"/>
    <w:lvl w:ilvl="0" w:tentative="0">
      <w:start w:val="1"/>
      <w:numFmt w:val="decimal"/>
      <w:suff w:val="nothing"/>
      <w:lvlText w:val="%1）"/>
      <w:lvlJc w:val="left"/>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51D77"/>
    <w:rsid w:val="00132C15"/>
    <w:rsid w:val="001A132B"/>
    <w:rsid w:val="005B28F7"/>
    <w:rsid w:val="007D2FE2"/>
    <w:rsid w:val="00AE3974"/>
    <w:rsid w:val="00C471B8"/>
    <w:rsid w:val="00D15001"/>
    <w:rsid w:val="00D33122"/>
    <w:rsid w:val="014D1ED0"/>
    <w:rsid w:val="04682BF3"/>
    <w:rsid w:val="09485818"/>
    <w:rsid w:val="0E7D6CF1"/>
    <w:rsid w:val="118539B9"/>
    <w:rsid w:val="12402A22"/>
    <w:rsid w:val="13FF7A53"/>
    <w:rsid w:val="1890336F"/>
    <w:rsid w:val="1B791C33"/>
    <w:rsid w:val="224D407F"/>
    <w:rsid w:val="259D6446"/>
    <w:rsid w:val="2BF0212F"/>
    <w:rsid w:val="2CCE1784"/>
    <w:rsid w:val="2EE01381"/>
    <w:rsid w:val="2F8135BA"/>
    <w:rsid w:val="2FB4678F"/>
    <w:rsid w:val="36962041"/>
    <w:rsid w:val="377A27E9"/>
    <w:rsid w:val="3CAD511A"/>
    <w:rsid w:val="3F151D77"/>
    <w:rsid w:val="429168C1"/>
    <w:rsid w:val="433429C6"/>
    <w:rsid w:val="457B0D80"/>
    <w:rsid w:val="45F13301"/>
    <w:rsid w:val="4AC26B09"/>
    <w:rsid w:val="4D6B7897"/>
    <w:rsid w:val="52B551A5"/>
    <w:rsid w:val="5391176E"/>
    <w:rsid w:val="563665FD"/>
    <w:rsid w:val="572528F9"/>
    <w:rsid w:val="5A074538"/>
    <w:rsid w:val="5C204013"/>
    <w:rsid w:val="5CB06720"/>
    <w:rsid w:val="5FE64BF0"/>
    <w:rsid w:val="63647C6D"/>
    <w:rsid w:val="65657B68"/>
    <w:rsid w:val="67EC2FBF"/>
    <w:rsid w:val="69194288"/>
    <w:rsid w:val="6C305FDA"/>
    <w:rsid w:val="6FC0720B"/>
    <w:rsid w:val="72603895"/>
    <w:rsid w:val="73B6195E"/>
    <w:rsid w:val="745F3497"/>
    <w:rsid w:val="74FE1AF7"/>
    <w:rsid w:val="75CC7A53"/>
    <w:rsid w:val="79E84010"/>
    <w:rsid w:val="7B133B42"/>
    <w:rsid w:val="7B172CEC"/>
    <w:rsid w:val="7C461FB1"/>
    <w:rsid w:val="7CC13438"/>
    <w:rsid w:val="7F833A97"/>
    <w:rsid w:val="7FC872DD"/>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jc w:val="both"/>
    </w:pPr>
    <w:rPr>
      <w:rFonts w:eastAsia="仿宋_GB2312" w:asciiTheme="minorHAnsi" w:hAnsiTheme="minorHAnsi" w:cstheme="minorBidi"/>
      <w:kern w:val="2"/>
      <w:sz w:val="28"/>
      <w:szCs w:val="24"/>
      <w:lang w:val="en-US" w:eastAsia="zh-CN" w:bidi="ar-SA"/>
    </w:rPr>
  </w:style>
  <w:style w:type="paragraph" w:styleId="2">
    <w:name w:val="heading 2"/>
    <w:basedOn w:val="1"/>
    <w:next w:val="1"/>
    <w:link w:val="8"/>
    <w:semiHidden/>
    <w:unhideWhenUsed/>
    <w:qFormat/>
    <w:uiPriority w:val="0"/>
    <w:pPr>
      <w:keepNext/>
      <w:keepLines/>
      <w:spacing w:before="50" w:beforeLines="50" w:after="50" w:afterLines="50"/>
      <w:outlineLvl w:val="1"/>
    </w:pPr>
    <w:rPr>
      <w:rFonts w:ascii="Times New Roman" w:hAnsi="Times New Roman" w:eastAsia="楷体_GB2312" w:cs="Times New Roman"/>
      <w:spacing w:val="-6"/>
      <w:sz w:val="32"/>
      <w:szCs w:val="32"/>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customStyle="1" w:styleId="8">
    <w:name w:val="标题 2 字符"/>
    <w:link w:val="2"/>
    <w:qFormat/>
    <w:uiPriority w:val="9"/>
    <w:rPr>
      <w:rFonts w:ascii="Times New Roman" w:hAnsi="Times New Roman" w:eastAsia="楷体_GB2312" w:cs="Times New Roman"/>
      <w:spacing w:val="-6"/>
      <w:kern w:val="2"/>
      <w:sz w:val="32"/>
      <w:szCs w:val="32"/>
      <w:lang w:val="en-US" w:eastAsia="zh-CN" w:bidi="ar-SA"/>
    </w:rPr>
  </w:style>
  <w:style w:type="paragraph" w:customStyle="1" w:styleId="9">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0">
    <w:name w:val="标准文件_段"/>
    <w:link w:val="11"/>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1">
    <w:name w:val="标准文件_段 Char"/>
    <w:link w:val="10"/>
    <w:qFormat/>
    <w:uiPriority w:val="0"/>
    <w:rPr>
      <w:rFonts w:ascii="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6868</Words>
  <Characters>6936</Characters>
  <Lines>2</Lines>
  <Paragraphs>10</Paragraphs>
  <TotalTime>38</TotalTime>
  <ScaleCrop>false</ScaleCrop>
  <LinksUpToDate>false</LinksUpToDate>
  <CharactersWithSpaces>6940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2025-08-29T02:43:00Z</dcterms:created>
  <dc:creator>小刘</dc:creator>
  <cp:lastModifiedBy>WPS_1601460063</cp:lastModifiedBy>
  <dcterms:modified xsi:type="dcterms:W3CDTF">2025-11-28T01:39:08Z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EFF6BE8F3D2548F5AB7B7C0A2B8010A0_13</vt:lpwstr>
  </property>
  <property fmtid="{D5CDD505-2E9C-101B-9397-08002B2CF9AE}" pid="4" name="KSOTemplateDocerSaveRecord">
    <vt:lpwstr>eyJoZGlkIjoiZjg4ZGUzMmU5ZDk0M2FjMzAzOTBhZmQxMjNkNTk0NTYiLCJ1c2VySWQiOiIxMTI2MDc5Mjc4In0=</vt:lpwstr>
  </property>
</Properties>
</file>