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FC3C" w14:textId="77777777" w:rsidR="005B6A03" w:rsidRDefault="005B6A03">
      <w:pPr>
        <w:spacing w:line="360" w:lineRule="auto"/>
        <w:jc w:val="center"/>
        <w:rPr>
          <w:b/>
          <w:bCs/>
          <w:sz w:val="72"/>
          <w:szCs w:val="72"/>
        </w:rPr>
      </w:pPr>
    </w:p>
    <w:p w14:paraId="7C021F9F" w14:textId="77777777" w:rsidR="005B6A03" w:rsidRDefault="005B6A03">
      <w:pPr>
        <w:spacing w:line="360" w:lineRule="auto"/>
        <w:jc w:val="center"/>
        <w:rPr>
          <w:b/>
          <w:bCs/>
          <w:sz w:val="72"/>
          <w:szCs w:val="72"/>
        </w:rPr>
      </w:pPr>
    </w:p>
    <w:p w14:paraId="10801161" w14:textId="77777777" w:rsidR="005B6A03" w:rsidRDefault="00000000">
      <w:pPr>
        <w:pStyle w:val="a6"/>
        <w:rPr>
          <w:sz w:val="48"/>
          <w:szCs w:val="48"/>
        </w:rPr>
      </w:pPr>
      <w:r>
        <w:rPr>
          <w:rFonts w:hint="eastAsia"/>
          <w:sz w:val="48"/>
          <w:szCs w:val="48"/>
        </w:rPr>
        <w:t>《电池储能系统精细化管控关键技术标准》</w:t>
      </w:r>
    </w:p>
    <w:p w14:paraId="61B331A0" w14:textId="77777777" w:rsidR="005B6A03" w:rsidRDefault="005B6A03"/>
    <w:p w14:paraId="47EA0254" w14:textId="77777777" w:rsidR="005B6A03" w:rsidRDefault="00000000">
      <w:pPr>
        <w:pStyle w:val="a6"/>
        <w:rPr>
          <w:sz w:val="48"/>
          <w:szCs w:val="48"/>
        </w:rPr>
      </w:pPr>
      <w:r>
        <w:rPr>
          <w:rFonts w:hint="eastAsia"/>
          <w:sz w:val="48"/>
          <w:szCs w:val="48"/>
        </w:rPr>
        <w:t>编制说明</w:t>
      </w:r>
    </w:p>
    <w:p w14:paraId="078BF5AA" w14:textId="77777777" w:rsidR="005B6A03" w:rsidRDefault="005B6A03">
      <w:pPr>
        <w:spacing w:line="360" w:lineRule="auto"/>
        <w:jc w:val="center"/>
        <w:rPr>
          <w:b/>
          <w:bCs/>
          <w:sz w:val="72"/>
          <w:szCs w:val="72"/>
        </w:rPr>
      </w:pPr>
    </w:p>
    <w:p w14:paraId="1151B2F7" w14:textId="77777777" w:rsidR="005B6A03" w:rsidRDefault="005B6A03">
      <w:pPr>
        <w:spacing w:line="360" w:lineRule="auto"/>
        <w:jc w:val="center"/>
        <w:rPr>
          <w:b/>
          <w:bCs/>
          <w:sz w:val="72"/>
          <w:szCs w:val="72"/>
        </w:rPr>
      </w:pPr>
    </w:p>
    <w:p w14:paraId="29A87DC7" w14:textId="77777777" w:rsidR="005B6A03" w:rsidRDefault="005B6A03">
      <w:pPr>
        <w:spacing w:line="360" w:lineRule="auto"/>
        <w:jc w:val="center"/>
        <w:rPr>
          <w:b/>
          <w:bCs/>
          <w:sz w:val="72"/>
          <w:szCs w:val="72"/>
        </w:rPr>
      </w:pPr>
    </w:p>
    <w:p w14:paraId="3DE6F8B9" w14:textId="77777777" w:rsidR="005B6A03" w:rsidRDefault="005B6A03">
      <w:pPr>
        <w:spacing w:line="360" w:lineRule="auto"/>
        <w:jc w:val="center"/>
        <w:rPr>
          <w:b/>
          <w:bCs/>
          <w:sz w:val="72"/>
          <w:szCs w:val="72"/>
        </w:rPr>
      </w:pPr>
    </w:p>
    <w:p w14:paraId="27E58FD7" w14:textId="77777777" w:rsidR="005B6A03" w:rsidRDefault="005B6A03">
      <w:pPr>
        <w:spacing w:line="360" w:lineRule="auto"/>
        <w:jc w:val="center"/>
        <w:rPr>
          <w:b/>
          <w:bCs/>
          <w:sz w:val="72"/>
          <w:szCs w:val="72"/>
        </w:rPr>
      </w:pPr>
    </w:p>
    <w:p w14:paraId="157FFEFA" w14:textId="77777777" w:rsidR="005B6A03" w:rsidRDefault="005B6A03">
      <w:pPr>
        <w:spacing w:line="360" w:lineRule="auto"/>
        <w:jc w:val="center"/>
        <w:rPr>
          <w:b/>
          <w:bCs/>
          <w:sz w:val="72"/>
          <w:szCs w:val="72"/>
        </w:rPr>
      </w:pPr>
    </w:p>
    <w:p w14:paraId="606D038D" w14:textId="77777777" w:rsidR="005B6A03" w:rsidRDefault="00000000">
      <w:pPr>
        <w:pStyle w:val="a6"/>
        <w:rPr>
          <w:sz w:val="48"/>
          <w:szCs w:val="48"/>
        </w:rPr>
      </w:pPr>
      <w:r>
        <w:rPr>
          <w:rFonts w:hint="eastAsia"/>
          <w:sz w:val="48"/>
          <w:szCs w:val="48"/>
        </w:rPr>
        <w:t>标准编制组</w:t>
      </w:r>
    </w:p>
    <w:p w14:paraId="13A763E9" w14:textId="77777777" w:rsidR="005B6A03" w:rsidRDefault="00000000">
      <w:pPr>
        <w:pStyle w:val="a6"/>
        <w:rPr>
          <w:sz w:val="44"/>
          <w:szCs w:val="44"/>
        </w:rPr>
      </w:pPr>
      <w:r>
        <w:rPr>
          <w:rFonts w:hint="eastAsia"/>
          <w:sz w:val="44"/>
          <w:szCs w:val="44"/>
        </w:rPr>
        <w:t>20</w:t>
      </w:r>
      <w:r>
        <w:rPr>
          <w:sz w:val="44"/>
          <w:szCs w:val="44"/>
        </w:rPr>
        <w:t>2</w:t>
      </w:r>
      <w:r>
        <w:rPr>
          <w:rFonts w:hint="eastAsia"/>
          <w:sz w:val="44"/>
          <w:szCs w:val="44"/>
        </w:rPr>
        <w:t>4.12</w:t>
      </w:r>
    </w:p>
    <w:p w14:paraId="1ABC37C3" w14:textId="77777777" w:rsidR="005B6A03" w:rsidRDefault="00000000">
      <w:pPr>
        <w:numPr>
          <w:ilvl w:val="0"/>
          <w:numId w:val="1"/>
        </w:numPr>
        <w:spacing w:beforeLines="50" w:before="156" w:afterLines="50" w:after="156" w:line="400" w:lineRule="exact"/>
        <w:rPr>
          <w:rFonts w:ascii="宋体" w:hAnsi="宋体" w:hint="eastAsia"/>
          <w:b/>
          <w:bCs/>
          <w:kern w:val="44"/>
          <w:sz w:val="30"/>
          <w:szCs w:val="30"/>
        </w:rPr>
      </w:pPr>
      <w:r>
        <w:rPr>
          <w:sz w:val="28"/>
          <w:szCs w:val="28"/>
        </w:rPr>
        <w:br w:type="column"/>
      </w:r>
      <w:r>
        <w:rPr>
          <w:rFonts w:ascii="宋体" w:hAnsi="宋体" w:hint="eastAsia"/>
          <w:b/>
          <w:bCs/>
          <w:kern w:val="44"/>
          <w:sz w:val="30"/>
          <w:szCs w:val="30"/>
        </w:rPr>
        <w:lastRenderedPageBreak/>
        <w:t>工作简介</w:t>
      </w:r>
    </w:p>
    <w:p w14:paraId="39A528B8" w14:textId="77777777" w:rsidR="005B6A03" w:rsidRDefault="00000000">
      <w:pPr>
        <w:pStyle w:val="a4"/>
        <w:numPr>
          <w:ilvl w:val="1"/>
          <w:numId w:val="2"/>
        </w:numPr>
        <w:spacing w:before="120" w:line="360" w:lineRule="auto"/>
        <w:jc w:val="left"/>
        <w:rPr>
          <w:rFonts w:ascii="宋体" w:hAnsi="宋体" w:hint="eastAsia"/>
          <w:sz w:val="28"/>
          <w:szCs w:val="28"/>
        </w:rPr>
      </w:pPr>
      <w:r>
        <w:rPr>
          <w:rFonts w:ascii="宋体" w:hAnsi="宋体"/>
          <w:sz w:val="28"/>
          <w:szCs w:val="28"/>
        </w:rPr>
        <w:t>任务来源</w:t>
      </w:r>
    </w:p>
    <w:p w14:paraId="3CC12114"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为建立标准指导储能多维状态的评估分析、预警及运行维护，同时立足实时状态，结合复合功能应用实现电池储能系统精细化管控，达到合理利用储能资源，提升储能运行效率提高运行的目的，同时也提高电池储能系统的安全性与经济性。由云南电力试验研究院（集团）有限公司牵头起草申报了团体标准《电池储能系统精细化管控关键技术标准》。</w:t>
      </w:r>
    </w:p>
    <w:p w14:paraId="4603493C" w14:textId="671722C6" w:rsidR="005B6A03" w:rsidRDefault="00000000">
      <w:pPr>
        <w:spacing w:line="360" w:lineRule="auto"/>
        <w:ind w:firstLineChars="200" w:firstLine="640"/>
      </w:pPr>
      <w:r>
        <w:rPr>
          <w:rFonts w:ascii="仿宋" w:eastAsia="仿宋" w:hAnsi="仿宋" w:cs="仿宋" w:hint="eastAsia"/>
          <w:sz w:val="32"/>
          <w:szCs w:val="32"/>
        </w:rPr>
        <w:t>2024年12月通过工业电气传动节能专业委员会申报的团体标准《电池储能系统精细化管控关键技术标准》获批立项；主要参</w:t>
      </w:r>
      <w:r w:rsidR="00ED60F9">
        <w:rPr>
          <w:rFonts w:ascii="仿宋" w:eastAsia="仿宋" w:hAnsi="仿宋" w:cs="仿宋" w:hint="eastAsia"/>
          <w:sz w:val="32"/>
          <w:szCs w:val="32"/>
        </w:rPr>
        <w:t>与</w:t>
      </w:r>
      <w:r>
        <w:rPr>
          <w:rFonts w:ascii="仿宋" w:eastAsia="仿宋" w:hAnsi="仿宋" w:cs="仿宋" w:hint="eastAsia"/>
          <w:sz w:val="32"/>
          <w:szCs w:val="32"/>
        </w:rPr>
        <w:t>单位有</w:t>
      </w:r>
      <w:r w:rsidR="00ED60F9" w:rsidRPr="00ED60F9">
        <w:rPr>
          <w:rFonts w:ascii="仿宋" w:eastAsia="仿宋" w:hAnsi="仿宋" w:cs="仿宋" w:hint="eastAsia"/>
          <w:sz w:val="32"/>
          <w:szCs w:val="32"/>
        </w:rPr>
        <w:t>华能新能源股份有限公司、华电内蒙古能源有限公司、内蒙古京能岱海新能源有限公司、国能（共和）新能源开发有限公司、国能常州发电有限公司、清华大学、大唐三门峡发电有限责任公司、中车株洲电力机车研究所有限公司综合能源事业部、山能新能源（东营）有限公司、中煤木垒新能源有限公司、哈尔滨电站科技开发有限公司、中电建宁夏工程有限公司、西藏开投储能科技有限公司、上海华电电力发展有限公司望亭发电分公司、中</w:t>
      </w:r>
      <w:proofErr w:type="gramStart"/>
      <w:r w:rsidR="00ED60F9" w:rsidRPr="00ED60F9">
        <w:rPr>
          <w:rFonts w:ascii="仿宋" w:eastAsia="仿宋" w:hAnsi="仿宋" w:cs="仿宋" w:hint="eastAsia"/>
          <w:sz w:val="32"/>
          <w:szCs w:val="32"/>
        </w:rPr>
        <w:t>核汇能</w:t>
      </w:r>
      <w:proofErr w:type="gramEnd"/>
      <w:r w:rsidR="00ED60F9" w:rsidRPr="00ED60F9">
        <w:rPr>
          <w:rFonts w:ascii="仿宋" w:eastAsia="仿宋" w:hAnsi="仿宋" w:cs="仿宋" w:hint="eastAsia"/>
          <w:sz w:val="32"/>
          <w:szCs w:val="32"/>
        </w:rPr>
        <w:t>（内蒙古）能源有限公司、中</w:t>
      </w:r>
      <w:proofErr w:type="gramStart"/>
      <w:r w:rsidR="00ED60F9" w:rsidRPr="00ED60F9">
        <w:rPr>
          <w:rFonts w:ascii="仿宋" w:eastAsia="仿宋" w:hAnsi="仿宋" w:cs="仿宋" w:hint="eastAsia"/>
          <w:sz w:val="32"/>
          <w:szCs w:val="32"/>
        </w:rPr>
        <w:t>核汇能</w:t>
      </w:r>
      <w:proofErr w:type="gramEnd"/>
      <w:r w:rsidR="00ED60F9" w:rsidRPr="00ED60F9">
        <w:rPr>
          <w:rFonts w:ascii="仿宋" w:eastAsia="仿宋" w:hAnsi="仿宋" w:cs="仿宋" w:hint="eastAsia"/>
          <w:sz w:val="32"/>
          <w:szCs w:val="32"/>
        </w:rPr>
        <w:t>江苏能源有限公司、华电福新（雅江）能源发展有限公司、华能新能源股份有限公司云南分公司、中信泰富能源有限公司、浙江浙能电力股份有限公司萧山发电厂、辽宁大唐国际新能源有限公司本溪分公司、</w:t>
      </w:r>
      <w:r w:rsidR="00ED60F9" w:rsidRPr="00ED60F9">
        <w:rPr>
          <w:rFonts w:ascii="仿宋" w:eastAsia="仿宋" w:hAnsi="仿宋" w:cs="仿宋" w:hint="eastAsia"/>
          <w:sz w:val="32"/>
          <w:szCs w:val="32"/>
        </w:rPr>
        <w:lastRenderedPageBreak/>
        <w:t>天津泰达综合能源服务有限公司</w:t>
      </w:r>
      <w:r w:rsidR="009D6FCE">
        <w:rPr>
          <w:rFonts w:ascii="仿宋" w:eastAsia="仿宋" w:hAnsi="仿宋" w:cs="仿宋" w:hint="eastAsia"/>
          <w:sz w:val="32"/>
          <w:szCs w:val="32"/>
        </w:rPr>
        <w:t>、内蒙古华电辉腾锡勒风力发电有限公司</w:t>
      </w:r>
      <w:r>
        <w:rPr>
          <w:rFonts w:ascii="仿宋" w:eastAsia="仿宋" w:hAnsi="仿宋" w:cs="仿宋" w:hint="eastAsia"/>
          <w:sz w:val="32"/>
          <w:szCs w:val="32"/>
        </w:rPr>
        <w:t>。</w:t>
      </w:r>
    </w:p>
    <w:p w14:paraId="24BB6B98" w14:textId="77777777" w:rsidR="005B6A03" w:rsidRDefault="00000000">
      <w:pPr>
        <w:pStyle w:val="a4"/>
        <w:numPr>
          <w:ilvl w:val="1"/>
          <w:numId w:val="2"/>
        </w:numPr>
        <w:spacing w:before="120" w:line="360" w:lineRule="auto"/>
        <w:jc w:val="left"/>
        <w:rPr>
          <w:rFonts w:ascii="宋体" w:eastAsia="仿宋_GB2312" w:hAnsi="宋体" w:hint="eastAsia"/>
          <w:sz w:val="28"/>
          <w:szCs w:val="28"/>
        </w:rPr>
      </w:pPr>
      <w:r>
        <w:rPr>
          <w:rFonts w:ascii="宋体" w:eastAsia="仿宋_GB2312" w:hAnsi="宋体" w:hint="eastAsia"/>
          <w:sz w:val="28"/>
          <w:szCs w:val="28"/>
        </w:rPr>
        <w:t>标准编制的目的及必要性</w:t>
      </w:r>
    </w:p>
    <w:p w14:paraId="004ED34A" w14:textId="77777777" w:rsidR="005B6A03" w:rsidRDefault="00000000">
      <w:pPr>
        <w:ind w:firstLineChars="200" w:firstLine="640"/>
      </w:pPr>
      <w:r>
        <w:rPr>
          <w:rFonts w:ascii="仿宋" w:eastAsia="仿宋" w:hAnsi="仿宋" w:cs="仿宋" w:hint="eastAsia"/>
          <w:sz w:val="32"/>
          <w:szCs w:val="32"/>
        </w:rPr>
        <w:t>中国已投运电力储能项目近年来呈现快速增长趋势，新增装机中一半以上规模分布在电源侧，时长以1-2小时为主，4小时以上项目逐步增加。但目前电池储能系统在生产运行中面临诸多问题：①运行安全问题：电气滥用、机械滥用等多种原因导致热失控；电池储能系统性能失效机理复杂，易出现寿命衰减、电池不一致性增大、倍率性能降低等问题；②运行维护困难：高度集成运维难度加大，容量越大单体数量及数据点越多，海量设备运维管控困难；非计划停运次数明显高于传统机组；③储能利用效率不足：储能性能衰减程度高，运行五年以上平均转换效率和综合效率明显下降；同时平均利用率较电站平均设计利用小时数相距甚远，造成资源浪费。针对以上痛点，需要建立标准指导储能多维状态的评估分析、预警及运行维护，同时立足实时状态，结合复合功能应用实现电池储能系统精细化管控，达到合理利用储能资源，提升储能运行效率提高运行的目的，同时也提高电池储能系统的安全性与经济性。</w:t>
      </w:r>
    </w:p>
    <w:p w14:paraId="48567BF2" w14:textId="77777777" w:rsidR="005B6A03" w:rsidRDefault="00000000">
      <w:pPr>
        <w:pStyle w:val="a4"/>
        <w:numPr>
          <w:ilvl w:val="1"/>
          <w:numId w:val="2"/>
        </w:numPr>
        <w:spacing w:before="120" w:line="360" w:lineRule="auto"/>
        <w:jc w:val="left"/>
      </w:pPr>
      <w:r>
        <w:rPr>
          <w:rFonts w:ascii="宋体" w:eastAsia="仿宋_GB2312" w:hAnsi="宋体" w:hint="eastAsia"/>
          <w:sz w:val="28"/>
          <w:szCs w:val="28"/>
        </w:rPr>
        <w:t>编制</w:t>
      </w:r>
      <w:r>
        <w:rPr>
          <w:rFonts w:ascii="宋体" w:hAnsi="宋体" w:hint="eastAsia"/>
          <w:sz w:val="28"/>
          <w:szCs w:val="28"/>
        </w:rPr>
        <w:t>过程</w:t>
      </w:r>
    </w:p>
    <w:p w14:paraId="6BA9FBDA"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2024年12月本</w:t>
      </w:r>
      <w:proofErr w:type="gramStart"/>
      <w:r>
        <w:rPr>
          <w:rFonts w:ascii="仿宋" w:eastAsia="仿宋" w:hAnsi="仿宋" w:cs="仿宋" w:hint="eastAsia"/>
          <w:sz w:val="32"/>
          <w:szCs w:val="32"/>
        </w:rPr>
        <w:t>标准获</w:t>
      </w:r>
      <w:proofErr w:type="gramEnd"/>
      <w:r>
        <w:rPr>
          <w:rFonts w:ascii="仿宋" w:eastAsia="仿宋" w:hAnsi="仿宋" w:cs="仿宋" w:hint="eastAsia"/>
          <w:sz w:val="32"/>
          <w:szCs w:val="32"/>
        </w:rPr>
        <w:t>批立项；</w:t>
      </w:r>
    </w:p>
    <w:p w14:paraId="759ABDDC"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2025年1月-3月，编写组搜集研究相关标准；</w:t>
      </w:r>
    </w:p>
    <w:p w14:paraId="05ECAA54"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2025年4月-6月，编写组在整理相关标准材料基础上进行了走访调研，理清行业现状和需求；</w:t>
      </w:r>
    </w:p>
    <w:p w14:paraId="3B72F085"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2025年7月-9月，编写组完成了标准初稿编写。</w:t>
      </w:r>
    </w:p>
    <w:p w14:paraId="17B98797" w14:textId="77777777" w:rsidR="005B6A03" w:rsidRDefault="005B6A03"/>
    <w:p w14:paraId="4326DC92" w14:textId="77777777" w:rsidR="005B6A03" w:rsidRDefault="00000000">
      <w:pPr>
        <w:numPr>
          <w:ilvl w:val="0"/>
          <w:numId w:val="1"/>
        </w:numPr>
        <w:spacing w:beforeLines="50" w:before="156" w:afterLines="50" w:after="156" w:line="400" w:lineRule="exact"/>
        <w:rPr>
          <w:rFonts w:ascii="宋体" w:hAnsi="宋体" w:hint="eastAsia"/>
          <w:b/>
          <w:bCs/>
          <w:kern w:val="44"/>
          <w:sz w:val="30"/>
          <w:szCs w:val="30"/>
        </w:rPr>
      </w:pPr>
      <w:r>
        <w:rPr>
          <w:rFonts w:ascii="宋体" w:hAnsi="宋体" w:hint="eastAsia"/>
          <w:b/>
          <w:bCs/>
          <w:kern w:val="44"/>
          <w:sz w:val="30"/>
          <w:szCs w:val="30"/>
        </w:rPr>
        <w:t>编制原则</w:t>
      </w:r>
    </w:p>
    <w:p w14:paraId="454E5F51"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标准起草单位通过成立标准编制小组，查阅国内外相关资料，遵循“统一性、协调性、适用性、一致性和规范性”原则，完成《电池储能系统精细化管控关键技术标准》讨论稿（草案）和编制说明（草案）。</w:t>
      </w:r>
    </w:p>
    <w:p w14:paraId="3FC4034A"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本着以与实际相结合，促进技术进步，资源综合利用及先进性、科学性、合理性和可操作性的制订原则。</w:t>
      </w:r>
    </w:p>
    <w:p w14:paraId="6BBBBB94" w14:textId="77777777" w:rsidR="005B6A03" w:rsidRDefault="00000000">
      <w:pPr>
        <w:pStyle w:val="a4"/>
        <w:spacing w:before="120" w:line="360" w:lineRule="auto"/>
        <w:jc w:val="left"/>
        <w:rPr>
          <w:rFonts w:ascii="Times New Roman" w:eastAsia="仿宋_GB2312" w:hAnsi="Times New Roman"/>
          <w:sz w:val="28"/>
          <w:szCs w:val="28"/>
        </w:rPr>
      </w:pPr>
      <w:r>
        <w:rPr>
          <w:rFonts w:ascii="Times New Roman" w:eastAsia="仿宋_GB2312" w:hAnsi="Times New Roman" w:hint="eastAsia"/>
          <w:sz w:val="28"/>
          <w:szCs w:val="28"/>
        </w:rPr>
        <w:t xml:space="preserve">2.1 </w:t>
      </w:r>
      <w:r>
        <w:rPr>
          <w:rFonts w:ascii="Times New Roman" w:eastAsia="仿宋_GB2312" w:hAnsi="Times New Roman" w:hint="eastAsia"/>
          <w:sz w:val="28"/>
          <w:szCs w:val="28"/>
        </w:rPr>
        <w:t>符合性</w:t>
      </w:r>
    </w:p>
    <w:p w14:paraId="51CE8653"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本标准按照GB/T 1.1-2020《标准化工作导则 第1部分：标准化文件的结构和起草规则》的要求进行编写。</w:t>
      </w:r>
    </w:p>
    <w:p w14:paraId="6EE6A4F5" w14:textId="77777777" w:rsidR="005B6A03" w:rsidRDefault="00000000">
      <w:pPr>
        <w:pStyle w:val="a4"/>
        <w:spacing w:before="120" w:line="360" w:lineRule="auto"/>
        <w:jc w:val="left"/>
        <w:rPr>
          <w:rFonts w:ascii="Times New Roman" w:eastAsia="仿宋_GB2312" w:hAnsi="Times New Roman"/>
          <w:sz w:val="28"/>
          <w:szCs w:val="28"/>
        </w:rPr>
      </w:pPr>
      <w:r>
        <w:rPr>
          <w:rFonts w:ascii="Times New Roman" w:eastAsia="仿宋_GB2312" w:hAnsi="Times New Roman" w:hint="eastAsia"/>
          <w:sz w:val="28"/>
          <w:szCs w:val="28"/>
        </w:rPr>
        <w:t xml:space="preserve">2.2 </w:t>
      </w:r>
      <w:r>
        <w:rPr>
          <w:rFonts w:ascii="Times New Roman" w:eastAsia="仿宋_GB2312" w:hAnsi="Times New Roman" w:hint="eastAsia"/>
          <w:sz w:val="28"/>
          <w:szCs w:val="28"/>
        </w:rPr>
        <w:t>先进性</w:t>
      </w:r>
    </w:p>
    <w:p w14:paraId="0CBDCC22"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本标准是首次制订，没有现行的相关标准。</w:t>
      </w:r>
    </w:p>
    <w:p w14:paraId="50C7CAAC" w14:textId="77777777" w:rsidR="005B6A03" w:rsidRDefault="00000000">
      <w:pPr>
        <w:pStyle w:val="a4"/>
        <w:spacing w:before="120" w:line="360" w:lineRule="auto"/>
        <w:jc w:val="left"/>
        <w:rPr>
          <w:rFonts w:ascii="Times New Roman" w:eastAsia="仿宋_GB2312" w:hAnsi="Times New Roman"/>
          <w:sz w:val="28"/>
          <w:szCs w:val="28"/>
        </w:rPr>
      </w:pPr>
      <w:r>
        <w:rPr>
          <w:rFonts w:ascii="Times New Roman" w:eastAsia="仿宋_GB2312" w:hAnsi="Times New Roman" w:hint="eastAsia"/>
          <w:sz w:val="28"/>
          <w:szCs w:val="28"/>
        </w:rPr>
        <w:t xml:space="preserve">2.3 </w:t>
      </w:r>
      <w:r>
        <w:rPr>
          <w:rFonts w:ascii="Times New Roman" w:eastAsia="仿宋_GB2312" w:hAnsi="Times New Roman" w:hint="eastAsia"/>
          <w:sz w:val="28"/>
          <w:szCs w:val="28"/>
        </w:rPr>
        <w:t>合理性</w:t>
      </w:r>
    </w:p>
    <w:p w14:paraId="2C6998B1"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标准的内容便于实施，并且易于被国内外同行业所引用。</w:t>
      </w:r>
    </w:p>
    <w:p w14:paraId="1413BE9C" w14:textId="77777777" w:rsidR="005B6A03" w:rsidRDefault="00000000">
      <w:pPr>
        <w:numPr>
          <w:ilvl w:val="0"/>
          <w:numId w:val="1"/>
        </w:numPr>
        <w:spacing w:beforeLines="50" w:before="156" w:afterLines="50" w:after="156" w:line="400" w:lineRule="exact"/>
        <w:rPr>
          <w:rFonts w:ascii="宋体" w:hAnsi="宋体" w:hint="eastAsia"/>
          <w:b/>
          <w:bCs/>
          <w:kern w:val="44"/>
          <w:sz w:val="30"/>
          <w:szCs w:val="30"/>
        </w:rPr>
      </w:pPr>
      <w:r>
        <w:rPr>
          <w:rFonts w:ascii="宋体" w:hAnsi="宋体" w:hint="eastAsia"/>
          <w:b/>
          <w:bCs/>
          <w:kern w:val="44"/>
          <w:sz w:val="30"/>
          <w:szCs w:val="30"/>
        </w:rPr>
        <w:t>主要技术内容及其论据</w:t>
      </w:r>
    </w:p>
    <w:p w14:paraId="2279A050"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本标准技术内容主要包含三个部分，分别是电池储能系</w:t>
      </w:r>
      <w:r>
        <w:rPr>
          <w:rFonts w:ascii="仿宋" w:eastAsia="仿宋" w:hAnsi="仿宋" w:cs="仿宋" w:hint="eastAsia"/>
          <w:sz w:val="32"/>
          <w:szCs w:val="32"/>
        </w:rPr>
        <w:lastRenderedPageBreak/>
        <w:t>统状态评估技术、储能系统精细化控制技术和储能系统协同优化控制技术。</w:t>
      </w:r>
    </w:p>
    <w:p w14:paraId="5B9C682C"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国内现有的相关标准，涉及电池及储能性能、能量系统功能、检测技术规范等。但目前主要聚焦于储能系统特定部分的技术要求及检测规范，缺乏系统性针对电池储能系统精细化管</w:t>
      </w:r>
      <w:proofErr w:type="gramStart"/>
      <w:r>
        <w:rPr>
          <w:rFonts w:ascii="仿宋" w:eastAsia="仿宋" w:hAnsi="仿宋" w:cs="仿宋" w:hint="eastAsia"/>
          <w:sz w:val="32"/>
          <w:szCs w:val="32"/>
        </w:rPr>
        <w:t>控关键</w:t>
      </w:r>
      <w:proofErr w:type="gramEnd"/>
      <w:r>
        <w:rPr>
          <w:rFonts w:ascii="仿宋" w:eastAsia="仿宋" w:hAnsi="仿宋" w:cs="仿宋" w:hint="eastAsia"/>
          <w:sz w:val="32"/>
          <w:szCs w:val="32"/>
        </w:rPr>
        <w:t>技术标准，需要进一步规范化和标准化。本标准涉及的储能电站能效指标应包括电站综合效率、储能损耗率、站用电率以及储能单元充放电能量效率等。各技术指标的具体技术方式如下：</w:t>
      </w:r>
    </w:p>
    <w:p w14:paraId="221476D5"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电站综合效率</w:t>
      </w:r>
    </w:p>
    <w:p w14:paraId="6A248471"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储能电站综合效率应为评价周期内,储能电站生产运行过程中上网电量与下网电量的比值,按式(</w:t>
      </w:r>
      <w:r>
        <w:rPr>
          <w:rFonts w:ascii="仿宋" w:eastAsia="仿宋" w:hAnsi="仿宋" w:cs="仿宋" w:hint="eastAsia"/>
          <w:sz w:val="32"/>
          <w:szCs w:val="32"/>
        </w:rPr>
        <w:t>1</w:t>
      </w:r>
      <w:r>
        <w:rPr>
          <w:rFonts w:ascii="仿宋" w:eastAsia="仿宋" w:hAnsi="仿宋" w:cs="仿宋"/>
          <w:sz w:val="32"/>
          <w:szCs w:val="32"/>
        </w:rPr>
        <w:t>)计算:</w:t>
      </w:r>
    </w:p>
    <w:p w14:paraId="0110F68F" w14:textId="77777777" w:rsidR="005B6A03" w:rsidRDefault="00000000">
      <w:pPr>
        <w:spacing w:line="360" w:lineRule="auto"/>
        <w:ind w:firstLineChars="200" w:firstLine="640"/>
        <w:rPr>
          <w:rFonts w:ascii="仿宋" w:eastAsia="仿宋" w:hAnsi="仿宋" w:cs="仿宋" w:hint="eastAsia"/>
          <w:sz w:val="32"/>
          <w:szCs w:val="32"/>
        </w:rPr>
      </w:pPr>
      <w:proofErr w:type="spellStart"/>
      <w:r>
        <w:rPr>
          <w:rFonts w:ascii="仿宋" w:eastAsia="仿宋" w:hAnsi="仿宋" w:cs="仿宋"/>
          <w:sz w:val="32"/>
          <w:szCs w:val="32"/>
        </w:rPr>
        <w:t>η</w:t>
      </w:r>
      <w:r>
        <w:rPr>
          <w:rFonts w:ascii="仿宋" w:eastAsia="仿宋" w:hAnsi="仿宋" w:cs="仿宋"/>
          <w:sz w:val="32"/>
          <w:szCs w:val="32"/>
          <w:vertAlign w:val="subscript"/>
        </w:rPr>
        <w:t>EESS</w:t>
      </w:r>
      <w:proofErr w:type="spellEnd"/>
      <w:r>
        <w:rPr>
          <w:rFonts w:ascii="仿宋" w:eastAsia="仿宋" w:hAnsi="仿宋" w:cs="仿宋"/>
          <w:sz w:val="32"/>
          <w:szCs w:val="32"/>
        </w:rPr>
        <w:t xml:space="preserve"> =E</w:t>
      </w:r>
      <w:r>
        <w:rPr>
          <w:rFonts w:ascii="仿宋" w:eastAsia="仿宋" w:hAnsi="仿宋" w:cs="仿宋"/>
          <w:sz w:val="32"/>
          <w:szCs w:val="32"/>
          <w:vertAlign w:val="subscript"/>
        </w:rPr>
        <w:t>on</w:t>
      </w:r>
      <w:r>
        <w:rPr>
          <w:rFonts w:ascii="仿宋" w:eastAsia="仿宋" w:hAnsi="仿宋" w:cs="仿宋" w:hint="eastAsia"/>
          <w:sz w:val="32"/>
          <w:szCs w:val="32"/>
        </w:rPr>
        <w:t>/</w:t>
      </w:r>
      <w:r>
        <w:rPr>
          <w:rFonts w:ascii="仿宋" w:eastAsia="仿宋" w:hAnsi="仿宋" w:cs="仿宋"/>
          <w:sz w:val="32"/>
          <w:szCs w:val="32"/>
        </w:rPr>
        <w:t>E</w:t>
      </w:r>
      <w:r>
        <w:rPr>
          <w:rFonts w:ascii="仿宋" w:eastAsia="仿宋" w:hAnsi="仿宋" w:cs="仿宋"/>
          <w:sz w:val="32"/>
          <w:szCs w:val="32"/>
          <w:vertAlign w:val="subscript"/>
        </w:rPr>
        <w:t>off</w:t>
      </w:r>
      <w:r>
        <w:rPr>
          <w:rFonts w:ascii="仿宋" w:eastAsia="仿宋" w:hAnsi="仿宋" w:cs="仿宋"/>
          <w:sz w:val="32"/>
          <w:szCs w:val="32"/>
        </w:rPr>
        <w:t>×100% ………………………</w:t>
      </w:r>
      <w:proofErr w:type="gramStart"/>
      <w:r>
        <w:rPr>
          <w:rFonts w:ascii="仿宋" w:eastAsia="仿宋" w:hAnsi="仿宋" w:cs="仿宋"/>
          <w:sz w:val="32"/>
          <w:szCs w:val="32"/>
        </w:rPr>
        <w:t>…(</w:t>
      </w:r>
      <w:proofErr w:type="gramEnd"/>
      <w:r>
        <w:rPr>
          <w:rFonts w:ascii="仿宋" w:eastAsia="仿宋" w:hAnsi="仿宋" w:cs="仿宋" w:hint="eastAsia"/>
          <w:sz w:val="32"/>
          <w:szCs w:val="32"/>
        </w:rPr>
        <w:t>1</w:t>
      </w:r>
      <w:r>
        <w:rPr>
          <w:rFonts w:ascii="仿宋" w:eastAsia="仿宋" w:hAnsi="仿宋" w:cs="仿宋"/>
          <w:sz w:val="32"/>
          <w:szCs w:val="32"/>
        </w:rPr>
        <w:t>)</w:t>
      </w:r>
    </w:p>
    <w:p w14:paraId="79104BCD"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式中:</w:t>
      </w:r>
    </w:p>
    <w:p w14:paraId="7D6338D6" w14:textId="77777777" w:rsidR="005B6A03" w:rsidRDefault="00000000">
      <w:pPr>
        <w:spacing w:line="360" w:lineRule="auto"/>
        <w:ind w:firstLineChars="200" w:firstLine="640"/>
        <w:rPr>
          <w:rFonts w:ascii="仿宋" w:eastAsia="仿宋" w:hAnsi="仿宋" w:cs="仿宋" w:hint="eastAsia"/>
          <w:sz w:val="32"/>
          <w:szCs w:val="32"/>
        </w:rPr>
      </w:pPr>
      <w:proofErr w:type="spellStart"/>
      <w:r>
        <w:rPr>
          <w:rFonts w:ascii="仿宋" w:eastAsia="仿宋" w:hAnsi="仿宋" w:cs="仿宋"/>
          <w:sz w:val="32"/>
          <w:szCs w:val="32"/>
        </w:rPr>
        <w:t>η</w:t>
      </w:r>
      <w:r>
        <w:rPr>
          <w:rFonts w:ascii="仿宋" w:eastAsia="仿宋" w:hAnsi="仿宋" w:cs="仿宋"/>
          <w:sz w:val="32"/>
          <w:szCs w:val="32"/>
          <w:vertAlign w:val="subscript"/>
        </w:rPr>
        <w:t>EESS</w:t>
      </w:r>
      <w:proofErr w:type="spellEnd"/>
      <w:r>
        <w:rPr>
          <w:rFonts w:ascii="仿宋" w:eastAsia="仿宋" w:hAnsi="仿宋" w:cs="仿宋"/>
          <w:sz w:val="32"/>
          <w:szCs w:val="32"/>
        </w:rPr>
        <w:t>——</w:t>
      </w:r>
      <w:proofErr w:type="gramStart"/>
      <w:r>
        <w:rPr>
          <w:rFonts w:ascii="仿宋" w:eastAsia="仿宋" w:hAnsi="仿宋" w:cs="仿宋"/>
          <w:sz w:val="32"/>
          <w:szCs w:val="32"/>
        </w:rPr>
        <w:t>—</w:t>
      </w:r>
      <w:proofErr w:type="gramEnd"/>
      <w:r>
        <w:rPr>
          <w:rFonts w:ascii="仿宋" w:eastAsia="仿宋" w:hAnsi="仿宋" w:cs="仿宋"/>
          <w:sz w:val="32"/>
          <w:szCs w:val="32"/>
        </w:rPr>
        <w:t>储能电站综合效率,%;</w:t>
      </w:r>
    </w:p>
    <w:p w14:paraId="4FBA3C57"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w:t>
      </w:r>
      <w:r>
        <w:rPr>
          <w:rFonts w:ascii="仿宋" w:eastAsia="仿宋" w:hAnsi="仿宋" w:cs="仿宋"/>
          <w:sz w:val="32"/>
          <w:szCs w:val="32"/>
          <w:vertAlign w:val="subscript"/>
        </w:rPr>
        <w:t>on</w:t>
      </w:r>
      <w:r>
        <w:rPr>
          <w:rFonts w:ascii="仿宋" w:eastAsia="仿宋" w:hAnsi="仿宋" w:cs="仿宋"/>
          <w:sz w:val="32"/>
          <w:szCs w:val="32"/>
        </w:rPr>
        <w:t xml:space="preserve"> ——</w:t>
      </w:r>
      <w:proofErr w:type="gramStart"/>
      <w:r>
        <w:rPr>
          <w:rFonts w:ascii="仿宋" w:eastAsia="仿宋" w:hAnsi="仿宋" w:cs="仿宋"/>
          <w:sz w:val="32"/>
          <w:szCs w:val="32"/>
        </w:rPr>
        <w:t>—</w:t>
      </w:r>
      <w:proofErr w:type="gramEnd"/>
      <w:r>
        <w:rPr>
          <w:rFonts w:ascii="仿宋" w:eastAsia="仿宋" w:hAnsi="仿宋" w:cs="仿宋"/>
          <w:sz w:val="32"/>
          <w:szCs w:val="32"/>
        </w:rPr>
        <w:t>评价周期内储能电站的上网电量,单位为千瓦时(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w:t>
      </w:r>
    </w:p>
    <w:p w14:paraId="2F8813A6"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w:t>
      </w:r>
      <w:r>
        <w:rPr>
          <w:rFonts w:ascii="仿宋" w:eastAsia="仿宋" w:hAnsi="仿宋" w:cs="仿宋"/>
          <w:sz w:val="32"/>
          <w:szCs w:val="32"/>
          <w:vertAlign w:val="subscript"/>
        </w:rPr>
        <w:t>off</w:t>
      </w:r>
      <w:r>
        <w:rPr>
          <w:rFonts w:ascii="仿宋" w:eastAsia="仿宋" w:hAnsi="仿宋" w:cs="仿宋"/>
          <w:sz w:val="32"/>
          <w:szCs w:val="32"/>
        </w:rPr>
        <w:t xml:space="preserve"> ——</w:t>
      </w:r>
      <w:proofErr w:type="gramStart"/>
      <w:r>
        <w:rPr>
          <w:rFonts w:ascii="仿宋" w:eastAsia="仿宋" w:hAnsi="仿宋" w:cs="仿宋"/>
          <w:sz w:val="32"/>
          <w:szCs w:val="32"/>
        </w:rPr>
        <w:t>—</w:t>
      </w:r>
      <w:proofErr w:type="gramEnd"/>
      <w:r>
        <w:rPr>
          <w:rFonts w:ascii="仿宋" w:eastAsia="仿宋" w:hAnsi="仿宋" w:cs="仿宋"/>
          <w:sz w:val="32"/>
          <w:szCs w:val="32"/>
        </w:rPr>
        <w:t>评价周期内储能电站的下网电量,单位为千瓦时(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w:t>
      </w:r>
    </w:p>
    <w:p w14:paraId="4A313D71"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电站储能损耗率</w:t>
      </w:r>
    </w:p>
    <w:p w14:paraId="685389A9"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储能损耗率应为储能电站在评价周期内,各储能单元充电、放电和能量储存过程总的电能损耗与下</w:t>
      </w:r>
    </w:p>
    <w:p w14:paraId="403F2689"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lastRenderedPageBreak/>
        <w:t>网电量的比值,按式(</w:t>
      </w:r>
      <w:r>
        <w:rPr>
          <w:rFonts w:ascii="仿宋" w:eastAsia="仿宋" w:hAnsi="仿宋" w:cs="仿宋" w:hint="eastAsia"/>
          <w:sz w:val="32"/>
          <w:szCs w:val="32"/>
        </w:rPr>
        <w:t>2</w:t>
      </w:r>
      <w:r>
        <w:rPr>
          <w:rFonts w:ascii="仿宋" w:eastAsia="仿宋" w:hAnsi="仿宋" w:cs="仿宋"/>
          <w:sz w:val="32"/>
          <w:szCs w:val="32"/>
        </w:rPr>
        <w:t>)计算:</w:t>
      </w:r>
    </w:p>
    <w:p w14:paraId="6CBA885B"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RES =</w:t>
      </w:r>
      <w:r>
        <w:rPr>
          <w:rFonts w:ascii="仿宋" w:eastAsia="仿宋" w:hAnsi="仿宋" w:cs="仿宋" w:hint="eastAsia"/>
          <w:sz w:val="32"/>
          <w:szCs w:val="32"/>
        </w:rPr>
        <w:t>（</w:t>
      </w:r>
      <w:r>
        <w:rPr>
          <w:rFonts w:ascii="仿宋" w:eastAsia="仿宋" w:hAnsi="仿宋" w:cs="仿宋"/>
          <w:sz w:val="32"/>
          <w:szCs w:val="32"/>
        </w:rPr>
        <w:t>∑EC -∑ED</w:t>
      </w:r>
      <w:r>
        <w:rPr>
          <w:rFonts w:ascii="仿宋" w:eastAsia="仿宋" w:hAnsi="仿宋" w:cs="仿宋" w:hint="eastAsia"/>
          <w:sz w:val="32"/>
          <w:szCs w:val="32"/>
        </w:rPr>
        <w:t>）/</w:t>
      </w:r>
      <w:r>
        <w:rPr>
          <w:rFonts w:ascii="仿宋" w:eastAsia="仿宋" w:hAnsi="仿宋" w:cs="仿宋"/>
          <w:sz w:val="32"/>
          <w:szCs w:val="32"/>
        </w:rPr>
        <w:t>E</w:t>
      </w:r>
      <w:r>
        <w:rPr>
          <w:rFonts w:ascii="仿宋" w:eastAsia="仿宋" w:hAnsi="仿宋" w:cs="仿宋"/>
          <w:sz w:val="32"/>
          <w:szCs w:val="32"/>
          <w:vertAlign w:val="subscript"/>
        </w:rPr>
        <w:t>off</w:t>
      </w:r>
      <w:r>
        <w:rPr>
          <w:rFonts w:ascii="仿宋" w:eastAsia="仿宋" w:hAnsi="仿宋" w:cs="仿宋"/>
          <w:sz w:val="32"/>
          <w:szCs w:val="32"/>
        </w:rPr>
        <w:t>×100% ……</w:t>
      </w:r>
      <w:proofErr w:type="gramStart"/>
      <w:r>
        <w:rPr>
          <w:rFonts w:ascii="仿宋" w:eastAsia="仿宋" w:hAnsi="仿宋" w:cs="仿宋"/>
          <w:sz w:val="32"/>
          <w:szCs w:val="32"/>
        </w:rPr>
        <w:t>…</w:t>
      </w:r>
      <w:proofErr w:type="gramEnd"/>
      <w:r>
        <w:rPr>
          <w:rFonts w:ascii="仿宋" w:eastAsia="仿宋" w:hAnsi="仿宋" w:cs="仿宋"/>
          <w:sz w:val="32"/>
          <w:szCs w:val="32"/>
        </w:rPr>
        <w:t>(</w:t>
      </w:r>
      <w:r>
        <w:rPr>
          <w:rFonts w:ascii="仿宋" w:eastAsia="仿宋" w:hAnsi="仿宋" w:cs="仿宋" w:hint="eastAsia"/>
          <w:sz w:val="32"/>
          <w:szCs w:val="32"/>
        </w:rPr>
        <w:t>2</w:t>
      </w:r>
      <w:r>
        <w:rPr>
          <w:rFonts w:ascii="仿宋" w:eastAsia="仿宋" w:hAnsi="仿宋" w:cs="仿宋"/>
          <w:sz w:val="32"/>
          <w:szCs w:val="32"/>
        </w:rPr>
        <w:t>)</w:t>
      </w:r>
    </w:p>
    <w:p w14:paraId="60064BF8"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式中:</w:t>
      </w:r>
    </w:p>
    <w:p w14:paraId="3B391721"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RES ——</w:t>
      </w:r>
      <w:proofErr w:type="gramStart"/>
      <w:r>
        <w:rPr>
          <w:rFonts w:ascii="仿宋" w:eastAsia="仿宋" w:hAnsi="仿宋" w:cs="仿宋"/>
          <w:sz w:val="32"/>
          <w:szCs w:val="32"/>
        </w:rPr>
        <w:t>—</w:t>
      </w:r>
      <w:proofErr w:type="gramEnd"/>
      <w:r>
        <w:rPr>
          <w:rFonts w:ascii="仿宋" w:eastAsia="仿宋" w:hAnsi="仿宋" w:cs="仿宋"/>
          <w:sz w:val="32"/>
          <w:szCs w:val="32"/>
        </w:rPr>
        <w:t>电站储能损耗率,%。</w:t>
      </w:r>
    </w:p>
    <w:p w14:paraId="696A77D6"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∑EC——</w:t>
      </w:r>
      <w:proofErr w:type="gramStart"/>
      <w:r>
        <w:rPr>
          <w:rFonts w:ascii="仿宋" w:eastAsia="仿宋" w:hAnsi="仿宋" w:cs="仿宋"/>
          <w:sz w:val="32"/>
          <w:szCs w:val="32"/>
        </w:rPr>
        <w:t>—</w:t>
      </w:r>
      <w:proofErr w:type="gramEnd"/>
      <w:r>
        <w:rPr>
          <w:rFonts w:ascii="仿宋" w:eastAsia="仿宋" w:hAnsi="仿宋" w:cs="仿宋"/>
          <w:sz w:val="32"/>
          <w:szCs w:val="32"/>
        </w:rPr>
        <w:t>评价周期内各储能单元的充电量总和,单位为千瓦时(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w:t>
      </w:r>
    </w:p>
    <w:p w14:paraId="305C3817"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∑ED——</w:t>
      </w:r>
      <w:proofErr w:type="gramStart"/>
      <w:r>
        <w:rPr>
          <w:rFonts w:ascii="仿宋" w:eastAsia="仿宋" w:hAnsi="仿宋" w:cs="仿宋"/>
          <w:sz w:val="32"/>
          <w:szCs w:val="32"/>
        </w:rPr>
        <w:t>—</w:t>
      </w:r>
      <w:proofErr w:type="gramEnd"/>
      <w:r>
        <w:rPr>
          <w:rFonts w:ascii="仿宋" w:eastAsia="仿宋" w:hAnsi="仿宋" w:cs="仿宋"/>
          <w:sz w:val="32"/>
          <w:szCs w:val="32"/>
        </w:rPr>
        <w:t>评价周期内各储能单元的放电量总和,单位为千瓦时(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w:t>
      </w:r>
    </w:p>
    <w:p w14:paraId="29F2E7FC"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w:t>
      </w:r>
      <w:r>
        <w:rPr>
          <w:rFonts w:ascii="仿宋" w:eastAsia="仿宋" w:hAnsi="仿宋" w:cs="仿宋"/>
          <w:sz w:val="32"/>
          <w:szCs w:val="32"/>
          <w:vertAlign w:val="subscript"/>
        </w:rPr>
        <w:t>off</w:t>
      </w:r>
      <w:r>
        <w:rPr>
          <w:rFonts w:ascii="仿宋" w:eastAsia="仿宋" w:hAnsi="仿宋" w:cs="仿宋"/>
          <w:sz w:val="32"/>
          <w:szCs w:val="32"/>
        </w:rPr>
        <w:t xml:space="preserve"> ——</w:t>
      </w:r>
      <w:proofErr w:type="gramStart"/>
      <w:r>
        <w:rPr>
          <w:rFonts w:ascii="仿宋" w:eastAsia="仿宋" w:hAnsi="仿宋" w:cs="仿宋"/>
          <w:sz w:val="32"/>
          <w:szCs w:val="32"/>
        </w:rPr>
        <w:t>—</w:t>
      </w:r>
      <w:proofErr w:type="gramEnd"/>
      <w:r>
        <w:rPr>
          <w:rFonts w:ascii="仿宋" w:eastAsia="仿宋" w:hAnsi="仿宋" w:cs="仿宋"/>
          <w:sz w:val="32"/>
          <w:szCs w:val="32"/>
        </w:rPr>
        <w:t>评价周期内储能电站的下网电量,单位为千瓦时(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w:t>
      </w:r>
    </w:p>
    <w:p w14:paraId="0AB26810"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站用电率</w:t>
      </w:r>
    </w:p>
    <w:p w14:paraId="3630C3A1"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储能电站</w:t>
      </w:r>
      <w:proofErr w:type="gramStart"/>
      <w:r>
        <w:rPr>
          <w:rFonts w:ascii="仿宋" w:eastAsia="仿宋" w:hAnsi="仿宋" w:cs="仿宋"/>
          <w:sz w:val="32"/>
          <w:szCs w:val="32"/>
        </w:rPr>
        <w:t>站</w:t>
      </w:r>
      <w:proofErr w:type="gramEnd"/>
      <w:r>
        <w:rPr>
          <w:rFonts w:ascii="仿宋" w:eastAsia="仿宋" w:hAnsi="仿宋" w:cs="仿宋"/>
          <w:sz w:val="32"/>
          <w:szCs w:val="32"/>
        </w:rPr>
        <w:t>用电率应为评价周期内,站用电量占下网电量的百分比,按式(</w:t>
      </w:r>
      <w:r>
        <w:rPr>
          <w:rFonts w:ascii="仿宋" w:eastAsia="仿宋" w:hAnsi="仿宋" w:cs="仿宋" w:hint="eastAsia"/>
          <w:sz w:val="32"/>
          <w:szCs w:val="32"/>
        </w:rPr>
        <w:t>3</w:t>
      </w:r>
      <w:r>
        <w:rPr>
          <w:rFonts w:ascii="仿宋" w:eastAsia="仿宋" w:hAnsi="仿宋" w:cs="仿宋"/>
          <w:sz w:val="32"/>
          <w:szCs w:val="32"/>
        </w:rPr>
        <w:t>)计算。</w:t>
      </w:r>
    </w:p>
    <w:p w14:paraId="4D8B7C9C"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R</w:t>
      </w:r>
      <w:r>
        <w:rPr>
          <w:rFonts w:ascii="仿宋" w:eastAsia="仿宋" w:hAnsi="仿宋" w:cs="仿宋"/>
          <w:sz w:val="32"/>
          <w:szCs w:val="32"/>
          <w:vertAlign w:val="subscript"/>
        </w:rPr>
        <w:t>S</w:t>
      </w:r>
      <w:r>
        <w:rPr>
          <w:rFonts w:ascii="仿宋" w:eastAsia="仿宋" w:hAnsi="仿宋" w:cs="仿宋"/>
          <w:sz w:val="32"/>
          <w:szCs w:val="32"/>
        </w:rPr>
        <w:t xml:space="preserve"> =∑E</w:t>
      </w:r>
      <w:r>
        <w:rPr>
          <w:rFonts w:ascii="仿宋" w:eastAsia="仿宋" w:hAnsi="仿宋" w:cs="仿宋"/>
          <w:sz w:val="32"/>
          <w:szCs w:val="32"/>
          <w:vertAlign w:val="subscript"/>
        </w:rPr>
        <w:t>S</w:t>
      </w:r>
      <w:r>
        <w:rPr>
          <w:rFonts w:ascii="仿宋" w:eastAsia="仿宋" w:hAnsi="仿宋" w:cs="仿宋"/>
          <w:sz w:val="32"/>
          <w:szCs w:val="32"/>
        </w:rPr>
        <w:t>E</w:t>
      </w:r>
      <w:r>
        <w:rPr>
          <w:rFonts w:ascii="仿宋" w:eastAsia="仿宋" w:hAnsi="仿宋" w:cs="仿宋"/>
          <w:sz w:val="32"/>
          <w:szCs w:val="32"/>
          <w:vertAlign w:val="subscript"/>
        </w:rPr>
        <w:t>off</w:t>
      </w:r>
      <w:r>
        <w:rPr>
          <w:rFonts w:ascii="仿宋" w:eastAsia="仿宋" w:hAnsi="仿宋" w:cs="仿宋"/>
          <w:sz w:val="32"/>
          <w:szCs w:val="32"/>
        </w:rPr>
        <w:t>×100% ………………………</w:t>
      </w:r>
      <w:proofErr w:type="gramStart"/>
      <w:r>
        <w:rPr>
          <w:rFonts w:ascii="仿宋" w:eastAsia="仿宋" w:hAnsi="仿宋" w:cs="仿宋"/>
          <w:sz w:val="32"/>
          <w:szCs w:val="32"/>
        </w:rPr>
        <w:t>…(</w:t>
      </w:r>
      <w:proofErr w:type="gramEnd"/>
      <w:r>
        <w:rPr>
          <w:rFonts w:ascii="仿宋" w:eastAsia="仿宋" w:hAnsi="仿宋" w:cs="仿宋" w:hint="eastAsia"/>
          <w:sz w:val="32"/>
          <w:szCs w:val="32"/>
        </w:rPr>
        <w:t>3</w:t>
      </w:r>
      <w:r>
        <w:rPr>
          <w:rFonts w:ascii="仿宋" w:eastAsia="仿宋" w:hAnsi="仿宋" w:cs="仿宋"/>
          <w:sz w:val="32"/>
          <w:szCs w:val="32"/>
        </w:rPr>
        <w:t>)</w:t>
      </w:r>
    </w:p>
    <w:p w14:paraId="6B3D715B"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式中:</w:t>
      </w:r>
    </w:p>
    <w:p w14:paraId="45D9CFBF"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R</w:t>
      </w:r>
      <w:r>
        <w:rPr>
          <w:rFonts w:ascii="仿宋" w:eastAsia="仿宋" w:hAnsi="仿宋" w:cs="仿宋"/>
          <w:sz w:val="32"/>
          <w:szCs w:val="32"/>
          <w:vertAlign w:val="subscript"/>
        </w:rPr>
        <w:t>S</w:t>
      </w:r>
      <w:r>
        <w:rPr>
          <w:rFonts w:ascii="仿宋" w:eastAsia="仿宋" w:hAnsi="仿宋" w:cs="仿宋"/>
          <w:sz w:val="32"/>
          <w:szCs w:val="32"/>
        </w:rPr>
        <w:t xml:space="preserve"> ——</w:t>
      </w:r>
      <w:proofErr w:type="gramStart"/>
      <w:r>
        <w:rPr>
          <w:rFonts w:ascii="仿宋" w:eastAsia="仿宋" w:hAnsi="仿宋" w:cs="仿宋"/>
          <w:sz w:val="32"/>
          <w:szCs w:val="32"/>
        </w:rPr>
        <w:t>—</w:t>
      </w:r>
      <w:proofErr w:type="gramEnd"/>
      <w:r>
        <w:rPr>
          <w:rFonts w:ascii="仿宋" w:eastAsia="仿宋" w:hAnsi="仿宋" w:cs="仿宋"/>
          <w:sz w:val="32"/>
          <w:szCs w:val="32"/>
        </w:rPr>
        <w:t>站用电率,%;</w:t>
      </w:r>
    </w:p>
    <w:p w14:paraId="097B84B7"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w:t>
      </w:r>
      <w:r>
        <w:rPr>
          <w:rFonts w:ascii="仿宋" w:eastAsia="仿宋" w:hAnsi="仿宋" w:cs="仿宋"/>
          <w:sz w:val="32"/>
          <w:szCs w:val="32"/>
          <w:vertAlign w:val="subscript"/>
        </w:rPr>
        <w:t>S</w:t>
      </w:r>
      <w:r>
        <w:rPr>
          <w:rFonts w:ascii="仿宋" w:eastAsia="仿宋" w:hAnsi="仿宋" w:cs="仿宋"/>
          <w:sz w:val="32"/>
          <w:szCs w:val="32"/>
        </w:rPr>
        <w:t xml:space="preserve"> ——</w:t>
      </w:r>
      <w:proofErr w:type="gramStart"/>
      <w:r>
        <w:rPr>
          <w:rFonts w:ascii="仿宋" w:eastAsia="仿宋" w:hAnsi="仿宋" w:cs="仿宋"/>
          <w:sz w:val="32"/>
          <w:szCs w:val="32"/>
        </w:rPr>
        <w:t>—</w:t>
      </w:r>
      <w:proofErr w:type="gramEnd"/>
      <w:r>
        <w:rPr>
          <w:rFonts w:ascii="仿宋" w:eastAsia="仿宋" w:hAnsi="仿宋" w:cs="仿宋"/>
          <w:sz w:val="32"/>
          <w:szCs w:val="32"/>
        </w:rPr>
        <w:t>评价周期内储能电站总的站用电量,单位为千瓦时(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w:t>
      </w:r>
    </w:p>
    <w:p w14:paraId="1777EF7B"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w:t>
      </w:r>
      <w:r>
        <w:rPr>
          <w:rFonts w:ascii="仿宋" w:eastAsia="仿宋" w:hAnsi="仿宋" w:cs="仿宋"/>
          <w:sz w:val="32"/>
          <w:szCs w:val="32"/>
          <w:vertAlign w:val="subscript"/>
        </w:rPr>
        <w:t>off</w:t>
      </w:r>
      <w:r>
        <w:rPr>
          <w:rFonts w:ascii="仿宋" w:eastAsia="仿宋" w:hAnsi="仿宋" w:cs="仿宋"/>
          <w:sz w:val="32"/>
          <w:szCs w:val="32"/>
        </w:rPr>
        <w:t xml:space="preserve"> ——</w:t>
      </w:r>
      <w:proofErr w:type="gramStart"/>
      <w:r>
        <w:rPr>
          <w:rFonts w:ascii="仿宋" w:eastAsia="仿宋" w:hAnsi="仿宋" w:cs="仿宋"/>
          <w:sz w:val="32"/>
          <w:szCs w:val="32"/>
        </w:rPr>
        <w:t>—</w:t>
      </w:r>
      <w:proofErr w:type="gramEnd"/>
      <w:r>
        <w:rPr>
          <w:rFonts w:ascii="仿宋" w:eastAsia="仿宋" w:hAnsi="仿宋" w:cs="仿宋"/>
          <w:sz w:val="32"/>
          <w:szCs w:val="32"/>
        </w:rPr>
        <w:t>评价周期内储能电站的下网电量,单位为千瓦时(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w:t>
      </w:r>
    </w:p>
    <w:p w14:paraId="30A60522"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储能单元充放电能量转换效率</w:t>
      </w:r>
    </w:p>
    <w:p w14:paraId="3C5068A6"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铅酸电池和</w:t>
      </w:r>
      <w:proofErr w:type="gramStart"/>
      <w:r>
        <w:rPr>
          <w:rFonts w:ascii="仿宋" w:eastAsia="仿宋" w:hAnsi="仿宋" w:cs="仿宋"/>
          <w:sz w:val="32"/>
          <w:szCs w:val="32"/>
        </w:rPr>
        <w:t>锂离子</w:t>
      </w:r>
      <w:proofErr w:type="gramEnd"/>
      <w:r>
        <w:rPr>
          <w:rFonts w:ascii="仿宋" w:eastAsia="仿宋" w:hAnsi="仿宋" w:cs="仿宋"/>
          <w:sz w:val="32"/>
          <w:szCs w:val="32"/>
        </w:rPr>
        <w:t xml:space="preserve">电池 </w:t>
      </w:r>
    </w:p>
    <w:p w14:paraId="51F2C937"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lastRenderedPageBreak/>
        <w:t>充放电能量转换效率应为评价周期内,储能单元总放电量与总充电量的比值,按式(</w:t>
      </w:r>
      <w:r>
        <w:rPr>
          <w:rFonts w:ascii="仿宋" w:eastAsia="仿宋" w:hAnsi="仿宋" w:cs="仿宋" w:hint="eastAsia"/>
          <w:sz w:val="32"/>
          <w:szCs w:val="32"/>
        </w:rPr>
        <w:t>4</w:t>
      </w:r>
      <w:r>
        <w:rPr>
          <w:rFonts w:ascii="仿宋" w:eastAsia="仿宋" w:hAnsi="仿宋" w:cs="仿宋"/>
          <w:sz w:val="32"/>
          <w:szCs w:val="32"/>
        </w:rPr>
        <w:t xml:space="preserve">)计算: </w:t>
      </w:r>
    </w:p>
    <w:p w14:paraId="0BF7478B" w14:textId="77777777" w:rsidR="005B6A03" w:rsidRDefault="00000000">
      <w:pPr>
        <w:spacing w:line="360" w:lineRule="auto"/>
        <w:ind w:firstLineChars="200" w:firstLine="640"/>
        <w:rPr>
          <w:rFonts w:ascii="仿宋" w:eastAsia="仿宋" w:hAnsi="仿宋" w:cs="仿宋" w:hint="eastAsia"/>
          <w:sz w:val="32"/>
          <w:szCs w:val="32"/>
        </w:rPr>
      </w:pPr>
      <w:proofErr w:type="spellStart"/>
      <w:r>
        <w:rPr>
          <w:rFonts w:ascii="仿宋" w:eastAsia="仿宋" w:hAnsi="仿宋" w:cs="仿宋"/>
          <w:sz w:val="32"/>
          <w:szCs w:val="32"/>
        </w:rPr>
        <w:t>η</w:t>
      </w:r>
      <w:r>
        <w:rPr>
          <w:rFonts w:ascii="仿宋" w:eastAsia="仿宋" w:hAnsi="仿宋" w:cs="仿宋"/>
          <w:sz w:val="32"/>
          <w:szCs w:val="32"/>
          <w:vertAlign w:val="subscript"/>
        </w:rPr>
        <w:t>ESU</w:t>
      </w:r>
      <w:proofErr w:type="spellEnd"/>
      <w:r>
        <w:rPr>
          <w:rFonts w:ascii="仿宋" w:eastAsia="仿宋" w:hAnsi="仿宋" w:cs="仿宋"/>
          <w:sz w:val="32"/>
          <w:szCs w:val="32"/>
        </w:rPr>
        <w:t xml:space="preserve"> = E</w:t>
      </w:r>
      <w:r>
        <w:rPr>
          <w:rFonts w:ascii="仿宋" w:eastAsia="仿宋" w:hAnsi="仿宋" w:cs="仿宋"/>
          <w:sz w:val="32"/>
          <w:szCs w:val="32"/>
          <w:vertAlign w:val="subscript"/>
        </w:rPr>
        <w:t>D</w:t>
      </w:r>
      <w:r>
        <w:rPr>
          <w:rFonts w:ascii="仿宋" w:eastAsia="仿宋" w:hAnsi="仿宋" w:cs="仿宋" w:hint="eastAsia"/>
          <w:sz w:val="32"/>
          <w:szCs w:val="32"/>
        </w:rPr>
        <w:t>/</w:t>
      </w:r>
      <w:r>
        <w:rPr>
          <w:rFonts w:ascii="仿宋" w:eastAsia="仿宋" w:hAnsi="仿宋" w:cs="仿宋"/>
          <w:sz w:val="32"/>
          <w:szCs w:val="32"/>
        </w:rPr>
        <w:t>E</w:t>
      </w:r>
      <w:r>
        <w:rPr>
          <w:rFonts w:ascii="仿宋" w:eastAsia="仿宋" w:hAnsi="仿宋" w:cs="仿宋"/>
          <w:sz w:val="32"/>
          <w:szCs w:val="32"/>
          <w:vertAlign w:val="subscript"/>
        </w:rPr>
        <w:t>C</w:t>
      </w:r>
      <w:r>
        <w:rPr>
          <w:rFonts w:ascii="仿宋" w:eastAsia="仿宋" w:hAnsi="仿宋" w:cs="仿宋"/>
          <w:sz w:val="32"/>
          <w:szCs w:val="32"/>
        </w:rPr>
        <w:t xml:space="preserve"> ×100% ………………………</w:t>
      </w:r>
      <w:proofErr w:type="gramStart"/>
      <w:r>
        <w:rPr>
          <w:rFonts w:ascii="仿宋" w:eastAsia="仿宋" w:hAnsi="仿宋" w:cs="仿宋"/>
          <w:sz w:val="32"/>
          <w:szCs w:val="32"/>
        </w:rPr>
        <w:t>…(</w:t>
      </w:r>
      <w:proofErr w:type="gramEnd"/>
      <w:r>
        <w:rPr>
          <w:rFonts w:ascii="仿宋" w:eastAsia="仿宋" w:hAnsi="仿宋" w:cs="仿宋" w:hint="eastAsia"/>
          <w:sz w:val="32"/>
          <w:szCs w:val="32"/>
        </w:rPr>
        <w:t>4</w:t>
      </w:r>
      <w:r>
        <w:rPr>
          <w:rFonts w:ascii="仿宋" w:eastAsia="仿宋" w:hAnsi="仿宋" w:cs="仿宋"/>
          <w:sz w:val="32"/>
          <w:szCs w:val="32"/>
        </w:rPr>
        <w:t xml:space="preserve">) </w:t>
      </w:r>
    </w:p>
    <w:p w14:paraId="697024C9"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 xml:space="preserve">式中: </w:t>
      </w:r>
    </w:p>
    <w:p w14:paraId="33A37296" w14:textId="77777777" w:rsidR="005B6A03" w:rsidRDefault="00000000">
      <w:pPr>
        <w:spacing w:line="360" w:lineRule="auto"/>
        <w:ind w:firstLineChars="200" w:firstLine="640"/>
        <w:rPr>
          <w:rFonts w:ascii="仿宋" w:eastAsia="仿宋" w:hAnsi="仿宋" w:cs="仿宋" w:hint="eastAsia"/>
          <w:sz w:val="32"/>
          <w:szCs w:val="32"/>
        </w:rPr>
      </w:pPr>
      <w:proofErr w:type="spellStart"/>
      <w:r>
        <w:rPr>
          <w:rFonts w:ascii="仿宋" w:eastAsia="仿宋" w:hAnsi="仿宋" w:cs="仿宋"/>
          <w:sz w:val="32"/>
          <w:szCs w:val="32"/>
        </w:rPr>
        <w:t>η</w:t>
      </w:r>
      <w:r>
        <w:rPr>
          <w:rFonts w:ascii="仿宋" w:eastAsia="仿宋" w:hAnsi="仿宋" w:cs="仿宋"/>
          <w:sz w:val="32"/>
          <w:szCs w:val="32"/>
          <w:vertAlign w:val="subscript"/>
        </w:rPr>
        <w:t>ESU</w:t>
      </w:r>
      <w:proofErr w:type="spellEnd"/>
      <w:r>
        <w:rPr>
          <w:rFonts w:ascii="仿宋" w:eastAsia="仿宋" w:hAnsi="仿宋" w:cs="仿宋"/>
          <w:sz w:val="32"/>
          <w:szCs w:val="32"/>
        </w:rPr>
        <w:t>——</w:t>
      </w:r>
      <w:proofErr w:type="gramStart"/>
      <w:r>
        <w:rPr>
          <w:rFonts w:ascii="仿宋" w:eastAsia="仿宋" w:hAnsi="仿宋" w:cs="仿宋"/>
          <w:sz w:val="32"/>
          <w:szCs w:val="32"/>
        </w:rPr>
        <w:t>—</w:t>
      </w:r>
      <w:proofErr w:type="gramEnd"/>
      <w:r>
        <w:rPr>
          <w:rFonts w:ascii="仿宋" w:eastAsia="仿宋" w:hAnsi="仿宋" w:cs="仿宋"/>
          <w:sz w:val="32"/>
          <w:szCs w:val="32"/>
        </w:rPr>
        <w:t xml:space="preserve">储能单元充放电能量效率,%; </w:t>
      </w:r>
    </w:p>
    <w:p w14:paraId="11D9976F"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w:t>
      </w:r>
      <w:r>
        <w:rPr>
          <w:rFonts w:ascii="仿宋" w:eastAsia="仿宋" w:hAnsi="仿宋" w:cs="仿宋"/>
          <w:sz w:val="32"/>
          <w:szCs w:val="32"/>
          <w:vertAlign w:val="subscript"/>
        </w:rPr>
        <w:t>D</w:t>
      </w:r>
      <w:r>
        <w:rPr>
          <w:rFonts w:ascii="仿宋" w:eastAsia="仿宋" w:hAnsi="仿宋" w:cs="仿宋"/>
          <w:sz w:val="32"/>
          <w:szCs w:val="32"/>
        </w:rPr>
        <w:t xml:space="preserve"> ——</w:t>
      </w:r>
      <w:proofErr w:type="gramStart"/>
      <w:r>
        <w:rPr>
          <w:rFonts w:ascii="仿宋" w:eastAsia="仿宋" w:hAnsi="仿宋" w:cs="仿宋"/>
          <w:sz w:val="32"/>
          <w:szCs w:val="32"/>
        </w:rPr>
        <w:t>—</w:t>
      </w:r>
      <w:proofErr w:type="gramEnd"/>
      <w:r>
        <w:rPr>
          <w:rFonts w:ascii="仿宋" w:eastAsia="仿宋" w:hAnsi="仿宋" w:cs="仿宋"/>
          <w:sz w:val="32"/>
          <w:szCs w:val="32"/>
        </w:rPr>
        <w:t>评价周期内储能单元总的放电量,单位为千瓦时(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 xml:space="preserve">); </w:t>
      </w:r>
    </w:p>
    <w:p w14:paraId="7B8B5EEB"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E</w:t>
      </w:r>
      <w:r>
        <w:rPr>
          <w:rFonts w:ascii="仿宋" w:eastAsia="仿宋" w:hAnsi="仿宋" w:cs="仿宋"/>
          <w:sz w:val="32"/>
          <w:szCs w:val="32"/>
          <w:vertAlign w:val="subscript"/>
        </w:rPr>
        <w:t>C</w:t>
      </w:r>
      <w:r>
        <w:rPr>
          <w:rFonts w:ascii="仿宋" w:eastAsia="仿宋" w:hAnsi="仿宋" w:cs="仿宋"/>
          <w:sz w:val="32"/>
          <w:szCs w:val="32"/>
        </w:rPr>
        <w:t xml:space="preserve"> ——</w:t>
      </w:r>
      <w:proofErr w:type="gramStart"/>
      <w:r>
        <w:rPr>
          <w:rFonts w:ascii="仿宋" w:eastAsia="仿宋" w:hAnsi="仿宋" w:cs="仿宋"/>
          <w:sz w:val="32"/>
          <w:szCs w:val="32"/>
        </w:rPr>
        <w:t>—</w:t>
      </w:r>
      <w:proofErr w:type="gramEnd"/>
      <w:r>
        <w:rPr>
          <w:rFonts w:ascii="仿宋" w:eastAsia="仿宋" w:hAnsi="仿宋" w:cs="仿宋"/>
          <w:sz w:val="32"/>
          <w:szCs w:val="32"/>
        </w:rPr>
        <w:t>评价周期内储能单元总的充电量,单位为千瓦时(</w:t>
      </w:r>
      <w:proofErr w:type="spellStart"/>
      <w:r>
        <w:rPr>
          <w:rFonts w:ascii="仿宋" w:eastAsia="仿宋" w:hAnsi="仿宋" w:cs="仿宋"/>
          <w:sz w:val="32"/>
          <w:szCs w:val="32"/>
        </w:rPr>
        <w:t>kW·h</w:t>
      </w:r>
      <w:proofErr w:type="spellEnd"/>
      <w:r>
        <w:rPr>
          <w:rFonts w:ascii="仿宋" w:eastAsia="仿宋" w:hAnsi="仿宋" w:cs="仿宋"/>
          <w:sz w:val="32"/>
          <w:szCs w:val="32"/>
        </w:rPr>
        <w:t>)。</w:t>
      </w:r>
    </w:p>
    <w:p w14:paraId="04CDE6F1" w14:textId="77777777" w:rsidR="005B6A03" w:rsidRDefault="005B6A03">
      <w:pPr>
        <w:spacing w:beforeLines="50" w:before="156" w:afterLines="50" w:after="156" w:line="400" w:lineRule="exact"/>
        <w:rPr>
          <w:rFonts w:ascii="宋体" w:hAnsi="宋体" w:hint="eastAsia"/>
          <w:b/>
          <w:bCs/>
          <w:kern w:val="44"/>
          <w:sz w:val="30"/>
          <w:szCs w:val="30"/>
        </w:rPr>
      </w:pPr>
    </w:p>
    <w:p w14:paraId="70E1BCB1" w14:textId="77777777" w:rsidR="005B6A03" w:rsidRDefault="00000000">
      <w:pPr>
        <w:numPr>
          <w:ilvl w:val="0"/>
          <w:numId w:val="1"/>
        </w:numPr>
        <w:spacing w:beforeLines="50" w:before="156" w:afterLines="50" w:after="156" w:line="400" w:lineRule="exact"/>
        <w:rPr>
          <w:rFonts w:ascii="宋体" w:hAnsi="宋体" w:hint="eastAsia"/>
          <w:b/>
          <w:bCs/>
          <w:kern w:val="44"/>
          <w:sz w:val="30"/>
          <w:szCs w:val="30"/>
        </w:rPr>
      </w:pPr>
      <w:r>
        <w:rPr>
          <w:rFonts w:ascii="宋体" w:hAnsi="宋体" w:hint="eastAsia"/>
          <w:b/>
          <w:bCs/>
          <w:kern w:val="44"/>
          <w:sz w:val="30"/>
          <w:szCs w:val="30"/>
        </w:rPr>
        <w:t>标准水平分析</w:t>
      </w:r>
    </w:p>
    <w:p w14:paraId="3D31045B" w14:textId="77777777" w:rsidR="005B6A03" w:rsidRDefault="00000000">
      <w:pPr>
        <w:pStyle w:val="a4"/>
        <w:jc w:val="left"/>
        <w:rPr>
          <w:rFonts w:ascii="Times New Roman" w:hAnsi="Times New Roman"/>
          <w:sz w:val="28"/>
          <w:szCs w:val="28"/>
        </w:rPr>
      </w:pPr>
      <w:r>
        <w:rPr>
          <w:rFonts w:ascii="Times New Roman" w:hAnsi="Times New Roman" w:hint="eastAsia"/>
          <w:sz w:val="28"/>
          <w:szCs w:val="28"/>
        </w:rPr>
        <w:t>4.1</w:t>
      </w:r>
      <w:r>
        <w:rPr>
          <w:rFonts w:ascii="Times New Roman" w:hAnsi="Times New Roman"/>
          <w:sz w:val="28"/>
          <w:szCs w:val="28"/>
        </w:rPr>
        <w:t xml:space="preserve"> </w:t>
      </w:r>
      <w:r>
        <w:rPr>
          <w:rFonts w:ascii="Times New Roman" w:hAnsi="Times New Roman"/>
          <w:sz w:val="28"/>
          <w:szCs w:val="28"/>
        </w:rPr>
        <w:t>采用国际标准和国外先进标准的程度</w:t>
      </w:r>
    </w:p>
    <w:p w14:paraId="6B3F0686"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IEC TS 62933-3-1:2022《电能存储系统 第 3-1 部分：电能存储系统的规划和性能评估》统一评估指标，明确了往返效率、响应时间、循环寿命、可用性、故障率等关键指标，保障不同厂商、不同项目之间的可比性。</w:t>
      </w:r>
    </w:p>
    <w:p w14:paraId="26613749"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IEC 62909-1:2025规定了双向并网功率转换器（GCPC）的一般和安全方面，由电网侧逆变器组成，在应用</w:t>
      </w:r>
      <w:proofErr w:type="gramStart"/>
      <w:r>
        <w:rPr>
          <w:rFonts w:ascii="仿宋" w:eastAsia="仿宋" w:hAnsi="仿宋" w:cs="仿宋" w:hint="eastAsia"/>
          <w:sz w:val="32"/>
          <w:szCs w:val="32"/>
        </w:rPr>
        <w:t>侧具有</w:t>
      </w:r>
      <w:proofErr w:type="gramEnd"/>
      <w:r>
        <w:rPr>
          <w:rFonts w:ascii="仿宋" w:eastAsia="仿宋" w:hAnsi="仿宋" w:cs="仿宋" w:hint="eastAsia"/>
          <w:sz w:val="32"/>
          <w:szCs w:val="32"/>
        </w:rPr>
        <w:t>两种或多种类型的DC电源端口，系统电压不超过1 000 V AC或1 500 V DC。</w:t>
      </w:r>
    </w:p>
    <w:p w14:paraId="2637950B"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EC TS 62933-5-1:2022《电能存储系统 第5-1部分：并网EES系统的安全注意事项——通用规范》不局限于某种储</w:t>
      </w:r>
      <w:r>
        <w:rPr>
          <w:rFonts w:ascii="仿宋" w:eastAsia="仿宋" w:hAnsi="仿宋" w:cs="仿宋" w:hint="eastAsia"/>
          <w:sz w:val="32"/>
          <w:szCs w:val="32"/>
        </w:rPr>
        <w:lastRenderedPageBreak/>
        <w:t>能技术，但在实际应用中主要参考对象为电化学储能系统（例如</w:t>
      </w:r>
      <w:proofErr w:type="gramStart"/>
      <w:r>
        <w:rPr>
          <w:rFonts w:ascii="仿宋" w:eastAsia="仿宋" w:hAnsi="仿宋" w:cs="仿宋" w:hint="eastAsia"/>
          <w:sz w:val="32"/>
          <w:szCs w:val="32"/>
        </w:rPr>
        <w:t>锂</w:t>
      </w:r>
      <w:proofErr w:type="gramEnd"/>
      <w:r>
        <w:rPr>
          <w:rFonts w:ascii="仿宋" w:eastAsia="仿宋" w:hAnsi="仿宋" w:cs="仿宋" w:hint="eastAsia"/>
          <w:sz w:val="32"/>
          <w:szCs w:val="32"/>
        </w:rPr>
        <w:t>离子电池系统）。运行与维护安全建议设置多级告警、应急停机机制；操作人员需经过培训，定期维护系统，监控运行数据等。</w:t>
      </w:r>
    </w:p>
    <w:p w14:paraId="138B0A59"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本标准部分引用IEC TS 62933-3-1:2022的概念和关键指标；部分引用了IEC 62909-1:2025关于功率转换器运</w:t>
      </w:r>
      <w:proofErr w:type="gramStart"/>
      <w:r>
        <w:rPr>
          <w:rFonts w:ascii="仿宋" w:eastAsia="仿宋" w:hAnsi="仿宋" w:cs="仿宋" w:hint="eastAsia"/>
          <w:sz w:val="32"/>
          <w:szCs w:val="32"/>
        </w:rPr>
        <w:t>维部分</w:t>
      </w:r>
      <w:proofErr w:type="gramEnd"/>
      <w:r>
        <w:rPr>
          <w:rFonts w:ascii="仿宋" w:eastAsia="仿宋" w:hAnsi="仿宋" w:cs="仿宋" w:hint="eastAsia"/>
          <w:sz w:val="32"/>
          <w:szCs w:val="32"/>
        </w:rPr>
        <w:t>的评价指标和内容。部分引用EC TS 62933-5-1:2022关于运行与维护安全内容要求。</w:t>
      </w:r>
    </w:p>
    <w:p w14:paraId="738CB58B" w14:textId="77777777" w:rsidR="005B6A03" w:rsidRDefault="00000000">
      <w:pPr>
        <w:pStyle w:val="a4"/>
        <w:jc w:val="left"/>
        <w:rPr>
          <w:rFonts w:ascii="Times New Roman" w:eastAsia="仿宋_GB2312" w:hAnsi="Times New Roman"/>
          <w:sz w:val="28"/>
          <w:szCs w:val="28"/>
        </w:rPr>
      </w:pPr>
      <w:r>
        <w:rPr>
          <w:rFonts w:ascii="Times New Roman" w:eastAsia="仿宋_GB2312" w:hAnsi="Times New Roman" w:hint="eastAsia"/>
          <w:sz w:val="28"/>
          <w:szCs w:val="28"/>
        </w:rPr>
        <w:t xml:space="preserve">4.2 </w:t>
      </w:r>
      <w:r>
        <w:rPr>
          <w:rFonts w:ascii="Times New Roman" w:eastAsia="仿宋_GB2312" w:hAnsi="Times New Roman" w:hint="eastAsia"/>
          <w:sz w:val="28"/>
          <w:szCs w:val="28"/>
        </w:rPr>
        <w:t>国际、国外同类标准水平的对比分析</w:t>
      </w:r>
    </w:p>
    <w:p w14:paraId="7792644D"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本标准涉及的国际国外同类标准包括三项IEC标准和两项IEEE标准，以上标准主要针对蓄电池、蓄电池组、并网换流器、管理系统等设备的规划、验收等环节提出技术要求，很少涉及运行电站的电池储能系统精细化管控内容；国内标准有5项国家标准和2项行业标准，基本上是从设备验收、监造和并网等环节的安全、性能测试为主，运行电站的电池储能系统精细化管控有部分要求，基本上是为验收并网服务，不能为</w:t>
      </w:r>
      <w:proofErr w:type="gramStart"/>
      <w:r>
        <w:rPr>
          <w:rFonts w:ascii="仿宋" w:eastAsia="仿宋" w:hAnsi="仿宋" w:cs="仿宋" w:hint="eastAsia"/>
          <w:sz w:val="32"/>
          <w:szCs w:val="32"/>
        </w:rPr>
        <w:t>运行电站运行电站</w:t>
      </w:r>
      <w:proofErr w:type="gramEnd"/>
      <w:r>
        <w:rPr>
          <w:rFonts w:ascii="仿宋" w:eastAsia="仿宋" w:hAnsi="仿宋" w:cs="仿宋" w:hint="eastAsia"/>
          <w:sz w:val="32"/>
          <w:szCs w:val="32"/>
        </w:rPr>
        <w:t>的电池储能系统精细化管控技术提供成体系的指导。</w:t>
      </w:r>
    </w:p>
    <w:p w14:paraId="1C8847EE" w14:textId="77777777" w:rsidR="005B6A03" w:rsidRDefault="00000000">
      <w:pPr>
        <w:pStyle w:val="a4"/>
        <w:jc w:val="left"/>
        <w:rPr>
          <w:rFonts w:ascii="Times New Roman" w:eastAsia="仿宋_GB2312" w:hAnsi="Times New Roman"/>
          <w:sz w:val="28"/>
          <w:szCs w:val="28"/>
        </w:rPr>
      </w:pPr>
      <w:r>
        <w:rPr>
          <w:rFonts w:ascii="Times New Roman" w:eastAsia="仿宋_GB2312" w:hAnsi="Times New Roman" w:hint="eastAsia"/>
          <w:sz w:val="28"/>
          <w:szCs w:val="28"/>
        </w:rPr>
        <w:t xml:space="preserve">4.3 </w:t>
      </w:r>
      <w:r>
        <w:rPr>
          <w:rFonts w:ascii="宋体" w:hAnsi="宋体"/>
          <w:sz w:val="28"/>
          <w:szCs w:val="28"/>
        </w:rPr>
        <w:t>与现有标准及制定中标准协调配套的情况</w:t>
      </w:r>
    </w:p>
    <w:p w14:paraId="7398868A"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本标准重点设计运行电站的电池储能系统精细化管控技术，与现有标准及制定中的标准无重复交叉。</w:t>
      </w:r>
    </w:p>
    <w:p w14:paraId="7D103369" w14:textId="77777777" w:rsidR="005B6A03" w:rsidRDefault="00000000">
      <w:pPr>
        <w:pStyle w:val="a4"/>
        <w:jc w:val="left"/>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4.4 </w:t>
      </w:r>
      <w:r>
        <w:rPr>
          <w:rFonts w:ascii="宋体" w:hAnsi="宋体"/>
          <w:sz w:val="28"/>
          <w:szCs w:val="28"/>
        </w:rPr>
        <w:t>涉及国内外专利及处置情况</w:t>
      </w:r>
    </w:p>
    <w:p w14:paraId="3147050C" w14:textId="77777777" w:rsidR="005B6A03" w:rsidRDefault="00000000">
      <w:pPr>
        <w:spacing w:line="360" w:lineRule="auto"/>
        <w:ind w:firstLineChars="200" w:firstLine="640"/>
        <w:rPr>
          <w:sz w:val="24"/>
        </w:rPr>
      </w:pPr>
      <w:r>
        <w:rPr>
          <w:rFonts w:ascii="仿宋" w:eastAsia="仿宋" w:hAnsi="仿宋" w:cs="仿宋" w:hint="eastAsia"/>
          <w:sz w:val="32"/>
          <w:szCs w:val="32"/>
        </w:rPr>
        <w:t xml:space="preserve">本标准编制过程涉及的技术内容可能需要借鉴已有的专利技术和创新成果。例如，电池状态监测技术、电池一致性、储能协同优化控制技术等可能被不同的公司和科研机构申请了专利，标准的制定需要兼顾这些专利技术，并确保标准内容不侵犯已有专利权。同时，要确保标准中的技术要求能够支持未来的技术创新，避免过于依赖特定的技术路径，推动技术普及与应用。 </w:t>
      </w:r>
    </w:p>
    <w:p w14:paraId="2DB5F47B" w14:textId="77777777" w:rsidR="005B6A03" w:rsidRDefault="00000000">
      <w:pPr>
        <w:numPr>
          <w:ilvl w:val="0"/>
          <w:numId w:val="1"/>
        </w:numPr>
        <w:spacing w:beforeLines="50" w:before="156" w:afterLines="50" w:after="156" w:line="400" w:lineRule="exact"/>
        <w:rPr>
          <w:rFonts w:ascii="宋体" w:hAnsi="宋体" w:hint="eastAsia"/>
          <w:b/>
          <w:bCs/>
          <w:kern w:val="44"/>
          <w:sz w:val="30"/>
          <w:szCs w:val="30"/>
        </w:rPr>
      </w:pPr>
      <w:r>
        <w:rPr>
          <w:rFonts w:ascii="宋体" w:hAnsi="宋体" w:hint="eastAsia"/>
          <w:b/>
          <w:bCs/>
          <w:kern w:val="44"/>
          <w:sz w:val="30"/>
          <w:szCs w:val="30"/>
        </w:rPr>
        <w:t>采用国际标准的程度及水平的简要说明；</w:t>
      </w:r>
    </w:p>
    <w:p w14:paraId="23C707EF"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针对电池储能系统国外已经有多个标准组织制定了相关的技术规范和标准，主要针对储能电池及变流器性能、电磁兼容、安全要求、并网应用等方面，涉及电池储能系统精细化管控技术方面较少，本标准涉及国际标准4项。具体是：（1）</w:t>
      </w:r>
      <w:bookmarkStart w:id="0" w:name="OLE_LINK1"/>
      <w:r>
        <w:rPr>
          <w:rFonts w:ascii="仿宋" w:eastAsia="仿宋" w:hAnsi="仿宋" w:cs="仿宋" w:hint="eastAsia"/>
          <w:sz w:val="32"/>
          <w:szCs w:val="32"/>
        </w:rPr>
        <w:t>部分引用</w:t>
      </w:r>
      <w:bookmarkEnd w:id="0"/>
      <w:r>
        <w:rPr>
          <w:rFonts w:ascii="仿宋" w:eastAsia="仿宋" w:hAnsi="仿宋" w:cs="仿宋" w:hint="eastAsia"/>
          <w:sz w:val="32"/>
          <w:szCs w:val="32"/>
        </w:rPr>
        <w:t>IEC TS 62933-3-1:2022《电能存储系统 第 3-1 部分：电能存储系统的规划和性能评估》往返效率、响应时间、循环寿命、可用性、故障率等关键指标。</w:t>
      </w:r>
    </w:p>
    <w:p w14:paraId="0E7A8949"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（2）部分借鉴IEC 62909-1:2025规定了双向并网功率转换器（GCPC）的一般和安全方面内容要求。</w:t>
      </w:r>
    </w:p>
    <w:p w14:paraId="71F72466" w14:textId="77777777" w:rsidR="005B6A0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（3）部分引用EC TS 62933-5-1:2022《电能存储系统 第5-1部分：并网EES系统的安全注意事项——通用规范》行与维护安全建议内容。</w:t>
      </w:r>
    </w:p>
    <w:p w14:paraId="649BC14C" w14:textId="77777777" w:rsidR="005B6A03" w:rsidRDefault="00000000">
      <w:pPr>
        <w:numPr>
          <w:ilvl w:val="0"/>
          <w:numId w:val="1"/>
        </w:numPr>
        <w:spacing w:beforeLines="50" w:before="156" w:afterLines="50" w:after="156" w:line="400" w:lineRule="exact"/>
        <w:rPr>
          <w:rFonts w:ascii="宋体" w:hAnsi="宋体" w:hint="eastAsia"/>
          <w:b/>
          <w:bCs/>
          <w:kern w:val="44"/>
          <w:sz w:val="30"/>
          <w:szCs w:val="30"/>
        </w:rPr>
      </w:pPr>
      <w:r>
        <w:rPr>
          <w:rFonts w:ascii="宋体" w:hAnsi="宋体" w:hint="eastAsia"/>
          <w:b/>
          <w:bCs/>
          <w:kern w:val="44"/>
          <w:sz w:val="30"/>
          <w:szCs w:val="30"/>
        </w:rPr>
        <w:t>重大</w:t>
      </w:r>
      <w:proofErr w:type="gramStart"/>
      <w:r>
        <w:rPr>
          <w:rFonts w:ascii="宋体" w:hAnsi="宋体" w:hint="eastAsia"/>
          <w:b/>
          <w:bCs/>
          <w:kern w:val="44"/>
          <w:sz w:val="30"/>
          <w:szCs w:val="30"/>
        </w:rPr>
        <w:t>分岐</w:t>
      </w:r>
      <w:proofErr w:type="gramEnd"/>
      <w:r>
        <w:rPr>
          <w:rFonts w:ascii="宋体" w:hAnsi="宋体" w:hint="eastAsia"/>
          <w:b/>
          <w:bCs/>
          <w:kern w:val="44"/>
          <w:sz w:val="30"/>
          <w:szCs w:val="30"/>
        </w:rPr>
        <w:t>意见的处理经过和依据；</w:t>
      </w:r>
    </w:p>
    <w:p w14:paraId="55121887" w14:textId="77777777" w:rsidR="005B6A03" w:rsidRDefault="00000000">
      <w:pPr>
        <w:spacing w:line="360" w:lineRule="auto"/>
        <w:ind w:leftChars="200" w:left="420"/>
        <w:rPr>
          <w:rFonts w:ascii="仿宋" w:eastAsia="仿宋" w:hAnsi="仿宋" w:cs="仿宋" w:hint="eastAsia"/>
          <w:sz w:val="32"/>
          <w:szCs w:val="32"/>
        </w:rPr>
      </w:pPr>
      <w:r>
        <w:rPr>
          <w:rFonts w:ascii="仿宋" w:eastAsia="仿宋" w:hAnsi="仿宋" w:cs="仿宋" w:hint="eastAsia"/>
          <w:sz w:val="32"/>
          <w:szCs w:val="32"/>
        </w:rPr>
        <w:lastRenderedPageBreak/>
        <w:t xml:space="preserve">    无</w:t>
      </w:r>
    </w:p>
    <w:p w14:paraId="0DCBACED" w14:textId="77777777" w:rsidR="005B6A03" w:rsidRDefault="00000000">
      <w:pPr>
        <w:numPr>
          <w:ilvl w:val="0"/>
          <w:numId w:val="1"/>
        </w:numPr>
        <w:spacing w:beforeLines="50" w:before="156" w:afterLines="50" w:after="156" w:line="400" w:lineRule="exact"/>
        <w:rPr>
          <w:rFonts w:ascii="宋体" w:hAnsi="宋体" w:hint="eastAsia"/>
          <w:b/>
          <w:bCs/>
          <w:kern w:val="44"/>
          <w:sz w:val="30"/>
          <w:szCs w:val="30"/>
        </w:rPr>
      </w:pPr>
      <w:r>
        <w:rPr>
          <w:rFonts w:ascii="宋体" w:hAnsi="宋体" w:hint="eastAsia"/>
          <w:b/>
          <w:bCs/>
          <w:kern w:val="44"/>
          <w:sz w:val="30"/>
          <w:szCs w:val="30"/>
        </w:rPr>
        <w:t>其它应予说明的事项。</w:t>
      </w:r>
    </w:p>
    <w:p w14:paraId="103883D7" w14:textId="77777777" w:rsidR="005B6A03" w:rsidRDefault="00000000">
      <w:pPr>
        <w:spacing w:line="360" w:lineRule="auto"/>
        <w:ind w:leftChars="200" w:left="420"/>
      </w:pPr>
      <w:r>
        <w:rPr>
          <w:rFonts w:ascii="仿宋" w:eastAsia="仿宋" w:hAnsi="仿宋" w:cs="仿宋" w:hint="eastAsia"/>
          <w:sz w:val="32"/>
          <w:szCs w:val="32"/>
        </w:rPr>
        <w:t xml:space="preserve">    无</w:t>
      </w:r>
    </w:p>
    <w:sectPr w:rsidR="005B6A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6354" w14:textId="77777777" w:rsidR="005C2447" w:rsidRDefault="005C2447" w:rsidP="00ED60F9">
      <w:r>
        <w:separator/>
      </w:r>
    </w:p>
  </w:endnote>
  <w:endnote w:type="continuationSeparator" w:id="0">
    <w:p w14:paraId="4208B015" w14:textId="77777777" w:rsidR="005C2447" w:rsidRDefault="005C2447" w:rsidP="00ED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DF56" w14:textId="77777777" w:rsidR="005C2447" w:rsidRDefault="005C2447" w:rsidP="00ED60F9">
      <w:r>
        <w:separator/>
      </w:r>
    </w:p>
  </w:footnote>
  <w:footnote w:type="continuationSeparator" w:id="0">
    <w:p w14:paraId="56D7D04D" w14:textId="77777777" w:rsidR="005C2447" w:rsidRDefault="005C2447" w:rsidP="00ED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066D49"/>
    <w:multiLevelType w:val="multilevel"/>
    <w:tmpl w:val="DB066D4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C957128"/>
    <w:multiLevelType w:val="multilevel"/>
    <w:tmpl w:val="1C957128"/>
    <w:lvl w:ilvl="0">
      <w:start w:val="1"/>
      <w:numFmt w:val="chineseCounting"/>
      <w:lvlText w:val="%1、"/>
      <w:lvlJc w:val="left"/>
      <w:pPr>
        <w:tabs>
          <w:tab w:val="left" w:pos="420"/>
        </w:tabs>
        <w:ind w:left="420" w:hanging="420"/>
      </w:pPr>
      <w:rPr>
        <w:rFonts w:ascii="等线" w:eastAsia="等线" w:hAnsi="等线" w:cs="等线" w:hint="eastAsia"/>
      </w:rPr>
    </w:lvl>
    <w:lvl w:ilvl="1">
      <w:start w:val="1"/>
      <w:numFmt w:val="decimal"/>
      <w:isLgl/>
      <w:lvlText w:val="%1.%2"/>
      <w:lvlJc w:val="left"/>
      <w:pPr>
        <w:tabs>
          <w:tab w:val="left" w:pos="420"/>
        </w:tabs>
        <w:ind w:left="420" w:hanging="420"/>
      </w:pPr>
      <w:rPr>
        <w:rFonts w:ascii="宋体" w:eastAsia="宋体" w:hAnsi="宋体" w:hint="eastAsia"/>
        <w:b/>
      </w:rPr>
    </w:lvl>
    <w:lvl w:ilvl="2">
      <w:start w:val="1"/>
      <w:numFmt w:val="decimal"/>
      <w:isLgl/>
      <w:lvlText w:val="%1.%2.%3"/>
      <w:lvlJc w:val="left"/>
      <w:pPr>
        <w:tabs>
          <w:tab w:val="left" w:pos="720"/>
        </w:tabs>
        <w:ind w:left="720" w:hanging="720"/>
      </w:pPr>
      <w:rPr>
        <w:rFonts w:ascii="黑体" w:eastAsia="黑体" w:hint="eastAsia"/>
      </w:rPr>
    </w:lvl>
    <w:lvl w:ilvl="3">
      <w:start w:val="1"/>
      <w:numFmt w:val="decimal"/>
      <w:isLgl/>
      <w:lvlText w:val="%1.%2.%3.%4"/>
      <w:lvlJc w:val="left"/>
      <w:pPr>
        <w:tabs>
          <w:tab w:val="left" w:pos="720"/>
        </w:tabs>
        <w:ind w:left="720" w:hanging="720"/>
      </w:pPr>
      <w:rPr>
        <w:rFonts w:ascii="黑体" w:eastAsia="黑体" w:hint="eastAsia"/>
      </w:rPr>
    </w:lvl>
    <w:lvl w:ilvl="4">
      <w:start w:val="1"/>
      <w:numFmt w:val="decimal"/>
      <w:isLgl/>
      <w:lvlText w:val="%1.%2.%3.%4.%5"/>
      <w:lvlJc w:val="left"/>
      <w:pPr>
        <w:tabs>
          <w:tab w:val="left" w:pos="1080"/>
        </w:tabs>
        <w:ind w:left="1080" w:hanging="1080"/>
      </w:pPr>
      <w:rPr>
        <w:rFonts w:ascii="黑体" w:eastAsia="黑体" w:hint="eastAsia"/>
      </w:rPr>
    </w:lvl>
    <w:lvl w:ilvl="5">
      <w:start w:val="1"/>
      <w:numFmt w:val="decimal"/>
      <w:isLgl/>
      <w:lvlText w:val="%1.%2.%3.%4.%5.%6"/>
      <w:lvlJc w:val="left"/>
      <w:pPr>
        <w:tabs>
          <w:tab w:val="left" w:pos="1080"/>
        </w:tabs>
        <w:ind w:left="1080" w:hanging="1080"/>
      </w:pPr>
      <w:rPr>
        <w:rFonts w:ascii="黑体" w:eastAsia="黑体" w:hint="eastAsia"/>
      </w:rPr>
    </w:lvl>
    <w:lvl w:ilvl="6">
      <w:start w:val="1"/>
      <w:numFmt w:val="decimal"/>
      <w:isLgl/>
      <w:lvlText w:val="%1.%2.%3.%4.%5.%6.%7"/>
      <w:lvlJc w:val="left"/>
      <w:pPr>
        <w:tabs>
          <w:tab w:val="left" w:pos="1080"/>
        </w:tabs>
        <w:ind w:left="1080" w:hanging="1080"/>
      </w:pPr>
      <w:rPr>
        <w:rFonts w:ascii="黑体" w:eastAsia="黑体" w:hint="eastAsia"/>
      </w:rPr>
    </w:lvl>
    <w:lvl w:ilvl="7">
      <w:start w:val="1"/>
      <w:numFmt w:val="decimal"/>
      <w:isLgl/>
      <w:lvlText w:val="%1.%2.%3.%4.%5.%6.%7.%8"/>
      <w:lvlJc w:val="left"/>
      <w:pPr>
        <w:tabs>
          <w:tab w:val="left" w:pos="1440"/>
        </w:tabs>
        <w:ind w:left="1440" w:hanging="1440"/>
      </w:pPr>
      <w:rPr>
        <w:rFonts w:ascii="黑体" w:eastAsia="黑体" w:hint="eastAsia"/>
      </w:rPr>
    </w:lvl>
    <w:lvl w:ilvl="8">
      <w:start w:val="1"/>
      <w:numFmt w:val="decimal"/>
      <w:isLgl/>
      <w:lvlText w:val="%1.%2.%3.%4.%5.%6.%7.%8.%9"/>
      <w:lvlJc w:val="left"/>
      <w:pPr>
        <w:tabs>
          <w:tab w:val="left" w:pos="1440"/>
        </w:tabs>
        <w:ind w:left="1440" w:hanging="1440"/>
      </w:pPr>
      <w:rPr>
        <w:rFonts w:ascii="黑体" w:eastAsia="黑体" w:hint="eastAsia"/>
      </w:rPr>
    </w:lvl>
  </w:abstractNum>
  <w:num w:numId="1" w16cid:durableId="59595894">
    <w:abstractNumId w:val="1"/>
  </w:num>
  <w:num w:numId="2" w16cid:durableId="57883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98"/>
    <w:rsid w:val="000E6898"/>
    <w:rsid w:val="004531BA"/>
    <w:rsid w:val="005B6A03"/>
    <w:rsid w:val="005C2447"/>
    <w:rsid w:val="005E270C"/>
    <w:rsid w:val="00986703"/>
    <w:rsid w:val="009959D8"/>
    <w:rsid w:val="009D6FCE"/>
    <w:rsid w:val="00B87378"/>
    <w:rsid w:val="00ED60F9"/>
    <w:rsid w:val="028946AB"/>
    <w:rsid w:val="0E6718B2"/>
    <w:rsid w:val="11597885"/>
    <w:rsid w:val="13C63520"/>
    <w:rsid w:val="153E279F"/>
    <w:rsid w:val="18B771EF"/>
    <w:rsid w:val="1CD379CB"/>
    <w:rsid w:val="3B103F48"/>
    <w:rsid w:val="3FE107DF"/>
    <w:rsid w:val="40142C6A"/>
    <w:rsid w:val="52CA1BB2"/>
    <w:rsid w:val="59471B17"/>
    <w:rsid w:val="64A14278"/>
    <w:rsid w:val="691C7F8B"/>
    <w:rsid w:val="6AAF34F1"/>
    <w:rsid w:val="6E10519E"/>
    <w:rsid w:val="6FD43436"/>
    <w:rsid w:val="75C3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80D46"/>
  <w15:docId w15:val="{CCC80C14-0952-42C6-B0BD-B3C3B3ED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5">
    <w:name w:val="Normal (Web)"/>
    <w:basedOn w:val="a"/>
    <w:uiPriority w:val="99"/>
    <w:semiHidden/>
    <w:unhideWhenUsed/>
    <w:qFormat/>
    <w:pPr>
      <w:spacing w:beforeAutospacing="1" w:afterAutospacing="1"/>
      <w:jc w:val="left"/>
    </w:pPr>
    <w:rPr>
      <w:kern w:val="0"/>
      <w:sz w:val="24"/>
    </w:rPr>
  </w:style>
  <w:style w:type="paragraph" w:styleId="a6">
    <w:name w:val="Title"/>
    <w:basedOn w:val="a"/>
    <w:next w:val="a"/>
    <w:qFormat/>
    <w:pPr>
      <w:spacing w:before="240" w:after="60"/>
      <w:jc w:val="center"/>
      <w:outlineLvl w:val="0"/>
    </w:pPr>
    <w:rPr>
      <w:rFonts w:ascii="Cambria" w:hAnsi="Cambria"/>
      <w:b/>
      <w:bCs/>
      <w:sz w:val="32"/>
      <w:szCs w:val="32"/>
    </w:rPr>
  </w:style>
  <w:style w:type="character" w:styleId="a7">
    <w:name w:val="Hyperlink"/>
    <w:basedOn w:val="a0"/>
    <w:uiPriority w:val="99"/>
    <w:semiHidden/>
    <w:unhideWhenUsed/>
    <w:qFormat/>
    <w:rPr>
      <w:color w:val="0000FF"/>
      <w:u w:val="single"/>
    </w:rPr>
  </w:style>
  <w:style w:type="paragraph" w:customStyle="1" w:styleId="a8">
    <w:name w:val="段"/>
    <w:qFormat/>
    <w:pPr>
      <w:autoSpaceDE w:val="0"/>
      <w:autoSpaceDN w:val="0"/>
      <w:ind w:firstLineChars="200" w:firstLine="200"/>
      <w:jc w:val="both"/>
    </w:pPr>
    <w:rPr>
      <w:rFonts w:ascii="宋体"/>
      <w:sz w:val="21"/>
    </w:rPr>
  </w:style>
  <w:style w:type="paragraph" w:styleId="a9">
    <w:name w:val="header"/>
    <w:basedOn w:val="a"/>
    <w:link w:val="aa"/>
    <w:uiPriority w:val="99"/>
    <w:unhideWhenUsed/>
    <w:rsid w:val="00ED60F9"/>
    <w:pPr>
      <w:tabs>
        <w:tab w:val="center" w:pos="4153"/>
        <w:tab w:val="right" w:pos="8306"/>
      </w:tabs>
      <w:snapToGrid w:val="0"/>
      <w:jc w:val="center"/>
    </w:pPr>
    <w:rPr>
      <w:sz w:val="18"/>
      <w:szCs w:val="18"/>
    </w:rPr>
  </w:style>
  <w:style w:type="character" w:customStyle="1" w:styleId="aa">
    <w:name w:val="页眉 字符"/>
    <w:basedOn w:val="a0"/>
    <w:link w:val="a9"/>
    <w:uiPriority w:val="99"/>
    <w:rsid w:val="00ED60F9"/>
    <w:rPr>
      <w:kern w:val="2"/>
      <w:sz w:val="18"/>
      <w:szCs w:val="18"/>
    </w:rPr>
  </w:style>
  <w:style w:type="paragraph" w:styleId="ab">
    <w:name w:val="footer"/>
    <w:basedOn w:val="a"/>
    <w:link w:val="ac"/>
    <w:uiPriority w:val="99"/>
    <w:unhideWhenUsed/>
    <w:rsid w:val="00ED60F9"/>
    <w:pPr>
      <w:tabs>
        <w:tab w:val="center" w:pos="4153"/>
        <w:tab w:val="right" w:pos="8306"/>
      </w:tabs>
      <w:snapToGrid w:val="0"/>
      <w:jc w:val="left"/>
    </w:pPr>
    <w:rPr>
      <w:sz w:val="18"/>
      <w:szCs w:val="18"/>
    </w:rPr>
  </w:style>
  <w:style w:type="character" w:customStyle="1" w:styleId="ac">
    <w:name w:val="页脚 字符"/>
    <w:basedOn w:val="a0"/>
    <w:link w:val="ab"/>
    <w:uiPriority w:val="99"/>
    <w:rsid w:val="00ED60F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1784</Words>
  <Characters>2035</Characters>
  <Application>Microsoft Office Word</Application>
  <DocSecurity>0</DocSecurity>
  <Lines>107</Lines>
  <Paragraphs>79</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gyzyw</dc:creator>
  <cp:lastModifiedBy>汉聪 冯</cp:lastModifiedBy>
  <cp:revision>3</cp:revision>
  <dcterms:created xsi:type="dcterms:W3CDTF">2019-05-15T02:42:00Z</dcterms:created>
  <dcterms:modified xsi:type="dcterms:W3CDTF">2025-11-28T07:59:00Z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B1F66872D41B421CB38D011BE867F855_13</vt:lpwstr>
  </property>
  <property fmtid="{D5CDD505-2E9C-101B-9397-08002B2CF9AE}" pid="4" name="KSOTemplateDocerSaveRecord">
    <vt:lpwstr>eyJoZGlkIjoiNjkxNGY5M2RiODBhODE3ZjhkNTllYmVlNWFjMTJhZjciLCJ1c2VySWQiOiIyNzY4MTIxMTQifQ==</vt:lpwstr>
  </property>
</Properties>
</file>