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F89A01">
      <w:pPr>
        <w:widowControl/>
        <w:snapToGrid w:val="0"/>
        <w:spacing w:line="360" w:lineRule="auto"/>
        <w:jc w:val="center"/>
        <w:rPr>
          <w:rFonts w:hint="eastAsia" w:ascii="微软雅黑" w:hAnsi="微软雅黑" w:eastAsia="微软雅黑" w:cs="方正小标宋简体"/>
          <w:b/>
          <w:color w:val="000000"/>
          <w:sz w:val="36"/>
          <w:szCs w:val="36"/>
        </w:rPr>
      </w:pPr>
      <w:r>
        <w:rPr>
          <w:rFonts w:hint="eastAsia" w:ascii="微软雅黑" w:hAnsi="微软雅黑" w:eastAsia="微软雅黑" w:cs="方正小标宋简体"/>
          <w:b/>
          <w:color w:val="000000"/>
          <w:sz w:val="36"/>
          <w:szCs w:val="36"/>
        </w:rPr>
        <w:t>《酿造酱油感官评价规程（征求意见稿）》编制说明</w:t>
      </w:r>
    </w:p>
    <w:p w14:paraId="5C23C0D3">
      <w:pPr>
        <w:numPr>
          <w:ilvl w:val="0"/>
          <w:numId w:val="1"/>
        </w:numPr>
        <w:snapToGrid w:val="0"/>
        <w:spacing w:line="360" w:lineRule="auto"/>
        <w:rPr>
          <w:rFonts w:ascii="仿宋_GB2312" w:eastAsia="仿宋_GB2312"/>
          <w:b/>
          <w:color w:val="000000"/>
          <w:sz w:val="24"/>
          <w:szCs w:val="24"/>
        </w:rPr>
      </w:pPr>
      <w:r>
        <w:rPr>
          <w:rFonts w:hint="eastAsia" w:ascii="仿宋_GB2312" w:eastAsia="仿宋_GB2312"/>
          <w:b/>
          <w:color w:val="000000"/>
          <w:sz w:val="24"/>
          <w:szCs w:val="24"/>
        </w:rPr>
        <w:t>任务来源及起草单位</w:t>
      </w:r>
    </w:p>
    <w:p w14:paraId="150A00D6">
      <w:pPr>
        <w:numPr>
          <w:ilvl w:val="0"/>
          <w:numId w:val="2"/>
        </w:numPr>
        <w:snapToGrid w:val="0"/>
        <w:spacing w:line="360" w:lineRule="auto"/>
        <w:rPr>
          <w:rFonts w:ascii="仿宋_GB2312" w:eastAsia="仿宋_GB2312"/>
          <w:color w:val="000000"/>
          <w:sz w:val="24"/>
          <w:szCs w:val="24"/>
        </w:rPr>
      </w:pPr>
      <w:r>
        <w:rPr>
          <w:rFonts w:hint="eastAsia" w:ascii="仿宋_GB2312" w:eastAsia="仿宋_GB2312"/>
          <w:color w:val="000000"/>
          <w:sz w:val="24"/>
          <w:szCs w:val="24"/>
        </w:rPr>
        <w:t>任务来源</w:t>
      </w:r>
    </w:p>
    <w:p w14:paraId="691F8A22">
      <w:pPr>
        <w:shd w:val="clear"/>
        <w:snapToGrid w:val="0"/>
        <w:spacing w:line="360" w:lineRule="auto"/>
        <w:ind w:firstLine="480" w:firstLineChars="200"/>
        <w:rPr>
          <w:rFonts w:ascii="仿宋_GB2312" w:eastAsia="仿宋_GB2312"/>
          <w:sz w:val="24"/>
          <w:szCs w:val="24"/>
          <w:highlight w:val="none"/>
        </w:rPr>
      </w:pPr>
      <w:r>
        <w:rPr>
          <w:rFonts w:hint="eastAsia" w:ascii="仿宋_GB2312" w:eastAsia="仿宋_GB2312"/>
          <w:sz w:val="24"/>
          <w:szCs w:val="24"/>
        </w:rPr>
        <w:t>本标准由珠海科技学院、珠海天禾食品有限公司、鹤山市东古调味食品有限公司、广东美味鲜调味食品有限公司、佛山市海天（高明）调味食品有限公司、</w:t>
      </w:r>
      <w:r>
        <w:rPr>
          <w:rFonts w:hint="eastAsia" w:ascii="仿宋_GB2312" w:eastAsia="仿宋_GB2312"/>
          <w:sz w:val="24"/>
          <w:szCs w:val="24"/>
          <w:highlight w:val="none"/>
        </w:rPr>
        <w:t>肇庆市农投香满源食品有限公司申请，广东省食品行业协会组织专家立项论证并通过立项，项目名称为《酿造酱油感官评价规程》。</w:t>
      </w:r>
    </w:p>
    <w:p w14:paraId="1BD6F261">
      <w:pPr>
        <w:numPr>
          <w:ilvl w:val="0"/>
          <w:numId w:val="2"/>
        </w:numPr>
        <w:shd w:val="clear"/>
        <w:snapToGrid w:val="0"/>
        <w:spacing w:line="360" w:lineRule="auto"/>
        <w:rPr>
          <w:rFonts w:ascii="仿宋_GB2312" w:eastAsia="仿宋_GB2312"/>
          <w:sz w:val="24"/>
          <w:szCs w:val="24"/>
          <w:highlight w:val="none"/>
        </w:rPr>
      </w:pPr>
      <w:r>
        <w:rPr>
          <w:rFonts w:hint="eastAsia" w:ascii="仿宋_GB2312" w:eastAsia="仿宋_GB2312"/>
          <w:sz w:val="24"/>
          <w:szCs w:val="24"/>
          <w:highlight w:val="none"/>
        </w:rPr>
        <w:t>起草单位及人员名单</w:t>
      </w:r>
    </w:p>
    <w:p w14:paraId="339A3FC3">
      <w:pPr>
        <w:shd w:val="clear"/>
        <w:snapToGrid w:val="0"/>
        <w:spacing w:line="360" w:lineRule="auto"/>
        <w:ind w:firstLine="480" w:firstLineChars="200"/>
        <w:rPr>
          <w:rFonts w:ascii="仿宋_GB2312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eastAsia="仿宋_GB2312"/>
          <w:color w:val="auto"/>
          <w:sz w:val="24"/>
          <w:szCs w:val="24"/>
          <w:highlight w:val="none"/>
        </w:rPr>
        <w:t>本标准起草单位：</w:t>
      </w:r>
    </w:p>
    <w:p w14:paraId="0A0815DC">
      <w:pPr>
        <w:pStyle w:val="8"/>
        <w:shd w:val="clear"/>
        <w:snapToGrid w:val="0"/>
        <w:spacing w:line="360" w:lineRule="auto"/>
        <w:ind w:firstLine="480"/>
        <w:rPr>
          <w:rFonts w:ascii="仿宋_GB2312" w:hAnsi="Calibri" w:eastAsia="仿宋_GB2312"/>
          <w:color w:val="auto"/>
          <w:kern w:val="2"/>
          <w:sz w:val="24"/>
          <w:szCs w:val="24"/>
          <w:highlight w:val="none"/>
        </w:rPr>
      </w:pPr>
      <w:r>
        <w:rPr>
          <w:rFonts w:hint="eastAsia" w:ascii="仿宋_GB2312" w:hAnsi="Calibri" w:eastAsia="仿宋_GB2312"/>
          <w:color w:val="auto"/>
          <w:kern w:val="2"/>
          <w:sz w:val="24"/>
          <w:szCs w:val="24"/>
          <w:highlight w:val="none"/>
        </w:rPr>
        <w:t>本标准主要起草人：</w:t>
      </w:r>
      <w:bookmarkStart w:id="0" w:name="_Hlk46692648"/>
    </w:p>
    <w:bookmarkEnd w:id="0"/>
    <w:p w14:paraId="2980FCCD">
      <w:pPr>
        <w:numPr>
          <w:ilvl w:val="0"/>
          <w:numId w:val="2"/>
        </w:numPr>
        <w:shd w:val="clear"/>
        <w:snapToGrid w:val="0"/>
        <w:spacing w:line="360" w:lineRule="auto"/>
        <w:rPr>
          <w:rFonts w:ascii="仿宋_GB2312" w:eastAsia="仿宋_GB2312"/>
          <w:sz w:val="24"/>
          <w:szCs w:val="24"/>
          <w:highlight w:val="none"/>
        </w:rPr>
      </w:pPr>
      <w:r>
        <w:rPr>
          <w:rFonts w:hint="eastAsia" w:ascii="仿宋_GB2312" w:eastAsia="仿宋_GB2312"/>
          <w:sz w:val="24"/>
          <w:szCs w:val="24"/>
          <w:highlight w:val="none"/>
        </w:rPr>
        <w:t>起草组分工</w:t>
      </w:r>
    </w:p>
    <w:p w14:paraId="2FABCF76">
      <w:pPr>
        <w:snapToGrid w:val="0"/>
        <w:spacing w:line="360" w:lineRule="auto"/>
        <w:ind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1.综合协调组：负责制定工作方案，组织协调各起草单位按计划和要求完成各项工作。</w:t>
      </w:r>
    </w:p>
    <w:p w14:paraId="1248F811">
      <w:pPr>
        <w:snapToGrid w:val="0"/>
        <w:spacing w:line="360" w:lineRule="auto"/>
        <w:ind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2.资料组：负责收集国内外相关标准和技术资料，以及相关方意见的收集整理工作，为标准起草提供信息支持。</w:t>
      </w:r>
    </w:p>
    <w:p w14:paraId="255CB30C">
      <w:pPr>
        <w:snapToGrid w:val="0"/>
        <w:spacing w:line="360" w:lineRule="auto"/>
        <w:ind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3.检测组：负责标准涉及的各项评价方法的验证。</w:t>
      </w:r>
    </w:p>
    <w:p w14:paraId="674E6375">
      <w:pPr>
        <w:snapToGrid w:val="0"/>
        <w:spacing w:line="360" w:lineRule="auto"/>
        <w:ind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4.编写组：负责标准文本和编制说明的编写工作。</w:t>
      </w:r>
    </w:p>
    <w:p w14:paraId="5467C3E8">
      <w:pPr>
        <w:numPr>
          <w:ilvl w:val="0"/>
          <w:numId w:val="1"/>
        </w:numPr>
        <w:snapToGrid w:val="0"/>
        <w:spacing w:line="360" w:lineRule="auto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标准制订的目的和意义</w:t>
      </w:r>
    </w:p>
    <w:p w14:paraId="081CD2EA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我国酱油生产拥有两千多年的历史，在长期发展过程中，受历史传承、地理环境及饮食文化等多方面因素影响，其生产工艺与原料选用逐渐形成鲜明的地域特色，衍生出各具风格的酱油流派。酱油主要以大豆（或脱脂大豆）和小麦（或小麦粉）为原料，借助米曲霉、酵母菌、乳酸菌等微生物的协同发酵作用，经历一系列复杂的生化反应，最终形成具有独特色、香、味、体的调味液。酱油不仅在我国及东南亚地区深受喜爱，近年来在西方国家的接受度也日益提高。</w:t>
      </w:r>
    </w:p>
    <w:p w14:paraId="3A6E43A6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目前，我国涉及酱油感官评价的相关标准主要包括GB 2717《食品安全国家标准 酱油》和GB/T 18186《酿造酱油》，二者均将色泽、香气、滋味和体态列为评价酱油品质的关键指标。然而，在具体评价方法上，GB 2717与GB/T 5009.39《酱油卫生标准的分析方法》中所推荐的感官检验方法存在不一致、步骤描述不够具体、缺乏对色香味体系统化评判依据等问题，导致在实际评价过程中操作性不强、结果可比性有限。</w:t>
      </w:r>
    </w:p>
    <w:p w14:paraId="60A5AD61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为科学、统一地评价酱油的感官品质，准确区分不同种类、不同等级酱油在色、香、味、体方面的差异，推动酱油产业乃至整个调味品和餐饮行业的高质量发展，亟需制定《酿造酱油感官评价规程》团体标准。该规程的制定具有以下几方面的重要意义：</w:t>
      </w:r>
    </w:p>
    <w:p w14:paraId="526713E1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1.</w:t>
      </w:r>
      <w:r>
        <w:rPr>
          <w:rFonts w:hint="eastAsia" w:ascii="仿宋_GB2312" w:eastAsia="仿宋_GB2312"/>
          <w:sz w:val="24"/>
          <w:szCs w:val="24"/>
        </w:rPr>
        <w:t>统一评价体系，提升标准可操作性</w:t>
      </w:r>
    </w:p>
    <w:p w14:paraId="3081B357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通过明确感官评价的环境要求、人员资质、样品准备、评价流程及具体评判方法，形成系统化、可重复、易操作的评价规范，弥补现有标准在实操层面的不足。</w:t>
      </w:r>
    </w:p>
    <w:p w14:paraId="72D7C550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2.</w:t>
      </w:r>
      <w:r>
        <w:rPr>
          <w:rFonts w:hint="eastAsia" w:ascii="仿宋_GB2312" w:eastAsia="仿宋_GB2312"/>
          <w:sz w:val="24"/>
          <w:szCs w:val="24"/>
        </w:rPr>
        <w:t>保障产品品质，促进产业规范化</w:t>
      </w:r>
    </w:p>
    <w:p w14:paraId="7F0ADDB8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为生产企业提供可靠的感官质量控制依据，有助于稳定和提升酱油产品品质，推动行业向标准化、规范化方向发展。</w:t>
      </w:r>
    </w:p>
    <w:p w14:paraId="0AFB65EC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3.</w:t>
      </w:r>
      <w:r>
        <w:rPr>
          <w:rFonts w:hint="eastAsia" w:ascii="仿宋_GB2312" w:eastAsia="仿宋_GB2312"/>
          <w:sz w:val="24"/>
          <w:szCs w:val="24"/>
        </w:rPr>
        <w:t>适应市场需求，推动产品多元化</w:t>
      </w:r>
    </w:p>
    <w:p w14:paraId="3FDB4059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通过细化感官评价维度，支持企业开发具有不同风味特点和口感层次的酱油产品，满足市场多样化、高端化需求，促进产品创新与结构升级。</w:t>
      </w:r>
    </w:p>
    <w:p w14:paraId="309690B2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4.</w:t>
      </w:r>
      <w:r>
        <w:rPr>
          <w:rFonts w:hint="eastAsia" w:ascii="仿宋_GB2312" w:eastAsia="仿宋_GB2312"/>
          <w:sz w:val="24"/>
          <w:szCs w:val="24"/>
        </w:rPr>
        <w:t>增强国际竞争力</w:t>
      </w:r>
    </w:p>
    <w:p w14:paraId="7A7B91C3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建立与国际接轨的感官评价标准，有助于提升我国酱油产品的国际认可度，推动中国酱油走向世界，增强行业整体竞争力。</w:t>
      </w:r>
    </w:p>
    <w:p w14:paraId="258AC1AC">
      <w:pPr>
        <w:snapToGrid w:val="0"/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综上，制定《酿造酱油感官评价规程》团体标准，不仅是完善酱油质量评价体系的内在要求，也是推动产业提质增效、适应消费升级、参与国际竞争的重要举措。</w:t>
      </w:r>
    </w:p>
    <w:p w14:paraId="153EB26F">
      <w:pPr>
        <w:numPr>
          <w:ilvl w:val="0"/>
          <w:numId w:val="1"/>
        </w:numPr>
        <w:snapToGrid w:val="0"/>
        <w:spacing w:line="360" w:lineRule="auto"/>
        <w:rPr>
          <w:rFonts w:ascii="仿宋_GB2312" w:eastAsia="仿宋_GB2312"/>
          <w:b/>
          <w:color w:val="000000"/>
          <w:sz w:val="24"/>
          <w:szCs w:val="24"/>
        </w:rPr>
      </w:pPr>
      <w:r>
        <w:rPr>
          <w:rFonts w:hint="eastAsia" w:ascii="仿宋_GB2312" w:eastAsia="仿宋_GB2312"/>
          <w:b/>
          <w:color w:val="000000"/>
          <w:sz w:val="24"/>
          <w:szCs w:val="24"/>
        </w:rPr>
        <w:t>标准制订的基本原则和依据</w:t>
      </w:r>
    </w:p>
    <w:p w14:paraId="639C202A">
      <w:pPr>
        <w:snapToGrid w:val="0"/>
        <w:spacing w:line="360" w:lineRule="auto"/>
        <w:ind w:firstLine="480" w:firstLineChars="200"/>
        <w:rPr>
          <w:rFonts w:hint="eastAsia" w:eastAsia="宋体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t>本标准制定的各项基本原则均契合国家相关法规以及食品安全标准。《酿造酱油感官评价规程》的制定，目的在于保障评价工作具备科学性、规范性和可操作性，紧密依照现行相关国家标准，并融入行业实践经验。该规程以GB 2717《食品安全国家标准 酱油》和GB/T 18186《酿造酱油》为核心依据，严格遵循其针对感官指标的质量要求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 xml:space="preserve">。同时，参照GB/T 10220《感官分析 方法总论》及GB/T 13868《感官分析 建立感官分析实验室的一般导则》，对评价流程与环境条件予以规范。在评价员管理方面，依据GB/T 46555《感官分析 感官评价员的选拔和培训规程》构建选拔、培训与管理体系，确保评价结果客观可靠。此外，还充分结合酱油生产企业的实际经验和实验数据，以提升其在生产实践中的适用性，保证能够真实、有效地体现酱油产品的感官品质特征。 </w:t>
      </w:r>
    </w:p>
    <w:p w14:paraId="4906607F">
      <w:pPr>
        <w:snapToGrid w:val="0"/>
        <w:spacing w:line="360" w:lineRule="auto"/>
        <w:ind w:left="704"/>
        <w:rPr>
          <w:rFonts w:ascii="仿宋_GB2312" w:eastAsia="仿宋_GB2312"/>
          <w:color w:val="000000"/>
          <w:sz w:val="24"/>
          <w:szCs w:val="24"/>
        </w:rPr>
      </w:pPr>
    </w:p>
    <w:p w14:paraId="06C4A7A8">
      <w:pPr>
        <w:numPr>
          <w:ilvl w:val="0"/>
          <w:numId w:val="1"/>
        </w:numPr>
        <w:snapToGrid w:val="0"/>
        <w:spacing w:line="360" w:lineRule="auto"/>
        <w:rPr>
          <w:rFonts w:ascii="仿宋_GB2312" w:eastAsia="仿宋_GB2312"/>
          <w:b/>
          <w:color w:val="000000"/>
          <w:sz w:val="24"/>
          <w:szCs w:val="24"/>
        </w:rPr>
      </w:pPr>
      <w:r>
        <w:rPr>
          <w:rFonts w:hint="eastAsia" w:ascii="仿宋_GB2312" w:eastAsia="仿宋_GB2312"/>
          <w:b/>
          <w:color w:val="000000"/>
          <w:sz w:val="24"/>
          <w:szCs w:val="24"/>
        </w:rPr>
        <w:t>主要章、条确定的原则</w:t>
      </w:r>
    </w:p>
    <w:p w14:paraId="135B9BBF">
      <w:pPr>
        <w:snapToGrid w:val="0"/>
        <w:spacing w:line="360" w:lineRule="auto"/>
        <w:ind w:firstLine="480" w:firstLineChars="200"/>
        <w:rPr>
          <w:rFonts w:ascii="仿宋_GB2312" w:eastAsia="仿宋_GB2312"/>
          <w:color w:val="000000"/>
          <w:sz w:val="24"/>
          <w:szCs w:val="24"/>
        </w:rPr>
      </w:pPr>
      <w:r>
        <w:rPr>
          <w:rFonts w:hint="eastAsia" w:ascii="仿宋_GB2312" w:eastAsia="仿宋_GB2312"/>
          <w:color w:val="000000"/>
          <w:sz w:val="24"/>
          <w:szCs w:val="24"/>
        </w:rPr>
        <w:t>（一）范围</w:t>
      </w:r>
    </w:p>
    <w:p w14:paraId="18AE75F9">
      <w:pPr>
        <w:pStyle w:val="13"/>
        <w:rPr>
          <w:rFonts w:hint="eastAsia" w:ascii="仿宋_GB2312" w:hAnsi="Calibri" w:eastAsia="仿宋_GB2312" w:cs="Times New Roman"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本标准以符合GB 2717《食品安全国家标准 酱油》及GB/T 5009.39《酱油卫生标准的分析》规定的酿造酱油产品为研究对象。规定了此类产品的感官评价条件、方法及结果判定规则，适用于各类酿造酱油的感官评价。</w:t>
      </w:r>
    </w:p>
    <w:p w14:paraId="1DC210DC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</w:rPr>
        <w:t>（二）定义</w:t>
      </w:r>
    </w:p>
    <w:p w14:paraId="35B3984F">
      <w:pPr>
        <w:pStyle w:val="13"/>
        <w:rPr>
          <w:rFonts w:hint="eastAsia" w:eastAsia="仿宋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eastAsia="zh-CN"/>
        </w:rPr>
        <w:t>本标准鉴于当前行业普遍依据颜色深浅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 xml:space="preserve">将酱油划分为生抽和老抽的实际情况，按照色率对酱油产品予以分类：色率低于 2000 EBC 的酱油，定义为生抽；色率高于 2000 EBC 的酱油，定义为老抽。 </w:t>
      </w:r>
    </w:p>
    <w:p w14:paraId="6A36E8D0">
      <w:pPr>
        <w:pStyle w:val="13"/>
        <w:rPr>
          <w:rFonts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</w:rPr>
        <w:t>（三）原理</w:t>
      </w:r>
    </w:p>
    <w:p w14:paraId="1BD0129B">
      <w:pPr>
        <w:pStyle w:val="13"/>
        <w:rPr>
          <w:rFonts w:eastAsia="仿宋_GB2312" w:cs="Times New Roman" w:asciiTheme="minorHAnsi" w:hAnsiTheme="minorHAnsi"/>
          <w:color w:val="auto"/>
        </w:rPr>
      </w:pPr>
      <w:r>
        <w:rPr>
          <w:rFonts w:hint="eastAsia" w:eastAsia="仿宋_GB2312" w:cs="Times New Roman" w:asciiTheme="minorHAnsi" w:hAnsiTheme="minorHAnsi"/>
          <w:color w:val="auto"/>
        </w:rPr>
        <w:t>品评人员使用眼、鼻、口等感觉器官在规定的方法下对酱油的色泽、体态、香气及滋味等感官特性进行鉴别，通过品评人员的综合评分判断产品是否符合感官要求。</w:t>
      </w:r>
    </w:p>
    <w:p w14:paraId="1BC6BE00">
      <w:pPr>
        <w:pStyle w:val="13"/>
        <w:rPr>
          <w:rFonts w:eastAsia="仿宋_GB2312" w:cs="Times New Roman" w:asciiTheme="minorHAnsi" w:hAnsiTheme="minorHAnsi"/>
          <w:color w:val="auto"/>
        </w:rPr>
      </w:pPr>
      <w:r>
        <w:rPr>
          <w:rFonts w:hint="eastAsia" w:eastAsia="仿宋_GB2312" w:cs="Times New Roman" w:asciiTheme="minorHAnsi" w:hAnsiTheme="minorHAnsi"/>
          <w:color w:val="auto"/>
        </w:rPr>
        <w:t>（四）品评要求</w:t>
      </w:r>
    </w:p>
    <w:p w14:paraId="3650A221">
      <w:pPr>
        <w:pStyle w:val="13"/>
        <w:rPr>
          <w:rFonts w:hint="eastAsia" w:eastAsia="仿宋_GB2312" w:cs="Times New Roman" w:asciiTheme="minorHAnsi" w:hAnsiTheme="minorHAnsi"/>
          <w:color w:val="auto"/>
        </w:rPr>
      </w:pPr>
      <w:r>
        <w:rPr>
          <w:rFonts w:hint="eastAsia" w:eastAsia="仿宋_GB2312" w:cs="Times New Roman" w:asciiTheme="minorHAnsi" w:hAnsiTheme="minorHAnsi"/>
          <w:color w:val="auto"/>
          <w:lang w:val="en-US" w:eastAsia="zh-CN"/>
        </w:rPr>
        <w:t>1.</w:t>
      </w:r>
      <w:r>
        <w:rPr>
          <w:rFonts w:hint="eastAsia" w:eastAsia="仿宋_GB2312" w:cs="Times New Roman" w:asciiTheme="minorHAnsi" w:hAnsiTheme="minorHAnsi"/>
          <w:color w:val="auto"/>
        </w:rPr>
        <w:t>环境</w:t>
      </w:r>
    </w:p>
    <w:p w14:paraId="22B6769D">
      <w:pPr>
        <w:pStyle w:val="13"/>
        <w:rPr>
          <w:rFonts w:hint="eastAsia" w:eastAsia="仿宋_GB2312" w:cs="Times New Roman" w:asciiTheme="minorHAnsi" w:hAnsiTheme="minorHAnsi"/>
          <w:color w:val="auto"/>
        </w:rPr>
      </w:pPr>
      <w:r>
        <w:rPr>
          <w:rFonts w:hint="eastAsia" w:eastAsia="仿宋_GB2312" w:cs="Times New Roman" w:asciiTheme="minorHAnsi" w:hAnsiTheme="minorHAnsi"/>
          <w:color w:val="auto"/>
          <w:lang w:val="en-US" w:eastAsia="zh-CN"/>
        </w:rPr>
        <w:t>参照</w:t>
      </w:r>
      <w:r>
        <w:rPr>
          <w:rFonts w:hint="eastAsia" w:eastAsia="仿宋_GB2312" w:cs="Times New Roman" w:asciiTheme="minorHAnsi" w:hAnsiTheme="minorHAnsi"/>
          <w:color w:val="auto"/>
        </w:rPr>
        <w:t>GB/T10220规定的</w:t>
      </w:r>
      <w:r>
        <w:rPr>
          <w:rFonts w:hint="eastAsia" w:eastAsia="仿宋_GB2312" w:cs="Times New Roman" w:asciiTheme="minorHAnsi" w:hAnsiTheme="minorHAnsi"/>
          <w:color w:val="auto"/>
          <w:lang w:val="en-US" w:eastAsia="zh-CN"/>
        </w:rPr>
        <w:t>要求</w:t>
      </w:r>
      <w:r>
        <w:rPr>
          <w:rFonts w:hint="eastAsia" w:eastAsia="仿宋_GB2312" w:cs="Times New Roman" w:asciiTheme="minorHAnsi" w:hAnsiTheme="minorHAnsi"/>
          <w:color w:val="auto"/>
        </w:rPr>
        <w:t>。</w:t>
      </w:r>
    </w:p>
    <w:p w14:paraId="2FA4A19A">
      <w:pPr>
        <w:pStyle w:val="13"/>
        <w:rPr>
          <w:rFonts w:hint="eastAsia" w:eastAsia="仿宋_GB2312" w:cs="Times New Roman" w:asciiTheme="minorHAnsi" w:hAnsiTheme="minorHAnsi"/>
          <w:color w:val="auto"/>
        </w:rPr>
      </w:pPr>
      <w:r>
        <w:rPr>
          <w:rFonts w:hint="eastAsia" w:eastAsia="仿宋_GB2312" w:cs="Times New Roman" w:asciiTheme="minorHAnsi" w:hAnsiTheme="minorHAnsi"/>
          <w:color w:val="auto"/>
          <w:lang w:val="en-US" w:eastAsia="zh-CN"/>
        </w:rPr>
        <w:t>2.</w:t>
      </w:r>
      <w:r>
        <w:rPr>
          <w:rFonts w:hint="eastAsia" w:eastAsia="仿宋_GB2312" w:cs="Times New Roman" w:asciiTheme="minorHAnsi" w:hAnsiTheme="minorHAnsi"/>
          <w:color w:val="auto"/>
        </w:rPr>
        <w:t>品尝实验室</w:t>
      </w:r>
    </w:p>
    <w:p w14:paraId="15832585">
      <w:pPr>
        <w:pStyle w:val="13"/>
        <w:rPr>
          <w:rFonts w:hint="eastAsia" w:eastAsia="仿宋_GB2312" w:cs="Times New Roman" w:asciiTheme="minorHAnsi" w:hAnsiTheme="minorHAnsi"/>
          <w:color w:val="auto"/>
        </w:rPr>
      </w:pPr>
      <w:r>
        <w:rPr>
          <w:rFonts w:hint="eastAsia" w:eastAsia="仿宋_GB2312" w:cs="Times New Roman" w:asciiTheme="minorHAnsi" w:hAnsiTheme="minorHAnsi"/>
          <w:color w:val="auto"/>
          <w:lang w:val="en-US" w:eastAsia="zh-CN"/>
        </w:rPr>
        <w:t>参照</w:t>
      </w:r>
      <w:r>
        <w:rPr>
          <w:rFonts w:hint="eastAsia" w:eastAsia="仿宋_GB2312" w:cs="Times New Roman" w:asciiTheme="minorHAnsi" w:hAnsiTheme="minorHAnsi"/>
          <w:color w:val="auto"/>
        </w:rPr>
        <w:t>GB/T13868规定的</w:t>
      </w:r>
      <w:r>
        <w:rPr>
          <w:rFonts w:hint="eastAsia" w:eastAsia="仿宋_GB2312" w:cs="Times New Roman" w:asciiTheme="minorHAnsi" w:hAnsiTheme="minorHAnsi"/>
          <w:color w:val="auto"/>
          <w:lang w:val="en-US" w:eastAsia="zh-CN"/>
        </w:rPr>
        <w:t>要求</w:t>
      </w:r>
      <w:r>
        <w:rPr>
          <w:rFonts w:hint="eastAsia" w:eastAsia="仿宋_GB2312" w:cs="Times New Roman" w:asciiTheme="minorHAnsi" w:hAnsiTheme="minorHAnsi"/>
          <w:color w:val="auto"/>
        </w:rPr>
        <w:t>。</w:t>
      </w:r>
    </w:p>
    <w:p w14:paraId="1A25106B">
      <w:pPr>
        <w:pStyle w:val="13"/>
        <w:rPr>
          <w:rFonts w:hint="eastAsia" w:eastAsia="仿宋_GB2312" w:cs="Times New Roman" w:asciiTheme="minorHAnsi" w:hAnsiTheme="minorHAnsi"/>
          <w:color w:val="auto"/>
        </w:rPr>
      </w:pPr>
      <w:r>
        <w:rPr>
          <w:rFonts w:hint="eastAsia" w:eastAsia="仿宋_GB2312" w:cs="Times New Roman" w:asciiTheme="minorHAnsi" w:hAnsiTheme="minorHAnsi"/>
          <w:color w:val="auto"/>
          <w:lang w:val="en-US" w:eastAsia="zh-CN"/>
        </w:rPr>
        <w:t>3.</w:t>
      </w:r>
      <w:r>
        <w:rPr>
          <w:rFonts w:hint="eastAsia" w:eastAsia="仿宋_GB2312" w:cs="Times New Roman" w:asciiTheme="minorHAnsi" w:hAnsiTheme="minorHAnsi"/>
          <w:color w:val="auto"/>
        </w:rPr>
        <w:t>品评人员</w:t>
      </w:r>
    </w:p>
    <w:p w14:paraId="5B6F8A83">
      <w:pPr>
        <w:pStyle w:val="13"/>
        <w:rPr>
          <w:rFonts w:hint="eastAsia" w:eastAsia="仿宋"/>
          <w:lang w:eastAsia="zh-CN"/>
        </w:rPr>
      </w:pPr>
      <w:r>
        <w:rPr>
          <w:rFonts w:hint="eastAsia" w:eastAsia="仿宋_GB2312" w:cs="Times New Roman" w:asciiTheme="minorHAnsi" w:hAnsiTheme="minorHAnsi"/>
          <w:color w:val="auto"/>
          <w:lang w:val="en-US" w:eastAsia="zh-CN"/>
        </w:rPr>
        <w:t>依据 GB/T 46555《感官分析 感官评价员的选拔和培训规程》的规定，且品评人员需接受酱油产品感官评价相关知识的专业培训。结合标准要求以及企业感官检验评价人员的参与规模，确定每次品评的人员数量应控制在 3 ~ 10 名。</w:t>
      </w:r>
      <w:r>
        <w:rPr>
          <w:rFonts w:hint="eastAsia" w:eastAsia="仿宋_GB2312" w:cs="Times New Roman" w:asciiTheme="minorHAnsi" w:hAnsiTheme="minorHAnsi"/>
          <w:color w:val="auto"/>
          <w:highlight w:val="none"/>
          <w:lang w:val="en-US" w:eastAsia="zh-CN"/>
        </w:rPr>
        <w:t xml:space="preserve">为保障品评人员评价结果的准确性，综合实际评价经验，并参考稻谷、大米、方便面等产品对品评人员的相关要求，明确规定品评人员在品评前 1 小时内不得吸烟、进食，但可饮用清水。每次品评前，品评人员需用温开水漱口，以清除口腔内的残留物。在品评过程中，品评人员应保持良好的身体状态，且不得使用化妆品或其他具有显著气味的用品。 </w:t>
      </w:r>
    </w:p>
    <w:p w14:paraId="5C648C16">
      <w:pPr>
        <w:pStyle w:val="13"/>
        <w:rPr>
          <w:rFonts w:hint="default" w:ascii="仿宋_GB2312" w:hAnsi="Calibri" w:eastAsia="仿宋_GB2312" w:cs="Times New Roman"/>
          <w:color w:val="auto"/>
          <w:lang w:val="en-US" w:eastAsia="zh-CN"/>
        </w:rPr>
      </w:pPr>
      <w:bookmarkStart w:id="1" w:name="_Hlk187841622"/>
      <w:r>
        <w:rPr>
          <w:rFonts w:hint="eastAsia" w:ascii="仿宋_GB2312" w:hAnsi="Calibri" w:eastAsia="仿宋_GB2312" w:cs="Times New Roman"/>
          <w:color w:val="auto"/>
        </w:rPr>
        <w:t>4</w:t>
      </w:r>
      <w:bookmarkEnd w:id="1"/>
      <w:r>
        <w:rPr>
          <w:rFonts w:hint="eastAsia" w:ascii="仿宋_GB2312" w:hAnsi="Calibri" w:eastAsia="仿宋_GB2312" w:cs="Times New Roman"/>
          <w:color w:val="auto"/>
          <w:lang w:val="en-US" w:eastAsia="zh-CN"/>
        </w:rPr>
        <w:t>.</w:t>
      </w:r>
      <w:r>
        <w:rPr>
          <w:rFonts w:hint="eastAsia" w:ascii="仿宋_GB2312" w:hAnsi="Calibri" w:eastAsia="仿宋_GB2312" w:cs="Times New Roman"/>
          <w:color w:val="auto"/>
        </w:rPr>
        <w:t>品评样品份数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及品评时间</w:t>
      </w:r>
    </w:p>
    <w:p w14:paraId="08860740">
      <w:pPr>
        <w:pStyle w:val="13"/>
        <w:rPr>
          <w:rFonts w:hint="eastAsia" w:eastAsia="仿宋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 xml:space="preserve">为确保品评结果的精确性，综合实际品评经验，规定每组品评人员每次品评4份样品（其中包含1份参照样品和3份被检样品）。若样品数量达到五份及以上，则需分两次及以上进行试验。品评时间宜安排在饭后1h时进行。每次评价样品准备就绪后，应在30min内完成评价。 </w:t>
      </w:r>
    </w:p>
    <w:p w14:paraId="1B1A59B6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5.</w:t>
      </w:r>
      <w:r>
        <w:rPr>
          <w:rFonts w:hint="eastAsia" w:ascii="仿宋_GB2312" w:hAnsi="Calibri" w:eastAsia="仿宋_GB2312" w:cs="Times New Roman"/>
          <w:color w:val="auto"/>
        </w:rPr>
        <w:t>品评样品编号与排列顺序</w:t>
      </w:r>
    </w:p>
    <w:p w14:paraId="28D3C748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根据实际操作，</w:t>
      </w:r>
      <w:r>
        <w:rPr>
          <w:rFonts w:hint="eastAsia" w:ascii="仿宋_GB2312" w:hAnsi="Calibri" w:eastAsia="仿宋_GB2312" w:cs="Times New Roman"/>
          <w:color w:val="auto"/>
        </w:rPr>
        <w:t>将全部待评价样品及标准样品分别编号码,参照样品编号为No.1,其他试样采用随机编号。同一次感官评价过程中不同评价员需评价样品的编号应保保持一致、数量均等、排列顺序一致。</w:t>
      </w:r>
    </w:p>
    <w:p w14:paraId="687AB2A6">
      <w:pPr>
        <w:pStyle w:val="13"/>
        <w:rPr>
          <w:rFonts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</w:rPr>
        <w:t>（五）样品与材料的制备</w:t>
      </w:r>
    </w:p>
    <w:p w14:paraId="7674B94D">
      <w:pPr>
        <w:pStyle w:val="13"/>
        <w:rPr>
          <w:rFonts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</w:rPr>
        <w:t>1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.</w:t>
      </w:r>
      <w:r>
        <w:rPr>
          <w:rFonts w:hint="eastAsia" w:ascii="仿宋_GB2312" w:hAnsi="Calibri" w:eastAsia="仿宋_GB2312" w:cs="Times New Roman"/>
          <w:color w:val="auto"/>
        </w:rPr>
        <w:t>标准样品的制备及使用</w:t>
      </w:r>
    </w:p>
    <w:p w14:paraId="2EC82318">
      <w:pPr>
        <w:pStyle w:val="13"/>
        <w:rPr>
          <w:rFonts w:hint="eastAsia" w:ascii="仿宋_GB2312" w:hAnsi="Calibri" w:eastAsia="仿宋_GB2312" w:cs="Times New Roman"/>
          <w:color w:val="auto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依据GB/T10220、GB2717、</w:t>
      </w:r>
      <w:r>
        <w:rPr>
          <w:rFonts w:hint="eastAsia" w:ascii="仿宋_GB2312" w:hAnsi="Calibri" w:eastAsia="仿宋_GB2312" w:cs="Times New Roman"/>
          <w:color w:val="auto"/>
        </w:rPr>
        <w:t>GB/T18186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，</w:t>
      </w:r>
      <w:r>
        <w:rPr>
          <w:rFonts w:hint="eastAsia" w:ascii="仿宋_GB2312" w:hAnsi="Calibri" w:eastAsia="仿宋_GB2312" w:cs="Times New Roman"/>
          <w:color w:val="auto"/>
        </w:rPr>
        <w:t>选取符合规定的3~5个酱油产品，由评价员依据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标准</w:t>
      </w:r>
      <w:r>
        <w:rPr>
          <w:rFonts w:hint="eastAsia" w:ascii="仿宋_GB2312" w:hAnsi="Calibri" w:eastAsia="仿宋_GB2312" w:cs="Times New Roman"/>
          <w:color w:val="auto"/>
        </w:rPr>
        <w:t>要求进行品评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。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为确保标准样品在使用过程中品质的稳定，避免其在存贮过程中品质下降，要求标准样品</w:t>
      </w:r>
      <w:r>
        <w:rPr>
          <w:rFonts w:hint="eastAsia" w:ascii="仿宋_GB2312" w:hAnsi="Calibri" w:eastAsia="仿宋_GB2312" w:cs="Times New Roman"/>
          <w:color w:val="auto"/>
        </w:rPr>
        <w:t>评分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应在</w:t>
      </w:r>
      <w:r>
        <w:rPr>
          <w:rFonts w:hint="eastAsia" w:ascii="仿宋_GB2312" w:hAnsi="Calibri" w:eastAsia="仿宋_GB2312" w:cs="Times New Roman"/>
          <w:color w:val="auto"/>
        </w:rPr>
        <w:t>85分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以上</w:t>
      </w:r>
      <w:r>
        <w:rPr>
          <w:rFonts w:hint="eastAsia" w:ascii="仿宋_GB2312" w:hAnsi="Calibri" w:eastAsia="仿宋_GB2312" w:cs="Times New Roman"/>
          <w:color w:val="auto"/>
        </w:rPr>
        <w:t>，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需</w:t>
      </w:r>
      <w:r>
        <w:rPr>
          <w:rFonts w:hint="eastAsia" w:ascii="仿宋_GB2312" w:hAnsi="Calibri" w:eastAsia="仿宋_GB2312" w:cs="Times New Roman"/>
          <w:color w:val="auto"/>
        </w:rPr>
        <w:t>分装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、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密封</w:t>
      </w:r>
      <w:r>
        <w:rPr>
          <w:rFonts w:hint="eastAsia" w:ascii="仿宋_GB2312" w:hAnsi="Calibri" w:eastAsia="仿宋_GB2312" w:cs="Times New Roman"/>
          <w:color w:val="auto"/>
        </w:rPr>
        <w:t>在一定规格的玻璃瓶，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并</w:t>
      </w:r>
      <w:r>
        <w:rPr>
          <w:rFonts w:hint="eastAsia" w:ascii="仿宋_GB2312" w:hAnsi="Calibri" w:eastAsia="仿宋_GB2312" w:cs="Times New Roman"/>
          <w:color w:val="auto"/>
        </w:rPr>
        <w:t>放置在适宜的条件下，并确保标准样品在使用过程中感官指标不发生明显的变化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。</w:t>
      </w:r>
    </w:p>
    <w:p w14:paraId="59AE928B">
      <w:pPr>
        <w:pStyle w:val="13"/>
        <w:rPr>
          <w:rFonts w:hint="default" w:ascii="仿宋_GB2312" w:hAnsi="Calibri" w:eastAsia="仿宋_GB2312" w:cs="Times New Roman"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color w:val="auto"/>
        </w:rPr>
        <w:t>2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.拌米饭的制作</w:t>
      </w:r>
    </w:p>
    <w:p w14:paraId="6A27641B">
      <w:pPr>
        <w:pStyle w:val="13"/>
        <w:rPr>
          <w:rFonts w:hint="eastAsia" w:ascii="仿宋_GB2312" w:hAnsi="Calibri" w:eastAsia="仿宋_GB2312" w:cs="Times New Roman"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综合主要企业的评价方法（如下表1），确定拌米饭的制作方法如下。</w:t>
      </w:r>
    </w:p>
    <w:p w14:paraId="7ADE2606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①米饭的制作：将米洗净后，将</w:t>
      </w:r>
      <w:r>
        <w:rPr>
          <w:rFonts w:hint="eastAsia" w:ascii="仿宋_GB2312" w:hAnsi="Calibri" w:eastAsia="仿宋_GB2312" w:cs="Times New Roman"/>
          <w:color w:val="auto"/>
        </w:rPr>
        <w:t>米与水按照1：1.15的比例用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混合，</w:t>
      </w:r>
      <w:r>
        <w:rPr>
          <w:rFonts w:hint="eastAsia" w:ascii="仿宋_GB2312" w:hAnsi="Calibri" w:eastAsia="仿宋_GB2312" w:cs="Times New Roman"/>
          <w:color w:val="auto"/>
        </w:rPr>
        <w:t>电饭煲煮熟米饭，饭熟打散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即可</w:t>
      </w:r>
      <w:r>
        <w:rPr>
          <w:rFonts w:hint="eastAsia" w:ascii="仿宋_GB2312" w:hAnsi="Calibri" w:eastAsia="仿宋_GB2312" w:cs="Times New Roman"/>
          <w:color w:val="auto"/>
        </w:rPr>
        <w:t>。</w:t>
      </w:r>
    </w:p>
    <w:p w14:paraId="69BD2DCF">
      <w:pPr>
        <w:pStyle w:val="13"/>
        <w:rPr>
          <w:rFonts w:hint="eastAsia" w:ascii="仿宋_GB2312" w:hAnsi="Calibri" w:eastAsia="仿宋_GB2312" w:cs="Times New Roman"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②拌米饭的制作：根据待品评酱油的颜色深浅，分别称取生抽酱油吸取10~50g、老抽酱油5~10g及其对应参照样、10~30g浅色植物油、350g热米饭同时放入长柄锅中，混合均匀，用白瓷盘盛装进行比较即可。</w:t>
      </w:r>
    </w:p>
    <w:p w14:paraId="2DDE5FFF">
      <w:pPr>
        <w:pStyle w:val="13"/>
        <w:rPr>
          <w:rFonts w:hint="eastAsia" w:ascii="仿宋_GB2312" w:hAnsi="Calibri" w:eastAsia="仿宋_GB2312" w:cs="Times New Roman"/>
          <w:color w:val="auto"/>
          <w:lang w:val="en-US" w:eastAsia="zh-CN"/>
        </w:rPr>
      </w:pPr>
    </w:p>
    <w:p w14:paraId="11897BB7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480"/>
        <w:rPr>
          <w:rFonts w:hint="eastAsia" w:ascii="仿宋_GB2312" w:hAnsi="Calibri" w:eastAsia="仿宋_GB2312" w:cs="Times New Roman"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br w:type="page"/>
      </w:r>
    </w:p>
    <w:p w14:paraId="5E5E924C">
      <w:pPr>
        <w:pStyle w:val="13"/>
        <w:rPr>
          <w:rFonts w:hint="eastAsia" w:ascii="仿宋_GB2312" w:hAnsi="Calibri" w:eastAsia="仿宋_GB2312" w:cs="Times New Roman"/>
          <w:color w:val="auto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FC27709">
      <w:pPr>
        <w:pStyle w:val="13"/>
        <w:ind w:left="0" w:leftChars="0" w:firstLine="0" w:firstLineChars="0"/>
        <w:jc w:val="center"/>
        <w:rPr>
          <w:rFonts w:hint="default" w:ascii="仿宋_GB2312" w:hAnsi="Calibri" w:eastAsia="仿宋_GB2312" w:cs="Times New Roman"/>
          <w:b/>
          <w:bCs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color w:val="auto"/>
          <w:lang w:val="en-US" w:eastAsia="zh-CN"/>
        </w:rPr>
        <w:t>表1  不同企业拌米饭的制备方法及方法验证结果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4891"/>
        <w:gridCol w:w="1545"/>
        <w:gridCol w:w="6037"/>
      </w:tblGrid>
      <w:tr w14:paraId="04562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  <w:vAlign w:val="center"/>
          </w:tcPr>
          <w:p w14:paraId="6B9EFFF8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企业序号</w:t>
            </w:r>
          </w:p>
        </w:tc>
        <w:tc>
          <w:tcPr>
            <w:tcW w:w="4891" w:type="dxa"/>
            <w:vAlign w:val="center"/>
          </w:tcPr>
          <w:p w14:paraId="5BC53AEA">
            <w:pPr>
              <w:pStyle w:val="13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方法</w:t>
            </w:r>
          </w:p>
        </w:tc>
        <w:tc>
          <w:tcPr>
            <w:tcW w:w="1545" w:type="dxa"/>
            <w:vAlign w:val="center"/>
          </w:tcPr>
          <w:p w14:paraId="20F479B8">
            <w:pPr>
              <w:pStyle w:val="13"/>
              <w:jc w:val="both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结论</w:t>
            </w:r>
          </w:p>
        </w:tc>
        <w:tc>
          <w:tcPr>
            <w:tcW w:w="6037" w:type="dxa"/>
            <w:vAlign w:val="center"/>
          </w:tcPr>
          <w:p w14:paraId="34DA8EC1">
            <w:pPr>
              <w:pStyle w:val="13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部分产品评价结果</w:t>
            </w:r>
          </w:p>
        </w:tc>
      </w:tr>
      <w:tr w14:paraId="42A36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  <w:vAlign w:val="center"/>
          </w:tcPr>
          <w:p w14:paraId="5CD956AE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企业1</w:t>
            </w:r>
          </w:p>
        </w:tc>
        <w:tc>
          <w:tcPr>
            <w:tcW w:w="4891" w:type="dxa"/>
            <w:vAlign w:val="center"/>
          </w:tcPr>
          <w:p w14:paraId="3FBB6411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取米与水按照1：1.15的比例用电饭煲煮熟米饭，饭熟打散备用。取350g热米饭、30g大豆油、一定量的酱油克数（350*1.1/试验酱油盐分*试验酱油密度），同时放入长柄锅中，混合均匀，用白瓷盘盛装进行比较。</w:t>
            </w:r>
          </w:p>
        </w:tc>
        <w:tc>
          <w:tcPr>
            <w:tcW w:w="1545" w:type="dxa"/>
            <w:vAlign w:val="center"/>
          </w:tcPr>
          <w:p w14:paraId="2537B92B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可区分产品的色泽、风味。</w:t>
            </w:r>
          </w:p>
        </w:tc>
        <w:tc>
          <w:tcPr>
            <w:tcW w:w="6037" w:type="dxa"/>
          </w:tcPr>
          <w:p w14:paraId="7A5B0B8A">
            <w:pPr>
              <w:pStyle w:val="13"/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3107055" cy="1329055"/>
                  <wp:effectExtent l="0" t="0" r="4445" b="444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E82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  <w:vAlign w:val="center"/>
          </w:tcPr>
          <w:p w14:paraId="4F776F97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企业2</w:t>
            </w:r>
          </w:p>
        </w:tc>
        <w:tc>
          <w:tcPr>
            <w:tcW w:w="4891" w:type="dxa"/>
            <w:vAlign w:val="center"/>
          </w:tcPr>
          <w:p w14:paraId="7195E424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取适量软质丝苗米（籼米），经电饭锅煮制后松散米饭，再 4℃冷藏 4h 后备用。分别移取10mL 样品及其对应标样，与 50g 浅色植物油、330g 米饭同时放入长柄锅中，混合均匀，然后用白盘子盛装比较。</w:t>
            </w:r>
          </w:p>
        </w:tc>
        <w:tc>
          <w:tcPr>
            <w:tcW w:w="1545" w:type="dxa"/>
            <w:vAlign w:val="center"/>
          </w:tcPr>
          <w:p w14:paraId="249E56F5">
            <w:pPr>
              <w:pStyle w:val="13"/>
              <w:ind w:left="0" w:leftChars="0" w:firstLine="0" w:firstLineChars="0"/>
              <w:jc w:val="both"/>
              <w:rPr>
                <w:rFonts w:hint="default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通过该方法品评人员可以识别不同颜色、风味酱油样品的差异。</w:t>
            </w:r>
          </w:p>
        </w:tc>
        <w:tc>
          <w:tcPr>
            <w:tcW w:w="6037" w:type="dxa"/>
          </w:tcPr>
          <w:p w14:paraId="5625BA98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3162935" cy="1877695"/>
                  <wp:effectExtent l="0" t="0" r="12065" b="1905"/>
                  <wp:docPr id="1" name="图片 1" descr="29d589df-def2-4050-81ce-2e2887814f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9d589df-def2-4050-81ce-2e2887814f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3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9B4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  <w:vAlign w:val="center"/>
          </w:tcPr>
          <w:p w14:paraId="4CCE9A80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企业3</w:t>
            </w:r>
          </w:p>
        </w:tc>
        <w:tc>
          <w:tcPr>
            <w:tcW w:w="4891" w:type="dxa"/>
            <w:vAlign w:val="center"/>
          </w:tcPr>
          <w:p w14:paraId="4E1ABDCC">
            <w:pPr>
              <w:pStyle w:val="13"/>
              <w:ind w:left="0" w:leftChars="0" w:firstLine="0" w:firstLineChars="0"/>
              <w:jc w:val="both"/>
              <w:rPr>
                <w:rFonts w:hint="default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取适量的米清洗干净，倒入电饭锅内，加入适量的水，接通电源开始蒸煮米饭，开关跳开后，焖制20min。食用油10g，米饭350g，根据待品评酱油的颜色深浅进行取样：①色率在 1100-1400EBC 的酱油产品取量以 30g 为宜；②色率在 800-1100EBC 的酱油产品取 50g 为宜；③色率在 2000EBC及以上的酱油产品取量以 10g 为宜。油、米饭、酱油同时放入长柄锅中，混合均匀，然后用白盘子盛装比较。</w:t>
            </w:r>
          </w:p>
        </w:tc>
        <w:tc>
          <w:tcPr>
            <w:tcW w:w="1545" w:type="dxa"/>
            <w:vAlign w:val="center"/>
          </w:tcPr>
          <w:p w14:paraId="1166E9D3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通过该方法品评人员可以识别不同颜色、风味酱油样品的差异。</w:t>
            </w:r>
          </w:p>
        </w:tc>
        <w:tc>
          <w:tcPr>
            <w:tcW w:w="6037" w:type="dxa"/>
          </w:tcPr>
          <w:p w14:paraId="16D68953">
            <w:pPr>
              <w:pStyle w:val="13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生抽酱油</w:t>
            </w:r>
            <w:r>
              <w:drawing>
                <wp:inline distT="0" distB="0" distL="114300" distR="114300">
                  <wp:extent cx="2527300" cy="993775"/>
                  <wp:effectExtent l="0" t="0" r="0" b="9525"/>
                  <wp:docPr id="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00E1B">
            <w:pPr>
              <w:pStyle w:val="13"/>
              <w:ind w:left="0" w:leftChars="0" w:firstLine="0" w:firstLineChars="0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老抽酱油</w:t>
            </w:r>
            <w:r>
              <w:drawing>
                <wp:inline distT="0" distB="0" distL="114300" distR="114300">
                  <wp:extent cx="2493645" cy="1016000"/>
                  <wp:effectExtent l="0" t="0" r="8255" b="0"/>
                  <wp:docPr id="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CE1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  <w:vAlign w:val="center"/>
          </w:tcPr>
          <w:p w14:paraId="40153BC5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企业4</w:t>
            </w:r>
          </w:p>
        </w:tc>
        <w:tc>
          <w:tcPr>
            <w:tcW w:w="4891" w:type="dxa"/>
            <w:vAlign w:val="center"/>
          </w:tcPr>
          <w:p w14:paraId="509DB80B">
            <w:pPr>
              <w:pStyle w:val="13"/>
              <w:ind w:left="0" w:leftChars="0" w:firstLine="0" w:firstLineChars="0"/>
              <w:jc w:val="both"/>
              <w:rPr>
                <w:rFonts w:hint="default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取适量的米清洗干净，倒入电饭锅内，加入适量的水，接通电源开始蒸煮米饭，开关跳开后，焖制20min。分别称取浅色酱油和深色酱油各10g~16g，与植物油30g，350g米饭混合均匀，用白瓷盘盛装比较。</w:t>
            </w:r>
          </w:p>
        </w:tc>
        <w:tc>
          <w:tcPr>
            <w:tcW w:w="1545" w:type="dxa"/>
            <w:vAlign w:val="center"/>
          </w:tcPr>
          <w:p w14:paraId="2DE7EAF9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添加植物油后米饭色泽更亮，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品评人员可以识别不同颜色、风味酱油样品的差异。</w:t>
            </w:r>
          </w:p>
        </w:tc>
        <w:tc>
          <w:tcPr>
            <w:tcW w:w="6037" w:type="dxa"/>
          </w:tcPr>
          <w:p w14:paraId="17A68CDD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78740</wp:posOffset>
                  </wp:positionV>
                  <wp:extent cx="2997835" cy="1783715"/>
                  <wp:effectExtent l="0" t="0" r="0" b="6985"/>
                  <wp:wrapTight wrapText="bothSides">
                    <wp:wrapPolygon>
                      <wp:start x="0" y="0"/>
                      <wp:lineTo x="0" y="21377"/>
                      <wp:lineTo x="21504" y="21377"/>
                      <wp:lineTo x="21504" y="0"/>
                      <wp:lineTo x="0" y="0"/>
                    </wp:wrapPolygon>
                  </wp:wrapTight>
                  <wp:docPr id="34" name="图片 34" descr="10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0g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35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04E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  <w:vAlign w:val="center"/>
          </w:tcPr>
          <w:p w14:paraId="27505C0B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企业5</w:t>
            </w:r>
          </w:p>
        </w:tc>
        <w:tc>
          <w:tcPr>
            <w:tcW w:w="4891" w:type="dxa"/>
            <w:vAlign w:val="center"/>
          </w:tcPr>
          <w:p w14:paraId="24D03016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取适量的米清洗干净，倒入电饭锅内，加入适量的水，接通电源开始蒸煮米饭，开关跳开后，焖制20min。分别称取浅色酱油和深色酱油各1.2~4.8g，与植物油1.2~4.8g，42g米饭混合均匀，用白瓷盘盛装比较。</w:t>
            </w:r>
          </w:p>
        </w:tc>
        <w:tc>
          <w:tcPr>
            <w:tcW w:w="1545" w:type="dxa"/>
            <w:vAlign w:val="center"/>
          </w:tcPr>
          <w:p w14:paraId="2A49128D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通过该方法品评人员可以识别不同颜色、风味酱油样品的差异。</w:t>
            </w:r>
          </w:p>
        </w:tc>
        <w:tc>
          <w:tcPr>
            <w:tcW w:w="6037" w:type="dxa"/>
          </w:tcPr>
          <w:p w14:paraId="45E06D8F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45615" cy="1068705"/>
                  <wp:effectExtent l="0" t="0" r="6985" b="10795"/>
                  <wp:docPr id="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80845" cy="1076325"/>
                  <wp:effectExtent l="0" t="0" r="8255" b="3175"/>
                  <wp:docPr id="3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3BBC0">
      <w:pPr>
        <w:pStyle w:val="13"/>
        <w:rPr>
          <w:rFonts w:hint="eastAsia" w:ascii="仿宋_GB2312" w:hAnsi="Calibri" w:eastAsia="仿宋_GB2312" w:cs="Times New Roman"/>
          <w:color w:val="auto"/>
          <w:lang w:eastAsia="zh-CN"/>
        </w:rPr>
      </w:pPr>
    </w:p>
    <w:p w14:paraId="6921080D">
      <w:pPr>
        <w:pStyle w:val="13"/>
        <w:rPr>
          <w:rFonts w:hint="eastAsia" w:ascii="仿宋_GB2312" w:hAnsi="Calibri" w:eastAsia="仿宋_GB2312" w:cs="Times New Roman"/>
          <w:color w:val="auto"/>
        </w:rPr>
      </w:pPr>
    </w:p>
    <w:p w14:paraId="282EC0B7">
      <w:pPr>
        <w:pStyle w:val="13"/>
        <w:rPr>
          <w:rFonts w:hint="eastAsia" w:ascii="仿宋_GB2312" w:hAnsi="Calibri" w:eastAsia="仿宋_GB2312" w:cs="Times New Roman"/>
          <w:color w:val="auto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1A66DA50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</w:rPr>
        <w:t>3、煮五花肉的制作</w:t>
      </w:r>
    </w:p>
    <w:p w14:paraId="77D83EC3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</w:rPr>
        <w:t>综合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主要企业的</w:t>
      </w:r>
      <w:r>
        <w:rPr>
          <w:rFonts w:hint="eastAsia" w:ascii="仿宋_GB2312" w:hAnsi="Calibri" w:eastAsia="仿宋_GB2312" w:cs="Times New Roman"/>
          <w:color w:val="auto"/>
        </w:rPr>
        <w:t>评价方法（如下表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2</w:t>
      </w:r>
      <w:r>
        <w:rPr>
          <w:rFonts w:hint="eastAsia" w:ascii="仿宋_GB2312" w:hAnsi="Calibri" w:eastAsia="仿宋_GB2312" w:cs="Times New Roman"/>
          <w:color w:val="auto"/>
        </w:rPr>
        <w:t>），确定煮五花肉的制作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方法</w:t>
      </w:r>
      <w:r>
        <w:rPr>
          <w:rFonts w:hint="eastAsia" w:ascii="仿宋_GB2312" w:hAnsi="Calibri" w:eastAsia="仿宋_GB2312" w:cs="Times New Roman"/>
          <w:color w:val="auto"/>
        </w:rPr>
        <w:t>如下。</w:t>
      </w:r>
    </w:p>
    <w:p w14:paraId="7AB2A4E6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①</w:t>
      </w:r>
      <w:r>
        <w:rPr>
          <w:rFonts w:hint="eastAsia" w:ascii="仿宋_GB2312" w:hAnsi="Calibri" w:eastAsia="仿宋_GB2312" w:cs="Times New Roman"/>
          <w:color w:val="auto"/>
        </w:rPr>
        <w:t>五花肉的制备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：</w:t>
      </w:r>
      <w:r>
        <w:rPr>
          <w:rFonts w:hint="eastAsia" w:ascii="仿宋_GB2312" w:hAnsi="Calibri" w:eastAsia="仿宋_GB2312" w:cs="Times New Roman"/>
          <w:color w:val="auto"/>
        </w:rPr>
        <w:t>取肥瘦适宜的新鲜五花肉清洗干净，将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表面</w:t>
      </w:r>
      <w:r>
        <w:rPr>
          <w:rFonts w:hint="eastAsia" w:ascii="仿宋_GB2312" w:hAnsi="Calibri" w:eastAsia="仿宋_GB2312" w:cs="Times New Roman"/>
          <w:color w:val="auto"/>
        </w:rPr>
        <w:t>的水吸干，切成1.5*1.5cm的长条肉备用。</w:t>
      </w:r>
    </w:p>
    <w:p w14:paraId="5E7CB83C">
      <w:pPr>
        <w:pStyle w:val="13"/>
        <w:rPr>
          <w:rFonts w:hint="eastAsia" w:ascii="仿宋_GB2312" w:hAnsi="Calibri" w:eastAsia="仿宋_GB2312" w:cs="Times New Roman"/>
          <w:color w:val="auto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②</w:t>
      </w:r>
      <w:r>
        <w:rPr>
          <w:rFonts w:hint="eastAsia" w:ascii="仿宋_GB2312" w:hAnsi="Calibri" w:eastAsia="仿宋_GB2312" w:cs="Times New Roman"/>
          <w:color w:val="auto"/>
        </w:rPr>
        <w:t>煮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五花肉</w:t>
      </w:r>
      <w:r>
        <w:rPr>
          <w:rFonts w:hint="eastAsia" w:ascii="仿宋_GB2312" w:hAnsi="Calibri" w:eastAsia="仿宋_GB2312" w:cs="Times New Roman"/>
          <w:color w:val="auto"/>
        </w:rPr>
        <w:t>的操作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：</w:t>
      </w:r>
      <w:r>
        <w:rPr>
          <w:rFonts w:hint="eastAsia" w:ascii="仿宋_GB2312" w:hAnsi="Calibri" w:eastAsia="仿宋_GB2312" w:cs="Times New Roman"/>
          <w:color w:val="auto"/>
        </w:rPr>
        <w:t>称取切好的五花肉100克，放入锅内称重记录锅与肉的重量。根据待品评酱油的颜色深浅，分别称取生抽酱油70.0g~100.0g、老抽酱油30.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0g</w:t>
      </w:r>
      <w:r>
        <w:rPr>
          <w:rFonts w:hint="eastAsia" w:ascii="仿宋_GB2312" w:hAnsi="Calibri" w:eastAsia="仿宋_GB2312" w:cs="Times New Roman"/>
          <w:color w:val="auto"/>
        </w:rPr>
        <w:t>~50.0g、对应参照样</w:t>
      </w:r>
      <w:r>
        <w:rPr>
          <w:rFonts w:hint="eastAsia" w:ascii="仿宋_GB2312" w:hAnsi="Calibri" w:eastAsia="仿宋_GB2312" w:cs="Times New Roman"/>
          <w:color w:val="auto"/>
          <w:lang w:eastAsia="zh-CN"/>
        </w:rPr>
        <w:t>，</w:t>
      </w:r>
      <w:r>
        <w:rPr>
          <w:rFonts w:hint="eastAsia" w:ascii="仿宋_GB2312" w:hAnsi="Calibri" w:eastAsia="仿宋_GB2312" w:cs="Times New Roman"/>
          <w:color w:val="auto"/>
        </w:rPr>
        <w:t>加300g三级水于不锈钢锅中混合均匀待用。将装有对应样品、参照样的不锈钢锅置于电陶炉上加热，大火烧开转小火慢煮收汁，煮剩40g汁关火，取出五花肉，放白瓷碟中盛装比较。</w:t>
      </w:r>
    </w:p>
    <w:p w14:paraId="1C6FBB5D">
      <w:pPr>
        <w:pStyle w:val="13"/>
        <w:rPr>
          <w:rFonts w:hint="eastAsia" w:ascii="仿宋_GB2312" w:hAnsi="Calibri" w:eastAsia="仿宋_GB2312" w:cs="Times New Roman"/>
          <w:color w:val="auto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8DEDB3E">
      <w:pPr>
        <w:pStyle w:val="13"/>
        <w:ind w:left="0" w:leftChars="0" w:firstLine="0" w:firstLineChars="0"/>
        <w:jc w:val="center"/>
        <w:rPr>
          <w:rFonts w:hint="default" w:ascii="仿宋_GB2312" w:hAnsi="Calibri" w:eastAsia="仿宋_GB2312" w:cs="Times New Roman"/>
          <w:b/>
          <w:bCs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color w:val="auto"/>
          <w:lang w:val="en-US" w:eastAsia="zh-CN"/>
        </w:rPr>
        <w:t>表2  不同企业煮五花肉的制作方法及方法验证结果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0"/>
        <w:gridCol w:w="5618"/>
        <w:gridCol w:w="1437"/>
        <w:gridCol w:w="5454"/>
      </w:tblGrid>
      <w:tr w14:paraId="54BB5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0" w:type="dxa"/>
            <w:vAlign w:val="center"/>
          </w:tcPr>
          <w:p w14:paraId="01B4B631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企业序号</w:t>
            </w:r>
          </w:p>
        </w:tc>
        <w:tc>
          <w:tcPr>
            <w:tcW w:w="5618" w:type="dxa"/>
            <w:vAlign w:val="center"/>
          </w:tcPr>
          <w:p w14:paraId="60C873D8">
            <w:pPr>
              <w:pStyle w:val="13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方法</w:t>
            </w:r>
          </w:p>
        </w:tc>
        <w:tc>
          <w:tcPr>
            <w:tcW w:w="1437" w:type="dxa"/>
            <w:vAlign w:val="center"/>
          </w:tcPr>
          <w:p w14:paraId="0DFEC606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结论</w:t>
            </w:r>
          </w:p>
        </w:tc>
        <w:tc>
          <w:tcPr>
            <w:tcW w:w="5454" w:type="dxa"/>
            <w:vAlign w:val="center"/>
          </w:tcPr>
          <w:p w14:paraId="7E18357B">
            <w:pPr>
              <w:pStyle w:val="13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部分产品评价结果</w:t>
            </w:r>
          </w:p>
        </w:tc>
      </w:tr>
      <w:tr w14:paraId="2D2DE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2" w:hRule="atLeast"/>
        </w:trPr>
        <w:tc>
          <w:tcPr>
            <w:tcW w:w="1400" w:type="dxa"/>
            <w:vAlign w:val="center"/>
          </w:tcPr>
          <w:p w14:paraId="7D697CA0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企业1</w:t>
            </w:r>
          </w:p>
        </w:tc>
        <w:tc>
          <w:tcPr>
            <w:tcW w:w="5618" w:type="dxa"/>
            <w:vAlign w:val="center"/>
          </w:tcPr>
          <w:p w14:paraId="28AF36BC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五花肉热水烫洗后沥干备用。五花肉切成1.5*1.5cm的长条肉，称取切后的五花肉100克，放入锅内称重记录重量，加入水300g、酱油入锅内，大火烧开转小火慢煮收汁，煮剩40g汁关火，下生粉水（生粉2g、水8克，倒入前搅拌均匀），搅拌均匀，再小火煮至生粉成形起锅，用白瓷盘盛装进行比较。酱油量按5000/老抽色率*5计算后称量。</w:t>
            </w:r>
          </w:p>
        </w:tc>
        <w:tc>
          <w:tcPr>
            <w:tcW w:w="1437" w:type="dxa"/>
            <w:vAlign w:val="center"/>
          </w:tcPr>
          <w:p w14:paraId="4475AEAE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通过该方法品评人员可以识别不同颜色、风味酱油样品的差异。</w:t>
            </w:r>
          </w:p>
        </w:tc>
        <w:tc>
          <w:tcPr>
            <w:tcW w:w="5454" w:type="dxa"/>
          </w:tcPr>
          <w:p w14:paraId="57E2A08D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104140</wp:posOffset>
                  </wp:positionV>
                  <wp:extent cx="2578100" cy="1110615"/>
                  <wp:effectExtent l="0" t="0" r="0" b="6985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1674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0" w:type="dxa"/>
            <w:vAlign w:val="center"/>
          </w:tcPr>
          <w:p w14:paraId="316CBCF4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企业2</w:t>
            </w:r>
          </w:p>
        </w:tc>
        <w:tc>
          <w:tcPr>
            <w:tcW w:w="5618" w:type="dxa"/>
            <w:vAlign w:val="center"/>
          </w:tcPr>
          <w:p w14:paraId="3D0A45E9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取肥瘦适中五花肉，经热水烫洗、沥水后，切成 4cm×4cm×4cm 的方块状。分别称取 50.0g 深色酱油及对应标样于不锈钢锅中，继续添加 40.0g 三级水混合。将不锈钢锅置于 1200W 的电陶炉上加热至液体沸腾，然后各放入一块五花肉，将电陶炉调至 400W，烹煮 8min。烹煮时猪皮向下，需避免完全贴紧锅底，防止上色不均匀。烹煮后同时取出五花肉，放碟子上沥干水分 30s，然后在五花肉表皮滴加 3 滴大豆油涂抹均匀，使其有光泽。然后用小白瓷碟盛装比较。</w:t>
            </w:r>
          </w:p>
        </w:tc>
        <w:tc>
          <w:tcPr>
            <w:tcW w:w="1437" w:type="dxa"/>
            <w:vAlign w:val="center"/>
          </w:tcPr>
          <w:p w14:paraId="61E8129F">
            <w:pPr>
              <w:pStyle w:val="13"/>
              <w:ind w:left="0" w:leftChars="0" w:firstLine="0" w:firstLineChars="0"/>
              <w:jc w:val="both"/>
              <w:rPr>
                <w:rFonts w:hint="default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通过该方法品评人员可以识别不同颜色、风味酱油样品的差异。</w:t>
            </w:r>
          </w:p>
        </w:tc>
        <w:tc>
          <w:tcPr>
            <w:tcW w:w="5454" w:type="dxa"/>
            <w:vAlign w:val="center"/>
          </w:tcPr>
          <w:p w14:paraId="64C1D0DF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93975" cy="1402080"/>
                  <wp:effectExtent l="0" t="0" r="9525" b="7620"/>
                  <wp:docPr id="4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37E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0" w:type="dxa"/>
            <w:vAlign w:val="center"/>
          </w:tcPr>
          <w:p w14:paraId="56D2718D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企业3</w:t>
            </w:r>
          </w:p>
        </w:tc>
        <w:tc>
          <w:tcPr>
            <w:tcW w:w="5618" w:type="dxa"/>
            <w:vAlign w:val="center"/>
          </w:tcPr>
          <w:p w14:paraId="3F67CD2D">
            <w:pPr>
              <w:pStyle w:val="13"/>
              <w:ind w:left="0" w:leftChars="0" w:firstLine="0" w:firstLineChars="0"/>
              <w:jc w:val="both"/>
              <w:rPr>
                <w:rFonts w:hint="default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取肥瘦适中五花肉，经热水烫洗后，切成一定规格的方块状。根据待品评酱油的颜色深浅样品及三级水的称取量：①色率在1100 - 1400EBC的生抽酱油产品取量50～70g和三级水40g；②色率在2000EBC及以上的老抽酱油产品称取为50g和三级水80g；③色率在400 - 600EBC的生抽王酱油不适合使用煮五花肉的标准进行品评。将盛装样品及三级水的不锈钢锅置于电陶炉上加热至沸腾，然后放入一块重量约为60.0～65.0g的熟五花肉，将电陶炉调至最小功率，保持微沸8min后，取出五花肉，放白瓷碟中沥干30s，然后在五花肉表皮加入3滴浅色植物油涂抹均匀，用白色调味碟盛装比较。</w:t>
            </w:r>
          </w:p>
        </w:tc>
        <w:tc>
          <w:tcPr>
            <w:tcW w:w="1437" w:type="dxa"/>
            <w:vAlign w:val="center"/>
          </w:tcPr>
          <w:p w14:paraId="651C698C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通过该方法品评人员可以识别不同颜色、风味酱油样品的差异。</w:t>
            </w:r>
          </w:p>
        </w:tc>
        <w:tc>
          <w:tcPr>
            <w:tcW w:w="5454" w:type="dxa"/>
          </w:tcPr>
          <w:p w14:paraId="224F02A9">
            <w:pPr>
              <w:pStyle w:val="13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一品鲜酱油</w:t>
            </w:r>
            <w:r>
              <w:drawing>
                <wp:inline distT="0" distB="0" distL="114300" distR="114300">
                  <wp:extent cx="1656080" cy="1141095"/>
                  <wp:effectExtent l="0" t="0" r="7620" b="1905"/>
                  <wp:docPr id="4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378CD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</w:p>
          <w:p w14:paraId="5071D0CA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老抽酱油</w:t>
            </w:r>
            <w:r>
              <w:drawing>
                <wp:inline distT="0" distB="0" distL="114300" distR="114300">
                  <wp:extent cx="1656080" cy="1111250"/>
                  <wp:effectExtent l="0" t="0" r="7620" b="6350"/>
                  <wp:docPr id="4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1BF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3" w:hRule="atLeast"/>
        </w:trPr>
        <w:tc>
          <w:tcPr>
            <w:tcW w:w="1400" w:type="dxa"/>
            <w:vAlign w:val="center"/>
          </w:tcPr>
          <w:p w14:paraId="2A7D9A30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vertAlign w:val="baseline"/>
                <w:lang w:val="en-US" w:eastAsia="zh-CN"/>
              </w:rPr>
              <w:t>企业4</w:t>
            </w:r>
          </w:p>
        </w:tc>
        <w:tc>
          <w:tcPr>
            <w:tcW w:w="5618" w:type="dxa"/>
            <w:vAlign w:val="center"/>
          </w:tcPr>
          <w:p w14:paraId="767BC586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取肥瘦适中五花肉，经热水烫洗、沥水后，切成 4cm×4cm×4cm 的方块状。分别称取浅色酱油 30g/18g、深色酱油 24g/22g/18g，与40.0g 三级水混合。按酱油与水混合溶液与肉的比例1.5:1称取肉的重量。将盛装样品及三级水的不锈钢锅置于电陶炉上加热至沸腾，然后放入五花肉，将电陶炉调至最小功率，保持微沸8min后，取出五花肉，放白瓷碟中沥干30s，然后在五花肉表皮加入3滴浅色植物油涂抹均匀，用白色调味碟盛装比较。</w:t>
            </w:r>
          </w:p>
        </w:tc>
        <w:tc>
          <w:tcPr>
            <w:tcW w:w="1437" w:type="dxa"/>
            <w:vAlign w:val="center"/>
          </w:tcPr>
          <w:p w14:paraId="174CE4F6">
            <w:pPr>
              <w:pStyle w:val="13"/>
              <w:ind w:left="0" w:leftChars="0" w:firstLine="0" w:firstLineChars="0"/>
              <w:jc w:val="both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通过该方法品评人员可以识别不同颜色、风味酱油样品的差异。</w:t>
            </w:r>
          </w:p>
        </w:tc>
        <w:tc>
          <w:tcPr>
            <w:tcW w:w="5454" w:type="dxa"/>
          </w:tcPr>
          <w:p w14:paraId="62B58C82">
            <w:pPr>
              <w:pStyle w:val="13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1553210" cy="1080135"/>
                  <wp:effectExtent l="0" t="0" r="8890" b="12065"/>
                  <wp:docPr id="5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F3AC9">
            <w:pPr>
              <w:pStyle w:val="13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553210" cy="1080135"/>
                  <wp:effectExtent l="0" t="0" r="8890" b="12065"/>
                  <wp:docPr id="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45493">
      <w:pPr>
        <w:pStyle w:val="13"/>
        <w:rPr>
          <w:rFonts w:hint="eastAsia" w:ascii="仿宋_GB2312" w:hAnsi="Calibri" w:eastAsia="仿宋_GB2312" w:cs="Times New Roman"/>
          <w:color w:val="auto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5AA23E40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</w:rPr>
        <w:t>（六）品评方法</w:t>
      </w:r>
    </w:p>
    <w:p w14:paraId="2D888050">
      <w:pPr>
        <w:pStyle w:val="13"/>
        <w:ind w:left="0" w:leftChars="0" w:firstLine="480" w:firstLineChars="200"/>
        <w:rPr>
          <w:rFonts w:hint="eastAsia" w:ascii="仿宋_GB2312" w:hAnsi="Calibri" w:eastAsia="仿宋_GB2312" w:cs="Times New Roman"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color w:val="auto"/>
        </w:rPr>
        <w:t>1、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直接品评法</w:t>
      </w:r>
    </w:p>
    <w:p w14:paraId="3D0DB133">
      <w:pPr>
        <w:pStyle w:val="13"/>
        <w:rPr>
          <w:rFonts w:hint="eastAsia" w:eastAsia="仿宋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 xml:space="preserve">依据GB2717标准要求，采用直径为60 mm~90 mm的白色调味碟盛装样品。结合各企业实际评价经验，待品评的样品应取15 mL~20 mL。为确保感官评价的稳定性，需将样品置于白光灯下，观察其色泽及体态。在嗅闻气味时，应拿起白色调味碟，将其置于鼻下10 mm~20 mm处，微微倾斜约30°，头部略低，以匀速舒缓的方式吸气，嗅闻碟中样品气味1秒至2秒，并记录其气味特征。在进行滋味品评时，为控制样品量对评价结果的影响，使用小钢勺蘸取（或用滴管吸取）适量样品，每次入口的样品量应保持一致，样品在口腔中停留3秒至6秒较为适宜，品尝并记录其滋味口感特征。每次品评结束后，需用温水漱口，方可进行下一个样品的品尝。 </w:t>
      </w:r>
    </w:p>
    <w:p w14:paraId="694E48DD">
      <w:pPr>
        <w:pStyle w:val="13"/>
        <w:rPr>
          <w:rFonts w:hint="eastAsia" w:ascii="仿宋_GB2312" w:hAnsi="Calibri" w:eastAsia="仿宋_GB2312" w:cs="Times New Roman"/>
          <w:color w:val="auto"/>
          <w:lang w:val="en-US" w:eastAsia="zh-CN"/>
        </w:rPr>
      </w:pPr>
      <w:r>
        <w:rPr>
          <w:rFonts w:hint="eastAsia" w:ascii="仿宋_GB2312" w:hAnsi="Calibri" w:eastAsia="仿宋_GB2312" w:cs="Times New Roman"/>
          <w:color w:val="auto"/>
        </w:rPr>
        <w:t>2、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应用</w:t>
      </w:r>
      <w:r>
        <w:rPr>
          <w:rFonts w:hint="eastAsia" w:ascii="仿宋_GB2312" w:hAnsi="Calibri" w:eastAsia="仿宋_GB2312" w:cs="Times New Roman"/>
          <w:color w:val="auto"/>
        </w:rPr>
        <w:t>品评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法</w:t>
      </w:r>
    </w:p>
    <w:p w14:paraId="08EEA430">
      <w:pPr>
        <w:pStyle w:val="13"/>
        <w:rPr>
          <w:rFonts w:hint="eastAsia" w:eastAsia="仿宋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温度对风味具有较大影响，故而应在样品温热时，将拌米饭、煮五花肉样品以及其他菜肴置于鼻腔下方，适度用力吸气，以开展风味评价，并观察其颜色与光泽度。</w:t>
      </w:r>
    </w:p>
    <w:p w14:paraId="4F4C6F48">
      <w:pPr>
        <w:pStyle w:val="13"/>
        <w:rPr>
          <w:rFonts w:hint="eastAsia" w:eastAsia="仿宋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在本方法中，为降低其他调味料对感官评价结果的影响，拌米饭与煮五花肉在制作过程中均不添加食盐等其他调味料。此外，各企业不同品种酱油的盐分和色泽波动范围较大，因此拌米饭和红烧肉更适宜用于颜色及风味评价，而不进行滋味评价。</w:t>
      </w:r>
    </w:p>
    <w:p w14:paraId="084491A6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  <w:lang w:val="en-US" w:eastAsia="zh-CN"/>
        </w:rPr>
        <w:t xml:space="preserve">其他菜肴是否需要进行滋味评价，可依据企业实际制作情况自行确定。 </w:t>
      </w:r>
    </w:p>
    <w:p w14:paraId="30199E49">
      <w:pPr>
        <w:pStyle w:val="13"/>
        <w:rPr>
          <w:rFonts w:hint="eastAsia" w:ascii="仿宋_GB2312" w:hAnsi="Calibri" w:eastAsia="仿宋_GB2312" w:cs="Times New Roman"/>
          <w:color w:val="auto"/>
        </w:rPr>
      </w:pPr>
      <w:r>
        <w:rPr>
          <w:rFonts w:hint="eastAsia" w:ascii="仿宋_GB2312" w:hAnsi="Calibri" w:eastAsia="仿宋_GB2312" w:cs="Times New Roman"/>
          <w:color w:val="auto"/>
        </w:rPr>
        <w:t>（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七</w:t>
      </w:r>
      <w:r>
        <w:rPr>
          <w:rFonts w:hint="eastAsia" w:ascii="仿宋_GB2312" w:hAnsi="Calibri" w:eastAsia="仿宋_GB2312" w:cs="Times New Roman"/>
          <w:color w:val="auto"/>
        </w:rPr>
        <w:t>）数据的处理及结果的表示</w:t>
      </w:r>
    </w:p>
    <w:p w14:paraId="7C0BBC9F">
      <w:pPr>
        <w:pStyle w:val="13"/>
        <w:rPr>
          <w:rFonts w:hint="eastAsia" w:eastAsia="仿宋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eastAsia="zh-CN"/>
        </w:rPr>
        <w:t>1、依据GB 2717、GB/T18186对酱油产品色泽、香气、滋味、体态的要求，将待测样品与标准样品进行对比后予以评分，综合评分即为各项得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>分的总和。评分规则主要是通过将待测样品与标准样品相比较来进行评分，直接品评法的评分规则及记录表格式见表3，间接品评法的评分规则及记录表格式见表4。</w:t>
      </w:r>
    </w:p>
    <w:p w14:paraId="3EEFA60D">
      <w:pPr>
        <w:pStyle w:val="13"/>
        <w:rPr>
          <w:rFonts w:hint="eastAsia" w:eastAsia="仿宋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eastAsia="zh-CN"/>
        </w:rPr>
        <w:t>2、根据每位品评员的综合评分结果计算平均值。为确保评价结果的有效性，若个别评价员的品评误差较大（超过平均值10分以上），可将其评分舍弃，舍弃后重新计算平均值。最终以综合评分的平均值作为酱油品质感官评定的结果，计算结果取整数。</w:t>
      </w:r>
    </w:p>
    <w:p w14:paraId="1FD305CA">
      <w:pPr>
        <w:pStyle w:val="13"/>
        <w:rPr>
          <w:rFonts w:hint="eastAsia" w:eastAsia="仿宋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lang w:eastAsia="zh-CN"/>
        </w:rPr>
        <w:t>3、综合评分低于60分为不合格，61分至80分为合格，高于8</w:t>
      </w:r>
      <w:r>
        <w:rPr>
          <w:rFonts w:hint="eastAsia" w:ascii="仿宋_GB2312" w:hAnsi="Calibri" w:eastAsia="仿宋_GB2312" w:cs="Times New Roman"/>
          <w:color w:val="auto"/>
          <w:lang w:val="en-US" w:eastAsia="zh-CN"/>
        </w:rPr>
        <w:t xml:space="preserve">5分为优。 </w:t>
      </w:r>
    </w:p>
    <w:p w14:paraId="6FCB04D2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24"/>
          <w:szCs w:val="24"/>
        </w:rPr>
      </w:pPr>
    </w:p>
    <w:p w14:paraId="1BE66297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</w:rPr>
      </w:pPr>
    </w:p>
    <w:p w14:paraId="05FF2805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</w:rPr>
      </w:pPr>
    </w:p>
    <w:p w14:paraId="2966E6D8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</w:rPr>
        <w:t>表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lang w:val="en-US" w:eastAsia="zh-CN"/>
        </w:rPr>
        <w:t>直接品评法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</w:rPr>
        <w:t>评分记录表</w:t>
      </w:r>
    </w:p>
    <w:p w14:paraId="4412D7A9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rPr>
          <w:rFonts w:hint="eastAsia" w:ascii="方正仿宋_GB2312" w:hAnsi="方正仿宋_GB2312" w:eastAsia="方正仿宋_GB2312" w:cs="方正仿宋_GB2312"/>
          <w:sz w:val="18"/>
          <w:szCs w:val="18"/>
        </w:rPr>
      </w:pPr>
    </w:p>
    <w:p w14:paraId="3BE13206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rPr>
          <w:rFonts w:hint="eastAsia" w:ascii="方正仿宋_GB2312" w:hAnsi="方正仿宋_GB2312" w:eastAsia="方正仿宋_GB2312" w:cs="方正仿宋_GB2312"/>
          <w:sz w:val="18"/>
          <w:szCs w:val="18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</w:rPr>
        <w:t>品评员姓名：                       样品编号：                    品评时间：</w:t>
      </w:r>
    </w:p>
    <w:tbl>
      <w:tblPr>
        <w:tblStyle w:val="5"/>
        <w:tblW w:w="90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5264"/>
        <w:gridCol w:w="1254"/>
        <w:gridCol w:w="1706"/>
      </w:tblGrid>
      <w:tr w14:paraId="75E25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A578C98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项目</w:t>
            </w:r>
          </w:p>
        </w:tc>
        <w:tc>
          <w:tcPr>
            <w:tcW w:w="5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630935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具体特性描述：分值</w:t>
            </w:r>
          </w:p>
        </w:tc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4DF9DA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得分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E3E0FF">
            <w:pPr>
              <w:pStyle w:val="13"/>
              <w:ind w:left="0" w:leftChars="0" w:firstLine="0" w:firstLineChars="0"/>
              <w:jc w:val="center"/>
              <w:rPr>
                <w:rFonts w:hint="default" w:ascii="仿宋_GB2312" w:hAnsi="Calibri" w:eastAsia="仿宋_GB2312" w:cs="Times New Roman"/>
                <w:color w:val="auto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lang w:val="en-US" w:eastAsia="zh-CN"/>
              </w:rPr>
              <w:t>备注</w:t>
            </w:r>
          </w:p>
        </w:tc>
      </w:tr>
      <w:tr w14:paraId="386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5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9AD97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色泽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br w:type="textWrapping"/>
            </w:r>
            <w:r>
              <w:rPr>
                <w:rFonts w:hint="eastAsia" w:ascii="仿宋_GB2312" w:hAnsi="Calibri" w:eastAsia="仿宋_GB2312" w:cs="Times New Roman"/>
                <w:color w:val="auto"/>
              </w:rPr>
              <w:t>25分</w:t>
            </w: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2519FF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优于相应级别产品的色泽：21分～25分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7378526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9E0F87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可以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从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样品颜色的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红壮度、光泽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度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、深浅程度等维度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进行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评价</w:t>
            </w:r>
          </w:p>
        </w:tc>
      </w:tr>
      <w:tr w14:paraId="3A6D88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F33F9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5449D7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符合相应级别产品的色泽：16分～20分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DCB7E6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33139EB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</w:p>
        </w:tc>
      </w:tr>
      <w:tr w14:paraId="5B22D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4AAEA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9ED05F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差于相应级别产品的色泽：小于15分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DD37B1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DCB2B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</w:p>
        </w:tc>
      </w:tr>
      <w:tr w14:paraId="6A58FE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5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9F3FFE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香气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br w:type="textWrapping"/>
            </w:r>
            <w:r>
              <w:rPr>
                <w:rFonts w:hint="eastAsia" w:ascii="仿宋_GB2312" w:hAnsi="Calibri" w:eastAsia="仿宋_GB2312" w:cs="Times New Roman"/>
                <w:color w:val="auto"/>
              </w:rPr>
              <w:t>25分</w:t>
            </w: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E6E28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优于相应级别产品的香气：21分～25分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F94164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B30383C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可以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从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样品香气的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浓郁度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及个人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喜好等维度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进行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评价</w:t>
            </w:r>
          </w:p>
        </w:tc>
      </w:tr>
      <w:tr w14:paraId="53AA4A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86537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6E76EB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符合相应级别产品的香气：16分～20分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13EBE7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6B7D705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</w:p>
        </w:tc>
      </w:tr>
      <w:tr w14:paraId="1BC7E0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A9EABA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FF83769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差于相应级别产品的香气：小于15分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B72D4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2632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</w:p>
        </w:tc>
      </w:tr>
      <w:tr w14:paraId="37F28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5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C81FE3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滋味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br w:type="textWrapping"/>
            </w:r>
            <w:r>
              <w:rPr>
                <w:rFonts w:hint="eastAsia" w:ascii="仿宋_GB2312" w:hAnsi="Calibri" w:eastAsia="仿宋_GB2312" w:cs="Times New Roman"/>
                <w:color w:val="auto"/>
              </w:rPr>
              <w:t>25分</w:t>
            </w: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AF04A3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优于相应级别产品的滋味：21分～25分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0D7E34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297528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可以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从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样品鲜、甜、咸、酸、苦，个人喜好等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维度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进行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评价</w:t>
            </w:r>
          </w:p>
        </w:tc>
      </w:tr>
      <w:tr w14:paraId="445287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8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06DD36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F3C181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符合相应级别产品的滋味：16分～20分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7A5BB3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B4B1551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</w:p>
        </w:tc>
      </w:tr>
      <w:tr w14:paraId="0AB131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8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9F074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233A38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差于相应级别产品的滋味：小于15分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8D40E4E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7AF6E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</w:p>
        </w:tc>
      </w:tr>
      <w:tr w14:paraId="04239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85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FD93F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体态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br w:type="textWrapping"/>
            </w:r>
            <w:r>
              <w:rPr>
                <w:rFonts w:hint="eastAsia" w:ascii="仿宋_GB2312" w:hAnsi="Calibri" w:eastAsia="仿宋_GB2312" w:cs="Times New Roman"/>
                <w:color w:val="auto"/>
              </w:rPr>
              <w:t>25分</w:t>
            </w: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9FC2D2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优于相应级别产品的体态（状态）：21分～25分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A1CD2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9D537F8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可以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从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样品体态澄清度、挂壁性等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维度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进行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评价</w:t>
            </w:r>
          </w:p>
        </w:tc>
      </w:tr>
      <w:tr w14:paraId="781A31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9800C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F367E28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符合相应级别产品的体态（状态）：16分～20分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4E9170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9A8176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</w:tr>
      <w:tr w14:paraId="1F6CA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76F0DD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085EEA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差于相应级别产品的体态（状态）：小于15分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347776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17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57DA3C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</w:tr>
      <w:tr w14:paraId="715AC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8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CC4AFA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综合评分</w:t>
            </w:r>
          </w:p>
        </w:tc>
        <w:tc>
          <w:tcPr>
            <w:tcW w:w="822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29294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</w:tr>
      <w:tr w14:paraId="2EE604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8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284A25D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备注</w:t>
            </w:r>
          </w:p>
        </w:tc>
        <w:tc>
          <w:tcPr>
            <w:tcW w:w="822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3D1774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</w:tr>
    </w:tbl>
    <w:p w14:paraId="2122AC68">
      <w:pPr>
        <w:pStyle w:val="8"/>
        <w:keepNext w:val="0"/>
        <w:keepLines w:val="0"/>
        <w:pageBreakBefore w:val="0"/>
        <w:tabs>
          <w:tab w:val="left" w:pos="1785"/>
          <w:tab w:val="center" w:pos="4201"/>
          <w:tab w:val="right" w:leader="dot" w:pos="9298"/>
        </w:tabs>
        <w:kinsoku/>
        <w:wordWrap/>
        <w:overflowPunct/>
        <w:topLinePunct w:val="0"/>
        <w:bidi w:val="0"/>
        <w:spacing w:line="240" w:lineRule="auto"/>
        <w:ind w:firstLine="0" w:firstLineChars="0"/>
        <w:textAlignment w:val="auto"/>
        <w:rPr>
          <w:rFonts w:hint="eastAsia" w:ascii="方正仿宋_GB2312" w:hAnsi="方正仿宋_GB2312" w:eastAsia="方正仿宋_GB2312" w:cs="方正仿宋_GB2312"/>
          <w:color w:val="FF0000"/>
          <w:sz w:val="24"/>
          <w:szCs w:val="24"/>
        </w:rPr>
      </w:pPr>
    </w:p>
    <w:p w14:paraId="540D8A0B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/>
          <w:b/>
          <w:bCs/>
          <w:sz w:val="24"/>
          <w:szCs w:val="24"/>
        </w:rPr>
      </w:pPr>
    </w:p>
    <w:p w14:paraId="31F65185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/>
          <w:b/>
          <w:bCs/>
          <w:sz w:val="24"/>
          <w:szCs w:val="24"/>
        </w:rPr>
      </w:pPr>
    </w:p>
    <w:p w14:paraId="1726AEAB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/>
          <w:b/>
          <w:bCs/>
          <w:sz w:val="24"/>
          <w:szCs w:val="24"/>
        </w:rPr>
      </w:pPr>
    </w:p>
    <w:p w14:paraId="71964690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/>
          <w:b/>
          <w:bCs/>
          <w:sz w:val="24"/>
          <w:szCs w:val="24"/>
        </w:rPr>
      </w:pPr>
    </w:p>
    <w:p w14:paraId="6A914CA4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highlight w:val="none"/>
        </w:rPr>
      </w:pPr>
    </w:p>
    <w:p w14:paraId="0F918614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highlight w:val="none"/>
        </w:rPr>
      </w:pPr>
    </w:p>
    <w:p w14:paraId="0DC00554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highlight w:val="none"/>
        </w:rPr>
        <w:t>表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highlight w:val="none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highlight w:val="none"/>
          <w:lang w:val="en-US" w:eastAsia="zh-CN"/>
        </w:rPr>
        <w:t>应用品评法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24"/>
          <w:highlight w:val="none"/>
        </w:rPr>
        <w:t>评分记录表</w:t>
      </w:r>
    </w:p>
    <w:p w14:paraId="24619D7A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rPr>
          <w:rFonts w:hint="eastAsia" w:ascii="方正仿宋_GB2312" w:hAnsi="方正仿宋_GB2312" w:eastAsia="方正仿宋_GB2312" w:cs="方正仿宋_GB2312"/>
          <w:sz w:val="18"/>
          <w:szCs w:val="18"/>
          <w:highlight w:val="none"/>
        </w:rPr>
      </w:pPr>
    </w:p>
    <w:p w14:paraId="74CE3440">
      <w:pPr>
        <w:pStyle w:val="8"/>
        <w:tabs>
          <w:tab w:val="left" w:pos="1785"/>
          <w:tab w:val="center" w:pos="4201"/>
          <w:tab w:val="right" w:leader="dot" w:pos="9298"/>
        </w:tabs>
        <w:spacing w:line="360" w:lineRule="auto"/>
        <w:ind w:firstLine="0" w:firstLineChars="0"/>
        <w:rPr>
          <w:rFonts w:hint="eastAsia" w:ascii="方正仿宋_GB2312" w:hAnsi="方正仿宋_GB2312" w:eastAsia="方正仿宋_GB2312" w:cs="方正仿宋_GB2312"/>
          <w:sz w:val="18"/>
          <w:szCs w:val="18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  <w:highlight w:val="none"/>
        </w:rPr>
        <w:t>品评员姓名：                       样品编号：                    品评时间：</w:t>
      </w:r>
    </w:p>
    <w:tbl>
      <w:tblPr>
        <w:tblStyle w:val="5"/>
        <w:tblW w:w="90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4469"/>
        <w:gridCol w:w="1009"/>
        <w:gridCol w:w="2231"/>
      </w:tblGrid>
      <w:tr w14:paraId="518614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EFE95B6">
            <w:pPr>
              <w:pStyle w:val="13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项目</w:t>
            </w:r>
          </w:p>
        </w:tc>
        <w:tc>
          <w:tcPr>
            <w:tcW w:w="4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D1F915">
            <w:pPr>
              <w:pStyle w:val="13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具体特性描述：分值</w:t>
            </w: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253E04B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得分</w:t>
            </w:r>
          </w:p>
        </w:tc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2122E1D">
            <w:pPr>
              <w:pStyle w:val="13"/>
              <w:jc w:val="center"/>
              <w:rPr>
                <w:rFonts w:hint="eastAsia" w:ascii="仿宋_GB2312" w:hAnsi="Calibri" w:eastAsia="仿宋_GB2312" w:cs="Times New Roman"/>
                <w:color w:val="auto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lang w:val="en-US" w:eastAsia="zh-CN"/>
              </w:rPr>
              <w:t>备注</w:t>
            </w:r>
          </w:p>
        </w:tc>
      </w:tr>
      <w:tr w14:paraId="0E5956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7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6519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色泽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br w:type="textWrapping"/>
            </w:r>
            <w:r>
              <w:rPr>
                <w:rFonts w:hint="eastAsia" w:ascii="仿宋_GB2312" w:hAnsi="Calibri" w:eastAsia="仿宋_GB2312" w:cs="Times New Roman"/>
                <w:color w:val="auto"/>
                <w:lang w:val="en-US" w:eastAsia="zh-CN"/>
              </w:rPr>
              <w:t>50分/3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t>5分</w:t>
            </w:r>
          </w:p>
        </w:tc>
        <w:tc>
          <w:tcPr>
            <w:tcW w:w="4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221547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优于相应级别产品的色泽：21分～25分</w:t>
            </w:r>
          </w:p>
        </w:tc>
        <w:tc>
          <w:tcPr>
            <w:tcW w:w="1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643DA21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22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B9D95DB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可以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从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菜品颜色的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红壮度、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亮度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、深浅度等维度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进行</w:t>
            </w: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</w:rPr>
              <w:t>评价</w:t>
            </w:r>
          </w:p>
        </w:tc>
      </w:tr>
      <w:tr w14:paraId="7403D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21A58">
            <w:pPr>
              <w:pStyle w:val="13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4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03F37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符合相应级别产品的色泽：16分～20分</w:t>
            </w:r>
          </w:p>
        </w:tc>
        <w:tc>
          <w:tcPr>
            <w:tcW w:w="1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8225D85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2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7BCF77B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</w:tr>
      <w:tr w14:paraId="4DAF59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B85D8">
            <w:pPr>
              <w:pStyle w:val="13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4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2ABC4D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差于相应级别产品的色泽：小于15分</w:t>
            </w:r>
          </w:p>
        </w:tc>
        <w:tc>
          <w:tcPr>
            <w:tcW w:w="1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383CC52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2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39FD85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</w:tr>
      <w:tr w14:paraId="540AEC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7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5084922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香气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br w:type="textWrapping"/>
            </w:r>
            <w:r>
              <w:rPr>
                <w:rFonts w:hint="eastAsia" w:ascii="仿宋_GB2312" w:hAnsi="Calibri" w:eastAsia="仿宋_GB2312" w:cs="Times New Roman"/>
                <w:color w:val="auto"/>
                <w:lang w:val="en-US" w:eastAsia="zh-CN"/>
              </w:rPr>
              <w:t>50分/3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t>5分</w:t>
            </w:r>
          </w:p>
        </w:tc>
        <w:tc>
          <w:tcPr>
            <w:tcW w:w="4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6D475E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优于相应级别产品的香气：21分～25分</w:t>
            </w:r>
          </w:p>
        </w:tc>
        <w:tc>
          <w:tcPr>
            <w:tcW w:w="1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8E892EE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22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287669B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可以从样品香气的浓郁度及个人喜好等维度进行评价</w:t>
            </w:r>
          </w:p>
        </w:tc>
      </w:tr>
      <w:tr w14:paraId="46C1A3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8BDA3">
            <w:pPr>
              <w:pStyle w:val="13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4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3AF525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符合相应级别产品的香气：16分～20分</w:t>
            </w:r>
          </w:p>
        </w:tc>
        <w:tc>
          <w:tcPr>
            <w:tcW w:w="1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170131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2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32DCD2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</w:tr>
      <w:tr w14:paraId="4C5F1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7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38815">
            <w:pPr>
              <w:pStyle w:val="13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4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163B197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差于相应级别产品的香气：小于15分</w:t>
            </w:r>
          </w:p>
        </w:tc>
        <w:tc>
          <w:tcPr>
            <w:tcW w:w="1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A60D633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  <w:tc>
          <w:tcPr>
            <w:tcW w:w="2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179AB8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</w:tr>
      <w:tr w14:paraId="511022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37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2F51ACB6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滋味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br w:type="textWrapping"/>
            </w:r>
            <w:r>
              <w:rPr>
                <w:rFonts w:hint="eastAsia" w:ascii="仿宋_GB2312" w:hAnsi="Calibri" w:eastAsia="仿宋_GB2312" w:cs="Times New Roman"/>
                <w:color w:val="auto"/>
                <w:lang w:val="en-US" w:eastAsia="zh-CN"/>
              </w:rPr>
              <w:t>30</w:t>
            </w:r>
            <w:r>
              <w:rPr>
                <w:rFonts w:hint="eastAsia" w:ascii="仿宋_GB2312" w:hAnsi="Calibri" w:eastAsia="仿宋_GB2312" w:cs="Times New Roman"/>
                <w:color w:val="auto"/>
              </w:rPr>
              <w:t>分</w:t>
            </w:r>
          </w:p>
        </w:tc>
        <w:tc>
          <w:tcPr>
            <w:tcW w:w="4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E95B2E4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优于相应级别产品的滋味：21分～25分</w:t>
            </w:r>
          </w:p>
        </w:tc>
        <w:tc>
          <w:tcPr>
            <w:tcW w:w="1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8891305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223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2F1B16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  <w:sz w:val="21"/>
                <w:szCs w:val="21"/>
                <w:lang w:val="en-US" w:eastAsia="zh-CN"/>
              </w:rPr>
              <w:t>可以从样品鲜甜咸适口，个人喜好等维度进行评价</w:t>
            </w:r>
          </w:p>
        </w:tc>
      </w:tr>
      <w:tr w14:paraId="2D13A4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3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10AC82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44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05530AD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符合相应级别产品的滋味：16分～20分</w:t>
            </w:r>
          </w:p>
        </w:tc>
        <w:tc>
          <w:tcPr>
            <w:tcW w:w="1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2F8086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2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E9D423A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</w:tr>
      <w:tr w14:paraId="61607D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37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DCB8C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44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86E031A">
            <w:pPr>
              <w:pStyle w:val="13"/>
              <w:ind w:left="0" w:leftChars="0" w:firstLine="0" w:firstLineChars="0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差于相应级别产品的滋味：小于15分</w:t>
            </w: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64DA2AE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  <w:tc>
          <w:tcPr>
            <w:tcW w:w="2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ACAF5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</w:p>
        </w:tc>
      </w:tr>
      <w:tr w14:paraId="607A63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3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BCB5B1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综合评分</w:t>
            </w:r>
          </w:p>
        </w:tc>
        <w:tc>
          <w:tcPr>
            <w:tcW w:w="7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29B27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</w:tr>
      <w:tr w14:paraId="3BB6E0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3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39F028">
            <w:pPr>
              <w:pStyle w:val="13"/>
              <w:ind w:left="0" w:leftChars="0" w:firstLine="0" w:firstLineChars="0"/>
              <w:jc w:val="center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备注</w:t>
            </w:r>
          </w:p>
        </w:tc>
        <w:tc>
          <w:tcPr>
            <w:tcW w:w="7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8171CE1">
            <w:pPr>
              <w:pStyle w:val="13"/>
              <w:rPr>
                <w:rFonts w:hint="eastAsia" w:ascii="仿宋_GB2312" w:hAnsi="Calibri" w:eastAsia="仿宋_GB2312" w:cs="Times New Roman"/>
                <w:color w:val="auto"/>
              </w:rPr>
            </w:pPr>
            <w:r>
              <w:rPr>
                <w:rFonts w:hint="eastAsia" w:ascii="仿宋_GB2312" w:hAnsi="Calibri" w:eastAsia="仿宋_GB2312" w:cs="Times New Roman"/>
                <w:color w:val="auto"/>
              </w:rPr>
              <w:t>　</w:t>
            </w:r>
          </w:p>
        </w:tc>
      </w:tr>
    </w:tbl>
    <w:p w14:paraId="7D7F395F">
      <w:pPr>
        <w:snapToGrid w:val="0"/>
        <w:spacing w:line="360" w:lineRule="auto"/>
        <w:ind w:firstLine="480" w:firstLineChars="200"/>
        <w:rPr>
          <w:rFonts w:ascii="仿宋_GB2312" w:hAnsi="Calibri" w:eastAsia="仿宋_GB2312" w:cs="Times New Roman"/>
          <w:color w:val="auto"/>
        </w:rPr>
      </w:pPr>
      <w:r>
        <w:rPr>
          <w:rFonts w:hint="eastAsia" w:ascii="仿宋_GB2312" w:eastAsia="仿宋_GB2312"/>
          <w:color w:val="000000"/>
          <w:sz w:val="24"/>
          <w:szCs w:val="24"/>
          <w:lang w:val="en-US" w:eastAsia="zh-CN"/>
        </w:rPr>
        <w:t>注：如应用评价不作滋味评价则色泽、香气各占比50分；如进行滋味评价则色泽、香气各占比35分，滋味占比30分。</w:t>
      </w:r>
      <w:bookmarkStart w:id="2" w:name="_GoBack"/>
      <w:bookmarkEnd w:id="2"/>
    </w:p>
    <w:p w14:paraId="02439CF8">
      <w:pPr>
        <w:snapToGrid w:val="0"/>
        <w:spacing w:line="360" w:lineRule="auto"/>
        <w:ind w:firstLine="482" w:firstLineChars="200"/>
        <w:rPr>
          <w:rFonts w:ascii="仿宋_GB2312" w:eastAsia="仿宋_GB2312"/>
          <w:b/>
          <w:color w:val="000000"/>
          <w:sz w:val="24"/>
          <w:szCs w:val="24"/>
        </w:rPr>
      </w:pPr>
      <w:r>
        <w:rPr>
          <w:rFonts w:hint="eastAsia" w:ascii="仿宋_GB2312" w:eastAsia="仿宋_GB2312"/>
          <w:b/>
          <w:color w:val="000000"/>
          <w:sz w:val="24"/>
          <w:szCs w:val="24"/>
        </w:rPr>
        <w:t>六、征求意见处理结果</w:t>
      </w:r>
    </w:p>
    <w:p w14:paraId="49609CC3">
      <w:pPr>
        <w:snapToGrid w:val="0"/>
        <w:spacing w:line="360" w:lineRule="auto"/>
        <w:ind w:firstLine="480" w:firstLineChars="200"/>
        <w:rPr>
          <w:rFonts w:ascii="仿宋_GB2312" w:eastAsia="仿宋_GB2312"/>
          <w:color w:val="000000"/>
          <w:sz w:val="24"/>
          <w:szCs w:val="24"/>
        </w:rPr>
      </w:pPr>
      <w:r>
        <w:rPr>
          <w:rFonts w:hint="eastAsia" w:ascii="仿宋_GB2312" w:eastAsia="仿宋_GB2312"/>
          <w:color w:val="000000"/>
          <w:sz w:val="24"/>
          <w:szCs w:val="24"/>
        </w:rPr>
        <w:t>见附件《公开征求意见汇总处理表》</w:t>
      </w:r>
    </w:p>
    <w:p w14:paraId="1C82A7F4">
      <w:pPr>
        <w:snapToGrid w:val="0"/>
        <w:spacing w:line="360" w:lineRule="auto"/>
        <w:ind w:firstLine="482" w:firstLineChars="200"/>
        <w:rPr>
          <w:rFonts w:ascii="仿宋_GB2312" w:eastAsia="仿宋_GB2312"/>
          <w:color w:val="000000"/>
          <w:sz w:val="24"/>
          <w:szCs w:val="24"/>
        </w:rPr>
      </w:pPr>
      <w:r>
        <w:rPr>
          <w:rFonts w:hint="eastAsia" w:ascii="仿宋_GB2312" w:eastAsia="仿宋_GB2312"/>
          <w:b/>
          <w:color w:val="000000"/>
          <w:sz w:val="24"/>
          <w:szCs w:val="24"/>
        </w:rPr>
        <w:t>七、标准实施建议</w:t>
      </w:r>
    </w:p>
    <w:p w14:paraId="158AFE51">
      <w:pPr>
        <w:snapToGrid w:val="0"/>
        <w:spacing w:line="360" w:lineRule="auto"/>
        <w:ind w:firstLine="480"/>
        <w:rPr>
          <w:rFonts w:ascii="仿宋_GB2312" w:eastAsia="仿宋_GB2312"/>
          <w:color w:val="000000"/>
          <w:sz w:val="24"/>
          <w:szCs w:val="24"/>
        </w:rPr>
      </w:pPr>
      <w:r>
        <w:rPr>
          <w:rFonts w:hint="eastAsia" w:ascii="仿宋_GB2312" w:eastAsia="仿宋_GB2312"/>
          <w:color w:val="000000"/>
          <w:sz w:val="24"/>
          <w:szCs w:val="24"/>
        </w:rPr>
        <w:t>本标准为首次制定，新标准的实施将进一步</w:t>
      </w:r>
      <w:r>
        <w:rPr>
          <w:rFonts w:hint="eastAsia" w:ascii="仿宋_GB2312" w:eastAsia="仿宋_GB2312"/>
          <w:color w:val="000000"/>
          <w:sz w:val="24"/>
          <w:szCs w:val="24"/>
          <w:lang w:val="en-US" w:eastAsia="zh-CN"/>
        </w:rPr>
        <w:t>为生产企业提供可靠的感官质量控制依据，有助于稳定和提升酱油产品品质，</w:t>
      </w:r>
      <w:r>
        <w:rPr>
          <w:rFonts w:hint="eastAsia" w:ascii="仿宋_GB2312" w:eastAsia="仿宋_GB2312"/>
          <w:color w:val="000000"/>
          <w:sz w:val="24"/>
          <w:szCs w:val="24"/>
        </w:rPr>
        <w:t>规范市场，引导行业健康发展。</w:t>
      </w:r>
    </w:p>
    <w:p w14:paraId="34B5C10E">
      <w:pPr>
        <w:snapToGrid w:val="0"/>
        <w:spacing w:line="360" w:lineRule="auto"/>
        <w:ind w:firstLine="482" w:firstLineChars="200"/>
        <w:rPr>
          <w:rFonts w:ascii="仿宋_GB2312" w:eastAsia="仿宋_GB2312"/>
          <w:color w:val="000000"/>
          <w:sz w:val="24"/>
          <w:szCs w:val="24"/>
        </w:rPr>
      </w:pPr>
      <w:r>
        <w:rPr>
          <w:rFonts w:hint="eastAsia" w:ascii="仿宋_GB2312" w:eastAsia="仿宋_GB2312"/>
          <w:b/>
          <w:color w:val="000000"/>
          <w:sz w:val="24"/>
          <w:szCs w:val="24"/>
        </w:rPr>
        <w:t>八、其他需要说明的问题</w:t>
      </w:r>
    </w:p>
    <w:p w14:paraId="5463EE1E">
      <w:pPr>
        <w:snapToGrid w:val="0"/>
        <w:spacing w:line="360" w:lineRule="auto"/>
        <w:ind w:left="420" w:firstLine="480" w:firstLineChars="200"/>
        <w:rPr>
          <w:rFonts w:ascii="仿宋_GB2312" w:eastAsia="仿宋_GB2312"/>
          <w:color w:val="000000"/>
          <w:sz w:val="24"/>
          <w:szCs w:val="24"/>
        </w:rPr>
      </w:pPr>
      <w:r>
        <w:rPr>
          <w:rFonts w:hint="eastAsia" w:ascii="仿宋_GB2312" w:eastAsia="仿宋_GB2312"/>
          <w:color w:val="000000"/>
          <w:sz w:val="24"/>
          <w:szCs w:val="24"/>
        </w:rPr>
        <w:t>无。</w:t>
      </w:r>
    </w:p>
    <w:p w14:paraId="66DBC025">
      <w:pPr>
        <w:snapToGrid w:val="0"/>
        <w:spacing w:line="360" w:lineRule="auto"/>
        <w:ind w:left="420" w:firstLine="480" w:firstLineChars="200"/>
        <w:rPr>
          <w:rFonts w:ascii="仿宋_GB2312" w:eastAsia="仿宋_GB2312"/>
          <w:color w:val="000000"/>
          <w:sz w:val="24"/>
          <w:szCs w:val="24"/>
        </w:rPr>
      </w:pPr>
    </w:p>
    <w:p w14:paraId="41F0E04E">
      <w:pPr>
        <w:snapToGrid w:val="0"/>
        <w:spacing w:line="360" w:lineRule="auto"/>
        <w:rPr>
          <w:rFonts w:ascii="仿宋_GB2312" w:eastAsia="仿宋_GB2312"/>
          <w:color w:val="00000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4E0CFC0-DDC1-4569-BDE6-EC37D33CAC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05F6D357-6067-489D-BA53-63FCB072B06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003A4954-D72B-478E-B458-A13D2AE5B0D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8241F6CC-00A7-48C2-BFFA-2561BC1F6CD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69AB140E-A38C-4672-A278-9F19975FEB8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4EBD5006-8F91-4653-AEE2-0DC631988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0652D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E2F62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E2F62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1F1C66"/>
    <w:multiLevelType w:val="multilevel"/>
    <w:tmpl w:val="481F1C66"/>
    <w:lvl w:ilvl="0" w:tentative="0">
      <w:start w:val="1"/>
      <w:numFmt w:val="japaneseCounting"/>
      <w:lvlText w:val="%1、"/>
      <w:lvlJc w:val="left"/>
      <w:pPr>
        <w:tabs>
          <w:tab w:val="left" w:pos="704"/>
        </w:tabs>
        <w:ind w:left="704" w:hanging="420"/>
      </w:pPr>
      <w:rPr>
        <w:rFonts w:hint="default" w:cs="Times New Roman"/>
        <w:b/>
        <w:bCs/>
      </w:rPr>
    </w:lvl>
    <w:lvl w:ilvl="1" w:tentative="0">
      <w:start w:val="1"/>
      <w:numFmt w:val="lowerLetter"/>
      <w:lvlText w:val="%2)"/>
      <w:lvlJc w:val="left"/>
      <w:pPr>
        <w:tabs>
          <w:tab w:val="left" w:pos="1124"/>
        </w:tabs>
        <w:ind w:left="1124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544"/>
        </w:tabs>
        <w:ind w:left="1544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964"/>
        </w:tabs>
        <w:ind w:left="1964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384"/>
        </w:tabs>
        <w:ind w:left="2384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804"/>
        </w:tabs>
        <w:ind w:left="2804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3224"/>
        </w:tabs>
        <w:ind w:left="3224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644"/>
        </w:tabs>
        <w:ind w:left="3644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4064"/>
        </w:tabs>
        <w:ind w:left="4064" w:hanging="420"/>
      </w:pPr>
      <w:rPr>
        <w:rFonts w:cs="Times New Roman"/>
      </w:rPr>
    </w:lvl>
  </w:abstractNum>
  <w:abstractNum w:abstractNumId="1">
    <w:nsid w:val="63493C0E"/>
    <w:multiLevelType w:val="multilevel"/>
    <w:tmpl w:val="63493C0E"/>
    <w:lvl w:ilvl="0" w:tentative="0">
      <w:start w:val="1"/>
      <w:numFmt w:val="japaneseCounting"/>
      <w:lvlText w:val="（%1）"/>
      <w:lvlJc w:val="left"/>
      <w:pPr>
        <w:ind w:left="1140" w:hanging="720"/>
      </w:pPr>
      <w:rPr>
        <w:rFonts w:hint="eastAsia" w:cs="Times New Roman"/>
        <w:lang w:val="en-US"/>
      </w:rPr>
    </w:lvl>
    <w:lvl w:ilvl="1" w:tentative="0">
      <w:start w:val="1"/>
      <w:numFmt w:val="lowerLetter"/>
      <w:lvlText w:val="%2)"/>
      <w:lvlJc w:val="left"/>
      <w:pPr>
        <w:ind w:left="1380" w:hanging="48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860" w:hanging="4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340" w:hanging="48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820" w:hanging="48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300" w:hanging="4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780" w:hanging="48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260" w:hanging="48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74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51"/>
    <w:rsid w:val="00042D68"/>
    <w:rsid w:val="000637EE"/>
    <w:rsid w:val="00067C89"/>
    <w:rsid w:val="0007455C"/>
    <w:rsid w:val="00075671"/>
    <w:rsid w:val="000B6C45"/>
    <w:rsid w:val="000B7B35"/>
    <w:rsid w:val="000D369D"/>
    <w:rsid w:val="000D4C4B"/>
    <w:rsid w:val="0011156E"/>
    <w:rsid w:val="00117F8E"/>
    <w:rsid w:val="00120509"/>
    <w:rsid w:val="001272D4"/>
    <w:rsid w:val="00130070"/>
    <w:rsid w:val="001334E6"/>
    <w:rsid w:val="00143822"/>
    <w:rsid w:val="001B0C60"/>
    <w:rsid w:val="001B424E"/>
    <w:rsid w:val="001C0D69"/>
    <w:rsid w:val="00206898"/>
    <w:rsid w:val="00213267"/>
    <w:rsid w:val="002307EF"/>
    <w:rsid w:val="00231C67"/>
    <w:rsid w:val="00251756"/>
    <w:rsid w:val="00251A01"/>
    <w:rsid w:val="002565CB"/>
    <w:rsid w:val="002570B4"/>
    <w:rsid w:val="00281C18"/>
    <w:rsid w:val="002A019E"/>
    <w:rsid w:val="002A441D"/>
    <w:rsid w:val="002E5878"/>
    <w:rsid w:val="002F1C20"/>
    <w:rsid w:val="002F2243"/>
    <w:rsid w:val="003074C8"/>
    <w:rsid w:val="00313997"/>
    <w:rsid w:val="00317C5E"/>
    <w:rsid w:val="00331B61"/>
    <w:rsid w:val="00353444"/>
    <w:rsid w:val="003822E0"/>
    <w:rsid w:val="003B5D4F"/>
    <w:rsid w:val="003D07CE"/>
    <w:rsid w:val="003D0EB2"/>
    <w:rsid w:val="00403F07"/>
    <w:rsid w:val="004301B9"/>
    <w:rsid w:val="00431CAE"/>
    <w:rsid w:val="0043635F"/>
    <w:rsid w:val="00441ABF"/>
    <w:rsid w:val="004508C8"/>
    <w:rsid w:val="0045336E"/>
    <w:rsid w:val="00457007"/>
    <w:rsid w:val="00494370"/>
    <w:rsid w:val="004B0BC0"/>
    <w:rsid w:val="004B3AA0"/>
    <w:rsid w:val="004C5FFF"/>
    <w:rsid w:val="004E33F5"/>
    <w:rsid w:val="00513526"/>
    <w:rsid w:val="00516960"/>
    <w:rsid w:val="00516E39"/>
    <w:rsid w:val="0052445A"/>
    <w:rsid w:val="00531081"/>
    <w:rsid w:val="00533C94"/>
    <w:rsid w:val="00536B79"/>
    <w:rsid w:val="00552A7F"/>
    <w:rsid w:val="00570F77"/>
    <w:rsid w:val="0058643E"/>
    <w:rsid w:val="005931B3"/>
    <w:rsid w:val="005A4822"/>
    <w:rsid w:val="005C792D"/>
    <w:rsid w:val="005E12F1"/>
    <w:rsid w:val="00603F72"/>
    <w:rsid w:val="006171F1"/>
    <w:rsid w:val="006564B9"/>
    <w:rsid w:val="006753E1"/>
    <w:rsid w:val="00680E7B"/>
    <w:rsid w:val="006866B5"/>
    <w:rsid w:val="00687416"/>
    <w:rsid w:val="006B55FD"/>
    <w:rsid w:val="006C4ECF"/>
    <w:rsid w:val="006D528B"/>
    <w:rsid w:val="006E4038"/>
    <w:rsid w:val="006F2021"/>
    <w:rsid w:val="006F4306"/>
    <w:rsid w:val="00723E98"/>
    <w:rsid w:val="00746347"/>
    <w:rsid w:val="00764F16"/>
    <w:rsid w:val="007656D8"/>
    <w:rsid w:val="0078130D"/>
    <w:rsid w:val="0079187C"/>
    <w:rsid w:val="007A7981"/>
    <w:rsid w:val="007B2B7F"/>
    <w:rsid w:val="007C13DB"/>
    <w:rsid w:val="007E40E1"/>
    <w:rsid w:val="007F16EF"/>
    <w:rsid w:val="00814731"/>
    <w:rsid w:val="0083195E"/>
    <w:rsid w:val="008416D2"/>
    <w:rsid w:val="00854F3D"/>
    <w:rsid w:val="008954C8"/>
    <w:rsid w:val="008A2BBE"/>
    <w:rsid w:val="008A7CE6"/>
    <w:rsid w:val="008B580B"/>
    <w:rsid w:val="008D1A4D"/>
    <w:rsid w:val="008F4052"/>
    <w:rsid w:val="00903557"/>
    <w:rsid w:val="0091059F"/>
    <w:rsid w:val="00977CAB"/>
    <w:rsid w:val="009924A8"/>
    <w:rsid w:val="009A019D"/>
    <w:rsid w:val="009B0B27"/>
    <w:rsid w:val="009B1A15"/>
    <w:rsid w:val="009B1FDB"/>
    <w:rsid w:val="009D6894"/>
    <w:rsid w:val="009E49C3"/>
    <w:rsid w:val="009E5199"/>
    <w:rsid w:val="00A0617E"/>
    <w:rsid w:val="00A13651"/>
    <w:rsid w:val="00A16F9C"/>
    <w:rsid w:val="00A33010"/>
    <w:rsid w:val="00A41B68"/>
    <w:rsid w:val="00A707DB"/>
    <w:rsid w:val="00A93444"/>
    <w:rsid w:val="00AA7361"/>
    <w:rsid w:val="00AD47BB"/>
    <w:rsid w:val="00AD55EC"/>
    <w:rsid w:val="00AE6FDC"/>
    <w:rsid w:val="00B005E1"/>
    <w:rsid w:val="00B13EEA"/>
    <w:rsid w:val="00B71E9E"/>
    <w:rsid w:val="00B7717C"/>
    <w:rsid w:val="00B83EAF"/>
    <w:rsid w:val="00B914AC"/>
    <w:rsid w:val="00B940F9"/>
    <w:rsid w:val="00C53A61"/>
    <w:rsid w:val="00C57B72"/>
    <w:rsid w:val="00C70B26"/>
    <w:rsid w:val="00C73249"/>
    <w:rsid w:val="00CA3716"/>
    <w:rsid w:val="00CA406E"/>
    <w:rsid w:val="00D04104"/>
    <w:rsid w:val="00D107AC"/>
    <w:rsid w:val="00D717BB"/>
    <w:rsid w:val="00D9666C"/>
    <w:rsid w:val="00DA150C"/>
    <w:rsid w:val="00DB070E"/>
    <w:rsid w:val="00DB095C"/>
    <w:rsid w:val="00DC0D25"/>
    <w:rsid w:val="00DD19DA"/>
    <w:rsid w:val="00DF7F4C"/>
    <w:rsid w:val="00E149C7"/>
    <w:rsid w:val="00E161EA"/>
    <w:rsid w:val="00E34621"/>
    <w:rsid w:val="00E514F4"/>
    <w:rsid w:val="00E8717C"/>
    <w:rsid w:val="00E9554B"/>
    <w:rsid w:val="00E971CC"/>
    <w:rsid w:val="00EB3100"/>
    <w:rsid w:val="00ED1687"/>
    <w:rsid w:val="00ED35A5"/>
    <w:rsid w:val="00EE2D96"/>
    <w:rsid w:val="00F23563"/>
    <w:rsid w:val="00F45130"/>
    <w:rsid w:val="00F479CA"/>
    <w:rsid w:val="00F53952"/>
    <w:rsid w:val="00F600F8"/>
    <w:rsid w:val="00F6541D"/>
    <w:rsid w:val="00F66D21"/>
    <w:rsid w:val="00FB2185"/>
    <w:rsid w:val="00FB3E47"/>
    <w:rsid w:val="00FD1D0A"/>
    <w:rsid w:val="07BF7C9A"/>
    <w:rsid w:val="09532A47"/>
    <w:rsid w:val="11501DB6"/>
    <w:rsid w:val="19297756"/>
    <w:rsid w:val="1ACB68E1"/>
    <w:rsid w:val="1CCF5E1D"/>
    <w:rsid w:val="21BF6207"/>
    <w:rsid w:val="243E4653"/>
    <w:rsid w:val="2B672F95"/>
    <w:rsid w:val="2DE94084"/>
    <w:rsid w:val="33AF405C"/>
    <w:rsid w:val="376E3D6C"/>
    <w:rsid w:val="3A726921"/>
    <w:rsid w:val="3FCC0881"/>
    <w:rsid w:val="42274AC5"/>
    <w:rsid w:val="4A26254D"/>
    <w:rsid w:val="4B5375A2"/>
    <w:rsid w:val="4FD50806"/>
    <w:rsid w:val="54AD4386"/>
    <w:rsid w:val="5627600E"/>
    <w:rsid w:val="579A6CD9"/>
    <w:rsid w:val="5AFD5143"/>
    <w:rsid w:val="5E2462EE"/>
    <w:rsid w:val="60963511"/>
    <w:rsid w:val="6A9D3EE5"/>
    <w:rsid w:val="6CFF2FAB"/>
    <w:rsid w:val="7643538A"/>
    <w:rsid w:val="7ABF6589"/>
    <w:rsid w:val="7BBC7410"/>
    <w:rsid w:val="7F211C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tabs>
        <w:tab w:val="left" w:pos="360"/>
      </w:tabs>
      <w:jc w:val="left"/>
    </w:pPr>
    <w:rPr>
      <w:lang w:val="zh-CN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段"/>
    <w:link w:val="9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character" w:customStyle="1" w:styleId="10">
    <w:name w:val="页眉 字符"/>
    <w:basedOn w:val="7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可研正文"/>
    <w:basedOn w:val="1"/>
    <w:link w:val="14"/>
    <w:autoRedefine/>
    <w:qFormat/>
    <w:uiPriority w:val="0"/>
    <w:pPr>
      <w:adjustRightInd w:val="0"/>
      <w:snapToGrid w:val="0"/>
      <w:spacing w:line="336" w:lineRule="auto"/>
      <w:ind w:firstLine="480" w:firstLineChars="200"/>
    </w:pPr>
    <w:rPr>
      <w:rFonts w:ascii="仿宋" w:hAnsi="仿宋" w:eastAsia="仿宋" w:cstheme="minorBidi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14">
    <w:name w:val="可研正文 Char"/>
    <w:basedOn w:val="7"/>
    <w:link w:val="13"/>
    <w:qFormat/>
    <w:uiPriority w:val="0"/>
    <w:rPr>
      <w:rFonts w:ascii="仿宋" w:hAnsi="仿宋" w:eastAsia="仿宋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customStyle="1" w:styleId="15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A13E0F-6FFE-44AC-A7A8-BABED360AA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6088</Words>
  <Characters>6611</Characters>
  <Lines>149</Lines>
  <Paragraphs>118</Paragraphs>
  <TotalTime>30</TotalTime>
  <ScaleCrop>false</ScaleCrop>
  <LinksUpToDate>false</LinksUpToDate>
  <CharactersWithSpaces>6811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2025-01-15T08:37:00Z</dcterms:created>
  <dc:creator>默认用户（请修改自己名字）</dc:creator>
  <cp:lastModifiedBy>省食协 孔祥州</cp:lastModifiedBy>
  <cp:lastPrinted>2025-12-25T07:21:00Z</cp:lastPrinted>
  <dcterms:modified xsi:type="dcterms:W3CDTF">2025-12-25T07:22:22Z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eyJoZGlkIjoiMjkwYjhkMmE0MThiNDNlYzhkNjc4MDY1Mjk1MGFjNmEiLCJ1c2VySWQiOiIxMTQwMTI2MDkzIn0=</vt:lpwstr>
  </property>
  <property fmtid="{D5CDD505-2E9C-101B-9397-08002B2CF9AE}" pid="3" name="KSOProductBuildVer">
    <vt:lpwstr>2052-12.1.0.24034</vt:lpwstr>
  </property>
  <property fmtid="{D5CDD505-2E9C-101B-9397-08002B2CF9AE}" pid="4" name="ICV">
    <vt:lpwstr>1622DA0393354EF1AF2CF61E6A73D811_13</vt:lpwstr>
  </property>
</Properties>
</file>