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城市地下管线数字化数据安全管理要求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安全发展倡导</w:t>
      </w:r>
      <w:r>
        <w:rPr>
          <w:rFonts w:hint="eastAsia" w:ascii="宋体" w:hAnsi="宋体" w:eastAsia="宋体" w:cs="宋体"/>
          <w:kern w:val="0"/>
          <w:sz w:val="28"/>
          <w:szCs w:val="28"/>
        </w:rPr>
        <w:t>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城市地下管线数字化数据安全管理要求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平湖市建筑业管理服务中心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城市地下管线数字化数据安全管理要求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2E6B0D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 xml:space="preserve"> 本标准旨在贯彻落实《中华人民共和国数据安全法》及住房和城乡建设部《关于加强城市地下市政基础设施建设的指导意见》（建城〔2020〕111 号）等政策要求，针对当前城市地下管线数字化进程中数据采集标准不一、安全防护薄弱、共享利用不规范等突出问题，建立覆盖数据全生命周期的安全管理技术规范。通过明确数据安全分级、防护措施、责任界定等核心要求，为管线数据安全管理提供统一的技术依据，填补该领域标准化空白。该项目编写意义体现在：</w:t>
      </w:r>
    </w:p>
    <w:p w14:paraId="0E344F4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1、筑牢城市安全运行根基：地下管线作为 "城市生命线"，其数字化数据涵盖地理坐标、运行参数等敏感信息，数据泄露或篡改可能引发施工破坏、能源中断等重大安全事故。本标准通过规范安全管理流程，为城市基础设施安全提供数据层面的核心保障。</w:t>
      </w:r>
    </w:p>
    <w:p w14:paraId="71B64F7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2、推动数据要素合规流通：当前跨部门数据共享中存在权属不清、标准不一等问题，导致数据价值难以释放。标准明确数据共享中的安全边界与操作规范，实现 "安全可控前提下的高效利用"，助力智慧城市建设中的数据要素流通。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3、规范行业安全管理实践：现有管线管理单位多采用自主安全方案，技术水平参差不齐。标准通过统一技术要求与管理流程，引导行业从 "被动防御" 向 "主动管控" 转型，提升整体安全防护能力。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平湖市建筑业管理服务中心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中国中小企业协会关于《城市更新项目BIM技术应用管理规范》等九项团体标准的立项公告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城市地下管线数字化数据安全管理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城市地下管线数字化数据安全管理要求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城市地下管线数字化数据安全管理要求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初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城市地下管线数字化数据安全管理要求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中下旬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平湖市建筑业管理服务中心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城市地下管线数字化数据安全管理要求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7438A66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sz w:val="28"/>
          <w:szCs w:val="28"/>
        </w:rPr>
        <w:t>范围：规定了管线数据安全管理的六大核心内容，明确适用于管线相关政府部门、权属单位等组织及多类型管线的数字化数据处理活动。</w:t>
      </w:r>
    </w:p>
    <w:p w14:paraId="1C206F6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/>
          <w:sz w:val="28"/>
          <w:szCs w:val="28"/>
        </w:rPr>
        <w:t>规范性引用文件：列出 GB/T 7027、GB/T 20984、GB/T 25069 三项国标，明确注日期与不注日期引用文件的适用版本规则。</w:t>
      </w:r>
    </w:p>
    <w:p w14:paraId="7648109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sz w:val="28"/>
          <w:szCs w:val="28"/>
        </w:rPr>
        <w:t>术语和定义：界定了城市地下管线数字化数据、管线数字化平台、数据活动三个核心术语的内涵。</w:t>
      </w:r>
    </w:p>
    <w:p w14:paraId="07347E1E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/>
          <w:sz w:val="28"/>
          <w:szCs w:val="28"/>
        </w:rPr>
        <w:t>管理建设：要求建立含管理者、执行者、审计者的安全管理架构，并明确三类角色的具体职责。</w:t>
      </w:r>
    </w:p>
    <w:p w14:paraId="6B6A081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/>
          <w:sz w:val="28"/>
          <w:szCs w:val="28"/>
        </w:rPr>
        <w:t>数据分类分级：提出分类分级原则与流程，明确多维度分类方法，将数据按敏感和风险程度分为四级并规定审核要求。</w:t>
      </w:r>
    </w:p>
    <w:p w14:paraId="1274D7AC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/>
          <w:sz w:val="28"/>
          <w:szCs w:val="28"/>
        </w:rPr>
        <w:t>数据活动及安全要求：围绕数据采集、存储、处理、分发、删除全生命周期活动，分别制定针对性安全规范。</w:t>
      </w:r>
    </w:p>
    <w:p w14:paraId="14F945C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/>
          <w:sz w:val="28"/>
          <w:szCs w:val="28"/>
        </w:rPr>
        <w:t>技术保障：从网络、终端、应用平台、数据加密四个维度，提出具体技术安全防护要求与标准。</w:t>
      </w:r>
    </w:p>
    <w:p w14:paraId="37C1202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/>
          <w:sz w:val="28"/>
          <w:szCs w:val="28"/>
        </w:rPr>
        <w:t>风险评估与分析：要求按 GB/T 20984 定期开展风险评估，用定性定量结合法分析风险并形成报告、落实整改与监控。</w:t>
      </w:r>
    </w:p>
    <w:p w14:paraId="4AD1D0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/>
          <w:sz w:val="28"/>
          <w:szCs w:val="28"/>
        </w:rPr>
        <w:t>应急处置：明确应急预案的制定与修订要求，规定安全事件响应上报时限，以及事后数据恢复、安全加固和复盘优化的流程。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《城市地下管线数字化数据安全管理要求》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技术的标准化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城市地下管线数字化数据安全管理要求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01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CFB1B35"/>
    <w:rsid w:val="1E18327E"/>
    <w:rsid w:val="30F26155"/>
    <w:rsid w:val="311F3D36"/>
    <w:rsid w:val="608E3F48"/>
    <w:rsid w:val="6B582350"/>
    <w:rsid w:val="7D7864E4"/>
    <w:rsid w:val="7F0136A4"/>
    <w:rsid w:val="7FAB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1971</Words>
  <Characters>2010</Characters>
  <Lines>2</Lines>
  <Paragraphs>1</Paragraphs>
  <TotalTime>3</TotalTime>
  <ScaleCrop>false</ScaleCrop>
  <LinksUpToDate>false</LinksUpToDate>
  <CharactersWithSpaces>2046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2025-12-04T08:02:18Z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