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F1CB5">
        <w:tc>
          <w:tcPr>
            <w:tcW w:w="509" w:type="dxa"/>
          </w:tcPr>
          <w:p w:rsidR="000F1CB5" w:rsidRDefault="00421B09">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F1CB5" w:rsidRDefault="00421B09">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Pr>
                <w:rFonts w:ascii="黑体" w:eastAsia="黑体" w:hAnsi="黑体" w:hint="eastAsia"/>
                <w:sz w:val="21"/>
                <w:szCs w:val="21"/>
              </w:rPr>
              <w:t>35.040</w:t>
            </w:r>
            <w:bookmarkEnd w:id="1"/>
            <w:r>
              <w:rPr>
                <w:rFonts w:ascii="黑体" w:eastAsia="黑体" w:hAnsi="黑体"/>
                <w:sz w:val="21"/>
                <w:szCs w:val="21"/>
              </w:rPr>
              <w:fldChar w:fldCharType="end"/>
            </w:r>
            <w:bookmarkEnd w:id="0"/>
          </w:p>
        </w:tc>
      </w:tr>
      <w:tr w:rsidR="000F1CB5">
        <w:tc>
          <w:tcPr>
            <w:tcW w:w="509" w:type="dxa"/>
          </w:tcPr>
          <w:p w:rsidR="000F1CB5" w:rsidRDefault="00421B09">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1CB5">
              <w:trPr>
                <w:trHeight w:hRule="exact" w:val="1021"/>
              </w:trPr>
              <w:tc>
                <w:tcPr>
                  <w:tcW w:w="9242" w:type="dxa"/>
                  <w:vAlign w:val="center"/>
                </w:tcPr>
                <w:p w:rsidR="000F1CB5" w:rsidRDefault="00421B09" w:rsidP="0085479B">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0F1CB5" w:rsidRDefault="00421B09">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80</w:t>
            </w:r>
            <w:r>
              <w:rPr>
                <w:rFonts w:ascii="黑体" w:eastAsia="黑体" w:hAnsi="黑体"/>
                <w:sz w:val="21"/>
                <w:szCs w:val="21"/>
              </w:rPr>
              <w:fldChar w:fldCharType="end"/>
            </w:r>
            <w:bookmarkEnd w:id="2"/>
          </w:p>
        </w:tc>
      </w:tr>
    </w:tbl>
    <w:p w:rsidR="000F1CB5" w:rsidRDefault="00421B09">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0F1CB5" w:rsidRDefault="00421B09">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0F1CB5" w:rsidRDefault="00421B09">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0F1CB5" w:rsidRDefault="00421B09">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F1CB5" w:rsidRDefault="000F1CB5">
      <w:pPr>
        <w:pStyle w:val="affff9"/>
        <w:framePr w:w="9639" w:h="6976" w:hRule="exact" w:hSpace="0" w:vSpace="0" w:wrap="around" w:hAnchor="page" w:y="6408"/>
        <w:jc w:val="center"/>
        <w:rPr>
          <w:rFonts w:ascii="黑体" w:eastAsia="黑体" w:hAnsi="黑体"/>
          <w:b w:val="0"/>
          <w:bCs w:val="0"/>
          <w:w w:val="100"/>
        </w:rPr>
      </w:pPr>
    </w:p>
    <w:p w:rsidR="000F1CB5" w:rsidRDefault="00421B09">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城市地下管线数字化数据安全管理要求</w:t>
      </w:r>
      <w:r>
        <w:fldChar w:fldCharType="end"/>
      </w:r>
      <w:bookmarkEnd w:id="8"/>
    </w:p>
    <w:p w:rsidR="000F1CB5" w:rsidRDefault="000F1CB5">
      <w:pPr>
        <w:framePr w:w="9639" w:h="6974" w:hRule="exact" w:wrap="around" w:vAnchor="page" w:hAnchor="page" w:x="1419" w:y="6408" w:anchorLock="1"/>
        <w:ind w:left="-1418"/>
      </w:pPr>
    </w:p>
    <w:p w:rsidR="000F1CB5" w:rsidRDefault="00421B09">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Requirement</w:t>
      </w:r>
      <w:r>
        <w:rPr>
          <w:rFonts w:eastAsia="黑体" w:hint="eastAsia"/>
          <w:szCs w:val="28"/>
        </w:rPr>
        <w:t>s</w:t>
      </w:r>
      <w:r>
        <w:rPr>
          <w:rFonts w:eastAsia="黑体"/>
          <w:szCs w:val="28"/>
        </w:rPr>
        <w:t xml:space="preserve"> for </w:t>
      </w:r>
      <w:r>
        <w:rPr>
          <w:rFonts w:eastAsia="黑体" w:hint="eastAsia"/>
          <w:szCs w:val="28"/>
        </w:rPr>
        <w:t>d</w:t>
      </w:r>
      <w:r>
        <w:rPr>
          <w:rFonts w:eastAsia="黑体"/>
          <w:szCs w:val="28"/>
        </w:rPr>
        <w:t xml:space="preserve">igital </w:t>
      </w:r>
      <w:r>
        <w:rPr>
          <w:rFonts w:eastAsia="黑体" w:hint="eastAsia"/>
          <w:szCs w:val="28"/>
        </w:rPr>
        <w:t>d</w:t>
      </w:r>
      <w:r>
        <w:rPr>
          <w:rFonts w:eastAsia="黑体"/>
          <w:szCs w:val="28"/>
        </w:rPr>
        <w:t xml:space="preserve">ata </w:t>
      </w:r>
      <w:r>
        <w:rPr>
          <w:rFonts w:eastAsia="黑体" w:hint="eastAsia"/>
          <w:szCs w:val="28"/>
        </w:rPr>
        <w:t>s</w:t>
      </w:r>
      <w:r>
        <w:rPr>
          <w:rFonts w:eastAsia="黑体"/>
          <w:szCs w:val="28"/>
        </w:rPr>
        <w:t xml:space="preserve">ecurity </w:t>
      </w:r>
      <w:r>
        <w:rPr>
          <w:rFonts w:eastAsia="黑体" w:hint="eastAsia"/>
          <w:szCs w:val="28"/>
        </w:rPr>
        <w:t>m</w:t>
      </w:r>
      <w:r>
        <w:rPr>
          <w:rFonts w:eastAsia="黑体"/>
          <w:szCs w:val="28"/>
        </w:rPr>
        <w:t xml:space="preserve">anagement of </w:t>
      </w:r>
      <w:r>
        <w:rPr>
          <w:rFonts w:eastAsia="黑体" w:hint="eastAsia"/>
          <w:szCs w:val="28"/>
        </w:rPr>
        <w:t>u</w:t>
      </w:r>
      <w:r>
        <w:rPr>
          <w:rFonts w:eastAsia="黑体"/>
          <w:szCs w:val="28"/>
        </w:rPr>
        <w:t xml:space="preserve">rban </w:t>
      </w:r>
      <w:r>
        <w:rPr>
          <w:rFonts w:eastAsia="黑体" w:hint="eastAsia"/>
          <w:szCs w:val="28"/>
        </w:rPr>
        <w:t>u</w:t>
      </w:r>
      <w:r>
        <w:rPr>
          <w:rFonts w:eastAsia="黑体"/>
          <w:szCs w:val="28"/>
        </w:rPr>
        <w:t xml:space="preserve">nderground </w:t>
      </w:r>
      <w:r>
        <w:rPr>
          <w:rFonts w:eastAsia="黑体" w:hint="eastAsia"/>
          <w:szCs w:val="28"/>
        </w:rPr>
        <w:t>p</w:t>
      </w:r>
      <w:r>
        <w:rPr>
          <w:rFonts w:eastAsia="黑体"/>
          <w:szCs w:val="28"/>
        </w:rPr>
        <w:t>ipelines</w:t>
      </w:r>
      <w:r>
        <w:rPr>
          <w:rFonts w:eastAsia="黑体"/>
          <w:szCs w:val="28"/>
        </w:rPr>
        <w:fldChar w:fldCharType="end"/>
      </w:r>
      <w:bookmarkEnd w:id="9"/>
    </w:p>
    <w:p w:rsidR="000F1CB5" w:rsidRDefault="000F1CB5">
      <w:pPr>
        <w:framePr w:w="9639" w:h="6974" w:hRule="exact" w:wrap="around" w:vAnchor="page" w:hAnchor="page" w:x="1419" w:y="6408" w:anchorLock="1"/>
        <w:spacing w:line="760" w:lineRule="exact"/>
        <w:ind w:left="-1418"/>
      </w:pPr>
    </w:p>
    <w:p w:rsidR="000F1CB5" w:rsidRDefault="000F1CB5">
      <w:pPr>
        <w:pStyle w:val="afffffff1"/>
        <w:framePr w:w="9639" w:h="6974" w:hRule="exact" w:wrap="around" w:vAnchor="page" w:hAnchor="page" w:x="1419" w:y="6408" w:anchorLock="1"/>
        <w:textAlignment w:val="bottom"/>
        <w:rPr>
          <w:rFonts w:eastAsia="黑体"/>
          <w:szCs w:val="28"/>
        </w:rPr>
      </w:pPr>
    </w:p>
    <w:p w:rsidR="000F1CB5" w:rsidRDefault="00421B09">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0F1CB5" w:rsidRDefault="00421B09">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F1CB5" w:rsidRDefault="00421B09">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0F1CB5" w:rsidRDefault="00421B09">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0F1CB5" w:rsidRDefault="00421B09">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0F1CB5" w:rsidRDefault="00421B09">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0F1CB5" w:rsidRDefault="00421B09">
      <w:pPr>
        <w:rPr>
          <w:rFonts w:ascii="宋体" w:hAnsi="宋体"/>
          <w:sz w:val="28"/>
          <w:szCs w:val="28"/>
        </w:rPr>
        <w:sectPr w:rsidR="000F1CB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F1CB5" w:rsidRDefault="00421B09">
      <w:pPr>
        <w:pStyle w:val="affffff3"/>
        <w:spacing w:after="360"/>
      </w:pPr>
      <w:bookmarkStart w:id="20" w:name="BookMark1"/>
      <w:bookmarkStart w:id="21" w:name="_Toc208578454"/>
      <w:bookmarkStart w:id="22" w:name="_Toc215234437"/>
      <w:bookmarkStart w:id="23" w:name="_Toc208584787"/>
      <w:bookmarkStart w:id="24" w:name="_Toc208584826"/>
      <w:bookmarkStart w:id="25" w:name="_Toc215234465"/>
      <w:r>
        <w:rPr>
          <w:rFonts w:hint="eastAsia"/>
          <w:spacing w:val="320"/>
        </w:rPr>
        <w:lastRenderedPageBreak/>
        <w:t>目</w:t>
      </w:r>
      <w:r>
        <w:rPr>
          <w:rFonts w:hint="eastAsia"/>
        </w:rPr>
        <w:t>次</w:t>
      </w:r>
    </w:p>
    <w:p w:rsidR="000F1CB5" w:rsidRDefault="00421B09">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15235794" w:history="1">
        <w:r>
          <w:rPr>
            <w:rStyle w:val="affff5"/>
            <w:rFonts w:hint="eastAsia"/>
          </w:rPr>
          <w:t>前言</w:t>
        </w:r>
        <w:r>
          <w:tab/>
        </w:r>
        <w:r>
          <w:fldChar w:fldCharType="begin"/>
        </w:r>
        <w:r>
          <w:instrText xml:space="preserve"> PAGEREF _Toc215235794 \h </w:instrText>
        </w:r>
        <w:r>
          <w:fldChar w:fldCharType="separate"/>
        </w:r>
        <w:r w:rsidR="007507F2">
          <w:rPr>
            <w:noProof/>
          </w:rPr>
          <w:t>II</w:t>
        </w:r>
        <w:r>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795" w:history="1">
        <w:r w:rsidR="00421B09">
          <w:rPr>
            <w:rStyle w:val="affff5"/>
          </w:rPr>
          <w:t xml:space="preserve">1 </w:t>
        </w:r>
        <w:r w:rsidR="00421B09">
          <w:rPr>
            <w:rStyle w:val="affff5"/>
            <w:rFonts w:hint="eastAsia"/>
          </w:rPr>
          <w:t xml:space="preserve"> 范围</w:t>
        </w:r>
        <w:r w:rsidR="00421B09">
          <w:tab/>
        </w:r>
        <w:r w:rsidR="00421B09">
          <w:fldChar w:fldCharType="begin"/>
        </w:r>
        <w:r w:rsidR="00421B09">
          <w:instrText xml:space="preserve"> PAGEREF _Toc215235795 \h </w:instrText>
        </w:r>
        <w:r w:rsidR="00421B09">
          <w:fldChar w:fldCharType="separate"/>
        </w:r>
        <w:r w:rsidR="007507F2">
          <w:rPr>
            <w:noProof/>
          </w:rPr>
          <w:t>1</w:t>
        </w:r>
        <w:r w:rsidR="00421B09">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796" w:history="1">
        <w:r w:rsidR="00421B09">
          <w:rPr>
            <w:rStyle w:val="affff5"/>
          </w:rPr>
          <w:t xml:space="preserve">2 </w:t>
        </w:r>
        <w:r w:rsidR="00421B09">
          <w:rPr>
            <w:rStyle w:val="affff5"/>
            <w:rFonts w:hint="eastAsia"/>
          </w:rPr>
          <w:t xml:space="preserve"> 规范性引用文件</w:t>
        </w:r>
        <w:r w:rsidR="00421B09">
          <w:tab/>
        </w:r>
        <w:r w:rsidR="00421B09">
          <w:fldChar w:fldCharType="begin"/>
        </w:r>
        <w:r w:rsidR="00421B09">
          <w:instrText xml:space="preserve"> PAGEREF _Toc215235796 \h </w:instrText>
        </w:r>
        <w:r w:rsidR="00421B09">
          <w:fldChar w:fldCharType="separate"/>
        </w:r>
        <w:r w:rsidR="007507F2">
          <w:rPr>
            <w:noProof/>
          </w:rPr>
          <w:t>1</w:t>
        </w:r>
        <w:r w:rsidR="00421B09">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797" w:history="1">
        <w:r w:rsidR="00421B09">
          <w:rPr>
            <w:rStyle w:val="affff5"/>
          </w:rPr>
          <w:t xml:space="preserve">3 </w:t>
        </w:r>
        <w:r w:rsidR="00421B09">
          <w:rPr>
            <w:rStyle w:val="affff5"/>
            <w:rFonts w:hint="eastAsia"/>
          </w:rPr>
          <w:t xml:space="preserve"> 术语和定义</w:t>
        </w:r>
        <w:r w:rsidR="00421B09">
          <w:tab/>
        </w:r>
        <w:r w:rsidR="00421B09">
          <w:fldChar w:fldCharType="begin"/>
        </w:r>
        <w:r w:rsidR="00421B09">
          <w:instrText xml:space="preserve"> PAGEREF _Toc215235797 \h </w:instrText>
        </w:r>
        <w:r w:rsidR="00421B09">
          <w:fldChar w:fldCharType="separate"/>
        </w:r>
        <w:r w:rsidR="007507F2">
          <w:rPr>
            <w:noProof/>
          </w:rPr>
          <w:t>1</w:t>
        </w:r>
        <w:r w:rsidR="00421B09">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798" w:history="1">
        <w:r w:rsidR="00421B09">
          <w:rPr>
            <w:rStyle w:val="affff5"/>
          </w:rPr>
          <w:t xml:space="preserve">4 </w:t>
        </w:r>
        <w:r w:rsidR="00421B09">
          <w:rPr>
            <w:rStyle w:val="affff5"/>
            <w:rFonts w:hint="eastAsia"/>
          </w:rPr>
          <w:t xml:space="preserve"> 管理建设</w:t>
        </w:r>
        <w:r w:rsidR="00421B09">
          <w:tab/>
        </w:r>
        <w:r w:rsidR="00421B09">
          <w:fldChar w:fldCharType="begin"/>
        </w:r>
        <w:r w:rsidR="00421B09">
          <w:instrText xml:space="preserve"> PAGEREF _Toc215235798 \h </w:instrText>
        </w:r>
        <w:r w:rsidR="00421B09">
          <w:fldChar w:fldCharType="separate"/>
        </w:r>
        <w:r w:rsidR="007507F2">
          <w:rPr>
            <w:noProof/>
          </w:rPr>
          <w:t>1</w:t>
        </w:r>
        <w:r w:rsidR="00421B09">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799" w:history="1">
        <w:r w:rsidR="00421B09">
          <w:rPr>
            <w:rStyle w:val="affff5"/>
          </w:rPr>
          <w:t xml:space="preserve">5 </w:t>
        </w:r>
        <w:r w:rsidR="00421B09">
          <w:rPr>
            <w:rStyle w:val="affff5"/>
            <w:rFonts w:hint="eastAsia"/>
          </w:rPr>
          <w:t xml:space="preserve"> 数据分类分级</w:t>
        </w:r>
        <w:r w:rsidR="00421B09">
          <w:tab/>
        </w:r>
        <w:r w:rsidR="00421B09">
          <w:fldChar w:fldCharType="begin"/>
        </w:r>
        <w:r w:rsidR="00421B09">
          <w:instrText xml:space="preserve"> PAGEREF _Toc215235799 \h </w:instrText>
        </w:r>
        <w:r w:rsidR="00421B09">
          <w:fldChar w:fldCharType="separate"/>
        </w:r>
        <w:r w:rsidR="007507F2">
          <w:rPr>
            <w:noProof/>
          </w:rPr>
          <w:t>2</w:t>
        </w:r>
        <w:r w:rsidR="00421B09">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800" w:history="1">
        <w:r w:rsidR="00421B09">
          <w:rPr>
            <w:rStyle w:val="affff5"/>
          </w:rPr>
          <w:t xml:space="preserve">6 </w:t>
        </w:r>
        <w:r w:rsidR="00421B09">
          <w:rPr>
            <w:rStyle w:val="affff5"/>
            <w:rFonts w:hint="eastAsia"/>
          </w:rPr>
          <w:t xml:space="preserve"> 数据活动及安全要求</w:t>
        </w:r>
        <w:r w:rsidR="00421B09">
          <w:tab/>
        </w:r>
        <w:r w:rsidR="00421B09">
          <w:fldChar w:fldCharType="begin"/>
        </w:r>
        <w:r w:rsidR="00421B09">
          <w:instrText xml:space="preserve"> PAGEREF _Toc215235800 \h </w:instrText>
        </w:r>
        <w:r w:rsidR="00421B09">
          <w:fldChar w:fldCharType="separate"/>
        </w:r>
        <w:r w:rsidR="007507F2">
          <w:rPr>
            <w:noProof/>
          </w:rPr>
          <w:t>3</w:t>
        </w:r>
        <w:r w:rsidR="00421B09">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801" w:history="1">
        <w:r w:rsidR="00421B09">
          <w:rPr>
            <w:rStyle w:val="affff5"/>
          </w:rPr>
          <w:t xml:space="preserve">7 </w:t>
        </w:r>
        <w:r w:rsidR="00421B09">
          <w:rPr>
            <w:rStyle w:val="affff5"/>
            <w:rFonts w:hint="eastAsia"/>
          </w:rPr>
          <w:t xml:space="preserve"> 技术保障</w:t>
        </w:r>
        <w:r w:rsidR="00421B09">
          <w:tab/>
        </w:r>
        <w:r w:rsidR="00421B09">
          <w:fldChar w:fldCharType="begin"/>
        </w:r>
        <w:r w:rsidR="00421B09">
          <w:instrText xml:space="preserve"> PAGEREF _Toc215235801 \h </w:instrText>
        </w:r>
        <w:r w:rsidR="00421B09">
          <w:fldChar w:fldCharType="separate"/>
        </w:r>
        <w:r w:rsidR="007507F2">
          <w:rPr>
            <w:noProof/>
          </w:rPr>
          <w:t>5</w:t>
        </w:r>
        <w:r w:rsidR="00421B09">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802" w:history="1">
        <w:r w:rsidR="00421B09">
          <w:rPr>
            <w:rStyle w:val="affff5"/>
          </w:rPr>
          <w:t xml:space="preserve">8 </w:t>
        </w:r>
        <w:r w:rsidR="00421B09">
          <w:rPr>
            <w:rStyle w:val="affff5"/>
            <w:rFonts w:hint="eastAsia"/>
          </w:rPr>
          <w:t xml:space="preserve"> 风险评估与分析</w:t>
        </w:r>
        <w:r w:rsidR="00421B09">
          <w:tab/>
        </w:r>
        <w:r w:rsidR="00421B09">
          <w:fldChar w:fldCharType="begin"/>
        </w:r>
        <w:r w:rsidR="00421B09">
          <w:instrText xml:space="preserve"> PAGEREF _Toc215235802 \h </w:instrText>
        </w:r>
        <w:r w:rsidR="00421B09">
          <w:fldChar w:fldCharType="separate"/>
        </w:r>
        <w:r w:rsidR="007507F2">
          <w:rPr>
            <w:noProof/>
          </w:rPr>
          <w:t>6</w:t>
        </w:r>
        <w:r w:rsidR="00421B09">
          <w:fldChar w:fldCharType="end"/>
        </w:r>
      </w:hyperlink>
    </w:p>
    <w:p w:rsidR="000F1CB5" w:rsidRDefault="000F437C">
      <w:pPr>
        <w:pStyle w:val="10"/>
        <w:tabs>
          <w:tab w:val="right" w:leader="dot" w:pos="9344"/>
        </w:tabs>
        <w:rPr>
          <w:rFonts w:asciiTheme="minorHAnsi" w:eastAsiaTheme="minorEastAsia" w:hAnsiTheme="minorHAnsi" w:cstheme="minorBidi"/>
          <w:szCs w:val="22"/>
        </w:rPr>
      </w:pPr>
      <w:hyperlink w:anchor="_Toc215235803" w:history="1">
        <w:r w:rsidR="00421B09">
          <w:rPr>
            <w:rStyle w:val="affff5"/>
          </w:rPr>
          <w:t xml:space="preserve">9 </w:t>
        </w:r>
        <w:r w:rsidR="00421B09">
          <w:rPr>
            <w:rStyle w:val="affff5"/>
            <w:rFonts w:hint="eastAsia"/>
          </w:rPr>
          <w:t xml:space="preserve"> 应急处置</w:t>
        </w:r>
        <w:r w:rsidR="00421B09">
          <w:tab/>
        </w:r>
        <w:r w:rsidR="00421B09">
          <w:fldChar w:fldCharType="begin"/>
        </w:r>
        <w:r w:rsidR="00421B09">
          <w:instrText xml:space="preserve"> PAGEREF _Toc215235803 \h </w:instrText>
        </w:r>
        <w:r w:rsidR="00421B09">
          <w:fldChar w:fldCharType="separate"/>
        </w:r>
        <w:r w:rsidR="007507F2">
          <w:rPr>
            <w:noProof/>
          </w:rPr>
          <w:t>6</w:t>
        </w:r>
        <w:r w:rsidR="00421B09">
          <w:fldChar w:fldCharType="end"/>
        </w:r>
      </w:hyperlink>
    </w:p>
    <w:p w:rsidR="000F1CB5" w:rsidRDefault="00421B09">
      <w:pPr>
        <w:pStyle w:val="affffff3"/>
        <w:spacing w:after="360"/>
        <w:sectPr w:rsidR="000F1CB5">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0F1CB5" w:rsidRDefault="00421B09">
      <w:pPr>
        <w:pStyle w:val="a6"/>
        <w:spacing w:before="560" w:after="360"/>
      </w:pPr>
      <w:bookmarkStart w:id="26" w:name="_Toc215235794"/>
      <w:bookmarkStart w:id="27" w:name="BookMark2"/>
      <w:bookmarkEnd w:id="20"/>
      <w:r>
        <w:rPr>
          <w:spacing w:val="320"/>
        </w:rPr>
        <w:lastRenderedPageBreak/>
        <w:t>前</w:t>
      </w:r>
      <w:r>
        <w:t>言</w:t>
      </w:r>
      <w:bookmarkEnd w:id="21"/>
      <w:bookmarkEnd w:id="22"/>
      <w:bookmarkEnd w:id="23"/>
      <w:bookmarkEnd w:id="24"/>
      <w:bookmarkEnd w:id="25"/>
      <w:bookmarkEnd w:id="26"/>
    </w:p>
    <w:p w:rsidR="000F1CB5" w:rsidRDefault="00421B09">
      <w:pPr>
        <w:pStyle w:val="affffe"/>
        <w:spacing w:line="288" w:lineRule="auto"/>
        <w:ind w:firstLine="420"/>
      </w:pPr>
      <w:r>
        <w:rPr>
          <w:rFonts w:hint="eastAsia"/>
        </w:rPr>
        <w:t>本文件按照GB/T 1.1—2020《标准化工作导则  第1部分：标准化文件的结构和起草规则》的规定起草。</w:t>
      </w:r>
    </w:p>
    <w:p w:rsidR="000F1CB5" w:rsidRDefault="00421B09">
      <w:pPr>
        <w:pStyle w:val="affffe"/>
        <w:spacing w:line="288" w:lineRule="auto"/>
        <w:ind w:firstLine="420"/>
      </w:pPr>
      <w:r>
        <w:rPr>
          <w:rFonts w:hint="eastAsia"/>
        </w:rPr>
        <w:t>请注意本文件的某些内容可能涉及专利。本文件的发布机构不承担识别专利的责任。</w:t>
      </w:r>
    </w:p>
    <w:p w:rsidR="000F1CB5" w:rsidRDefault="00421B09">
      <w:pPr>
        <w:pStyle w:val="affffe"/>
        <w:spacing w:line="288" w:lineRule="auto"/>
        <w:ind w:firstLine="420"/>
      </w:pPr>
      <w:r>
        <w:rPr>
          <w:rFonts w:hint="eastAsia"/>
        </w:rPr>
        <w:t>本文件由平湖市建筑业管理服务中心提出。</w:t>
      </w:r>
    </w:p>
    <w:p w:rsidR="000F1CB5" w:rsidRDefault="00421B09">
      <w:pPr>
        <w:pStyle w:val="affffe"/>
        <w:spacing w:line="288" w:lineRule="auto"/>
        <w:ind w:firstLine="420"/>
      </w:pPr>
      <w:r>
        <w:rPr>
          <w:rFonts w:hint="eastAsia"/>
        </w:rPr>
        <w:t>本文件由中国中小企业协会归口。</w:t>
      </w:r>
    </w:p>
    <w:p w:rsidR="000F1CB5" w:rsidRDefault="00421B09">
      <w:pPr>
        <w:pStyle w:val="affffe"/>
        <w:spacing w:line="288" w:lineRule="auto"/>
        <w:ind w:firstLine="420"/>
      </w:pPr>
      <w:r>
        <w:rPr>
          <w:rFonts w:hint="eastAsia"/>
        </w:rPr>
        <w:t>本文件起草单位：平湖市建筑业管理服务中心、××××、××××</w:t>
      </w:r>
    </w:p>
    <w:p w:rsidR="000F1CB5" w:rsidRDefault="00421B09">
      <w:pPr>
        <w:pStyle w:val="affffe"/>
        <w:spacing w:line="288" w:lineRule="auto"/>
        <w:ind w:firstLine="420"/>
      </w:pPr>
      <w:r>
        <w:rPr>
          <w:rFonts w:hint="eastAsia"/>
        </w:rPr>
        <w:t>本文件主要起草人：×××、×××、×××</w:t>
      </w:r>
    </w:p>
    <w:p w:rsidR="000F1CB5" w:rsidRDefault="000F1CB5">
      <w:pPr>
        <w:pStyle w:val="affffe"/>
        <w:ind w:firstLine="420"/>
      </w:pPr>
    </w:p>
    <w:p w:rsidR="000F1CB5" w:rsidRDefault="000F1CB5">
      <w:pPr>
        <w:pStyle w:val="affffe"/>
        <w:ind w:firstLine="420"/>
        <w:sectPr w:rsidR="000F1CB5">
          <w:pgSz w:w="11906" w:h="16838"/>
          <w:pgMar w:top="1928" w:right="1134" w:bottom="1134" w:left="1134" w:header="1418" w:footer="1134" w:gutter="284"/>
          <w:pgNumType w:fmt="upperRoman"/>
          <w:cols w:space="425"/>
          <w:formProt w:val="0"/>
          <w:docGrid w:linePitch="312"/>
        </w:sectPr>
      </w:pPr>
    </w:p>
    <w:p w:rsidR="000F1CB5" w:rsidRDefault="000F1CB5">
      <w:pPr>
        <w:spacing w:line="20" w:lineRule="exact"/>
        <w:jc w:val="center"/>
        <w:rPr>
          <w:rFonts w:ascii="黑体" w:eastAsia="黑体" w:hAnsi="黑体"/>
          <w:sz w:val="32"/>
          <w:szCs w:val="32"/>
        </w:rPr>
      </w:pPr>
      <w:bookmarkStart w:id="28" w:name="BookMark4"/>
      <w:bookmarkEnd w:id="27"/>
    </w:p>
    <w:p w:rsidR="000F1CB5" w:rsidRDefault="000F1CB5">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20597E48987B42BCAF772A57416104EB"/>
        </w:placeholder>
      </w:sdtPr>
      <w:sdtEndPr/>
      <w:sdtContent>
        <w:p w:rsidR="000F1CB5" w:rsidRDefault="00421B09">
          <w:pPr>
            <w:pStyle w:val="afffffffff1"/>
            <w:spacing w:beforeLines="100" w:before="240" w:afterLines="220" w:after="528"/>
          </w:pPr>
          <w:r>
            <w:rPr>
              <w:rFonts w:hint="eastAsia"/>
            </w:rPr>
            <w:t>城市地下管线数字化数据安全管理要求</w:t>
          </w:r>
        </w:p>
      </w:sdtContent>
    </w:sdt>
    <w:p w:rsidR="000F1CB5" w:rsidRDefault="00421B09">
      <w:pPr>
        <w:pStyle w:val="affc"/>
        <w:spacing w:before="240" w:after="240"/>
      </w:pPr>
      <w:bookmarkStart w:id="30" w:name="_Toc208584788"/>
      <w:bookmarkStart w:id="31" w:name="_Toc24884218"/>
      <w:bookmarkStart w:id="32" w:name="_Toc26718930"/>
      <w:bookmarkStart w:id="33" w:name="_Toc17233333"/>
      <w:bookmarkStart w:id="34" w:name="_Toc26986530"/>
      <w:bookmarkStart w:id="35" w:name="_Toc208578455"/>
      <w:bookmarkStart w:id="36" w:name="_Toc215234438"/>
      <w:bookmarkStart w:id="37" w:name="_Toc215234466"/>
      <w:bookmarkStart w:id="38" w:name="_Toc26648465"/>
      <w:bookmarkStart w:id="39" w:name="_Toc215235795"/>
      <w:bookmarkStart w:id="40" w:name="_Toc208584827"/>
      <w:bookmarkStart w:id="41" w:name="_Toc24884211"/>
      <w:bookmarkStart w:id="42" w:name="_Toc17233325"/>
      <w:bookmarkStart w:id="43" w:name="_Toc26986771"/>
      <w:bookmarkStart w:id="44" w:name="_Toc97192964"/>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0F1CB5" w:rsidRDefault="00421B09">
      <w:pPr>
        <w:pStyle w:val="affffe"/>
        <w:spacing w:line="288" w:lineRule="auto"/>
        <w:ind w:firstLine="420"/>
      </w:pPr>
      <w:bookmarkStart w:id="45" w:name="_Toc17233326"/>
      <w:bookmarkStart w:id="46" w:name="_Toc24884212"/>
      <w:bookmarkStart w:id="47" w:name="_Toc17233334"/>
      <w:bookmarkStart w:id="48" w:name="_Toc24884219"/>
      <w:bookmarkStart w:id="49" w:name="_Toc26648466"/>
      <w:r>
        <w:t>本文件规定了城市地下管线数字化数据（以下简称</w:t>
      </w:r>
      <w:r>
        <w:rPr>
          <w:rFonts w:hint="eastAsia"/>
        </w:rPr>
        <w:t>“管线数据”</w:t>
      </w:r>
      <w:r>
        <w:t>）安全管理的管理建设、数据分类分级、数据活动及安全要求、技术保障、风险评估与分析、应急处置。</w:t>
      </w:r>
    </w:p>
    <w:p w:rsidR="000F1CB5" w:rsidRDefault="00421B09">
      <w:pPr>
        <w:pStyle w:val="affffe"/>
        <w:spacing w:line="288" w:lineRule="auto"/>
        <w:ind w:firstLine="420"/>
      </w:pPr>
      <w:r>
        <w:t>本文件适用于</w:t>
      </w:r>
      <w:r>
        <w:rPr>
          <w:rFonts w:hint="eastAsia"/>
        </w:rPr>
        <w:t>城市地下管线规划、建设、运营、管理相关的政府部门、权属单位、技术服务机构及其他相关组织，涉及燃气、供水、排水、电力、通信、综合管廊等各类地下管线的数字化数据处理活动。</w:t>
      </w:r>
    </w:p>
    <w:p w:rsidR="000F1CB5" w:rsidRDefault="00421B09">
      <w:pPr>
        <w:pStyle w:val="affc"/>
        <w:spacing w:before="240" w:after="240"/>
      </w:pPr>
      <w:bookmarkStart w:id="50" w:name="_Toc26718931"/>
      <w:bookmarkStart w:id="51" w:name="_Toc26986531"/>
      <w:bookmarkStart w:id="52" w:name="_Toc26986772"/>
      <w:bookmarkStart w:id="53" w:name="_Toc97192965"/>
      <w:bookmarkStart w:id="54" w:name="_Toc208584789"/>
      <w:bookmarkStart w:id="55" w:name="_Toc208578456"/>
      <w:bookmarkStart w:id="56" w:name="_Toc208584828"/>
      <w:bookmarkStart w:id="57" w:name="_Toc215234439"/>
      <w:bookmarkStart w:id="58" w:name="_Toc215234467"/>
      <w:bookmarkStart w:id="59" w:name="_Toc215235796"/>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0DA52993486641C18704FD4EE249FD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F1CB5" w:rsidRDefault="00421B09">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F1CB5" w:rsidRDefault="00421B09">
      <w:pPr>
        <w:pStyle w:val="affffe"/>
        <w:spacing w:line="288" w:lineRule="auto"/>
        <w:ind w:firstLine="420"/>
      </w:pPr>
      <w:r>
        <w:rPr>
          <w:rFonts w:hint="eastAsia"/>
        </w:rPr>
        <w:t>GB/T 7027  信息分类和编码的基本原则与方法</w:t>
      </w:r>
    </w:p>
    <w:p w:rsidR="000F1CB5" w:rsidRDefault="00421B09">
      <w:pPr>
        <w:pStyle w:val="affffe"/>
        <w:spacing w:line="288" w:lineRule="auto"/>
        <w:ind w:firstLine="420"/>
      </w:pPr>
      <w:r>
        <w:rPr>
          <w:rFonts w:hint="eastAsia"/>
        </w:rPr>
        <w:t>GB/T 20984  信息安全技术  信息安全风险评估方法</w:t>
      </w:r>
    </w:p>
    <w:p w:rsidR="000F1CB5" w:rsidRDefault="00421B09">
      <w:pPr>
        <w:pStyle w:val="affffe"/>
        <w:spacing w:line="288" w:lineRule="auto"/>
        <w:ind w:firstLine="420"/>
      </w:pPr>
      <w:r>
        <w:rPr>
          <w:rFonts w:hint="eastAsia"/>
        </w:rPr>
        <w:t>GB/T 25069  信息安全技术  术语</w:t>
      </w:r>
    </w:p>
    <w:p w:rsidR="000F1CB5" w:rsidRDefault="00421B09">
      <w:pPr>
        <w:pStyle w:val="affc"/>
        <w:spacing w:before="240" w:after="240"/>
      </w:pPr>
      <w:bookmarkStart w:id="60" w:name="_Toc97192966"/>
      <w:bookmarkStart w:id="61" w:name="_Toc215234440"/>
      <w:bookmarkStart w:id="62" w:name="_Toc208584790"/>
      <w:bookmarkStart w:id="63" w:name="_Toc208578457"/>
      <w:bookmarkStart w:id="64" w:name="_Toc215234468"/>
      <w:bookmarkStart w:id="65" w:name="_Toc208584829"/>
      <w:bookmarkStart w:id="66" w:name="_Toc215235797"/>
      <w:r>
        <w:rPr>
          <w:rFonts w:hint="eastAsia"/>
          <w:szCs w:val="21"/>
        </w:rPr>
        <w:t>术语和定义</w:t>
      </w:r>
      <w:bookmarkEnd w:id="60"/>
      <w:bookmarkEnd w:id="61"/>
      <w:bookmarkEnd w:id="62"/>
      <w:bookmarkEnd w:id="63"/>
      <w:bookmarkEnd w:id="64"/>
      <w:bookmarkEnd w:id="65"/>
      <w:bookmarkEnd w:id="66"/>
    </w:p>
    <w:bookmarkStart w:id="67" w:name="_Toc26986532" w:displacedByCustomXml="next"/>
    <w:bookmarkEnd w:id="67" w:displacedByCustomXml="next"/>
    <w:sdt>
      <w:sdtPr>
        <w:id w:val="-1909835108"/>
        <w:placeholder>
          <w:docPart w:val="E223C3A0EB1E4EE88153CCC24637FA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F1CB5" w:rsidRDefault="00421B09">
          <w:pPr>
            <w:pStyle w:val="affffe"/>
            <w:spacing w:line="288" w:lineRule="auto"/>
            <w:ind w:firstLine="420"/>
          </w:pPr>
          <w:r>
            <w:rPr>
              <w:rFonts w:hint="eastAsia"/>
            </w:rPr>
            <w:t xml:space="preserve">GB/T 25069、GB/T 20984 </w:t>
          </w:r>
          <w:r>
            <w:t>界定的以及下列术语和定义适用于本文件。</w:t>
          </w:r>
        </w:p>
      </w:sdtContent>
    </w:sdt>
    <w:p w:rsidR="000F1CB5" w:rsidRDefault="00421B09">
      <w:pPr>
        <w:pStyle w:val="affffffffffd"/>
        <w:spacing w:line="288" w:lineRule="auto"/>
        <w:ind w:left="420" w:hangingChars="200" w:hanging="420"/>
        <w:rPr>
          <w:rFonts w:ascii="黑体" w:eastAsia="黑体" w:hAnsi="黑体"/>
        </w:rPr>
      </w:pPr>
      <w:r>
        <w:rPr>
          <w:rFonts w:ascii="黑体" w:eastAsia="黑体" w:hAnsi="黑体"/>
        </w:rPr>
        <w:br/>
        <w:t>城市地下管线数字化数据</w:t>
      </w:r>
      <w:r>
        <w:rPr>
          <w:rFonts w:ascii="黑体" w:eastAsia="黑体" w:hAnsi="黑体" w:hint="eastAsia"/>
        </w:rPr>
        <w:t xml:space="preserve">  digital data of urban underground pipelines</w:t>
      </w:r>
    </w:p>
    <w:p w:rsidR="000F1CB5" w:rsidRDefault="00421B09">
      <w:pPr>
        <w:pStyle w:val="affffe"/>
        <w:spacing w:line="288" w:lineRule="auto"/>
        <w:ind w:firstLine="420"/>
      </w:pPr>
      <w:r>
        <w:t>通过探测、监测、建模等技术手段形成的，反映地下管线空间位置、属性特征、运行状态的数字化信息，包括空间地理数据、属性数据、实时监测数据、元数据及相关文档数据。</w:t>
      </w:r>
    </w:p>
    <w:p w:rsidR="000F1CB5" w:rsidRDefault="00421B09">
      <w:pPr>
        <w:pStyle w:val="affffffffffd"/>
        <w:spacing w:line="288" w:lineRule="auto"/>
        <w:ind w:left="420" w:hangingChars="200" w:hanging="420"/>
        <w:rPr>
          <w:rFonts w:ascii="黑体" w:eastAsia="黑体" w:hAnsi="黑体"/>
        </w:rPr>
      </w:pPr>
      <w:r>
        <w:rPr>
          <w:rFonts w:ascii="黑体" w:eastAsia="黑体" w:hAnsi="黑体"/>
        </w:rPr>
        <w:br/>
        <w:t>管线数字化平台</w:t>
      </w:r>
      <w:r>
        <w:rPr>
          <w:rFonts w:ascii="黑体" w:eastAsia="黑体" w:hAnsi="黑体" w:hint="eastAsia"/>
        </w:rPr>
        <w:t xml:space="preserve">  pipeline </w:t>
      </w:r>
      <w:r>
        <w:rPr>
          <w:rFonts w:ascii="黑体" w:eastAsia="黑体" w:hAnsi="黑体"/>
        </w:rPr>
        <w:t>digital</w:t>
      </w:r>
      <w:r>
        <w:rPr>
          <w:rFonts w:ascii="黑体" w:eastAsia="黑体" w:hAnsi="黑体" w:hint="eastAsia"/>
        </w:rPr>
        <w:t xml:space="preserve"> platform</w:t>
      </w:r>
    </w:p>
    <w:p w:rsidR="000F1CB5" w:rsidRDefault="00421B09">
      <w:pPr>
        <w:pStyle w:val="affffe"/>
        <w:spacing w:line="288" w:lineRule="auto"/>
        <w:ind w:firstLine="420"/>
        <w:rPr>
          <w:rFonts w:ascii="Segoe UI" w:hAnsi="Segoe UI" w:cs="Segoe UI"/>
          <w:shd w:val="clear" w:color="auto" w:fill="FFFFFF"/>
        </w:rPr>
      </w:pPr>
      <w:r>
        <w:rPr>
          <w:rFonts w:ascii="Segoe UI" w:hAnsi="Segoe UI" w:cs="Segoe UI"/>
          <w:shd w:val="clear" w:color="auto" w:fill="FFFFFF"/>
        </w:rPr>
        <w:t>采用数字化存储、管理和分析技术，提供管线数据的采集、存储、查询、分析、展示等功能，支持管线规划、运维、应急等业务安全高效运行的软硬件集合。</w:t>
      </w:r>
    </w:p>
    <w:p w:rsidR="000F1CB5" w:rsidRDefault="00421B09">
      <w:pPr>
        <w:pStyle w:val="affffffffffd"/>
        <w:spacing w:line="288" w:lineRule="auto"/>
        <w:ind w:left="420" w:hangingChars="200" w:hanging="420"/>
        <w:rPr>
          <w:rFonts w:ascii="黑体" w:eastAsia="黑体" w:hAnsi="黑体"/>
        </w:rPr>
      </w:pPr>
      <w:r>
        <w:rPr>
          <w:rFonts w:ascii="黑体" w:eastAsia="黑体" w:hAnsi="黑体"/>
          <w:shd w:val="clear" w:color="auto" w:fill="FFFFFF"/>
        </w:rPr>
        <w:br/>
      </w:r>
      <w:r>
        <w:rPr>
          <w:rFonts w:ascii="黑体" w:eastAsia="黑体" w:hAnsi="黑体" w:hint="eastAsia"/>
        </w:rPr>
        <w:t>数据活动  data activity</w:t>
      </w:r>
    </w:p>
    <w:p w:rsidR="000F1CB5" w:rsidRDefault="00421B09">
      <w:pPr>
        <w:pStyle w:val="affffe"/>
        <w:spacing w:line="288" w:lineRule="auto"/>
        <w:ind w:firstLine="420"/>
        <w:rPr>
          <w:rFonts w:ascii="Segoe UI" w:hAnsi="Segoe UI" w:cs="Segoe UI"/>
          <w:shd w:val="clear" w:color="auto" w:fill="FFFFFF"/>
        </w:rPr>
      </w:pPr>
      <w:r>
        <w:rPr>
          <w:rFonts w:ascii="Segoe UI" w:hAnsi="Segoe UI" w:cs="Segoe UI"/>
          <w:shd w:val="clear" w:color="auto" w:fill="FFFFFF"/>
        </w:rPr>
        <w:t>针对管线数据开展的一组特定任务的集合，主要包括数据采集、存储、处理、分发、删除等活动。</w:t>
      </w:r>
    </w:p>
    <w:p w:rsidR="000F1CB5" w:rsidRDefault="00421B09">
      <w:pPr>
        <w:pStyle w:val="affc"/>
        <w:spacing w:before="240" w:after="240"/>
      </w:pPr>
      <w:bookmarkStart w:id="68" w:name="_Toc215234469"/>
      <w:bookmarkStart w:id="69" w:name="_Toc215235798"/>
      <w:r>
        <w:rPr>
          <w:rFonts w:hint="eastAsia"/>
        </w:rPr>
        <w:t>管理建设</w:t>
      </w:r>
      <w:bookmarkEnd w:id="68"/>
      <w:bookmarkEnd w:id="69"/>
    </w:p>
    <w:p w:rsidR="000F1CB5" w:rsidRDefault="00421B09">
      <w:pPr>
        <w:pStyle w:val="affffffff7"/>
        <w:spacing w:line="288" w:lineRule="auto"/>
      </w:pPr>
      <w:r>
        <w:rPr>
          <w:rFonts w:hint="eastAsia"/>
        </w:rPr>
        <w:t>应建立管线数据安全管理组织架构，根据组织规模、数据量、业务范围等明确不同角色及其职责，至少包含数据安全管理者、数据安全执行者和数据安全审计者。</w:t>
      </w:r>
    </w:p>
    <w:p w:rsidR="000F1CB5" w:rsidRDefault="00421B09">
      <w:pPr>
        <w:pStyle w:val="affffffff7"/>
        <w:spacing w:line="288" w:lineRule="auto"/>
      </w:pPr>
      <w:r>
        <w:t>数据安全管理者的职责包括：</w:t>
      </w:r>
    </w:p>
    <w:p w:rsidR="000F1CB5" w:rsidRDefault="00421B09">
      <w:pPr>
        <w:pStyle w:val="af5"/>
        <w:numPr>
          <w:ilvl w:val="0"/>
          <w:numId w:val="32"/>
        </w:numPr>
        <w:spacing w:line="288" w:lineRule="auto"/>
      </w:pPr>
      <w:r>
        <w:t>组织制定数据分类分级指南，确定数据初始安全级别，会同业务部门和权属单位确认最终级别；</w:t>
      </w:r>
    </w:p>
    <w:p w:rsidR="000F1CB5" w:rsidRDefault="00421B09">
      <w:pPr>
        <w:pStyle w:val="af5"/>
        <w:numPr>
          <w:ilvl w:val="0"/>
          <w:numId w:val="32"/>
        </w:numPr>
        <w:spacing w:line="288" w:lineRule="auto"/>
      </w:pPr>
      <w:r>
        <w:t>结合法律法规、行业特点、业务需求等，评估数据安全风险，制定数据安全管理制度和基本要求；</w:t>
      </w:r>
    </w:p>
    <w:p w:rsidR="000F1CB5" w:rsidRDefault="00421B09">
      <w:pPr>
        <w:pStyle w:val="af5"/>
        <w:numPr>
          <w:ilvl w:val="0"/>
          <w:numId w:val="32"/>
        </w:numPr>
        <w:spacing w:line="288" w:lineRule="auto"/>
      </w:pPr>
      <w:r>
        <w:lastRenderedPageBreak/>
        <w:t>审批数据访问授权及权限变更，包括组织内部业务部门、外部合作单位等的访问权限；</w:t>
      </w:r>
    </w:p>
    <w:p w:rsidR="000F1CB5" w:rsidRDefault="00421B09">
      <w:pPr>
        <w:pStyle w:val="af5"/>
        <w:numPr>
          <w:ilvl w:val="0"/>
          <w:numId w:val="32"/>
        </w:numPr>
        <w:spacing w:line="288" w:lineRule="auto"/>
      </w:pPr>
      <w:r>
        <w:t>建立数据安全监督机制，定期检查安全制度和措施的执行效果；</w:t>
      </w:r>
    </w:p>
    <w:p w:rsidR="000F1CB5" w:rsidRDefault="00421B09">
      <w:pPr>
        <w:pStyle w:val="af5"/>
        <w:numPr>
          <w:ilvl w:val="0"/>
          <w:numId w:val="32"/>
        </w:numPr>
        <w:spacing w:line="288" w:lineRule="auto"/>
      </w:pPr>
      <w:r>
        <w:t>负责协调处理重大数据安全事件，对接相关监管部门和数据相关方。</w:t>
      </w:r>
    </w:p>
    <w:p w:rsidR="000F1CB5" w:rsidRDefault="00421B09">
      <w:pPr>
        <w:pStyle w:val="affffffff7"/>
        <w:spacing w:line="288" w:lineRule="auto"/>
      </w:pPr>
      <w:r>
        <w:rPr>
          <w:rFonts w:hint="eastAsia"/>
        </w:rPr>
        <w:t>数据安全执行者的职责包括：</w:t>
      </w:r>
    </w:p>
    <w:p w:rsidR="000F1CB5" w:rsidRDefault="00421B09">
      <w:pPr>
        <w:pStyle w:val="af5"/>
        <w:numPr>
          <w:ilvl w:val="0"/>
          <w:numId w:val="33"/>
        </w:numPr>
        <w:spacing w:line="288" w:lineRule="auto"/>
      </w:pPr>
      <w:r>
        <w:rPr>
          <w:rFonts w:hint="eastAsia"/>
        </w:rPr>
        <w:t>按照数据安全管理者的要求，部署和维护安全技术措施，包括访问控制、加密、备份等；</w:t>
      </w:r>
    </w:p>
    <w:p w:rsidR="000F1CB5" w:rsidRDefault="00421B09">
      <w:pPr>
        <w:pStyle w:val="af5"/>
        <w:numPr>
          <w:ilvl w:val="0"/>
          <w:numId w:val="33"/>
        </w:numPr>
        <w:spacing w:line="288" w:lineRule="auto"/>
      </w:pPr>
      <w:r>
        <w:rPr>
          <w:rFonts w:hint="eastAsia"/>
        </w:rPr>
        <w:t>为授权对象分配数据访问权限，建立权限管理台账，及时更新权限信息；</w:t>
      </w:r>
    </w:p>
    <w:p w:rsidR="000F1CB5" w:rsidRDefault="00421B09">
      <w:pPr>
        <w:pStyle w:val="af5"/>
        <w:numPr>
          <w:ilvl w:val="0"/>
          <w:numId w:val="33"/>
        </w:numPr>
        <w:spacing w:line="288" w:lineRule="auto"/>
      </w:pPr>
      <w:r>
        <w:rPr>
          <w:rFonts w:hint="eastAsia"/>
        </w:rPr>
        <w:t>监测数据活动和平台运行状态，发现安全隐患及时处置，配合开展安全事件调查；</w:t>
      </w:r>
    </w:p>
    <w:p w:rsidR="000F1CB5" w:rsidRDefault="00421B09">
      <w:pPr>
        <w:pStyle w:val="af5"/>
        <w:numPr>
          <w:ilvl w:val="0"/>
          <w:numId w:val="33"/>
        </w:numPr>
        <w:spacing w:line="288" w:lineRule="auto"/>
      </w:pPr>
      <w:r>
        <w:rPr>
          <w:rFonts w:hint="eastAsia"/>
        </w:rPr>
        <w:t>记录数据全生命周期活动日志，包括采集、访问、修改、分发、删除等操作信息。</w:t>
      </w:r>
    </w:p>
    <w:p w:rsidR="000F1CB5" w:rsidRDefault="00421B09">
      <w:pPr>
        <w:pStyle w:val="affffffff7"/>
        <w:spacing w:line="288" w:lineRule="auto"/>
      </w:pPr>
      <w:r>
        <w:rPr>
          <w:rFonts w:hint="eastAsia"/>
        </w:rPr>
        <w:t>数据安全审计者的职责包括：</w:t>
      </w:r>
    </w:p>
    <w:p w:rsidR="000F1CB5" w:rsidRDefault="00421B09">
      <w:pPr>
        <w:pStyle w:val="af5"/>
        <w:numPr>
          <w:ilvl w:val="0"/>
          <w:numId w:val="34"/>
        </w:numPr>
        <w:spacing w:line="288" w:lineRule="auto"/>
      </w:pPr>
      <w:r>
        <w:rPr>
          <w:rFonts w:hint="eastAsia"/>
        </w:rPr>
        <w:t>定期审核数据活动的主体、操作内容、操作对象等，验证数据活动的合规性；</w:t>
      </w:r>
    </w:p>
    <w:p w:rsidR="000F1CB5" w:rsidRDefault="00421B09">
      <w:pPr>
        <w:pStyle w:val="af5"/>
        <w:numPr>
          <w:ilvl w:val="0"/>
          <w:numId w:val="34"/>
        </w:numPr>
        <w:spacing w:line="288" w:lineRule="auto"/>
      </w:pPr>
      <w:r>
        <w:rPr>
          <w:rFonts w:hint="eastAsia"/>
        </w:rPr>
        <w:t>检查安全制度和措施的执行情况，评估其有效性；</w:t>
      </w:r>
    </w:p>
    <w:p w:rsidR="000F1CB5" w:rsidRDefault="00421B09">
      <w:pPr>
        <w:pStyle w:val="af5"/>
        <w:numPr>
          <w:ilvl w:val="0"/>
          <w:numId w:val="34"/>
        </w:numPr>
        <w:spacing w:line="288" w:lineRule="auto"/>
      </w:pPr>
      <w:r>
        <w:rPr>
          <w:rFonts w:hint="eastAsia"/>
        </w:rPr>
        <w:t>检测数据安全违规行为，形成审计报告并提交数据安全管理者；</w:t>
      </w:r>
    </w:p>
    <w:p w:rsidR="000F1CB5" w:rsidRDefault="00421B09">
      <w:pPr>
        <w:pStyle w:val="af5"/>
        <w:numPr>
          <w:ilvl w:val="0"/>
          <w:numId w:val="34"/>
        </w:numPr>
        <w:spacing w:line="288" w:lineRule="auto"/>
      </w:pPr>
      <w:r>
        <w:rPr>
          <w:rFonts w:hint="eastAsia"/>
        </w:rPr>
        <w:t>跟踪安全问题的整改情况，确保整改措施落实到位。</w:t>
      </w:r>
    </w:p>
    <w:p w:rsidR="000F1CB5" w:rsidRDefault="00421B09">
      <w:pPr>
        <w:pStyle w:val="affc"/>
        <w:spacing w:before="240" w:after="240"/>
      </w:pPr>
      <w:bookmarkStart w:id="70" w:name="_Toc215234470"/>
      <w:bookmarkStart w:id="71" w:name="_Toc215234442"/>
      <w:bookmarkStart w:id="72" w:name="_Toc215235799"/>
      <w:r>
        <w:t>数据分类分级</w:t>
      </w:r>
      <w:bookmarkEnd w:id="70"/>
      <w:bookmarkEnd w:id="71"/>
      <w:bookmarkEnd w:id="72"/>
    </w:p>
    <w:p w:rsidR="000F1CB5" w:rsidRDefault="00421B09">
      <w:pPr>
        <w:pStyle w:val="affd"/>
        <w:spacing w:before="120" w:after="120"/>
      </w:pPr>
      <w:r>
        <w:rPr>
          <w:rFonts w:hint="eastAsia"/>
        </w:rPr>
        <w:t>分类分级原则</w:t>
      </w:r>
    </w:p>
    <w:p w:rsidR="000F1CB5" w:rsidRDefault="00421B09">
      <w:pPr>
        <w:pStyle w:val="affffffffa"/>
        <w:spacing w:line="288" w:lineRule="auto"/>
      </w:pPr>
      <w:r>
        <w:rPr>
          <w:rFonts w:hint="eastAsia"/>
        </w:rPr>
        <w:t>管线数据分类应遵循以下原则：</w:t>
      </w:r>
    </w:p>
    <w:p w:rsidR="000F1CB5" w:rsidRDefault="00421B09">
      <w:pPr>
        <w:pStyle w:val="af5"/>
        <w:numPr>
          <w:ilvl w:val="0"/>
          <w:numId w:val="35"/>
        </w:numPr>
        <w:spacing w:line="288" w:lineRule="auto"/>
      </w:pPr>
      <w:r>
        <w:rPr>
          <w:rFonts w:hint="eastAsia"/>
        </w:rPr>
        <w:t>科学性：按照管线类型、权属单位、数据载体、业务用途等多维特征进行系统分类，反映数据的本质属性和逻辑关联；</w:t>
      </w:r>
    </w:p>
    <w:p w:rsidR="000F1CB5" w:rsidRDefault="00421B09">
      <w:pPr>
        <w:pStyle w:val="af5"/>
        <w:spacing w:line="288" w:lineRule="auto"/>
      </w:pPr>
      <w:r>
        <w:rPr>
          <w:rFonts w:hint="eastAsia"/>
        </w:rPr>
        <w:t>稳定性：以数据最稳定的特征为主要分类依据，确保分类方案的长期适用性；</w:t>
      </w:r>
    </w:p>
    <w:p w:rsidR="000F1CB5" w:rsidRDefault="00421B09">
      <w:pPr>
        <w:pStyle w:val="af5"/>
        <w:spacing w:line="288" w:lineRule="auto"/>
      </w:pPr>
      <w:r>
        <w:rPr>
          <w:rFonts w:hint="eastAsia"/>
        </w:rPr>
        <w:t>实用性：分类结果应符合行业惯例和实际应用需求，每个类别下应有明确的数据范围，便于安全管理和业务应用；</w:t>
      </w:r>
    </w:p>
    <w:p w:rsidR="000F1CB5" w:rsidRDefault="00421B09">
      <w:pPr>
        <w:pStyle w:val="af5"/>
        <w:spacing w:line="288" w:lineRule="auto"/>
      </w:pPr>
      <w:r>
        <w:rPr>
          <w:rFonts w:hint="eastAsia"/>
        </w:rPr>
        <w:t>扩展性：分类方案应具备包容性，能够适应新增管线类型、数据载体等情况。</w:t>
      </w:r>
    </w:p>
    <w:p w:rsidR="000F1CB5" w:rsidRDefault="00421B09">
      <w:pPr>
        <w:pStyle w:val="affffffffa"/>
        <w:spacing w:line="288" w:lineRule="auto"/>
      </w:pPr>
      <w:r>
        <w:rPr>
          <w:rFonts w:hint="eastAsia"/>
        </w:rPr>
        <w:t>管线数据分级应遵循以下原则：</w:t>
      </w:r>
    </w:p>
    <w:p w:rsidR="000F1CB5" w:rsidRDefault="00421B09">
      <w:pPr>
        <w:pStyle w:val="af5"/>
        <w:numPr>
          <w:ilvl w:val="0"/>
          <w:numId w:val="36"/>
        </w:numPr>
        <w:spacing w:line="288" w:lineRule="auto"/>
      </w:pPr>
      <w:r>
        <w:rPr>
          <w:rFonts w:hint="eastAsia"/>
        </w:rPr>
        <w:t>风险导向：根据数据泄露、篡改、破坏可能造成的危害程度确定安全级别；</w:t>
      </w:r>
    </w:p>
    <w:p w:rsidR="000F1CB5" w:rsidRDefault="00421B09">
      <w:pPr>
        <w:pStyle w:val="af5"/>
        <w:numPr>
          <w:ilvl w:val="0"/>
          <w:numId w:val="36"/>
        </w:numPr>
        <w:spacing w:line="288" w:lineRule="auto"/>
      </w:pPr>
      <w:r>
        <w:rPr>
          <w:rFonts w:hint="eastAsia"/>
        </w:rPr>
        <w:t>统一标准：同一类型、同一敏感程度的数据应采用统一的分级标准；</w:t>
      </w:r>
    </w:p>
    <w:p w:rsidR="000F1CB5" w:rsidRDefault="00421B09">
      <w:pPr>
        <w:pStyle w:val="af5"/>
        <w:numPr>
          <w:ilvl w:val="0"/>
          <w:numId w:val="36"/>
        </w:numPr>
        <w:spacing w:line="288" w:lineRule="auto"/>
      </w:pPr>
      <w:r>
        <w:rPr>
          <w:rFonts w:hint="eastAsia"/>
        </w:rPr>
        <w:t>动态调整：根据法律法规更新、业务需求变化、风险评估结果等，定期调整数据级别；</w:t>
      </w:r>
    </w:p>
    <w:p w:rsidR="000F1CB5" w:rsidRDefault="00421B09">
      <w:pPr>
        <w:pStyle w:val="af5"/>
        <w:numPr>
          <w:ilvl w:val="0"/>
          <w:numId w:val="36"/>
        </w:numPr>
        <w:spacing w:line="288" w:lineRule="auto"/>
      </w:pPr>
      <w:r>
        <w:rPr>
          <w:rFonts w:hint="eastAsia"/>
        </w:rPr>
        <w:t>可操作性：分级结果应明确具体，便于制定差异化的安全保护措施。</w:t>
      </w:r>
    </w:p>
    <w:p w:rsidR="000F1CB5" w:rsidRDefault="00421B09">
      <w:pPr>
        <w:pStyle w:val="affd"/>
        <w:spacing w:before="120" w:after="120"/>
      </w:pPr>
      <w:r>
        <w:t>分类分级流程</w:t>
      </w:r>
    </w:p>
    <w:p w:rsidR="000F1CB5" w:rsidRDefault="00421B09">
      <w:pPr>
        <w:pStyle w:val="affffe"/>
        <w:spacing w:line="288" w:lineRule="auto"/>
        <w:ind w:firstLine="420"/>
      </w:pPr>
      <w:r>
        <w:rPr>
          <w:rFonts w:hint="eastAsia"/>
        </w:rPr>
        <w:t>分类分级流程如下：</w:t>
      </w:r>
    </w:p>
    <w:p w:rsidR="000F1CB5" w:rsidRDefault="00421B09">
      <w:pPr>
        <w:pStyle w:val="af5"/>
        <w:numPr>
          <w:ilvl w:val="0"/>
          <w:numId w:val="37"/>
        </w:numPr>
        <w:spacing w:line="288" w:lineRule="auto"/>
      </w:pPr>
      <w:r>
        <w:rPr>
          <w:rFonts w:hint="eastAsia"/>
        </w:rPr>
        <w:t>梳理数据资源：全面梳理管线数据，明确数据的来源、属性、用途、关联关系等；</w:t>
      </w:r>
    </w:p>
    <w:p w:rsidR="000F1CB5" w:rsidRDefault="00421B09">
      <w:pPr>
        <w:pStyle w:val="af5"/>
        <w:numPr>
          <w:ilvl w:val="0"/>
          <w:numId w:val="37"/>
        </w:numPr>
        <w:spacing w:line="288" w:lineRule="auto"/>
      </w:pPr>
      <w:r>
        <w:rPr>
          <w:rFonts w:hint="eastAsia"/>
        </w:rPr>
        <w:t>数据分类：按照分类方法对数据进行归类，形成数据分类清单；</w:t>
      </w:r>
    </w:p>
    <w:p w:rsidR="000F1CB5" w:rsidRDefault="00421B09">
      <w:pPr>
        <w:pStyle w:val="af5"/>
        <w:numPr>
          <w:ilvl w:val="0"/>
          <w:numId w:val="37"/>
        </w:numPr>
        <w:spacing w:line="288" w:lineRule="auto"/>
      </w:pPr>
      <w:r>
        <w:rPr>
          <w:rFonts w:hint="eastAsia"/>
        </w:rPr>
        <w:t>设定初始级别：根据分级标准，为每类数据设定初始安全级别；</w:t>
      </w:r>
    </w:p>
    <w:p w:rsidR="000F1CB5" w:rsidRDefault="00421B09">
      <w:pPr>
        <w:pStyle w:val="af5"/>
        <w:numPr>
          <w:ilvl w:val="0"/>
          <w:numId w:val="37"/>
        </w:numPr>
        <w:spacing w:line="288" w:lineRule="auto"/>
      </w:pPr>
      <w:r>
        <w:rPr>
          <w:rFonts w:hint="eastAsia"/>
        </w:rPr>
        <w:t>级别评估：综合考虑业务重要性、安全风险、法律法规要求等因素，评估初始级别是否合理；</w:t>
      </w:r>
    </w:p>
    <w:p w:rsidR="000F1CB5" w:rsidRDefault="00421B09">
      <w:pPr>
        <w:pStyle w:val="af5"/>
        <w:numPr>
          <w:ilvl w:val="0"/>
          <w:numId w:val="37"/>
        </w:numPr>
        <w:spacing w:line="288" w:lineRule="auto"/>
      </w:pPr>
      <w:r>
        <w:rPr>
          <w:rFonts w:hint="eastAsia"/>
        </w:rPr>
        <w:t>确定最终级别：对初始级别进行调整，形成最终的分类分级结果。</w:t>
      </w:r>
    </w:p>
    <w:p w:rsidR="000F1CB5" w:rsidRDefault="00421B09">
      <w:pPr>
        <w:pStyle w:val="affd"/>
        <w:spacing w:before="120" w:after="120"/>
      </w:pPr>
      <w:r>
        <w:rPr>
          <w:rFonts w:hint="eastAsia"/>
        </w:rPr>
        <w:t>分类方法</w:t>
      </w:r>
    </w:p>
    <w:p w:rsidR="000F1CB5" w:rsidRDefault="00421B09">
      <w:pPr>
        <w:pStyle w:val="affffe"/>
        <w:spacing w:line="288" w:lineRule="auto"/>
        <w:ind w:firstLine="420"/>
      </w:pPr>
      <w:r>
        <w:rPr>
          <w:rFonts w:hint="eastAsia"/>
        </w:rPr>
        <w:t>应按照 GB/T 7027 中的规定，结合管线数据特点，采用多维度组合分类方法，主要分类方式包括：</w:t>
      </w:r>
    </w:p>
    <w:p w:rsidR="000F1CB5" w:rsidRDefault="00421B09">
      <w:pPr>
        <w:pStyle w:val="af5"/>
        <w:numPr>
          <w:ilvl w:val="0"/>
          <w:numId w:val="38"/>
        </w:numPr>
        <w:spacing w:line="288" w:lineRule="auto"/>
      </w:pPr>
      <w:r>
        <w:rPr>
          <w:rFonts w:hint="eastAsia"/>
        </w:rPr>
        <w:t>按管线类型分类：分为给水、排水、燃气、电力、通信、热力、工业、综合管廊等类别；</w:t>
      </w:r>
    </w:p>
    <w:p w:rsidR="000F1CB5" w:rsidRDefault="00421B09">
      <w:pPr>
        <w:pStyle w:val="af5"/>
        <w:numPr>
          <w:ilvl w:val="0"/>
          <w:numId w:val="38"/>
        </w:numPr>
        <w:spacing w:line="288" w:lineRule="auto"/>
      </w:pPr>
      <w:r>
        <w:rPr>
          <w:rFonts w:hint="eastAsia"/>
        </w:rPr>
        <w:t>按数据载体分类：分为属性数据、图形数据、影像数据、三维模型数据、监测数据等类别；</w:t>
      </w:r>
    </w:p>
    <w:p w:rsidR="000F1CB5" w:rsidRDefault="00421B09">
      <w:pPr>
        <w:pStyle w:val="af5"/>
        <w:numPr>
          <w:ilvl w:val="0"/>
          <w:numId w:val="38"/>
        </w:numPr>
        <w:spacing w:line="288" w:lineRule="auto"/>
      </w:pPr>
      <w:r>
        <w:rPr>
          <w:rFonts w:hint="eastAsia"/>
        </w:rPr>
        <w:lastRenderedPageBreak/>
        <w:t>按权属单位分类：分为政府部门监管数据、权属单位自有数据、第三方机构采集数据等类别；</w:t>
      </w:r>
    </w:p>
    <w:p w:rsidR="000F1CB5" w:rsidRDefault="00421B09">
      <w:pPr>
        <w:pStyle w:val="af5"/>
        <w:numPr>
          <w:ilvl w:val="0"/>
          <w:numId w:val="38"/>
        </w:numPr>
        <w:spacing w:line="288" w:lineRule="auto"/>
      </w:pPr>
      <w:r>
        <w:rPr>
          <w:rFonts w:hint="eastAsia"/>
        </w:rPr>
        <w:t>按业务用途分类：分为规划设计数据、施工管理数据、运维监测数据、应急抢险数据、公众服务数据等类别。</w:t>
      </w:r>
    </w:p>
    <w:p w:rsidR="000F1CB5" w:rsidRDefault="00421B09">
      <w:pPr>
        <w:pStyle w:val="affd"/>
        <w:spacing w:before="120" w:after="120"/>
      </w:pPr>
      <w:r>
        <w:rPr>
          <w:rFonts w:hint="eastAsia"/>
        </w:rPr>
        <w:t>分级方法</w:t>
      </w:r>
    </w:p>
    <w:p w:rsidR="000F1CB5" w:rsidRDefault="00421B09">
      <w:pPr>
        <w:pStyle w:val="affffffffa"/>
        <w:spacing w:line="288" w:lineRule="auto"/>
      </w:pPr>
      <w:r>
        <w:rPr>
          <w:rFonts w:hint="eastAsia"/>
        </w:rPr>
        <w:t>应结合管线数据的敏感程度和风险等级，将数据分为四级，具体分级要求如下：</w:t>
      </w:r>
    </w:p>
    <w:p w:rsidR="000F1CB5" w:rsidRDefault="00421B09">
      <w:pPr>
        <w:pStyle w:val="af5"/>
        <w:numPr>
          <w:ilvl w:val="0"/>
          <w:numId w:val="39"/>
        </w:numPr>
        <w:spacing w:line="288" w:lineRule="auto"/>
      </w:pPr>
      <w:r>
        <w:rPr>
          <w:rFonts w:hint="eastAsia"/>
        </w:rPr>
        <w:t>第 4 级（极敏感级）：涉及国家安全、核心公共安全，一旦泄露、篡改或破坏将引发重大安全事故、严重危害公共利益的管线数据，如国防通信管线数据、燃气高压主干管线数据、电力超高压管线数据等；</w:t>
      </w:r>
    </w:p>
    <w:p w:rsidR="000F1CB5" w:rsidRDefault="00421B09">
      <w:pPr>
        <w:pStyle w:val="af5"/>
        <w:numPr>
          <w:ilvl w:val="0"/>
          <w:numId w:val="39"/>
        </w:numPr>
        <w:spacing w:line="288" w:lineRule="auto"/>
      </w:pPr>
      <w:r>
        <w:rPr>
          <w:rFonts w:hint="eastAsia"/>
        </w:rPr>
        <w:t>第 3 级（敏感级）：涉及公共安全、民生保障，一旦泄露、篡改或破坏将引发较大安全事故、影响公共利益的管线数据，如次高压燃气管线数据、主干电力管线数据、大型排水干管数据等；</w:t>
      </w:r>
    </w:p>
    <w:p w:rsidR="000F1CB5" w:rsidRDefault="00421B09">
      <w:pPr>
        <w:pStyle w:val="af5"/>
        <w:numPr>
          <w:ilvl w:val="0"/>
          <w:numId w:val="39"/>
        </w:numPr>
        <w:spacing w:line="288" w:lineRule="auto"/>
      </w:pPr>
      <w:r>
        <w:rPr>
          <w:rFonts w:hint="eastAsia"/>
        </w:rPr>
        <w:t>第 2 级（较敏感级）：涉及日常公共服务，一旦泄露、篡改或破坏将影响正常业务开展、损害部分用户利益的管线数据，如中低压燃气管线数据、分支电力管线数据、小区排水管线数据等；</w:t>
      </w:r>
    </w:p>
    <w:p w:rsidR="000F1CB5" w:rsidRDefault="00421B09">
      <w:pPr>
        <w:pStyle w:val="af5"/>
        <w:numPr>
          <w:ilvl w:val="0"/>
          <w:numId w:val="39"/>
        </w:numPr>
        <w:spacing w:line="288" w:lineRule="auto"/>
      </w:pPr>
      <w:r>
        <w:rPr>
          <w:rFonts w:hint="eastAsia"/>
        </w:rPr>
        <w:t>第 1 级（低敏感级）：不涉及敏感信息，公开或有限共享不会造成安全风险的管线数据，如城市管线总体分布概况数据、非敏感区域的普通管线位置数据等。</w:t>
      </w:r>
    </w:p>
    <w:p w:rsidR="000F1CB5" w:rsidRDefault="00421B09">
      <w:pPr>
        <w:pStyle w:val="affffffffa"/>
        <w:spacing w:line="288" w:lineRule="auto"/>
      </w:pPr>
      <w:r>
        <w:rPr>
          <w:rFonts w:hint="eastAsia"/>
        </w:rPr>
        <w:t>极敏感级和敏感级数据的分级应经安全专家、业务专家和权属单位共同审核确认；涉密数据的分级和管理应按照国家保密法规执行。</w:t>
      </w:r>
    </w:p>
    <w:p w:rsidR="000F1CB5" w:rsidRDefault="00421B09">
      <w:pPr>
        <w:pStyle w:val="affc"/>
        <w:spacing w:before="240" w:after="240"/>
      </w:pPr>
      <w:bookmarkStart w:id="73" w:name="_Toc215234443"/>
      <w:bookmarkStart w:id="74" w:name="_Toc215235800"/>
      <w:bookmarkStart w:id="75" w:name="_Toc215234471"/>
      <w:r>
        <w:t>数据活动及安全要求</w:t>
      </w:r>
      <w:bookmarkEnd w:id="73"/>
      <w:bookmarkEnd w:id="74"/>
      <w:bookmarkEnd w:id="75"/>
    </w:p>
    <w:p w:rsidR="000F1CB5" w:rsidRDefault="00421B09">
      <w:pPr>
        <w:pStyle w:val="affd"/>
        <w:spacing w:before="120" w:after="120"/>
      </w:pPr>
      <w:r>
        <w:t>一般规定</w:t>
      </w:r>
    </w:p>
    <w:p w:rsidR="000F1CB5" w:rsidRDefault="00421B09">
      <w:pPr>
        <w:pStyle w:val="affffe"/>
        <w:spacing w:line="288" w:lineRule="auto"/>
        <w:ind w:firstLine="420"/>
      </w:pPr>
      <w:r>
        <w:rPr>
          <w:rFonts w:hint="eastAsia"/>
        </w:rPr>
        <w:t>管线数据的生命周期中，主要包括以下活动：</w:t>
      </w:r>
    </w:p>
    <w:p w:rsidR="000F1CB5" w:rsidRDefault="00421B09">
      <w:pPr>
        <w:pStyle w:val="af5"/>
        <w:numPr>
          <w:ilvl w:val="0"/>
          <w:numId w:val="40"/>
        </w:numPr>
        <w:spacing w:line="288" w:lineRule="auto"/>
      </w:pPr>
      <w:r>
        <w:rPr>
          <w:rFonts w:hint="eastAsia"/>
        </w:rPr>
        <w:t>数据采集：通过探测、测绘、监测、普查等方式获取管线数据，数据来源包括权属单位提供、第三方采集、传感器监测等；</w:t>
      </w:r>
    </w:p>
    <w:p w:rsidR="000F1CB5" w:rsidRDefault="00421B09">
      <w:pPr>
        <w:pStyle w:val="af5"/>
        <w:numPr>
          <w:ilvl w:val="0"/>
          <w:numId w:val="40"/>
        </w:numPr>
        <w:spacing w:line="288" w:lineRule="auto"/>
      </w:pPr>
      <w:r>
        <w:rPr>
          <w:rFonts w:hint="eastAsia"/>
        </w:rPr>
        <w:t>数据存储：将采集的原始数据、处理后的结果数据等持久存储在管线数字化平台或存储介质中；</w:t>
      </w:r>
    </w:p>
    <w:p w:rsidR="000F1CB5" w:rsidRDefault="00421B09">
      <w:pPr>
        <w:pStyle w:val="af5"/>
        <w:numPr>
          <w:ilvl w:val="0"/>
          <w:numId w:val="40"/>
        </w:numPr>
        <w:spacing w:line="288" w:lineRule="auto"/>
      </w:pPr>
      <w:r>
        <w:rPr>
          <w:rFonts w:hint="eastAsia"/>
        </w:rPr>
        <w:t>数据处理：对数据进行清洗、整合、分析、可视化等操作，提取有用信息，支撑业务应用；</w:t>
      </w:r>
    </w:p>
    <w:p w:rsidR="000F1CB5" w:rsidRDefault="00421B09">
      <w:pPr>
        <w:pStyle w:val="af5"/>
        <w:numPr>
          <w:ilvl w:val="0"/>
          <w:numId w:val="40"/>
        </w:numPr>
        <w:spacing w:line="288" w:lineRule="auto"/>
      </w:pPr>
      <w:r>
        <w:rPr>
          <w:rFonts w:hint="eastAsia"/>
        </w:rPr>
        <w:t>数据分发：在符合相关规定的前提下，将数据或处理结果分发给组织内部、其他单位或公众；</w:t>
      </w:r>
    </w:p>
    <w:p w:rsidR="000F1CB5" w:rsidRDefault="00421B09">
      <w:pPr>
        <w:pStyle w:val="af5"/>
        <w:numPr>
          <w:ilvl w:val="0"/>
          <w:numId w:val="40"/>
        </w:numPr>
        <w:spacing w:line="288" w:lineRule="auto"/>
      </w:pPr>
      <w:r>
        <w:rPr>
          <w:rFonts w:hint="eastAsia"/>
        </w:rPr>
        <w:t>数据删除：当数据超出留存期限、不再需要使用或满足删除要求时，对数据及其副本进行删除或销毁。</w:t>
      </w:r>
    </w:p>
    <w:p w:rsidR="000F1CB5" w:rsidRDefault="00421B09">
      <w:pPr>
        <w:pStyle w:val="affd"/>
        <w:spacing w:before="120" w:after="120"/>
      </w:pPr>
      <w:r>
        <w:t>数据采集</w:t>
      </w:r>
    </w:p>
    <w:p w:rsidR="000F1CB5" w:rsidRDefault="00421B09">
      <w:pPr>
        <w:pStyle w:val="affffffffa"/>
        <w:spacing w:line="288" w:lineRule="auto"/>
      </w:pPr>
      <w:r>
        <w:rPr>
          <w:rFonts w:hint="eastAsia"/>
        </w:rPr>
        <w:t>数据采集是获取管线数据的过程，主要方式包括：</w:t>
      </w:r>
    </w:p>
    <w:p w:rsidR="000F1CB5" w:rsidRDefault="00421B09">
      <w:pPr>
        <w:pStyle w:val="af5"/>
        <w:numPr>
          <w:ilvl w:val="0"/>
          <w:numId w:val="41"/>
        </w:numPr>
        <w:spacing w:line="288" w:lineRule="auto"/>
      </w:pPr>
      <w:r>
        <w:rPr>
          <w:rFonts w:hint="eastAsia"/>
        </w:rPr>
        <w:t>实地探测采集：通过专业探测设备、测绘仪器等获取管线的位置、埋深、材质等属性数据；</w:t>
      </w:r>
    </w:p>
    <w:p w:rsidR="000F1CB5" w:rsidRDefault="00421B09">
      <w:pPr>
        <w:pStyle w:val="af5"/>
        <w:numPr>
          <w:ilvl w:val="0"/>
          <w:numId w:val="41"/>
        </w:numPr>
        <w:spacing w:line="288" w:lineRule="auto"/>
      </w:pPr>
      <w:r>
        <w:rPr>
          <w:rFonts w:hint="eastAsia"/>
        </w:rPr>
        <w:t>监测采集：通过传感器、监控设备等实时采集管线运行状态数据，如压力、流量、温度等；</w:t>
      </w:r>
    </w:p>
    <w:p w:rsidR="000F1CB5" w:rsidRDefault="00421B09">
      <w:pPr>
        <w:pStyle w:val="af5"/>
        <w:numPr>
          <w:ilvl w:val="0"/>
          <w:numId w:val="41"/>
        </w:numPr>
        <w:spacing w:line="288" w:lineRule="auto"/>
      </w:pPr>
      <w:r>
        <w:rPr>
          <w:rFonts w:hint="eastAsia"/>
        </w:rPr>
        <w:t>资料整合采集：从权属单位、档案管理部门等获取已有管线资料，进行数字化转换和整合；</w:t>
      </w:r>
    </w:p>
    <w:p w:rsidR="000F1CB5" w:rsidRDefault="00421B09">
      <w:pPr>
        <w:pStyle w:val="af5"/>
        <w:numPr>
          <w:ilvl w:val="0"/>
          <w:numId w:val="41"/>
        </w:numPr>
        <w:spacing w:line="288" w:lineRule="auto"/>
      </w:pPr>
      <w:r>
        <w:rPr>
          <w:rFonts w:hint="eastAsia"/>
        </w:rPr>
        <w:t>第三方提供：通过合作协议等方式从第三方采集机构获取管线数据。</w:t>
      </w:r>
    </w:p>
    <w:p w:rsidR="000F1CB5" w:rsidRDefault="00421B09">
      <w:pPr>
        <w:pStyle w:val="affffffffa"/>
        <w:spacing w:line="288" w:lineRule="auto"/>
        <w:rPr>
          <w:rFonts w:ascii="黑体" w:eastAsia="黑体"/>
        </w:rPr>
      </w:pPr>
      <w:r>
        <w:rPr>
          <w:rFonts w:hint="eastAsia"/>
        </w:rPr>
        <w:t>数据采集活动主要</w:t>
      </w:r>
      <w:r>
        <w:rPr>
          <w:shd w:val="clear" w:color="auto" w:fill="FFFFFF"/>
        </w:rPr>
        <w:t>包括数据源识别、数据采集、数据校验、数据转换、元数据创建、数据上传等。</w:t>
      </w:r>
    </w:p>
    <w:p w:rsidR="000F1CB5" w:rsidRDefault="00421B09">
      <w:pPr>
        <w:pStyle w:val="affe"/>
        <w:spacing w:beforeLines="0" w:before="0" w:afterLines="0" w:after="0" w:line="288" w:lineRule="auto"/>
      </w:pPr>
      <w:r>
        <w:rPr>
          <w:rFonts w:ascii="宋体" w:eastAsia="宋体" w:hint="eastAsia"/>
        </w:rPr>
        <w:t>开展数据采集活动时，应符合以下安全要求：</w:t>
      </w:r>
    </w:p>
    <w:p w:rsidR="000F1CB5" w:rsidRDefault="00421B09">
      <w:pPr>
        <w:pStyle w:val="af5"/>
        <w:numPr>
          <w:ilvl w:val="0"/>
          <w:numId w:val="42"/>
        </w:numPr>
        <w:spacing w:line="288" w:lineRule="auto"/>
      </w:pPr>
      <w:r>
        <w:rPr>
          <w:rFonts w:hint="eastAsia"/>
        </w:rPr>
        <w:lastRenderedPageBreak/>
        <w:t>明确采集目的、范围和内容，制定采集方案；</w:t>
      </w:r>
    </w:p>
    <w:p w:rsidR="000F1CB5" w:rsidRDefault="00421B09">
      <w:pPr>
        <w:pStyle w:val="af5"/>
        <w:numPr>
          <w:ilvl w:val="0"/>
          <w:numId w:val="42"/>
        </w:numPr>
        <w:spacing w:line="288" w:lineRule="auto"/>
      </w:pPr>
      <w:r>
        <w:rPr>
          <w:rFonts w:hint="eastAsia"/>
        </w:rPr>
        <w:t>采集活动应合法合规，采集前应获得权属单位授权，涉及公众区域采集的应遵守相关规定；</w:t>
      </w:r>
    </w:p>
    <w:p w:rsidR="000F1CB5" w:rsidRDefault="00421B09">
      <w:pPr>
        <w:pStyle w:val="af5"/>
        <w:numPr>
          <w:ilvl w:val="0"/>
          <w:numId w:val="42"/>
        </w:numPr>
        <w:spacing w:line="288" w:lineRule="auto"/>
      </w:pPr>
      <w:r>
        <w:rPr>
          <w:rFonts w:hint="eastAsia"/>
        </w:rPr>
        <w:t>采集设备应具备安全防护能力，防止设备被篡改、劫持，采集数据应进行加密传输；</w:t>
      </w:r>
    </w:p>
    <w:p w:rsidR="000F1CB5" w:rsidRDefault="00421B09">
      <w:pPr>
        <w:pStyle w:val="af5"/>
        <w:numPr>
          <w:ilvl w:val="0"/>
          <w:numId w:val="42"/>
        </w:numPr>
        <w:spacing w:line="288" w:lineRule="auto"/>
      </w:pPr>
      <w:r>
        <w:rPr>
          <w:rFonts w:hint="eastAsia"/>
        </w:rPr>
        <w:t>建立数据采集质量控制机制，对采集数据进行校验和审核，确保数据的准确性和完整性；</w:t>
      </w:r>
    </w:p>
    <w:p w:rsidR="000F1CB5" w:rsidRDefault="00421B09">
      <w:pPr>
        <w:pStyle w:val="af5"/>
        <w:numPr>
          <w:ilvl w:val="0"/>
          <w:numId w:val="42"/>
        </w:numPr>
        <w:spacing w:line="288" w:lineRule="auto"/>
      </w:pPr>
      <w:r>
        <w:rPr>
          <w:rFonts w:hint="eastAsia"/>
        </w:rPr>
        <w:t>对采集的数据及时进行分类分级标识，敏感数据应采取加密存储、专人保管等安全措施；</w:t>
      </w:r>
    </w:p>
    <w:p w:rsidR="000F1CB5" w:rsidRDefault="00421B09">
      <w:pPr>
        <w:pStyle w:val="af5"/>
        <w:numPr>
          <w:ilvl w:val="0"/>
          <w:numId w:val="42"/>
        </w:numPr>
        <w:spacing w:line="288" w:lineRule="auto"/>
      </w:pPr>
      <w:r>
        <w:rPr>
          <w:rFonts w:hint="eastAsia"/>
        </w:rPr>
        <w:t>记录采集过程中的相关信息，包括采集时间、采集人员、采集设备、数据源等，形成采集日志。</w:t>
      </w:r>
    </w:p>
    <w:p w:rsidR="000F1CB5" w:rsidRDefault="00421B09">
      <w:pPr>
        <w:pStyle w:val="affd"/>
        <w:spacing w:before="120" w:after="120"/>
      </w:pPr>
      <w:r>
        <w:t>数据存储</w:t>
      </w:r>
    </w:p>
    <w:p w:rsidR="000F1CB5" w:rsidRDefault="00421B09">
      <w:pPr>
        <w:pStyle w:val="affffffffa"/>
        <w:spacing w:line="288" w:lineRule="auto"/>
      </w:pPr>
      <w:r>
        <w:rPr>
          <w:rFonts w:hint="eastAsia"/>
        </w:rPr>
        <w:t>数据存储是将管线数据静态保存在存储介质或管线数字化平台中的过程，存储的数据包括原始采集数据、处理后的结果数据、元数据等。存储系统包括本地服务器、分布式存储系统、云存储平台等。应支持多种类型和格式的数据存储，并提供安全的访问接口。</w:t>
      </w:r>
    </w:p>
    <w:p w:rsidR="000F1CB5" w:rsidRDefault="00421B09">
      <w:pPr>
        <w:pStyle w:val="affffffffa"/>
        <w:spacing w:line="288" w:lineRule="auto"/>
      </w:pPr>
      <w:r>
        <w:rPr>
          <w:rFonts w:hint="eastAsia"/>
        </w:rPr>
        <w:t>数据存储活动主要</w:t>
      </w:r>
      <w:r>
        <w:rPr>
          <w:rFonts w:ascii="Segoe UI" w:hAnsi="Segoe UI" w:cs="Segoe UI"/>
          <w:shd w:val="clear" w:color="auto" w:fill="FFFFFF"/>
        </w:rPr>
        <w:t>包括数据编码、数据加密、数据备份、数据归档、数据更新、访问控制等。</w:t>
      </w:r>
    </w:p>
    <w:p w:rsidR="000F1CB5" w:rsidRDefault="00421B09">
      <w:pPr>
        <w:pStyle w:val="affffffffa"/>
        <w:spacing w:line="288" w:lineRule="auto"/>
      </w:pPr>
      <w:r>
        <w:rPr>
          <w:rFonts w:hint="eastAsia"/>
        </w:rPr>
        <w:t>开展数据存储活动时，应符合以下安全要求：</w:t>
      </w:r>
    </w:p>
    <w:p w:rsidR="000F1CB5" w:rsidRDefault="00421B09">
      <w:pPr>
        <w:pStyle w:val="af5"/>
        <w:numPr>
          <w:ilvl w:val="0"/>
          <w:numId w:val="43"/>
        </w:numPr>
        <w:spacing w:line="288" w:lineRule="auto"/>
      </w:pPr>
      <w:r>
        <w:rPr>
          <w:rFonts w:hint="eastAsia"/>
        </w:rPr>
        <w:t>按照数据分类分级结果，对不同级别数据采取差异化的存储安全措施，极敏感级和敏感级数据应采用物理隔离或逻辑隔离存储；</w:t>
      </w:r>
    </w:p>
    <w:p w:rsidR="000F1CB5" w:rsidRDefault="00421B09">
      <w:pPr>
        <w:pStyle w:val="af5"/>
        <w:numPr>
          <w:ilvl w:val="0"/>
          <w:numId w:val="43"/>
        </w:numPr>
        <w:spacing w:line="288" w:lineRule="auto"/>
      </w:pPr>
      <w:r>
        <w:rPr>
          <w:rFonts w:hint="eastAsia"/>
        </w:rPr>
        <w:t>采用加密技术对敏感数据进行存储加密；</w:t>
      </w:r>
    </w:p>
    <w:p w:rsidR="000F1CB5" w:rsidRDefault="00421B09">
      <w:pPr>
        <w:pStyle w:val="af5"/>
        <w:numPr>
          <w:ilvl w:val="0"/>
          <w:numId w:val="43"/>
        </w:numPr>
        <w:spacing w:line="288" w:lineRule="auto"/>
      </w:pPr>
      <w:r>
        <w:rPr>
          <w:rFonts w:hint="eastAsia"/>
        </w:rPr>
        <w:t>建立存储架构安全机制，保障存储系统的稳定性和抗攻击能力，定期进行安全加固；</w:t>
      </w:r>
    </w:p>
    <w:p w:rsidR="000F1CB5" w:rsidRDefault="00421B09">
      <w:pPr>
        <w:pStyle w:val="af5"/>
        <w:numPr>
          <w:ilvl w:val="0"/>
          <w:numId w:val="43"/>
        </w:numPr>
        <w:spacing w:line="288" w:lineRule="auto"/>
      </w:pPr>
      <w:r>
        <w:rPr>
          <w:rFonts w:hint="eastAsia"/>
        </w:rPr>
        <w:t>制定数据备份策略，定期开展全量备份和增量备份，备份数据应存储在安全的位置，定期进行恢复测试；</w:t>
      </w:r>
    </w:p>
    <w:p w:rsidR="000F1CB5" w:rsidRDefault="00421B09">
      <w:pPr>
        <w:pStyle w:val="af5"/>
        <w:numPr>
          <w:ilvl w:val="0"/>
          <w:numId w:val="43"/>
        </w:numPr>
        <w:spacing w:line="288" w:lineRule="auto"/>
      </w:pPr>
      <w:r>
        <w:rPr>
          <w:rFonts w:hint="eastAsia"/>
        </w:rPr>
        <w:t>建立数据归档制度，对超出日常使用范围但需留存的数据进行归档存储，明确归档期限和访问权限；</w:t>
      </w:r>
    </w:p>
    <w:p w:rsidR="000F1CB5" w:rsidRDefault="00421B09">
      <w:pPr>
        <w:pStyle w:val="af5"/>
        <w:numPr>
          <w:ilvl w:val="0"/>
          <w:numId w:val="43"/>
        </w:numPr>
        <w:spacing w:line="288" w:lineRule="auto"/>
      </w:pPr>
      <w:r>
        <w:rPr>
          <w:rFonts w:hint="eastAsia"/>
        </w:rPr>
        <w:t>加强存储设备的物理安全管理，防止设备被盗、损坏或非法访问，定期检查设备运行状态；</w:t>
      </w:r>
    </w:p>
    <w:p w:rsidR="000F1CB5" w:rsidRDefault="00421B09">
      <w:pPr>
        <w:pStyle w:val="af5"/>
        <w:numPr>
          <w:ilvl w:val="0"/>
          <w:numId w:val="43"/>
        </w:numPr>
        <w:spacing w:line="288" w:lineRule="auto"/>
      </w:pPr>
      <w:r>
        <w:rPr>
          <w:rFonts w:hint="eastAsia"/>
        </w:rPr>
        <w:t>若使用第三方存储服务，应审核服务提供商的安全资质，通过合同明确数据保护责任和安全要求。</w:t>
      </w:r>
    </w:p>
    <w:p w:rsidR="000F1CB5" w:rsidRDefault="00421B09">
      <w:pPr>
        <w:pStyle w:val="affd"/>
        <w:spacing w:before="120" w:after="120"/>
      </w:pPr>
      <w:r>
        <w:rPr>
          <w:rFonts w:hint="eastAsia"/>
        </w:rPr>
        <w:t>数据处理</w:t>
      </w:r>
    </w:p>
    <w:p w:rsidR="000F1CB5" w:rsidRDefault="00421B09">
      <w:pPr>
        <w:pStyle w:val="affffffffa"/>
        <w:spacing w:line="288" w:lineRule="auto"/>
        <w:rPr>
          <w:shd w:val="clear" w:color="auto" w:fill="FFFFFF"/>
        </w:rPr>
      </w:pPr>
      <w:r>
        <w:rPr>
          <w:shd w:val="clear" w:color="auto" w:fill="FFFFFF"/>
        </w:rPr>
        <w:t>数据处理是通过技术手段对管线数据进行清洗、整合、分析、可视化等操作，提取信息价值的过程。处理的数据包括存储的历史数据和实时采集的数据流。</w:t>
      </w:r>
    </w:p>
    <w:p w:rsidR="000F1CB5" w:rsidRDefault="00421B09">
      <w:pPr>
        <w:pStyle w:val="affffffffa"/>
        <w:spacing w:line="288" w:lineRule="auto"/>
        <w:rPr>
          <w:shd w:val="clear" w:color="auto" w:fill="FFFFFF"/>
        </w:rPr>
      </w:pPr>
      <w:r>
        <w:rPr>
          <w:rFonts w:hint="eastAsia"/>
        </w:rPr>
        <w:t>数据处理活动主要</w:t>
      </w:r>
      <w:r>
        <w:rPr>
          <w:rFonts w:ascii="Segoe UI" w:hAnsi="Segoe UI" w:cs="Segoe UI"/>
          <w:shd w:val="clear" w:color="auto" w:fill="FFFFFF"/>
        </w:rPr>
        <w:t>包括数据清洗、数据整合、数据转换、数据建模、数据分析、数据可视化、生成报告等。</w:t>
      </w:r>
    </w:p>
    <w:p w:rsidR="000F1CB5" w:rsidRDefault="00421B09">
      <w:pPr>
        <w:pStyle w:val="affffffffa"/>
        <w:spacing w:line="288" w:lineRule="auto"/>
      </w:pPr>
      <w:r>
        <w:rPr>
          <w:rFonts w:hint="eastAsia"/>
        </w:rPr>
        <w:t>开展数据处理活动时，应符合以下安全要求：</w:t>
      </w:r>
    </w:p>
    <w:p w:rsidR="000F1CB5" w:rsidRDefault="00421B09">
      <w:pPr>
        <w:pStyle w:val="af5"/>
        <w:numPr>
          <w:ilvl w:val="0"/>
          <w:numId w:val="44"/>
        </w:numPr>
        <w:spacing w:line="288" w:lineRule="auto"/>
      </w:pPr>
      <w:r>
        <w:rPr>
          <w:rFonts w:hint="eastAsia"/>
        </w:rPr>
        <w:t>明确数据处理的目的和范围，不应超出授权范围处理数据，尤其是敏感数据；</w:t>
      </w:r>
    </w:p>
    <w:p w:rsidR="000F1CB5" w:rsidRDefault="00421B09">
      <w:pPr>
        <w:pStyle w:val="af5"/>
        <w:numPr>
          <w:ilvl w:val="0"/>
          <w:numId w:val="44"/>
        </w:numPr>
        <w:spacing w:line="288" w:lineRule="auto"/>
      </w:pPr>
      <w:r>
        <w:rPr>
          <w:rFonts w:hint="eastAsia"/>
        </w:rPr>
        <w:t>建立数据处理内部责任制度，明确处理人员的职责和权限，处理过程应符合安全规范；</w:t>
      </w:r>
    </w:p>
    <w:p w:rsidR="000F1CB5" w:rsidRDefault="00421B09">
      <w:pPr>
        <w:pStyle w:val="af5"/>
        <w:numPr>
          <w:ilvl w:val="0"/>
          <w:numId w:val="44"/>
        </w:numPr>
        <w:spacing w:line="288" w:lineRule="auto"/>
      </w:pPr>
      <w:r>
        <w:rPr>
          <w:rFonts w:hint="eastAsia"/>
        </w:rPr>
        <w:t>采用安全的处理技术和工具，防止处理过程中数据被篡改、泄露；</w:t>
      </w:r>
    </w:p>
    <w:p w:rsidR="000F1CB5" w:rsidRDefault="00421B09">
      <w:pPr>
        <w:pStyle w:val="af5"/>
        <w:numPr>
          <w:ilvl w:val="0"/>
          <w:numId w:val="44"/>
        </w:numPr>
        <w:spacing w:line="288" w:lineRule="auto"/>
      </w:pPr>
      <w:r>
        <w:rPr>
          <w:rFonts w:hint="eastAsia"/>
        </w:rPr>
        <w:t>对敏感数据进行处理时，应采取数据脱敏、加密处理等措施，确保处理过程中敏感信息不泄露；</w:t>
      </w:r>
    </w:p>
    <w:p w:rsidR="000F1CB5" w:rsidRDefault="00421B09">
      <w:pPr>
        <w:pStyle w:val="af5"/>
        <w:numPr>
          <w:ilvl w:val="0"/>
          <w:numId w:val="44"/>
        </w:numPr>
        <w:spacing w:line="288" w:lineRule="auto"/>
      </w:pPr>
      <w:r>
        <w:rPr>
          <w:rFonts w:hint="eastAsia"/>
        </w:rPr>
        <w:t>建立数据溯源机制，记录数据处理的全过程，包括处理人员、处理时间、处理方法、处理结果等，确保处理结果可追溯；</w:t>
      </w:r>
    </w:p>
    <w:p w:rsidR="000F1CB5" w:rsidRDefault="00421B09">
      <w:pPr>
        <w:pStyle w:val="af5"/>
        <w:numPr>
          <w:ilvl w:val="0"/>
          <w:numId w:val="44"/>
        </w:numPr>
        <w:spacing w:line="288" w:lineRule="auto"/>
      </w:pPr>
      <w:r>
        <w:rPr>
          <w:rFonts w:hint="eastAsia"/>
        </w:rPr>
        <w:t>对处理结果进行安全评估，防止处理结果中包含未脱敏的敏感信息；</w:t>
      </w:r>
    </w:p>
    <w:p w:rsidR="000F1CB5" w:rsidRDefault="00421B09">
      <w:pPr>
        <w:pStyle w:val="af5"/>
        <w:numPr>
          <w:ilvl w:val="0"/>
          <w:numId w:val="44"/>
        </w:numPr>
        <w:spacing w:line="288" w:lineRule="auto"/>
      </w:pPr>
      <w:r>
        <w:rPr>
          <w:rFonts w:hint="eastAsia"/>
        </w:rPr>
        <w:t>处理后的结果数据应按照原数据级别进行安全保护，不得降低安全防护标准。</w:t>
      </w:r>
    </w:p>
    <w:p w:rsidR="000F1CB5" w:rsidRDefault="00421B09">
      <w:pPr>
        <w:pStyle w:val="affd"/>
        <w:spacing w:before="120" w:after="120"/>
      </w:pPr>
      <w:r>
        <w:t>数据分发</w:t>
      </w:r>
    </w:p>
    <w:p w:rsidR="000F1CB5" w:rsidRDefault="00421B09">
      <w:pPr>
        <w:pStyle w:val="affffffffa"/>
        <w:spacing w:line="288" w:lineRule="auto"/>
      </w:pPr>
      <w:r>
        <w:rPr>
          <w:rFonts w:hint="eastAsia"/>
        </w:rPr>
        <w:lastRenderedPageBreak/>
        <w:t>数据分发是将管线数据或处理结果传递给授权对象的过程，分发对象包括组织内部业务部门、其他政府部门、权属单位、第三方机构、公众等。分发方式包括线上传输、离线拷贝、平台共享等。</w:t>
      </w:r>
    </w:p>
    <w:p w:rsidR="000F1CB5" w:rsidRDefault="00421B09">
      <w:pPr>
        <w:pStyle w:val="affffffffa"/>
        <w:spacing w:line="288" w:lineRule="auto"/>
      </w:pPr>
      <w:r>
        <w:rPr>
          <w:rFonts w:hint="eastAsia"/>
        </w:rPr>
        <w:t>数据分发活动主要包括数据筛选、数据脱敏、数据传输、权限配置、接收确认等。</w:t>
      </w:r>
    </w:p>
    <w:p w:rsidR="000F1CB5" w:rsidRDefault="00421B09">
      <w:pPr>
        <w:pStyle w:val="affffffffa"/>
        <w:spacing w:line="288" w:lineRule="auto"/>
      </w:pPr>
      <w:r>
        <w:rPr>
          <w:rFonts w:hint="eastAsia"/>
        </w:rPr>
        <w:t>开展数据分发活动时，应符合以下安全要求：</w:t>
      </w:r>
    </w:p>
    <w:p w:rsidR="000F1CB5" w:rsidRDefault="00421B09">
      <w:pPr>
        <w:pStyle w:val="af5"/>
        <w:numPr>
          <w:ilvl w:val="0"/>
          <w:numId w:val="45"/>
        </w:numPr>
        <w:spacing w:line="288" w:lineRule="auto"/>
      </w:pPr>
      <w:r>
        <w:rPr>
          <w:rFonts w:hint="eastAsia"/>
        </w:rPr>
        <w:t>遵循责任不随数据转移原则，对分发的数据安全承担主要责任；</w:t>
      </w:r>
    </w:p>
    <w:p w:rsidR="000F1CB5" w:rsidRDefault="00421B09">
      <w:pPr>
        <w:pStyle w:val="af5"/>
        <w:numPr>
          <w:ilvl w:val="0"/>
          <w:numId w:val="45"/>
        </w:numPr>
        <w:spacing w:line="288" w:lineRule="auto"/>
      </w:pPr>
      <w:r>
        <w:rPr>
          <w:rFonts w:hint="eastAsia"/>
        </w:rPr>
        <w:t>分发前对数据进行敏感性评估，根据评估结果对敏感数据进行脱敏处理，确保分发数据不包含未授权的敏感信息；</w:t>
      </w:r>
    </w:p>
    <w:p w:rsidR="000F1CB5" w:rsidRDefault="00421B09">
      <w:pPr>
        <w:pStyle w:val="af5"/>
        <w:numPr>
          <w:ilvl w:val="0"/>
          <w:numId w:val="45"/>
        </w:numPr>
        <w:spacing w:line="288" w:lineRule="auto"/>
      </w:pPr>
      <w:r>
        <w:rPr>
          <w:rFonts w:hint="eastAsia"/>
        </w:rPr>
        <w:t>建立数据分发审批制度，明确审批流程和权限，未经审批不应擅自分发数据，尤其是极敏感级和敏感级数据；</w:t>
      </w:r>
    </w:p>
    <w:p w:rsidR="000F1CB5" w:rsidRDefault="00421B09">
      <w:pPr>
        <w:pStyle w:val="af5"/>
        <w:numPr>
          <w:ilvl w:val="0"/>
          <w:numId w:val="45"/>
        </w:numPr>
        <w:spacing w:line="288" w:lineRule="auto"/>
      </w:pPr>
      <w:r>
        <w:rPr>
          <w:rFonts w:hint="eastAsia"/>
        </w:rPr>
        <w:t>与接收方签订数据安全协议，明确数据使用范围、保密要求、责任追究等内容，确保接收方具备相应的安全保护能力；</w:t>
      </w:r>
    </w:p>
    <w:p w:rsidR="000F1CB5" w:rsidRDefault="00421B09">
      <w:pPr>
        <w:pStyle w:val="af5"/>
        <w:numPr>
          <w:ilvl w:val="0"/>
          <w:numId w:val="45"/>
        </w:numPr>
        <w:spacing w:line="288" w:lineRule="auto"/>
      </w:pPr>
      <w:r>
        <w:rPr>
          <w:rFonts w:hint="eastAsia"/>
        </w:rPr>
        <w:t>采用安全的传输方式，敏感数据分发应采用加密传输，离线分发的存储介质应进行加密和标识；</w:t>
      </w:r>
    </w:p>
    <w:p w:rsidR="000F1CB5" w:rsidRDefault="00421B09">
      <w:pPr>
        <w:pStyle w:val="af5"/>
        <w:numPr>
          <w:ilvl w:val="0"/>
          <w:numId w:val="45"/>
        </w:numPr>
        <w:spacing w:line="288" w:lineRule="auto"/>
      </w:pPr>
      <w:r>
        <w:rPr>
          <w:rFonts w:hint="eastAsia"/>
        </w:rPr>
        <w:t>记录数据分发的相关信息，包括分发时间、分发数据、接收方、授权审批人等，形成分发日志；</w:t>
      </w:r>
    </w:p>
    <w:p w:rsidR="000F1CB5" w:rsidRDefault="00421B09">
      <w:pPr>
        <w:pStyle w:val="af5"/>
        <w:numPr>
          <w:ilvl w:val="0"/>
          <w:numId w:val="45"/>
        </w:numPr>
        <w:spacing w:line="288" w:lineRule="auto"/>
      </w:pPr>
      <w:r>
        <w:rPr>
          <w:rFonts w:hint="eastAsia"/>
        </w:rPr>
        <w:t>建立数据分发后跟踪机制，定期检查接收方的数据使用情况，发现违规使用及时采取措施。</w:t>
      </w:r>
    </w:p>
    <w:p w:rsidR="000F1CB5" w:rsidRDefault="00421B09">
      <w:pPr>
        <w:pStyle w:val="affd"/>
        <w:spacing w:before="120" w:after="120"/>
      </w:pPr>
      <w:r>
        <w:t>数据删除</w:t>
      </w:r>
    </w:p>
    <w:p w:rsidR="000F1CB5" w:rsidRDefault="00421B09">
      <w:pPr>
        <w:pStyle w:val="affffffffa"/>
        <w:spacing w:line="288" w:lineRule="auto"/>
      </w:pPr>
      <w:r>
        <w:rPr>
          <w:rFonts w:hint="eastAsia"/>
        </w:rPr>
        <w:t>数据删除是对不再需要的管线数据及其副本进行删除或销毁的过程，包括逻辑删除和物理销毁。数据删除的原因包括超出留存期限、数据失效、业务终止、接收方要求等。</w:t>
      </w:r>
    </w:p>
    <w:p w:rsidR="000F1CB5" w:rsidRDefault="00421B09">
      <w:pPr>
        <w:pStyle w:val="affffffffa"/>
        <w:spacing w:line="288" w:lineRule="auto"/>
      </w:pPr>
      <w:r>
        <w:rPr>
          <w:rFonts w:hint="eastAsia"/>
        </w:rPr>
        <w:t>数据删除活动主要包括逻辑删除、物理删除、副本清理、存储介质销毁、日志记录等。</w:t>
      </w:r>
    </w:p>
    <w:p w:rsidR="000F1CB5" w:rsidRDefault="00421B09">
      <w:pPr>
        <w:pStyle w:val="affffffffa"/>
        <w:spacing w:line="288" w:lineRule="auto"/>
      </w:pPr>
      <w:r>
        <w:rPr>
          <w:rFonts w:hint="eastAsia"/>
        </w:rPr>
        <w:t>开展数据删除活动时，应符合以下安全要求：</w:t>
      </w:r>
    </w:p>
    <w:p w:rsidR="000F1CB5" w:rsidRDefault="00421B09">
      <w:pPr>
        <w:pStyle w:val="af5"/>
        <w:numPr>
          <w:ilvl w:val="0"/>
          <w:numId w:val="46"/>
        </w:numPr>
        <w:spacing w:line="288" w:lineRule="auto"/>
      </w:pPr>
      <w:r>
        <w:rPr>
          <w:rFonts w:hint="eastAsia"/>
        </w:rPr>
        <w:t>制定数据留存制度，明确不同类型数据的留存期限，超出期限的应及时删除；</w:t>
      </w:r>
    </w:p>
    <w:p w:rsidR="000F1CB5" w:rsidRDefault="00421B09">
      <w:pPr>
        <w:pStyle w:val="af5"/>
        <w:numPr>
          <w:ilvl w:val="0"/>
          <w:numId w:val="46"/>
        </w:numPr>
        <w:spacing w:line="288" w:lineRule="auto"/>
      </w:pPr>
      <w:r>
        <w:rPr>
          <w:rFonts w:hint="eastAsia"/>
        </w:rPr>
        <w:t>按照数据分类分级结果，建立差异化的删除机制，极敏感级数据应采用物理销毁方式，确保无法恢复；</w:t>
      </w:r>
    </w:p>
    <w:p w:rsidR="000F1CB5" w:rsidRDefault="00421B09">
      <w:pPr>
        <w:pStyle w:val="af5"/>
        <w:numPr>
          <w:ilvl w:val="0"/>
          <w:numId w:val="46"/>
        </w:numPr>
        <w:spacing w:line="288" w:lineRule="auto"/>
      </w:pPr>
      <w:r>
        <w:rPr>
          <w:rFonts w:hint="eastAsia"/>
        </w:rPr>
        <w:t>删除数据时，应同步清理所有副本，包括备份数据、缓存数据、传输过程中的临时数据等；</w:t>
      </w:r>
    </w:p>
    <w:p w:rsidR="000F1CB5" w:rsidRDefault="00421B09">
      <w:pPr>
        <w:pStyle w:val="af5"/>
        <w:numPr>
          <w:ilvl w:val="0"/>
          <w:numId w:val="46"/>
        </w:numPr>
        <w:spacing w:line="288" w:lineRule="auto"/>
      </w:pPr>
      <w:r>
        <w:rPr>
          <w:rFonts w:hint="eastAsia"/>
        </w:rPr>
        <w:t>采用安全的删除技术，逻辑删除应确保数据无法通过常规手段恢复，物理销毁应符合相关标准，防止数据泄露；</w:t>
      </w:r>
    </w:p>
    <w:p w:rsidR="000F1CB5" w:rsidRDefault="00421B09">
      <w:pPr>
        <w:pStyle w:val="af5"/>
        <w:numPr>
          <w:ilvl w:val="0"/>
          <w:numId w:val="46"/>
        </w:numPr>
        <w:spacing w:line="288" w:lineRule="auto"/>
      </w:pPr>
      <w:r>
        <w:rPr>
          <w:rFonts w:hint="eastAsia"/>
        </w:rPr>
        <w:t>建立数据删除审批制度，明确删除的审批流程和权限，重要数据的删除需经数据安全管理者审批；</w:t>
      </w:r>
    </w:p>
    <w:p w:rsidR="000F1CB5" w:rsidRDefault="00421B09">
      <w:pPr>
        <w:pStyle w:val="af5"/>
        <w:numPr>
          <w:ilvl w:val="0"/>
          <w:numId w:val="46"/>
        </w:numPr>
        <w:spacing w:line="288" w:lineRule="auto"/>
      </w:pPr>
      <w:r>
        <w:rPr>
          <w:rFonts w:hint="eastAsia"/>
        </w:rPr>
        <w:t>记录数据删除的相关信息，包括删除时间、删除人员、删除数据、删除方式、审批人等，形成删除日志，日志留存期限不低于相关要求；</w:t>
      </w:r>
    </w:p>
    <w:p w:rsidR="000F1CB5" w:rsidRDefault="00421B09">
      <w:pPr>
        <w:pStyle w:val="af5"/>
        <w:numPr>
          <w:ilvl w:val="0"/>
          <w:numId w:val="46"/>
        </w:numPr>
        <w:spacing w:line="288" w:lineRule="auto"/>
      </w:pPr>
      <w:r>
        <w:rPr>
          <w:rFonts w:hint="eastAsia"/>
        </w:rPr>
        <w:t>法律法规要求保留的数据，不应擅自删除，应按照规定进行留存和管理。</w:t>
      </w:r>
    </w:p>
    <w:p w:rsidR="000F1CB5" w:rsidRDefault="00421B09">
      <w:pPr>
        <w:pStyle w:val="affc"/>
        <w:spacing w:before="240" w:after="240"/>
      </w:pPr>
      <w:bookmarkStart w:id="76" w:name="_Toc215235801"/>
      <w:bookmarkStart w:id="77" w:name="_Toc215234444"/>
      <w:bookmarkStart w:id="78" w:name="_Toc215234472"/>
      <w:r>
        <w:rPr>
          <w:rFonts w:hint="eastAsia"/>
        </w:rPr>
        <w:t>技术保障</w:t>
      </w:r>
      <w:bookmarkEnd w:id="76"/>
      <w:bookmarkEnd w:id="77"/>
      <w:bookmarkEnd w:id="78"/>
    </w:p>
    <w:p w:rsidR="000F1CB5" w:rsidRDefault="00421B09">
      <w:pPr>
        <w:pStyle w:val="affd"/>
        <w:spacing w:before="120" w:after="120"/>
      </w:pPr>
      <w:r>
        <w:rPr>
          <w:rFonts w:hint="eastAsia"/>
        </w:rPr>
        <w:t>网络安全</w:t>
      </w:r>
    </w:p>
    <w:p w:rsidR="000F1CB5" w:rsidRDefault="00421B09">
      <w:pPr>
        <w:pStyle w:val="affffffffa"/>
        <w:spacing w:line="288" w:lineRule="auto"/>
      </w:pPr>
      <w:r>
        <w:rPr>
          <w:rFonts w:hint="eastAsia"/>
        </w:rPr>
        <w:t>网络设备应定期进行安全配置检查，关闭不必要的端口和服务，定期更新固件。</w:t>
      </w:r>
      <w:r>
        <w:rPr>
          <w:rFonts w:ascii="MS Gothic" w:eastAsia="MS Gothic" w:hAnsi="MS Gothic" w:hint="eastAsia"/>
        </w:rPr>
        <w:t>​</w:t>
      </w:r>
    </w:p>
    <w:p w:rsidR="000F1CB5" w:rsidRDefault="00421B09">
      <w:pPr>
        <w:pStyle w:val="affffffffa"/>
        <w:spacing w:line="288" w:lineRule="auto"/>
      </w:pPr>
      <w:r>
        <w:rPr>
          <w:rFonts w:hAnsi="宋体" w:hint="eastAsia"/>
        </w:rPr>
        <w:t>部署网络安全监控系统，实时监测网络异常行为，发现安全事件及时告警。</w:t>
      </w:r>
      <w:r>
        <w:rPr>
          <w:rFonts w:ascii="MS Gothic" w:eastAsia="MS Gothic" w:hAnsi="MS Gothic" w:hint="eastAsia"/>
        </w:rPr>
        <w:t>​</w:t>
      </w:r>
    </w:p>
    <w:p w:rsidR="000F1CB5" w:rsidRDefault="00421B09">
      <w:pPr>
        <w:pStyle w:val="affffffffa"/>
        <w:spacing w:line="288" w:lineRule="auto"/>
      </w:pPr>
      <w:r>
        <w:rPr>
          <w:rFonts w:hAnsi="宋体" w:hint="eastAsia"/>
        </w:rPr>
        <w:t>定期进行网络安全评估，评估频率不低于每年</w:t>
      </w:r>
      <w:r>
        <w:rPr>
          <w:rFonts w:hint="eastAsia"/>
        </w:rPr>
        <w:t xml:space="preserve"> </w:t>
      </w:r>
      <w:r>
        <w:rPr>
          <w:rFonts w:hAnsi="宋体" w:hint="eastAsia"/>
        </w:rPr>
        <w:t>1 次。</w:t>
      </w:r>
    </w:p>
    <w:p w:rsidR="000F1CB5" w:rsidRDefault="00421B09">
      <w:pPr>
        <w:pStyle w:val="affd"/>
        <w:spacing w:before="120" w:after="120"/>
      </w:pPr>
      <w:r>
        <w:rPr>
          <w:rFonts w:hint="eastAsia"/>
        </w:rPr>
        <w:t>终端安全</w:t>
      </w:r>
    </w:p>
    <w:p w:rsidR="000F1CB5" w:rsidRDefault="00421B09">
      <w:pPr>
        <w:pStyle w:val="affffffffa"/>
        <w:spacing w:line="288" w:lineRule="auto"/>
      </w:pPr>
      <w:r>
        <w:rPr>
          <w:rFonts w:hint="eastAsia"/>
        </w:rPr>
        <w:lastRenderedPageBreak/>
        <w:t>终端设备应启用身份认证功能，设置复杂密码，定期更换，密码更换周期不超过 90 d。</w:t>
      </w:r>
      <w:r>
        <w:rPr>
          <w:rFonts w:ascii="MS Gothic" w:eastAsia="MS Gothic" w:hAnsi="MS Gothic" w:hint="eastAsia"/>
        </w:rPr>
        <w:t>​</w:t>
      </w:r>
    </w:p>
    <w:p w:rsidR="000F1CB5" w:rsidRDefault="00421B09">
      <w:pPr>
        <w:pStyle w:val="affffffffa"/>
        <w:spacing w:line="288" w:lineRule="auto"/>
      </w:pPr>
      <w:r>
        <w:rPr>
          <w:rFonts w:hint="eastAsia"/>
        </w:rPr>
        <w:t>禁止终端设备接入未知网络，移动终端应安装移动设备管理（MDM）软件，远程可擦除数据。</w:t>
      </w:r>
    </w:p>
    <w:p w:rsidR="000F1CB5" w:rsidRDefault="00421B09">
      <w:pPr>
        <w:pStyle w:val="affd"/>
        <w:spacing w:before="120" w:after="120"/>
      </w:pPr>
      <w:r>
        <w:rPr>
          <w:rFonts w:hint="eastAsia"/>
        </w:rPr>
        <w:t>应用平台安全</w:t>
      </w:r>
    </w:p>
    <w:p w:rsidR="000F1CB5" w:rsidRDefault="00421B09">
      <w:pPr>
        <w:pStyle w:val="affffffffa"/>
        <w:spacing w:line="288" w:lineRule="auto"/>
      </w:pPr>
      <w:r>
        <w:rPr>
          <w:rFonts w:hint="eastAsia"/>
        </w:rPr>
        <w:t>管线数字化平台应具备身份鉴别、访问控制、安全审计、数据加密等安全功能。</w:t>
      </w:r>
      <w:r>
        <w:rPr>
          <w:rFonts w:ascii="MS Gothic" w:eastAsia="MS Gothic" w:hAnsi="MS Gothic" w:hint="eastAsia"/>
        </w:rPr>
        <w:t>​</w:t>
      </w:r>
    </w:p>
    <w:p w:rsidR="000F1CB5" w:rsidRDefault="00421B09">
      <w:pPr>
        <w:pStyle w:val="affffffffa"/>
        <w:spacing w:line="288" w:lineRule="auto"/>
      </w:pPr>
      <w:r>
        <w:rPr>
          <w:rFonts w:hint="eastAsia"/>
        </w:rPr>
        <w:t>平台开发应遵循安全开发生命周期（SDL），定期进行安全测试，及时修复漏洞。</w:t>
      </w:r>
    </w:p>
    <w:p w:rsidR="000F1CB5" w:rsidRDefault="00421B09">
      <w:pPr>
        <w:pStyle w:val="affffffffa"/>
        <w:spacing w:line="288" w:lineRule="auto"/>
      </w:pPr>
      <w:r>
        <w:rPr>
          <w:rFonts w:hint="eastAsia"/>
        </w:rPr>
        <w:t>平台应具备容灾备份能力，恢复时间目标不超过 4 h，恢复点目标不超过 1 h。</w:t>
      </w:r>
    </w:p>
    <w:p w:rsidR="000F1CB5" w:rsidRDefault="00421B09">
      <w:pPr>
        <w:pStyle w:val="affd"/>
        <w:spacing w:before="120" w:after="120"/>
      </w:pPr>
      <w:r>
        <w:rPr>
          <w:rFonts w:hint="eastAsia"/>
        </w:rPr>
        <w:t>数据加密</w:t>
      </w:r>
    </w:p>
    <w:p w:rsidR="000F1CB5" w:rsidRDefault="00421B09">
      <w:pPr>
        <w:pStyle w:val="affffffffa"/>
        <w:spacing w:line="288" w:lineRule="auto"/>
      </w:pPr>
      <w:r>
        <w:rPr>
          <w:rFonts w:hint="eastAsia"/>
        </w:rPr>
        <w:t>采用国家认可的加密算法，数据传输和存储加密宜采用 SM4 算法，身份认证宜采用 SM9 算法。</w:t>
      </w:r>
    </w:p>
    <w:p w:rsidR="000F1CB5" w:rsidRDefault="00421B09">
      <w:pPr>
        <w:pStyle w:val="affffffffa"/>
        <w:spacing w:line="288" w:lineRule="auto"/>
      </w:pPr>
      <w:r>
        <w:rPr>
          <w:rFonts w:hint="eastAsia"/>
        </w:rPr>
        <w:t>密钥管理应符合国家密钥管理相关规定，建立密钥生成、存储、分发、更新、销毁全流程管理机制。</w:t>
      </w:r>
    </w:p>
    <w:p w:rsidR="000F1CB5" w:rsidRDefault="00421B09">
      <w:pPr>
        <w:pStyle w:val="affc"/>
        <w:spacing w:before="240" w:after="240"/>
      </w:pPr>
      <w:bookmarkStart w:id="79" w:name="_Toc215234445"/>
      <w:bookmarkStart w:id="80" w:name="_Toc215234473"/>
      <w:bookmarkStart w:id="81" w:name="_Toc215235802"/>
      <w:r>
        <w:t>风险评估与分析</w:t>
      </w:r>
      <w:bookmarkEnd w:id="79"/>
      <w:bookmarkEnd w:id="80"/>
      <w:bookmarkEnd w:id="81"/>
    </w:p>
    <w:p w:rsidR="000F1CB5" w:rsidRDefault="00421B09">
      <w:pPr>
        <w:pStyle w:val="affd"/>
        <w:spacing w:before="120" w:after="120"/>
      </w:pPr>
      <w:r>
        <w:t>风险评估</w:t>
      </w:r>
    </w:p>
    <w:p w:rsidR="000F1CB5" w:rsidRDefault="00421B09">
      <w:pPr>
        <w:pStyle w:val="affffffffa"/>
        <w:spacing w:line="288" w:lineRule="auto"/>
      </w:pPr>
      <w:r>
        <w:rPr>
          <w:rFonts w:hint="eastAsia"/>
        </w:rPr>
        <w:t>应参照 GB/T 20984 的要求开展管线数据安全风险评估工作，结合管线数据的敏感性、平台特性、业务场景等特点，识别和评估安全风险，制定风险应对措施。</w:t>
      </w:r>
    </w:p>
    <w:p w:rsidR="000F1CB5" w:rsidRDefault="00421B09">
      <w:pPr>
        <w:pStyle w:val="affffffffa"/>
        <w:spacing w:line="288" w:lineRule="auto"/>
      </w:pPr>
      <w:r>
        <w:rPr>
          <w:rFonts w:hint="eastAsia"/>
        </w:rPr>
        <w:t>风险评估应定期开展，至少每年 1 次，当发生重大系统变更、安全事件或业务调整时，应及时开展专项评估。</w:t>
      </w:r>
    </w:p>
    <w:p w:rsidR="000F1CB5" w:rsidRDefault="00421B09">
      <w:pPr>
        <w:pStyle w:val="affd"/>
        <w:spacing w:before="120" w:after="120"/>
      </w:pPr>
      <w:r>
        <w:t>风险分析</w:t>
      </w:r>
    </w:p>
    <w:p w:rsidR="000F1CB5" w:rsidRDefault="00421B09">
      <w:pPr>
        <w:pStyle w:val="affffffffa"/>
        <w:spacing w:line="288" w:lineRule="auto"/>
      </w:pPr>
      <w:r>
        <w:rPr>
          <w:rFonts w:hint="eastAsia"/>
        </w:rPr>
        <w:t>应采用定性与定量相结合的方法，分析威胁利用脆弱性导致安全事件发生的可能性，结合资产价值和脆弱性严重程度，评估安全事件可能造成的影响，包括对国家安全、城市运行安全、公共利益、组织利益、个人合法权益等的损害。</w:t>
      </w:r>
    </w:p>
    <w:p w:rsidR="000F1CB5" w:rsidRDefault="00421B09">
      <w:pPr>
        <w:pStyle w:val="affffffffa"/>
        <w:spacing w:line="288" w:lineRule="auto"/>
      </w:pPr>
      <w:r>
        <w:rPr>
          <w:rFonts w:hint="eastAsia"/>
        </w:rPr>
        <w:t>风险分析应形成风险评估报告，明确风险等级（高、中、低），对高等级风险应制定优先整改措施，明确整改责任人和整改期限；对中、低等级风险应制定相应的控制措施，持续监控风险变化。</w:t>
      </w:r>
    </w:p>
    <w:p w:rsidR="000F1CB5" w:rsidRDefault="00421B09">
      <w:pPr>
        <w:pStyle w:val="affc"/>
        <w:spacing w:before="240" w:after="240"/>
      </w:pPr>
      <w:bookmarkStart w:id="82" w:name="_Toc215234446"/>
      <w:bookmarkStart w:id="83" w:name="_Toc215234474"/>
      <w:bookmarkStart w:id="84" w:name="_Toc215235803"/>
      <w:r>
        <w:t>应急处置</w:t>
      </w:r>
      <w:bookmarkEnd w:id="82"/>
      <w:bookmarkEnd w:id="83"/>
      <w:bookmarkEnd w:id="84"/>
    </w:p>
    <w:p w:rsidR="000F1CB5" w:rsidRDefault="00421B09">
      <w:pPr>
        <w:pStyle w:val="affd"/>
        <w:spacing w:before="120" w:after="120"/>
      </w:pPr>
      <w:r>
        <w:rPr>
          <w:rFonts w:hint="eastAsia"/>
        </w:rPr>
        <w:t>应急预案</w:t>
      </w:r>
    </w:p>
    <w:p w:rsidR="000F1CB5" w:rsidRDefault="00421B09">
      <w:pPr>
        <w:pStyle w:val="affffffffa"/>
        <w:spacing w:line="288" w:lineRule="auto"/>
      </w:pPr>
      <w:r>
        <w:rPr>
          <w:rFonts w:hint="eastAsia"/>
        </w:rPr>
        <w:t>应制定数据安全应急预案，明确应急组织架构、应急响应流程、处置措施等内容。</w:t>
      </w:r>
      <w:r>
        <w:rPr>
          <w:rFonts w:ascii="MS Gothic" w:eastAsia="MS Gothic" w:hAnsi="MS Gothic" w:hint="eastAsia"/>
        </w:rPr>
        <w:t>​</w:t>
      </w:r>
    </w:p>
    <w:p w:rsidR="000F1CB5" w:rsidRDefault="00421B09">
      <w:pPr>
        <w:pStyle w:val="affffffffa"/>
        <w:spacing w:line="288" w:lineRule="auto"/>
      </w:pPr>
      <w:r>
        <w:rPr>
          <w:rFonts w:hint="eastAsia"/>
        </w:rPr>
        <w:t>应急预案应定期修订，修订周期不超过 2 年，并定期进行应急演练，演练频率不低于每年 1 次。</w:t>
      </w:r>
    </w:p>
    <w:p w:rsidR="000F1CB5" w:rsidRDefault="00421B09">
      <w:pPr>
        <w:pStyle w:val="affd"/>
        <w:spacing w:before="120" w:after="120"/>
      </w:pPr>
      <w:r>
        <w:rPr>
          <w:rFonts w:hint="eastAsia"/>
        </w:rPr>
        <w:t>应急响应</w:t>
      </w:r>
    </w:p>
    <w:p w:rsidR="000F1CB5" w:rsidRDefault="00421B09">
      <w:pPr>
        <w:pStyle w:val="affffffffa"/>
        <w:spacing w:line="288" w:lineRule="auto"/>
      </w:pPr>
      <w:r>
        <w:rPr>
          <w:rFonts w:hint="eastAsia"/>
        </w:rPr>
        <w:t>发生数据安全事件（如数据泄露、篡改、丢失）时，应立即启动应急预案，采取封锁系统、保存证据、排查原因等措施。</w:t>
      </w:r>
      <w:r>
        <w:rPr>
          <w:rFonts w:ascii="MS Gothic" w:eastAsia="MS Gothic" w:hAnsi="MS Gothic" w:hint="eastAsia"/>
        </w:rPr>
        <w:t>​</w:t>
      </w:r>
    </w:p>
    <w:p w:rsidR="000F1CB5" w:rsidRDefault="00421B09">
      <w:pPr>
        <w:pStyle w:val="affffffffa"/>
        <w:spacing w:line="288" w:lineRule="auto"/>
      </w:pPr>
      <w:r>
        <w:rPr>
          <w:rFonts w:hint="eastAsia"/>
        </w:rPr>
        <w:t>按规定及时向相关部门报告数据安全事件，报告时间不应超过 2 h。</w:t>
      </w:r>
    </w:p>
    <w:p w:rsidR="000F1CB5" w:rsidRDefault="00421B09">
      <w:pPr>
        <w:pStyle w:val="affd"/>
        <w:spacing w:before="120" w:after="120"/>
      </w:pPr>
      <w:r>
        <w:rPr>
          <w:rFonts w:hint="eastAsia"/>
        </w:rPr>
        <w:t>恢复与重建</w:t>
      </w:r>
    </w:p>
    <w:p w:rsidR="000F1CB5" w:rsidRDefault="00421B09">
      <w:pPr>
        <w:pStyle w:val="affffffffa"/>
        <w:spacing w:line="288" w:lineRule="auto"/>
      </w:pPr>
      <w:r>
        <w:rPr>
          <w:rFonts w:hint="eastAsia"/>
        </w:rPr>
        <w:t>数据安全事件处置完成后，应及时恢复数据，进行安全加固，防止类似事件再次发生。</w:t>
      </w:r>
      <w:r>
        <w:rPr>
          <w:rFonts w:ascii="MS Gothic" w:eastAsia="MS Gothic" w:hAnsi="MS Gothic" w:hint="eastAsia"/>
        </w:rPr>
        <w:t>​</w:t>
      </w:r>
    </w:p>
    <w:p w:rsidR="000F1CB5" w:rsidRDefault="00421B09">
      <w:pPr>
        <w:pStyle w:val="affffffffa"/>
        <w:spacing w:line="288" w:lineRule="auto"/>
      </w:pPr>
      <w:r>
        <w:rPr>
          <w:rFonts w:hint="eastAsia"/>
        </w:rPr>
        <w:t>应对数据安全事件进行复盘分析，总结经验教训，完善应急预案和安全管理制度。</w:t>
      </w:r>
    </w:p>
    <w:p w:rsidR="000F1CB5" w:rsidRDefault="00421B09">
      <w:pPr>
        <w:pStyle w:val="affffe"/>
        <w:ind w:firstLineChars="0" w:firstLine="0"/>
        <w:jc w:val="center"/>
      </w:pPr>
      <w:bookmarkStart w:id="85" w:name="BookMark8"/>
      <w:bookmarkEnd w:id="28"/>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stretch>
                      <a:fillRect/>
                    </a:stretch>
                  </pic:blipFill>
                  <pic:spPr>
                    <a:xfrm>
                      <a:off x="0" y="0"/>
                      <a:ext cx="1485900" cy="317500"/>
                    </a:xfrm>
                    <a:prstGeom prst="rect">
                      <a:avLst/>
                    </a:prstGeom>
                  </pic:spPr>
                </pic:pic>
              </a:graphicData>
            </a:graphic>
          </wp:inline>
        </w:drawing>
      </w:r>
      <w:bookmarkEnd w:id="85"/>
    </w:p>
    <w:sectPr w:rsidR="000F1CB5">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37C" w:rsidRDefault="000F437C">
      <w:pPr>
        <w:spacing w:line="240" w:lineRule="auto"/>
      </w:pPr>
      <w:r>
        <w:separator/>
      </w:r>
    </w:p>
  </w:endnote>
  <w:endnote w:type="continuationSeparator" w:id="0">
    <w:p w:rsidR="000F437C" w:rsidRDefault="000F4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421B09">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0F1CB5">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0F1CB5">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421B09">
    <w:pPr>
      <w:pStyle w:val="affffb"/>
    </w:pPr>
    <w:r>
      <w:fldChar w:fldCharType="begin"/>
    </w:r>
    <w:r>
      <w:instrText>PAGE   \* MERGEFORMAT</w:instrText>
    </w:r>
    <w:r>
      <w:fldChar w:fldCharType="separate"/>
    </w:r>
    <w:r w:rsidR="0085479B" w:rsidRPr="0085479B">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37C" w:rsidRDefault="000F437C">
      <w:pPr>
        <w:spacing w:line="240" w:lineRule="auto"/>
      </w:pPr>
      <w:r>
        <w:separator/>
      </w:r>
    </w:p>
  </w:footnote>
  <w:footnote w:type="continuationSeparator" w:id="0">
    <w:p w:rsidR="000F437C" w:rsidRDefault="000F43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0F1CB5">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421B09">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0F1CB5">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421B09">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507F2">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B5" w:rsidRDefault="00421B09">
    <w:pPr>
      <w:pStyle w:val="afffff3"/>
    </w:pPr>
    <w:r>
      <w:fldChar w:fldCharType="begin"/>
    </w:r>
    <w:r>
      <w:instrText xml:space="preserve"> STYLEREF  标准文件_文件编号  \* MERGEFORMAT </w:instrText>
    </w:r>
    <w:r>
      <w:fldChar w:fldCharType="separate"/>
    </w:r>
    <w:r w:rsidR="0085479B">
      <w:rPr>
        <w:noProof/>
      </w:rPr>
      <w:t>T/CASMES XXXX</w:t>
    </w:r>
    <w:r w:rsidR="0085479B">
      <w:rPr>
        <w:noProof/>
      </w:rPr>
      <w:t>—</w:t>
    </w:r>
    <w:r w:rsidR="0085479B">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6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601"/>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877"/>
    <w:rsid w:val="000A7311"/>
    <w:rsid w:val="000B060F"/>
    <w:rsid w:val="000B1592"/>
    <w:rsid w:val="000B1FF2"/>
    <w:rsid w:val="000B3CDA"/>
    <w:rsid w:val="000B6A0B"/>
    <w:rsid w:val="000B6B93"/>
    <w:rsid w:val="000C0F6C"/>
    <w:rsid w:val="000C11DB"/>
    <w:rsid w:val="000C1492"/>
    <w:rsid w:val="000C2FBD"/>
    <w:rsid w:val="000C4B41"/>
    <w:rsid w:val="000C57D6"/>
    <w:rsid w:val="000C6362"/>
    <w:rsid w:val="000C7666"/>
    <w:rsid w:val="000D0A9C"/>
    <w:rsid w:val="000D122E"/>
    <w:rsid w:val="000D1795"/>
    <w:rsid w:val="000D329A"/>
    <w:rsid w:val="000D4B9C"/>
    <w:rsid w:val="000D4EB6"/>
    <w:rsid w:val="000D753B"/>
    <w:rsid w:val="000E4C9E"/>
    <w:rsid w:val="000E6FD7"/>
    <w:rsid w:val="000E7144"/>
    <w:rsid w:val="000F06E1"/>
    <w:rsid w:val="000F0E3C"/>
    <w:rsid w:val="000F19D5"/>
    <w:rsid w:val="000F1CB5"/>
    <w:rsid w:val="000F4050"/>
    <w:rsid w:val="000F437C"/>
    <w:rsid w:val="000F4AEA"/>
    <w:rsid w:val="000F67E9"/>
    <w:rsid w:val="0010062F"/>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CC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3D4"/>
    <w:rsid w:val="002A4CEA"/>
    <w:rsid w:val="002A5977"/>
    <w:rsid w:val="002A5A13"/>
    <w:rsid w:val="002A757F"/>
    <w:rsid w:val="002A7C52"/>
    <w:rsid w:val="002A7F44"/>
    <w:rsid w:val="002B0C40"/>
    <w:rsid w:val="002B1966"/>
    <w:rsid w:val="002B4508"/>
    <w:rsid w:val="002B5779"/>
    <w:rsid w:val="002B7332"/>
    <w:rsid w:val="002B7F51"/>
    <w:rsid w:val="002C09E7"/>
    <w:rsid w:val="002C1E06"/>
    <w:rsid w:val="002C3F07"/>
    <w:rsid w:val="002C5278"/>
    <w:rsid w:val="002C7EBB"/>
    <w:rsid w:val="002D06C1"/>
    <w:rsid w:val="002D0DCF"/>
    <w:rsid w:val="002D42B5"/>
    <w:rsid w:val="002D4F1A"/>
    <w:rsid w:val="002D6EC6"/>
    <w:rsid w:val="002D7009"/>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6C5"/>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611"/>
    <w:rsid w:val="003F49F1"/>
    <w:rsid w:val="003F5E32"/>
    <w:rsid w:val="003F6272"/>
    <w:rsid w:val="00400E72"/>
    <w:rsid w:val="00401400"/>
    <w:rsid w:val="00404869"/>
    <w:rsid w:val="00405884"/>
    <w:rsid w:val="00407D39"/>
    <w:rsid w:val="0041477A"/>
    <w:rsid w:val="004167A3"/>
    <w:rsid w:val="00421B09"/>
    <w:rsid w:val="00432DAA"/>
    <w:rsid w:val="00434305"/>
    <w:rsid w:val="00435DF7"/>
    <w:rsid w:val="0043741A"/>
    <w:rsid w:val="0044083F"/>
    <w:rsid w:val="00441AE7"/>
    <w:rsid w:val="004451A4"/>
    <w:rsid w:val="00445574"/>
    <w:rsid w:val="004467FB"/>
    <w:rsid w:val="00452D6B"/>
    <w:rsid w:val="00454484"/>
    <w:rsid w:val="0045517B"/>
    <w:rsid w:val="00463B77"/>
    <w:rsid w:val="00463C7B"/>
    <w:rsid w:val="004644A6"/>
    <w:rsid w:val="004659BD"/>
    <w:rsid w:val="00470775"/>
    <w:rsid w:val="004744D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53C"/>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354"/>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686"/>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BB5"/>
    <w:rsid w:val="00604784"/>
    <w:rsid w:val="00606419"/>
    <w:rsid w:val="00607D29"/>
    <w:rsid w:val="00612952"/>
    <w:rsid w:val="00614CC1"/>
    <w:rsid w:val="00615A9D"/>
    <w:rsid w:val="00617387"/>
    <w:rsid w:val="006205D6"/>
    <w:rsid w:val="0062115D"/>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4F7F"/>
    <w:rsid w:val="00722FBF"/>
    <w:rsid w:val="00722FC2"/>
    <w:rsid w:val="00724E1B"/>
    <w:rsid w:val="00725949"/>
    <w:rsid w:val="00727FA2"/>
    <w:rsid w:val="007322D9"/>
    <w:rsid w:val="00732BC0"/>
    <w:rsid w:val="00735EE7"/>
    <w:rsid w:val="0073720F"/>
    <w:rsid w:val="00737796"/>
    <w:rsid w:val="0074165C"/>
    <w:rsid w:val="00742C35"/>
    <w:rsid w:val="007432CA"/>
    <w:rsid w:val="007439EB"/>
    <w:rsid w:val="00743CB4"/>
    <w:rsid w:val="00743F0A"/>
    <w:rsid w:val="007444E8"/>
    <w:rsid w:val="0074548E"/>
    <w:rsid w:val="00745773"/>
    <w:rsid w:val="00746800"/>
    <w:rsid w:val="007501A8"/>
    <w:rsid w:val="007507F2"/>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2DE"/>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B3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479B"/>
    <w:rsid w:val="00857A25"/>
    <w:rsid w:val="008603CE"/>
    <w:rsid w:val="008620FC"/>
    <w:rsid w:val="008627A5"/>
    <w:rsid w:val="00863E05"/>
    <w:rsid w:val="00865ACA"/>
    <w:rsid w:val="00865D28"/>
    <w:rsid w:val="00865F85"/>
    <w:rsid w:val="00867C10"/>
    <w:rsid w:val="00870439"/>
    <w:rsid w:val="00870DA1"/>
    <w:rsid w:val="008717FE"/>
    <w:rsid w:val="00883F93"/>
    <w:rsid w:val="00884DB3"/>
    <w:rsid w:val="00885A9D"/>
    <w:rsid w:val="008864F6"/>
    <w:rsid w:val="0089049D"/>
    <w:rsid w:val="008928C9"/>
    <w:rsid w:val="008930CB"/>
    <w:rsid w:val="008938DC"/>
    <w:rsid w:val="00893FD1"/>
    <w:rsid w:val="00894836"/>
    <w:rsid w:val="00894D1F"/>
    <w:rsid w:val="00895172"/>
    <w:rsid w:val="00895680"/>
    <w:rsid w:val="00896DFF"/>
    <w:rsid w:val="0089762C"/>
    <w:rsid w:val="00897C15"/>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DA5"/>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B2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C55"/>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870"/>
    <w:rsid w:val="00B261F1"/>
    <w:rsid w:val="00B265BC"/>
    <w:rsid w:val="00B31FB1"/>
    <w:rsid w:val="00B33952"/>
    <w:rsid w:val="00B33C5E"/>
    <w:rsid w:val="00B342F4"/>
    <w:rsid w:val="00B34369"/>
    <w:rsid w:val="00B34DC2"/>
    <w:rsid w:val="00B378E5"/>
    <w:rsid w:val="00B4346D"/>
    <w:rsid w:val="00B440F4"/>
    <w:rsid w:val="00B44591"/>
    <w:rsid w:val="00B447A5"/>
    <w:rsid w:val="00B4654C"/>
    <w:rsid w:val="00B47293"/>
    <w:rsid w:val="00B50E50"/>
    <w:rsid w:val="00B52120"/>
    <w:rsid w:val="00B54ABC"/>
    <w:rsid w:val="00B56FBE"/>
    <w:rsid w:val="00B60ACF"/>
    <w:rsid w:val="00B62B58"/>
    <w:rsid w:val="00B65149"/>
    <w:rsid w:val="00B66567"/>
    <w:rsid w:val="00B66F52"/>
    <w:rsid w:val="00B66FE5"/>
    <w:rsid w:val="00B67807"/>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5EEF"/>
    <w:rsid w:val="00BC6B8B"/>
    <w:rsid w:val="00BC73D8"/>
    <w:rsid w:val="00BD52D7"/>
    <w:rsid w:val="00BD5AD2"/>
    <w:rsid w:val="00BE0E2C"/>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9C5"/>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162"/>
    <w:rsid w:val="00CB517D"/>
    <w:rsid w:val="00CC038D"/>
    <w:rsid w:val="00CC08DB"/>
    <w:rsid w:val="00CC1121"/>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393"/>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CD9"/>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DFB"/>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15C"/>
    <w:rsid w:val="00EE0350"/>
    <w:rsid w:val="00EE0719"/>
    <w:rsid w:val="00EE0E80"/>
    <w:rsid w:val="00EE613F"/>
    <w:rsid w:val="00EE7295"/>
    <w:rsid w:val="00EE7869"/>
    <w:rsid w:val="00EF004C"/>
    <w:rsid w:val="00EF054A"/>
    <w:rsid w:val="00EF3235"/>
    <w:rsid w:val="00EF7E72"/>
    <w:rsid w:val="00F06D37"/>
    <w:rsid w:val="00F07B9D"/>
    <w:rsid w:val="00F11586"/>
    <w:rsid w:val="00F1183B"/>
    <w:rsid w:val="00F11C9F"/>
    <w:rsid w:val="00F12263"/>
    <w:rsid w:val="00F1409D"/>
    <w:rsid w:val="00F14214"/>
    <w:rsid w:val="00F157A9"/>
    <w:rsid w:val="00F16F00"/>
    <w:rsid w:val="00F23CA9"/>
    <w:rsid w:val="00F25BB6"/>
    <w:rsid w:val="00F26B7E"/>
    <w:rsid w:val="00F27A3B"/>
    <w:rsid w:val="00F31496"/>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94A"/>
    <w:rsid w:val="00FC2CB7"/>
    <w:rsid w:val="00FC4090"/>
    <w:rsid w:val="00FC55B4"/>
    <w:rsid w:val="00FD00E6"/>
    <w:rsid w:val="00FD09A1"/>
    <w:rsid w:val="00FD0E65"/>
    <w:rsid w:val="00FD2A7C"/>
    <w:rsid w:val="00FD530D"/>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AB941CC"/>
    <w:rsid w:val="29420CB7"/>
    <w:rsid w:val="36CA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597E48987B42BCAF772A57416104EB"/>
        <w:category>
          <w:name w:val="常规"/>
          <w:gallery w:val="placeholder"/>
        </w:category>
        <w:types>
          <w:type w:val="bbPlcHdr"/>
        </w:types>
        <w:behaviors>
          <w:behavior w:val="content"/>
        </w:behaviors>
        <w:guid w:val="{B373ACA2-3B7A-4637-B1F4-3C3807AFC916}"/>
      </w:docPartPr>
      <w:docPartBody>
        <w:p w:rsidR="00CC7576" w:rsidRDefault="00352BCB">
          <w:pPr>
            <w:pStyle w:val="20597E48987B42BCAF772A57416104EB"/>
          </w:pPr>
          <w:r>
            <w:rPr>
              <w:rStyle w:val="a3"/>
              <w:rFonts w:hint="eastAsia"/>
            </w:rPr>
            <w:t>单击或点击此处输入文字。</w:t>
          </w:r>
        </w:p>
      </w:docPartBody>
    </w:docPart>
    <w:docPart>
      <w:docPartPr>
        <w:name w:val="0DA52993486641C18704FD4EE249FD13"/>
        <w:category>
          <w:name w:val="常规"/>
          <w:gallery w:val="placeholder"/>
        </w:category>
        <w:types>
          <w:type w:val="bbPlcHdr"/>
        </w:types>
        <w:behaviors>
          <w:behavior w:val="content"/>
        </w:behaviors>
        <w:guid w:val="{F8DCBFAE-9BAD-4813-A78C-90D58F8CA7E5}"/>
      </w:docPartPr>
      <w:docPartBody>
        <w:p w:rsidR="00CC7576" w:rsidRDefault="00352BCB">
          <w:pPr>
            <w:pStyle w:val="0DA52993486641C18704FD4EE249FD13"/>
          </w:pPr>
          <w:r>
            <w:rPr>
              <w:rStyle w:val="a3"/>
              <w:rFonts w:hint="eastAsia"/>
            </w:rPr>
            <w:t>选择一项。</w:t>
          </w:r>
        </w:p>
      </w:docPartBody>
    </w:docPart>
    <w:docPart>
      <w:docPartPr>
        <w:name w:val="E223C3A0EB1E4EE88153CCC24637FA36"/>
        <w:category>
          <w:name w:val="常规"/>
          <w:gallery w:val="placeholder"/>
        </w:category>
        <w:types>
          <w:type w:val="bbPlcHdr"/>
        </w:types>
        <w:behaviors>
          <w:behavior w:val="content"/>
        </w:behaviors>
        <w:guid w:val="{2BFCFA79-3092-4279-9F08-2A07D1F8F21D}"/>
      </w:docPartPr>
      <w:docPartBody>
        <w:p w:rsidR="00CC7576" w:rsidRDefault="00352BCB">
          <w:pPr>
            <w:pStyle w:val="E223C3A0EB1E4EE88153CCC24637FA3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DB"/>
    <w:rsid w:val="00096F26"/>
    <w:rsid w:val="002765DB"/>
    <w:rsid w:val="00352BCB"/>
    <w:rsid w:val="00403DB3"/>
    <w:rsid w:val="005733B2"/>
    <w:rsid w:val="007D75BC"/>
    <w:rsid w:val="009A7110"/>
    <w:rsid w:val="009C0B8C"/>
    <w:rsid w:val="00CC7576"/>
    <w:rsid w:val="00F5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597E48987B42BCAF772A57416104EB">
    <w:name w:val="20597E48987B42BCAF772A57416104EB"/>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597E48987B42BCAF772A57416104EB">
    <w:name w:val="20597E48987B42BCAF772A57416104EB"/>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33764047-8ee7-4725-93f3-e9afdcb2184a</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7D058A39</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EC7E3-9221-4DF7-A560-FA1F250E8744}">
  <ds:schemaRefs>
    <ds:schemaRef ds:uri="http://schemas.wps.cn/vas-ai-hub/contract-review"/>
  </ds:schemaRefs>
</ds:datastoreItem>
</file>

<file path=customXml/itemProps3.xml><?xml version="1.0" encoding="utf-8"?>
<ds:datastoreItem xmlns:ds="http://schemas.openxmlformats.org/officeDocument/2006/customXml" ds:itemID="{ADCB6AB9-0DF8-48DC-93C9-C731CE60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364</TotalTime>
  <Pages>9</Pages>
  <Words>1115</Words>
  <Characters>6360</Characters>
  <Application>Microsoft Office Word</Application>
  <DocSecurity>0</DocSecurity>
  <Lines>53</Lines>
  <Paragraphs>14</Paragraphs>
  <ScaleCrop>false</ScaleCrop>
  <Company>PCMI</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23</cp:revision>
  <cp:lastPrinted>2025-12-04T07:51:00Z</cp:lastPrinted>
  <dcterms:created xsi:type="dcterms:W3CDTF">2025-09-12T06:05:00Z</dcterms:created>
  <dcterms:modified xsi:type="dcterms:W3CDTF">2025-12-04T08:11:00Z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2052-12.1.0.23542</vt:lpwstr>
  </property>
  <property fmtid="{D5CDD505-2E9C-101B-9397-08002B2CF9AE}" pid="16" name="ICV">
    <vt:lpwstr>47FA3D5DC1DD4CEA9A69FC9D503173AA_12</vt:lpwstr>
  </property>
</Properties>
</file>