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3"/>
        <w:gridCol w:w="8721"/>
      </w:tblGrid>
      <w:tr w14:paraId="51F0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3" w:type="dxa"/>
          </w:tcPr>
          <w:p w14:paraId="51FD58F1">
            <w:pPr>
              <w:pStyle w:val="19"/>
              <w:framePr w:wrap="notBeside" w:vAnchor="page" w:hAnchor="page" w:x="1372" w:y="568"/>
              <w:tabs>
                <w:tab w:val="clear" w:pos="4153"/>
                <w:tab w:val="clear" w:pos="8306"/>
              </w:tabs>
              <w:spacing w:line="240" w:lineRule="auto"/>
              <w:ind w:right="210"/>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721" w:type="dxa"/>
          </w:tcPr>
          <w:p w14:paraId="7F49EC04">
            <w:pPr>
              <w:pStyle w:val="19"/>
              <w:framePr w:wrap="notBeside" w:vAnchor="page" w:hAnchor="page" w:x="1372" w:y="568"/>
              <w:tabs>
                <w:tab w:val="clear" w:pos="4153"/>
                <w:tab w:val="clear" w:pos="8306"/>
              </w:tabs>
              <w:spacing w:line="240" w:lineRule="auto"/>
              <w:ind w:right="210"/>
              <w:jc w:val="both"/>
              <w:rPr>
                <w:rFonts w:ascii="Times New Roman" w:hAnsi="Times New Roman" w:eastAsia="黑体"/>
                <w:sz w:val="21"/>
                <w:szCs w:val="21"/>
              </w:rPr>
            </w:pPr>
            <w:r>
              <w:rPr>
                <w:rFonts w:ascii="Times New Roman" w:hAnsi="Times New Roman" w:eastAsia="黑体"/>
                <w:sz w:val="21"/>
                <w:szCs w:val="21"/>
              </w:rPr>
              <w:t>XX.XXX</w:t>
            </w:r>
          </w:p>
        </w:tc>
      </w:tr>
      <w:tr w14:paraId="1F7B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3" w:type="dxa"/>
          </w:tcPr>
          <w:p w14:paraId="09D9B963">
            <w:pPr>
              <w:pStyle w:val="19"/>
              <w:framePr w:wrap="notBeside" w:vAnchor="page" w:hAnchor="page" w:x="1372" w:y="568"/>
              <w:tabs>
                <w:tab w:val="clear" w:pos="4153"/>
                <w:tab w:val="clear" w:pos="8306"/>
              </w:tabs>
              <w:spacing w:before="40" w:line="240" w:lineRule="auto"/>
              <w:ind w:right="210"/>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721"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D8289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0A9CF4E">
                  <w:pPr>
                    <w:pStyle w:val="53"/>
                    <w:framePr w:wrap="notBeside" w:vAnchor="page" w:hAnchor="page" w:x="1372" w:y="568"/>
                    <w:ind w:left="420" w:right="624"/>
                    <w:rPr>
                      <w:sz w:val="28"/>
                      <w:szCs w:val="28"/>
                    </w:rPr>
                  </w:pPr>
                  <w:r>
                    <w:rPr>
                      <w:rFonts w:hint="eastAsia"/>
                      <w:bCs/>
                      <w:spacing w:val="58"/>
                      <w:w w:val="121"/>
                      <w:sz w:val="95"/>
                      <w:szCs w:val="95"/>
                    </w:rPr>
                    <w:t>CNDIA</w:t>
                  </w:r>
                </w:p>
              </w:tc>
            </w:tr>
          </w:tbl>
          <w:p w14:paraId="63E691FF">
            <w:pPr>
              <w:pStyle w:val="19"/>
              <w:framePr w:wrap="notBeside" w:vAnchor="page" w:hAnchor="page" w:x="1372" w:y="568"/>
              <w:tabs>
                <w:tab w:val="clear" w:pos="4153"/>
                <w:tab w:val="clear" w:pos="8306"/>
              </w:tabs>
              <w:spacing w:before="40" w:line="240" w:lineRule="auto"/>
              <w:ind w:right="210"/>
              <w:jc w:val="left"/>
              <w:rPr>
                <w:rFonts w:ascii="Times New Roman" w:hAnsi="Times New Roman" w:eastAsia="黑体"/>
                <w:sz w:val="21"/>
                <w:szCs w:val="21"/>
              </w:rPr>
            </w:pPr>
            <w:r>
              <w:rPr>
                <w:rFonts w:ascii="Times New Roman" w:hAnsi="Times New Roman" w:eastAsia="黑体"/>
                <w:sz w:val="21"/>
                <w:szCs w:val="21"/>
              </w:rPr>
              <w:t>X XX</w:t>
            </w:r>
          </w:p>
        </w:tc>
      </w:tr>
    </w:tbl>
    <w:p w14:paraId="6A3EC629">
      <w:pPr>
        <w:pStyle w:val="54"/>
        <w:framePr w:w="9639" w:h="624" w:hRule="exact" w:hSpace="181" w:vSpace="181" w:wrap="around" w:hAnchor="page" w:x="1305" w:y="2419"/>
        <w:rPr>
          <w:rFonts w:ascii="Times New Roman" w:eastAsia="黑体"/>
          <w:b w:val="0"/>
          <w:bCs w:val="0"/>
          <w:w w:val="100"/>
          <w:sz w:val="48"/>
          <w:szCs w:val="48"/>
        </w:rPr>
      </w:pPr>
      <w:bookmarkStart w:id="0" w:name="_Hlk26473981"/>
      <w:r>
        <w:rPr>
          <w:rFonts w:hint="eastAsia" w:ascii="Times New Roman" w:eastAsia="黑体"/>
          <w:b w:val="0"/>
          <w:w w:val="100"/>
          <w:sz w:val="48"/>
        </w:rPr>
        <w:t>中国医药新闻信息协会</w:t>
      </w:r>
      <w:r>
        <w:rPr>
          <w:rFonts w:ascii="Times New Roman" w:eastAsia="黑体"/>
          <w:b w:val="0"/>
          <w:w w:val="100"/>
          <w:sz w:val="48"/>
        </w:rPr>
        <w:t>团体标准</w:t>
      </w:r>
    </w:p>
    <w:bookmarkEnd w:id="0"/>
    <w:p w14:paraId="0544FBB9">
      <w:pPr>
        <w:pStyle w:val="199"/>
      </w:pPr>
      <w:r>
        <w:rPr>
          <w:rFonts w:hint="eastAsia"/>
        </w:rPr>
        <w:t>CNDIA</w:t>
      </w:r>
      <w:r>
        <w:t xml:space="preserve">  XXX-2025</w:t>
      </w:r>
    </w:p>
    <w:p w14:paraId="4279A01B">
      <w:pPr>
        <w:pStyle w:val="200"/>
      </w:pPr>
    </w:p>
    <w:p w14:paraId="4EFFF29E">
      <w:pPr>
        <w:spacing w:line="240" w:lineRule="auto"/>
        <w:ind w:right="210" w:firstLine="100"/>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0B63D3">
      <w:pPr>
        <w:pStyle w:val="54"/>
        <w:framePr w:w="9639" w:h="6976" w:hRule="exact" w:hSpace="0" w:vSpace="0" w:wrap="around" w:hAnchor="page" w:y="6408"/>
        <w:jc w:val="center"/>
        <w:rPr>
          <w:rFonts w:ascii="Times New Roman" w:eastAsia="黑体"/>
          <w:b w:val="0"/>
          <w:bCs w:val="0"/>
          <w:w w:val="100"/>
        </w:rPr>
      </w:pPr>
    </w:p>
    <w:p w14:paraId="6C0179FB">
      <w:pPr>
        <w:pStyle w:val="201"/>
      </w:pPr>
      <w:bookmarkStart w:id="1" w:name="OLE_LINK15"/>
      <w:bookmarkStart w:id="2" w:name="OLE_LINK16"/>
    </w:p>
    <w:p w14:paraId="047EB3F9">
      <w:pPr>
        <w:framePr w:w="9639" w:h="6974" w:hRule="exact" w:wrap="around" w:vAnchor="page" w:hAnchor="page" w:x="1436" w:y="5681" w:anchorLock="1"/>
        <w:ind w:right="210"/>
        <w:jc w:val="center"/>
        <w:rPr>
          <w:rFonts w:hint="eastAsia" w:ascii="Times New Roman" w:hAnsi="Times New Roman"/>
          <w:sz w:val="28"/>
          <w:szCs w:val="28"/>
        </w:rPr>
      </w:pPr>
    </w:p>
    <w:p w14:paraId="185601CC">
      <w:pPr>
        <w:framePr w:w="9639" w:h="6974" w:hRule="exact" w:wrap="around" w:vAnchor="page" w:hAnchor="page" w:x="1436" w:y="5681" w:anchorLock="1"/>
        <w:ind w:right="210"/>
        <w:jc w:val="center"/>
        <w:rPr>
          <w:rFonts w:hint="eastAsia" w:ascii="Times New Roman" w:hAnsi="Times New Roman"/>
          <w:sz w:val="28"/>
          <w:szCs w:val="28"/>
        </w:rPr>
      </w:pPr>
    </w:p>
    <w:p w14:paraId="0FB17458">
      <w:pPr>
        <w:framePr w:w="9639" w:h="6974" w:hRule="exact" w:wrap="around" w:vAnchor="page" w:hAnchor="page" w:x="1436" w:y="5681" w:anchorLock="1"/>
        <w:ind w:right="210"/>
        <w:jc w:val="center"/>
        <w:rPr>
          <w:rFonts w:ascii="Times New Roman" w:hAnsi="Times New Roman"/>
          <w:sz w:val="28"/>
          <w:szCs w:val="28"/>
        </w:rPr>
      </w:pPr>
      <w:r>
        <w:rPr>
          <w:rFonts w:hint="eastAsia" w:ascii="Times New Roman" w:hAnsi="Times New Roman"/>
          <w:sz w:val="28"/>
          <w:szCs w:val="28"/>
        </w:rPr>
        <w:t>General Rules for the Construction of Pilot Platforms for Biomanufacturing and Pharmaceutical Research and Development</w:t>
      </w:r>
    </w:p>
    <w:bookmarkEnd w:id="1"/>
    <w:bookmarkEnd w:id="2"/>
    <w:p w14:paraId="25C905A6">
      <w:pPr>
        <w:pStyle w:val="131"/>
      </w:pPr>
    </w:p>
    <w:p w14:paraId="2BEA7531">
      <w:pPr>
        <w:pStyle w:val="131"/>
      </w:pPr>
    </w:p>
    <w:p w14:paraId="5C9EA201">
      <w:pPr>
        <w:pStyle w:val="131"/>
        <w:ind w:firstLine="520" w:firstLineChars="100"/>
        <w:rPr>
          <w:rFonts w:ascii="黑体" w:hAnsi="黑体" w:eastAsia="黑体" w:cs="黑体"/>
          <w:sz w:val="52"/>
          <w:szCs w:val="52"/>
        </w:rPr>
      </w:pPr>
      <w:r>
        <w:rPr>
          <w:rFonts w:hint="eastAsia" w:ascii="黑体" w:hAnsi="黑体" w:eastAsia="黑体" w:cs="黑体"/>
          <w:sz w:val="52"/>
          <w:szCs w:val="52"/>
        </w:rPr>
        <w:t>生物制造 医药研发中试平台建设通则</w:t>
      </w:r>
    </w:p>
    <w:p w14:paraId="4CB9EBF6">
      <w:pPr>
        <w:pStyle w:val="197"/>
        <w:framePr w:wrap="around" w:y="14176"/>
      </w:pPr>
      <w:r>
        <w:t>2025 - XX - XX发布</w:t>
      </w:r>
    </w:p>
    <w:p w14:paraId="139E0FEA">
      <w:pPr>
        <w:pStyle w:val="198"/>
        <w:framePr w:wrap="around" w:y="14176"/>
      </w:pPr>
      <w:r>
        <w:t>2025 - XX - XX实施</w:t>
      </w:r>
    </w:p>
    <w:p w14:paraId="31D54BCA">
      <w:pPr>
        <w:pStyle w:val="155"/>
        <w:framePr w:h="584" w:hRule="exact" w:hSpace="181" w:vSpace="181" w:wrap="around" w:y="14800"/>
        <w:rPr>
          <w:rFonts w:ascii="Times New Roman"/>
        </w:rPr>
      </w:pPr>
      <w:r>
        <w:rPr>
          <w:rFonts w:hint="eastAsia" w:ascii="Times New Roman"/>
          <w:w w:val="100"/>
          <w:sz w:val="28"/>
        </w:rPr>
        <w:t>中国医药新闻信息协</w:t>
      </w:r>
      <w:r>
        <w:rPr>
          <w:rFonts w:ascii="Times New Roman"/>
          <w:w w:val="100"/>
          <w:sz w:val="28"/>
        </w:rPr>
        <w:t>会  </w:t>
      </w:r>
      <w:r>
        <w:rPr>
          <w:rStyle w:val="233"/>
          <w:rFonts w:ascii="Times New Roman"/>
          <w:position w:val="0"/>
        </w:rPr>
        <w:t>发</w:t>
      </w:r>
      <w:r>
        <w:rPr>
          <w:rStyle w:val="233"/>
          <w:rFonts w:ascii="Times New Roman"/>
          <w:spacing w:val="0"/>
          <w:position w:val="0"/>
        </w:rPr>
        <w:t>布</w:t>
      </w:r>
    </w:p>
    <w:p w14:paraId="5EC95EAB">
      <w:pPr>
        <w:ind w:right="210" w:firstLine="280"/>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41C19A">
      <w:pPr>
        <w:pStyle w:val="95"/>
        <w:spacing w:after="360"/>
        <w:ind w:right="210" w:firstLine="960"/>
        <w:rPr>
          <w:rFonts w:ascii="Times New Roman" w:hAnsi="Times New Roman"/>
        </w:rPr>
      </w:pPr>
      <w:bookmarkStart w:id="3" w:name="BookMark1"/>
      <w:r>
        <w:rPr>
          <w:rFonts w:ascii="Times New Roman" w:hAnsi="Times New Roman"/>
          <w:spacing w:val="320"/>
        </w:rPr>
        <w:t>目</w:t>
      </w:r>
      <w:r>
        <w:rPr>
          <w:rFonts w:ascii="Times New Roman" w:hAnsi="Times New Roman"/>
        </w:rPr>
        <w:t>次</w:t>
      </w:r>
    </w:p>
    <w:p w14:paraId="04EB1752">
      <w:pPr>
        <w:pStyle w:val="20"/>
        <w:tabs>
          <w:tab w:val="right" w:leader="dot" w:pos="9354"/>
        </w:tabs>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_Toc2415 </w:instrText>
      </w:r>
      <w:r>
        <w:rPr>
          <w:rFonts w:ascii="Times New Roman" w:hAnsi="Times New Roman"/>
        </w:rPr>
        <w:fldChar w:fldCharType="separate"/>
      </w:r>
      <w:r>
        <w:rPr>
          <w:rFonts w:ascii="Times New Roman"/>
          <w:spacing w:val="320"/>
        </w:rPr>
        <w:t>前</w:t>
      </w:r>
      <w:r>
        <w:rPr>
          <w:rFonts w:ascii="Times New Roman"/>
        </w:rPr>
        <w:t>言</w:t>
      </w:r>
      <w:r>
        <w:tab/>
      </w:r>
      <w:r>
        <w:fldChar w:fldCharType="begin"/>
      </w:r>
      <w:r>
        <w:instrText xml:space="preserve"> PAGEREF _Toc2415 \h </w:instrText>
      </w:r>
      <w:r>
        <w:fldChar w:fldCharType="separate"/>
      </w:r>
      <w:r>
        <w:t>III</w:t>
      </w:r>
      <w:r>
        <w:fldChar w:fldCharType="end"/>
      </w:r>
      <w:r>
        <w:rPr>
          <w:rFonts w:ascii="Times New Roman" w:hAnsi="Times New Roman"/>
        </w:rPr>
        <w:fldChar w:fldCharType="end"/>
      </w:r>
    </w:p>
    <w:p w14:paraId="2B1F29D1">
      <w:pPr>
        <w:pStyle w:val="20"/>
        <w:tabs>
          <w:tab w:val="right" w:leader="dot" w:pos="9354"/>
        </w:tabs>
      </w:pPr>
      <w:r>
        <w:rPr>
          <w:rFonts w:ascii="Times New Roman" w:hAnsi="Times New Roman"/>
        </w:rPr>
        <w:fldChar w:fldCharType="begin"/>
      </w:r>
      <w:r>
        <w:rPr>
          <w:rFonts w:ascii="Times New Roman" w:hAnsi="Times New Roman"/>
        </w:rPr>
        <w:instrText xml:space="preserve"> HYPERLINK \l _Toc21774 </w:instrText>
      </w:r>
      <w:r>
        <w:rPr>
          <w:rFonts w:ascii="Times New Roman" w:hAnsi="Times New Roman"/>
        </w:rPr>
        <w:fldChar w:fldCharType="separate"/>
      </w:r>
      <w:r>
        <w:rPr>
          <w:rFonts w:hint="eastAsia" w:ascii="黑体" w:eastAsia="黑体"/>
          <w:i w:val="0"/>
        </w:rPr>
        <w:t xml:space="preserve">1 </w:t>
      </w:r>
      <w:r>
        <w:rPr>
          <w:rFonts w:ascii="Times New Roman"/>
        </w:rPr>
        <w:t>范围</w:t>
      </w:r>
      <w:r>
        <w:tab/>
      </w:r>
      <w:r>
        <w:fldChar w:fldCharType="begin"/>
      </w:r>
      <w:r>
        <w:instrText xml:space="preserve"> PAGEREF _Toc21774 \h </w:instrText>
      </w:r>
      <w:r>
        <w:fldChar w:fldCharType="separate"/>
      </w:r>
      <w:r>
        <w:t>1</w:t>
      </w:r>
      <w:r>
        <w:fldChar w:fldCharType="end"/>
      </w:r>
      <w:r>
        <w:rPr>
          <w:rFonts w:ascii="Times New Roman" w:hAnsi="Times New Roman"/>
        </w:rPr>
        <w:fldChar w:fldCharType="end"/>
      </w:r>
    </w:p>
    <w:p w14:paraId="697CFC1B">
      <w:pPr>
        <w:pStyle w:val="20"/>
        <w:tabs>
          <w:tab w:val="right" w:leader="dot" w:pos="9354"/>
        </w:tabs>
      </w:pPr>
      <w:r>
        <w:rPr>
          <w:rFonts w:ascii="Times New Roman" w:hAnsi="Times New Roman"/>
        </w:rPr>
        <w:fldChar w:fldCharType="begin"/>
      </w:r>
      <w:r>
        <w:rPr>
          <w:rFonts w:ascii="Times New Roman" w:hAnsi="Times New Roman"/>
        </w:rPr>
        <w:instrText xml:space="preserve"> HYPERLINK \l _Toc27228 </w:instrText>
      </w:r>
      <w:r>
        <w:rPr>
          <w:rFonts w:ascii="Times New Roman" w:hAnsi="Times New Roman"/>
        </w:rPr>
        <w:fldChar w:fldCharType="separate"/>
      </w:r>
      <w:r>
        <w:rPr>
          <w:rFonts w:hint="eastAsia" w:ascii="黑体" w:eastAsia="黑体"/>
          <w:i w:val="0"/>
        </w:rPr>
        <w:t xml:space="preserve">2 </w:t>
      </w:r>
      <w:r>
        <w:rPr>
          <w:rFonts w:ascii="Times New Roman"/>
        </w:rPr>
        <w:t>规范性引用文件</w:t>
      </w:r>
      <w:r>
        <w:tab/>
      </w:r>
      <w:r>
        <w:fldChar w:fldCharType="begin"/>
      </w:r>
      <w:r>
        <w:instrText xml:space="preserve"> PAGEREF _Toc27228 \h </w:instrText>
      </w:r>
      <w:r>
        <w:fldChar w:fldCharType="separate"/>
      </w:r>
      <w:r>
        <w:t>1</w:t>
      </w:r>
      <w:r>
        <w:fldChar w:fldCharType="end"/>
      </w:r>
      <w:r>
        <w:rPr>
          <w:rFonts w:ascii="Times New Roman" w:hAnsi="Times New Roman"/>
        </w:rPr>
        <w:fldChar w:fldCharType="end"/>
      </w:r>
    </w:p>
    <w:p w14:paraId="00F10A12">
      <w:pPr>
        <w:pStyle w:val="20"/>
        <w:tabs>
          <w:tab w:val="right" w:leader="dot" w:pos="9354"/>
        </w:tabs>
      </w:pPr>
      <w:r>
        <w:rPr>
          <w:rFonts w:ascii="Times New Roman" w:hAnsi="Times New Roman"/>
        </w:rPr>
        <w:fldChar w:fldCharType="begin"/>
      </w:r>
      <w:r>
        <w:rPr>
          <w:rFonts w:ascii="Times New Roman" w:hAnsi="Times New Roman"/>
        </w:rPr>
        <w:instrText xml:space="preserve"> HYPERLINK \l _Toc29153 </w:instrText>
      </w:r>
      <w:r>
        <w:rPr>
          <w:rFonts w:ascii="Times New Roman" w:hAnsi="Times New Roman"/>
        </w:rPr>
        <w:fldChar w:fldCharType="separate"/>
      </w:r>
      <w:r>
        <w:rPr>
          <w:rFonts w:hint="eastAsia" w:ascii="黑体" w:eastAsia="黑体"/>
          <w:i w:val="0"/>
        </w:rPr>
        <w:t xml:space="preserve">3 </w:t>
      </w:r>
      <w:r>
        <w:rPr>
          <w:rFonts w:ascii="Times New Roman"/>
          <w:szCs w:val="21"/>
        </w:rPr>
        <w:t>术语和定义</w:t>
      </w:r>
      <w:r>
        <w:tab/>
      </w:r>
      <w:r>
        <w:fldChar w:fldCharType="begin"/>
      </w:r>
      <w:r>
        <w:instrText xml:space="preserve"> PAGEREF _Toc29153 \h </w:instrText>
      </w:r>
      <w:r>
        <w:fldChar w:fldCharType="separate"/>
      </w:r>
      <w:r>
        <w:t>1</w:t>
      </w:r>
      <w:r>
        <w:fldChar w:fldCharType="end"/>
      </w:r>
      <w:r>
        <w:rPr>
          <w:rFonts w:ascii="Times New Roman" w:hAnsi="Times New Roman"/>
        </w:rPr>
        <w:fldChar w:fldCharType="end"/>
      </w:r>
    </w:p>
    <w:p w14:paraId="4ED83520">
      <w:pPr>
        <w:pStyle w:val="20"/>
        <w:tabs>
          <w:tab w:val="right" w:leader="dot" w:pos="9354"/>
        </w:tabs>
      </w:pPr>
      <w:r>
        <w:rPr>
          <w:rFonts w:ascii="Times New Roman" w:hAnsi="Times New Roman"/>
        </w:rPr>
        <w:fldChar w:fldCharType="begin"/>
      </w:r>
      <w:r>
        <w:rPr>
          <w:rFonts w:ascii="Times New Roman" w:hAnsi="Times New Roman"/>
        </w:rPr>
        <w:instrText xml:space="preserve"> HYPERLINK \l _Toc13622 </w:instrText>
      </w:r>
      <w:r>
        <w:rPr>
          <w:rFonts w:ascii="Times New Roman" w:hAnsi="Times New Roman"/>
        </w:rPr>
        <w:fldChar w:fldCharType="separate"/>
      </w:r>
      <w:r>
        <w:rPr>
          <w:rFonts w:hint="eastAsia" w:ascii="黑体" w:eastAsia="黑体"/>
          <w:i w:val="0"/>
        </w:rPr>
        <w:t xml:space="preserve">4 </w:t>
      </w:r>
      <w:r>
        <w:rPr>
          <w:rFonts w:hint="eastAsia" w:ascii="Times New Roman"/>
        </w:rPr>
        <w:t>总体</w:t>
      </w:r>
      <w:r>
        <w:rPr>
          <w:rFonts w:ascii="Times New Roman"/>
        </w:rPr>
        <w:t>要求</w:t>
      </w:r>
      <w:r>
        <w:tab/>
      </w:r>
      <w:r>
        <w:fldChar w:fldCharType="begin"/>
      </w:r>
      <w:r>
        <w:instrText xml:space="preserve"> PAGEREF _Toc13622 \h </w:instrText>
      </w:r>
      <w:r>
        <w:fldChar w:fldCharType="separate"/>
      </w:r>
      <w:r>
        <w:t>2</w:t>
      </w:r>
      <w:r>
        <w:fldChar w:fldCharType="end"/>
      </w:r>
      <w:r>
        <w:rPr>
          <w:rFonts w:ascii="Times New Roman" w:hAnsi="Times New Roman"/>
        </w:rPr>
        <w:fldChar w:fldCharType="end"/>
      </w:r>
    </w:p>
    <w:p w14:paraId="7C6FEA55">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_Toc3322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lang w:val="en-US" w:eastAsia="zh-CN"/>
        </w:rPr>
        <w:t>原则</w:t>
      </w:r>
      <w:r>
        <w:tab/>
      </w:r>
      <w:r>
        <w:fldChar w:fldCharType="begin"/>
      </w:r>
      <w:r>
        <w:instrText xml:space="preserve"> PAGEREF _Toc3322 \h </w:instrText>
      </w:r>
      <w:r>
        <w:fldChar w:fldCharType="separate"/>
      </w:r>
      <w:r>
        <w:t>2</w:t>
      </w:r>
      <w:r>
        <w:fldChar w:fldCharType="end"/>
      </w:r>
      <w:r>
        <w:rPr>
          <w:rFonts w:ascii="Times New Roman" w:hAnsi="Times New Roman"/>
        </w:rPr>
        <w:fldChar w:fldCharType="end"/>
      </w:r>
    </w:p>
    <w:p w14:paraId="2400FBD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_Toc21020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平台定位</w:t>
      </w:r>
      <w:r>
        <w:tab/>
      </w:r>
      <w:r>
        <w:fldChar w:fldCharType="begin"/>
      </w:r>
      <w:r>
        <w:instrText xml:space="preserve"> PAGEREF _Toc21020 \h </w:instrText>
      </w:r>
      <w:r>
        <w:fldChar w:fldCharType="separate"/>
      </w:r>
      <w:r>
        <w:t>2</w:t>
      </w:r>
      <w:r>
        <w:fldChar w:fldCharType="end"/>
      </w:r>
      <w:r>
        <w:rPr>
          <w:rFonts w:ascii="Times New Roman" w:hAnsi="Times New Roman"/>
        </w:rPr>
        <w:fldChar w:fldCharType="end"/>
      </w:r>
    </w:p>
    <w:p w14:paraId="1C60145A">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_Toc18523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rPr>
        <w:t>核心职能</w:t>
      </w:r>
      <w:r>
        <w:tab/>
      </w:r>
      <w:r>
        <w:fldChar w:fldCharType="begin"/>
      </w:r>
      <w:r>
        <w:instrText xml:space="preserve"> PAGEREF _Toc18523 \h </w:instrText>
      </w:r>
      <w:r>
        <w:fldChar w:fldCharType="separate"/>
      </w:r>
      <w:r>
        <w:t>2</w:t>
      </w:r>
      <w:r>
        <w:fldChar w:fldCharType="end"/>
      </w:r>
      <w:r>
        <w:rPr>
          <w:rFonts w:ascii="Times New Roman" w:hAnsi="Times New Roman"/>
        </w:rPr>
        <w:fldChar w:fldCharType="end"/>
      </w:r>
    </w:p>
    <w:p w14:paraId="78809D6B">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_Toc21467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rPr>
        <w:t>服务对象</w:t>
      </w:r>
      <w:r>
        <w:tab/>
      </w:r>
      <w:r>
        <w:fldChar w:fldCharType="begin"/>
      </w:r>
      <w:r>
        <w:instrText xml:space="preserve"> PAGEREF _Toc21467 \h </w:instrText>
      </w:r>
      <w:r>
        <w:fldChar w:fldCharType="separate"/>
      </w:r>
      <w:r>
        <w:t>2</w:t>
      </w:r>
      <w:r>
        <w:fldChar w:fldCharType="end"/>
      </w:r>
      <w:r>
        <w:rPr>
          <w:rFonts w:ascii="Times New Roman" w:hAnsi="Times New Roman"/>
        </w:rPr>
        <w:fldChar w:fldCharType="end"/>
      </w:r>
    </w:p>
    <w:p w14:paraId="094855BA">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_Toc26898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lang w:val="en-US" w:eastAsia="zh-CN"/>
        </w:rPr>
        <w:t>服务模式</w:t>
      </w:r>
      <w:r>
        <w:tab/>
      </w:r>
      <w:r>
        <w:fldChar w:fldCharType="begin"/>
      </w:r>
      <w:r>
        <w:instrText xml:space="preserve"> PAGEREF _Toc26898 \h </w:instrText>
      </w:r>
      <w:r>
        <w:fldChar w:fldCharType="separate"/>
      </w:r>
      <w:r>
        <w:t>2</w:t>
      </w:r>
      <w:r>
        <w:fldChar w:fldCharType="end"/>
      </w:r>
      <w:r>
        <w:rPr>
          <w:rFonts w:ascii="Times New Roman" w:hAnsi="Times New Roman"/>
        </w:rPr>
        <w:fldChar w:fldCharType="end"/>
      </w:r>
    </w:p>
    <w:p w14:paraId="05DDB6A2">
      <w:pPr>
        <w:pStyle w:val="20"/>
        <w:tabs>
          <w:tab w:val="right" w:leader="dot" w:pos="9354"/>
        </w:tabs>
      </w:pPr>
      <w:r>
        <w:rPr>
          <w:rFonts w:ascii="Times New Roman" w:hAnsi="Times New Roman"/>
        </w:rPr>
        <w:fldChar w:fldCharType="begin"/>
      </w:r>
      <w:r>
        <w:rPr>
          <w:rFonts w:ascii="Times New Roman" w:hAnsi="Times New Roman"/>
        </w:rPr>
        <w:instrText xml:space="preserve"> HYPERLINK \l _Toc15097 </w:instrText>
      </w:r>
      <w:r>
        <w:rPr>
          <w:rFonts w:ascii="Times New Roman" w:hAnsi="Times New Roman"/>
        </w:rPr>
        <w:fldChar w:fldCharType="separate"/>
      </w:r>
      <w:r>
        <w:rPr>
          <w:rFonts w:hint="eastAsia" w:ascii="黑体" w:eastAsia="黑体"/>
          <w:i w:val="0"/>
        </w:rPr>
        <w:t xml:space="preserve">5 </w:t>
      </w:r>
      <w:r>
        <w:rPr>
          <w:rFonts w:hint="eastAsia" w:ascii="Times New Roman"/>
        </w:rPr>
        <w:t>建设要求</w:t>
      </w:r>
      <w:r>
        <w:tab/>
      </w:r>
      <w:r>
        <w:fldChar w:fldCharType="begin"/>
      </w:r>
      <w:r>
        <w:instrText xml:space="preserve"> PAGEREF _Toc15097 \h </w:instrText>
      </w:r>
      <w:r>
        <w:fldChar w:fldCharType="separate"/>
      </w:r>
      <w:r>
        <w:t>2</w:t>
      </w:r>
      <w:r>
        <w:fldChar w:fldCharType="end"/>
      </w:r>
      <w:r>
        <w:rPr>
          <w:rFonts w:ascii="Times New Roman" w:hAnsi="Times New Roman"/>
        </w:rPr>
        <w:fldChar w:fldCharType="end"/>
      </w:r>
    </w:p>
    <w:p w14:paraId="564FFAC6">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_Toc9869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lang w:val="en-US" w:eastAsia="zh-CN"/>
        </w:rPr>
        <w:t>总体要求</w:t>
      </w:r>
      <w:r>
        <w:tab/>
      </w:r>
      <w:r>
        <w:fldChar w:fldCharType="begin"/>
      </w:r>
      <w:r>
        <w:instrText xml:space="preserve"> PAGEREF _Toc9869 \h </w:instrText>
      </w:r>
      <w:r>
        <w:fldChar w:fldCharType="separate"/>
      </w:r>
      <w:r>
        <w:t>2</w:t>
      </w:r>
      <w:r>
        <w:fldChar w:fldCharType="end"/>
      </w:r>
      <w:r>
        <w:rPr>
          <w:rFonts w:ascii="Times New Roman" w:hAnsi="Times New Roman"/>
        </w:rPr>
        <w:fldChar w:fldCharType="end"/>
      </w:r>
    </w:p>
    <w:p w14:paraId="418660ED">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_Toc15908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lang w:val="en-US" w:eastAsia="zh-CN"/>
        </w:rPr>
        <w:t>区域选择</w:t>
      </w:r>
      <w:r>
        <w:tab/>
      </w:r>
      <w:r>
        <w:fldChar w:fldCharType="begin"/>
      </w:r>
      <w:r>
        <w:instrText xml:space="preserve"> PAGEREF _Toc15908 \h </w:instrText>
      </w:r>
      <w:r>
        <w:fldChar w:fldCharType="separate"/>
      </w:r>
      <w:r>
        <w:t>2</w:t>
      </w:r>
      <w:r>
        <w:fldChar w:fldCharType="end"/>
      </w:r>
      <w:r>
        <w:rPr>
          <w:rFonts w:ascii="Times New Roman" w:hAnsi="Times New Roman"/>
        </w:rPr>
        <w:fldChar w:fldCharType="end"/>
      </w:r>
    </w:p>
    <w:p w14:paraId="06F1D5DD">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_Toc11735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lang w:val="en-US" w:eastAsia="zh-CN"/>
        </w:rPr>
        <w:t>总体规划</w:t>
      </w:r>
      <w:r>
        <w:tab/>
      </w:r>
      <w:r>
        <w:fldChar w:fldCharType="begin"/>
      </w:r>
      <w:r>
        <w:instrText xml:space="preserve"> PAGEREF _Toc11735 \h </w:instrText>
      </w:r>
      <w:r>
        <w:fldChar w:fldCharType="separate"/>
      </w:r>
      <w:r>
        <w:t>3</w:t>
      </w:r>
      <w:r>
        <w:fldChar w:fldCharType="end"/>
      </w:r>
      <w:r>
        <w:rPr>
          <w:rFonts w:ascii="Times New Roman" w:hAnsi="Times New Roman"/>
        </w:rPr>
        <w:fldChar w:fldCharType="end"/>
      </w:r>
    </w:p>
    <w:p w14:paraId="062F3948">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_Toc11014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lang w:val="en-US" w:eastAsia="zh-CN"/>
        </w:rPr>
        <w:t>建筑规划</w:t>
      </w:r>
      <w:r>
        <w:tab/>
      </w:r>
      <w:r>
        <w:fldChar w:fldCharType="begin"/>
      </w:r>
      <w:r>
        <w:instrText xml:space="preserve"> PAGEREF _Toc11014 \h </w:instrText>
      </w:r>
      <w:r>
        <w:fldChar w:fldCharType="separate"/>
      </w:r>
      <w:r>
        <w:t>3</w:t>
      </w:r>
      <w:r>
        <w:fldChar w:fldCharType="end"/>
      </w:r>
      <w:r>
        <w:rPr>
          <w:rFonts w:ascii="Times New Roman" w:hAnsi="Times New Roman"/>
        </w:rPr>
        <w:fldChar w:fldCharType="end"/>
      </w:r>
    </w:p>
    <w:p w14:paraId="36A055CC">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_Toc16276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lang w:val="en-US" w:eastAsia="zh-CN"/>
        </w:rPr>
        <w:t>实验室区（化验区）</w:t>
      </w:r>
      <w:r>
        <w:tab/>
      </w:r>
      <w:r>
        <w:fldChar w:fldCharType="begin"/>
      </w:r>
      <w:r>
        <w:instrText xml:space="preserve"> PAGEREF _Toc16276 \h </w:instrText>
      </w:r>
      <w:r>
        <w:fldChar w:fldCharType="separate"/>
      </w:r>
      <w:r>
        <w:t>3</w:t>
      </w:r>
      <w:r>
        <w:fldChar w:fldCharType="end"/>
      </w:r>
      <w:r>
        <w:rPr>
          <w:rFonts w:ascii="Times New Roman" w:hAnsi="Times New Roman"/>
        </w:rPr>
        <w:fldChar w:fldCharType="end"/>
      </w:r>
    </w:p>
    <w:p w14:paraId="786A9C95">
      <w:pPr>
        <w:pStyle w:val="20"/>
        <w:tabs>
          <w:tab w:val="right" w:leader="dot" w:pos="9354"/>
        </w:tabs>
      </w:pPr>
      <w:r>
        <w:rPr>
          <w:rFonts w:ascii="Times New Roman" w:hAnsi="Times New Roman"/>
        </w:rPr>
        <w:fldChar w:fldCharType="begin"/>
      </w:r>
      <w:r>
        <w:rPr>
          <w:rFonts w:ascii="Times New Roman" w:hAnsi="Times New Roman"/>
        </w:rPr>
        <w:instrText xml:space="preserve"> HYPERLINK \l _Toc19147 </w:instrText>
      </w:r>
      <w:r>
        <w:rPr>
          <w:rFonts w:ascii="Times New Roman" w:hAnsi="Times New Roman"/>
        </w:rPr>
        <w:fldChar w:fldCharType="separate"/>
      </w:r>
      <w:r>
        <w:rPr>
          <w:rFonts w:hint="eastAsia" w:ascii="黑体" w:hAnsi="Times New Roman" w:eastAsia="黑体" w:cs="Times New Roman"/>
          <w:i w:val="0"/>
          <w:lang w:val="en-US" w:eastAsia="zh-CN"/>
        </w:rPr>
        <w:t xml:space="preserve">6 </w:t>
      </w:r>
      <w:r>
        <w:rPr>
          <w:rFonts w:hint="eastAsia" w:ascii="Times New Roman" w:hAnsi="Times New Roman" w:cs="Times New Roman"/>
          <w:lang w:val="en-US" w:eastAsia="zh-CN"/>
        </w:rPr>
        <w:t>设备条件</w:t>
      </w:r>
      <w:r>
        <w:tab/>
      </w:r>
      <w:r>
        <w:fldChar w:fldCharType="begin"/>
      </w:r>
      <w:r>
        <w:instrText xml:space="preserve"> PAGEREF _Toc19147 \h </w:instrText>
      </w:r>
      <w:r>
        <w:fldChar w:fldCharType="separate"/>
      </w:r>
      <w:r>
        <w:t>6</w:t>
      </w:r>
      <w:r>
        <w:fldChar w:fldCharType="end"/>
      </w:r>
      <w:r>
        <w:rPr>
          <w:rFonts w:ascii="Times New Roman" w:hAnsi="Times New Roman"/>
        </w:rPr>
        <w:fldChar w:fldCharType="end"/>
      </w:r>
    </w:p>
    <w:p w14:paraId="40F6F5E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_Toc18156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Times New Roman" w:hAnsi="Times New Roman" w:cs="Times New Roman"/>
          <w:lang w:val="en-US" w:eastAsia="zh-CN"/>
        </w:rPr>
        <w:t>设备配置</w:t>
      </w:r>
      <w:r>
        <w:tab/>
      </w:r>
      <w:r>
        <w:fldChar w:fldCharType="begin"/>
      </w:r>
      <w:r>
        <w:instrText xml:space="preserve"> PAGEREF _Toc18156 \h </w:instrText>
      </w:r>
      <w:r>
        <w:fldChar w:fldCharType="separate"/>
      </w:r>
      <w:r>
        <w:t>6</w:t>
      </w:r>
      <w:r>
        <w:fldChar w:fldCharType="end"/>
      </w:r>
      <w:r>
        <w:rPr>
          <w:rFonts w:ascii="Times New Roman" w:hAnsi="Times New Roman"/>
        </w:rPr>
        <w:fldChar w:fldCharType="end"/>
      </w:r>
    </w:p>
    <w:p w14:paraId="689567A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_Toc20456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Times New Roman" w:hAnsi="Times New Roman" w:cs="Times New Roman"/>
          <w:lang w:val="en-US" w:eastAsia="zh-CN"/>
        </w:rPr>
        <w:t>人才团队</w:t>
      </w:r>
      <w:r>
        <w:tab/>
      </w:r>
      <w:r>
        <w:fldChar w:fldCharType="begin"/>
      </w:r>
      <w:r>
        <w:instrText xml:space="preserve"> PAGEREF _Toc20456 \h </w:instrText>
      </w:r>
      <w:r>
        <w:fldChar w:fldCharType="separate"/>
      </w:r>
      <w:r>
        <w:t>7</w:t>
      </w:r>
      <w:r>
        <w:fldChar w:fldCharType="end"/>
      </w:r>
      <w:r>
        <w:rPr>
          <w:rFonts w:ascii="Times New Roman" w:hAnsi="Times New Roman"/>
        </w:rPr>
        <w:fldChar w:fldCharType="end"/>
      </w:r>
    </w:p>
    <w:p w14:paraId="0CE74F8E">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_Toc30923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Times New Roman" w:hAnsi="Times New Roman" w:cs="Times New Roman"/>
          <w:lang w:val="en-US" w:eastAsia="zh-CN"/>
        </w:rPr>
        <w:t>技术能力</w:t>
      </w:r>
      <w:r>
        <w:tab/>
      </w:r>
      <w:r>
        <w:fldChar w:fldCharType="begin"/>
      </w:r>
      <w:r>
        <w:instrText xml:space="preserve"> PAGEREF _Toc30923 \h </w:instrText>
      </w:r>
      <w:r>
        <w:fldChar w:fldCharType="separate"/>
      </w:r>
      <w:r>
        <w:t>7</w:t>
      </w:r>
      <w:r>
        <w:fldChar w:fldCharType="end"/>
      </w:r>
      <w:r>
        <w:rPr>
          <w:rFonts w:ascii="Times New Roman" w:hAnsi="Times New Roman"/>
        </w:rPr>
        <w:fldChar w:fldCharType="end"/>
      </w:r>
    </w:p>
    <w:p w14:paraId="3DD008F5">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_Toc16082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lang w:val="en-US" w:eastAsia="zh-CN"/>
        </w:rPr>
        <w:t>典型工艺流程</w:t>
      </w:r>
      <w:r>
        <w:tab/>
      </w:r>
      <w:r>
        <w:fldChar w:fldCharType="begin"/>
      </w:r>
      <w:r>
        <w:instrText xml:space="preserve"> PAGEREF _Toc16082 \h </w:instrText>
      </w:r>
      <w:r>
        <w:fldChar w:fldCharType="separate"/>
      </w:r>
      <w:r>
        <w:t>7</w:t>
      </w:r>
      <w:r>
        <w:fldChar w:fldCharType="end"/>
      </w:r>
      <w:r>
        <w:rPr>
          <w:rFonts w:ascii="Times New Roman" w:hAnsi="Times New Roman"/>
        </w:rPr>
        <w:fldChar w:fldCharType="end"/>
      </w:r>
    </w:p>
    <w:p w14:paraId="2F83BDA9">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_Toc17947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rPr>
        <w:t>质量管理</w:t>
      </w:r>
      <w:r>
        <w:tab/>
      </w:r>
      <w:r>
        <w:fldChar w:fldCharType="begin"/>
      </w:r>
      <w:r>
        <w:instrText xml:space="preserve"> PAGEREF _Toc17947 \h </w:instrText>
      </w:r>
      <w:r>
        <w:fldChar w:fldCharType="separate"/>
      </w:r>
      <w:r>
        <w:t>7</w:t>
      </w:r>
      <w:r>
        <w:fldChar w:fldCharType="end"/>
      </w:r>
      <w:r>
        <w:rPr>
          <w:rFonts w:ascii="Times New Roman" w:hAnsi="Times New Roman"/>
        </w:rPr>
        <w:fldChar w:fldCharType="end"/>
      </w:r>
    </w:p>
    <w:p w14:paraId="11B31722">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_Toc4561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ascii="Times New Roman" w:hAnsi="Times New Roman" w:cs="Times New Roman"/>
          <w:lang w:val="en-US" w:eastAsia="zh-CN"/>
        </w:rPr>
        <w:t>风险</w:t>
      </w:r>
      <w:r>
        <w:rPr>
          <w:rFonts w:hint="eastAsia" w:ascii="Times New Roman" w:hAnsi="Times New Roman" w:cs="Times New Roman"/>
        </w:rPr>
        <w:t>控制</w:t>
      </w:r>
      <w:r>
        <w:tab/>
      </w:r>
      <w:r>
        <w:fldChar w:fldCharType="begin"/>
      </w:r>
      <w:r>
        <w:instrText xml:space="preserve"> PAGEREF _Toc4561 \h </w:instrText>
      </w:r>
      <w:r>
        <w:fldChar w:fldCharType="separate"/>
      </w:r>
      <w:r>
        <w:t>7</w:t>
      </w:r>
      <w:r>
        <w:fldChar w:fldCharType="end"/>
      </w:r>
      <w:r>
        <w:rPr>
          <w:rFonts w:ascii="Times New Roman" w:hAnsi="Times New Roman"/>
        </w:rPr>
        <w:fldChar w:fldCharType="end"/>
      </w:r>
    </w:p>
    <w:p w14:paraId="4D6DC68C">
      <w:pPr>
        <w:pStyle w:val="20"/>
        <w:tabs>
          <w:tab w:val="right" w:leader="dot" w:pos="9354"/>
        </w:tabs>
      </w:pPr>
      <w:r>
        <w:rPr>
          <w:rFonts w:ascii="Times New Roman" w:hAnsi="Times New Roman"/>
        </w:rPr>
        <w:fldChar w:fldCharType="begin"/>
      </w:r>
      <w:r>
        <w:rPr>
          <w:rFonts w:ascii="Times New Roman" w:hAnsi="Times New Roman"/>
        </w:rPr>
        <w:instrText xml:space="preserve"> HYPERLINK \l _Toc235 </w:instrText>
      </w:r>
      <w:r>
        <w:rPr>
          <w:rFonts w:ascii="Times New Roman" w:hAnsi="Times New Roman"/>
        </w:rPr>
        <w:fldChar w:fldCharType="separate"/>
      </w:r>
      <w:r>
        <w:rPr>
          <w:rFonts w:hint="eastAsia" w:ascii="黑体" w:eastAsia="黑体"/>
          <w:i w:val="0"/>
        </w:rPr>
        <w:t xml:space="preserve">7 </w:t>
      </w:r>
      <w:r>
        <w:rPr>
          <w:rFonts w:hint="eastAsia"/>
        </w:rPr>
        <w:t>知识产权保护</w:t>
      </w:r>
      <w:r>
        <w:tab/>
      </w:r>
      <w:r>
        <w:fldChar w:fldCharType="begin"/>
      </w:r>
      <w:r>
        <w:instrText xml:space="preserve"> PAGEREF _Toc235 \h </w:instrText>
      </w:r>
      <w:r>
        <w:fldChar w:fldCharType="separate"/>
      </w:r>
      <w:r>
        <w:t>8</w:t>
      </w:r>
      <w:r>
        <w:fldChar w:fldCharType="end"/>
      </w:r>
      <w:r>
        <w:rPr>
          <w:rFonts w:ascii="Times New Roman" w:hAnsi="Times New Roman"/>
        </w:rPr>
        <w:fldChar w:fldCharType="end"/>
      </w:r>
    </w:p>
    <w:p w14:paraId="0DC515B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_Toc6167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Times New Roman" w:hAnsi="Times New Roman" w:cs="Times New Roman"/>
        </w:rPr>
        <w:t>组织体系</w:t>
      </w:r>
      <w:r>
        <w:tab/>
      </w:r>
      <w:r>
        <w:fldChar w:fldCharType="begin"/>
      </w:r>
      <w:r>
        <w:instrText xml:space="preserve"> PAGEREF _Toc6167 \h </w:instrText>
      </w:r>
      <w:r>
        <w:fldChar w:fldCharType="separate"/>
      </w:r>
      <w:r>
        <w:t>8</w:t>
      </w:r>
      <w:r>
        <w:fldChar w:fldCharType="end"/>
      </w:r>
      <w:r>
        <w:rPr>
          <w:rFonts w:ascii="Times New Roman" w:hAnsi="Times New Roman"/>
        </w:rPr>
        <w:fldChar w:fldCharType="end"/>
      </w:r>
    </w:p>
    <w:p w14:paraId="697F99C8">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_Toc21401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Times New Roman" w:hAnsi="Times New Roman" w:cs="Times New Roman"/>
        </w:rPr>
        <w:t>菌种管理</w:t>
      </w:r>
      <w:r>
        <w:tab/>
      </w:r>
      <w:r>
        <w:fldChar w:fldCharType="begin"/>
      </w:r>
      <w:r>
        <w:instrText xml:space="preserve"> PAGEREF _Toc21401 \h </w:instrText>
      </w:r>
      <w:r>
        <w:fldChar w:fldCharType="separate"/>
      </w:r>
      <w:r>
        <w:t>8</w:t>
      </w:r>
      <w:r>
        <w:fldChar w:fldCharType="end"/>
      </w:r>
      <w:r>
        <w:rPr>
          <w:rFonts w:ascii="Times New Roman" w:hAnsi="Times New Roman"/>
        </w:rPr>
        <w:fldChar w:fldCharType="end"/>
      </w:r>
    </w:p>
    <w:p w14:paraId="10F67DF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_Toc21171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Times New Roman" w:hAnsi="Times New Roman" w:cs="Times New Roman"/>
        </w:rPr>
        <w:t>技术管理</w:t>
      </w:r>
      <w:r>
        <w:tab/>
      </w:r>
      <w:r>
        <w:fldChar w:fldCharType="begin"/>
      </w:r>
      <w:r>
        <w:instrText xml:space="preserve"> PAGEREF _Toc21171 \h </w:instrText>
      </w:r>
      <w:r>
        <w:fldChar w:fldCharType="separate"/>
      </w:r>
      <w:r>
        <w:t>8</w:t>
      </w:r>
      <w:r>
        <w:fldChar w:fldCharType="end"/>
      </w:r>
      <w:r>
        <w:rPr>
          <w:rFonts w:ascii="Times New Roman" w:hAnsi="Times New Roman"/>
        </w:rPr>
        <w:fldChar w:fldCharType="end"/>
      </w:r>
    </w:p>
    <w:p w14:paraId="0B9A803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_Toc25207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ascii="Times New Roman" w:hAnsi="Times New Roman" w:cs="Times New Roman"/>
        </w:rPr>
        <w:t>安全管理</w:t>
      </w:r>
      <w:r>
        <w:tab/>
      </w:r>
      <w:r>
        <w:fldChar w:fldCharType="begin"/>
      </w:r>
      <w:r>
        <w:instrText xml:space="preserve"> PAGEREF _Toc25207 \h </w:instrText>
      </w:r>
      <w:r>
        <w:fldChar w:fldCharType="separate"/>
      </w:r>
      <w:r>
        <w:t>8</w:t>
      </w:r>
      <w:r>
        <w:fldChar w:fldCharType="end"/>
      </w:r>
      <w:r>
        <w:rPr>
          <w:rFonts w:ascii="Times New Roman" w:hAnsi="Times New Roman"/>
        </w:rPr>
        <w:fldChar w:fldCharType="end"/>
      </w:r>
    </w:p>
    <w:p w14:paraId="149F5A94">
      <w:pPr>
        <w:pStyle w:val="20"/>
        <w:tabs>
          <w:tab w:val="right" w:leader="dot" w:pos="9354"/>
        </w:tabs>
      </w:pPr>
      <w:r>
        <w:rPr>
          <w:rFonts w:ascii="Times New Roman" w:hAnsi="Times New Roman"/>
        </w:rPr>
        <w:fldChar w:fldCharType="begin"/>
      </w:r>
      <w:r>
        <w:rPr>
          <w:rFonts w:ascii="Times New Roman" w:hAnsi="Times New Roman"/>
        </w:rPr>
        <w:instrText xml:space="preserve"> HYPERLINK \l _Toc26152 </w:instrText>
      </w:r>
      <w:r>
        <w:rPr>
          <w:rFonts w:ascii="Times New Roman" w:hAnsi="Times New Roman"/>
        </w:rPr>
        <w:fldChar w:fldCharType="separate"/>
      </w:r>
      <w:r>
        <w:rPr>
          <w:rFonts w:hint="eastAsia" w:ascii="黑体" w:eastAsia="黑体"/>
          <w:i w:val="0"/>
        </w:rPr>
        <w:t xml:space="preserve">8 </w:t>
      </w:r>
      <w:r>
        <w:rPr>
          <w:rFonts w:hint="eastAsia"/>
          <w:lang w:val="en-US" w:eastAsia="zh-CN"/>
        </w:rPr>
        <w:t>信息安全</w:t>
      </w:r>
      <w:r>
        <w:tab/>
      </w:r>
      <w:r>
        <w:fldChar w:fldCharType="begin"/>
      </w:r>
      <w:r>
        <w:instrText xml:space="preserve"> PAGEREF _Toc26152 \h </w:instrText>
      </w:r>
      <w:r>
        <w:fldChar w:fldCharType="separate"/>
      </w:r>
      <w:r>
        <w:t>9</w:t>
      </w:r>
      <w:r>
        <w:fldChar w:fldCharType="end"/>
      </w:r>
      <w:r>
        <w:rPr>
          <w:rFonts w:ascii="Times New Roman" w:hAnsi="Times New Roman"/>
        </w:rPr>
        <w:fldChar w:fldCharType="end"/>
      </w:r>
    </w:p>
    <w:p w14:paraId="51FCD55E">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_Toc29579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lang w:val="en-US" w:eastAsia="zh-CN"/>
        </w:rPr>
        <w:t>数据安全</w:t>
      </w:r>
      <w:r>
        <w:tab/>
      </w:r>
      <w:r>
        <w:fldChar w:fldCharType="begin"/>
      </w:r>
      <w:r>
        <w:instrText xml:space="preserve"> PAGEREF _Toc29579 \h </w:instrText>
      </w:r>
      <w:r>
        <w:fldChar w:fldCharType="separate"/>
      </w:r>
      <w:r>
        <w:t>9</w:t>
      </w:r>
      <w:r>
        <w:fldChar w:fldCharType="end"/>
      </w:r>
      <w:r>
        <w:rPr>
          <w:rFonts w:ascii="Times New Roman" w:hAnsi="Times New Roman"/>
        </w:rPr>
        <w:fldChar w:fldCharType="end"/>
      </w:r>
    </w:p>
    <w:p w14:paraId="0437DAA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_Toc11693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lang w:val="en-US" w:eastAsia="zh-CN"/>
        </w:rPr>
        <w:t>应用安全</w:t>
      </w:r>
      <w:r>
        <w:tab/>
      </w:r>
      <w:r>
        <w:fldChar w:fldCharType="begin"/>
      </w:r>
      <w:r>
        <w:instrText xml:space="preserve"> PAGEREF _Toc11693 \h </w:instrText>
      </w:r>
      <w:r>
        <w:fldChar w:fldCharType="separate"/>
      </w:r>
      <w:r>
        <w:t>9</w:t>
      </w:r>
      <w:r>
        <w:fldChar w:fldCharType="end"/>
      </w:r>
      <w:r>
        <w:rPr>
          <w:rFonts w:ascii="Times New Roman" w:hAnsi="Times New Roman"/>
        </w:rPr>
        <w:fldChar w:fldCharType="end"/>
      </w:r>
    </w:p>
    <w:p w14:paraId="499510D7">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_Toc5463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lang w:val="en-US" w:eastAsia="zh-CN"/>
        </w:rPr>
        <w:t>数据库安全</w:t>
      </w:r>
      <w:r>
        <w:tab/>
      </w:r>
      <w:r>
        <w:fldChar w:fldCharType="begin"/>
      </w:r>
      <w:r>
        <w:instrText xml:space="preserve"> PAGEREF _Toc5463 \h </w:instrText>
      </w:r>
      <w:r>
        <w:fldChar w:fldCharType="separate"/>
      </w:r>
      <w:r>
        <w:t>9</w:t>
      </w:r>
      <w:r>
        <w:fldChar w:fldCharType="end"/>
      </w:r>
      <w:r>
        <w:rPr>
          <w:rFonts w:ascii="Times New Roman" w:hAnsi="Times New Roman"/>
        </w:rPr>
        <w:fldChar w:fldCharType="end"/>
      </w:r>
    </w:p>
    <w:p w14:paraId="4685B6B3">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_Toc9560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lang w:val="en-US" w:eastAsia="zh-CN"/>
        </w:rPr>
        <w:t>网络安全</w:t>
      </w:r>
      <w:r>
        <w:tab/>
      </w:r>
      <w:r>
        <w:fldChar w:fldCharType="begin"/>
      </w:r>
      <w:r>
        <w:instrText xml:space="preserve"> PAGEREF _Toc9560 \h </w:instrText>
      </w:r>
      <w:r>
        <w:fldChar w:fldCharType="separate"/>
      </w:r>
      <w:r>
        <w:t>9</w:t>
      </w:r>
      <w:r>
        <w:fldChar w:fldCharType="end"/>
      </w:r>
      <w:r>
        <w:rPr>
          <w:rFonts w:ascii="Times New Roman" w:hAnsi="Times New Roman"/>
        </w:rPr>
        <w:fldChar w:fldCharType="end"/>
      </w:r>
    </w:p>
    <w:p w14:paraId="1E294336">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_Toc17608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8.5 </w:t>
      </w:r>
      <w:r>
        <w:rPr>
          <w:rFonts w:hint="eastAsia"/>
          <w:lang w:val="en-US" w:eastAsia="zh-CN"/>
        </w:rPr>
        <w:t>安全管理与审计</w:t>
      </w:r>
      <w:r>
        <w:tab/>
      </w:r>
      <w:r>
        <w:fldChar w:fldCharType="begin"/>
      </w:r>
      <w:r>
        <w:instrText xml:space="preserve"> PAGEREF _Toc17608 \h </w:instrText>
      </w:r>
      <w:r>
        <w:fldChar w:fldCharType="separate"/>
      </w:r>
      <w:r>
        <w:t>10</w:t>
      </w:r>
      <w:r>
        <w:fldChar w:fldCharType="end"/>
      </w:r>
      <w:r>
        <w:rPr>
          <w:rFonts w:ascii="Times New Roman" w:hAnsi="Times New Roman"/>
        </w:rPr>
        <w:fldChar w:fldCharType="end"/>
      </w:r>
    </w:p>
    <w:p w14:paraId="0F9EE69A">
      <w:pPr>
        <w:pStyle w:val="20"/>
        <w:tabs>
          <w:tab w:val="right" w:leader="dot" w:pos="9354"/>
        </w:tabs>
      </w:pPr>
      <w:r>
        <w:rPr>
          <w:rFonts w:ascii="Times New Roman" w:hAnsi="Times New Roman"/>
        </w:rPr>
        <w:fldChar w:fldCharType="begin"/>
      </w:r>
      <w:r>
        <w:rPr>
          <w:rFonts w:ascii="Times New Roman" w:hAnsi="Times New Roman"/>
        </w:rPr>
        <w:instrText xml:space="preserve"> HYPERLINK \l _Toc19146 </w:instrText>
      </w:r>
      <w:r>
        <w:rPr>
          <w:rFonts w:ascii="Times New Roman" w:hAnsi="Times New Roman"/>
        </w:rPr>
        <w:fldChar w:fldCharType="separate"/>
      </w:r>
      <w:r>
        <w:rPr>
          <w:rFonts w:hint="eastAsia" w:ascii="黑体" w:eastAsia="黑体"/>
          <w:i w:val="0"/>
        </w:rPr>
        <w:t xml:space="preserve">9 </w:t>
      </w:r>
      <w:r>
        <w:rPr>
          <w:rFonts w:hint="eastAsia" w:ascii="Times New Roman"/>
        </w:rPr>
        <w:t>评价与改进</w:t>
      </w:r>
      <w:r>
        <w:tab/>
      </w:r>
      <w:r>
        <w:fldChar w:fldCharType="begin"/>
      </w:r>
      <w:r>
        <w:instrText xml:space="preserve"> PAGEREF _Toc19146 \h </w:instrText>
      </w:r>
      <w:r>
        <w:fldChar w:fldCharType="separate"/>
      </w:r>
      <w:r>
        <w:t>10</w:t>
      </w:r>
      <w:r>
        <w:fldChar w:fldCharType="end"/>
      </w:r>
      <w:r>
        <w:rPr>
          <w:rFonts w:ascii="Times New Roman" w:hAnsi="Times New Roman"/>
        </w:rPr>
        <w:fldChar w:fldCharType="end"/>
      </w:r>
    </w:p>
    <w:p w14:paraId="17A0242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_Toc21442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ascii="宋体" w:hAnsi="宋体" w:eastAsia="宋体" w:cs="宋体"/>
          <w:lang w:val="en-US" w:eastAsia="zh-CN"/>
        </w:rPr>
        <w:t>应符合GB 19489中7.11的规定。</w:t>
      </w:r>
      <w:r>
        <w:tab/>
      </w:r>
      <w:r>
        <w:fldChar w:fldCharType="begin"/>
      </w:r>
      <w:r>
        <w:instrText xml:space="preserve"> PAGEREF _Toc21442 \h </w:instrText>
      </w:r>
      <w:r>
        <w:fldChar w:fldCharType="separate"/>
      </w:r>
      <w:r>
        <w:t>10</w:t>
      </w:r>
      <w:r>
        <w:fldChar w:fldCharType="end"/>
      </w:r>
      <w:r>
        <w:rPr>
          <w:rFonts w:ascii="Times New Roman" w:hAnsi="Times New Roman"/>
        </w:rPr>
        <w:fldChar w:fldCharType="end"/>
      </w:r>
    </w:p>
    <w:p w14:paraId="57C416C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_Toc20499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ascii="宋体" w:hAnsi="宋体" w:eastAsia="宋体" w:cs="宋体"/>
          <w:lang w:val="en-US" w:eastAsia="zh-CN"/>
        </w:rPr>
        <w:t>定期开展自我评价，接受第三方评估。</w:t>
      </w:r>
      <w:r>
        <w:tab/>
      </w:r>
      <w:r>
        <w:fldChar w:fldCharType="begin"/>
      </w:r>
      <w:r>
        <w:instrText xml:space="preserve"> PAGEREF _Toc20499 \h </w:instrText>
      </w:r>
      <w:r>
        <w:fldChar w:fldCharType="separate"/>
      </w:r>
      <w:r>
        <w:t>10</w:t>
      </w:r>
      <w:r>
        <w:fldChar w:fldCharType="end"/>
      </w:r>
      <w:r>
        <w:rPr>
          <w:rFonts w:ascii="Times New Roman" w:hAnsi="Times New Roman"/>
        </w:rPr>
        <w:fldChar w:fldCharType="end"/>
      </w:r>
    </w:p>
    <w:p w14:paraId="658B3E82">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_Toc7393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ascii="宋体" w:hAnsi="宋体" w:eastAsia="宋体" w:cs="宋体"/>
          <w:lang w:val="en-US" w:eastAsia="zh-CN"/>
        </w:rPr>
        <w:t>持续优化平台服务能力与技术水平。</w:t>
      </w:r>
      <w:r>
        <w:tab/>
      </w:r>
      <w:r>
        <w:fldChar w:fldCharType="begin"/>
      </w:r>
      <w:r>
        <w:instrText xml:space="preserve"> PAGEREF _Toc7393 \h </w:instrText>
      </w:r>
      <w:r>
        <w:fldChar w:fldCharType="separate"/>
      </w:r>
      <w:r>
        <w:t>10</w:t>
      </w:r>
      <w:r>
        <w:fldChar w:fldCharType="end"/>
      </w:r>
      <w:r>
        <w:rPr>
          <w:rFonts w:ascii="Times New Roman" w:hAnsi="Times New Roman"/>
        </w:rPr>
        <w:fldChar w:fldCharType="end"/>
      </w:r>
    </w:p>
    <w:p w14:paraId="7D20A148">
      <w:pPr>
        <w:pStyle w:val="20"/>
        <w:tabs>
          <w:tab w:val="right" w:leader="dot" w:pos="9354"/>
        </w:tabs>
      </w:pPr>
      <w:r>
        <w:rPr>
          <w:rFonts w:ascii="Times New Roman" w:hAnsi="Times New Roman"/>
        </w:rPr>
        <w:fldChar w:fldCharType="begin"/>
      </w:r>
      <w:r>
        <w:rPr>
          <w:rFonts w:ascii="Times New Roman" w:hAnsi="Times New Roman"/>
        </w:rPr>
        <w:instrText xml:space="preserve"> HYPERLINK \l _Toc6890 </w:instrText>
      </w:r>
      <w:r>
        <w:rPr>
          <w:rFonts w:ascii="Times New Roman" w:hAnsi="Times New Roman"/>
        </w:rPr>
        <w:fldChar w:fldCharType="separate"/>
      </w:r>
      <w:r>
        <w:rPr>
          <w:rFonts w:hint="eastAsia" w:ascii="黑体" w:eastAsia="黑体"/>
          <w:i w:val="0"/>
        </w:rPr>
        <w:t xml:space="preserve">10 </w:t>
      </w:r>
      <w:r>
        <w:rPr>
          <w:rFonts w:hint="eastAsia" w:ascii="Times New Roman"/>
        </w:rPr>
        <w:t>中试平台项目“三同时”管理</w:t>
      </w:r>
      <w:r>
        <w:tab/>
      </w:r>
      <w:r>
        <w:fldChar w:fldCharType="begin"/>
      </w:r>
      <w:r>
        <w:instrText xml:space="preserve"> PAGEREF _Toc6890 \h </w:instrText>
      </w:r>
      <w:r>
        <w:fldChar w:fldCharType="separate"/>
      </w:r>
      <w:r>
        <w:t>10</w:t>
      </w:r>
      <w:r>
        <w:fldChar w:fldCharType="end"/>
      </w:r>
      <w:r>
        <w:rPr>
          <w:rFonts w:ascii="Times New Roman" w:hAnsi="Times New Roman"/>
        </w:rPr>
        <w:fldChar w:fldCharType="end"/>
      </w:r>
    </w:p>
    <w:p w14:paraId="397E25DC">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_Toc13922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rPr>
        <w:t>中试平台项目立项</w:t>
      </w:r>
      <w:r>
        <w:tab/>
      </w:r>
      <w:r>
        <w:fldChar w:fldCharType="begin"/>
      </w:r>
      <w:r>
        <w:instrText xml:space="preserve"> PAGEREF _Toc13922 \h </w:instrText>
      </w:r>
      <w:r>
        <w:fldChar w:fldCharType="separate"/>
      </w:r>
      <w:r>
        <w:t>10</w:t>
      </w:r>
      <w:r>
        <w:fldChar w:fldCharType="end"/>
      </w:r>
      <w:r>
        <w:rPr>
          <w:rFonts w:ascii="Times New Roman" w:hAnsi="Times New Roman"/>
        </w:rPr>
        <w:fldChar w:fldCharType="end"/>
      </w:r>
    </w:p>
    <w:p w14:paraId="1DE147FE">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_Toc6766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rPr>
        <w:t>安全管控</w:t>
      </w:r>
      <w:r>
        <w:tab/>
      </w:r>
      <w:r>
        <w:fldChar w:fldCharType="begin"/>
      </w:r>
      <w:r>
        <w:instrText xml:space="preserve"> PAGEREF _Toc6766 \h </w:instrText>
      </w:r>
      <w:r>
        <w:fldChar w:fldCharType="separate"/>
      </w:r>
      <w:r>
        <w:t>10</w:t>
      </w:r>
      <w:r>
        <w:fldChar w:fldCharType="end"/>
      </w:r>
      <w:r>
        <w:rPr>
          <w:rFonts w:ascii="Times New Roman" w:hAnsi="Times New Roman"/>
        </w:rPr>
        <w:fldChar w:fldCharType="end"/>
      </w:r>
    </w:p>
    <w:p w14:paraId="552BB47C">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_Toc9567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rPr>
        <w:t>环保管控</w:t>
      </w:r>
      <w:r>
        <w:tab/>
      </w:r>
      <w:r>
        <w:fldChar w:fldCharType="begin"/>
      </w:r>
      <w:r>
        <w:instrText xml:space="preserve"> PAGEREF _Toc9567 \h </w:instrText>
      </w:r>
      <w:r>
        <w:fldChar w:fldCharType="separate"/>
      </w:r>
      <w:r>
        <w:t>10</w:t>
      </w:r>
      <w:r>
        <w:fldChar w:fldCharType="end"/>
      </w:r>
      <w:r>
        <w:rPr>
          <w:rFonts w:ascii="Times New Roman" w:hAnsi="Times New Roman"/>
        </w:rPr>
        <w:fldChar w:fldCharType="end"/>
      </w:r>
    </w:p>
    <w:p w14:paraId="04D2A1B2">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_Toc4096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10.4 </w:t>
      </w:r>
      <w:r>
        <w:rPr>
          <w:rFonts w:hint="eastAsia"/>
        </w:rPr>
        <w:t>职业卫生管控</w:t>
      </w:r>
      <w:r>
        <w:tab/>
      </w:r>
      <w:r>
        <w:fldChar w:fldCharType="begin"/>
      </w:r>
      <w:r>
        <w:instrText xml:space="preserve"> PAGEREF _Toc4096 \h </w:instrText>
      </w:r>
      <w:r>
        <w:fldChar w:fldCharType="separate"/>
      </w:r>
      <w:r>
        <w:t>10</w:t>
      </w:r>
      <w:r>
        <w:fldChar w:fldCharType="end"/>
      </w:r>
      <w:r>
        <w:rPr>
          <w:rFonts w:ascii="Times New Roman" w:hAnsi="Times New Roman"/>
        </w:rPr>
        <w:fldChar w:fldCharType="end"/>
      </w:r>
    </w:p>
    <w:p w14:paraId="11504B8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_Toc23475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10.5 </w:t>
      </w:r>
      <w:r>
        <w:rPr>
          <w:rFonts w:hint="eastAsia"/>
        </w:rPr>
        <w:t>消防管控</w:t>
      </w:r>
      <w:r>
        <w:tab/>
      </w:r>
      <w:r>
        <w:fldChar w:fldCharType="begin"/>
      </w:r>
      <w:r>
        <w:instrText xml:space="preserve"> PAGEREF _Toc23475 \h </w:instrText>
      </w:r>
      <w:r>
        <w:fldChar w:fldCharType="separate"/>
      </w:r>
      <w:r>
        <w:t>10</w:t>
      </w:r>
      <w:r>
        <w:fldChar w:fldCharType="end"/>
      </w:r>
      <w:r>
        <w:rPr>
          <w:rFonts w:ascii="Times New Roman" w:hAnsi="Times New Roman"/>
        </w:rPr>
        <w:fldChar w:fldCharType="end"/>
      </w:r>
    </w:p>
    <w:p w14:paraId="71E9345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_Toc3074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10.6 </w:t>
      </w:r>
      <w:r>
        <w:rPr>
          <w:rFonts w:hint="eastAsia"/>
        </w:rPr>
        <w:t>试产前管控</w:t>
      </w:r>
      <w:r>
        <w:tab/>
      </w:r>
      <w:r>
        <w:fldChar w:fldCharType="begin"/>
      </w:r>
      <w:r>
        <w:instrText xml:space="preserve"> PAGEREF _Toc3074 \h </w:instrText>
      </w:r>
      <w:r>
        <w:fldChar w:fldCharType="separate"/>
      </w:r>
      <w:r>
        <w:t>10</w:t>
      </w:r>
      <w:r>
        <w:fldChar w:fldCharType="end"/>
      </w:r>
      <w:r>
        <w:rPr>
          <w:rFonts w:ascii="Times New Roman" w:hAnsi="Times New Roman"/>
        </w:rPr>
        <w:fldChar w:fldCharType="end"/>
      </w:r>
    </w:p>
    <w:p w14:paraId="6385D8BB">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_Toc24139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10.7 </w:t>
      </w:r>
      <w:r>
        <w:rPr>
          <w:rFonts w:hint="eastAsia"/>
        </w:rPr>
        <w:t>项目安全设施竣工验收</w:t>
      </w:r>
      <w:r>
        <w:tab/>
      </w:r>
      <w:r>
        <w:fldChar w:fldCharType="begin"/>
      </w:r>
      <w:r>
        <w:instrText xml:space="preserve"> PAGEREF _Toc24139 \h </w:instrText>
      </w:r>
      <w:r>
        <w:fldChar w:fldCharType="separate"/>
      </w:r>
      <w:r>
        <w:t>11</w:t>
      </w:r>
      <w:r>
        <w:fldChar w:fldCharType="end"/>
      </w:r>
      <w:r>
        <w:rPr>
          <w:rFonts w:ascii="Times New Roman" w:hAnsi="Times New Roman"/>
        </w:rPr>
        <w:fldChar w:fldCharType="end"/>
      </w:r>
    </w:p>
    <w:p w14:paraId="2EFA2B69">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_Toc9598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10.8 </w:t>
      </w:r>
      <w:r>
        <w:rPr>
          <w:rFonts w:hint="eastAsia"/>
        </w:rPr>
        <w:t>项目环保竣工验收</w:t>
      </w:r>
      <w:r>
        <w:tab/>
      </w:r>
      <w:r>
        <w:fldChar w:fldCharType="begin"/>
      </w:r>
      <w:r>
        <w:instrText xml:space="preserve"> PAGEREF _Toc9598 \h </w:instrText>
      </w:r>
      <w:r>
        <w:fldChar w:fldCharType="separate"/>
      </w:r>
      <w:r>
        <w:t>11</w:t>
      </w:r>
      <w:r>
        <w:fldChar w:fldCharType="end"/>
      </w:r>
      <w:r>
        <w:rPr>
          <w:rFonts w:ascii="Times New Roman" w:hAnsi="Times New Roman"/>
        </w:rPr>
        <w:fldChar w:fldCharType="end"/>
      </w:r>
    </w:p>
    <w:p w14:paraId="08F6628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_Toc7853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10.9 </w:t>
      </w:r>
      <w:r>
        <w:rPr>
          <w:rFonts w:hint="eastAsia"/>
        </w:rPr>
        <w:t>项目职业病控制效果评价</w:t>
      </w:r>
      <w:r>
        <w:tab/>
      </w:r>
      <w:r>
        <w:fldChar w:fldCharType="begin"/>
      </w:r>
      <w:r>
        <w:instrText xml:space="preserve"> PAGEREF _Toc7853 \h </w:instrText>
      </w:r>
      <w:r>
        <w:fldChar w:fldCharType="separate"/>
      </w:r>
      <w:r>
        <w:t>11</w:t>
      </w:r>
      <w:r>
        <w:fldChar w:fldCharType="end"/>
      </w:r>
      <w:r>
        <w:rPr>
          <w:rFonts w:ascii="Times New Roman" w:hAnsi="Times New Roman"/>
        </w:rPr>
        <w:fldChar w:fldCharType="end"/>
      </w:r>
    </w:p>
    <w:p w14:paraId="3B55FA09">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_Toc27643 </w:instrText>
      </w:r>
      <w:r>
        <w:rPr>
          <w:rFonts w:ascii="Times New Roman" w:hAnsi="Times New Roman"/>
        </w:rPr>
        <w:fldChar w:fldCharType="separate"/>
      </w:r>
      <w:r>
        <w:rPr>
          <w:rFonts w:hint="default" w:ascii="黑体" w:hAnsi="黑体" w:eastAsia="黑体" w:cs="黑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10.10 </w:t>
      </w:r>
      <w:r>
        <w:rPr>
          <w:rFonts w:hint="eastAsia"/>
        </w:rPr>
        <w:t>重大改变</w:t>
      </w:r>
      <w:r>
        <w:tab/>
      </w:r>
      <w:r>
        <w:fldChar w:fldCharType="begin"/>
      </w:r>
      <w:r>
        <w:instrText xml:space="preserve"> PAGEREF _Toc27643 \h </w:instrText>
      </w:r>
      <w:r>
        <w:fldChar w:fldCharType="separate"/>
      </w:r>
      <w:r>
        <w:t>11</w:t>
      </w:r>
      <w:r>
        <w:fldChar w:fldCharType="end"/>
      </w:r>
      <w:r>
        <w:rPr>
          <w:rFonts w:ascii="Times New Roman" w:hAnsi="Times New Roman"/>
        </w:rPr>
        <w:fldChar w:fldCharType="end"/>
      </w:r>
    </w:p>
    <w:p w14:paraId="2538FDAB">
      <w:pPr>
        <w:pStyle w:val="20"/>
        <w:tabs>
          <w:tab w:val="right" w:leader="dot" w:pos="9354"/>
        </w:tabs>
      </w:pPr>
      <w:r>
        <w:rPr>
          <w:rFonts w:ascii="Times New Roman" w:hAnsi="Times New Roman"/>
        </w:rPr>
        <w:fldChar w:fldCharType="begin"/>
      </w:r>
      <w:r>
        <w:rPr>
          <w:rFonts w:ascii="Times New Roman" w:hAnsi="Times New Roman"/>
        </w:rPr>
        <w:instrText xml:space="preserve"> HYPERLINK \l _Toc10740 </w:instrText>
      </w:r>
      <w:r>
        <w:rPr>
          <w:rFonts w:ascii="Times New Roman" w:hAnsi="Times New Roman"/>
        </w:rPr>
        <w:fldChar w:fldCharType="separate"/>
      </w:r>
      <w:r>
        <w:rPr>
          <w:rFonts w:hint="eastAsia"/>
          <w:szCs w:val="21"/>
        </w:rPr>
        <w:t>附 录 A</w:t>
      </w:r>
      <w:r>
        <w:tab/>
      </w:r>
      <w:r>
        <w:fldChar w:fldCharType="begin"/>
      </w:r>
      <w:r>
        <w:instrText xml:space="preserve"> PAGEREF _Toc10740 \h </w:instrText>
      </w:r>
      <w:r>
        <w:fldChar w:fldCharType="separate"/>
      </w:r>
      <w:r>
        <w:t>12</w:t>
      </w:r>
      <w:r>
        <w:fldChar w:fldCharType="end"/>
      </w:r>
      <w:r>
        <w:rPr>
          <w:rFonts w:ascii="Times New Roman" w:hAnsi="Times New Roman"/>
        </w:rPr>
        <w:fldChar w:fldCharType="end"/>
      </w:r>
    </w:p>
    <w:p w14:paraId="0BCFB44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_Toc8354 </w:instrText>
      </w:r>
      <w:r>
        <w:rPr>
          <w:rFonts w:hint="eastAsia" w:ascii="宋体" w:hAnsi="宋体" w:eastAsia="宋体" w:cs="宋体"/>
        </w:rPr>
        <w:fldChar w:fldCharType="separate"/>
      </w:r>
      <w:r>
        <w:rPr>
          <w:rFonts w:hint="eastAsia" w:ascii="宋体" w:hAnsi="宋体" w:eastAsia="宋体" w:cs="宋体"/>
          <w:spacing w:val="100"/>
          <w:szCs w:val="21"/>
        </w:rPr>
        <w:t xml:space="preserve">附录B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_Toc8354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043E6A2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_Toc17900 </w:instrText>
      </w:r>
      <w:r>
        <w:rPr>
          <w:rFonts w:hint="eastAsia" w:ascii="宋体" w:hAnsi="宋体" w:eastAsia="宋体" w:cs="宋体"/>
        </w:rPr>
        <w:fldChar w:fldCharType="separate"/>
      </w:r>
      <w:r>
        <w:rPr>
          <w:rFonts w:hint="eastAsia" w:ascii="宋体" w:hAnsi="宋体" w:eastAsia="宋体" w:cs="宋体"/>
          <w:spacing w:val="100"/>
          <w:szCs w:val="21"/>
        </w:rPr>
        <w:t xml:space="preserve">附录C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6FB057B1">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_Toc10857 </w:instrText>
      </w:r>
      <w:r>
        <w:rPr>
          <w:rFonts w:hint="eastAsia" w:ascii="宋体" w:hAnsi="宋体" w:eastAsia="宋体" w:cs="宋体"/>
        </w:rPr>
        <w:fldChar w:fldCharType="separate"/>
      </w:r>
      <w:r>
        <w:rPr>
          <w:rFonts w:hint="eastAsia" w:ascii="宋体" w:hAnsi="宋体" w:eastAsia="宋体" w:cs="宋体"/>
          <w:spacing w:val="105"/>
          <w:kern w:val="0"/>
          <w:szCs w:val="22"/>
        </w:rPr>
        <w:t>参考文</w:t>
      </w:r>
      <w:r>
        <w:rPr>
          <w:rFonts w:hint="eastAsia" w:ascii="宋体" w:hAnsi="宋体" w:eastAsia="宋体" w:cs="宋体"/>
          <w:kern w:val="0"/>
          <w:szCs w:val="22"/>
        </w:rPr>
        <w:t>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_Toc10857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43E97F86">
      <w:pPr>
        <w:pStyle w:val="95"/>
        <w:spacing w:after="360"/>
        <w:ind w:right="210" w:firstLine="320"/>
        <w:rPr>
          <w:rFonts w:ascii="Times New Roman" w:hAnsi="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3"/>
    <w:p w14:paraId="6FCE03F4">
      <w:pPr>
        <w:pStyle w:val="93"/>
        <w:spacing w:after="360"/>
        <w:rPr>
          <w:rFonts w:ascii="Times New Roman"/>
        </w:rPr>
      </w:pPr>
      <w:bookmarkStart w:id="4" w:name="_Toc2415"/>
      <w:bookmarkStart w:id="5" w:name="_Toc20856"/>
      <w:bookmarkStart w:id="6" w:name="BookMark2"/>
      <w:r>
        <w:rPr>
          <w:rFonts w:ascii="Times New Roman"/>
          <w:spacing w:val="320"/>
        </w:rPr>
        <w:t>前</w:t>
      </w:r>
      <w:r>
        <w:rPr>
          <w:rFonts w:ascii="Times New Roman"/>
        </w:rPr>
        <w:t>言</w:t>
      </w:r>
      <w:bookmarkEnd w:id="4"/>
      <w:bookmarkEnd w:id="5"/>
    </w:p>
    <w:p w14:paraId="4D7AA465">
      <w:pPr>
        <w:pStyle w:val="60"/>
      </w:pPr>
      <w:r>
        <w:t>本文件按照GB/T 1.1—2020《标准化工作导则  第1部分：标准化文件的结构和起草规则》的规定起草。</w:t>
      </w:r>
    </w:p>
    <w:p w14:paraId="7501A129">
      <w:pPr>
        <w:pStyle w:val="60"/>
      </w:pPr>
      <w:r>
        <w:t>请注意本文件的某些内容可能涉及专利。本文件的发布机构不承担识别专利的责任。</w:t>
      </w:r>
    </w:p>
    <w:p w14:paraId="5A90A65E">
      <w:pPr>
        <w:pStyle w:val="60"/>
      </w:pPr>
      <w:r>
        <w:t>本文件由</w:t>
      </w:r>
      <w:r>
        <w:rPr>
          <w:rFonts w:hint="eastAsia"/>
          <w:lang w:val="en-US" w:eastAsia="zh-CN"/>
        </w:rPr>
        <w:t>XXXXXXXXX</w:t>
      </w:r>
      <w:r>
        <w:t>提出。</w:t>
      </w:r>
    </w:p>
    <w:p w14:paraId="7A4B4361">
      <w:pPr>
        <w:pStyle w:val="60"/>
      </w:pPr>
      <w:r>
        <w:t>本文件归口</w:t>
      </w:r>
      <w:r>
        <w:rPr>
          <w:rFonts w:hint="eastAsia"/>
          <w:lang w:val="en-US" w:eastAsia="zh-CN"/>
        </w:rPr>
        <w:t>XXXXXXXXX</w:t>
      </w:r>
      <w:r>
        <w:t>。</w:t>
      </w:r>
    </w:p>
    <w:p w14:paraId="3464DB46">
      <w:pPr>
        <w:pStyle w:val="60"/>
      </w:pPr>
      <w:r>
        <w:t>本文件起草单位：</w:t>
      </w:r>
      <w:r>
        <w:rPr>
          <w:rFonts w:hint="eastAsia"/>
        </w:rPr>
        <w:t>。</w:t>
      </w:r>
    </w:p>
    <w:p w14:paraId="1C3CC9CC">
      <w:pPr>
        <w:pStyle w:val="60"/>
      </w:pPr>
      <w:r>
        <w:t>本文件主要起草人：</w:t>
      </w:r>
    </w:p>
    <w:p w14:paraId="631667E1">
      <w:pPr>
        <w:pStyle w:val="60"/>
      </w:pPr>
    </w:p>
    <w:p w14:paraId="6D9C1B98">
      <w:pPr>
        <w:pStyle w:val="60"/>
        <w:sectPr>
          <w:headerReference r:id="rId12" w:type="default"/>
          <w:pgSz w:w="11906" w:h="16838"/>
          <w:pgMar w:top="1928" w:right="1134" w:bottom="1134" w:left="1134" w:header="1418" w:footer="1134" w:gutter="284"/>
          <w:pgNumType w:fmt="upperRoman"/>
          <w:cols w:space="425" w:num="1"/>
          <w:formProt w:val="0"/>
          <w:docGrid w:linePitch="312" w:charSpace="0"/>
        </w:sectPr>
      </w:pPr>
    </w:p>
    <w:bookmarkEnd w:id="6"/>
    <w:p w14:paraId="18DB95E6">
      <w:pPr>
        <w:spacing w:line="20" w:lineRule="exact"/>
        <w:ind w:right="210" w:firstLine="320"/>
        <w:jc w:val="center"/>
        <w:rPr>
          <w:rFonts w:ascii="Times New Roman" w:hAnsi="Times New Roman" w:eastAsia="黑体"/>
          <w:sz w:val="32"/>
          <w:szCs w:val="32"/>
        </w:rPr>
      </w:pPr>
      <w:bookmarkStart w:id="7" w:name="BookMark4"/>
    </w:p>
    <w:p w14:paraId="3B125FD0">
      <w:pPr>
        <w:spacing w:line="20" w:lineRule="exact"/>
        <w:ind w:right="210" w:firstLine="320"/>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0D0C2074A97B46F78D592DCDA6D333F6"/>
        </w:placeholder>
      </w:sdtPr>
      <w:sdtEndPr>
        <w:rPr>
          <w:rFonts w:ascii="Times New Roman" w:hAnsi="Times New Roman"/>
        </w:rPr>
      </w:sdtEndPr>
      <w:sdtContent>
        <w:p w14:paraId="4AF27E70">
          <w:pPr>
            <w:pStyle w:val="181"/>
            <w:spacing w:before="240" w:beforeLines="100" w:after="528" w:afterLines="220"/>
            <w:rPr>
              <w:rFonts w:ascii="Times New Roman" w:hAnsi="Times New Roman"/>
            </w:rPr>
          </w:pPr>
          <w:bookmarkStart w:id="8" w:name="NEW_STAND_NAME"/>
          <w:r>
            <w:rPr>
              <w:rFonts w:hint="eastAsia" w:ascii="Times New Roman" w:hAnsi="Times New Roman"/>
            </w:rPr>
            <w:t>生物制造 医药研发中试平台建设</w:t>
          </w:r>
          <w:r>
            <w:rPr>
              <w:rFonts w:hint="eastAsia" w:ascii="Times New Roman" w:hAnsi="Times New Roman"/>
              <w:highlight w:val="none"/>
            </w:rPr>
            <w:t>通则</w:t>
          </w:r>
        </w:p>
      </w:sdtContent>
    </w:sdt>
    <w:bookmarkEnd w:id="7"/>
    <w:bookmarkEnd w:id="8"/>
    <w:p w14:paraId="53E95A4A">
      <w:pPr>
        <w:pStyle w:val="108"/>
        <w:spacing w:before="240" w:after="240"/>
        <w:rPr>
          <w:rFonts w:ascii="Times New Roman"/>
        </w:rPr>
      </w:pPr>
      <w:bookmarkStart w:id="9" w:name="_Toc15639"/>
      <w:bookmarkStart w:id="10" w:name="_Toc26718930"/>
      <w:bookmarkStart w:id="11" w:name="_Toc17233333"/>
      <w:bookmarkStart w:id="12" w:name="_Toc21774"/>
      <w:bookmarkStart w:id="13" w:name="_Toc24884218"/>
      <w:bookmarkStart w:id="14" w:name="_Toc29451"/>
      <w:bookmarkStart w:id="15" w:name="_Toc26986530"/>
      <w:bookmarkStart w:id="16" w:name="_Toc97192964"/>
      <w:bookmarkStart w:id="17" w:name="_Toc17233325"/>
      <w:bookmarkStart w:id="18" w:name="_Toc24884211"/>
      <w:bookmarkStart w:id="19" w:name="_Toc26648465"/>
      <w:bookmarkStart w:id="20" w:name="_Toc26986771"/>
      <w:r>
        <w:rPr>
          <w:rFonts w:ascii="Times New Roman"/>
        </w:rPr>
        <w:t>范围</w:t>
      </w:r>
      <w:bookmarkEnd w:id="9"/>
      <w:bookmarkEnd w:id="10"/>
      <w:bookmarkEnd w:id="11"/>
      <w:bookmarkEnd w:id="12"/>
      <w:bookmarkEnd w:id="13"/>
      <w:bookmarkEnd w:id="14"/>
      <w:bookmarkEnd w:id="15"/>
      <w:bookmarkEnd w:id="16"/>
      <w:bookmarkEnd w:id="17"/>
      <w:bookmarkEnd w:id="18"/>
      <w:bookmarkEnd w:id="19"/>
      <w:bookmarkEnd w:id="20"/>
    </w:p>
    <w:p w14:paraId="3A39AD4A">
      <w:pPr>
        <w:pStyle w:val="60"/>
        <w:spacing w:line="240" w:lineRule="auto"/>
        <w:ind w:left="0" w:leftChars="0" w:firstLine="420" w:firstLineChars="200"/>
        <w:jc w:val="both"/>
      </w:pPr>
      <w:bookmarkStart w:id="21" w:name="_Toc24884219"/>
      <w:bookmarkStart w:id="22" w:name="_Toc17233326"/>
      <w:bookmarkStart w:id="23" w:name="_Toc26648466"/>
      <w:bookmarkStart w:id="24" w:name="_Toc17233334"/>
      <w:bookmarkStart w:id="25" w:name="_Toc24884212"/>
      <w:r>
        <w:t>本文件规定了</w:t>
      </w:r>
      <w:r>
        <w:rPr>
          <w:rFonts w:hint="eastAsia"/>
        </w:rPr>
        <w:t>医药研发中试平台</w:t>
      </w:r>
      <w:r>
        <w:t>的</w:t>
      </w:r>
      <w:r>
        <w:rPr>
          <w:rFonts w:hint="eastAsia"/>
        </w:rPr>
        <w:t>术语与定义</w:t>
      </w:r>
      <w:r>
        <w:t>、</w:t>
      </w:r>
      <w:r>
        <w:rPr>
          <w:rFonts w:hint="eastAsia"/>
        </w:rPr>
        <w:t>总体要求</w:t>
      </w:r>
      <w:r>
        <w:t>、</w:t>
      </w:r>
      <w:r>
        <w:rPr>
          <w:rFonts w:hint="eastAsia"/>
        </w:rPr>
        <w:t>平台功能要求</w:t>
      </w:r>
      <w:r>
        <w:t>、</w:t>
      </w:r>
      <w:r>
        <w:rPr>
          <w:rFonts w:hint="eastAsia"/>
        </w:rPr>
        <w:t>建设原则</w:t>
      </w:r>
      <w:r>
        <w:t>、</w:t>
      </w:r>
      <w:r>
        <w:rPr>
          <w:rFonts w:hint="eastAsia"/>
        </w:rPr>
        <w:t>验收与运行维护</w:t>
      </w:r>
      <w:r>
        <w:t>、</w:t>
      </w:r>
      <w:r>
        <w:rPr>
          <w:rFonts w:hint="eastAsia"/>
        </w:rPr>
        <w:t>评价与改进</w:t>
      </w:r>
      <w:r>
        <w:rPr>
          <w:rFonts w:hint="eastAsia"/>
          <w:lang w:eastAsia="zh-CN"/>
        </w:rPr>
        <w:t>、</w:t>
      </w:r>
      <w:r>
        <w:rPr>
          <w:rFonts w:hint="eastAsia"/>
        </w:rPr>
        <w:t>环保管控</w:t>
      </w:r>
      <w:r>
        <w:t>等内容。</w:t>
      </w:r>
    </w:p>
    <w:p w14:paraId="51B9B2A5">
      <w:pPr>
        <w:pStyle w:val="60"/>
        <w:spacing w:line="240" w:lineRule="auto"/>
        <w:ind w:left="0" w:leftChars="0" w:firstLine="420" w:firstLineChars="200"/>
        <w:jc w:val="both"/>
      </w:pPr>
      <w:r>
        <w:t>本文件适用于</w:t>
      </w:r>
      <w:r>
        <w:rPr>
          <w:rFonts w:hint="eastAsia"/>
        </w:rPr>
        <w:t>医药研发中试平台</w:t>
      </w:r>
      <w:r>
        <w:t>的</w:t>
      </w:r>
      <w:r>
        <w:rPr>
          <w:rFonts w:hint="eastAsia"/>
        </w:rPr>
        <w:t>规划、设计、建设、运行和管理等方面</w:t>
      </w:r>
      <w:r>
        <w:t>。</w:t>
      </w:r>
    </w:p>
    <w:p w14:paraId="5C0737B6">
      <w:pPr>
        <w:pStyle w:val="108"/>
        <w:spacing w:before="240" w:after="240"/>
        <w:rPr>
          <w:rFonts w:ascii="Times New Roman"/>
        </w:rPr>
      </w:pPr>
      <w:bookmarkStart w:id="26" w:name="_Toc26986772"/>
      <w:bookmarkStart w:id="27" w:name="_Toc16115"/>
      <w:bookmarkStart w:id="28" w:name="_Toc26986531"/>
      <w:bookmarkStart w:id="29" w:name="_Toc97192965"/>
      <w:bookmarkStart w:id="30" w:name="_Toc26718931"/>
      <w:bookmarkStart w:id="31" w:name="_Toc7131"/>
      <w:bookmarkStart w:id="32" w:name="_Toc27228"/>
      <w:r>
        <w:rPr>
          <w:rFonts w:ascii="Times New Roman"/>
        </w:rPr>
        <w:t>规范性引用文件</w:t>
      </w:r>
      <w:bookmarkEnd w:id="21"/>
      <w:bookmarkEnd w:id="22"/>
      <w:bookmarkEnd w:id="23"/>
      <w:bookmarkEnd w:id="24"/>
      <w:bookmarkEnd w:id="25"/>
      <w:bookmarkEnd w:id="26"/>
      <w:bookmarkEnd w:id="27"/>
      <w:bookmarkEnd w:id="28"/>
      <w:bookmarkEnd w:id="29"/>
      <w:bookmarkEnd w:id="30"/>
      <w:bookmarkEnd w:id="31"/>
      <w:bookmarkEnd w:id="32"/>
    </w:p>
    <w:sdt>
      <w:sdtPr>
        <w:id w:val="715848253"/>
        <w:placeholder>
          <w:docPart w:val="{13a848b2-fde8-4a23-88e2-c01129eee3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BF11DCE">
          <w:pPr>
            <w:pStyle w:val="60"/>
            <w:spacing w:line="240" w:lineRule="auto"/>
            <w:ind w:left="0" w:leftChars="0" w:firstLine="420" w:firstLineChars="200"/>
            <w:jc w:val="both"/>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21B81B">
      <w:pPr>
        <w:pStyle w:val="60"/>
        <w:spacing w:line="240" w:lineRule="auto"/>
        <w:ind w:left="0" w:leftChars="0" w:firstLine="420" w:firstLineChars="200"/>
        <w:jc w:val="both"/>
        <w:rPr>
          <w:rFonts w:hint="default"/>
        </w:rPr>
      </w:pPr>
      <w:bookmarkStart w:id="33" w:name="_Toc14349"/>
      <w:bookmarkStart w:id="34" w:name="_Toc18545"/>
      <w:bookmarkStart w:id="35" w:name="_Toc97192966"/>
      <w:bookmarkStart w:id="36" w:name="_Toc8859"/>
      <w:r>
        <w:rPr>
          <w:rFonts w:hint="default"/>
        </w:rPr>
        <w:t>GB</w:t>
      </w:r>
      <w:r>
        <w:rPr>
          <w:rFonts w:hint="eastAsia"/>
          <w:lang w:val="en-US" w:eastAsia="zh-CN"/>
        </w:rPr>
        <w:t xml:space="preserve"> </w:t>
      </w:r>
      <w:r>
        <w:rPr>
          <w:rFonts w:hint="default"/>
        </w:rPr>
        <w:t>5749 生活饮用水卫生标准</w:t>
      </w:r>
    </w:p>
    <w:p w14:paraId="735A05B4">
      <w:pPr>
        <w:pStyle w:val="60"/>
        <w:spacing w:line="240" w:lineRule="auto"/>
        <w:ind w:left="0" w:leftChars="0" w:firstLine="420" w:firstLineChars="200"/>
        <w:jc w:val="both"/>
        <w:rPr>
          <w:rFonts w:hint="default"/>
        </w:rPr>
      </w:pPr>
      <w:r>
        <w:rPr>
          <w:rFonts w:hint="default"/>
        </w:rPr>
        <w:t>GB 19489  实验室 生物安全通用要求</w:t>
      </w:r>
    </w:p>
    <w:p w14:paraId="5F99BBD5">
      <w:pPr>
        <w:pStyle w:val="60"/>
        <w:spacing w:line="240" w:lineRule="auto"/>
        <w:ind w:left="0" w:leftChars="0" w:firstLine="420" w:firstLineChars="200"/>
        <w:jc w:val="both"/>
        <w:rPr>
          <w:rFonts w:hint="default"/>
        </w:rPr>
      </w:pPr>
      <w:r>
        <w:rPr>
          <w:rFonts w:hint="default"/>
        </w:rPr>
        <w:t>GB/T 36370  洁净室及相关受控环境 空气过滤器应用指南</w:t>
      </w:r>
    </w:p>
    <w:p w14:paraId="3378E09E">
      <w:pPr>
        <w:pStyle w:val="60"/>
        <w:spacing w:line="240" w:lineRule="auto"/>
        <w:ind w:left="0" w:leftChars="0" w:firstLine="420" w:firstLineChars="200"/>
        <w:jc w:val="both"/>
        <w:rPr>
          <w:rFonts w:hint="eastAsia"/>
          <w:lang w:val="en-US" w:eastAsia="zh-CN"/>
        </w:rPr>
      </w:pPr>
      <w:r>
        <w:rPr>
          <w:rFonts w:hint="default"/>
          <w:lang w:val="en-US" w:eastAsia="zh-CN"/>
        </w:rPr>
        <w:t>GB/T 41139</w:t>
      </w:r>
      <w:r>
        <w:rPr>
          <w:rFonts w:hint="eastAsia"/>
          <w:lang w:val="en-US" w:eastAsia="zh-CN"/>
        </w:rPr>
        <w:t xml:space="preserve">  信息分类编码及元数据标准符合性测试要求</w:t>
      </w:r>
    </w:p>
    <w:p w14:paraId="27C7B485">
      <w:pPr>
        <w:pStyle w:val="60"/>
        <w:spacing w:line="240" w:lineRule="auto"/>
        <w:ind w:left="0" w:leftChars="0" w:firstLine="420" w:firstLineChars="200"/>
        <w:jc w:val="both"/>
        <w:rPr>
          <w:rFonts w:hint="default"/>
        </w:rPr>
      </w:pPr>
      <w:r>
        <w:rPr>
          <w:rFonts w:hint="default"/>
        </w:rPr>
        <w:t>GB 50346  生物安全实验室建筑技术规范</w:t>
      </w:r>
    </w:p>
    <w:p w14:paraId="33651980">
      <w:pPr>
        <w:pStyle w:val="60"/>
        <w:spacing w:line="240" w:lineRule="auto"/>
        <w:ind w:left="0" w:leftChars="0" w:firstLine="420" w:firstLineChars="200"/>
        <w:jc w:val="both"/>
        <w:rPr>
          <w:rFonts w:hint="default"/>
        </w:rPr>
      </w:pPr>
      <w:r>
        <w:rPr>
          <w:rFonts w:hint="default"/>
        </w:rPr>
        <w:t>GB 50365  空调通风系统运行管理标准</w:t>
      </w:r>
    </w:p>
    <w:p w14:paraId="00E873CC">
      <w:pPr>
        <w:pStyle w:val="60"/>
        <w:spacing w:line="240" w:lineRule="auto"/>
        <w:ind w:left="0" w:leftChars="0" w:firstLine="420" w:firstLineChars="200"/>
        <w:jc w:val="both"/>
        <w:rPr>
          <w:rFonts w:hint="default"/>
        </w:rPr>
      </w:pPr>
      <w:r>
        <w:rPr>
          <w:rFonts w:hint="default"/>
        </w:rPr>
        <w:t>GB</w:t>
      </w:r>
      <w:r>
        <w:rPr>
          <w:rFonts w:hint="eastAsia"/>
          <w:lang w:val="en-US" w:eastAsia="zh-CN"/>
        </w:rPr>
        <w:t xml:space="preserve"> </w:t>
      </w:r>
      <w:r>
        <w:rPr>
          <w:rFonts w:hint="default"/>
        </w:rPr>
        <w:t xml:space="preserve">50591  </w:t>
      </w:r>
      <w:r>
        <w:rPr>
          <w:rFonts w:hint="default"/>
        </w:rPr>
        <w:fldChar w:fldCharType="begin"/>
      </w:r>
      <w:r>
        <w:rPr>
          <w:rFonts w:hint="default"/>
        </w:rPr>
        <w:instrText xml:space="preserve"> HYPERLINK "https://www.so.com/link?m=w882S3UYvpoOCvW8BjVmnkLqKzSrc3+NuxNSfbXd73k4zsbKL94V+3Sc7YudmomJQg79Tqcyb0rHvJvKA0uPAmukweJoxAjFPgMVAxliO1fQZwONczUxkCoD9yammN/SGPe4SrB2SxdgvGQgLzOI096SsjCpfEl7BFUEpI4QFp8IshTpzhoYbJdQg7J0gOVpZa9HrNF4FQ9s9Yznt1XgLH4L+AsAcJ1dkFf84NAdlcm2mS1rM" \t "https://www.so.com/_blank" </w:instrText>
      </w:r>
      <w:r>
        <w:rPr>
          <w:rFonts w:hint="default"/>
        </w:rPr>
        <w:fldChar w:fldCharType="separate"/>
      </w:r>
      <w:r>
        <w:rPr>
          <w:rFonts w:hint="default"/>
        </w:rPr>
        <w:t>洁净室施工及验收规范</w:t>
      </w:r>
      <w:r>
        <w:rPr>
          <w:rFonts w:hint="default"/>
        </w:rPr>
        <w:fldChar w:fldCharType="end"/>
      </w:r>
    </w:p>
    <w:p w14:paraId="49F72A7D">
      <w:pPr>
        <w:pStyle w:val="60"/>
        <w:spacing w:line="240" w:lineRule="auto"/>
        <w:ind w:left="0" w:leftChars="0" w:firstLine="420" w:firstLineChars="200"/>
        <w:jc w:val="both"/>
        <w:rPr>
          <w:rFonts w:hint="default"/>
        </w:rPr>
      </w:pPr>
      <w:r>
        <w:rPr>
          <w:rFonts w:hint="default"/>
        </w:rPr>
        <w:t>GB 55001  工程结构通用规范</w:t>
      </w:r>
    </w:p>
    <w:p w14:paraId="30D6EBEA">
      <w:pPr>
        <w:pStyle w:val="60"/>
        <w:spacing w:line="240" w:lineRule="auto"/>
        <w:ind w:left="0" w:leftChars="0" w:firstLine="420" w:firstLineChars="200"/>
        <w:jc w:val="both"/>
        <w:rPr>
          <w:rFonts w:hint="default"/>
        </w:rPr>
      </w:pPr>
      <w:r>
        <w:rPr>
          <w:rFonts w:hint="default"/>
        </w:rPr>
        <w:t>GB</w:t>
      </w:r>
      <w:r>
        <w:rPr>
          <w:rFonts w:hint="eastAsia"/>
          <w:lang w:val="en-US" w:eastAsia="zh-CN"/>
        </w:rPr>
        <w:t xml:space="preserve"> </w:t>
      </w:r>
      <w:r>
        <w:rPr>
          <w:rFonts w:hint="default"/>
        </w:rPr>
        <w:t>55016  建筑环境通用规范</w:t>
      </w:r>
    </w:p>
    <w:p w14:paraId="54A3F204">
      <w:pPr>
        <w:pStyle w:val="60"/>
        <w:spacing w:line="240" w:lineRule="auto"/>
        <w:ind w:left="0" w:leftChars="0" w:firstLine="420" w:firstLineChars="200"/>
        <w:jc w:val="both"/>
        <w:rPr>
          <w:rFonts w:hint="default"/>
        </w:rPr>
      </w:pPr>
      <w:r>
        <w:rPr>
          <w:rFonts w:hint="default"/>
        </w:rPr>
        <w:t>GB 55030  建筑与市政工程防水通用规范</w:t>
      </w:r>
    </w:p>
    <w:p w14:paraId="1C675822">
      <w:pPr>
        <w:pStyle w:val="60"/>
        <w:spacing w:line="240" w:lineRule="auto"/>
        <w:ind w:left="0" w:leftChars="0" w:firstLine="420" w:firstLineChars="200"/>
        <w:jc w:val="both"/>
        <w:rPr>
          <w:rFonts w:hint="default"/>
        </w:rPr>
      </w:pPr>
      <w:r>
        <w:rPr>
          <w:rFonts w:hint="default"/>
        </w:rPr>
        <w:t>G8 55036  消防设施通用规范</w:t>
      </w:r>
    </w:p>
    <w:p w14:paraId="62933ED4">
      <w:pPr>
        <w:pStyle w:val="60"/>
        <w:spacing w:line="240" w:lineRule="auto"/>
        <w:ind w:left="0" w:leftChars="0" w:firstLine="420" w:firstLineChars="200"/>
        <w:jc w:val="both"/>
        <w:rPr>
          <w:rFonts w:hint="default"/>
        </w:rPr>
      </w:pPr>
      <w:r>
        <w:rPr>
          <w:rFonts w:hint="default"/>
        </w:rPr>
        <w:t>GB</w:t>
      </w:r>
      <w:r>
        <w:rPr>
          <w:rFonts w:hint="eastAsia"/>
          <w:lang w:val="en-US" w:eastAsia="zh-CN"/>
        </w:rPr>
        <w:t xml:space="preserve"> </w:t>
      </w:r>
      <w:r>
        <w:rPr>
          <w:rFonts w:hint="default"/>
        </w:rPr>
        <w:t>55037 建筑防火通用规范</w:t>
      </w:r>
    </w:p>
    <w:p w14:paraId="03876E20">
      <w:pPr>
        <w:pStyle w:val="60"/>
        <w:spacing w:line="240" w:lineRule="auto"/>
        <w:ind w:left="0" w:leftChars="0" w:firstLine="420" w:firstLineChars="200"/>
        <w:jc w:val="both"/>
        <w:rPr>
          <w:rFonts w:hint="default"/>
        </w:rPr>
      </w:pPr>
      <w:r>
        <w:t>《药品生产质量管理规范》 (GMP)</w:t>
      </w:r>
    </w:p>
    <w:p w14:paraId="578D26F3">
      <w:pPr>
        <w:pStyle w:val="60"/>
        <w:spacing w:line="240" w:lineRule="auto"/>
        <w:ind w:left="0" w:leftChars="0" w:firstLine="420" w:firstLineChars="200"/>
        <w:jc w:val="both"/>
        <w:rPr>
          <w:rFonts w:hint="default"/>
        </w:rPr>
      </w:pPr>
      <w:r>
        <w:rPr>
          <w:rFonts w:hint="default"/>
        </w:rPr>
        <w:t>JGJ</w:t>
      </w:r>
      <w:r>
        <w:rPr>
          <w:rFonts w:hint="eastAsia"/>
          <w:lang w:val="en-US" w:eastAsia="zh-CN"/>
        </w:rPr>
        <w:t xml:space="preserve"> </w:t>
      </w:r>
      <w:r>
        <w:rPr>
          <w:rFonts w:hint="default"/>
        </w:rPr>
        <w:t>91 科研建筑设计标准</w:t>
      </w:r>
    </w:p>
    <w:p w14:paraId="6BD98124">
      <w:pPr>
        <w:pStyle w:val="60"/>
        <w:spacing w:line="240" w:lineRule="auto"/>
        <w:ind w:left="0" w:leftChars="0" w:firstLine="420" w:firstLineChars="200"/>
        <w:jc w:val="both"/>
        <w:rPr>
          <w:rFonts w:hint="default"/>
        </w:rPr>
      </w:pPr>
      <w:r>
        <w:rPr>
          <w:rFonts w:hint="default"/>
        </w:rPr>
        <w:t>RB/T 040  病原微生物实验室生物安全风险管理指南</w:t>
      </w:r>
    </w:p>
    <w:p w14:paraId="220D0EC4">
      <w:pPr>
        <w:pStyle w:val="60"/>
        <w:spacing w:line="240" w:lineRule="auto"/>
        <w:ind w:left="0" w:leftChars="0" w:firstLine="420" w:firstLineChars="200"/>
        <w:jc w:val="both"/>
        <w:rPr>
          <w:rFonts w:hint="default"/>
        </w:rPr>
      </w:pPr>
      <w:r>
        <w:rPr>
          <w:rFonts w:hint="default"/>
          <w:lang w:val="en-US" w:eastAsia="zh-CN"/>
        </w:rPr>
        <w:t>WS/T 500</w:t>
      </w:r>
      <w:r>
        <w:rPr>
          <w:rFonts w:hint="eastAsia"/>
          <w:lang w:val="en-US" w:eastAsia="zh-CN"/>
        </w:rPr>
        <w:t xml:space="preserve">  电子病历共享文档规范</w:t>
      </w:r>
    </w:p>
    <w:p w14:paraId="0C1135C4">
      <w:pPr>
        <w:pStyle w:val="108"/>
        <w:spacing w:before="240" w:after="240"/>
        <w:rPr>
          <w:rFonts w:ascii="Times New Roman"/>
        </w:rPr>
      </w:pPr>
      <w:bookmarkStart w:id="37" w:name="_Toc29153"/>
      <w:r>
        <w:rPr>
          <w:rFonts w:ascii="Times New Roman"/>
          <w:szCs w:val="21"/>
        </w:rPr>
        <w:t>术语和定义</w:t>
      </w:r>
      <w:bookmarkEnd w:id="33"/>
      <w:bookmarkEnd w:id="34"/>
      <w:bookmarkEnd w:id="35"/>
      <w:bookmarkEnd w:id="36"/>
      <w:bookmarkEnd w:id="37"/>
    </w:p>
    <w:sdt>
      <w:sdtPr>
        <w:id w:val="-1909835108"/>
        <w:placeholder>
          <w:docPart w:val="{dc472174-af79-4b89-9a5e-efb4676980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485016">
          <w:pPr>
            <w:pStyle w:val="60"/>
          </w:pPr>
          <w:bookmarkStart w:id="38" w:name="_Toc26986532"/>
          <w:bookmarkEnd w:id="38"/>
          <w:r>
            <w:t>下列术语和定义适用于本文件。</w:t>
          </w:r>
        </w:p>
      </w:sdtContent>
    </w:sdt>
    <w:p w14:paraId="70351216">
      <w:pPr>
        <w:pStyle w:val="109"/>
        <w:outlineLvl w:val="9"/>
      </w:pPr>
      <w:bookmarkStart w:id="39" w:name="_Toc19812"/>
      <w:bookmarkEnd w:id="39"/>
    </w:p>
    <w:p w14:paraId="3F03DBBD">
      <w:pPr>
        <w:pStyle w:val="109"/>
        <w:numPr>
          <w:ilvl w:val="0"/>
          <w:numId w:val="0"/>
        </w:numPr>
        <w:ind w:firstLine="420" w:firstLineChars="200"/>
        <w:outlineLvl w:val="9"/>
      </w:pPr>
      <w:bookmarkStart w:id="40" w:name="_Toc22360"/>
      <w:r>
        <w:rPr>
          <w:rFonts w:hint="eastAsia"/>
        </w:rPr>
        <w:t>生物制造</w:t>
      </w:r>
      <w:r>
        <w:rPr>
          <w:rFonts w:hint="eastAsia"/>
          <w:lang w:val="en-US" w:eastAsia="zh-CN"/>
        </w:rPr>
        <w:t xml:space="preserve">  </w:t>
      </w:r>
      <w:r>
        <w:rPr>
          <w:rFonts w:hint="eastAsia"/>
        </w:rPr>
        <w:t>bio-manufacturing</w:t>
      </w:r>
      <w:bookmarkEnd w:id="40"/>
    </w:p>
    <w:p w14:paraId="1211C458">
      <w:pPr>
        <w:pStyle w:val="60"/>
        <w:spacing w:before="120" w:beforeLines="50" w:after="120" w:afterLines="50" w:line="240" w:lineRule="auto"/>
        <w:ind w:left="0" w:leftChars="0" w:firstLine="420" w:firstLineChars="200"/>
        <w:jc w:val="both"/>
        <w:rPr>
          <w:rFonts w:hint="eastAsia"/>
        </w:rPr>
      </w:pPr>
      <w:r>
        <w:rPr>
          <w:rFonts w:hint="eastAsia"/>
        </w:rPr>
        <w:t>以生物体（如细胞、酶、微生物等）或其组成部分为工具，通过生物技术手段进行药物、材料或其他产品的规模化生产的过程。</w:t>
      </w:r>
    </w:p>
    <w:p w14:paraId="456B1A38">
      <w:pPr>
        <w:pStyle w:val="109"/>
        <w:outlineLvl w:val="9"/>
      </w:pPr>
    </w:p>
    <w:p w14:paraId="3C909610">
      <w:pPr>
        <w:pStyle w:val="109"/>
        <w:numPr>
          <w:ilvl w:val="0"/>
          <w:numId w:val="0"/>
        </w:numPr>
        <w:ind w:firstLine="420" w:firstLineChars="200"/>
        <w:outlineLvl w:val="9"/>
        <w:rPr>
          <w:rFonts w:hint="eastAsia" w:eastAsia="黑体"/>
          <w:lang w:val="en-US" w:eastAsia="zh-CN"/>
        </w:rPr>
      </w:pPr>
      <w:r>
        <w:rPr>
          <w:rFonts w:hint="eastAsia"/>
          <w:lang w:val="en-US" w:eastAsia="zh-CN"/>
        </w:rPr>
        <w:t>中试</w:t>
      </w:r>
      <w:r>
        <w:rPr>
          <w:rFonts w:hint="eastAsia"/>
        </w:rPr>
        <w:t xml:space="preserve"> </w:t>
      </w:r>
      <w:r>
        <w:rPr>
          <w:rFonts w:hint="eastAsia"/>
          <w:lang w:val="en-US" w:eastAsia="zh-CN"/>
        </w:rPr>
        <w:t xml:space="preserve"> </w:t>
      </w:r>
      <w:r>
        <w:rPr>
          <w:rFonts w:hint="eastAsia" w:eastAsia="黑体"/>
        </w:rPr>
        <w:t>pilot</w:t>
      </w:r>
      <w:r>
        <w:rPr>
          <w:rFonts w:hint="eastAsia"/>
          <w:lang w:val="en-US" w:eastAsia="zh-CN"/>
        </w:rPr>
        <w:t xml:space="preserve"> </w:t>
      </w:r>
    </w:p>
    <w:p w14:paraId="045C2050">
      <w:pPr>
        <w:pStyle w:val="60"/>
        <w:spacing w:before="120" w:beforeLines="50" w:after="120" w:afterLines="50" w:line="240" w:lineRule="auto"/>
        <w:ind w:left="0" w:leftChars="0" w:firstLine="420" w:firstLineChars="200"/>
        <w:jc w:val="both"/>
        <w:rPr>
          <w:rFonts w:hint="eastAsia"/>
        </w:rPr>
      </w:pPr>
      <w:r>
        <w:rPr>
          <w:rFonts w:hint="eastAsia"/>
        </w:rPr>
        <w:t>指新产品、新工艺、新技术在实验室研究成功后、规模化量产前，为验证工艺的可行性、稳定性和安全性，探索解决</w:t>
      </w:r>
      <w:r>
        <w:rPr>
          <w:rFonts w:hint="eastAsia"/>
          <w:lang w:val="en-US" w:eastAsia="zh-CN"/>
        </w:rPr>
        <w:t>产</w:t>
      </w:r>
      <w:r>
        <w:rPr>
          <w:rFonts w:hint="eastAsia"/>
        </w:rPr>
        <w:t>业化生产关键技术而进行的试验活动。</w:t>
      </w:r>
    </w:p>
    <w:p w14:paraId="4EA61FE9">
      <w:pPr>
        <w:pStyle w:val="109"/>
        <w:outlineLvl w:val="9"/>
      </w:pPr>
      <w:bookmarkStart w:id="41" w:name="_Toc1089"/>
      <w:bookmarkEnd w:id="41"/>
    </w:p>
    <w:p w14:paraId="56231379">
      <w:pPr>
        <w:pStyle w:val="60"/>
        <w:spacing w:before="120" w:beforeLines="50" w:after="120" w:afterLines="50" w:line="240" w:lineRule="auto"/>
        <w:ind w:left="0" w:leftChars="0" w:firstLine="420" w:firstLineChars="200"/>
        <w:jc w:val="both"/>
        <w:rPr>
          <w:rFonts w:eastAsia="黑体"/>
        </w:rPr>
      </w:pPr>
      <w:r>
        <w:rPr>
          <w:rFonts w:hint="eastAsia" w:eastAsia="黑体"/>
        </w:rPr>
        <w:t>医药研发中试平台</w:t>
      </w:r>
      <w:r>
        <w:rPr>
          <w:rFonts w:hint="eastAsia" w:eastAsia="黑体"/>
          <w:lang w:val="en-US" w:eastAsia="zh-CN"/>
        </w:rPr>
        <w:t xml:space="preserve">  </w:t>
      </w:r>
      <w:r>
        <w:rPr>
          <w:rFonts w:hint="eastAsia" w:eastAsia="黑体"/>
        </w:rPr>
        <w:t>pilot platform for pharmaceutical R&amp;D</w:t>
      </w:r>
    </w:p>
    <w:p w14:paraId="1AAEDD07">
      <w:pPr>
        <w:pStyle w:val="60"/>
        <w:spacing w:before="120" w:beforeLines="50" w:after="120" w:afterLines="50" w:line="240" w:lineRule="auto"/>
        <w:ind w:left="0" w:leftChars="0" w:firstLine="420" w:firstLineChars="200"/>
        <w:jc w:val="both"/>
        <w:rPr>
          <w:rFonts w:hint="eastAsia" w:ascii="宋体" w:hAnsi="宋体" w:cs="宋体"/>
        </w:rPr>
      </w:pPr>
      <w:r>
        <w:rPr>
          <w:rFonts w:hint="eastAsia" w:ascii="宋体" w:hAnsi="宋体" w:cs="宋体"/>
        </w:rPr>
        <w:t>介于实验室研发与工业化生产之间的技术验证平台，具备工艺放大、质量控制、临床样品制备等功能，用于实现医药产品从实验阶段到产业化的过渡。</w:t>
      </w:r>
    </w:p>
    <w:p w14:paraId="416227BD">
      <w:pPr>
        <w:pStyle w:val="109"/>
        <w:outlineLvl w:val="9"/>
        <w:rPr>
          <w:rFonts w:ascii="宋体" w:hAnsi="宋体" w:eastAsia="宋体" w:cs="宋体"/>
        </w:rPr>
      </w:pPr>
    </w:p>
    <w:p w14:paraId="6D9B6176">
      <w:pPr>
        <w:pStyle w:val="109"/>
        <w:numPr>
          <w:ilvl w:val="2"/>
          <w:numId w:val="0"/>
        </w:numPr>
        <w:ind w:firstLine="420" w:firstLineChars="200"/>
        <w:outlineLvl w:val="9"/>
        <w:rPr>
          <w:rFonts w:ascii="宋体" w:hAnsi="宋体" w:eastAsia="宋体" w:cs="宋体"/>
        </w:rPr>
      </w:pPr>
      <w:r>
        <w:rPr>
          <w:rFonts w:hint="eastAsia" w:ascii="黑体" w:hAnsi="黑体" w:cs="黑体"/>
        </w:rPr>
        <w:t xml:space="preserve">工艺验证  </w:t>
      </w:r>
      <w:r>
        <w:rPr>
          <w:rFonts w:hint="eastAsia"/>
          <w:lang w:val="en-US" w:eastAsia="zh-CN"/>
        </w:rPr>
        <w:t xml:space="preserve"> process validation</w:t>
      </w:r>
    </w:p>
    <w:p w14:paraId="7CF6E9F8">
      <w:pPr>
        <w:pStyle w:val="60"/>
        <w:spacing w:before="120" w:beforeLines="50" w:after="120" w:afterLines="50" w:line="240" w:lineRule="auto"/>
        <w:ind w:left="0" w:leftChars="0" w:firstLine="420" w:firstLineChars="200"/>
        <w:jc w:val="both"/>
        <w:rPr>
          <w:rFonts w:hint="eastAsia"/>
        </w:rPr>
      </w:pPr>
      <w:r>
        <w:rPr>
          <w:rFonts w:hint="eastAsia"/>
        </w:rPr>
        <w:t>通过系统化的实验证明中试工艺能够稳定生产出符合预定质量标准的产品，并具备可转移至商业化生产的能力。</w:t>
      </w:r>
    </w:p>
    <w:p w14:paraId="277AC3E9">
      <w:pPr>
        <w:pStyle w:val="108"/>
        <w:spacing w:before="240" w:after="240"/>
        <w:rPr>
          <w:rFonts w:ascii="Times New Roman"/>
        </w:rPr>
      </w:pPr>
      <w:bookmarkStart w:id="42" w:name="_Toc13622"/>
      <w:bookmarkStart w:id="43" w:name="_Toc8233"/>
      <w:r>
        <w:rPr>
          <w:rFonts w:hint="eastAsia" w:ascii="Times New Roman"/>
        </w:rPr>
        <w:t>总体</w:t>
      </w:r>
      <w:r>
        <w:rPr>
          <w:rFonts w:ascii="Times New Roman"/>
        </w:rPr>
        <w:t>要求</w:t>
      </w:r>
      <w:bookmarkEnd w:id="42"/>
      <w:bookmarkEnd w:id="43"/>
    </w:p>
    <w:p w14:paraId="0C552BF0">
      <w:pPr>
        <w:pStyle w:val="109"/>
        <w:bidi w:val="0"/>
        <w:ind w:left="0" w:leftChars="0" w:firstLine="0" w:firstLineChars="0"/>
        <w:rPr>
          <w:rFonts w:hint="eastAsia"/>
          <w:lang w:val="en-US" w:eastAsia="zh-CN"/>
        </w:rPr>
      </w:pPr>
      <w:bookmarkStart w:id="44" w:name="_Toc3322"/>
      <w:r>
        <w:rPr>
          <w:rFonts w:hint="eastAsia"/>
          <w:lang w:val="en-US" w:eastAsia="zh-CN"/>
        </w:rPr>
        <w:t>原则</w:t>
      </w:r>
      <w:bookmarkEnd w:id="44"/>
    </w:p>
    <w:p w14:paraId="7B4355F2">
      <w:pPr>
        <w:pStyle w:val="69"/>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中试平台建设应与其所在园区的产业方向相适应。</w:t>
      </w:r>
    </w:p>
    <w:p w14:paraId="3B2DCFB7">
      <w:pPr>
        <w:pStyle w:val="69"/>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中试平台的选址、规划、设计、建设以及装置重复利用、报废等，除应执行本文件外，还应符合国家现行有关标准的规定。</w:t>
      </w:r>
    </w:p>
    <w:p w14:paraId="2C346C0A">
      <w:pPr>
        <w:pStyle w:val="109"/>
        <w:bidi w:val="0"/>
        <w:ind w:left="0" w:leftChars="0" w:firstLine="0" w:firstLineChars="0"/>
        <w:rPr>
          <w:rFonts w:hint="eastAsia"/>
        </w:rPr>
      </w:pPr>
      <w:bookmarkStart w:id="45" w:name="_Toc21020"/>
      <w:r>
        <w:rPr>
          <w:rFonts w:hint="eastAsia"/>
        </w:rPr>
        <w:t>平台定位</w:t>
      </w:r>
      <w:bookmarkEnd w:id="45"/>
    </w:p>
    <w:p w14:paraId="72217327">
      <w:pPr>
        <w:pStyle w:val="69"/>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衔接实验室研发与产业化，聚焦生物医药产业化痛点，提供中试服务。</w:t>
      </w:r>
    </w:p>
    <w:p w14:paraId="4FC4092B">
      <w:pPr>
        <w:pStyle w:val="69"/>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应包含基因编辑、细胞培养、酶催化、合成生物、代谢工程、纯化等技术。</w:t>
      </w:r>
    </w:p>
    <w:p w14:paraId="2578C079">
      <w:pPr>
        <w:pStyle w:val="109"/>
        <w:bidi w:val="0"/>
        <w:ind w:left="0" w:leftChars="0" w:firstLine="0" w:firstLineChars="0"/>
      </w:pPr>
      <w:bookmarkStart w:id="46" w:name="_Toc18523"/>
      <w:r>
        <w:rPr>
          <w:rFonts w:hint="eastAsia"/>
        </w:rPr>
        <w:t>核心职能</w:t>
      </w:r>
      <w:bookmarkEnd w:id="46"/>
    </w:p>
    <w:p w14:paraId="176D3820">
      <w:pPr>
        <w:pStyle w:val="69"/>
        <w:spacing w:before="120" w:after="120"/>
        <w:rPr>
          <w:rFonts w:hint="eastAsia" w:hAnsi="黑体" w:cs="黑体"/>
          <w:lang w:val="en-US" w:eastAsia="zh-CN"/>
        </w:rPr>
      </w:pPr>
      <w:r>
        <w:rPr>
          <w:rFonts w:hint="eastAsia" w:hAnsi="黑体" w:cs="黑体"/>
          <w:lang w:val="en-US" w:eastAsia="zh-CN"/>
        </w:rPr>
        <w:t>工艺放大与优化</w:t>
      </w:r>
    </w:p>
    <w:p w14:paraId="16047E0D">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从实验室小规模工艺向中试规模（数百至上千升）放大，验证工艺可行性、稳定性与经济性。</w:t>
      </w:r>
    </w:p>
    <w:p w14:paraId="077DE106">
      <w:pPr>
        <w:pStyle w:val="69"/>
        <w:spacing w:before="120" w:after="120"/>
        <w:rPr>
          <w:rFonts w:hint="eastAsia" w:hAnsi="黑体" w:cs="黑体"/>
          <w:highlight w:val="none"/>
          <w:lang w:val="en-US" w:eastAsia="zh-CN"/>
        </w:rPr>
      </w:pPr>
      <w:r>
        <w:rPr>
          <w:rFonts w:hint="eastAsia" w:hAnsi="黑体" w:cs="黑体"/>
          <w:highlight w:val="none"/>
          <w:lang w:val="en-US" w:eastAsia="zh-CN"/>
        </w:rPr>
        <w:t>工艺包研发</w:t>
      </w:r>
    </w:p>
    <w:p w14:paraId="54608F84">
      <w:pPr>
        <w:pStyle w:val="60"/>
        <w:rPr>
          <w:rFonts w:hint="eastAsia" w:ascii="Arial" w:hAnsi="Arial" w:eastAsia="宋体" w:cs="Arial"/>
          <w:i w:val="0"/>
          <w:iCs w:val="0"/>
          <w:caps w:val="0"/>
          <w:color w:val="333333"/>
          <w:spacing w:val="15"/>
          <w:sz w:val="21"/>
          <w:szCs w:val="21"/>
          <w:shd w:val="clear" w:fill="FFFFFF"/>
          <w:lang w:val="en-US" w:eastAsia="zh-CN"/>
        </w:rPr>
      </w:pPr>
      <w:r>
        <w:rPr>
          <w:rFonts w:hint="eastAsia" w:ascii="Arial" w:hAnsi="Arial" w:eastAsia="宋体" w:cs="Arial"/>
          <w:i w:val="0"/>
          <w:iCs w:val="0"/>
          <w:caps w:val="0"/>
          <w:color w:val="333333"/>
          <w:spacing w:val="15"/>
          <w:sz w:val="21"/>
          <w:szCs w:val="21"/>
          <w:shd w:val="clear" w:fill="FFFFFF"/>
          <w:lang w:val="en-US" w:eastAsia="zh-CN"/>
        </w:rPr>
        <w:t>形成标准化的工艺文件（工艺参数、原料配方、质量控制点），支撑后续产业化。</w:t>
      </w:r>
    </w:p>
    <w:p w14:paraId="7DA66E65">
      <w:pPr>
        <w:pStyle w:val="69"/>
        <w:spacing w:before="120" w:after="120"/>
        <w:rPr>
          <w:rFonts w:hint="eastAsia" w:hAnsi="黑体" w:cs="黑体"/>
          <w:lang w:val="en-US" w:eastAsia="zh-CN"/>
        </w:rPr>
      </w:pPr>
      <w:r>
        <w:rPr>
          <w:rFonts w:hint="eastAsia" w:hAnsi="黑体" w:cs="黑体"/>
          <w:lang w:val="en-US" w:eastAsia="zh-CN"/>
        </w:rPr>
        <w:t>技术转化与孵化</w:t>
      </w:r>
    </w:p>
    <w:p w14:paraId="47F9FCA4">
      <w:pPr>
        <w:pStyle w:val="60"/>
        <w:spacing w:before="120" w:beforeLines="50" w:after="120" w:afterLines="50" w:line="240" w:lineRule="auto"/>
        <w:ind w:left="0" w:leftChars="0" w:firstLine="420" w:firstLineChars="200"/>
        <w:jc w:val="both"/>
        <w:rPr>
          <w:rFonts w:hint="default"/>
          <w:lang w:val="en-US" w:eastAsia="zh-CN"/>
        </w:rPr>
      </w:pPr>
      <w:r>
        <w:rPr>
          <w:rFonts w:hint="eastAsia"/>
          <w:lang w:val="en-US" w:eastAsia="zh-CN"/>
        </w:rPr>
        <w:t>为高校、科研院所、生物医药企业等的创新成果提供中试验证平台，促进技术成果产业化。</w:t>
      </w:r>
    </w:p>
    <w:p w14:paraId="45CF3219">
      <w:pPr>
        <w:pStyle w:val="109"/>
        <w:bidi w:val="0"/>
        <w:ind w:left="0" w:leftChars="0" w:firstLine="0" w:firstLineChars="0"/>
        <w:rPr>
          <w:rFonts w:hint="eastAsia"/>
        </w:rPr>
      </w:pPr>
      <w:bookmarkStart w:id="47" w:name="_Toc21467"/>
      <w:r>
        <w:rPr>
          <w:rFonts w:hint="eastAsia"/>
        </w:rPr>
        <w:t>服务对象</w:t>
      </w:r>
      <w:bookmarkEnd w:id="47"/>
    </w:p>
    <w:p w14:paraId="38C1B67C">
      <w:pPr>
        <w:pStyle w:val="60"/>
      </w:pPr>
      <w:r>
        <w:t>覆盖生物医药企业、高校、科研机构等，鼓励向中小企业开放。</w:t>
      </w:r>
    </w:p>
    <w:p w14:paraId="220DEE65">
      <w:pPr>
        <w:pStyle w:val="109"/>
        <w:bidi w:val="0"/>
        <w:ind w:left="0" w:leftChars="0" w:firstLine="0" w:firstLineChars="0"/>
        <w:rPr>
          <w:rFonts w:hint="default"/>
          <w:lang w:val="en-US" w:eastAsia="zh-CN"/>
        </w:rPr>
      </w:pPr>
      <w:bookmarkStart w:id="48" w:name="_Toc26898"/>
      <w:r>
        <w:rPr>
          <w:rFonts w:hint="eastAsia"/>
          <w:lang w:val="en-US" w:eastAsia="zh-CN"/>
        </w:rPr>
        <w:t>服务模式</w:t>
      </w:r>
      <w:bookmarkEnd w:id="48"/>
    </w:p>
    <w:p w14:paraId="4479560F">
      <w:pPr>
        <w:pStyle w:val="60"/>
        <w:spacing w:before="120" w:beforeLines="50" w:after="120" w:afterLines="50" w:line="240" w:lineRule="auto"/>
        <w:ind w:left="0" w:leftChars="0" w:firstLine="420" w:firstLineChars="200"/>
        <w:jc w:val="both"/>
        <w:rPr>
          <w:rFonts w:hint="default"/>
          <w:lang w:val="en-US" w:eastAsia="zh-CN"/>
        </w:rPr>
      </w:pPr>
      <w:r>
        <w:rPr>
          <w:rFonts w:hint="default"/>
          <w:lang w:val="en-US" w:eastAsia="zh-CN"/>
        </w:rPr>
        <w:t>平台采用分级服务模式，为高校提供免费测试额度，为中小企业提供适配性服务支持，与大型药企开展技术协作、联合研发等深度合作。</w:t>
      </w:r>
    </w:p>
    <w:p w14:paraId="7A827EDF">
      <w:pPr>
        <w:pStyle w:val="108"/>
        <w:spacing w:before="240" w:after="240"/>
        <w:rPr>
          <w:rFonts w:hint="eastAsia" w:ascii="Times New Roman"/>
        </w:rPr>
      </w:pPr>
      <w:bookmarkStart w:id="49" w:name="_Toc21941"/>
      <w:bookmarkStart w:id="50" w:name="_Toc15097"/>
      <w:r>
        <w:rPr>
          <w:rFonts w:hint="eastAsia" w:ascii="Times New Roman"/>
        </w:rPr>
        <w:t>建设要求</w:t>
      </w:r>
      <w:bookmarkEnd w:id="49"/>
      <w:bookmarkEnd w:id="50"/>
    </w:p>
    <w:p w14:paraId="16F31F60">
      <w:pPr>
        <w:pStyle w:val="109"/>
        <w:bidi w:val="0"/>
        <w:ind w:left="0" w:leftChars="0" w:firstLine="0" w:firstLineChars="0"/>
        <w:rPr>
          <w:rFonts w:hint="default"/>
          <w:lang w:val="en-US" w:eastAsia="zh-CN"/>
        </w:rPr>
      </w:pPr>
      <w:bookmarkStart w:id="51" w:name="_Toc9869"/>
      <w:r>
        <w:rPr>
          <w:rFonts w:hint="eastAsia"/>
          <w:lang w:val="en-US" w:eastAsia="zh-CN"/>
        </w:rPr>
        <w:t>总体要求</w:t>
      </w:r>
      <w:bookmarkEnd w:id="51"/>
    </w:p>
    <w:p w14:paraId="6C4DF2A1">
      <w:pPr>
        <w:pStyle w:val="60"/>
        <w:spacing w:before="120" w:beforeLines="50" w:after="120" w:afterLines="50" w:line="240" w:lineRule="auto"/>
        <w:ind w:left="0" w:leftChars="0" w:firstLine="420" w:firstLineChars="200"/>
        <w:jc w:val="both"/>
        <w:rPr>
          <w:rFonts w:hint="default"/>
          <w:lang w:val="en-US" w:eastAsia="zh-CN"/>
        </w:rPr>
      </w:pPr>
      <w:r>
        <w:rPr>
          <w:rFonts w:hint="eastAsia"/>
          <w:lang w:val="en-US" w:eastAsia="zh-CN"/>
        </w:rPr>
        <w:t>宜根据规划分区：功能区要求：实验室区（化验区）、生产区、</w:t>
      </w:r>
      <w:r>
        <w:rPr>
          <w:rFonts w:hint="eastAsia"/>
          <w:highlight w:val="none"/>
          <w:lang w:val="en-US" w:eastAsia="zh-CN"/>
        </w:rPr>
        <w:t>公用工程区、仓储区、办公区、生活区</w:t>
      </w:r>
      <w:r>
        <w:rPr>
          <w:rFonts w:hint="eastAsia"/>
          <w:lang w:val="en-US" w:eastAsia="zh-CN"/>
        </w:rPr>
        <w:t>。</w:t>
      </w:r>
    </w:p>
    <w:p w14:paraId="3BD209AB">
      <w:pPr>
        <w:pStyle w:val="109"/>
        <w:bidi w:val="0"/>
        <w:ind w:left="0" w:leftChars="0" w:firstLine="0" w:firstLineChars="0"/>
        <w:rPr>
          <w:rFonts w:hint="eastAsia"/>
          <w:lang w:val="en-US" w:eastAsia="zh-CN"/>
        </w:rPr>
      </w:pPr>
      <w:bookmarkStart w:id="52" w:name="_Toc15908"/>
      <w:r>
        <w:rPr>
          <w:rFonts w:hint="eastAsia"/>
          <w:lang w:val="en-US" w:eastAsia="zh-CN"/>
        </w:rPr>
        <w:t>区域选择</w:t>
      </w:r>
      <w:bookmarkEnd w:id="52"/>
    </w:p>
    <w:p w14:paraId="307F66D2">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选址应符合当地城市规划的要求。</w:t>
      </w:r>
    </w:p>
    <w:p w14:paraId="414A392C">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选址宜靠近当地高等教育、高新技术产业集聚区,并同时兼顾科学交流、科学普及、科学教育等相关活动的开干展。</w:t>
      </w:r>
    </w:p>
    <w:p w14:paraId="19EDD9AB">
      <w:pPr>
        <w:pStyle w:val="60"/>
        <w:spacing w:before="120" w:beforeLines="50" w:after="120" w:afterLines="50" w:line="240" w:lineRule="auto"/>
        <w:ind w:left="0" w:leftChars="0" w:firstLine="360" w:firstLineChars="200"/>
        <w:jc w:val="both"/>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专业性强的科研试验空间宜靠近相关专业产业区。</w:t>
      </w:r>
    </w:p>
    <w:p w14:paraId="473B5CD8">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基地与易燃、易爆生产及储存区之间的安全距离应符合合国家现行相关标准的规定。</w:t>
      </w:r>
    </w:p>
    <w:p w14:paraId="4DE8813F">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基地应避开噪声、振动、电磁干扰和其他污染源，或采取有效保护措施。</w:t>
      </w:r>
    </w:p>
    <w:p w14:paraId="6FAF0E1D">
      <w:pPr>
        <w:pStyle w:val="60"/>
        <w:spacing w:before="120" w:beforeLines="50" w:after="120" w:afterLines="50" w:line="240" w:lineRule="auto"/>
        <w:ind w:left="0" w:leftChars="0" w:firstLine="360" w:firstLineChars="200"/>
        <w:jc w:val="both"/>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对科学实验工作自身产生的上述危害，亦应采取环境保护措施，防止对周围环境的影响。</w:t>
      </w:r>
    </w:p>
    <w:p w14:paraId="671BF7A4">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基地应有消防安全保障条件及措施。</w:t>
      </w:r>
    </w:p>
    <w:p w14:paraId="7AAB4BD8">
      <w:pPr>
        <w:pStyle w:val="109"/>
        <w:bidi w:val="0"/>
        <w:ind w:left="0" w:leftChars="0" w:firstLine="0" w:firstLineChars="0"/>
        <w:rPr>
          <w:rFonts w:hint="eastAsia"/>
          <w:lang w:val="en-US" w:eastAsia="zh-CN"/>
        </w:rPr>
      </w:pPr>
      <w:bookmarkStart w:id="53" w:name="_Toc11735"/>
      <w:r>
        <w:rPr>
          <w:rFonts w:hint="eastAsia"/>
          <w:lang w:val="en-US" w:eastAsia="zh-CN"/>
        </w:rPr>
        <w:t>总体规划</w:t>
      </w:r>
      <w:bookmarkEnd w:id="53"/>
    </w:p>
    <w:p w14:paraId="446CAA61">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总平面布置应根据近远期建设计划,统一规划设计,宜集中布置,节约用地,预留发展空间,满足可持续发展的的要求。</w:t>
      </w:r>
    </w:p>
    <w:p w14:paraId="4D09C818">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总平面设计应符合科研工作的要求,规划面积指标应符合国家有关规定的要求。</w:t>
      </w:r>
    </w:p>
    <w:p w14:paraId="54D3970E">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总平面设计应合理利用基地的原有地形、地貌、地物、水面和空间以及现有的公用设施等。</w:t>
      </w:r>
    </w:p>
    <w:p w14:paraId="7342780D">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科研工作区域与公共服务、辅助配套等区域宜分区合理里，并应联系方便、互不干扰。</w:t>
      </w:r>
    </w:p>
    <w:p w14:paraId="16A48E08">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居住生活配套用房不应建在使用或储存有危险化学品的科研建筑内或贴邻建设。当邻近建设时,应符合本标准</w:t>
      </w:r>
      <w:r>
        <w:rPr>
          <w:rFonts w:hint="eastAsia" w:ascii="Times New Roman" w:hAnsi="Times New Roman" w:eastAsia="宋体" w:cs="Times New Roman"/>
          <w:sz w:val="21"/>
          <w:lang w:val="en-US" w:eastAsia="zh-CN" w:bidi="ar-SA"/>
        </w:rPr>
        <w:t>第5.2条的规定，并应同时符合GB50016的相关规定。</w:t>
      </w:r>
    </w:p>
    <w:p w14:paraId="1259D677">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科研展示及具有对外接待功能的区域，宜设独立出入口，避免人流车流干扰。</w:t>
      </w:r>
    </w:p>
    <w:p w14:paraId="5DB2A0DA">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使用有放射性、爆炸性、毒害性、极低温和污染性物质等危险化学品的区域宜与主体建筑分开设置,并应符合国家有关防火疏散、安全防护、环境保护的规定。</w:t>
      </w:r>
    </w:p>
    <w:p w14:paraId="37CF3E07">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当建在主体建筑内或贴邻建设时，应自成独立的防护单元，并应符合</w:t>
      </w:r>
      <w:r>
        <w:rPr>
          <w:rFonts w:hint="eastAsia" w:ascii="Times New Roman" w:hAnsi="Times New Roman" w:eastAsia="宋体" w:cs="Times New Roman"/>
          <w:sz w:val="21"/>
          <w:lang w:val="en-US" w:eastAsia="zh-CN" w:bidi="ar-SA"/>
        </w:rPr>
        <w:t>GB50016的相关规</w:t>
      </w:r>
      <w:r>
        <w:rPr>
          <w:rFonts w:hint="eastAsia" w:ascii="宋体" w:hAnsi="宋体" w:eastAsia="宋体" w:cs="宋体"/>
          <w:lang w:val="en-US" w:eastAsia="zh-CN"/>
        </w:rPr>
        <w:t>定。</w:t>
      </w:r>
    </w:p>
    <w:p w14:paraId="0A0091A8">
      <w:pPr>
        <w:pStyle w:val="109"/>
        <w:bidi w:val="0"/>
        <w:ind w:left="0" w:leftChars="0" w:firstLine="0" w:firstLineChars="0"/>
        <w:rPr>
          <w:rFonts w:hint="eastAsia"/>
          <w:lang w:val="en-US" w:eastAsia="zh-CN"/>
        </w:rPr>
      </w:pPr>
      <w:bookmarkStart w:id="54" w:name="_Toc11014"/>
      <w:r>
        <w:rPr>
          <w:rFonts w:hint="eastAsia"/>
          <w:lang w:val="en-US" w:eastAsia="zh-CN"/>
        </w:rPr>
        <w:t>建筑规划</w:t>
      </w:r>
      <w:bookmarkEnd w:id="54"/>
    </w:p>
    <w:p w14:paraId="449A6399">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科研建筑应根据建筑类别、使用性质、建设规模设置各类空间，可包括试验室区、化验区、生产装置区、公用工程区、仓储区、办公区、展示区生活区，各类功能区宜分区明确、联系方便、互不干扰。</w:t>
      </w:r>
    </w:p>
    <w:p w14:paraId="59A16B0D">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建筑宜采用标准化、模块化设计，以适应科研工作功能的变化，以及仪器设备等发展变化的需要。</w:t>
      </w:r>
    </w:p>
    <w:p w14:paraId="603E120F">
      <w:pPr>
        <w:pStyle w:val="69"/>
        <w:bidi w:val="0"/>
        <w:ind w:left="0" w:leftChars="0" w:firstLine="0" w:firstLineChars="0"/>
        <w:rPr>
          <w:rFonts w:hint="eastAsia" w:ascii="Times New Roman"/>
        </w:rPr>
      </w:pPr>
      <w:r>
        <w:rPr>
          <w:rFonts w:hint="eastAsia" w:ascii="宋体" w:hAnsi="宋体" w:eastAsia="宋体" w:cs="宋体"/>
          <w:lang w:val="en-US" w:eastAsia="zh-CN"/>
        </w:rPr>
        <w:t>建筑宜设置供科研人员交流、研讨的公共空间，该区域宜具有良好的空间环境。</w:t>
      </w:r>
    </w:p>
    <w:p w14:paraId="6E134253">
      <w:pPr>
        <w:pStyle w:val="109"/>
        <w:bidi w:val="0"/>
        <w:ind w:left="0" w:leftChars="0" w:firstLine="0" w:firstLineChars="0"/>
        <w:rPr>
          <w:rFonts w:hint="eastAsia" w:ascii="Times New Roman"/>
        </w:rPr>
      </w:pPr>
      <w:bookmarkStart w:id="55" w:name="_Toc16276"/>
      <w:r>
        <w:rPr>
          <w:rFonts w:hint="eastAsia"/>
          <w:lang w:val="en-US" w:eastAsia="zh-CN"/>
        </w:rPr>
        <w:t>实验室区（化验区）</w:t>
      </w:r>
      <w:bookmarkEnd w:id="55"/>
    </w:p>
    <w:p w14:paraId="1AF5D5E6">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实验室应</w:t>
      </w:r>
      <w:r>
        <w:rPr>
          <w:rFonts w:hint="eastAsia" w:ascii="Times New Roman" w:hAnsi="Times New Roman" w:eastAsia="宋体" w:cs="Times New Roman"/>
          <w:sz w:val="21"/>
          <w:lang w:val="en-US" w:eastAsia="zh-CN" w:bidi="ar-SA"/>
        </w:rPr>
        <w:t>符合GB 19489、 GB50346、JGJ 91、GB/T 31190、GB/T 6682的规定。</w:t>
      </w:r>
    </w:p>
    <w:p w14:paraId="2C0EE052">
      <w:pPr>
        <w:pStyle w:val="69"/>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实验室区应明确划分为：实验操作区、仪器区、样品处理区、试剂储存区、数据处理区、清洁区。各区域应物理分隔或设置明确界限，避免交叉污染与干扰。</w:t>
      </w:r>
    </w:p>
    <w:p w14:paraId="3380F86E">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风险评估</w:t>
      </w:r>
    </w:p>
    <w:p w14:paraId="6C3FFA00">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风险评估及风险控制，实验室应建立并维持风险评估和风险控制程序,以持续进行危险识别、风险评估和实施必要的控制措施。</w:t>
      </w:r>
    </w:p>
    <w:p w14:paraId="0633F2E0">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应事先对所有拟从事活动的风险进行评估，包括对化学、物理、辐射、电气、水灾、火灾、自然灾害等的风险进行评估。</w:t>
      </w:r>
    </w:p>
    <w:p w14:paraId="669DFB22">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风险评估应由具有经验的专业人员(不限于本机构内部的人员)进行。</w:t>
      </w:r>
    </w:p>
    <w:p w14:paraId="502783DB">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开展新的实验室活动或欲改变经评估过的实验室活动(包括相关的设施、设备、人员、活动范围、管理等),应事先或重新进行风险评估。</w:t>
      </w:r>
    </w:p>
    <w:p w14:paraId="27677B7F">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实验室的分级</w:t>
      </w:r>
    </w:p>
    <w:p w14:paraId="387947FC">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实验室可由防护区和辅助工作区组成。</w:t>
      </w:r>
    </w:p>
    <w:p w14:paraId="026DD07A">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根据实验室所处理对象的生物危害程度和采取的防护措施，生物安全实验室分为四级。微生物生物安全实验室可采用BSL-1、BSL-2、BSL-3、BSL-4表示相应级别的实验室；动物生物安全实验室可采用ABSL-1、ABSL-2、ABSL-3、ABSL-4表示相应级别的实验室，如表1。</w:t>
      </w:r>
    </w:p>
    <w:p w14:paraId="1516AC3B">
      <w:pPr>
        <w:pStyle w:val="60"/>
        <w:jc w:val="center"/>
        <w:rPr>
          <w:rFonts w:hint="eastAsia" w:ascii="黑体" w:hAnsi="黑体" w:eastAsia="黑体" w:cs="黑体"/>
        </w:rPr>
      </w:pPr>
      <w:r>
        <w:rPr>
          <w:rFonts w:hint="eastAsia" w:ascii="黑体" w:hAnsi="黑体" w:eastAsia="黑体" w:cs="黑体"/>
          <w:lang w:val="en-US" w:eastAsia="zh-CN"/>
        </w:rPr>
        <w:t xml:space="preserve">表1 </w:t>
      </w:r>
      <w:r>
        <w:rPr>
          <w:rFonts w:hint="eastAsia" w:ascii="黑体" w:hAnsi="黑体" w:eastAsia="黑体" w:cs="黑体"/>
        </w:rPr>
        <w:t>实验室的分级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53"/>
        <w:gridCol w:w="4823"/>
      </w:tblGrid>
      <w:tr w14:paraId="7DA1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09" w:type="dxa"/>
            <w:vAlign w:val="center"/>
          </w:tcPr>
          <w:p w14:paraId="56866E57">
            <w:pPr>
              <w:pStyle w:val="60"/>
              <w:jc w:val="both"/>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分级</w:t>
            </w:r>
          </w:p>
        </w:tc>
        <w:tc>
          <w:tcPr>
            <w:tcW w:w="3240" w:type="dxa"/>
            <w:vAlign w:val="center"/>
          </w:tcPr>
          <w:p w14:paraId="33F78224">
            <w:pPr>
              <w:pStyle w:val="60"/>
              <w:ind w:left="0" w:leftChars="0" w:firstLine="0" w:firstLineChars="0"/>
              <w:jc w:val="center"/>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生物危害程度</w:t>
            </w:r>
          </w:p>
        </w:tc>
        <w:tc>
          <w:tcPr>
            <w:tcW w:w="5122" w:type="dxa"/>
            <w:vAlign w:val="center"/>
          </w:tcPr>
          <w:p w14:paraId="379E9748">
            <w:pPr>
              <w:pStyle w:val="60"/>
              <w:jc w:val="center"/>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操作对象</w:t>
            </w:r>
          </w:p>
        </w:tc>
      </w:tr>
      <w:tr w14:paraId="6B0B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7ACB66C6">
            <w:pPr>
              <w:pStyle w:val="60"/>
              <w:jc w:val="both"/>
              <w:rPr>
                <w:rFonts w:hint="eastAsia" w:eastAsia="宋体"/>
                <w:sz w:val="18"/>
                <w:szCs w:val="18"/>
                <w:vertAlign w:val="baseline"/>
                <w:lang w:val="en-US" w:eastAsia="zh-CN"/>
              </w:rPr>
            </w:pPr>
            <w:r>
              <w:rPr>
                <w:rFonts w:hint="eastAsia"/>
                <w:sz w:val="18"/>
                <w:szCs w:val="18"/>
                <w:vertAlign w:val="baseline"/>
                <w:lang w:val="en-US" w:eastAsia="zh-CN"/>
              </w:rPr>
              <w:t>一级</w:t>
            </w:r>
          </w:p>
        </w:tc>
        <w:tc>
          <w:tcPr>
            <w:tcW w:w="3240" w:type="dxa"/>
            <w:vAlign w:val="center"/>
          </w:tcPr>
          <w:p w14:paraId="12CA1FB5">
            <w:pPr>
              <w:pStyle w:val="60"/>
              <w:ind w:left="0" w:leftChars="0" w:firstLine="0" w:firstLineChars="0"/>
              <w:jc w:val="center"/>
              <w:rPr>
                <w:rFonts w:hint="default"/>
                <w:sz w:val="18"/>
                <w:szCs w:val="18"/>
                <w:vertAlign w:val="baseline"/>
              </w:rPr>
            </w:pPr>
            <w:r>
              <w:rPr>
                <w:rFonts w:hint="default"/>
                <w:sz w:val="18"/>
                <w:szCs w:val="18"/>
                <w:vertAlign w:val="baseline"/>
              </w:rPr>
              <w:t>低个体危害，低群体危害</w:t>
            </w:r>
          </w:p>
        </w:tc>
        <w:tc>
          <w:tcPr>
            <w:tcW w:w="5122" w:type="dxa"/>
          </w:tcPr>
          <w:p w14:paraId="528C46B9">
            <w:pPr>
              <w:pStyle w:val="60"/>
              <w:ind w:left="0" w:leftChars="0" w:firstLine="0" w:firstLineChars="0"/>
              <w:rPr>
                <w:rFonts w:hint="default"/>
                <w:sz w:val="18"/>
                <w:szCs w:val="18"/>
                <w:vertAlign w:val="baseline"/>
              </w:rPr>
            </w:pPr>
            <w:r>
              <w:rPr>
                <w:rFonts w:hint="default"/>
                <w:sz w:val="18"/>
                <w:szCs w:val="18"/>
                <w:vertAlign w:val="baseline"/>
              </w:rPr>
              <w:t>对人体、动植物或环境危害较低，不具有对健康成人、动植物致病的致病因子</w:t>
            </w:r>
          </w:p>
        </w:tc>
      </w:tr>
      <w:tr w14:paraId="0F75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60D679C9">
            <w:pPr>
              <w:pStyle w:val="60"/>
              <w:jc w:val="both"/>
              <w:rPr>
                <w:rFonts w:hint="eastAsia" w:eastAsia="宋体"/>
                <w:sz w:val="18"/>
                <w:szCs w:val="18"/>
                <w:vertAlign w:val="baseline"/>
                <w:lang w:val="en-US" w:eastAsia="zh-CN"/>
              </w:rPr>
            </w:pPr>
            <w:r>
              <w:rPr>
                <w:rFonts w:hint="eastAsia"/>
                <w:sz w:val="18"/>
                <w:szCs w:val="18"/>
                <w:vertAlign w:val="baseline"/>
                <w:lang w:val="en-US" w:eastAsia="zh-CN"/>
              </w:rPr>
              <w:t>二级</w:t>
            </w:r>
          </w:p>
        </w:tc>
        <w:tc>
          <w:tcPr>
            <w:tcW w:w="3240" w:type="dxa"/>
            <w:vAlign w:val="center"/>
          </w:tcPr>
          <w:p w14:paraId="7D00F67A">
            <w:pPr>
              <w:pStyle w:val="60"/>
              <w:ind w:left="0" w:leftChars="0" w:firstLine="0" w:firstLineChars="0"/>
              <w:jc w:val="center"/>
              <w:rPr>
                <w:rFonts w:hint="default"/>
                <w:sz w:val="18"/>
                <w:szCs w:val="18"/>
                <w:vertAlign w:val="baseline"/>
              </w:rPr>
            </w:pPr>
            <w:r>
              <w:rPr>
                <w:rFonts w:hint="default"/>
                <w:sz w:val="18"/>
                <w:szCs w:val="18"/>
                <w:vertAlign w:val="baseline"/>
              </w:rPr>
              <w:t>中等个体危害.有限群体危害</w:t>
            </w:r>
          </w:p>
        </w:tc>
        <w:tc>
          <w:tcPr>
            <w:tcW w:w="5122" w:type="dxa"/>
          </w:tcPr>
          <w:p w14:paraId="23664202">
            <w:pPr>
              <w:pStyle w:val="60"/>
              <w:ind w:left="0" w:leftChars="0" w:firstLine="0" w:firstLineChars="0"/>
              <w:rPr>
                <w:rFonts w:hint="eastAsia" w:eastAsia="宋体"/>
                <w:sz w:val="18"/>
                <w:szCs w:val="18"/>
                <w:vertAlign w:val="baseline"/>
                <w:lang w:eastAsia="zh-CN"/>
              </w:rPr>
            </w:pPr>
            <w:r>
              <w:rPr>
                <w:rFonts w:hint="default"/>
                <w:sz w:val="18"/>
                <w:szCs w:val="18"/>
                <w:vertAlign w:val="baseline"/>
              </w:rPr>
              <w:t>对人体、动植物或环境具有中等危害或具有潜在危险的致病因子，对健康成人、动物和环境不会造成严重危害。有有效的预防和治疗措施</w:t>
            </w:r>
            <w:r>
              <w:rPr>
                <w:rFonts w:hint="eastAsia"/>
                <w:sz w:val="18"/>
                <w:szCs w:val="18"/>
                <w:vertAlign w:val="baseline"/>
                <w:lang w:eastAsia="zh-CN"/>
              </w:rPr>
              <w:t>。</w:t>
            </w:r>
          </w:p>
        </w:tc>
      </w:tr>
      <w:tr w14:paraId="2EBC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3170E777">
            <w:pPr>
              <w:pStyle w:val="60"/>
              <w:jc w:val="both"/>
              <w:rPr>
                <w:rFonts w:hint="eastAsia" w:eastAsia="宋体"/>
                <w:sz w:val="18"/>
                <w:szCs w:val="18"/>
                <w:vertAlign w:val="baseline"/>
                <w:lang w:val="en-US" w:eastAsia="zh-CN"/>
              </w:rPr>
            </w:pPr>
            <w:r>
              <w:rPr>
                <w:rFonts w:hint="eastAsia"/>
                <w:sz w:val="18"/>
                <w:szCs w:val="18"/>
                <w:vertAlign w:val="baseline"/>
                <w:lang w:val="en-US" w:eastAsia="zh-CN"/>
              </w:rPr>
              <w:t>三级</w:t>
            </w:r>
          </w:p>
        </w:tc>
        <w:tc>
          <w:tcPr>
            <w:tcW w:w="3240" w:type="dxa"/>
            <w:vAlign w:val="center"/>
          </w:tcPr>
          <w:p w14:paraId="4F02A5DA">
            <w:pPr>
              <w:pStyle w:val="60"/>
              <w:ind w:left="0" w:leftChars="0" w:firstLine="0" w:firstLineChars="0"/>
              <w:jc w:val="center"/>
              <w:rPr>
                <w:rFonts w:hint="default"/>
                <w:sz w:val="18"/>
                <w:szCs w:val="18"/>
                <w:vertAlign w:val="baseline"/>
              </w:rPr>
            </w:pPr>
            <w:r>
              <w:rPr>
                <w:rFonts w:hint="default"/>
                <w:sz w:val="18"/>
                <w:szCs w:val="18"/>
                <w:vertAlign w:val="baseline"/>
              </w:rPr>
              <w:t>高个体危害，低群体危害</w:t>
            </w:r>
          </w:p>
        </w:tc>
        <w:tc>
          <w:tcPr>
            <w:tcW w:w="5122" w:type="dxa"/>
          </w:tcPr>
          <w:p w14:paraId="2B13588C">
            <w:pPr>
              <w:pStyle w:val="60"/>
              <w:ind w:left="0" w:leftChars="0" w:firstLine="0" w:firstLineChars="0"/>
              <w:rPr>
                <w:rFonts w:hint="eastAsia" w:eastAsia="宋体"/>
                <w:sz w:val="18"/>
                <w:szCs w:val="18"/>
                <w:vertAlign w:val="baseline"/>
                <w:lang w:eastAsia="zh-CN"/>
              </w:rPr>
            </w:pPr>
            <w:r>
              <w:rPr>
                <w:rFonts w:hint="default"/>
                <w:sz w:val="18"/>
                <w:szCs w:val="18"/>
                <w:vertAlign w:val="baseline"/>
              </w:rPr>
              <w:t>对人体、动植物或环境具有高度危害性，通过直接接触或气溶胶使人传染上严重的甚至是致命疾病，或对动植物和环境具有高度危害的致病因子。通常有预防和治疗措施</w:t>
            </w:r>
            <w:r>
              <w:rPr>
                <w:rFonts w:hint="eastAsia"/>
                <w:sz w:val="18"/>
                <w:szCs w:val="18"/>
                <w:vertAlign w:val="baseline"/>
                <w:lang w:eastAsia="zh-CN"/>
              </w:rPr>
              <w:t>。</w:t>
            </w:r>
          </w:p>
        </w:tc>
      </w:tr>
      <w:tr w14:paraId="7E32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12081798">
            <w:pPr>
              <w:pStyle w:val="60"/>
              <w:jc w:val="both"/>
              <w:rPr>
                <w:rFonts w:hint="eastAsia" w:eastAsia="宋体"/>
                <w:sz w:val="18"/>
                <w:szCs w:val="18"/>
                <w:vertAlign w:val="baseline"/>
                <w:lang w:val="en-US" w:eastAsia="zh-CN"/>
              </w:rPr>
            </w:pPr>
            <w:r>
              <w:rPr>
                <w:rFonts w:hint="eastAsia"/>
                <w:sz w:val="18"/>
                <w:szCs w:val="18"/>
                <w:vertAlign w:val="baseline"/>
                <w:lang w:val="en-US" w:eastAsia="zh-CN"/>
              </w:rPr>
              <w:t>四级</w:t>
            </w:r>
          </w:p>
        </w:tc>
        <w:tc>
          <w:tcPr>
            <w:tcW w:w="3240" w:type="dxa"/>
            <w:vAlign w:val="center"/>
          </w:tcPr>
          <w:p w14:paraId="48FFA95E">
            <w:pPr>
              <w:pStyle w:val="60"/>
              <w:ind w:left="0" w:leftChars="0" w:firstLine="0" w:firstLineChars="0"/>
              <w:jc w:val="center"/>
              <w:rPr>
                <w:rFonts w:hint="default"/>
                <w:sz w:val="18"/>
                <w:szCs w:val="18"/>
                <w:vertAlign w:val="baseline"/>
              </w:rPr>
            </w:pPr>
            <w:r>
              <w:rPr>
                <w:rFonts w:hint="default"/>
                <w:sz w:val="18"/>
                <w:szCs w:val="18"/>
                <w:vertAlign w:val="baseline"/>
              </w:rPr>
              <w:t>高个体危害，高群体危害</w:t>
            </w:r>
          </w:p>
        </w:tc>
        <w:tc>
          <w:tcPr>
            <w:tcW w:w="5122" w:type="dxa"/>
          </w:tcPr>
          <w:p w14:paraId="2E70BEB5">
            <w:pPr>
              <w:pStyle w:val="60"/>
              <w:ind w:left="0" w:leftChars="0" w:firstLine="0" w:firstLineChars="0"/>
              <w:rPr>
                <w:rFonts w:hint="eastAsia" w:eastAsia="宋体"/>
                <w:sz w:val="18"/>
                <w:szCs w:val="18"/>
                <w:vertAlign w:val="baseline"/>
                <w:lang w:eastAsia="zh-CN"/>
              </w:rPr>
            </w:pPr>
            <w:r>
              <w:rPr>
                <w:rFonts w:hint="default"/>
                <w:sz w:val="18"/>
                <w:szCs w:val="18"/>
                <w:vertAlign w:val="baseline"/>
              </w:rPr>
              <w:t>对人体、动植物或环境具有高度危害性，通过气溶胶途径传播或传播途径不明，或未知的、高度危险的致病因子。没有预防和治疗措施</w:t>
            </w:r>
            <w:r>
              <w:rPr>
                <w:rFonts w:hint="eastAsia"/>
                <w:sz w:val="18"/>
                <w:szCs w:val="18"/>
                <w:vertAlign w:val="baseline"/>
                <w:lang w:eastAsia="zh-CN"/>
              </w:rPr>
              <w:t>。</w:t>
            </w:r>
          </w:p>
        </w:tc>
      </w:tr>
    </w:tbl>
    <w:p w14:paraId="30911286">
      <w:pPr>
        <w:pStyle w:val="98"/>
        <w:spacing w:before="120" w:after="120"/>
        <w:rPr>
          <w:rFonts w:hint="eastAsia" w:ascii="Times New Roman"/>
        </w:rPr>
      </w:pPr>
      <w:r>
        <w:rPr>
          <w:rFonts w:hint="eastAsia" w:ascii="宋体" w:hAnsi="宋体" w:eastAsia="宋体" w:cs="宋体"/>
          <w:lang w:val="en-US" w:eastAsia="zh-CN"/>
        </w:rPr>
        <w:t>实验室生物安全防护水平分级应符合GB 19489中第4章的要求。</w:t>
      </w:r>
    </w:p>
    <w:p w14:paraId="5DF2A433">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实验室的分类</w:t>
      </w:r>
    </w:p>
    <w:p w14:paraId="3DCE47B0">
      <w:pPr>
        <w:pStyle w:val="60"/>
        <w:spacing w:before="120" w:beforeLines="50" w:after="120" w:afterLines="50" w:line="240" w:lineRule="auto"/>
        <w:ind w:left="0" w:leftChars="0" w:firstLine="420" w:firstLineChars="200"/>
        <w:jc w:val="both"/>
        <w:rPr>
          <w:rFonts w:hint="eastAsia"/>
          <w:lang w:val="en-US" w:eastAsia="zh-CN"/>
        </w:rPr>
      </w:pPr>
      <w:r>
        <w:rPr>
          <w:rFonts w:hint="eastAsia"/>
          <w:lang w:val="en-US" w:eastAsia="zh-CN"/>
        </w:rPr>
        <w:t>应符合</w:t>
      </w:r>
      <w:r>
        <w:rPr>
          <w:rFonts w:hint="default"/>
          <w:lang w:val="en-US" w:eastAsia="zh-CN"/>
        </w:rPr>
        <w:t>GB 50346</w:t>
      </w:r>
      <w:r>
        <w:rPr>
          <w:rFonts w:hint="eastAsia"/>
          <w:lang w:val="en-US" w:eastAsia="zh-CN"/>
        </w:rPr>
        <w:t>中3.2的要求。</w:t>
      </w:r>
    </w:p>
    <w:p w14:paraId="34AC4508">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实验室技术指标</w:t>
      </w:r>
    </w:p>
    <w:p w14:paraId="077EEAFA">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二级实验室宜实施一级屏障和二级屏障，三级四级生物安全实验室应实施一级屏障和二级屏障。</w:t>
      </w:r>
    </w:p>
    <w:p w14:paraId="39FAD8D0">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主实验室二级屏障的主要技术指标应符合</w:t>
      </w:r>
      <w:r>
        <w:rPr>
          <w:rFonts w:hint="eastAsia" w:ascii="宋体" w:hAnsi="宋体" w:eastAsia="宋体" w:cs="宋体"/>
          <w:lang w:val="en-US" w:eastAsia="zh-CN"/>
        </w:rPr>
        <w:t>GB 50346中3.3</w:t>
      </w:r>
      <w:r>
        <w:rPr>
          <w:rFonts w:hint="default" w:ascii="宋体" w:hAnsi="宋体" w:eastAsia="宋体" w:cs="宋体"/>
          <w:lang w:val="en-US" w:eastAsia="zh-CN"/>
        </w:rPr>
        <w:t>的规定。</w:t>
      </w:r>
    </w:p>
    <w:p w14:paraId="730D2279">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三级和四级实验室其他房间的主要技术指标应符合表</w:t>
      </w:r>
      <w:r>
        <w:rPr>
          <w:rFonts w:hint="eastAsia" w:ascii="宋体" w:hAnsi="宋体" w:eastAsia="宋体" w:cs="宋体"/>
          <w:lang w:val="en-US" w:eastAsia="zh-CN"/>
        </w:rPr>
        <w:t>2</w:t>
      </w:r>
      <w:r>
        <w:rPr>
          <w:rFonts w:hint="default" w:ascii="宋体" w:hAnsi="宋体" w:eastAsia="宋体" w:cs="宋体"/>
          <w:lang w:val="en-US" w:eastAsia="zh-CN"/>
        </w:rPr>
        <w:t>的规定。</w:t>
      </w:r>
    </w:p>
    <w:p w14:paraId="3578DAC2">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当房间处于值班运行时，在各房间压差保持不变的前提下，值班换气次数可低于表</w:t>
      </w:r>
      <w:r>
        <w:rPr>
          <w:rFonts w:hint="eastAsia" w:ascii="宋体" w:hAnsi="宋体" w:eastAsia="宋体" w:cs="宋体"/>
          <w:lang w:val="en-US" w:eastAsia="zh-CN"/>
        </w:rPr>
        <w:t>2</w:t>
      </w:r>
      <w:r>
        <w:rPr>
          <w:rFonts w:hint="default" w:ascii="宋体" w:hAnsi="宋体" w:eastAsia="宋体" w:cs="宋体"/>
          <w:lang w:val="en-US" w:eastAsia="zh-CN"/>
        </w:rPr>
        <w:t>中规定的数值。</w:t>
      </w:r>
    </w:p>
    <w:p w14:paraId="48181C1E">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对有特殊要求的实验室，空气洁净度级别可高于本</w:t>
      </w:r>
      <w:r>
        <w:rPr>
          <w:rFonts w:hint="eastAsia" w:ascii="宋体" w:hAnsi="宋体" w:eastAsia="宋体" w:cs="宋体"/>
          <w:lang w:val="en-US" w:eastAsia="zh-CN"/>
        </w:rPr>
        <w:t>文件</w:t>
      </w:r>
      <w:r>
        <w:rPr>
          <w:rFonts w:hint="default" w:ascii="宋体" w:hAnsi="宋体" w:eastAsia="宋体" w:cs="宋体"/>
          <w:lang w:val="en-US" w:eastAsia="zh-CN"/>
        </w:rPr>
        <w:t>的规定，换气次数也应随之提高。</w:t>
      </w:r>
    </w:p>
    <w:p w14:paraId="1B124481">
      <w:pPr>
        <w:pStyle w:val="60"/>
        <w:jc w:val="center"/>
        <w:rPr>
          <w:rFonts w:hint="default" w:ascii="黑体" w:hAnsi="黑体" w:eastAsia="黑体" w:cs="黑体"/>
          <w:lang w:val="en-US" w:eastAsia="zh-CN"/>
        </w:rPr>
      </w:pPr>
      <w:r>
        <w:rPr>
          <w:rFonts w:hint="default" w:ascii="黑体" w:hAnsi="黑体" w:eastAsia="黑体" w:cs="黑体"/>
          <w:lang w:val="en-US" w:eastAsia="zh-CN"/>
        </w:rPr>
        <w:t>表</w:t>
      </w:r>
      <w:r>
        <w:rPr>
          <w:rFonts w:hint="eastAsia" w:ascii="黑体" w:hAnsi="黑体" w:eastAsia="黑体" w:cs="黑体"/>
          <w:lang w:val="en-US" w:eastAsia="zh-CN"/>
        </w:rPr>
        <w:t>2</w:t>
      </w:r>
      <w:r>
        <w:rPr>
          <w:rFonts w:hint="default" w:ascii="黑体" w:hAnsi="黑体" w:eastAsia="黑体" w:cs="黑体"/>
          <w:lang w:val="en-US" w:eastAsia="zh-CN"/>
        </w:rPr>
        <w:t xml:space="preserve"> 三级和四级生物安全实验室其他房间的主要技术指标</w:t>
      </w:r>
    </w:p>
    <w:p w14:paraId="16B54531">
      <w:pPr>
        <w:pStyle w:val="60"/>
        <w:jc w:val="center"/>
        <w:rPr>
          <w:rFonts w:hint="default" w:ascii="黑体" w:hAnsi="黑体" w:eastAsia="黑体" w:cs="黑体"/>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976"/>
        <w:gridCol w:w="1102"/>
        <w:gridCol w:w="1438"/>
        <w:gridCol w:w="960"/>
        <w:gridCol w:w="1109"/>
        <w:gridCol w:w="1149"/>
        <w:gridCol w:w="1311"/>
      </w:tblGrid>
      <w:tr w14:paraId="65FB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0" w:type="dxa"/>
            <w:vAlign w:val="center"/>
          </w:tcPr>
          <w:p w14:paraId="0F42ADA9">
            <w:pPr>
              <w:pStyle w:val="60"/>
              <w:ind w:left="0" w:leftChars="0" w:firstLine="0" w:firstLineChars="0"/>
              <w:jc w:val="center"/>
              <w:rPr>
                <w:rFonts w:hint="eastAsia" w:ascii="黑体" w:hAnsi="黑体" w:eastAsia="黑体" w:cs="黑体"/>
                <w:b w:val="0"/>
                <w:bCs w:val="0"/>
                <w:sz w:val="18"/>
                <w:szCs w:val="18"/>
                <w:vertAlign w:val="baseline"/>
                <w:lang w:eastAsia="zh-CN"/>
              </w:rPr>
            </w:pPr>
            <w:r>
              <w:rPr>
                <w:rFonts w:hint="eastAsia" w:ascii="黑体" w:hAnsi="黑体" w:eastAsia="黑体" w:cs="黑体"/>
                <w:b w:val="0"/>
                <w:bCs w:val="0"/>
                <w:sz w:val="18"/>
                <w:szCs w:val="18"/>
                <w:vertAlign w:val="baseline"/>
                <w:lang w:val="en-US" w:eastAsia="zh-CN"/>
              </w:rPr>
              <w:t>房间名称</w:t>
            </w:r>
          </w:p>
        </w:tc>
        <w:tc>
          <w:tcPr>
            <w:tcW w:w="1005" w:type="dxa"/>
            <w:vAlign w:val="center"/>
          </w:tcPr>
          <w:p w14:paraId="50D81E7C">
            <w:pPr>
              <w:pStyle w:val="60"/>
              <w:ind w:left="0" w:leftChars="0" w:firstLine="0" w:firstLineChars="0"/>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洁净度级别</w:t>
            </w:r>
          </w:p>
        </w:tc>
        <w:tc>
          <w:tcPr>
            <w:tcW w:w="1140" w:type="dxa"/>
            <w:vAlign w:val="center"/>
          </w:tcPr>
          <w:p w14:paraId="540DB901">
            <w:pPr>
              <w:pStyle w:val="60"/>
              <w:ind w:left="0" w:leftChars="0" w:firstLine="0" w:firstLineChars="0"/>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最小换气次数（次/h）</w:t>
            </w:r>
          </w:p>
        </w:tc>
        <w:tc>
          <w:tcPr>
            <w:tcW w:w="1485" w:type="dxa"/>
            <w:vAlign w:val="center"/>
          </w:tcPr>
          <w:p w14:paraId="2236C371">
            <w:pPr>
              <w:pStyle w:val="60"/>
              <w:ind w:left="0" w:leftChars="0" w:firstLine="0" w:firstLineChars="0"/>
              <w:jc w:val="center"/>
              <w:rPr>
                <w:rFonts w:hint="eastAsia" w:ascii="黑体" w:hAnsi="黑体" w:eastAsia="黑体" w:cs="黑体"/>
                <w:b w:val="0"/>
                <w:bCs w:val="0"/>
                <w:sz w:val="18"/>
                <w:szCs w:val="18"/>
                <w:vertAlign w:val="baseline"/>
                <w:lang w:eastAsia="zh-CN"/>
              </w:rPr>
            </w:pPr>
            <w:r>
              <w:rPr>
                <w:rFonts w:hint="eastAsia" w:ascii="黑体" w:hAnsi="黑体" w:eastAsia="黑体" w:cs="黑体"/>
                <w:b w:val="0"/>
                <w:bCs w:val="0"/>
                <w:sz w:val="18"/>
                <w:szCs w:val="18"/>
                <w:vertAlign w:val="baseline"/>
              </w:rPr>
              <w:t>与室外方向上相邻相通房间的最小负压差</w:t>
            </w:r>
            <w:r>
              <w:rPr>
                <w:rFonts w:hint="eastAsia" w:ascii="黑体" w:hAnsi="黑体" w:eastAsia="黑体" w:cs="黑体"/>
                <w:b w:val="0"/>
                <w:bCs w:val="0"/>
                <w:sz w:val="18"/>
                <w:szCs w:val="18"/>
                <w:vertAlign w:val="baseline"/>
                <w:lang w:eastAsia="zh-CN"/>
              </w:rPr>
              <w:t>（</w:t>
            </w:r>
            <w:r>
              <w:rPr>
                <w:rFonts w:hint="default" w:ascii="Times New Roman" w:hAnsi="Times New Roman" w:eastAsia="宋体" w:cs="Times New Roman"/>
                <w:szCs w:val="21"/>
              </w:rPr>
              <w:t>Pa</w:t>
            </w:r>
            <w:r>
              <w:rPr>
                <w:rFonts w:hint="eastAsia" w:ascii="黑体" w:hAnsi="黑体" w:eastAsia="黑体" w:cs="黑体"/>
                <w:b w:val="0"/>
                <w:bCs w:val="0"/>
                <w:sz w:val="18"/>
                <w:szCs w:val="18"/>
                <w:vertAlign w:val="baseline"/>
                <w:lang w:eastAsia="zh-CN"/>
              </w:rPr>
              <w:t>）</w:t>
            </w:r>
          </w:p>
        </w:tc>
        <w:tc>
          <w:tcPr>
            <w:tcW w:w="975" w:type="dxa"/>
            <w:vAlign w:val="center"/>
          </w:tcPr>
          <w:p w14:paraId="073094C3">
            <w:pPr>
              <w:pStyle w:val="60"/>
              <w:ind w:left="0" w:leftChars="0" w:firstLine="0" w:firstLineChars="0"/>
              <w:jc w:val="center"/>
              <w:rPr>
                <w:rFonts w:hint="eastAsia"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温度（℃）</w:t>
            </w:r>
          </w:p>
        </w:tc>
        <w:tc>
          <w:tcPr>
            <w:tcW w:w="1140" w:type="dxa"/>
            <w:vAlign w:val="center"/>
          </w:tcPr>
          <w:p w14:paraId="265101A2">
            <w:pPr>
              <w:pStyle w:val="60"/>
              <w:ind w:left="0" w:leftChars="0" w:firstLine="0" w:firstLineChars="0"/>
              <w:jc w:val="center"/>
              <w:rPr>
                <w:rFonts w:hint="eastAsia"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相对湿度（%）</w:t>
            </w:r>
          </w:p>
        </w:tc>
        <w:tc>
          <w:tcPr>
            <w:tcW w:w="1170" w:type="dxa"/>
            <w:vAlign w:val="center"/>
          </w:tcPr>
          <w:p w14:paraId="4EF5BC36">
            <w:pPr>
              <w:pStyle w:val="60"/>
              <w:ind w:left="0" w:leftChars="0" w:firstLine="0" w:firstLineChars="0"/>
              <w:jc w:val="center"/>
              <w:rPr>
                <w:rFonts w:hint="eastAsia"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噪声</w:t>
            </w:r>
          </w:p>
          <w:p w14:paraId="0073826E">
            <w:pPr>
              <w:pStyle w:val="60"/>
              <w:ind w:left="0" w:leftChars="0" w:firstLine="0" w:firstLineChars="0"/>
              <w:jc w:val="center"/>
              <w:rPr>
                <w:rFonts w:hint="eastAsia"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[dB(A)]</w:t>
            </w:r>
          </w:p>
        </w:tc>
        <w:tc>
          <w:tcPr>
            <w:tcW w:w="1350" w:type="dxa"/>
            <w:vAlign w:val="center"/>
          </w:tcPr>
          <w:p w14:paraId="0D9001AC">
            <w:pPr>
              <w:pStyle w:val="60"/>
              <w:ind w:left="0" w:leftChars="0" w:firstLine="0" w:firstLineChars="0"/>
              <w:jc w:val="center"/>
              <w:rPr>
                <w:rFonts w:hint="eastAsia"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平均照度</w:t>
            </w:r>
          </w:p>
          <w:p w14:paraId="496FEB1D">
            <w:pPr>
              <w:pStyle w:val="60"/>
              <w:ind w:left="0" w:leftChars="0" w:firstLine="0" w:firstLineChars="0"/>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18"/>
                <w:szCs w:val="18"/>
                <w:vertAlign w:val="baseline"/>
                <w:lang w:val="en-US" w:eastAsia="zh-CN"/>
              </w:rPr>
              <w:t>（Ix）</w:t>
            </w:r>
          </w:p>
        </w:tc>
      </w:tr>
      <w:tr w14:paraId="632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411B873B">
            <w:pPr>
              <w:pStyle w:val="60"/>
              <w:ind w:left="0" w:leftChars="0" w:firstLine="0" w:firstLineChars="0"/>
              <w:jc w:val="both"/>
              <w:rPr>
                <w:rFonts w:hint="eastAsia" w:eastAsia="宋体"/>
                <w:sz w:val="18"/>
                <w:szCs w:val="18"/>
                <w:vertAlign w:val="baseline"/>
                <w:lang w:val="en-US" w:eastAsia="zh-CN"/>
              </w:rPr>
            </w:pPr>
            <w:r>
              <w:rPr>
                <w:rFonts w:hint="eastAsia"/>
                <w:sz w:val="18"/>
                <w:szCs w:val="18"/>
                <w:vertAlign w:val="baseline"/>
                <w:lang w:val="en-US" w:eastAsia="zh-CN"/>
              </w:rPr>
              <w:t>主实验室的缓冲间</w:t>
            </w:r>
          </w:p>
        </w:tc>
        <w:tc>
          <w:tcPr>
            <w:tcW w:w="1005" w:type="dxa"/>
            <w:vAlign w:val="center"/>
          </w:tcPr>
          <w:p w14:paraId="6FF49F40">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7或8</w:t>
            </w:r>
          </w:p>
        </w:tc>
        <w:tc>
          <w:tcPr>
            <w:tcW w:w="1140" w:type="dxa"/>
            <w:vAlign w:val="center"/>
          </w:tcPr>
          <w:p w14:paraId="06552C3F">
            <w:pPr>
              <w:pStyle w:val="60"/>
              <w:ind w:left="0" w:leftChars="0" w:firstLine="0" w:firstLineChars="0"/>
              <w:jc w:val="cente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vertAlign w:val="baseline"/>
                <w:lang w:val="en-US" w:eastAsia="zh-CN"/>
              </w:rPr>
              <w:t>15或12</w:t>
            </w:r>
          </w:p>
        </w:tc>
        <w:tc>
          <w:tcPr>
            <w:tcW w:w="1485" w:type="dxa"/>
            <w:vAlign w:val="center"/>
          </w:tcPr>
          <w:p w14:paraId="0F6252CE">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w:t>
            </w:r>
          </w:p>
        </w:tc>
        <w:tc>
          <w:tcPr>
            <w:tcW w:w="975" w:type="dxa"/>
            <w:vAlign w:val="center"/>
          </w:tcPr>
          <w:p w14:paraId="44EBAF71">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18~27</w:t>
            </w:r>
          </w:p>
        </w:tc>
        <w:tc>
          <w:tcPr>
            <w:tcW w:w="1140" w:type="dxa"/>
            <w:vAlign w:val="center"/>
          </w:tcPr>
          <w:p w14:paraId="168F2BC0">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30~70</w:t>
            </w:r>
          </w:p>
        </w:tc>
        <w:tc>
          <w:tcPr>
            <w:tcW w:w="1170" w:type="dxa"/>
            <w:vAlign w:val="center"/>
          </w:tcPr>
          <w:p w14:paraId="33ADF332">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≤60</w:t>
            </w:r>
          </w:p>
        </w:tc>
        <w:tc>
          <w:tcPr>
            <w:tcW w:w="1350" w:type="dxa"/>
            <w:vAlign w:val="center"/>
          </w:tcPr>
          <w:p w14:paraId="6C1638E9">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200</w:t>
            </w:r>
          </w:p>
        </w:tc>
      </w:tr>
      <w:tr w14:paraId="58C3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B24B31B">
            <w:pPr>
              <w:pStyle w:val="60"/>
              <w:ind w:left="0" w:leftChars="0" w:firstLine="0" w:firstLineChars="0"/>
              <w:jc w:val="both"/>
              <w:rPr>
                <w:rFonts w:hint="eastAsia" w:eastAsia="宋体"/>
                <w:sz w:val="18"/>
                <w:szCs w:val="18"/>
                <w:vertAlign w:val="baseline"/>
                <w:lang w:val="en-US" w:eastAsia="zh-CN"/>
              </w:rPr>
            </w:pPr>
            <w:r>
              <w:rPr>
                <w:rFonts w:hint="eastAsia"/>
                <w:sz w:val="18"/>
                <w:szCs w:val="18"/>
                <w:vertAlign w:val="baseline"/>
                <w:lang w:val="en-US" w:eastAsia="zh-CN"/>
              </w:rPr>
              <w:t>隔离走廊</w:t>
            </w:r>
          </w:p>
        </w:tc>
        <w:tc>
          <w:tcPr>
            <w:tcW w:w="1005" w:type="dxa"/>
            <w:vAlign w:val="center"/>
          </w:tcPr>
          <w:p w14:paraId="5286D061">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7或8</w:t>
            </w:r>
          </w:p>
        </w:tc>
        <w:tc>
          <w:tcPr>
            <w:tcW w:w="1140" w:type="dxa"/>
            <w:vAlign w:val="center"/>
          </w:tcPr>
          <w:p w14:paraId="1E7BF8C8">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15或12</w:t>
            </w:r>
          </w:p>
        </w:tc>
        <w:tc>
          <w:tcPr>
            <w:tcW w:w="1485" w:type="dxa"/>
            <w:vAlign w:val="center"/>
          </w:tcPr>
          <w:p w14:paraId="103AE17B">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51F08DEE">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18~27</w:t>
            </w:r>
          </w:p>
        </w:tc>
        <w:tc>
          <w:tcPr>
            <w:tcW w:w="1140" w:type="dxa"/>
            <w:vAlign w:val="center"/>
          </w:tcPr>
          <w:p w14:paraId="303BB23F">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30~70</w:t>
            </w:r>
          </w:p>
        </w:tc>
        <w:tc>
          <w:tcPr>
            <w:tcW w:w="1170" w:type="dxa"/>
            <w:vAlign w:val="center"/>
          </w:tcPr>
          <w:p w14:paraId="2704E241">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3BB1C33B">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200</w:t>
            </w:r>
          </w:p>
        </w:tc>
      </w:tr>
      <w:tr w14:paraId="2DA7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C90E2B1">
            <w:pPr>
              <w:pStyle w:val="60"/>
              <w:ind w:left="0" w:leftChars="0" w:firstLine="0" w:firstLineChars="0"/>
              <w:jc w:val="both"/>
              <w:rPr>
                <w:rFonts w:hint="eastAsia" w:eastAsia="宋体"/>
                <w:sz w:val="18"/>
                <w:szCs w:val="18"/>
                <w:vertAlign w:val="baseline"/>
                <w:lang w:val="en-US" w:eastAsia="zh-CN"/>
              </w:rPr>
            </w:pPr>
            <w:r>
              <w:rPr>
                <w:rFonts w:hint="eastAsia"/>
                <w:sz w:val="18"/>
                <w:szCs w:val="18"/>
                <w:vertAlign w:val="baseline"/>
                <w:lang w:val="en-US" w:eastAsia="zh-CN"/>
              </w:rPr>
              <w:t>准备间</w:t>
            </w:r>
          </w:p>
        </w:tc>
        <w:tc>
          <w:tcPr>
            <w:tcW w:w="1005" w:type="dxa"/>
            <w:vAlign w:val="center"/>
          </w:tcPr>
          <w:p w14:paraId="1C49A0DC">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7或8</w:t>
            </w:r>
          </w:p>
        </w:tc>
        <w:tc>
          <w:tcPr>
            <w:tcW w:w="1140" w:type="dxa"/>
            <w:vAlign w:val="center"/>
          </w:tcPr>
          <w:p w14:paraId="2953226D">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15或12</w:t>
            </w:r>
          </w:p>
        </w:tc>
        <w:tc>
          <w:tcPr>
            <w:tcW w:w="1485" w:type="dxa"/>
            <w:vAlign w:val="center"/>
          </w:tcPr>
          <w:p w14:paraId="1F63A2D4">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513CBD77">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18~27</w:t>
            </w:r>
          </w:p>
        </w:tc>
        <w:tc>
          <w:tcPr>
            <w:tcW w:w="1140" w:type="dxa"/>
            <w:vAlign w:val="center"/>
          </w:tcPr>
          <w:p w14:paraId="38A9D467">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30~70</w:t>
            </w:r>
          </w:p>
        </w:tc>
        <w:tc>
          <w:tcPr>
            <w:tcW w:w="1170" w:type="dxa"/>
            <w:vAlign w:val="center"/>
          </w:tcPr>
          <w:p w14:paraId="11A0BD1D">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53AFD8EF">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200</w:t>
            </w:r>
          </w:p>
        </w:tc>
      </w:tr>
      <w:tr w14:paraId="478A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25761E2">
            <w:pPr>
              <w:pStyle w:val="60"/>
              <w:ind w:left="0" w:leftChars="0" w:firstLine="0" w:firstLineChars="0"/>
              <w:jc w:val="both"/>
              <w:rPr>
                <w:rFonts w:hint="eastAsia" w:eastAsia="宋体"/>
                <w:sz w:val="18"/>
                <w:szCs w:val="18"/>
                <w:vertAlign w:val="baseline"/>
                <w:lang w:val="en-US" w:eastAsia="zh-CN"/>
              </w:rPr>
            </w:pPr>
            <w:r>
              <w:rPr>
                <w:rFonts w:hint="eastAsia"/>
                <w:sz w:val="18"/>
                <w:szCs w:val="18"/>
                <w:vertAlign w:val="baseline"/>
                <w:lang w:val="en-US" w:eastAsia="zh-CN"/>
              </w:rPr>
              <w:t>防护服更换间</w:t>
            </w:r>
          </w:p>
        </w:tc>
        <w:tc>
          <w:tcPr>
            <w:tcW w:w="1005" w:type="dxa"/>
            <w:vAlign w:val="center"/>
          </w:tcPr>
          <w:p w14:paraId="605FA3B2">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val="en-US" w:eastAsia="zh-CN"/>
              </w:rPr>
              <w:t>8</w:t>
            </w:r>
          </w:p>
        </w:tc>
        <w:tc>
          <w:tcPr>
            <w:tcW w:w="1140" w:type="dxa"/>
            <w:vAlign w:val="center"/>
          </w:tcPr>
          <w:p w14:paraId="3847A2FF">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w:t>
            </w:r>
          </w:p>
        </w:tc>
        <w:tc>
          <w:tcPr>
            <w:tcW w:w="1485" w:type="dxa"/>
            <w:vAlign w:val="center"/>
          </w:tcPr>
          <w:p w14:paraId="63396556">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3587E287">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6</w:t>
            </w:r>
          </w:p>
        </w:tc>
        <w:tc>
          <w:tcPr>
            <w:tcW w:w="1140" w:type="dxa"/>
            <w:vAlign w:val="center"/>
          </w:tcPr>
          <w:p w14:paraId="2ACACAAB">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420FA370">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60561E88">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200</w:t>
            </w:r>
          </w:p>
        </w:tc>
      </w:tr>
      <w:tr w14:paraId="2C1E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6A4FAE1">
            <w:pPr>
              <w:pStyle w:val="60"/>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防护区内的淋浴间</w:t>
            </w:r>
          </w:p>
        </w:tc>
        <w:tc>
          <w:tcPr>
            <w:tcW w:w="1005" w:type="dxa"/>
            <w:vAlign w:val="center"/>
          </w:tcPr>
          <w:p w14:paraId="6A648E7C">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40" w:type="dxa"/>
            <w:vAlign w:val="center"/>
          </w:tcPr>
          <w:p w14:paraId="7362675F">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w:t>
            </w:r>
          </w:p>
        </w:tc>
        <w:tc>
          <w:tcPr>
            <w:tcW w:w="1485" w:type="dxa"/>
            <w:vAlign w:val="center"/>
          </w:tcPr>
          <w:p w14:paraId="08C1150F">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469940CF">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6</w:t>
            </w:r>
          </w:p>
        </w:tc>
        <w:tc>
          <w:tcPr>
            <w:tcW w:w="1140" w:type="dxa"/>
            <w:vAlign w:val="center"/>
          </w:tcPr>
          <w:p w14:paraId="359F33EC">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219CAA2A">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206E1322">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150</w:t>
            </w:r>
          </w:p>
        </w:tc>
      </w:tr>
      <w:tr w14:paraId="5536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0F8C7E8">
            <w:pPr>
              <w:pStyle w:val="60"/>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非防护区内的淋浴间</w:t>
            </w:r>
          </w:p>
        </w:tc>
        <w:tc>
          <w:tcPr>
            <w:tcW w:w="1005" w:type="dxa"/>
            <w:vAlign w:val="center"/>
          </w:tcPr>
          <w:p w14:paraId="2A4BB871">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eastAsia="zh-CN"/>
              </w:rPr>
              <w:t>——</w:t>
            </w:r>
          </w:p>
        </w:tc>
        <w:tc>
          <w:tcPr>
            <w:tcW w:w="1140" w:type="dxa"/>
            <w:vAlign w:val="center"/>
          </w:tcPr>
          <w:p w14:paraId="700A9CCF">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485" w:type="dxa"/>
            <w:vAlign w:val="center"/>
          </w:tcPr>
          <w:p w14:paraId="4D7C8FB7">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975" w:type="dxa"/>
            <w:vAlign w:val="center"/>
          </w:tcPr>
          <w:p w14:paraId="00316B15">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6</w:t>
            </w:r>
          </w:p>
        </w:tc>
        <w:tc>
          <w:tcPr>
            <w:tcW w:w="1140" w:type="dxa"/>
            <w:vAlign w:val="center"/>
          </w:tcPr>
          <w:p w14:paraId="45AEAC9C">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5B33149D">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2B214C31">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75</w:t>
            </w:r>
          </w:p>
        </w:tc>
      </w:tr>
      <w:tr w14:paraId="1BBC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6F24092">
            <w:pPr>
              <w:pStyle w:val="60"/>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化学淋浴间</w:t>
            </w:r>
          </w:p>
        </w:tc>
        <w:tc>
          <w:tcPr>
            <w:tcW w:w="1005" w:type="dxa"/>
            <w:vAlign w:val="center"/>
          </w:tcPr>
          <w:p w14:paraId="42E4B5DA">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eastAsia="zh-CN"/>
              </w:rPr>
              <w:t>——</w:t>
            </w:r>
          </w:p>
        </w:tc>
        <w:tc>
          <w:tcPr>
            <w:tcW w:w="1140" w:type="dxa"/>
            <w:vAlign w:val="center"/>
          </w:tcPr>
          <w:p w14:paraId="66EAE0EF">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1485" w:type="dxa"/>
            <w:vAlign w:val="center"/>
          </w:tcPr>
          <w:p w14:paraId="1A18F6FE">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375BCADC">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8</w:t>
            </w:r>
          </w:p>
        </w:tc>
        <w:tc>
          <w:tcPr>
            <w:tcW w:w="1140" w:type="dxa"/>
            <w:vAlign w:val="center"/>
          </w:tcPr>
          <w:p w14:paraId="34F73B6C">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1AB9156D">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2E51D6D4">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150</w:t>
            </w:r>
          </w:p>
        </w:tc>
      </w:tr>
      <w:tr w14:paraId="0625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0D35ADAC">
            <w:pPr>
              <w:pStyle w:val="60"/>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四级的废弃物处理设备间和防护区污水处理设备间</w:t>
            </w:r>
          </w:p>
        </w:tc>
        <w:tc>
          <w:tcPr>
            <w:tcW w:w="1005" w:type="dxa"/>
            <w:vAlign w:val="center"/>
          </w:tcPr>
          <w:p w14:paraId="079CBF82">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eastAsia="zh-CN"/>
              </w:rPr>
              <w:t>——</w:t>
            </w:r>
          </w:p>
        </w:tc>
        <w:tc>
          <w:tcPr>
            <w:tcW w:w="1140" w:type="dxa"/>
            <w:vAlign w:val="center"/>
          </w:tcPr>
          <w:p w14:paraId="6B2B2B12">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1485" w:type="dxa"/>
            <w:vAlign w:val="center"/>
          </w:tcPr>
          <w:p w14:paraId="1C8DC09E">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-10</w:t>
            </w:r>
          </w:p>
        </w:tc>
        <w:tc>
          <w:tcPr>
            <w:tcW w:w="975" w:type="dxa"/>
            <w:vAlign w:val="center"/>
          </w:tcPr>
          <w:p w14:paraId="5B834E6B">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8</w:t>
            </w:r>
          </w:p>
        </w:tc>
        <w:tc>
          <w:tcPr>
            <w:tcW w:w="1140" w:type="dxa"/>
            <w:vAlign w:val="center"/>
          </w:tcPr>
          <w:p w14:paraId="06D5096E">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427EAFC5">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350" w:type="dxa"/>
            <w:vAlign w:val="center"/>
          </w:tcPr>
          <w:p w14:paraId="42529DFF">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200</w:t>
            </w:r>
          </w:p>
        </w:tc>
      </w:tr>
      <w:tr w14:paraId="2E1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55305536">
            <w:pPr>
              <w:pStyle w:val="60"/>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清洁衣物更换间</w:t>
            </w:r>
          </w:p>
        </w:tc>
        <w:tc>
          <w:tcPr>
            <w:tcW w:w="1005" w:type="dxa"/>
            <w:vAlign w:val="center"/>
          </w:tcPr>
          <w:p w14:paraId="748EDE3E">
            <w:pPr>
              <w:pStyle w:val="60"/>
              <w:ind w:left="0" w:leftChars="0" w:firstLine="0" w:firstLineChars="0"/>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eastAsia="zh-CN"/>
              </w:rPr>
              <w:t>——</w:t>
            </w:r>
          </w:p>
        </w:tc>
        <w:tc>
          <w:tcPr>
            <w:tcW w:w="1140" w:type="dxa"/>
            <w:vAlign w:val="center"/>
          </w:tcPr>
          <w:p w14:paraId="10EA4666">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485" w:type="dxa"/>
            <w:vAlign w:val="center"/>
          </w:tcPr>
          <w:p w14:paraId="2A7F91D7">
            <w:pPr>
              <w:pStyle w:val="60"/>
              <w:ind w:left="0" w:leftChars="0" w:firstLine="0" w:firstLineChars="0"/>
              <w:jc w:val="center"/>
              <w:rPr>
                <w:rFonts w:hint="default"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975" w:type="dxa"/>
            <w:vAlign w:val="center"/>
          </w:tcPr>
          <w:p w14:paraId="7C3395D1">
            <w:pPr>
              <w:pStyle w:val="60"/>
              <w:ind w:left="0" w:leftChars="0" w:firstLine="0" w:firstLineChars="0"/>
              <w:jc w:val="cente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vertAlign w:val="baseline"/>
                <w:lang w:val="en-US" w:eastAsia="zh-CN"/>
              </w:rPr>
              <w:t>18~2</w:t>
            </w:r>
            <w:r>
              <w:rPr>
                <w:rFonts w:hint="eastAsia" w:ascii="Times New Roman" w:hAnsi="Times New Roman" w:cs="Times New Roman"/>
                <w:sz w:val="18"/>
                <w:szCs w:val="18"/>
                <w:vertAlign w:val="baseline"/>
                <w:lang w:val="en-US" w:eastAsia="zh-CN"/>
              </w:rPr>
              <w:t>6</w:t>
            </w:r>
          </w:p>
        </w:tc>
        <w:tc>
          <w:tcPr>
            <w:tcW w:w="1140" w:type="dxa"/>
            <w:vAlign w:val="center"/>
          </w:tcPr>
          <w:p w14:paraId="5F14C5A0">
            <w:pPr>
              <w:pStyle w:val="60"/>
              <w:ind w:left="0" w:leftChars="0" w:firstLine="0" w:firstLineChars="0"/>
              <w:jc w:val="center"/>
              <w:rPr>
                <w:rFonts w:hint="eastAsia" w:ascii="Times New Roman" w:hAnsi="Times New Roman" w:eastAsia="宋体" w:cs="Times New Roman"/>
                <w:sz w:val="18"/>
                <w:szCs w:val="18"/>
                <w:vertAlign w:val="baseline"/>
                <w:lang w:eastAsia="zh-CN"/>
              </w:rPr>
            </w:pPr>
            <w:r>
              <w:rPr>
                <w:rFonts w:hint="default" w:ascii="Times New Roman" w:hAnsi="Times New Roman" w:cs="Times New Roman"/>
                <w:sz w:val="18"/>
                <w:szCs w:val="18"/>
                <w:vertAlign w:val="baseline"/>
                <w:lang w:eastAsia="zh-CN"/>
              </w:rPr>
              <w:t>——</w:t>
            </w:r>
          </w:p>
        </w:tc>
        <w:tc>
          <w:tcPr>
            <w:tcW w:w="1170" w:type="dxa"/>
            <w:vAlign w:val="center"/>
          </w:tcPr>
          <w:p w14:paraId="39646CB4">
            <w:pPr>
              <w:pStyle w:val="60"/>
              <w:ind w:left="0" w:leftChars="0" w:firstLine="0" w:firstLineChars="0"/>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≤60</w:t>
            </w:r>
          </w:p>
        </w:tc>
        <w:tc>
          <w:tcPr>
            <w:tcW w:w="1350" w:type="dxa"/>
            <w:vAlign w:val="center"/>
          </w:tcPr>
          <w:p w14:paraId="7E19F65A">
            <w:pPr>
              <w:pStyle w:val="60"/>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150</w:t>
            </w:r>
          </w:p>
        </w:tc>
      </w:tr>
    </w:tbl>
    <w:p w14:paraId="25016562">
      <w:pPr>
        <w:pStyle w:val="60"/>
        <w:jc w:val="left"/>
        <w:rPr>
          <w:rFonts w:hint="eastAsia"/>
          <w:lang w:val="en-US" w:eastAsia="zh-CN"/>
        </w:rPr>
      </w:pPr>
      <w:r>
        <w:rPr>
          <w:rFonts w:hint="eastAsia" w:ascii="宋体" w:hAnsi="宋体" w:eastAsia="宋体" w:cs="宋体"/>
          <w:sz w:val="18"/>
          <w:szCs w:val="18"/>
          <w:lang w:val="en-US" w:eastAsia="zh-CN"/>
        </w:rPr>
        <w:t xml:space="preserve">注：当在准备间安装生物安全柜时，最大噪声不应超过 </w:t>
      </w:r>
      <w:r>
        <w:rPr>
          <w:rFonts w:hint="eastAsia" w:ascii="Times New Roman" w:hAnsi="Times New Roman" w:cs="Times New Roman"/>
          <w:sz w:val="18"/>
          <w:szCs w:val="18"/>
          <w:vertAlign w:val="baseline"/>
          <w:lang w:val="en-US" w:eastAsia="zh-CN"/>
        </w:rPr>
        <w:t>68dB(A)。</w:t>
      </w:r>
    </w:p>
    <w:p w14:paraId="430FBD81">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实验室建筑要求</w:t>
      </w:r>
    </w:p>
    <w:p w14:paraId="4DE5D202">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实验室设计和建造应符合国家和地方环境保护和建设主管部门等的规定和要求。</w:t>
      </w:r>
    </w:p>
    <w:p w14:paraId="04B66FE5">
      <w:pPr>
        <w:pStyle w:val="98"/>
        <w:spacing w:before="120" w:after="120"/>
        <w:rPr>
          <w:rFonts w:hint="eastAsia" w:ascii="Times New Roman" w:hAnsi="Times New Roman" w:eastAsia="宋体" w:cs="Times New Roman"/>
          <w:sz w:val="21"/>
          <w:lang w:val="en-US" w:eastAsia="zh-CN" w:bidi="ar-SA"/>
        </w:rPr>
      </w:pPr>
      <w:r>
        <w:rPr>
          <w:rFonts w:hint="eastAsia" w:ascii="宋体" w:hAnsi="宋体" w:eastAsia="宋体" w:cs="宋体"/>
          <w:lang w:val="en-US" w:eastAsia="zh-CN"/>
        </w:rPr>
        <w:t>实验室</w:t>
      </w:r>
      <w:r>
        <w:rPr>
          <w:rFonts w:hint="eastAsia" w:ascii="Times New Roman" w:hAnsi="Times New Roman" w:eastAsia="宋体" w:cs="Times New Roman"/>
          <w:sz w:val="21"/>
          <w:lang w:val="en-US" w:eastAsia="zh-CN" w:bidi="ar-SA"/>
        </w:rPr>
        <w:t>需要满足GB 50016、</w:t>
      </w:r>
      <w:r>
        <w:rPr>
          <w:rFonts w:hint="default" w:ascii="Times New Roman" w:hAnsi="Times New Roman" w:eastAsia="宋体" w:cs="Times New Roman"/>
          <w:sz w:val="21"/>
          <w:lang w:val="en-US" w:eastAsia="zh-CN" w:bidi="ar-SA"/>
        </w:rPr>
        <w:t>GB 50346</w:t>
      </w:r>
      <w:r>
        <w:rPr>
          <w:rFonts w:hint="eastAsia" w:ascii="Times New Roman" w:eastAsia="宋体" w:cs="Times New Roman"/>
          <w:sz w:val="21"/>
          <w:lang w:val="en-US" w:eastAsia="zh-CN" w:bidi="ar-SA"/>
        </w:rPr>
        <w:t>的要求。</w:t>
      </w:r>
      <w:r>
        <w:rPr>
          <w:rFonts w:hint="eastAsia" w:ascii="Times New Roman" w:hAnsi="Times New Roman" w:eastAsia="宋体" w:cs="Times New Roman"/>
          <w:sz w:val="21"/>
          <w:lang w:val="en-US" w:eastAsia="zh-CN" w:bidi="ar-SA"/>
        </w:rPr>
        <w:t>实验室建筑的耐火</w:t>
      </w:r>
      <w:r>
        <w:rPr>
          <w:rFonts w:hint="eastAsia" w:ascii="宋体" w:hAnsi="宋体" w:eastAsia="宋体" w:cs="宋体"/>
          <w:lang w:val="en-US" w:eastAsia="zh-CN"/>
        </w:rPr>
        <w:t>等级、防火分区、安全疏散（楼梯、通道的数量和宽度）、消防设</w:t>
      </w:r>
      <w:r>
        <w:rPr>
          <w:rFonts w:hint="eastAsia" w:ascii="Times New Roman" w:hAnsi="Times New Roman" w:eastAsia="宋体" w:cs="Times New Roman"/>
          <w:sz w:val="21"/>
          <w:lang w:val="en-US" w:eastAsia="zh-CN" w:bidi="ar-SA"/>
        </w:rPr>
        <w:t>施等应符合</w:t>
      </w:r>
      <w:r>
        <w:rPr>
          <w:rFonts w:hint="default" w:ascii="Times New Roman" w:hAnsi="Times New Roman" w:eastAsia="宋体" w:cs="Times New Roman"/>
          <w:sz w:val="21"/>
          <w:lang w:val="en-US" w:eastAsia="zh-CN" w:bidi="ar-SA"/>
        </w:rPr>
        <w:t>GB 19489</w:t>
      </w:r>
      <w:r>
        <w:rPr>
          <w:rFonts w:hint="eastAsia" w:ascii="Times New Roman" w:hAnsi="Times New Roman" w:eastAsia="宋体" w:cs="Times New Roman"/>
          <w:sz w:val="21"/>
          <w:lang w:val="en-US" w:eastAsia="zh-CN" w:bidi="ar-SA"/>
        </w:rPr>
        <w:t>、</w:t>
      </w:r>
      <w:r>
        <w:rPr>
          <w:rFonts w:hint="default" w:ascii="Times New Roman" w:hAnsi="Times New Roman" w:eastAsia="宋体" w:cs="Times New Roman"/>
          <w:sz w:val="21"/>
          <w:lang w:val="en-US" w:eastAsia="zh-CN" w:bidi="ar-SA"/>
        </w:rPr>
        <w:t>GB 50346</w:t>
      </w:r>
      <w:r>
        <w:rPr>
          <w:rFonts w:hint="eastAsia" w:ascii="Times New Roman" w:eastAsia="宋体" w:cs="Times New Roman"/>
          <w:sz w:val="21"/>
          <w:lang w:val="en-US" w:eastAsia="zh-CN" w:bidi="ar-SA"/>
        </w:rPr>
        <w:t>的要求</w:t>
      </w:r>
      <w:r>
        <w:rPr>
          <w:rFonts w:hint="eastAsia" w:ascii="Times New Roman" w:hAnsi="Times New Roman" w:eastAsia="宋体" w:cs="Times New Roman"/>
          <w:sz w:val="21"/>
          <w:lang w:val="en-US" w:eastAsia="zh-CN" w:bidi="ar-SA"/>
        </w:rPr>
        <w:t>。</w:t>
      </w:r>
    </w:p>
    <w:p w14:paraId="65EF5D82">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生物安全实验室的位置要求应符合表3的要求。</w:t>
      </w:r>
    </w:p>
    <w:p w14:paraId="61965D9F">
      <w:pPr>
        <w:pStyle w:val="60"/>
        <w:jc w:val="center"/>
        <w:rPr>
          <w:rFonts w:hint="eastAsia" w:ascii="黑体" w:hAnsi="黑体" w:eastAsia="黑体" w:cs="黑体"/>
        </w:rPr>
      </w:pPr>
      <w:r>
        <w:rPr>
          <w:rFonts w:hint="eastAsia" w:ascii="黑体" w:hAnsi="黑体" w:eastAsia="黑体" w:cs="黑体"/>
          <w:lang w:val="en-US" w:eastAsia="zh-CN"/>
        </w:rPr>
        <w:t xml:space="preserve">表3 </w:t>
      </w:r>
      <w:r>
        <w:rPr>
          <w:rFonts w:hint="eastAsia" w:ascii="黑体" w:hAnsi="黑体" w:eastAsia="黑体" w:cs="黑体"/>
        </w:rPr>
        <w:t>实验室</w:t>
      </w:r>
      <w:r>
        <w:rPr>
          <w:rFonts w:hint="eastAsia" w:ascii="黑体" w:hAnsi="黑体" w:eastAsia="黑体" w:cs="黑体"/>
          <w:lang w:eastAsia="zh-CN"/>
        </w:rPr>
        <w:t>的</w:t>
      </w:r>
      <w:r>
        <w:rPr>
          <w:rFonts w:hint="eastAsia" w:ascii="黑体" w:hAnsi="黑体" w:eastAsia="黑体" w:cs="黑体"/>
          <w:lang w:val="en-US" w:eastAsia="zh-CN"/>
        </w:rPr>
        <w:t>位置要求</w:t>
      </w:r>
    </w:p>
    <w:p w14:paraId="478254FB">
      <w:pPr>
        <w:pStyle w:val="60"/>
        <w:rPr>
          <w:rFonts w:hint="eastAsia"/>
          <w:lang w:val="en-US" w:eastAsia="zh-CN"/>
        </w:rPr>
      </w:pPr>
    </w:p>
    <w:tbl>
      <w:tblPr>
        <w:tblStyle w:val="30"/>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4157"/>
        <w:gridCol w:w="3388"/>
      </w:tblGrid>
      <w:tr w14:paraId="308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14:paraId="6B82E49B">
            <w:pPr>
              <w:pStyle w:val="60"/>
              <w:ind w:left="0" w:leftChars="0" w:firstLine="0" w:firstLineChars="0"/>
              <w:jc w:val="center"/>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实验室级别</w:t>
            </w:r>
          </w:p>
        </w:tc>
        <w:tc>
          <w:tcPr>
            <w:tcW w:w="4157" w:type="dxa"/>
          </w:tcPr>
          <w:p w14:paraId="7CE24D3B">
            <w:pPr>
              <w:pStyle w:val="60"/>
              <w:ind w:left="0" w:leftChars="0" w:firstLine="0" w:firstLineChars="0"/>
              <w:jc w:val="center"/>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平面位置</w:t>
            </w:r>
          </w:p>
        </w:tc>
        <w:tc>
          <w:tcPr>
            <w:tcW w:w="3388" w:type="dxa"/>
          </w:tcPr>
          <w:p w14:paraId="4423E7EC">
            <w:pPr>
              <w:pStyle w:val="60"/>
              <w:ind w:left="0" w:leftChars="0" w:firstLine="0" w:firstLineChars="0"/>
              <w:jc w:val="center"/>
              <w:rPr>
                <w:rFonts w:hint="eastAsia" w:ascii="黑体" w:hAnsi="黑体" w:eastAsia="黑体" w:cs="黑体"/>
                <w:b w:val="0"/>
                <w:bCs w:val="0"/>
                <w:sz w:val="18"/>
                <w:szCs w:val="18"/>
                <w:vertAlign w:val="baseline"/>
              </w:rPr>
            </w:pPr>
            <w:r>
              <w:rPr>
                <w:rFonts w:hint="eastAsia" w:ascii="黑体" w:hAnsi="黑体" w:eastAsia="黑体" w:cs="黑体"/>
                <w:b w:val="0"/>
                <w:bCs w:val="0"/>
                <w:sz w:val="18"/>
                <w:szCs w:val="18"/>
                <w:vertAlign w:val="baseline"/>
              </w:rPr>
              <w:t>选址和建筑间距</w:t>
            </w:r>
          </w:p>
        </w:tc>
      </w:tr>
      <w:tr w14:paraId="082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4" w:type="dxa"/>
            <w:vAlign w:val="center"/>
          </w:tcPr>
          <w:p w14:paraId="2C001E79">
            <w:pPr>
              <w:jc w:val="center"/>
              <w:rPr>
                <w:rFonts w:ascii="宋体" w:hAnsi="宋体" w:cs="宋体"/>
                <w:sz w:val="18"/>
                <w:szCs w:val="18"/>
              </w:rPr>
            </w:pPr>
            <w:r>
              <w:rPr>
                <w:rFonts w:ascii="宋体" w:hAnsi="宋体" w:cs="宋体"/>
                <w:sz w:val="18"/>
                <w:szCs w:val="18"/>
              </w:rPr>
              <w:t>一级</w:t>
            </w:r>
          </w:p>
        </w:tc>
        <w:tc>
          <w:tcPr>
            <w:tcW w:w="4157" w:type="dxa"/>
          </w:tcPr>
          <w:p w14:paraId="126DB1FA">
            <w:pPr>
              <w:rPr>
                <w:rFonts w:ascii="宋体" w:hAnsi="宋体" w:cs="宋体"/>
                <w:sz w:val="18"/>
                <w:szCs w:val="18"/>
              </w:rPr>
            </w:pPr>
            <w:r>
              <w:rPr>
                <w:rFonts w:ascii="宋体" w:hAnsi="宋体" w:cs="宋体"/>
                <w:sz w:val="18"/>
                <w:szCs w:val="18"/>
              </w:rPr>
              <w:t>可共用建筑物</w:t>
            </w:r>
            <w:r>
              <w:rPr>
                <w:rFonts w:hint="eastAsia" w:ascii="宋体" w:hAnsi="宋体" w:cs="宋体"/>
                <w:sz w:val="18"/>
                <w:szCs w:val="18"/>
                <w:lang w:eastAsia="zh-CN"/>
              </w:rPr>
              <w:t>，</w:t>
            </w:r>
            <w:r>
              <w:rPr>
                <w:rFonts w:ascii="宋体" w:hAnsi="宋体" w:cs="宋体"/>
                <w:sz w:val="18"/>
                <w:szCs w:val="18"/>
              </w:rPr>
              <w:t>实验室有可控制进出的门</w:t>
            </w:r>
          </w:p>
        </w:tc>
        <w:tc>
          <w:tcPr>
            <w:tcW w:w="3388" w:type="dxa"/>
          </w:tcPr>
          <w:p w14:paraId="71E8B9E0">
            <w:pPr>
              <w:rPr>
                <w:rFonts w:ascii="宋体" w:hAnsi="宋体" w:cs="宋体"/>
                <w:sz w:val="18"/>
                <w:szCs w:val="18"/>
              </w:rPr>
            </w:pPr>
            <w:r>
              <w:rPr>
                <w:rFonts w:ascii="宋体" w:hAnsi="宋体" w:cs="宋体"/>
                <w:sz w:val="18"/>
                <w:szCs w:val="18"/>
              </w:rPr>
              <w:t>无要求</w:t>
            </w:r>
          </w:p>
        </w:tc>
      </w:tr>
      <w:tr w14:paraId="62F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14:paraId="46743C51">
            <w:pPr>
              <w:jc w:val="center"/>
              <w:rPr>
                <w:rFonts w:ascii="宋体" w:hAnsi="宋体" w:cs="宋体"/>
                <w:sz w:val="18"/>
                <w:szCs w:val="18"/>
              </w:rPr>
            </w:pPr>
            <w:r>
              <w:rPr>
                <w:rFonts w:ascii="宋体" w:hAnsi="宋体" w:cs="宋体"/>
                <w:sz w:val="18"/>
                <w:szCs w:val="18"/>
              </w:rPr>
              <w:t>二级</w:t>
            </w:r>
          </w:p>
        </w:tc>
        <w:tc>
          <w:tcPr>
            <w:tcW w:w="4157" w:type="dxa"/>
          </w:tcPr>
          <w:p w14:paraId="743AC511">
            <w:pPr>
              <w:pStyle w:val="60"/>
              <w:ind w:left="0" w:leftChars="0" w:firstLine="0" w:firstLineChars="0"/>
              <w:rPr>
                <w:rFonts w:ascii="宋体" w:hAnsi="宋体" w:cs="宋体"/>
                <w:sz w:val="18"/>
                <w:szCs w:val="18"/>
              </w:rPr>
            </w:pPr>
            <w:r>
              <w:rPr>
                <w:rFonts w:hint="default"/>
                <w:sz w:val="18"/>
                <w:szCs w:val="18"/>
                <w:vertAlign w:val="baseline"/>
              </w:rPr>
              <w:t>可共用建筑物</w:t>
            </w:r>
            <w:r>
              <w:rPr>
                <w:rFonts w:hint="eastAsia"/>
                <w:sz w:val="18"/>
                <w:szCs w:val="18"/>
                <w:vertAlign w:val="baseline"/>
                <w:lang w:eastAsia="zh-CN"/>
              </w:rPr>
              <w:t>，</w:t>
            </w:r>
            <w:r>
              <w:rPr>
                <w:rFonts w:hint="default"/>
                <w:sz w:val="18"/>
                <w:szCs w:val="18"/>
                <w:vertAlign w:val="baseline"/>
              </w:rPr>
              <w:t>与建筑物其他部分可相通</w:t>
            </w:r>
            <w:r>
              <w:rPr>
                <w:rFonts w:hint="eastAsia"/>
                <w:sz w:val="18"/>
                <w:szCs w:val="18"/>
                <w:vertAlign w:val="baseline"/>
                <w:lang w:eastAsia="zh-CN"/>
              </w:rPr>
              <w:t>，</w:t>
            </w:r>
            <w:r>
              <w:rPr>
                <w:rFonts w:hint="default"/>
                <w:sz w:val="18"/>
                <w:szCs w:val="18"/>
                <w:vertAlign w:val="baseline"/>
              </w:rPr>
              <w:t>但应设可自动关闭的带锁的门</w:t>
            </w:r>
          </w:p>
        </w:tc>
        <w:tc>
          <w:tcPr>
            <w:tcW w:w="3388" w:type="dxa"/>
          </w:tcPr>
          <w:p w14:paraId="5CE89D89">
            <w:pPr>
              <w:rPr>
                <w:rFonts w:ascii="宋体" w:hAnsi="宋体" w:cs="宋体"/>
                <w:sz w:val="18"/>
                <w:szCs w:val="18"/>
              </w:rPr>
            </w:pPr>
            <w:r>
              <w:rPr>
                <w:rFonts w:ascii="宋体" w:hAnsi="宋体" w:cs="宋体"/>
                <w:sz w:val="18"/>
                <w:szCs w:val="18"/>
              </w:rPr>
              <w:t>无要求</w:t>
            </w:r>
          </w:p>
        </w:tc>
      </w:tr>
      <w:tr w14:paraId="0FA9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14:paraId="6408369A">
            <w:pPr>
              <w:jc w:val="center"/>
              <w:rPr>
                <w:rFonts w:ascii="宋体" w:hAnsi="宋体" w:cs="宋体"/>
                <w:sz w:val="18"/>
                <w:szCs w:val="18"/>
              </w:rPr>
            </w:pPr>
            <w:r>
              <w:rPr>
                <w:rFonts w:ascii="宋体" w:hAnsi="宋体" w:cs="宋体"/>
                <w:sz w:val="18"/>
                <w:szCs w:val="18"/>
              </w:rPr>
              <w:t>三级</w:t>
            </w:r>
          </w:p>
        </w:tc>
        <w:tc>
          <w:tcPr>
            <w:tcW w:w="4157" w:type="dxa"/>
          </w:tcPr>
          <w:p w14:paraId="323D5E1B">
            <w:pPr>
              <w:pStyle w:val="60"/>
              <w:ind w:left="0" w:leftChars="0" w:firstLine="0" w:firstLineChars="0"/>
              <w:rPr>
                <w:rFonts w:ascii="宋体" w:hAnsi="宋体" w:cs="宋体"/>
                <w:sz w:val="18"/>
                <w:szCs w:val="18"/>
              </w:rPr>
            </w:pPr>
            <w:r>
              <w:rPr>
                <w:rFonts w:hint="default"/>
                <w:sz w:val="18"/>
                <w:szCs w:val="18"/>
                <w:vertAlign w:val="baseline"/>
              </w:rPr>
              <w:t>与其他实验室可共用建筑物</w:t>
            </w:r>
            <w:r>
              <w:rPr>
                <w:rFonts w:hint="eastAsia"/>
                <w:sz w:val="18"/>
                <w:szCs w:val="18"/>
                <w:vertAlign w:val="baseline"/>
                <w:lang w:eastAsia="zh-CN"/>
              </w:rPr>
              <w:t>，</w:t>
            </w:r>
            <w:r>
              <w:rPr>
                <w:rFonts w:hint="default"/>
                <w:sz w:val="18"/>
                <w:szCs w:val="18"/>
                <w:vertAlign w:val="baseline"/>
              </w:rPr>
              <w:t>但应自成一区</w:t>
            </w:r>
            <w:r>
              <w:rPr>
                <w:rFonts w:hint="eastAsia"/>
                <w:sz w:val="18"/>
                <w:szCs w:val="18"/>
                <w:vertAlign w:val="baseline"/>
                <w:lang w:eastAsia="zh-CN"/>
              </w:rPr>
              <w:t>，</w:t>
            </w:r>
            <w:r>
              <w:rPr>
                <w:rFonts w:hint="default"/>
                <w:sz w:val="18"/>
                <w:szCs w:val="18"/>
                <w:vertAlign w:val="baseline"/>
              </w:rPr>
              <w:t>宜设在其一端或一侧</w:t>
            </w:r>
          </w:p>
        </w:tc>
        <w:tc>
          <w:tcPr>
            <w:tcW w:w="3388" w:type="dxa"/>
          </w:tcPr>
          <w:p w14:paraId="51499A1A">
            <w:pPr>
              <w:rPr>
                <w:rFonts w:ascii="宋体" w:hAnsi="宋体" w:cs="宋体"/>
                <w:sz w:val="18"/>
                <w:szCs w:val="18"/>
              </w:rPr>
            </w:pPr>
            <w:r>
              <w:rPr>
                <w:rFonts w:ascii="宋体" w:hAnsi="宋体" w:cs="宋体"/>
                <w:sz w:val="18"/>
                <w:szCs w:val="18"/>
              </w:rPr>
              <w:t>满足排风间距要求</w:t>
            </w:r>
          </w:p>
        </w:tc>
      </w:tr>
      <w:tr w14:paraId="6802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14:paraId="595213E1">
            <w:pPr>
              <w:jc w:val="center"/>
              <w:rPr>
                <w:rFonts w:ascii="宋体" w:hAnsi="宋体" w:cs="宋体"/>
                <w:sz w:val="18"/>
                <w:szCs w:val="18"/>
              </w:rPr>
            </w:pPr>
            <w:r>
              <w:rPr>
                <w:rFonts w:ascii="宋体" w:hAnsi="宋体" w:cs="宋体"/>
                <w:sz w:val="18"/>
                <w:szCs w:val="18"/>
              </w:rPr>
              <w:t>四级</w:t>
            </w:r>
          </w:p>
        </w:tc>
        <w:tc>
          <w:tcPr>
            <w:tcW w:w="4157" w:type="dxa"/>
          </w:tcPr>
          <w:p w14:paraId="3CD18983">
            <w:pPr>
              <w:pStyle w:val="60"/>
              <w:ind w:left="0" w:leftChars="0" w:firstLine="0" w:firstLineChars="0"/>
              <w:rPr>
                <w:rFonts w:hint="default"/>
                <w:sz w:val="18"/>
                <w:szCs w:val="18"/>
                <w:vertAlign w:val="baseline"/>
              </w:rPr>
            </w:pPr>
            <w:r>
              <w:rPr>
                <w:rFonts w:hint="default"/>
                <w:sz w:val="18"/>
                <w:szCs w:val="18"/>
                <w:vertAlign w:val="baseline"/>
              </w:rPr>
              <w:t>独立建筑物</w:t>
            </w:r>
            <w:r>
              <w:rPr>
                <w:rFonts w:hint="eastAsia"/>
                <w:sz w:val="18"/>
                <w:szCs w:val="18"/>
                <w:vertAlign w:val="baseline"/>
                <w:lang w:eastAsia="zh-CN"/>
              </w:rPr>
              <w:t>，</w:t>
            </w:r>
            <w:r>
              <w:rPr>
                <w:rFonts w:hint="default"/>
                <w:sz w:val="18"/>
                <w:szCs w:val="18"/>
                <w:vertAlign w:val="baseline"/>
              </w:rPr>
              <w:t>或与其他级别的生物安全</w:t>
            </w:r>
          </w:p>
          <w:p w14:paraId="4D953A36">
            <w:pPr>
              <w:pStyle w:val="60"/>
              <w:ind w:left="0" w:leftChars="0" w:firstLine="0" w:firstLineChars="0"/>
              <w:rPr>
                <w:rFonts w:hint="default"/>
                <w:sz w:val="18"/>
                <w:szCs w:val="18"/>
                <w:vertAlign w:val="baseline"/>
              </w:rPr>
            </w:pPr>
            <w:r>
              <w:rPr>
                <w:rFonts w:hint="default"/>
                <w:sz w:val="18"/>
                <w:szCs w:val="18"/>
                <w:vertAlign w:val="baseline"/>
              </w:rPr>
              <w:t>实验室共用建筑物</w:t>
            </w:r>
            <w:r>
              <w:rPr>
                <w:rFonts w:hint="eastAsia"/>
                <w:sz w:val="18"/>
                <w:szCs w:val="18"/>
                <w:vertAlign w:val="baseline"/>
                <w:lang w:eastAsia="zh-CN"/>
              </w:rPr>
              <w:t>，</w:t>
            </w:r>
            <w:r>
              <w:rPr>
                <w:rFonts w:hint="default"/>
                <w:sz w:val="18"/>
                <w:szCs w:val="18"/>
                <w:vertAlign w:val="baseline"/>
              </w:rPr>
              <w:t>但应在建筑物中独立</w:t>
            </w:r>
          </w:p>
          <w:p w14:paraId="67D30450">
            <w:pPr>
              <w:pStyle w:val="60"/>
              <w:ind w:left="0" w:leftChars="0" w:firstLine="0" w:firstLineChars="0"/>
              <w:rPr>
                <w:rFonts w:ascii="宋体" w:hAnsi="宋体" w:cs="宋体"/>
                <w:sz w:val="18"/>
                <w:szCs w:val="18"/>
              </w:rPr>
            </w:pPr>
            <w:r>
              <w:rPr>
                <w:rFonts w:hint="default"/>
                <w:sz w:val="18"/>
                <w:szCs w:val="18"/>
                <w:vertAlign w:val="baseline"/>
              </w:rPr>
              <w:t>的隔离区域内</w:t>
            </w:r>
          </w:p>
        </w:tc>
        <w:tc>
          <w:tcPr>
            <w:tcW w:w="3388" w:type="dxa"/>
          </w:tcPr>
          <w:p w14:paraId="72BA169D">
            <w:pPr>
              <w:pStyle w:val="60"/>
              <w:ind w:left="0" w:leftChars="0" w:firstLine="0" w:firstLineChars="0"/>
              <w:rPr>
                <w:rFonts w:ascii="宋体" w:hAnsi="宋体" w:cs="宋体"/>
                <w:sz w:val="18"/>
                <w:szCs w:val="18"/>
              </w:rPr>
            </w:pPr>
            <w:r>
              <w:rPr>
                <w:rFonts w:hint="default"/>
                <w:sz w:val="18"/>
                <w:szCs w:val="18"/>
                <w:vertAlign w:val="baseline"/>
              </w:rPr>
              <w:t>宜远离市区。主实验室所在建筑物离相邻建筑物或构筑物的距离不应小于相邻建筑物或构筑物高度的1.5倍</w:t>
            </w:r>
          </w:p>
        </w:tc>
      </w:tr>
    </w:tbl>
    <w:p w14:paraId="3096DAE2">
      <w:pPr>
        <w:numPr>
          <w:ilvl w:val="0"/>
          <w:numId w:val="0"/>
        </w:numPr>
        <w:adjustRightInd/>
        <w:spacing w:line="240" w:lineRule="auto"/>
        <w:ind w:left="420" w:leftChars="0"/>
      </w:pPr>
    </w:p>
    <w:p w14:paraId="34F0E1D1">
      <w:pPr>
        <w:pStyle w:val="69"/>
        <w:bidi w:val="0"/>
        <w:ind w:left="0" w:leftChars="0" w:firstLine="0" w:firstLineChars="0"/>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实验室装修和结构</w:t>
      </w:r>
    </w:p>
    <w:p w14:paraId="41E78746">
      <w:pPr>
        <w:pStyle w:val="60"/>
        <w:spacing w:before="120" w:beforeLines="50" w:after="120" w:afterLines="50" w:line="240" w:lineRule="auto"/>
        <w:ind w:left="0" w:leftChars="0" w:firstLine="420" w:firstLineChars="200"/>
        <w:jc w:val="both"/>
        <w:rPr>
          <w:rFonts w:ascii="宋体" w:hAnsi="宋体" w:cs="宋体"/>
        </w:rPr>
      </w:pPr>
      <w:r>
        <w:rPr>
          <w:rFonts w:hint="eastAsia"/>
          <w:lang w:val="en-US" w:eastAsia="zh-CN"/>
        </w:rPr>
        <w:t>应符合</w:t>
      </w:r>
      <w:r>
        <w:rPr>
          <w:rFonts w:hint="default"/>
          <w:lang w:val="en-US" w:eastAsia="zh-CN"/>
        </w:rPr>
        <w:t>GB 50346</w:t>
      </w:r>
      <w:r>
        <w:rPr>
          <w:rFonts w:hint="eastAsia"/>
          <w:lang w:val="en-US" w:eastAsia="zh-CN"/>
        </w:rPr>
        <w:t>中第4章的要求。</w:t>
      </w:r>
    </w:p>
    <w:p w14:paraId="259C234A">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空调、通风和净化</w:t>
      </w:r>
    </w:p>
    <w:p w14:paraId="03D7A6EC">
      <w:pPr>
        <w:pStyle w:val="60"/>
        <w:spacing w:before="120" w:beforeLines="50" w:after="120" w:afterLines="50" w:line="240" w:lineRule="auto"/>
        <w:ind w:left="0" w:leftChars="0" w:firstLine="420" w:firstLineChars="200"/>
        <w:jc w:val="both"/>
        <w:rPr>
          <w:rFonts w:ascii="宋体" w:hAnsi="宋体" w:cs="宋体"/>
        </w:rPr>
      </w:pPr>
      <w:r>
        <w:rPr>
          <w:rFonts w:hint="eastAsia"/>
          <w:lang w:val="en-US" w:eastAsia="zh-CN"/>
        </w:rPr>
        <w:t>应满足</w:t>
      </w:r>
      <w:r>
        <w:rPr>
          <w:rFonts w:hint="default"/>
          <w:lang w:val="en-US" w:eastAsia="zh-CN"/>
        </w:rPr>
        <w:t>GB 50346</w:t>
      </w:r>
      <w:r>
        <w:rPr>
          <w:rFonts w:hint="eastAsia"/>
          <w:lang w:val="en-US" w:eastAsia="zh-CN"/>
        </w:rPr>
        <w:t>中第5章的要求。</w:t>
      </w:r>
    </w:p>
    <w:p w14:paraId="3F81B9E1">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给水排水与气体供应</w:t>
      </w:r>
    </w:p>
    <w:p w14:paraId="574FF856">
      <w:pPr>
        <w:pStyle w:val="60"/>
        <w:spacing w:before="120" w:beforeLines="50" w:after="120" w:afterLines="50" w:line="240" w:lineRule="auto"/>
        <w:ind w:left="0" w:leftChars="0" w:firstLine="420" w:firstLineChars="200"/>
        <w:jc w:val="both"/>
        <w:rPr>
          <w:rFonts w:ascii="宋体" w:hAnsi="宋体" w:cs="宋体"/>
        </w:rPr>
      </w:pPr>
      <w:r>
        <w:rPr>
          <w:rFonts w:hint="eastAsia"/>
          <w:lang w:val="en-US" w:eastAsia="zh-CN"/>
        </w:rPr>
        <w:t>应满足</w:t>
      </w:r>
      <w:r>
        <w:rPr>
          <w:rFonts w:hint="default"/>
          <w:lang w:val="en-US" w:eastAsia="zh-CN"/>
        </w:rPr>
        <w:t>GB 50346</w:t>
      </w:r>
      <w:r>
        <w:rPr>
          <w:rFonts w:hint="eastAsia"/>
          <w:lang w:val="en-US" w:eastAsia="zh-CN"/>
        </w:rPr>
        <w:t>中第6章的要求。</w:t>
      </w:r>
    </w:p>
    <w:p w14:paraId="633FDF8F">
      <w:pPr>
        <w:pStyle w:val="69"/>
        <w:bidi w:val="0"/>
        <w:ind w:left="0" w:leftChars="0" w:firstLine="0" w:firstLineChars="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配电</w:t>
      </w:r>
    </w:p>
    <w:p w14:paraId="247064DE">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生物安全实验室应保证用电的可靠性。二级生物安全实验室的用电负荷不宜低于二级。</w:t>
      </w:r>
    </w:p>
    <w:p w14:paraId="06DA4C0E">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生物安全实验室应设专用配电箱。三级和四级生物安全实验室的专用配电箱应设在该实验室的防护区外。</w:t>
      </w:r>
    </w:p>
    <w:p w14:paraId="7FA4596C">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生物安全实验室内应设置足够数量的固定电源插座，重要设备应单独回路配电，且应设置漏电保护装置。</w:t>
      </w:r>
    </w:p>
    <w:p w14:paraId="5F07881B">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管线密封措施应满足生物安全实验室严密性要求。三级和四级生物安全实验室配电管线应采用金属管敷设，穿过墙和楼板的电线管应加套管或采用专用电缆穿墙装置，套管内用不收缩、不燃材料密封。</w:t>
      </w:r>
    </w:p>
    <w:p w14:paraId="51A6F5B8">
      <w:pPr>
        <w:pStyle w:val="98"/>
        <w:spacing w:before="120" w:after="120"/>
        <w:rPr>
          <w:rFonts w:hint="eastAsia"/>
          <w:lang w:val="en-US" w:eastAsia="zh-CN"/>
        </w:rPr>
      </w:pPr>
      <w:r>
        <w:rPr>
          <w:rFonts w:hint="eastAsia" w:ascii="宋体" w:hAnsi="宋体" w:eastAsia="宋体" w:cs="宋体"/>
          <w:lang w:val="en-US" w:eastAsia="zh-CN"/>
        </w:rPr>
        <w:t>实验室存在可能产生爆炸性气体的环境（如氢气、乙炔等），其电气设备、线路和安装必须</w:t>
      </w:r>
      <w:r>
        <w:rPr>
          <w:rFonts w:hint="eastAsia" w:ascii="Times New Roman" w:hAnsi="Times New Roman" w:eastAsia="宋体" w:cs="Times New Roman"/>
          <w:sz w:val="21"/>
          <w:lang w:val="en-US" w:eastAsia="zh-CN" w:bidi="ar-SA"/>
        </w:rPr>
        <w:t>符合GB 50058的规定</w:t>
      </w:r>
      <w:r>
        <w:rPr>
          <w:rFonts w:hint="eastAsia" w:ascii="宋体" w:hAnsi="宋体" w:eastAsia="宋体" w:cs="宋体"/>
          <w:lang w:val="en-US" w:eastAsia="zh-CN"/>
        </w:rPr>
        <w:t>。</w:t>
      </w:r>
    </w:p>
    <w:p w14:paraId="1749C5D3">
      <w:pPr>
        <w:pStyle w:val="108"/>
        <w:spacing w:before="240" w:after="240"/>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bookmarkStart w:id="56" w:name="_Toc19147"/>
      <w:r>
        <w:rPr>
          <w:rFonts w:hint="eastAsia" w:ascii="Times New Roman" w:hAnsi="Times New Roman" w:cs="Times New Roman"/>
          <w:lang w:val="en-US" w:eastAsia="zh-CN"/>
        </w:rPr>
        <w:t>设备条件</w:t>
      </w:r>
      <w:bookmarkEnd w:id="56"/>
    </w:p>
    <w:p w14:paraId="67A8DE65">
      <w:pPr>
        <w:pStyle w:val="109"/>
        <w:bidi w:val="0"/>
        <w:ind w:left="0" w:leftChars="0" w:firstLine="0" w:firstLineChars="0"/>
        <w:rPr>
          <w:rFonts w:hint="eastAsia" w:ascii="Times New Roman" w:hAnsi="Times New Roman" w:cs="Times New Roman"/>
          <w:lang w:val="en-US" w:eastAsia="zh-CN"/>
        </w:rPr>
      </w:pPr>
      <w:bookmarkStart w:id="57" w:name="_Toc18156"/>
      <w:r>
        <w:rPr>
          <w:rFonts w:hint="eastAsia" w:ascii="Times New Roman" w:hAnsi="Times New Roman" w:cs="Times New Roman"/>
          <w:lang w:val="en-US" w:eastAsia="zh-CN"/>
        </w:rPr>
        <w:t>设备配置</w:t>
      </w:r>
      <w:bookmarkEnd w:id="57"/>
    </w:p>
    <w:p w14:paraId="267908CC">
      <w:pPr>
        <w:pStyle w:val="69"/>
        <w:spacing w:before="120" w:after="120"/>
        <w:rPr>
          <w:rFonts w:hint="default" w:hAnsi="黑体" w:cs="黑体"/>
          <w:lang w:val="en-US" w:eastAsia="zh-CN"/>
        </w:rPr>
      </w:pPr>
      <w:r>
        <w:rPr>
          <w:rFonts w:hint="eastAsia" w:hAnsi="黑体" w:cs="黑体"/>
          <w:lang w:val="en-US" w:eastAsia="zh-CN"/>
        </w:rPr>
        <w:t>一般要求</w:t>
      </w:r>
    </w:p>
    <w:p w14:paraId="768F08B5">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中试平台实验室设施和设备应符合</w:t>
      </w:r>
      <w:r>
        <w:rPr>
          <w:rFonts w:hint="default" w:ascii="宋体" w:hAnsi="宋体" w:eastAsia="宋体" w:cs="宋体"/>
          <w:lang w:val="en-US" w:eastAsia="zh-CN"/>
        </w:rPr>
        <w:t>GB 19489</w:t>
      </w:r>
      <w:r>
        <w:rPr>
          <w:rFonts w:hint="eastAsia" w:ascii="宋体" w:hAnsi="宋体" w:eastAsia="宋体" w:cs="宋体"/>
          <w:lang w:val="en-US" w:eastAsia="zh-CN"/>
        </w:rPr>
        <w:t>的规定。</w:t>
      </w:r>
    </w:p>
    <w:p w14:paraId="1C7ECAB0">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根据不同设备类型，从用户需求、设计、安装、调试、确认、维护和运行采用生命周期管理。</w:t>
      </w:r>
    </w:p>
    <w:p w14:paraId="7A0EC63D">
      <w:pPr>
        <w:pStyle w:val="98"/>
        <w:spacing w:before="120" w:after="120"/>
        <w:rPr>
          <w:rFonts w:hint="default" w:ascii="Times New Roman" w:hAnsi="Times New Roman" w:cs="Times New Roman"/>
          <w:lang w:val="en-US" w:eastAsia="zh-CN"/>
        </w:rPr>
      </w:pPr>
      <w:r>
        <w:rPr>
          <w:rFonts w:hint="eastAsia" w:ascii="宋体" w:hAnsi="宋体" w:eastAsia="宋体" w:cs="宋体"/>
          <w:lang w:val="en-US" w:eastAsia="zh-CN"/>
        </w:rPr>
        <w:t>设备的技术要求要包括工艺要求、功能要求、性能要求、结构选择、材料选择、检测功能、环保安全要求。</w:t>
      </w:r>
    </w:p>
    <w:p w14:paraId="35CEF5DB">
      <w:pPr>
        <w:pStyle w:val="69"/>
        <w:spacing w:before="120" w:after="120"/>
        <w:rPr>
          <w:rFonts w:hint="eastAsia" w:hAnsi="黑体" w:cs="黑体"/>
          <w:lang w:val="en-US" w:eastAsia="zh-CN"/>
        </w:rPr>
      </w:pPr>
      <w:r>
        <w:rPr>
          <w:rFonts w:hint="eastAsia" w:hAnsi="黑体" w:cs="黑体"/>
          <w:lang w:val="en-US" w:eastAsia="zh-CN"/>
        </w:rPr>
        <w:t>通用仪器设备</w:t>
      </w:r>
    </w:p>
    <w:p w14:paraId="56AD4F55">
      <w:pPr>
        <w:pStyle w:val="98"/>
        <w:spacing w:before="120" w:after="120"/>
        <w:rPr>
          <w:rFonts w:hint="eastAsia"/>
          <w:lang w:val="en-US" w:eastAsia="zh-CN"/>
        </w:rPr>
      </w:pPr>
      <w:r>
        <w:rPr>
          <w:rFonts w:hint="eastAsia" w:ascii="宋体" w:hAnsi="宋体" w:eastAsia="宋体" w:cs="宋体"/>
          <w:lang w:val="en-US" w:eastAsia="zh-CN"/>
        </w:rPr>
        <w:t xml:space="preserve">宜根据产品领域或中试需求，视情况配备以下中试装备仪器：相关产品所需的逐级放大系列生物反应器及上下游配套系统；离心机、板框过滤机、膜过滤器、萃取设备、离子交换柱、色谱系统、层析系统、结晶罐、蒸发器、真空冷冻干燥机、喷雾干燥机等纯化浓缩设备；液相色谱仪、气相色谱仪、质谱仪、红外光谱仪、紫外-可见分光光度计、自动旋光仪、粘度计、不溶性微粒分析仪、澄明度检查仪等检验设备。  </w:t>
      </w:r>
    </w:p>
    <w:p w14:paraId="01C68198">
      <w:pPr>
        <w:pStyle w:val="98"/>
        <w:spacing w:before="120" w:after="120"/>
        <w:rPr>
          <w:rFonts w:hint="eastAsia"/>
          <w:lang w:val="en-US" w:eastAsia="zh-CN"/>
        </w:rPr>
      </w:pPr>
      <w:r>
        <w:rPr>
          <w:rFonts w:hint="eastAsia" w:ascii="宋体" w:hAnsi="宋体" w:eastAsia="宋体" w:cs="宋体"/>
          <w:sz w:val="21"/>
          <w:lang w:val="en-US" w:eastAsia="zh-CN" w:bidi="ar-SA"/>
        </w:rPr>
        <w:t xml:space="preserve">鼓励配备在线（生化、细胞量、尾气、光谱）检测仪器等面向PAT技术的数字化、自动化、智能化设备，以及生物制造过程数字化软件系统（过程装备数据融合系统，过程数据管理系统）、数字孪生系统。   </w:t>
      </w:r>
      <w:r>
        <w:rPr>
          <w:rFonts w:hint="eastAsia"/>
          <w:lang w:val="en-US" w:eastAsia="zh-CN"/>
        </w:rPr>
        <w:t xml:space="preserve"> </w:t>
      </w:r>
    </w:p>
    <w:p w14:paraId="6618567A">
      <w:pPr>
        <w:pStyle w:val="69"/>
        <w:spacing w:before="120" w:after="120"/>
        <w:rPr>
          <w:rFonts w:hint="eastAsia" w:hAnsi="黑体" w:cs="黑体"/>
          <w:lang w:val="en-US" w:eastAsia="zh-CN"/>
        </w:rPr>
      </w:pPr>
      <w:r>
        <w:rPr>
          <w:rFonts w:hint="eastAsia" w:hAnsi="黑体" w:cs="黑体"/>
          <w:lang w:val="en-US" w:eastAsia="zh-CN"/>
        </w:rPr>
        <w:t>专用设备仪器</w:t>
      </w:r>
    </w:p>
    <w:p w14:paraId="0D6905FF">
      <w:pPr>
        <w:pStyle w:val="98"/>
        <w:spacing w:before="120" w:after="120"/>
        <w:rPr>
          <w:rFonts w:hint="eastAsia" w:ascii="宋体" w:hAnsi="宋体" w:eastAsia="宋体" w:cs="宋体"/>
          <w:kern w:val="0"/>
          <w:sz w:val="21"/>
          <w:lang w:val="en-US" w:eastAsia="zh-CN" w:bidi="ar-SA"/>
        </w:rPr>
      </w:pPr>
      <w:r>
        <w:rPr>
          <w:rFonts w:hint="eastAsia" w:ascii="宋体" w:hAnsi="宋体" w:eastAsia="宋体" w:cs="宋体"/>
          <w:sz w:val="21"/>
          <w:lang w:val="en-US" w:eastAsia="zh-CN" w:bidi="ar-SA"/>
        </w:rPr>
        <w:t xml:space="preserve">生物制药：建议配备的个性设备仪器：低温冰箱、生物安全柜、超净工作台、流式细胞仪，细胞破碎仪、盐析设备、酶标仪、内毒素检测仪、高压均质机、电泳仪，近红外、拉曼、多通道质谱仪等检测仪器。 </w:t>
      </w:r>
    </w:p>
    <w:p w14:paraId="610288A5">
      <w:pPr>
        <w:pStyle w:val="98"/>
        <w:spacing w:before="120" w:after="120"/>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酶制剂：建议配备的个性设备仪器：细胞破碎仪、脱色装置、催化反应流化床、造粒机、抛丸机、超微量分光光度计、酶标仪等设备。 </w:t>
      </w:r>
    </w:p>
    <w:p w14:paraId="578784EA">
      <w:pPr>
        <w:pStyle w:val="98"/>
        <w:spacing w:before="120" w:after="120"/>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 xml:space="preserve">细胞开发：建议配备的个性设备仪器：细胞采集罐、树脂吸附罐、振动筛、解析柱、色谱柱、浓缩沉淀罐、树脂再生罐、多功能过滤干燥机、真空泵等纯化浓缩设备；以及卡尔费休水分测定仪、密度计等检测设备。  </w:t>
      </w:r>
    </w:p>
    <w:p w14:paraId="0866AF77">
      <w:pPr>
        <w:pStyle w:val="69"/>
        <w:spacing w:before="120" w:after="120"/>
        <w:rPr>
          <w:rFonts w:hint="eastAsia" w:hAnsi="黑体" w:cs="黑体"/>
          <w:lang w:val="en-US" w:eastAsia="zh-CN"/>
        </w:rPr>
      </w:pPr>
      <w:r>
        <w:rPr>
          <w:rFonts w:hint="eastAsia" w:hAnsi="黑体" w:cs="黑体"/>
          <w:lang w:val="en-US" w:eastAsia="zh-CN"/>
        </w:rPr>
        <w:t>设备规模</w:t>
      </w:r>
    </w:p>
    <w:p w14:paraId="7DCAA928">
      <w:pPr>
        <w:pStyle w:val="60"/>
        <w:rPr>
          <w:rFonts w:hint="default"/>
          <w:highlight w:val="none"/>
          <w:lang w:val="en-US" w:eastAsia="zh-CN"/>
        </w:rPr>
      </w:pPr>
      <w:r>
        <w:rPr>
          <w:rFonts w:hint="eastAsia" w:ascii="宋体" w:hAnsi="宋体" w:cs="宋体"/>
          <w:kern w:val="0"/>
          <w:sz w:val="21"/>
          <w:highlight w:val="none"/>
          <w:lang w:val="en-US" w:eastAsia="zh-CN" w:bidi="ar-SA"/>
        </w:rPr>
        <w:t>应符合相关规定。</w:t>
      </w:r>
    </w:p>
    <w:p w14:paraId="4C4FEEE5">
      <w:pPr>
        <w:pStyle w:val="69"/>
        <w:spacing w:before="120" w:after="120"/>
        <w:rPr>
          <w:rFonts w:hint="eastAsia" w:hAnsi="黑体" w:cs="黑体"/>
          <w:lang w:val="en-US" w:eastAsia="zh-CN"/>
        </w:rPr>
      </w:pPr>
      <w:r>
        <w:rPr>
          <w:rFonts w:hint="eastAsia" w:hAnsi="黑体" w:cs="黑体"/>
          <w:lang w:val="en-US" w:eastAsia="zh-CN"/>
        </w:rPr>
        <w:t>数字化能力</w:t>
      </w:r>
    </w:p>
    <w:p w14:paraId="1A6225A8">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可采用专用软件如数字化/自动化/智能化设备配套的 PAT 软件、过程数字化仿真软件(含数据融合、生物反应器模拟等系统)、数值仿真软件(模拟发酵流场、故障预判等)、AI大模型(推荐原料组合、预测产品指标)等数据管理系统。</w:t>
      </w:r>
    </w:p>
    <w:p w14:paraId="441063D7">
      <w:pPr>
        <w:pStyle w:val="98"/>
        <w:spacing w:before="120" w:after="120"/>
        <w:rPr>
          <w:rFonts w:hint="eastAsia" w:ascii="宋体" w:hAnsi="宋体" w:eastAsia="宋体" w:cs="宋体"/>
          <w:kern w:val="0"/>
          <w:sz w:val="21"/>
          <w:lang w:val="en-US" w:eastAsia="zh-CN" w:bidi="ar-SA"/>
        </w:rPr>
      </w:pPr>
      <w:r>
        <w:rPr>
          <w:rFonts w:hint="eastAsia" w:ascii="宋体" w:hAnsi="宋体" w:eastAsia="宋体" w:cs="宋体"/>
          <w:lang w:val="en-US" w:eastAsia="zh-CN"/>
        </w:rPr>
        <w:t>支持接入中试管理云平台，实现数据实时监测。</w:t>
      </w:r>
    </w:p>
    <w:p w14:paraId="108F0E22">
      <w:pPr>
        <w:pStyle w:val="109"/>
        <w:bidi w:val="0"/>
        <w:ind w:left="0" w:leftChars="0" w:firstLine="0" w:firstLineChars="0"/>
        <w:rPr>
          <w:rFonts w:hint="eastAsia" w:ascii="Times New Roman" w:hAnsi="Times New Roman" w:cs="Times New Roman"/>
          <w:lang w:val="en-US" w:eastAsia="zh-CN"/>
        </w:rPr>
      </w:pPr>
      <w:bookmarkStart w:id="58" w:name="_Toc20456"/>
      <w:r>
        <w:rPr>
          <w:rFonts w:hint="eastAsia" w:ascii="Times New Roman" w:hAnsi="Times New Roman" w:cs="Times New Roman"/>
          <w:lang w:val="en-US" w:eastAsia="zh-CN"/>
        </w:rPr>
        <w:t>人才团队</w:t>
      </w:r>
      <w:bookmarkEnd w:id="58"/>
    </w:p>
    <w:p w14:paraId="38203E24">
      <w:pPr>
        <w:pStyle w:val="60"/>
        <w:rPr>
          <w:rFonts w:hint="default"/>
          <w:lang w:val="en-US" w:eastAsia="zh-CN"/>
        </w:rPr>
      </w:pPr>
      <w:r>
        <w:rPr>
          <w:rFonts w:hint="eastAsia" w:ascii="Times New Roman" w:hAnsi="Times New Roman" w:cs="Times New Roman"/>
          <w:lang w:val="en-US" w:eastAsia="zh-CN"/>
        </w:rPr>
        <w:t>人才团队配备宜符以下要求</w:t>
      </w:r>
      <w:r>
        <w:rPr>
          <w:rFonts w:hint="eastAsia" w:cs="Times New Roman"/>
          <w:lang w:val="en-US" w:eastAsia="zh-CN"/>
        </w:rPr>
        <w:t>。</w:t>
      </w:r>
    </w:p>
    <w:p w14:paraId="6F6FFBC7">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需配备工程化经验丰富的技术带头人；</w:t>
      </w:r>
    </w:p>
    <w:p w14:paraId="09048B80">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人员需持健康证上岗；</w:t>
      </w:r>
    </w:p>
    <w:p w14:paraId="694A4C34">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复合型团队：研发、生产、质控、法规人才（3年内承担国家级项目经验优先）；</w:t>
      </w:r>
    </w:p>
    <w:p w14:paraId="159970E1">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结构要求：固定技术团队≥15 人，硕士 / 中级以上职称人员占比≥60%；</w:t>
      </w:r>
    </w:p>
    <w:p w14:paraId="22E66547">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资质认证：从事活菌操作、特种设备使用等岗位需持证上岗；</w:t>
      </w:r>
    </w:p>
    <w:p w14:paraId="5BF10BC4">
      <w:pPr>
        <w:pStyle w:val="60"/>
        <w:numPr>
          <w:ilvl w:val="0"/>
          <w:numId w:val="32"/>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具备自主中试熟化能力，为企业、高校、科研机构提供开放中试服务，推进委托开发类服务，鼓励开展讲座培训。</w:t>
      </w:r>
    </w:p>
    <w:p w14:paraId="7A11DF84">
      <w:pPr>
        <w:pStyle w:val="109"/>
        <w:bidi w:val="0"/>
        <w:ind w:left="0" w:leftChars="0" w:firstLine="0" w:firstLineChars="0"/>
        <w:rPr>
          <w:rFonts w:hint="default" w:ascii="Times New Roman" w:hAnsi="Times New Roman" w:cs="Times New Roman"/>
          <w:lang w:val="en-US" w:eastAsia="zh-CN"/>
        </w:rPr>
      </w:pPr>
      <w:bookmarkStart w:id="59" w:name="_Toc30923"/>
      <w:r>
        <w:rPr>
          <w:rFonts w:hint="eastAsia" w:ascii="Times New Roman" w:hAnsi="Times New Roman" w:cs="Times New Roman"/>
          <w:lang w:val="en-US" w:eastAsia="zh-CN"/>
        </w:rPr>
        <w:t>技术能力</w:t>
      </w:r>
      <w:bookmarkEnd w:id="59"/>
    </w:p>
    <w:p w14:paraId="48B777BB">
      <w:pPr>
        <w:pStyle w:val="69"/>
        <w:spacing w:before="120" w:after="120"/>
        <w:rPr>
          <w:rFonts w:hint="eastAsia" w:hAnsi="黑体" w:cs="黑体"/>
          <w:lang w:val="en-US" w:eastAsia="zh-CN"/>
        </w:rPr>
      </w:pPr>
      <w:r>
        <w:rPr>
          <w:rFonts w:hint="eastAsia" w:hAnsi="黑体" w:cs="黑体"/>
          <w:lang w:val="en-US" w:eastAsia="zh-CN"/>
        </w:rPr>
        <w:t>合规认证</w:t>
      </w:r>
    </w:p>
    <w:p w14:paraId="6895E1CC">
      <w:pPr>
        <w:pStyle w:val="60"/>
        <w:rPr>
          <w:rFonts w:hint="eastAsia"/>
        </w:rPr>
      </w:pPr>
      <w:r>
        <w:rPr>
          <w:rFonts w:hint="eastAsia"/>
        </w:rPr>
        <w:t>平台需符合 GMP或ISO 13485/ GB/T 42061</w:t>
      </w:r>
      <w:r>
        <w:rPr>
          <w:rFonts w:hint="eastAsia"/>
          <w:lang w:val="en-US" w:eastAsia="zh-CN"/>
        </w:rPr>
        <w:t>的要求</w:t>
      </w:r>
      <w:r>
        <w:rPr>
          <w:rFonts w:hint="eastAsia"/>
        </w:rPr>
        <w:t xml:space="preserve">，通过 </w:t>
      </w:r>
      <w:r>
        <w:t>GMP</w:t>
      </w:r>
      <w:r>
        <w:rPr>
          <w:rFonts w:hint="eastAsia"/>
        </w:rPr>
        <w:t>、</w:t>
      </w:r>
      <w:r>
        <w:t xml:space="preserve">FDA </w:t>
      </w:r>
      <w:r>
        <w:rPr>
          <w:rFonts w:hint="eastAsia"/>
        </w:rPr>
        <w:t>、</w:t>
      </w:r>
      <w:r>
        <w:t xml:space="preserve">EMA </w:t>
      </w:r>
      <w:r>
        <w:rPr>
          <w:rFonts w:hint="eastAsia"/>
        </w:rPr>
        <w:t>等国内外认证优先。</w:t>
      </w:r>
    </w:p>
    <w:p w14:paraId="0E9C231B">
      <w:pPr>
        <w:pStyle w:val="69"/>
        <w:spacing w:before="120" w:after="120"/>
        <w:rPr>
          <w:rFonts w:hint="eastAsia" w:hAnsi="黑体" w:cs="黑体"/>
          <w:lang w:val="en-US" w:eastAsia="zh-CN"/>
        </w:rPr>
      </w:pPr>
      <w:r>
        <w:rPr>
          <w:rFonts w:hint="eastAsia" w:hAnsi="黑体" w:cs="黑体"/>
          <w:lang w:val="en-US" w:eastAsia="zh-CN"/>
        </w:rPr>
        <w:t>经验要求</w:t>
      </w:r>
    </w:p>
    <w:p w14:paraId="0A7C917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至少开展 5 项中试项目，其中≥2 项成果产业化并实现营业收入，或衍生孵化≥3 家企业（估值总计≥2000 万元）。</w:t>
      </w:r>
    </w:p>
    <w:p w14:paraId="0A1C6E26">
      <w:pPr>
        <w:pStyle w:val="69"/>
        <w:spacing w:before="120" w:after="120"/>
        <w:rPr>
          <w:rFonts w:hint="default" w:hAnsi="黑体" w:cs="黑体"/>
          <w:lang w:val="en-US" w:eastAsia="zh-CN"/>
        </w:rPr>
      </w:pPr>
      <w:r>
        <w:rPr>
          <w:rFonts w:hint="eastAsia" w:hAnsi="黑体" w:cs="黑体"/>
          <w:lang w:val="en-US" w:eastAsia="zh-CN"/>
        </w:rPr>
        <w:t>能力要求</w:t>
      </w:r>
    </w:p>
    <w:p w14:paraId="799ABCD3">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自主中试熟化能力</w:t>
      </w:r>
    </w:p>
    <w:p w14:paraId="709273BD">
      <w:pPr>
        <w:pStyle w:val="60"/>
        <w:rPr>
          <w:rFonts w:hint="eastAsia" w:ascii="Times New Roman" w:hAnsi="Times New Roman" w:cs="Times New Roman"/>
          <w:lang w:val="en-US" w:eastAsia="zh-CN"/>
        </w:rPr>
      </w:pPr>
      <w:r>
        <w:rPr>
          <w:rFonts w:hint="eastAsia" w:ascii="Times New Roman" w:hAnsi="Times New Roman" w:cs="Times New Roman"/>
          <w:lang w:val="en-US" w:eastAsia="zh-CN"/>
        </w:rPr>
        <w:t>应具备能够独立完成从小试到中试的工艺放大、工艺验证、工艺文件编制的能力。</w:t>
      </w:r>
    </w:p>
    <w:p w14:paraId="27336203">
      <w:pPr>
        <w:pStyle w:val="98"/>
        <w:spacing w:before="120" w:after="120"/>
        <w:rPr>
          <w:rFonts w:hint="eastAsia" w:ascii="宋体" w:hAnsi="宋体" w:eastAsia="宋体" w:cs="宋体"/>
          <w:lang w:val="en-US" w:eastAsia="zh-CN"/>
        </w:rPr>
      </w:pPr>
      <w:r>
        <w:rPr>
          <w:rFonts w:hint="eastAsia" w:ascii="宋体" w:hAnsi="宋体" w:eastAsia="宋体" w:cs="宋体"/>
          <w:lang w:val="en-US" w:eastAsia="zh-CN"/>
        </w:rPr>
        <w:t>对外开放服务</w:t>
      </w:r>
    </w:p>
    <w:p w14:paraId="16221AB4">
      <w:pPr>
        <w:pStyle w:val="60"/>
        <w:rPr>
          <w:rFonts w:hint="eastAsia" w:ascii="Times New Roman" w:hAnsi="Times New Roman" w:cs="Times New Roman"/>
          <w:lang w:val="en-US" w:eastAsia="zh-CN"/>
        </w:rPr>
      </w:pPr>
      <w:r>
        <w:rPr>
          <w:rFonts w:hint="eastAsia" w:ascii="Times New Roman" w:hAnsi="Times New Roman" w:cs="Times New Roman"/>
          <w:lang w:val="en-US" w:eastAsia="zh-CN"/>
        </w:rPr>
        <w:t>为企业、高校、科研院所提供中试车间租赁、工艺技术指导、工艺放大咨询、项目委托开发等。</w:t>
      </w:r>
    </w:p>
    <w:p w14:paraId="797C4041">
      <w:pPr>
        <w:pStyle w:val="109"/>
        <w:bidi w:val="0"/>
        <w:ind w:left="0" w:leftChars="0" w:firstLine="0" w:firstLineChars="0"/>
        <w:rPr>
          <w:rFonts w:hint="default"/>
          <w:lang w:val="en-US"/>
        </w:rPr>
      </w:pPr>
      <w:bookmarkStart w:id="60" w:name="_Toc16082"/>
      <w:r>
        <w:rPr>
          <w:rFonts w:hint="eastAsia"/>
          <w:lang w:val="en-US" w:eastAsia="zh-CN"/>
        </w:rPr>
        <w:t>典型工艺流程</w:t>
      </w:r>
      <w:bookmarkEnd w:id="60"/>
    </w:p>
    <w:p w14:paraId="622C7A7F">
      <w:pPr>
        <w:pStyle w:val="60"/>
        <w:rPr>
          <w:rFonts w:hint="default"/>
          <w:lang w:val="en-US" w:eastAsia="zh-CN"/>
        </w:rPr>
      </w:pPr>
      <w:r>
        <w:rPr>
          <w:rFonts w:hint="eastAsia"/>
          <w:lang w:val="en-US" w:eastAsia="zh-CN"/>
        </w:rPr>
        <w:t>典型工艺流程，见附录A。具体流程宜根据研发实际需求进行调整。</w:t>
      </w:r>
    </w:p>
    <w:p w14:paraId="0F982822">
      <w:pPr>
        <w:pStyle w:val="109"/>
        <w:rPr>
          <w:rFonts w:hint="eastAsia"/>
        </w:rPr>
      </w:pPr>
      <w:bookmarkStart w:id="61" w:name="_Toc17947"/>
      <w:r>
        <w:rPr>
          <w:rFonts w:hint="eastAsia"/>
        </w:rPr>
        <w:t>质量管理</w:t>
      </w:r>
      <w:bookmarkEnd w:id="61"/>
    </w:p>
    <w:p w14:paraId="4DF0A9A8">
      <w:pPr>
        <w:pStyle w:val="69"/>
        <w:spacing w:before="120" w:after="120"/>
        <w:rPr>
          <w:rFonts w:hint="eastAsia" w:ascii="宋体" w:hAnsi="宋体" w:eastAsia="宋体" w:cs="宋体"/>
        </w:rPr>
      </w:pPr>
      <w:r>
        <w:rPr>
          <w:rFonts w:hint="eastAsia" w:ascii="宋体" w:hAnsi="宋体" w:eastAsia="宋体" w:cs="宋体"/>
        </w:rPr>
        <w:t>质控体系：遵循GMP规范，建立菌种管理、批次追溯制度；</w:t>
      </w:r>
    </w:p>
    <w:p w14:paraId="47F6E3DB">
      <w:pPr>
        <w:pStyle w:val="109"/>
        <w:rPr>
          <w:rFonts w:hint="eastAsia" w:ascii="Times New Roman" w:hAnsi="Times New Roman" w:cs="Times New Roman"/>
          <w:lang w:val="en-US" w:eastAsia="zh-CN"/>
        </w:rPr>
      </w:pPr>
      <w:bookmarkStart w:id="62" w:name="_Toc4561"/>
      <w:r>
        <w:rPr>
          <w:rFonts w:hint="eastAsia" w:ascii="Times New Roman" w:hAnsi="Times New Roman" w:cs="Times New Roman"/>
          <w:lang w:val="en-US" w:eastAsia="zh-CN"/>
        </w:rPr>
        <w:t>风险</w:t>
      </w:r>
      <w:r>
        <w:rPr>
          <w:rFonts w:hint="eastAsia" w:ascii="Times New Roman" w:hAnsi="Times New Roman" w:cs="Times New Roman"/>
        </w:rPr>
        <w:t>控制</w:t>
      </w:r>
      <w:bookmarkEnd w:id="62"/>
    </w:p>
    <w:p w14:paraId="195A2484">
      <w:pPr>
        <w:pStyle w:val="69"/>
        <w:bidi w:val="0"/>
        <w:ind w:left="0" w:leftChars="0" w:firstLine="0" w:firstLineChars="0"/>
        <w:rPr>
          <w:rFonts w:hint="eastAsia"/>
        </w:rPr>
      </w:pPr>
      <w:bookmarkStart w:id="63" w:name="_Toc22339"/>
      <w:r>
        <w:rPr>
          <w:rFonts w:hint="eastAsia"/>
        </w:rPr>
        <w:t>基本要求</w:t>
      </w:r>
      <w:bookmarkEnd w:id="63"/>
    </w:p>
    <w:p w14:paraId="32379A25">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风险管理应贯穿于</w:t>
      </w:r>
      <w:r>
        <w:rPr>
          <w:rFonts w:hint="eastAsia" w:ascii="宋体" w:hAnsi="宋体" w:eastAsia="宋体" w:cs="宋体"/>
          <w:lang w:val="en-US" w:eastAsia="zh-CN"/>
        </w:rPr>
        <w:t>中试平台</w:t>
      </w:r>
      <w:r>
        <w:rPr>
          <w:rFonts w:hint="default" w:ascii="宋体" w:hAnsi="宋体" w:eastAsia="宋体" w:cs="宋体"/>
          <w:lang w:val="en-US" w:eastAsia="zh-CN"/>
        </w:rPr>
        <w:t>设计、建造、运行和管理的全过程中。</w:t>
      </w:r>
    </w:p>
    <w:p w14:paraId="1A214E24">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风险管理采用模式化和个性化相结合，以便系统全面地管理风险源，应根据</w:t>
      </w:r>
      <w:r>
        <w:rPr>
          <w:rFonts w:hint="eastAsia" w:ascii="宋体" w:hAnsi="宋体" w:eastAsia="宋体" w:cs="宋体"/>
          <w:lang w:val="en-US" w:eastAsia="zh-CN"/>
        </w:rPr>
        <w:t>中试平台</w:t>
      </w:r>
      <w:r>
        <w:rPr>
          <w:rFonts w:hint="default" w:ascii="宋体" w:hAnsi="宋体" w:eastAsia="宋体" w:cs="宋体"/>
          <w:lang w:val="en-US" w:eastAsia="zh-CN"/>
        </w:rPr>
        <w:t>特点和内外部环境信息，制定个性化风险管理方案、记录实施过程。</w:t>
      </w:r>
    </w:p>
    <w:p w14:paraId="0ABF869C">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应通过风险管理活动及时地预测、识别、确认及应对因内外部环境信息变化而引起的新风险、风险等级变化等。</w:t>
      </w:r>
    </w:p>
    <w:p w14:paraId="709BC5BE">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应与利益相关方及时充分地沟通</w:t>
      </w:r>
      <w:r>
        <w:rPr>
          <w:rFonts w:hint="eastAsia" w:ascii="宋体" w:hAnsi="宋体" w:eastAsia="宋体" w:cs="宋体"/>
          <w:lang w:val="en-US" w:eastAsia="zh-CN"/>
        </w:rPr>
        <w:t>，</w:t>
      </w:r>
      <w:r>
        <w:rPr>
          <w:rFonts w:hint="default" w:ascii="宋体" w:hAnsi="宋体" w:eastAsia="宋体" w:cs="宋体"/>
          <w:lang w:val="en-US" w:eastAsia="zh-CN"/>
        </w:rPr>
        <w:t>并将沟通结果落实到风险管理。</w:t>
      </w:r>
    </w:p>
    <w:p w14:paraId="22FDF745">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应通过内外部审核、安全检查等措施定期评价风险应对的适宜性、充分性和有效性，持续改进风险管理。</w:t>
      </w:r>
    </w:p>
    <w:p w14:paraId="0403E59E">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风险管理应由对所涉及的有害生物、设施设备及管理流程熟悉的专业人员进行。</w:t>
      </w:r>
    </w:p>
    <w:p w14:paraId="248C7FD2">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风险管理应以法律法规，监督管理部门，国际组织或行业权威机构发布的规范、标准、指南等为依据，风险评估报告应得到</w:t>
      </w:r>
      <w:r>
        <w:rPr>
          <w:rFonts w:hint="eastAsia" w:ascii="宋体" w:hAnsi="宋体" w:eastAsia="宋体" w:cs="宋体"/>
          <w:lang w:val="en-US" w:eastAsia="zh-CN"/>
        </w:rPr>
        <w:t>中试平台</w:t>
      </w:r>
      <w:r>
        <w:rPr>
          <w:rFonts w:hint="default" w:ascii="宋体" w:hAnsi="宋体" w:eastAsia="宋体" w:cs="宋体"/>
          <w:lang w:val="en-US" w:eastAsia="zh-CN"/>
        </w:rPr>
        <w:t>所在机构管理层的批准；任何新技术在使用前应经过充分验证，适用时，应得到相关监督管理部门的批准。</w:t>
      </w:r>
    </w:p>
    <w:p w14:paraId="3D104F37">
      <w:pPr>
        <w:pStyle w:val="98"/>
        <w:spacing w:before="120" w:after="120"/>
        <w:rPr>
          <w:rFonts w:hint="default" w:ascii="宋体" w:hAnsi="宋体" w:eastAsia="宋体" w:cs="宋体"/>
          <w:lang w:val="en-US" w:eastAsia="zh-CN"/>
        </w:rPr>
      </w:pPr>
      <w:r>
        <w:rPr>
          <w:rFonts w:hint="default" w:ascii="宋体" w:hAnsi="宋体" w:eastAsia="宋体" w:cs="宋体"/>
          <w:lang w:val="en-US" w:eastAsia="zh-CN"/>
        </w:rPr>
        <w:t>风险管理不仅适用于</w:t>
      </w:r>
      <w:r>
        <w:rPr>
          <w:rFonts w:hint="eastAsia" w:ascii="宋体" w:hAnsi="宋体" w:eastAsia="宋体" w:cs="宋体"/>
          <w:lang w:val="en-US" w:eastAsia="zh-CN"/>
        </w:rPr>
        <w:t>中试平台、</w:t>
      </w:r>
      <w:r>
        <w:rPr>
          <w:rFonts w:hint="default" w:ascii="宋体" w:hAnsi="宋体" w:eastAsia="宋体" w:cs="宋体"/>
          <w:lang w:val="en-US" w:eastAsia="zh-CN"/>
        </w:rPr>
        <w:t>实验室、设施设备的常规运行，而且适用于</w:t>
      </w:r>
      <w:r>
        <w:rPr>
          <w:rFonts w:hint="eastAsia" w:ascii="宋体" w:hAnsi="宋体" w:eastAsia="宋体" w:cs="宋体"/>
          <w:lang w:val="en-US" w:eastAsia="zh-CN"/>
        </w:rPr>
        <w:t>中试平台、</w:t>
      </w:r>
      <w:r>
        <w:rPr>
          <w:rFonts w:hint="default" w:ascii="宋体" w:hAnsi="宋体" w:eastAsia="宋体" w:cs="宋体"/>
          <w:lang w:val="en-US" w:eastAsia="zh-CN"/>
        </w:rPr>
        <w:t>实验室设施设备维护或关停期间。</w:t>
      </w:r>
    </w:p>
    <w:p w14:paraId="3A50B38A">
      <w:pPr>
        <w:pStyle w:val="69"/>
        <w:bidi w:val="0"/>
        <w:ind w:left="0" w:leftChars="0" w:firstLine="0" w:firstLineChars="0"/>
        <w:rPr>
          <w:rFonts w:hint="default" w:hAnsi="Times New Roman" w:cs="Times New Roman"/>
          <w:lang w:val="en-US" w:eastAsia="zh-CN"/>
        </w:rPr>
      </w:pPr>
      <w:r>
        <w:rPr>
          <w:rFonts w:hint="eastAsia" w:hAnsi="Times New Roman" w:cs="Times New Roman"/>
          <w:lang w:val="en-US" w:eastAsia="zh-CN"/>
        </w:rPr>
        <w:t>生物安全等级评估</w:t>
      </w:r>
    </w:p>
    <w:p w14:paraId="02A83070">
      <w:pPr>
        <w:pStyle w:val="60"/>
        <w:rPr>
          <w:rFonts w:hint="default"/>
          <w:lang w:val="en-US" w:eastAsia="zh-CN"/>
        </w:rPr>
      </w:pPr>
      <w:r>
        <w:rPr>
          <w:rFonts w:hint="eastAsia" w:hAnsi="Times New Roman" w:cs="Times New Roman"/>
          <w:lang w:val="en-US" w:eastAsia="zh-CN"/>
        </w:rPr>
        <w:t>生物安全评估应符合以下要求。</w:t>
      </w:r>
    </w:p>
    <w:p w14:paraId="453BBF6D">
      <w:pPr>
        <w:pStyle w:val="60"/>
        <w:numPr>
          <w:ilvl w:val="0"/>
          <w:numId w:val="33"/>
        </w:numPr>
        <w:spacing w:line="240" w:lineRule="auto"/>
        <w:ind w:left="0" w:leftChars="0" w:firstLine="420"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生物安全分级应符合5.</w:t>
      </w:r>
      <w:r>
        <w:rPr>
          <w:rFonts w:hint="eastAsia" w:cs="Times New Roman"/>
          <w:lang w:val="en-US" w:eastAsia="zh-CN"/>
        </w:rPr>
        <w:t>5.</w:t>
      </w:r>
      <w:r>
        <w:rPr>
          <w:rFonts w:hint="eastAsia" w:ascii="Times New Roman" w:hAnsi="Times New Roman" w:eastAsia="宋体" w:cs="Times New Roman"/>
          <w:lang w:val="en-US" w:eastAsia="zh-CN"/>
        </w:rPr>
        <w:t>4</w:t>
      </w:r>
      <w:r>
        <w:rPr>
          <w:rFonts w:hint="eastAsia" w:cs="Times New Roman"/>
          <w:lang w:val="en-US" w:eastAsia="zh-CN"/>
        </w:rPr>
        <w:t>、5.5.5</w:t>
      </w:r>
      <w:r>
        <w:rPr>
          <w:rFonts w:hint="eastAsia" w:ascii="Times New Roman" w:hAnsi="Times New Roman" w:eastAsia="宋体" w:cs="Times New Roman"/>
          <w:lang w:val="en-US" w:eastAsia="zh-CN"/>
        </w:rPr>
        <w:t>的要求</w:t>
      </w:r>
      <w:r>
        <w:rPr>
          <w:rFonts w:hint="eastAsia" w:cs="Times New Roman"/>
          <w:lang w:val="en-US" w:eastAsia="zh-CN"/>
        </w:rPr>
        <w:t>；</w:t>
      </w:r>
    </w:p>
    <w:p w14:paraId="7AAF33F9">
      <w:pPr>
        <w:pStyle w:val="60"/>
        <w:numPr>
          <w:ilvl w:val="0"/>
          <w:numId w:val="33"/>
        </w:numPr>
        <w:spacing w:line="240" w:lineRule="auto"/>
        <w:ind w:left="0" w:leftChars="0" w:firstLine="420"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安全等级评估应符合</w:t>
      </w:r>
      <w:r>
        <w:rPr>
          <w:rFonts w:hint="default" w:ascii="Times New Roman" w:hAnsi="Times New Roman" w:eastAsia="宋体" w:cs="Times New Roman"/>
          <w:lang w:val="en-US" w:eastAsia="zh-CN"/>
        </w:rPr>
        <w:t>GB 19489</w:t>
      </w:r>
      <w:r>
        <w:rPr>
          <w:rFonts w:hint="eastAsia" w:ascii="Times New Roman" w:hAnsi="Times New Roman" w:eastAsia="宋体" w:cs="Times New Roman"/>
          <w:lang w:val="en-US" w:eastAsia="zh-CN"/>
        </w:rPr>
        <w:t>的规定。</w:t>
      </w:r>
    </w:p>
    <w:p w14:paraId="5B09DF35">
      <w:pPr>
        <w:pStyle w:val="69"/>
        <w:bidi w:val="0"/>
        <w:ind w:left="0" w:leftChars="0" w:firstLine="0" w:firstLineChars="0"/>
        <w:rPr>
          <w:rFonts w:hint="default" w:hAnsi="Times New Roman" w:cs="Times New Roman"/>
          <w:lang w:val="en-US" w:eastAsia="zh-CN"/>
        </w:rPr>
      </w:pPr>
      <w:r>
        <w:rPr>
          <w:rFonts w:hint="default" w:hAnsi="Times New Roman" w:cs="Times New Roman"/>
          <w:lang w:val="en-US" w:eastAsia="zh-CN"/>
        </w:rPr>
        <w:t>风险评估</w:t>
      </w:r>
    </w:p>
    <w:p w14:paraId="41C00034">
      <w:pPr>
        <w:pStyle w:val="60"/>
        <w:rPr>
          <w:rFonts w:hint="default" w:ascii="Times New Roman" w:hAnsi="Times New Roman" w:cs="Times New Roman"/>
        </w:rPr>
      </w:pPr>
      <w:r>
        <w:rPr>
          <w:rFonts w:hint="default" w:ascii="Times New Roman" w:hAnsi="Times New Roman" w:cs="Times New Roman"/>
        </w:rPr>
        <w:t>风险评估、风险分析、风险应对应符合</w:t>
      </w:r>
      <w:r>
        <w:rPr>
          <w:rFonts w:hint="default" w:ascii="Times New Roman" w:hAnsi="Times New Roman" w:eastAsia="宋体" w:cs="Times New Roman"/>
        </w:rPr>
        <w:t>GB 19489</w:t>
      </w:r>
      <w:r>
        <w:rPr>
          <w:rFonts w:hint="eastAsia" w:ascii="Times New Roman" w:cs="Times New Roman"/>
          <w:lang w:eastAsia="zh-CN"/>
        </w:rPr>
        <w:t>、</w:t>
      </w:r>
      <w:r>
        <w:rPr>
          <w:rFonts w:hint="default" w:ascii="Times New Roman" w:hAnsi="Times New Roman" w:cs="Times New Roman"/>
        </w:rPr>
        <w:t>RB/T 040的规定。</w:t>
      </w:r>
    </w:p>
    <w:p w14:paraId="375146CF">
      <w:pPr>
        <w:pStyle w:val="69"/>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应急预案</w:t>
      </w:r>
    </w:p>
    <w:p w14:paraId="41291B2F">
      <w:pPr>
        <w:pStyle w:val="60"/>
        <w:rPr>
          <w:rFonts w:hint="default"/>
          <w:lang w:val="en-US" w:eastAsia="zh-CN"/>
        </w:rPr>
      </w:pPr>
      <w:r>
        <w:rPr>
          <w:rFonts w:hint="default" w:ascii="Times New Roman" w:hAnsi="Times New Roman" w:cs="Times New Roman"/>
        </w:rPr>
        <w:t>应符合</w:t>
      </w:r>
      <w:r>
        <w:rPr>
          <w:rFonts w:hint="default" w:ascii="Times New Roman" w:hAnsi="Times New Roman" w:eastAsia="宋体" w:cs="Times New Roman"/>
        </w:rPr>
        <w:t>GB 19489</w:t>
      </w:r>
      <w:r>
        <w:rPr>
          <w:rFonts w:hint="eastAsia" w:ascii="Times New Roman" w:cs="Times New Roman"/>
          <w:lang w:eastAsia="zh-CN"/>
        </w:rPr>
        <w:t>、</w:t>
      </w:r>
      <w:r>
        <w:rPr>
          <w:rFonts w:hint="default" w:ascii="Times New Roman" w:hAnsi="Times New Roman" w:cs="Times New Roman"/>
        </w:rPr>
        <w:t>RB/T 040的规定。</w:t>
      </w:r>
    </w:p>
    <w:p w14:paraId="74CB073C">
      <w:pPr>
        <w:pStyle w:val="69"/>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废弃物处理</w:t>
      </w:r>
    </w:p>
    <w:p w14:paraId="0760AEE1">
      <w:pPr>
        <w:pStyle w:val="60"/>
        <w:rPr>
          <w:rFonts w:hint="eastAsia" w:eastAsia="宋体"/>
          <w:lang w:val="en-US" w:eastAsia="zh-CN"/>
        </w:rPr>
      </w:pPr>
      <w:r>
        <w:rPr>
          <w:rFonts w:hint="eastAsia" w:ascii="Times New Roman" w:hAnsi="Times New Roman" w:eastAsia="宋体" w:cs="Times New Roman"/>
          <w:lang w:val="en-US" w:eastAsia="zh-CN"/>
        </w:rPr>
        <w:t>应符合</w:t>
      </w:r>
      <w:r>
        <w:rPr>
          <w:rFonts w:hint="default" w:ascii="Times New Roman" w:hAnsi="Times New Roman" w:eastAsia="宋体" w:cs="Times New Roman"/>
          <w:lang w:val="en-US" w:eastAsia="zh-CN"/>
        </w:rPr>
        <w:t>GB 19489</w:t>
      </w:r>
      <w:r>
        <w:rPr>
          <w:rFonts w:hint="eastAsia" w:ascii="Times New Roman" w:cs="Times New Roman"/>
          <w:lang w:eastAsia="zh-CN"/>
        </w:rPr>
        <w:t>、</w:t>
      </w:r>
      <w:r>
        <w:rPr>
          <w:rFonts w:hint="default" w:ascii="Times New Roman" w:hAnsi="Times New Roman" w:cs="Times New Roman"/>
        </w:rPr>
        <w:t>RB/T 040的规定</w:t>
      </w:r>
      <w:r>
        <w:rPr>
          <w:rFonts w:hint="eastAsia" w:cs="Times New Roman"/>
          <w:lang w:eastAsia="zh-CN"/>
        </w:rPr>
        <w:t>。</w:t>
      </w:r>
    </w:p>
    <w:p w14:paraId="05A22B00">
      <w:pPr>
        <w:pStyle w:val="108"/>
        <w:bidi w:val="0"/>
        <w:ind w:left="0" w:leftChars="0" w:firstLine="0" w:firstLineChars="0"/>
      </w:pPr>
      <w:bookmarkStart w:id="64" w:name="_Toc235"/>
      <w:r>
        <w:rPr>
          <w:rFonts w:hint="eastAsia"/>
        </w:rPr>
        <w:t>知识产权保护</w:t>
      </w:r>
      <w:bookmarkEnd w:id="64"/>
    </w:p>
    <w:p w14:paraId="379ACFE3">
      <w:pPr>
        <w:pStyle w:val="109"/>
        <w:rPr>
          <w:rFonts w:hint="eastAsia" w:ascii="Times New Roman" w:hAnsi="Times New Roman" w:cs="Times New Roman"/>
        </w:rPr>
      </w:pPr>
      <w:bookmarkStart w:id="65" w:name="_Toc6167"/>
      <w:r>
        <w:rPr>
          <w:rFonts w:hint="eastAsia" w:ascii="Times New Roman" w:hAnsi="Times New Roman" w:cs="Times New Roman"/>
        </w:rPr>
        <w:t>组织体系</w:t>
      </w:r>
      <w:bookmarkEnd w:id="65"/>
    </w:p>
    <w:p w14:paraId="1853D5C4">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设立知识产权保护部门，由负责人牵头，制制订工作规划、规章制度及协议等。组织学习知识产权保护相关法律法规和规定。</w:t>
      </w:r>
    </w:p>
    <w:p w14:paraId="531D4EA2">
      <w:pPr>
        <w:pStyle w:val="109"/>
        <w:rPr>
          <w:rFonts w:hint="eastAsia" w:ascii="Times New Roman" w:hAnsi="Times New Roman" w:cs="Times New Roman"/>
          <w:lang w:eastAsia="zh-CN"/>
        </w:rPr>
      </w:pPr>
      <w:bookmarkStart w:id="66" w:name="_Toc21401"/>
      <w:r>
        <w:rPr>
          <w:rFonts w:hint="eastAsia" w:ascii="Times New Roman" w:hAnsi="Times New Roman" w:cs="Times New Roman"/>
        </w:rPr>
        <w:t>菌种管理</w:t>
      </w:r>
      <w:bookmarkEnd w:id="66"/>
    </w:p>
    <w:p w14:paraId="57D21F98">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专人管理菌种库，实行双人双锁（菌种管理 + 安全管理部门），传代、保藏、存取全程双人参与，操作区域物理隔离，销毁需经审批；监控覆盖，禁止交叉操作。</w:t>
      </w:r>
    </w:p>
    <w:p w14:paraId="2B1B304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菌种宜异地备份管理。</w:t>
      </w:r>
    </w:p>
    <w:p w14:paraId="431BBB2D">
      <w:pPr>
        <w:pStyle w:val="109"/>
        <w:rPr>
          <w:rFonts w:hint="eastAsia" w:ascii="Times New Roman" w:hAnsi="Times New Roman" w:cs="Times New Roman"/>
        </w:rPr>
      </w:pPr>
      <w:bookmarkStart w:id="67" w:name="_Toc21171"/>
      <w:r>
        <w:rPr>
          <w:rFonts w:hint="eastAsia" w:ascii="Times New Roman" w:hAnsi="Times New Roman" w:cs="Times New Roman"/>
        </w:rPr>
        <w:t>技术管理</w:t>
      </w:r>
      <w:bookmarkEnd w:id="67"/>
    </w:p>
    <w:p w14:paraId="2B153273">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研发、试验、生产、管理等内部技术人员应严格保守技术资料，不得泄露产品相关信息和涉及技术细节的文件资料及样品。</w:t>
      </w:r>
    </w:p>
    <w:p w14:paraId="3D291D9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进入中试服务平台开展培训、学习、洽谈、审核、施工、技术指导等外部人员应如实填写来访人员登记表，并在指定的专人全程陪同下进入。</w:t>
      </w:r>
    </w:p>
    <w:p w14:paraId="0F9B7FED">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对载有技术细节的文件实行分级授权查阅。</w:t>
      </w:r>
    </w:p>
    <w:p w14:paraId="54B7F7CF">
      <w:pPr>
        <w:pStyle w:val="109"/>
        <w:rPr>
          <w:rFonts w:hint="eastAsia" w:ascii="Times New Roman" w:hAnsi="Times New Roman" w:cs="Times New Roman"/>
          <w:lang w:eastAsia="zh-CN"/>
        </w:rPr>
      </w:pPr>
      <w:bookmarkStart w:id="68" w:name="_Toc25207"/>
      <w:r>
        <w:rPr>
          <w:rFonts w:hint="eastAsia" w:ascii="Times New Roman" w:hAnsi="Times New Roman" w:cs="Times New Roman"/>
        </w:rPr>
        <w:t>安全管理</w:t>
      </w:r>
      <w:bookmarkEnd w:id="68"/>
    </w:p>
    <w:p w14:paraId="368784A7">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涉及关键技术的区域必须安装独立的门禁系统，人员分级授权管控。</w:t>
      </w:r>
    </w:p>
    <w:p w14:paraId="3CC11D57">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门禁区域内，涉及关键技术的岗位、设备区域、关键地点路径应安装摄像头监控，视频资料应保存3个月以上。</w:t>
      </w:r>
    </w:p>
    <w:p w14:paraId="018376BA">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严格执行对菌液或发酵液的规范操作。</w:t>
      </w:r>
    </w:p>
    <w:p w14:paraId="571333C2">
      <w:pPr>
        <w:pStyle w:val="60"/>
        <w:numPr>
          <w:ilvl w:val="0"/>
          <w:numId w:val="34"/>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带活菌的发酵液仅在指定的配套生产区域内使用；</w:t>
      </w:r>
    </w:p>
    <w:p w14:paraId="7C2CDE30">
      <w:pPr>
        <w:pStyle w:val="60"/>
        <w:numPr>
          <w:ilvl w:val="0"/>
          <w:numId w:val="34"/>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发酵液取样口应配备防盗取样阀或经DCS加密授权取样；</w:t>
      </w:r>
    </w:p>
    <w:p w14:paraId="6C212025">
      <w:pPr>
        <w:pStyle w:val="60"/>
        <w:numPr>
          <w:ilvl w:val="0"/>
          <w:numId w:val="34"/>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送镜检室、质检办进行检测的活菌液，检测前</w:t>
      </w:r>
      <w:r>
        <w:rPr>
          <w:rFonts w:hint="eastAsia" w:cs="Times New Roman"/>
          <w:lang w:val="en-US" w:eastAsia="zh-CN"/>
        </w:rPr>
        <w:t>宜</w:t>
      </w:r>
      <w:r>
        <w:rPr>
          <w:rFonts w:hint="eastAsia" w:ascii="Times New Roman" w:hAnsi="Times New Roman" w:eastAsia="宋体" w:cs="Times New Roman"/>
          <w:lang w:val="en-US" w:eastAsia="zh-CN"/>
        </w:rPr>
        <w:t>双人在摄像头下检查包装密封性并作记录等。</w:t>
      </w:r>
    </w:p>
    <w:p w14:paraId="35243E80">
      <w:pPr>
        <w:pStyle w:val="108"/>
        <w:spacing w:before="240" w:after="240"/>
        <w:rPr>
          <w:rFonts w:hint="eastAsia"/>
        </w:rPr>
      </w:pPr>
      <w:bookmarkStart w:id="69" w:name="_Toc26152"/>
      <w:r>
        <w:rPr>
          <w:rFonts w:hint="eastAsia"/>
          <w:lang w:val="en-US" w:eastAsia="zh-CN"/>
        </w:rPr>
        <w:t>信息安全</w:t>
      </w:r>
      <w:bookmarkEnd w:id="69"/>
    </w:p>
    <w:p w14:paraId="61FCF74F">
      <w:pPr>
        <w:pStyle w:val="109"/>
        <w:spacing w:before="120" w:after="120"/>
        <w:rPr>
          <w:rFonts w:hint="default" w:ascii="Times New Roman" w:hAnsi="Times New Roman" w:cs="Times New Roman"/>
        </w:rPr>
      </w:pPr>
      <w:bookmarkStart w:id="70" w:name="_Toc29579"/>
      <w:bookmarkStart w:id="71" w:name="_Toc13668"/>
      <w:r>
        <w:rPr>
          <w:rFonts w:hint="eastAsia"/>
          <w:lang w:val="en-US" w:eastAsia="zh-CN"/>
        </w:rPr>
        <w:t>数据安全</w:t>
      </w:r>
      <w:bookmarkEnd w:id="70"/>
    </w:p>
    <w:p w14:paraId="15044413">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系统应遵循国家网络安全等级保护制度及相关法律法规，对所有敏感数据（包括但不限于个人隐私、试验结果、知识产权）进行分类分级，并实施与其类别和级别相适应的安全保护措施。</w:t>
      </w:r>
    </w:p>
    <w:p w14:paraId="5FB45BF3">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数据的收集、存储、传输和处理过程必须严格遵守《中华人民共和国网络安全法》、《中华人民共和国数据安全法》及相关行业法规的规定。</w:t>
      </w:r>
    </w:p>
    <w:p w14:paraId="25386B52">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系统必须对敏感数据在存储和传输过程中进行加密，确保数据的机密性与完整性。</w:t>
      </w:r>
    </w:p>
    <w:p w14:paraId="0079EDCD">
      <w:pPr>
        <w:pStyle w:val="109"/>
        <w:spacing w:before="120" w:after="120"/>
        <w:rPr>
          <w:rFonts w:hint="eastAsia"/>
          <w:lang w:val="en-US" w:eastAsia="zh-CN"/>
        </w:rPr>
      </w:pPr>
      <w:bookmarkStart w:id="72" w:name="_Toc11693"/>
      <w:r>
        <w:rPr>
          <w:rFonts w:hint="eastAsia"/>
          <w:lang w:val="en-US" w:eastAsia="zh-CN"/>
        </w:rPr>
        <w:t>应用安全</w:t>
      </w:r>
      <w:bookmarkEnd w:id="72"/>
    </w:p>
    <w:p w14:paraId="60A4901C">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系统架构的设计与部署应满足高可用、可扩展及安全性的要求。部署方案需结合具体应用环境与安全需求进行设计，并通过正式评审。</w:t>
      </w:r>
    </w:p>
    <w:p w14:paraId="24397CAF">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信息系统宜支持与相关医疗信息系统（如HIS、LIS、EMR）基于标准接口（如HL7、FHIR）进行安全的信息共享与交互，并具备严格的医疗、药物、病理等信息授权调阅功能。</w:t>
      </w:r>
    </w:p>
    <w:p w14:paraId="4C7103D7">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系统宜支持Web浏览器、移动终端（如手机、平板）、专用显示设备等多种类型终端的安全接入与显示适配。对移动终端接入，宜实施设备认证与安全状态检测。</w:t>
      </w:r>
    </w:p>
    <w:p w14:paraId="26AD26C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系统宜提供统一的审计追踪功能，具备系统服务状态监控、用户权限与功能节点管理能力。必须对关键业务操作生成详细的审计日志，日志内容应至少包含操作时间、操作者身份、操作对象及结果。</w:t>
      </w:r>
    </w:p>
    <w:p w14:paraId="5BB5415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系统宜支持基于标准协议（如OAuth 2.0、SAML）的单点登录（SSO）能力，确保用户在关联应用系统间的安全认证与无缝接入。</w:t>
      </w:r>
    </w:p>
    <w:p w14:paraId="53985E0D">
      <w:pPr>
        <w:pStyle w:val="109"/>
        <w:spacing w:before="120" w:after="120"/>
        <w:rPr>
          <w:rFonts w:hint="eastAsia"/>
          <w:lang w:val="en-US" w:eastAsia="zh-CN"/>
        </w:rPr>
      </w:pPr>
      <w:bookmarkStart w:id="73" w:name="_Toc5463"/>
      <w:r>
        <w:rPr>
          <w:rFonts w:hint="eastAsia"/>
          <w:lang w:val="en-US" w:eastAsia="zh-CN"/>
        </w:rPr>
        <w:t>数据库安全</w:t>
      </w:r>
      <w:bookmarkEnd w:id="73"/>
    </w:p>
    <w:p w14:paraId="6A02621B">
      <w:pPr>
        <w:pStyle w:val="69"/>
        <w:spacing w:before="120" w:after="120"/>
        <w:rPr>
          <w:rFonts w:hint="eastAsia" w:ascii="宋体" w:hAnsi="宋体" w:eastAsia="宋体" w:cs="宋体"/>
          <w:strike w:val="0"/>
          <w:lang w:val="en-US" w:eastAsia="zh-CN"/>
        </w:rPr>
      </w:pPr>
      <w:r>
        <w:rPr>
          <w:rFonts w:hint="eastAsia" w:ascii="宋体" w:hAnsi="宋体" w:eastAsia="宋体" w:cs="宋体"/>
          <w:lang w:val="en-US" w:eastAsia="zh-CN"/>
        </w:rPr>
        <w:t>数据库宜包含标本数据、代谢数据、疗效数据等核心业务数据。数据元的定义与基本数据集的结构应规范、统一，满足信息共享与长期管理的需求。</w:t>
      </w:r>
    </w:p>
    <w:p w14:paraId="175D0273">
      <w:pPr>
        <w:pStyle w:val="69"/>
        <w:spacing w:before="120" w:after="120"/>
        <w:rPr>
          <w:rFonts w:hint="eastAsia" w:ascii="宋体" w:hAnsi="宋体" w:eastAsia="宋体" w:cs="宋体"/>
          <w:strike w:val="0"/>
          <w:lang w:val="en-US" w:eastAsia="zh-CN"/>
        </w:rPr>
      </w:pPr>
      <w:r>
        <w:rPr>
          <w:rFonts w:hint="eastAsia" w:ascii="宋体" w:hAnsi="宋体" w:eastAsia="宋体" w:cs="宋体"/>
          <w:strike w:val="0"/>
        </w:rPr>
        <w:t>数据元与基本数据集应符合</w:t>
      </w:r>
      <w:bookmarkStart w:id="74" w:name="OLE_LINK1"/>
      <w:bookmarkStart w:id="75" w:name="OLE_LINK2"/>
      <w:r>
        <w:rPr>
          <w:rFonts w:ascii="宋体" w:hAnsi="宋体" w:eastAsia="宋体" w:cs="宋体"/>
          <w:strike w:val="0"/>
        </w:rPr>
        <w:t>GB/T 41139</w:t>
      </w:r>
      <w:bookmarkEnd w:id="74"/>
      <w:bookmarkEnd w:id="75"/>
      <w:r>
        <w:rPr>
          <w:rFonts w:hint="eastAsia" w:ascii="宋体" w:hAnsi="宋体" w:eastAsia="宋体" w:cs="宋体"/>
          <w:strike w:val="0"/>
        </w:rPr>
        <w:t>和</w:t>
      </w:r>
      <w:r>
        <w:rPr>
          <w:rFonts w:ascii="宋体" w:hAnsi="宋体" w:eastAsia="宋体" w:cs="宋体"/>
          <w:strike w:val="0"/>
        </w:rPr>
        <w:t>WS/T 500的规定。</w:t>
      </w:r>
    </w:p>
    <w:p w14:paraId="6633B491">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数据库必须启用安全审计功能，完整记录对敏感数据和表结构的所有增、删、改等关键操作，确保操作行为的可追溯性。审计记录应受到保护，防止未经授权的删除或篡改。</w:t>
      </w:r>
    </w:p>
    <w:p w14:paraId="68A300C1">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数据库应选用主流、稳定且提供长期技术支持的关系型数据库管理系统，以保障系统稳定运行与数据安全。</w:t>
      </w:r>
    </w:p>
    <w:p w14:paraId="5060E36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数据库宜具备对重要数据的加密存储能力，并建立可靠的数据备份与恢复机制。备份策略应明确备份周期、数据保留时间及恢复时间目标（RTO），确保在意外情况下能快速恢复数据。</w:t>
      </w:r>
    </w:p>
    <w:p w14:paraId="3000A07D">
      <w:pPr>
        <w:pStyle w:val="109"/>
        <w:spacing w:before="120" w:after="120"/>
        <w:rPr>
          <w:rFonts w:hint="eastAsia"/>
          <w:lang w:val="en-US" w:eastAsia="zh-CN"/>
        </w:rPr>
      </w:pPr>
      <w:bookmarkStart w:id="76" w:name="_Toc9560"/>
      <w:r>
        <w:rPr>
          <w:rFonts w:hint="eastAsia"/>
          <w:lang w:val="en-US" w:eastAsia="zh-CN"/>
        </w:rPr>
        <w:t>网络安全</w:t>
      </w:r>
      <w:bookmarkEnd w:id="76"/>
    </w:p>
    <w:p w14:paraId="2319AC7C">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应基于系统架构划分安全域（如DMZ、应用区、数据区），并为不同安全域制定并实施严格的、差异化的访问控制策略。</w:t>
      </w:r>
    </w:p>
    <w:p w14:paraId="2AFAD90E">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应对所有接入用户进行严格的身份认证与访问授权，并对终端的安全状态进行持续检测与评估，防止非授权用户或不合规终端接入网络。</w:t>
      </w:r>
    </w:p>
    <w:p w14:paraId="7465B6EA">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应建立网络安全应急响应机制，具备对异常流量（如DDoS攻击）和恶意行为的实时监测、告警与缓解能力，以保障网络服务的可用性。</w:t>
      </w:r>
    </w:p>
    <w:p w14:paraId="7D271E20">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关键网络设备与网络链路必须采用冗余设计，避免单点故障，确保网络基础设施的高可用性。</w:t>
      </w:r>
    </w:p>
    <w:p w14:paraId="60BB99D9">
      <w:pPr>
        <w:pStyle w:val="109"/>
        <w:spacing w:before="120" w:after="120"/>
        <w:rPr>
          <w:rFonts w:hint="eastAsia"/>
          <w:lang w:val="en-US" w:eastAsia="zh-CN"/>
        </w:rPr>
      </w:pPr>
      <w:bookmarkStart w:id="77" w:name="_Toc17608"/>
      <w:r>
        <w:rPr>
          <w:rFonts w:hint="eastAsia"/>
          <w:lang w:val="en-US" w:eastAsia="zh-CN"/>
        </w:rPr>
        <w:t>安全管理与审计</w:t>
      </w:r>
      <w:bookmarkEnd w:id="77"/>
    </w:p>
    <w:p w14:paraId="180A0D26">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应建立统一的安全事件管理与应急响应流程，明确安全事件的定义、上报路径、处理机制和事后复盘标准。</w:t>
      </w:r>
    </w:p>
    <w:p w14:paraId="54A7332F">
      <w:pPr>
        <w:pStyle w:val="69"/>
        <w:spacing w:before="120" w:after="120"/>
        <w:rPr>
          <w:rFonts w:hint="eastAsia" w:ascii="宋体" w:hAnsi="宋体" w:eastAsia="宋体" w:cs="宋体"/>
          <w:lang w:val="en-US" w:eastAsia="zh-CN"/>
        </w:rPr>
      </w:pPr>
      <w:r>
        <w:rPr>
          <w:rFonts w:hint="eastAsia" w:ascii="宋体" w:hAnsi="宋体" w:eastAsia="宋体" w:cs="宋体"/>
          <w:lang w:val="en-US" w:eastAsia="zh-CN"/>
        </w:rPr>
        <w:t>应定期对系统进行安全风险评估和渗透测试，主动发现并修复安全漏洞。</w:t>
      </w:r>
    </w:p>
    <w:p w14:paraId="2E30AF17">
      <w:pPr>
        <w:pStyle w:val="69"/>
        <w:spacing w:before="120" w:after="120"/>
        <w:rPr>
          <w:rFonts w:hint="default"/>
        </w:rPr>
      </w:pPr>
      <w:r>
        <w:rPr>
          <w:rFonts w:hint="eastAsia" w:ascii="宋体" w:hAnsi="宋体" w:eastAsia="宋体" w:cs="宋体"/>
          <w:lang w:val="en-US" w:eastAsia="zh-CN"/>
        </w:rPr>
        <w:t>所有系统操作日志与安全审计日志必须进行集中存储与管理，并采取保护措施。其保存期限须满足国家法律法规及内部审计要求。</w:t>
      </w:r>
    </w:p>
    <w:bookmarkEnd w:id="71"/>
    <w:p w14:paraId="58AFA9B0">
      <w:pPr>
        <w:pStyle w:val="108"/>
        <w:spacing w:before="240" w:after="240"/>
      </w:pPr>
      <w:bookmarkStart w:id="78" w:name="_Toc19146"/>
      <w:r>
        <w:rPr>
          <w:rFonts w:hint="eastAsia" w:ascii="Times New Roman"/>
        </w:rPr>
        <w:t>评价与改进</w:t>
      </w:r>
      <w:bookmarkEnd w:id="78"/>
      <w:bookmarkStart w:id="79" w:name="_Toc9455"/>
    </w:p>
    <w:bookmarkEnd w:id="79"/>
    <w:p w14:paraId="48EA27EE">
      <w:pPr>
        <w:pStyle w:val="109"/>
        <w:bidi w:val="0"/>
        <w:ind w:left="0" w:leftChars="0" w:firstLine="0" w:firstLineChars="0"/>
        <w:rPr>
          <w:rFonts w:hint="eastAsia" w:ascii="宋体" w:hAnsi="宋体" w:eastAsia="宋体" w:cs="宋体"/>
          <w:lang w:val="en-US" w:eastAsia="zh-CN"/>
        </w:rPr>
      </w:pPr>
      <w:bookmarkStart w:id="80" w:name="_Toc21442"/>
      <w:bookmarkStart w:id="81" w:name="_Toc8483"/>
      <w:r>
        <w:rPr>
          <w:rFonts w:hint="eastAsia" w:ascii="宋体" w:hAnsi="宋体" w:eastAsia="宋体" w:cs="宋体"/>
          <w:lang w:val="en-US" w:eastAsia="zh-CN"/>
        </w:rPr>
        <w:t>应符合GB 19489中7.11的规定。</w:t>
      </w:r>
      <w:bookmarkEnd w:id="80"/>
      <w:bookmarkEnd w:id="81"/>
    </w:p>
    <w:p w14:paraId="757152F4">
      <w:pPr>
        <w:pStyle w:val="109"/>
        <w:bidi w:val="0"/>
        <w:ind w:left="0" w:leftChars="0" w:firstLine="0" w:firstLineChars="0"/>
        <w:rPr>
          <w:rFonts w:hint="eastAsia" w:ascii="宋体" w:hAnsi="宋体" w:eastAsia="宋体" w:cs="宋体"/>
          <w:lang w:val="en-US" w:eastAsia="zh-CN"/>
        </w:rPr>
      </w:pPr>
      <w:bookmarkStart w:id="82" w:name="_Toc20499"/>
      <w:bookmarkStart w:id="83" w:name="_Toc12650"/>
      <w:r>
        <w:rPr>
          <w:rFonts w:hint="eastAsia" w:ascii="宋体" w:hAnsi="宋体" w:eastAsia="宋体" w:cs="宋体"/>
          <w:lang w:val="en-US" w:eastAsia="zh-CN"/>
        </w:rPr>
        <w:t>定期开展自我评价，接受第三方评估。</w:t>
      </w:r>
      <w:bookmarkEnd w:id="82"/>
      <w:bookmarkEnd w:id="83"/>
    </w:p>
    <w:p w14:paraId="47F7E9AC">
      <w:pPr>
        <w:pStyle w:val="109"/>
        <w:bidi w:val="0"/>
        <w:ind w:left="0" w:leftChars="0" w:firstLine="0" w:firstLineChars="0"/>
        <w:rPr>
          <w:rFonts w:hint="eastAsia"/>
        </w:rPr>
      </w:pPr>
      <w:bookmarkStart w:id="84" w:name="_Toc7393"/>
      <w:bookmarkStart w:id="85" w:name="_Toc21169"/>
      <w:r>
        <w:rPr>
          <w:rFonts w:hint="eastAsia" w:ascii="宋体" w:hAnsi="宋体" w:eastAsia="宋体" w:cs="宋体"/>
          <w:lang w:val="en-US" w:eastAsia="zh-CN"/>
        </w:rPr>
        <w:t>持续优化平台服务能力与技术水平。</w:t>
      </w:r>
      <w:bookmarkEnd w:id="84"/>
    </w:p>
    <w:p w14:paraId="499447DB">
      <w:pPr>
        <w:pStyle w:val="108"/>
        <w:spacing w:before="240" w:after="240"/>
        <w:rPr>
          <w:rFonts w:hint="eastAsia" w:ascii="Times New Roman"/>
          <w:highlight w:val="none"/>
        </w:rPr>
      </w:pPr>
      <w:bookmarkStart w:id="86" w:name="_Toc6890"/>
      <w:r>
        <w:rPr>
          <w:rFonts w:hint="eastAsia" w:ascii="Times New Roman"/>
          <w:highlight w:val="none"/>
        </w:rPr>
        <w:t>中试平台项目“三同时”管理</w:t>
      </w:r>
      <w:bookmarkEnd w:id="86"/>
    </w:p>
    <w:p w14:paraId="1C6F2D2B">
      <w:pPr>
        <w:pStyle w:val="109"/>
        <w:bidi w:val="0"/>
        <w:ind w:left="0" w:leftChars="0" w:firstLine="0" w:firstLineChars="0"/>
        <w:rPr>
          <w:rFonts w:hint="eastAsia"/>
        </w:rPr>
      </w:pPr>
      <w:bookmarkStart w:id="87" w:name="_Toc13922"/>
      <w:r>
        <w:rPr>
          <w:rFonts w:hint="eastAsia"/>
        </w:rPr>
        <w:t>中试平台项目立项</w:t>
      </w:r>
      <w:bookmarkEnd w:id="87"/>
    </w:p>
    <w:p w14:paraId="0104DA5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中试平台项目有立项需求的，公司向所属备案管理部门提出项目立项申请，按管理部门针对中试项目的有关规定办理备案手续。</w:t>
      </w:r>
    </w:p>
    <w:p w14:paraId="33D1C985">
      <w:pPr>
        <w:pStyle w:val="109"/>
        <w:bidi w:val="0"/>
        <w:ind w:left="0" w:leftChars="0" w:firstLine="0" w:firstLineChars="0"/>
        <w:rPr>
          <w:rFonts w:hint="eastAsia"/>
        </w:rPr>
      </w:pPr>
      <w:bookmarkStart w:id="88" w:name="_Toc6766"/>
      <w:r>
        <w:rPr>
          <w:rFonts w:hint="eastAsia"/>
        </w:rPr>
        <w:t>安全管控</w:t>
      </w:r>
      <w:bookmarkEnd w:id="88"/>
    </w:p>
    <w:p w14:paraId="33608021">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经过立项的中试项目，公司委托有资质单位编制安全评价报告和安全设施设计专篇，并组织专家进行评审论证，安评报告、安全设施设计专篇及评审论证结果向属地安全生产监督管理部门备案。利用原有中试设施、设备开展新的中试研发项目，宜对新项目安全生产条件和设施进行综合分析，形成书面报告，并向属地安全生产监督管理部门备案。</w:t>
      </w:r>
    </w:p>
    <w:p w14:paraId="64533487">
      <w:pPr>
        <w:pStyle w:val="109"/>
        <w:bidi w:val="0"/>
        <w:ind w:left="0" w:leftChars="0" w:firstLine="0" w:firstLineChars="0"/>
        <w:rPr>
          <w:rFonts w:hint="eastAsia"/>
        </w:rPr>
      </w:pPr>
      <w:bookmarkStart w:id="89" w:name="_Toc9567"/>
      <w:r>
        <w:rPr>
          <w:rFonts w:hint="eastAsia"/>
        </w:rPr>
        <w:t>环保管控</w:t>
      </w:r>
      <w:bookmarkEnd w:id="89"/>
    </w:p>
    <w:p w14:paraId="608A9DA2">
      <w:pPr>
        <w:pStyle w:val="60"/>
        <w:spacing w:before="120" w:beforeLines="50" w:after="120" w:afterLines="50" w:line="240" w:lineRule="auto"/>
        <w:ind w:left="0" w:leftChars="0" w:firstLine="420" w:firstLineChars="200"/>
        <w:jc w:val="both"/>
        <w:rPr>
          <w:rFonts w:hint="eastAsia"/>
        </w:rPr>
      </w:pPr>
      <w:r>
        <w:rPr>
          <w:rFonts w:hint="eastAsia" w:ascii="Times New Roman" w:hAnsi="Times New Roman" w:cs="Times New Roman"/>
          <w:lang w:val="en-US" w:eastAsia="zh-CN"/>
        </w:rPr>
        <w:t>经过立项的中试项目，公司委托有资质单位编制环境影响评价报告，并取得属地生态环境保护局批复。项目利用原有中试设施、设备开展新的中试项目，若未突破原有环评文件所列要求及产排污总量，不增加环境风险，且经专家论证原有公辅工程、环保措施能满足调整后项目环保要求的，无需另行报批环评。</w:t>
      </w:r>
    </w:p>
    <w:p w14:paraId="74D2E5DD">
      <w:pPr>
        <w:pStyle w:val="109"/>
        <w:bidi w:val="0"/>
        <w:ind w:left="0" w:leftChars="0" w:firstLine="0" w:firstLineChars="0"/>
        <w:rPr>
          <w:rFonts w:hint="eastAsia"/>
        </w:rPr>
      </w:pPr>
      <w:bookmarkStart w:id="90" w:name="_Toc4096"/>
      <w:r>
        <w:rPr>
          <w:rFonts w:hint="eastAsia"/>
        </w:rPr>
        <w:t>职业卫生管控</w:t>
      </w:r>
      <w:bookmarkEnd w:id="90"/>
    </w:p>
    <w:p w14:paraId="4438A0C3">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对于可能存在职业病危害的项目，公司委托有资质单位编制职业病危害预评价报告和职业病防护设施设计，按法规要求组织评审论证。</w:t>
      </w:r>
    </w:p>
    <w:p w14:paraId="3A713201">
      <w:pPr>
        <w:pStyle w:val="109"/>
        <w:bidi w:val="0"/>
        <w:ind w:left="0" w:leftChars="0" w:firstLine="0" w:firstLineChars="0"/>
        <w:rPr>
          <w:rFonts w:hint="eastAsia"/>
        </w:rPr>
      </w:pPr>
      <w:bookmarkStart w:id="91" w:name="_Toc23475"/>
      <w:r>
        <w:rPr>
          <w:rFonts w:hint="eastAsia"/>
        </w:rPr>
        <w:t>消防管控</w:t>
      </w:r>
      <w:bookmarkEnd w:id="91"/>
    </w:p>
    <w:p w14:paraId="703850A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中试平台项目建设若涉及申请施工许可或者申请批准开工报告时，应当提供满足施工需要的消防设计图纸及技术资料，并按要求办理备案。</w:t>
      </w:r>
    </w:p>
    <w:p w14:paraId="5F91D83A">
      <w:pPr>
        <w:pStyle w:val="109"/>
        <w:bidi w:val="0"/>
        <w:ind w:left="0" w:leftChars="0" w:firstLine="0" w:firstLineChars="0"/>
        <w:rPr>
          <w:rFonts w:hint="eastAsia"/>
        </w:rPr>
      </w:pPr>
      <w:bookmarkStart w:id="92" w:name="_Toc3074"/>
      <w:r>
        <w:rPr>
          <w:rFonts w:hint="eastAsia"/>
        </w:rPr>
        <w:t>试产前管控</w:t>
      </w:r>
      <w:bookmarkEnd w:id="92"/>
    </w:p>
    <w:p w14:paraId="0BE5191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竣工后，根据规定建设项目需要试运行的，应当在正式投入生产或者使用前进行试运行。试运行时间应当不少于30日，最长不得超过180日。中试平台项目涉及生产、储存危险化学品的建设项目，应当在建设项目试运行前将试运行方案报负责建设项目安全许可的安全生产监督管理部门备案。中试平台项目投入运行前，公司应当自行组织专家对安全、环保、职业健康等条件进行安全审查，不具备条件不得投入使用。</w:t>
      </w:r>
    </w:p>
    <w:p w14:paraId="4E3D7966">
      <w:pPr>
        <w:pStyle w:val="109"/>
        <w:bidi w:val="0"/>
        <w:ind w:left="0" w:leftChars="0" w:firstLine="0" w:firstLineChars="0"/>
        <w:rPr>
          <w:rFonts w:hint="eastAsia"/>
        </w:rPr>
      </w:pPr>
      <w:bookmarkStart w:id="93" w:name="_Toc24139"/>
      <w:r>
        <w:rPr>
          <w:rFonts w:hint="eastAsia"/>
        </w:rPr>
        <w:t>项目安全设施竣工验收</w:t>
      </w:r>
      <w:bookmarkEnd w:id="93"/>
    </w:p>
    <w:p w14:paraId="6C949F64">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中试平台项目安全设施竣工或者试运行完成后，生产经营单位应当委托具有相应资质的安全评价机构对安全设施进行验收评价，并编制建设项目安全验收评价报告。</w:t>
      </w:r>
    </w:p>
    <w:p w14:paraId="14E679F7">
      <w:pPr>
        <w:pStyle w:val="109"/>
        <w:bidi w:val="0"/>
        <w:ind w:left="0" w:leftChars="0" w:firstLine="0" w:firstLineChars="0"/>
        <w:rPr>
          <w:rFonts w:hint="eastAsia"/>
        </w:rPr>
      </w:pPr>
      <w:bookmarkStart w:id="94" w:name="_Toc9598"/>
      <w:r>
        <w:rPr>
          <w:rFonts w:hint="eastAsia"/>
        </w:rPr>
        <w:t>项目环保竣工验收</w:t>
      </w:r>
      <w:bookmarkEnd w:id="94"/>
    </w:p>
    <w:p w14:paraId="4303B3F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中试平台项目竣工后，建设单位应当按照国务院环境保护行政主管部门规定的标准和程序，对配套建设的环境保护设施进行验收，编制验收报告。</w:t>
      </w:r>
    </w:p>
    <w:p w14:paraId="619AC869">
      <w:pPr>
        <w:pStyle w:val="109"/>
        <w:bidi w:val="0"/>
        <w:ind w:left="0" w:leftChars="0" w:firstLine="0" w:firstLineChars="0"/>
        <w:rPr>
          <w:rFonts w:hint="eastAsia"/>
        </w:rPr>
      </w:pPr>
      <w:bookmarkStart w:id="95" w:name="_Toc7853"/>
      <w:r>
        <w:rPr>
          <w:rFonts w:hint="eastAsia"/>
        </w:rPr>
        <w:t>项目职业病控制效果评价</w:t>
      </w:r>
      <w:bookmarkEnd w:id="95"/>
    </w:p>
    <w:p w14:paraId="2AABE7EE">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中试平台建设项目在竣工验收前或者试运行期间，建设单位应当进行职业病危害控制效果评价，编制评价报告。</w:t>
      </w:r>
    </w:p>
    <w:p w14:paraId="7CBF6B7F">
      <w:pPr>
        <w:pStyle w:val="109"/>
        <w:bidi w:val="0"/>
        <w:ind w:left="0" w:leftChars="0" w:firstLine="0" w:firstLineChars="0"/>
        <w:rPr>
          <w:rFonts w:hint="eastAsia"/>
        </w:rPr>
      </w:pPr>
      <w:bookmarkStart w:id="96" w:name="_Toc27643"/>
      <w:r>
        <w:rPr>
          <w:rFonts w:hint="eastAsia"/>
        </w:rPr>
        <w:t>重大改变</w:t>
      </w:r>
      <w:bookmarkEnd w:id="96"/>
    </w:p>
    <w:p w14:paraId="22ECCF4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中试平台项目试运行过程中的中试项目如有工艺、设备的重大改变，导致反应工艺危险度提高或环境影响显著变化的，应当按程序重新组织专家评审论证。</w:t>
      </w:r>
    </w:p>
    <w:p w14:paraId="3C33E1B9">
      <w:pPr>
        <w:pStyle w:val="109"/>
        <w:bidi w:val="0"/>
        <w:ind w:left="0" w:leftChars="0" w:firstLine="0" w:firstLineChars="0"/>
        <w:rPr>
          <w:rFonts w:hint="eastAsia"/>
        </w:rPr>
      </w:pPr>
      <w:r>
        <w:rPr>
          <w:rFonts w:hint="eastAsia"/>
          <w:lang w:val="en-US" w:eastAsia="zh-CN"/>
        </w:rPr>
        <w:t>归档</w:t>
      </w:r>
      <w:r>
        <w:rPr>
          <w:rFonts w:hint="eastAsia"/>
        </w:rPr>
        <w:t>文档清单</w:t>
      </w:r>
    </w:p>
    <w:p w14:paraId="5E8E28A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需要归档的关键文档包含：</w:t>
      </w:r>
    </w:p>
    <w:p w14:paraId="26DE78E0">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项目立项批复、技术方案</w:t>
      </w:r>
      <w:r>
        <w:rPr>
          <w:rFonts w:hint="eastAsia" w:cs="Times New Roman"/>
          <w:lang w:val="en-US" w:eastAsia="zh-CN"/>
        </w:rPr>
        <w:t>；</w:t>
      </w:r>
    </w:p>
    <w:p w14:paraId="06A26FB3">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三标一体管理制度、目标分解表</w:t>
      </w:r>
      <w:r>
        <w:rPr>
          <w:rFonts w:hint="eastAsia" w:cs="Times New Roman"/>
          <w:lang w:val="en-US" w:eastAsia="zh-CN"/>
        </w:rPr>
        <w:t>；</w:t>
      </w:r>
    </w:p>
    <w:p w14:paraId="11C5996A">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安全/职业卫生/环保设施设计文件（图纸、说明、计算书）</w:t>
      </w:r>
      <w:r>
        <w:rPr>
          <w:rFonts w:hint="eastAsia" w:cs="Times New Roman"/>
          <w:lang w:val="en-US" w:eastAsia="zh-CN"/>
        </w:rPr>
        <w:t>；</w:t>
      </w:r>
    </w:p>
    <w:p w14:paraId="4465B2D0">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施工组织设计、施工日志、质量检查记录</w:t>
      </w:r>
      <w:r>
        <w:rPr>
          <w:rFonts w:hint="eastAsia" w:cs="Times New Roman"/>
          <w:lang w:val="en-US" w:eastAsia="zh-CN"/>
        </w:rPr>
        <w:t>；</w:t>
      </w:r>
    </w:p>
    <w:p w14:paraId="15627D32">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各类审查报告（设计审查、施工审查、投产审查）</w:t>
      </w:r>
      <w:r>
        <w:rPr>
          <w:rFonts w:hint="eastAsia" w:cs="Times New Roman"/>
          <w:lang w:val="en-US" w:eastAsia="zh-CN"/>
        </w:rPr>
        <w:t>；</w:t>
      </w:r>
    </w:p>
    <w:p w14:paraId="65E4BFAA">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培训计划与培训台账</w:t>
      </w:r>
      <w:r>
        <w:rPr>
          <w:rFonts w:hint="eastAsia" w:cs="Times New Roman"/>
          <w:lang w:val="en-US" w:eastAsia="zh-CN"/>
        </w:rPr>
        <w:t>；</w:t>
      </w:r>
    </w:p>
    <w:p w14:paraId="017E8312">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试运行监测数据、风险评估报告</w:t>
      </w:r>
      <w:r>
        <w:rPr>
          <w:rFonts w:hint="eastAsia" w:cs="Times New Roman"/>
          <w:lang w:val="en-US" w:eastAsia="zh-CN"/>
        </w:rPr>
        <w:t>；</w:t>
      </w:r>
    </w:p>
    <w:p w14:paraId="3A3F5A87">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内部审计报告、整改验证记录</w:t>
      </w:r>
      <w:r>
        <w:rPr>
          <w:rFonts w:hint="eastAsia" w:cs="Times New Roman"/>
          <w:lang w:val="en-US" w:eastAsia="zh-CN"/>
        </w:rPr>
        <w:t>；</w:t>
      </w:r>
    </w:p>
    <w:p w14:paraId="29D3BF1B">
      <w:pPr>
        <w:pStyle w:val="60"/>
        <w:numPr>
          <w:ilvl w:val="0"/>
          <w:numId w:val="35"/>
        </w:numPr>
        <w:spacing w:line="240" w:lineRule="auto"/>
        <w:ind w:left="0" w:leftChars="0"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项目竣工验收报告、投产验收报告</w:t>
      </w:r>
      <w:r>
        <w:rPr>
          <w:rFonts w:hint="eastAsia" w:cs="Times New Roman"/>
          <w:lang w:val="en-US" w:eastAsia="zh-CN"/>
        </w:rPr>
        <w:t>；</w:t>
      </w:r>
    </w:p>
    <w:p w14:paraId="2A80513C">
      <w:pPr>
        <w:pStyle w:val="60"/>
        <w:numPr>
          <w:ilvl w:val="0"/>
          <w:numId w:val="35"/>
        </w:numPr>
        <w:spacing w:line="240" w:lineRule="auto"/>
        <w:ind w:left="0" w:leftChars="0" w:firstLine="420" w:firstLineChars="200"/>
        <w:jc w:val="both"/>
        <w:rPr>
          <w:rFonts w:hint="eastAsia"/>
        </w:rPr>
      </w:pPr>
      <w:r>
        <w:rPr>
          <w:rFonts w:hint="eastAsia" w:ascii="Times New Roman" w:hAnsi="Times New Roman" w:eastAsia="宋体" w:cs="Times New Roman"/>
          <w:lang w:val="en-US" w:eastAsia="zh-CN"/>
        </w:rPr>
        <w:t>项目体系评价报告</w:t>
      </w:r>
      <w:r>
        <w:rPr>
          <w:rFonts w:hint="eastAsia" w:cs="Times New Roman"/>
          <w:lang w:val="en-US" w:eastAsia="zh-CN"/>
        </w:rPr>
        <w:t>。</w:t>
      </w:r>
      <w:r>
        <w:rPr>
          <w:rFonts w:hint="eastAsia"/>
        </w:rPr>
        <w:br w:type="page"/>
      </w:r>
      <w:bookmarkEnd w:id="85"/>
    </w:p>
    <w:p w14:paraId="088C498F">
      <w:pPr>
        <w:pStyle w:val="108"/>
        <w:numPr>
          <w:ilvl w:val="1"/>
          <w:numId w:val="0"/>
        </w:numPr>
        <w:spacing w:before="240" w:after="240"/>
        <w:jc w:val="center"/>
        <w:rPr>
          <w:szCs w:val="21"/>
        </w:rPr>
      </w:pPr>
      <w:bookmarkStart w:id="97" w:name="_Toc24142"/>
      <w:bookmarkStart w:id="98" w:name="_Toc10740"/>
      <w:r>
        <w:rPr>
          <w:rFonts w:hint="eastAsia"/>
          <w:szCs w:val="21"/>
        </w:rPr>
        <w:t>附 录 A</w:t>
      </w:r>
      <w:bookmarkEnd w:id="97"/>
      <w:bookmarkEnd w:id="98"/>
    </w:p>
    <w:p w14:paraId="2EC197A2">
      <w:pPr>
        <w:pStyle w:val="109"/>
        <w:numPr>
          <w:ilvl w:val="2"/>
          <w:numId w:val="0"/>
        </w:numPr>
        <w:spacing w:before="120" w:after="120"/>
        <w:jc w:val="center"/>
        <w:rPr>
          <w:rFonts w:hint="eastAsia"/>
          <w:color w:val="000000" w:themeColor="text1"/>
          <w14:textFill>
            <w14:solidFill>
              <w14:schemeClr w14:val="tx1"/>
            </w14:solidFill>
          </w14:textFill>
        </w:rPr>
      </w:pPr>
      <w:bookmarkStart w:id="99" w:name="_Toc23068"/>
      <w:bookmarkStart w:id="100" w:name="_Toc19726"/>
      <w:bookmarkStart w:id="101" w:name="_Toc24390"/>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资料性）</w:t>
      </w:r>
      <w:bookmarkEnd w:id="99"/>
      <w:bookmarkEnd w:id="100"/>
      <w:bookmarkEnd w:id="101"/>
    </w:p>
    <w:p w14:paraId="0659FC0C">
      <w:pPr>
        <w:pStyle w:val="60"/>
        <w:ind w:left="0" w:leftChars="0" w:firstLine="0" w:firstLineChars="0"/>
        <w:jc w:val="center"/>
        <w:rPr>
          <w:rFonts w:hint="eastAsia" w:ascii="黑体" w:hAnsi="黑体" w:eastAsia="黑体" w:cs="黑体"/>
        </w:rPr>
      </w:pPr>
      <w:r>
        <w:rPr>
          <w:rFonts w:hint="eastAsia" w:ascii="黑体" w:hAnsi="黑体" w:eastAsia="黑体" w:cs="黑体"/>
          <w:color w:val="000000" w:themeColor="text1"/>
          <w14:textFill>
            <w14:solidFill>
              <w14:schemeClr w14:val="tx1"/>
            </w14:solidFill>
          </w14:textFill>
        </w:rPr>
        <w:t>中试平台典型工艺流程示例</w:t>
      </w:r>
    </w:p>
    <w:p w14:paraId="53CCD7D9">
      <w:pPr>
        <w:pStyle w:val="82"/>
        <w:bidi w:val="0"/>
        <w:rPr>
          <w:rFonts w:hint="default" w:hAnsi="Times New Roman" w:cs="Times New Roman"/>
        </w:rPr>
      </w:pPr>
      <w:r>
        <w:rPr>
          <w:rFonts w:hint="eastAsia" w:hAnsi="Times New Roman" w:cs="Times New Roman"/>
        </w:rPr>
        <w:t>原料准备</w:t>
      </w:r>
    </w:p>
    <w:p w14:paraId="5CC0F942">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采购并检验培养基、细胞/菌种、关键试剂。对原料进行质量检测，确保符合医药级或 GMP 要求。</w:t>
      </w:r>
    </w:p>
    <w:p w14:paraId="08769130">
      <w:pPr>
        <w:pStyle w:val="82"/>
        <w:bidi w:val="0"/>
        <w:rPr>
          <w:rFonts w:hint="eastAsia" w:hAnsi="Times New Roman" w:cs="Times New Roman"/>
        </w:rPr>
      </w:pPr>
      <w:r>
        <w:rPr>
          <w:rFonts w:hint="eastAsia" w:hAnsi="Times New Roman" w:cs="Times New Roman"/>
        </w:rPr>
        <w:t>发酵/培养（生物反应器）‍</w:t>
      </w:r>
    </w:p>
    <w:p w14:paraId="2AE3C988">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将经检验的微生物或细胞接种到生物反应器中，进行大规模发酵或细胞培养。</w:t>
      </w:r>
    </w:p>
    <w:p w14:paraId="444AC571">
      <w:pPr>
        <w:pStyle w:val="83"/>
        <w:bidi w:val="0"/>
        <w:ind w:left="0" w:leftChars="0" w:firstLine="0" w:firstLineChars="0"/>
        <w:rPr>
          <w:rFonts w:hint="eastAsia" w:ascii="宋体" w:hAnsi="宋体" w:eastAsia="宋体" w:cs="宋体"/>
        </w:rPr>
      </w:pPr>
      <w:r>
        <w:rPr>
          <w:rFonts w:hint="eastAsia" w:ascii="宋体" w:hAnsi="宋体" w:eastAsia="宋体" w:cs="宋体"/>
        </w:rPr>
        <w:t>关键控制参数包括温度、pH、溶氧、搅拌速率、进料策略等。</w:t>
      </w:r>
    </w:p>
    <w:p w14:paraId="6149ACC1">
      <w:pPr>
        <w:pStyle w:val="82"/>
        <w:bidi w:val="0"/>
        <w:rPr>
          <w:rFonts w:hint="eastAsia" w:hAnsi="Times New Roman" w:cs="Times New Roman"/>
        </w:rPr>
      </w:pPr>
      <w:r>
        <w:rPr>
          <w:rFonts w:hint="eastAsia" w:hAnsi="Times New Roman" w:cs="Times New Roman"/>
        </w:rPr>
        <w:t>收获</w:t>
      </w:r>
    </w:p>
    <w:p w14:paraId="1277F6B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发酵结束后，采用离心、过滤或沉降等方式将细胞/菌体与发酵液分离，收集上清液或细胞沉淀。</w:t>
      </w:r>
    </w:p>
    <w:p w14:paraId="37AF2A31">
      <w:pPr>
        <w:pStyle w:val="82"/>
        <w:bidi w:val="0"/>
        <w:rPr>
          <w:rFonts w:hint="eastAsia" w:hAnsi="Times New Roman" w:cs="Times New Roman"/>
        </w:rPr>
      </w:pPr>
      <w:r>
        <w:rPr>
          <w:rFonts w:hint="eastAsia" w:hAnsi="Times New Roman" w:cs="Times New Roman"/>
        </w:rPr>
        <w:t>澄清</w:t>
      </w:r>
    </w:p>
    <w:p w14:paraId="16001CCC">
      <w:pPr>
        <w:pStyle w:val="60"/>
        <w:spacing w:before="120" w:beforeLines="50" w:after="120" w:afterLines="50" w:line="240" w:lineRule="auto"/>
        <w:ind w:left="0" w:leftChars="0" w:firstLine="420" w:firstLineChars="200"/>
        <w:jc w:val="both"/>
        <w:rPr>
          <w:rFonts w:hint="eastAsia"/>
        </w:rPr>
      </w:pPr>
      <w:r>
        <w:rPr>
          <w:rFonts w:hint="eastAsia" w:ascii="Times New Roman" w:hAnsi="Times New Roman" w:cs="Times New Roman"/>
          <w:lang w:val="en-US" w:eastAsia="zh-CN"/>
        </w:rPr>
        <w:t>对收获的上清液进行深度过滤、超滤或离子交换等步骤，去除残余细胞碎片、颗粒和大分子杂质，为后续纯化提供清洁基质</w:t>
      </w:r>
      <w:r>
        <w:rPr>
          <w:rFonts w:hint="eastAsia"/>
        </w:rPr>
        <w:t>。</w:t>
      </w:r>
    </w:p>
    <w:p w14:paraId="2DC85EB5">
      <w:pPr>
        <w:pStyle w:val="82"/>
        <w:bidi w:val="0"/>
        <w:rPr>
          <w:rFonts w:hint="eastAsia" w:hAnsi="Times New Roman" w:cs="Times New Roman"/>
        </w:rPr>
      </w:pPr>
      <w:r>
        <w:rPr>
          <w:rFonts w:hint="eastAsia" w:hAnsi="Times New Roman" w:cs="Times New Roman"/>
        </w:rPr>
        <w:t>纯化</w:t>
      </w:r>
    </w:p>
    <w:p w14:paraId="109A4CEB">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采用层析（亲和、离子交换、疏水、凝胶过滤等）或萃取等技术，对目标生物大分子（蛋白、抗体、酶等）进行高效提纯。</w:t>
      </w:r>
    </w:p>
    <w:p w14:paraId="6F3B2E4E">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中试平台通常配备多条并行的层析系统，实现工艺参数的快速筛选和放大验证。</w:t>
      </w:r>
    </w:p>
    <w:p w14:paraId="2AFCFD22">
      <w:pPr>
        <w:pStyle w:val="82"/>
        <w:bidi w:val="0"/>
        <w:rPr>
          <w:rFonts w:hint="eastAsia" w:hAnsi="Times New Roman" w:cs="Times New Roman"/>
        </w:rPr>
      </w:pPr>
      <w:r>
        <w:rPr>
          <w:rFonts w:hint="eastAsia" w:hAnsi="Times New Roman" w:cs="Times New Roman"/>
        </w:rPr>
        <w:t>精制/配方</w:t>
      </w:r>
    </w:p>
    <w:p w14:paraId="2161F4C1">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纯化后对产品进行浓缩、脱盐、配制缓冲液、添加辅料等工序，形成符合医药、</w:t>
      </w:r>
      <w:r>
        <w:rPr>
          <w:rFonts w:hint="eastAsia" w:ascii="宋体" w:hAnsi="宋体" w:eastAsia="宋体" w:cs="宋体"/>
        </w:rPr>
        <w:t>器械级</w:t>
      </w:r>
      <w:r>
        <w:rPr>
          <w:rFonts w:hint="eastAsia" w:ascii="宋体" w:hAnsi="宋体" w:eastAsia="宋体" w:cs="宋体"/>
          <w:lang w:val="en-US" w:eastAsia="zh-CN"/>
        </w:rPr>
        <w:t>的最终配方。</w:t>
      </w:r>
    </w:p>
    <w:p w14:paraId="203F4E88">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该阶段还包括对产品的稳定性、无菌性和质量标准的验证。</w:t>
      </w:r>
    </w:p>
    <w:p w14:paraId="2261841D">
      <w:pPr>
        <w:pStyle w:val="82"/>
        <w:bidi w:val="0"/>
        <w:rPr>
          <w:rFonts w:hint="eastAsia" w:hAnsi="Times New Roman" w:cs="Times New Roman"/>
        </w:rPr>
      </w:pPr>
      <w:r>
        <w:rPr>
          <w:rFonts w:hint="eastAsia" w:hAnsi="Times New Roman" w:cs="Times New Roman"/>
        </w:rPr>
        <w:t>质量检测与放行</w:t>
      </w:r>
    </w:p>
    <w:p w14:paraId="40D9E324">
      <w:pPr>
        <w:pStyle w:val="83"/>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对中试批次进行原料检测、过程监控、成品分析（活性、纯度、杂质、微生物限度等），并完成放行报告。</w:t>
      </w:r>
    </w:p>
    <w:p w14:paraId="3AFA7FBC">
      <w:pPr>
        <w:pStyle w:val="83"/>
        <w:bidi w:val="0"/>
        <w:ind w:left="0" w:leftChars="0" w:firstLine="0" w:firstLineChars="0"/>
        <w:rPr>
          <w:rFonts w:hint="eastAsia"/>
        </w:rPr>
      </w:pPr>
      <w:r>
        <w:rPr>
          <w:rFonts w:hint="eastAsia" w:ascii="宋体" w:hAnsi="宋体" w:eastAsia="宋体" w:cs="宋体"/>
          <w:lang w:val="en-US" w:eastAsia="zh-CN"/>
        </w:rPr>
        <w:t>关键检测环节覆盖原材料测试、过程测试和成品放行测试</w:t>
      </w:r>
      <w:r>
        <w:rPr>
          <w:rFonts w:hint="eastAsia"/>
        </w:rPr>
        <w:t>。</w:t>
      </w:r>
    </w:p>
    <w:p w14:paraId="45ED14A6">
      <w:pPr>
        <w:pStyle w:val="82"/>
        <w:bidi w:val="0"/>
        <w:rPr>
          <w:rFonts w:hint="eastAsia" w:hAnsi="Times New Roman" w:cs="Times New Roman"/>
        </w:rPr>
      </w:pPr>
      <w:r>
        <w:rPr>
          <w:rFonts w:hint="eastAsia" w:hAnsi="Times New Roman" w:cs="Times New Roman"/>
        </w:rPr>
        <w:t>废水/废弃物处理</w:t>
      </w:r>
    </w:p>
    <w:p w14:paraId="29CD670D">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发酵、澄清、纯化等环节产生的废水和固体废弃物统一进入污水处理系统或专用废弃物处理设施，确保符合环保要求。</w:t>
      </w:r>
    </w:p>
    <w:p w14:paraId="69800403">
      <w:pPr>
        <w:pStyle w:val="82"/>
        <w:bidi w:val="0"/>
        <w:rPr>
          <w:rFonts w:hint="eastAsia" w:hAnsi="Times New Roman" w:cs="Times New Roman"/>
        </w:rPr>
      </w:pPr>
      <w:r>
        <w:rPr>
          <w:rFonts w:hint="eastAsia" w:hAnsi="Times New Roman" w:cs="Times New Roman"/>
        </w:rPr>
        <w:t>数据与工艺文档化</w:t>
      </w:r>
    </w:p>
    <w:p w14:paraId="7B21CA3B">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全流程数据实时采集、工艺参数记录、物料衡算、经济技术指标评估等，形成完整的中试工艺规程，为后续工业化放大提供技术依据。</w:t>
      </w:r>
    </w:p>
    <w:p w14:paraId="605881A5">
      <w:pPr>
        <w:pStyle w:val="60"/>
        <w:spacing w:before="240" w:beforeLines="100" w:after="240" w:afterLines="100" w:line="240" w:lineRule="auto"/>
        <w:ind w:left="0" w:leftChars="0"/>
        <w:jc w:val="both"/>
        <w:outlineLvl w:val="0"/>
        <w:rPr>
          <w:rFonts w:hint="eastAsia"/>
        </w:rPr>
      </w:pPr>
    </w:p>
    <w:p w14:paraId="65932F42">
      <w:pPr>
        <w:pStyle w:val="60"/>
        <w:spacing w:before="240" w:beforeLines="100" w:after="240" w:afterLines="100" w:line="240" w:lineRule="auto"/>
        <w:ind w:left="0" w:leftChars="0"/>
        <w:jc w:val="both"/>
        <w:outlineLvl w:val="0"/>
        <w:rPr>
          <w:rFonts w:hint="eastAsia"/>
        </w:rPr>
      </w:pPr>
    </w:p>
    <w:p w14:paraId="407517A2">
      <w:pPr>
        <w:pStyle w:val="60"/>
        <w:spacing w:before="240" w:beforeLines="100" w:after="240" w:afterLines="100" w:line="240" w:lineRule="auto"/>
        <w:ind w:left="0" w:leftChars="0"/>
        <w:jc w:val="both"/>
        <w:outlineLvl w:val="0"/>
        <w:rPr>
          <w:rFonts w:hint="eastAsia"/>
        </w:rPr>
      </w:pPr>
    </w:p>
    <w:p w14:paraId="15C05EF3">
      <w:pPr>
        <w:pStyle w:val="60"/>
        <w:spacing w:before="240" w:beforeLines="100" w:after="240" w:afterLines="100" w:line="240" w:lineRule="auto"/>
        <w:ind w:left="0" w:leftChars="0"/>
        <w:jc w:val="both"/>
        <w:outlineLvl w:val="0"/>
        <w:rPr>
          <w:rFonts w:hint="eastAsia"/>
        </w:rPr>
      </w:pPr>
    </w:p>
    <w:p w14:paraId="547F6AB1">
      <w:pPr>
        <w:pStyle w:val="80"/>
        <w:shd w:val="clear" w:color="FFFFFF" w:fill="FFFFFF"/>
        <w:bidi w:val="0"/>
        <w:rPr>
          <w:rFonts w:hint="eastAsia" w:ascii="黑体" w:hAnsi="黑体" w:eastAsia="黑体" w:cs="黑体"/>
          <w:szCs w:val="21"/>
        </w:rPr>
      </w:pPr>
      <w:r>
        <w:rPr>
          <w:rFonts w:hint="eastAsia" w:ascii="黑体" w:hAnsi="黑体" w:eastAsia="黑体" w:cs="黑体"/>
          <w:szCs w:val="21"/>
        </w:rPr>
        <w:t xml:space="preserve"> </w:t>
      </w:r>
      <w:bookmarkStart w:id="102" w:name="_Toc8354"/>
      <w:bookmarkEnd w:id="102"/>
    </w:p>
    <w:p w14:paraId="7830525B">
      <w:pPr>
        <w:pStyle w:val="109"/>
        <w:numPr>
          <w:ilvl w:val="2"/>
          <w:numId w:val="0"/>
        </w:numPr>
        <w:spacing w:before="120" w:after="120"/>
        <w:jc w:val="center"/>
        <w:rPr>
          <w:color w:val="000000" w:themeColor="text1"/>
          <w14:textFill>
            <w14:solidFill>
              <w14:schemeClr w14:val="tx1"/>
            </w14:solidFill>
          </w14:textFill>
        </w:rPr>
      </w:pPr>
      <w:bookmarkStart w:id="103" w:name="_Toc13164"/>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资料性）</w:t>
      </w:r>
      <w:bookmarkEnd w:id="103"/>
    </w:p>
    <w:p w14:paraId="669204A1">
      <w:pPr>
        <w:jc w:val="center"/>
        <w:rPr>
          <w:rFonts w:hint="eastAsia" w:ascii="黑体" w:hAnsi="黑体" w:eastAsia="黑体" w:cs="黑体"/>
          <w:spacing w:val="105"/>
        </w:rPr>
      </w:pPr>
      <w:r>
        <w:rPr>
          <w:rFonts w:hint="eastAsia" w:ascii="黑体" w:hAnsi="黑体" w:eastAsia="黑体" w:cs="黑体"/>
        </w:rPr>
        <w:t>国家药品监督管理局（NMPA）申报要点</w:t>
      </w:r>
    </w:p>
    <w:p w14:paraId="00F55F56">
      <w:pPr>
        <w:pStyle w:val="82"/>
        <w:bidi w:val="0"/>
        <w:rPr>
          <w:rFonts w:hint="eastAsia" w:hAnsi="Times New Roman" w:cs="Times New Roman"/>
        </w:rPr>
      </w:pPr>
      <w:r>
        <w:rPr>
          <w:rFonts w:hint="eastAsia" w:hAnsi="Times New Roman" w:cs="Times New Roman"/>
        </w:rPr>
        <w:t>申报材料的完整性</w:t>
      </w:r>
    </w:p>
    <w:p w14:paraId="6019CA38">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药品研发报告（IND）‍</w:t>
      </w:r>
    </w:p>
    <w:p w14:paraId="179814E3">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包括药学研究（配方、工艺、质量控制）、药理毒理学（非临床安全性）以及临床前药代动力学（PK）数据。</w:t>
      </w:r>
    </w:p>
    <w:p w14:paraId="63721AAA">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临床试验方案（CTP）‍</w:t>
      </w:r>
    </w:p>
    <w:p w14:paraId="1E98D05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明确试验目的、设计（随机、盲法、对照组等）、受试者入选/排除标准、剂量方案、评估指标（安全性、初步疗效）以及统计分析计划。</w:t>
      </w:r>
    </w:p>
    <w:p w14:paraId="120161D9">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药品注册检验（CMC）资料</w:t>
      </w:r>
    </w:p>
    <w:p w14:paraId="5D0FA9F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原料药/制剂的工艺流程、关键工艺参数、批次生产记录、质量标准（规格、检测方法、验证报告）以及工艺放大（中试）数据。</w:t>
      </w:r>
    </w:p>
    <w:p w14:paraId="3A931304">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稳定性研究</w:t>
      </w:r>
    </w:p>
    <w:p w14:paraId="243B420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中试批次在加速/常规条件下的稳定性数据，确保产品在临床使用期间保持质量。</w:t>
      </w:r>
    </w:p>
    <w:p w14:paraId="27D036E9">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GMP合规证明</w:t>
      </w:r>
    </w:p>
    <w:p w14:paraId="4103ED0B">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中试生产设施须符合《药品生产质量管理规范》（GMP）要求，提供设施、设备、人员培训及验证（IQ/OQ/PQ）文件。</w:t>
      </w:r>
    </w:p>
    <w:p w14:paraId="23683C5E">
      <w:pPr>
        <w:pStyle w:val="82"/>
        <w:bidi w:val="0"/>
        <w:rPr>
          <w:rFonts w:hint="eastAsia" w:hAnsi="Times New Roman" w:cs="Times New Roman"/>
          <w:lang w:val="en-US" w:eastAsia="zh-CN"/>
        </w:rPr>
      </w:pPr>
      <w:r>
        <w:rPr>
          <w:rFonts w:hint="eastAsia" w:hAnsi="Times New Roman" w:cs="Times New Roman"/>
          <w:lang w:val="en-US" w:eastAsia="zh-CN"/>
        </w:rPr>
        <w:t>中试（Phase I）批次的要求</w:t>
      </w:r>
    </w:p>
    <w:p w14:paraId="14AA0713">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批次规模</w:t>
      </w:r>
    </w:p>
    <w:p w14:paraId="018C836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通常为 1–5 批次、每批次 10 L–100 L（注射剂）或相应的固体制剂量，以满足临床用药需求并提供工艺放大依据。</w:t>
      </w:r>
    </w:p>
    <w:p w14:paraId="73EA9411">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批次放行标准</w:t>
      </w:r>
    </w:p>
    <w:p w14:paraId="7B5E36BB">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必须满足全部质量标准（外观、含量、杂质、无菌/内毒素等），并提供完整的放行报告。</w:t>
      </w:r>
    </w:p>
    <w:p w14:paraId="47FA186A">
      <w:pPr>
        <w:pStyle w:val="82"/>
        <w:bidi w:val="0"/>
        <w:rPr>
          <w:rFonts w:hint="eastAsia" w:hAnsi="Times New Roman" w:cs="Times New Roman"/>
          <w:lang w:val="en-US" w:eastAsia="zh-CN"/>
        </w:rPr>
      </w:pPr>
      <w:r>
        <w:rPr>
          <w:rFonts w:hint="eastAsia" w:hAnsi="Times New Roman" w:cs="Times New Roman"/>
          <w:lang w:val="en-US" w:eastAsia="zh-CN"/>
        </w:rPr>
        <w:t>安全性评估</w:t>
      </w:r>
    </w:p>
    <w:p w14:paraId="0F163C8E">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非临床安全性</w:t>
      </w:r>
    </w:p>
    <w:p w14:paraId="38F3A46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完成急性、亚急性/亚慢性毒理学、致畸、致突变、药代动力学（动物）等研究，形成《药理毒理学研究报告》。</w:t>
      </w:r>
    </w:p>
    <w:p w14:paraId="3653120D">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临床安全监测计划</w:t>
      </w:r>
    </w:p>
    <w:p w14:paraId="58CEA11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在申报材料中列明不良事件（AE）报告、严重不良事件（SAE）处理流程以及安全监测委员会（SMC）/伦理委员会（IEC）职责。</w:t>
      </w:r>
    </w:p>
    <w:p w14:paraId="6459D6EE">
      <w:pPr>
        <w:pStyle w:val="82"/>
        <w:bidi w:val="0"/>
        <w:rPr>
          <w:rFonts w:hint="eastAsia" w:ascii="Times New Roman" w:hAnsi="Times New Roman" w:cs="Times New Roman"/>
          <w:lang w:val="en-US" w:eastAsia="zh-CN"/>
        </w:rPr>
      </w:pPr>
      <w:r>
        <w:rPr>
          <w:rFonts w:hint="eastAsia" w:hAnsi="Times New Roman" w:cs="Times New Roman"/>
          <w:lang w:val="en-US" w:eastAsia="zh-CN"/>
        </w:rPr>
        <w:t>伦理审查与受试者保护</w:t>
      </w:r>
    </w:p>
    <w:p w14:paraId="283D70DE">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伦理审查批件</w:t>
      </w:r>
    </w:p>
    <w:p w14:paraId="1CF1AE58">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提交临床试验方案前须取得所在省（市）药监局或国家药监局的伦理审查批准文件。</w:t>
      </w:r>
    </w:p>
    <w:p w14:paraId="3B010AE9">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知情同意书（ICF）‍</w:t>
      </w:r>
    </w:p>
    <w:p w14:paraId="40DF8A05">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需符合《药物临床试验伦理审查办法》要求，明确受试者权利、风险、补偿等内容。</w:t>
      </w:r>
    </w:p>
    <w:p w14:paraId="3CDA3599">
      <w:pPr>
        <w:pStyle w:val="82"/>
        <w:bidi w:val="0"/>
        <w:rPr>
          <w:rFonts w:hint="eastAsia" w:hAnsi="Times New Roman" w:cs="Times New Roman"/>
          <w:lang w:val="en-US" w:eastAsia="zh-CN"/>
        </w:rPr>
      </w:pPr>
      <w:r>
        <w:rPr>
          <w:rFonts w:hint="eastAsia" w:hAnsi="Times New Roman" w:cs="Times New Roman"/>
          <w:lang w:val="en-US" w:eastAsia="zh-CN"/>
        </w:rPr>
        <w:t>临床试验备案/批准流程</w:t>
      </w:r>
    </w:p>
    <w:p w14:paraId="72573BE6">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备案（Ⅰ期）‍</w:t>
      </w:r>
    </w:p>
    <w:p w14:paraId="295D543E">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在《药品临床试验备案系统》提交全部材料，系统审查通过后方可开展试验。</w:t>
      </w:r>
    </w:p>
    <w:p w14:paraId="6D9E790E">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审评时限</w:t>
      </w:r>
    </w:p>
    <w:p w14:paraId="50BAFF7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NMPA 通常在 30 天内完成形式审查，若材料齐全且符合要求，可进入实质审评阶段。</w:t>
      </w:r>
    </w:p>
    <w:p w14:paraId="21083152">
      <w:pPr>
        <w:pStyle w:val="82"/>
        <w:bidi w:val="0"/>
        <w:rPr>
          <w:rFonts w:hint="eastAsia" w:hAnsi="Times New Roman" w:cs="Times New Roman"/>
          <w:lang w:val="en-US" w:eastAsia="zh-CN"/>
        </w:rPr>
      </w:pPr>
      <w:r>
        <w:rPr>
          <w:rFonts w:hint="eastAsia" w:hAnsi="Times New Roman" w:cs="Times New Roman"/>
          <w:lang w:val="en-US" w:eastAsia="zh-CN"/>
        </w:rPr>
        <w:t>数据管理与统计</w:t>
      </w:r>
    </w:p>
    <w:p w14:paraId="2C0AAD21">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电子数据捕获（EDC）系统</w:t>
      </w:r>
    </w:p>
    <w:p w14:paraId="30EB1D8B">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需使用符合《药物临床试验数据管理规范》的系统进行数据采集、审计轨迹记录。</w:t>
      </w:r>
    </w:p>
    <w:p w14:paraId="2177645A">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统计分析计划（SAP）‍</w:t>
      </w:r>
    </w:p>
    <w:p w14:paraId="0A24281C">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提前制定，明确主要/次要终点、分析人群（全分析集、符合性分析集）以及缺失数据处理方法。</w:t>
      </w:r>
    </w:p>
    <w:p w14:paraId="437B43C5">
      <w:pPr>
        <w:pStyle w:val="82"/>
        <w:bidi w:val="0"/>
        <w:rPr>
          <w:rFonts w:hint="eastAsia" w:ascii="Times New Roman" w:hAnsi="Times New Roman" w:cs="Times New Roman"/>
          <w:lang w:val="en-US" w:eastAsia="zh-CN"/>
        </w:rPr>
      </w:pPr>
      <w:r>
        <w:rPr>
          <w:rFonts w:hint="eastAsia" w:hAnsi="Times New Roman" w:cs="Times New Roman"/>
          <w:lang w:val="en-US" w:eastAsia="zh-CN"/>
        </w:rPr>
        <w:t>风险评估与质量管理</w:t>
      </w:r>
    </w:p>
    <w:p w14:paraId="767D3D5A">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风险评估报告（RMP）‍</w:t>
      </w:r>
    </w:p>
    <w:p w14:paraId="621A8E29">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针对药品的已知风险、潜在风险及风险最小化措施进行系统评估。</w:t>
      </w:r>
    </w:p>
    <w:p w14:paraId="449C9896">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质量风险管理（QRM）‍</w:t>
      </w:r>
    </w:p>
    <w:p w14:paraId="33F778B8">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在中试放大过程中识别关键工艺参数（CPP）和关键质量属性（CQA），并建立相应的监控策略。</w:t>
      </w:r>
    </w:p>
    <w:p w14:paraId="7C1C5CA6">
      <w:pPr>
        <w:pStyle w:val="82"/>
        <w:bidi w:val="0"/>
        <w:rPr>
          <w:rFonts w:hint="eastAsia" w:hAnsi="Times New Roman" w:cs="Times New Roman"/>
          <w:lang w:val="en-US" w:eastAsia="zh-CN"/>
        </w:rPr>
      </w:pPr>
      <w:r>
        <w:rPr>
          <w:rFonts w:hint="eastAsia" w:hAnsi="Times New Roman" w:cs="Times New Roman"/>
          <w:lang w:val="en-US" w:eastAsia="zh-CN"/>
        </w:rPr>
        <w:t>其他注意事项</w:t>
      </w:r>
    </w:p>
    <w:p w14:paraId="7D7A47BB">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药品说明书（草案）</w:t>
      </w:r>
    </w:p>
    <w:p w14:paraId="07D6B829">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在中试阶段可提交草案，列明适应症、用法用量、禁忌、警示等信息。</w:t>
      </w:r>
    </w:p>
    <w:p w14:paraId="0BFA839E">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进口药品</w:t>
      </w:r>
    </w:p>
    <w:p w14:paraId="481ECE33">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若使用进口原料或外购关键中间体，还需提供《进口药品注册证书》或《进口药品质量检验报告》。</w:t>
      </w:r>
    </w:p>
    <w:p w14:paraId="1463A44F">
      <w:pPr>
        <w:pStyle w:val="83"/>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特殊药物</w:t>
      </w:r>
    </w:p>
    <w:p w14:paraId="3CDD09A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如生物制品、细胞疗法、基因治疗等，需额外提交《生物制品质量标准》《细胞/基因产品安全性评估报告》等专项材料。</w:t>
      </w:r>
      <w:r>
        <w:rPr>
          <w:rFonts w:hint="eastAsia" w:ascii="Times New Roman" w:hAnsi="Times New Roman" w:cs="Times New Roman"/>
          <w:lang w:val="en-US" w:eastAsia="zh-CN"/>
        </w:rPr>
        <w:br w:type="page"/>
      </w:r>
    </w:p>
    <w:p w14:paraId="3A6EEC18">
      <w:pPr>
        <w:pStyle w:val="80"/>
        <w:shd w:val="clear" w:color="FFFFFF" w:fill="FFFFFF"/>
        <w:bidi w:val="0"/>
        <w:rPr>
          <w:rFonts w:hint="eastAsia" w:ascii="黑体" w:hAnsi="黑体" w:eastAsia="黑体" w:cs="黑体"/>
          <w:szCs w:val="21"/>
        </w:rPr>
      </w:pPr>
      <w:r>
        <w:rPr>
          <w:rFonts w:hint="eastAsia" w:ascii="黑体" w:hAnsi="黑体" w:eastAsia="黑体" w:cs="黑体"/>
          <w:szCs w:val="21"/>
        </w:rPr>
        <w:t xml:space="preserve"> </w:t>
      </w:r>
      <w:bookmarkStart w:id="104" w:name="_Toc17900"/>
      <w:bookmarkEnd w:id="104"/>
    </w:p>
    <w:p w14:paraId="1F6E3BB7">
      <w:pPr>
        <w:pStyle w:val="109"/>
        <w:numPr>
          <w:ilvl w:val="2"/>
          <w:numId w:val="0"/>
        </w:numPr>
        <w:spacing w:before="120" w:after="120"/>
        <w:jc w:val="center"/>
        <w:rPr>
          <w:color w:val="000000" w:themeColor="text1"/>
          <w14:textFill>
            <w14:solidFill>
              <w14:schemeClr w14:val="tx1"/>
            </w14:solidFill>
          </w14:textFill>
        </w:rPr>
      </w:pPr>
      <w:bookmarkStart w:id="105" w:name="_Toc4995"/>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资料性）</w:t>
      </w:r>
      <w:bookmarkEnd w:id="105"/>
    </w:p>
    <w:p w14:paraId="3EEA4CC5">
      <w:pPr>
        <w:jc w:val="center"/>
        <w:rPr>
          <w:rFonts w:hint="eastAsia" w:ascii="黑体" w:hAnsi="黑体" w:eastAsia="黑体" w:cs="黑体"/>
          <w:spacing w:val="105"/>
        </w:rPr>
      </w:pPr>
      <w:r>
        <w:rPr>
          <w:rFonts w:hint="eastAsia" w:ascii="黑体" w:hAnsi="黑体" w:eastAsia="黑体" w:cs="黑体"/>
        </w:rPr>
        <w:t>药监申报要点</w:t>
      </w:r>
    </w:p>
    <w:p w14:paraId="55D6196E">
      <w:pPr>
        <w:pStyle w:val="82"/>
        <w:bidi w:val="0"/>
        <w:rPr>
          <w:rFonts w:hint="eastAsia" w:hAnsi="Times New Roman" w:cs="Times New Roman"/>
        </w:rPr>
      </w:pPr>
      <w:r>
        <w:rPr>
          <w:rFonts w:hint="eastAsia" w:hAnsi="Times New Roman" w:cs="Times New Roman"/>
        </w:rPr>
        <w:t>共同要点</w:t>
      </w:r>
      <w:r>
        <w:rPr>
          <w:rFonts w:hint="eastAsia" w:cs="Times New Roman"/>
          <w:lang w:eastAsia="zh-CN"/>
        </w:rPr>
        <w:t>（适用于所有地区）</w:t>
      </w:r>
    </w:p>
    <w:p w14:paraId="1164C3DD">
      <w:pPr>
        <w:pStyle w:val="83"/>
        <w:bidi w:val="0"/>
        <w:ind w:left="0" w:leftChars="0" w:firstLine="0" w:firstLineChars="0"/>
        <w:rPr>
          <w:rFonts w:hint="eastAsia" w:ascii="黑体" w:hAnsi="黑体" w:eastAsia="黑体" w:cs="黑体"/>
        </w:rPr>
      </w:pPr>
      <w:r>
        <w:rPr>
          <w:rFonts w:hint="eastAsia" w:ascii="黑体" w:hAnsi="黑体" w:eastAsia="黑体" w:cs="黑体"/>
        </w:rPr>
        <w:t>完整的临床试验方案</w:t>
      </w:r>
    </w:p>
    <w:p w14:paraId="6619A542">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受试者入选/排除标准、剂量方案、终点指标、随访计划。</w:t>
      </w:r>
    </w:p>
    <w:p w14:paraId="57A084B9">
      <w:pPr>
        <w:pStyle w:val="83"/>
        <w:bidi w:val="0"/>
        <w:ind w:left="0" w:leftChars="0" w:firstLine="0" w:firstLineChars="0"/>
        <w:rPr>
          <w:rFonts w:hint="eastAsia" w:ascii="黑体" w:hAnsi="黑体" w:eastAsia="黑体" w:cs="黑体"/>
        </w:rPr>
      </w:pPr>
      <w:r>
        <w:rPr>
          <w:rFonts w:hint="eastAsia" w:ascii="黑体" w:hAnsi="黑体" w:eastAsia="黑体" w:cs="黑体"/>
        </w:rPr>
        <w:t>非临床安全性数据</w:t>
      </w:r>
    </w:p>
    <w:p w14:paraId="333A97DD">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药理学、药代动力学、急性/亚慢性毒理学（GLP）以及安全裕度评估。</w:t>
      </w:r>
    </w:p>
    <w:p w14:paraId="4B2CC819">
      <w:pPr>
        <w:pStyle w:val="83"/>
        <w:bidi w:val="0"/>
        <w:ind w:left="0" w:leftChars="0" w:firstLine="0" w:firstLineChars="0"/>
        <w:rPr>
          <w:rFonts w:hint="eastAsia" w:ascii="黑体" w:hAnsi="黑体" w:eastAsia="黑体" w:cs="黑体"/>
        </w:rPr>
      </w:pPr>
      <w:r>
        <w:rPr>
          <w:rFonts w:hint="eastAsia" w:ascii="黑体" w:hAnsi="黑体" w:eastAsia="黑体" w:cs="黑体"/>
        </w:rPr>
        <w:t>CMC（质量控制）‍</w:t>
      </w:r>
    </w:p>
    <w:p w14:paraId="368E6771">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原料药、制剂工艺、批次放行标准、稳定性数据、符合当地 GMP 要求。</w:t>
      </w:r>
    </w:p>
    <w:p w14:paraId="2307DDA3">
      <w:pPr>
        <w:pStyle w:val="83"/>
        <w:bidi w:val="0"/>
        <w:ind w:left="0" w:leftChars="0" w:firstLine="0" w:firstLineChars="0"/>
        <w:rPr>
          <w:rFonts w:hint="eastAsia" w:ascii="黑体" w:hAnsi="黑体" w:eastAsia="黑体" w:cs="黑体"/>
        </w:rPr>
      </w:pPr>
      <w:r>
        <w:rPr>
          <w:rFonts w:hint="eastAsia" w:ascii="黑体" w:hAnsi="黑体" w:eastAsia="黑体" w:cs="黑体"/>
        </w:rPr>
        <w:t>统计分析计划</w:t>
      </w:r>
    </w:p>
    <w:p w14:paraId="14993108">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预设的统计方法、样本量计算、假设检验方案。</w:t>
      </w:r>
    </w:p>
    <w:p w14:paraId="17E926D5">
      <w:pPr>
        <w:pStyle w:val="83"/>
        <w:bidi w:val="0"/>
        <w:ind w:left="0" w:leftChars="0" w:firstLine="0" w:firstLineChars="0"/>
        <w:rPr>
          <w:rFonts w:hint="eastAsia" w:ascii="黑体" w:hAnsi="黑体" w:eastAsia="黑体" w:cs="黑体"/>
        </w:rPr>
      </w:pPr>
      <w:r>
        <w:rPr>
          <w:rFonts w:hint="eastAsia" w:ascii="黑体" w:hAnsi="黑体" w:eastAsia="黑体" w:cs="黑体"/>
        </w:rPr>
        <w:t>伦理与患者保护</w:t>
      </w:r>
    </w:p>
    <w:p w14:paraId="7C130B1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知情同意书、伦理委员会批准、数据隐私（GDPR/EU、个人信息保护法）合规。</w:t>
      </w:r>
    </w:p>
    <w:p w14:paraId="56FE4A26">
      <w:pPr>
        <w:pStyle w:val="83"/>
        <w:bidi w:val="0"/>
        <w:ind w:left="0" w:leftChars="0" w:firstLine="0" w:firstLineChars="0"/>
        <w:rPr>
          <w:rFonts w:hint="eastAsia" w:ascii="黑体" w:hAnsi="黑体" w:eastAsia="黑体" w:cs="黑体"/>
        </w:rPr>
      </w:pPr>
      <w:r>
        <w:rPr>
          <w:rFonts w:hint="eastAsia" w:ascii="黑体" w:hAnsi="黑体" w:eastAsia="黑体" w:cs="黑体"/>
        </w:rPr>
        <w:t>电子提交格式</w:t>
      </w:r>
    </w:p>
    <w:p w14:paraId="25B9787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美国采用 eCTD，欧盟同样使用 eCTD 并要求 CDISC 原始数据，日本通过 e</w:t>
      </w:r>
      <w:r>
        <w:rPr>
          <w:rFonts w:hint="eastAsia" w:cs="Times New Roman"/>
          <w:lang w:val="en-US" w:eastAsia="zh-CN"/>
        </w:rPr>
        <w:t>-</w:t>
      </w:r>
      <w:r>
        <w:rPr>
          <w:rFonts w:hint="eastAsia" w:ascii="Times New Roman" w:hAnsi="Times New Roman" w:cs="Times New Roman"/>
          <w:lang w:val="en-US" w:eastAsia="zh-CN"/>
        </w:rPr>
        <w:t>Gov 系统提交。</w:t>
      </w:r>
    </w:p>
    <w:p w14:paraId="2B30E61B">
      <w:pPr>
        <w:pStyle w:val="83"/>
        <w:bidi w:val="0"/>
        <w:ind w:left="0" w:leftChars="0" w:firstLine="0" w:firstLineChars="0"/>
        <w:rPr>
          <w:rFonts w:hint="eastAsia" w:ascii="黑体" w:hAnsi="黑体" w:eastAsia="黑体" w:cs="黑体"/>
        </w:rPr>
      </w:pPr>
      <w:r>
        <w:rPr>
          <w:rFonts w:hint="eastAsia" w:ascii="黑体" w:hAnsi="黑体" w:eastAsia="黑体" w:cs="黑体"/>
        </w:rPr>
        <w:t>建议</w:t>
      </w:r>
    </w:p>
    <w:p w14:paraId="36883C99">
      <w:pPr>
        <w:pStyle w:val="8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宜提前沟通</w:t>
      </w:r>
    </w:p>
    <w:p w14:paraId="297848AF">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在提交正式文件前，利用 FDA Pre-IND、EMA Pre-Submission 或日本 PMDA Pre-Meeting 与监管机构交流，获取针对性意见（参考 FDA Pre-IND 会议要点）。</w:t>
      </w:r>
    </w:p>
    <w:p w14:paraId="1939FFE3">
      <w:pPr>
        <w:pStyle w:val="8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数据标准化</w:t>
      </w:r>
    </w:p>
    <w:p w14:paraId="516F2A87">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准备 CDISC-SDTM/ADaM 数据集，以满足 EMA 对原始患者数据的要求（见 EMA raw-data pilot）。</w:t>
      </w:r>
    </w:p>
    <w:p w14:paraId="74C09B84">
      <w:pPr>
        <w:pStyle w:val="8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质量体系同步</w:t>
      </w:r>
    </w:p>
    <w:p w14:paraId="1796FDCD">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确保 CMC 文档同时满足 FDA 21 CFR Part 11、EU-GMP 与日本 GMP（ISO 13485）要求，避免因标准差异导致重复审查。</w:t>
      </w:r>
    </w:p>
    <w:p w14:paraId="6D04C356">
      <w:pPr>
        <w:pStyle w:val="85"/>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时间规划</w:t>
      </w:r>
    </w:p>
    <w:p w14:paraId="2374788A">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美国 IND 审评约 30 天，欧盟 CTA 初审约 60 天，日本技术审评 12‑18 个月，建议在中试完成后提前 3‑6 个月启动申报准备。</w:t>
      </w:r>
    </w:p>
    <w:p w14:paraId="010FFE0D">
      <w:pPr>
        <w:pStyle w:val="60"/>
        <w:spacing w:before="120" w:beforeLines="50" w:after="120" w:afterLines="50" w:line="240" w:lineRule="auto"/>
        <w:ind w:left="0" w:leftChars="0" w:firstLine="420" w:firstLineChars="200"/>
        <w:jc w:val="both"/>
        <w:rPr>
          <w:rFonts w:hint="eastAsia"/>
        </w:rPr>
      </w:pPr>
    </w:p>
    <w:p w14:paraId="74B1D348">
      <w:pPr>
        <w:pStyle w:val="60"/>
        <w:spacing w:before="120" w:beforeLines="50" w:after="120" w:afterLines="50" w:line="240" w:lineRule="auto"/>
        <w:ind w:left="0" w:leftChars="0"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生物医药研发中试（临床前‑中期）阶段，各主要药监机构的申报要点概览多国药监申报要点</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866"/>
        <w:gridCol w:w="2538"/>
        <w:gridCol w:w="2264"/>
      </w:tblGrid>
      <w:tr w14:paraId="1145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87" w:type="dxa"/>
            <w:vAlign w:val="center"/>
          </w:tcPr>
          <w:p w14:paraId="3B894818">
            <w:pPr>
              <w:pStyle w:val="60"/>
              <w:ind w:left="0" w:leftChars="0" w:firstLine="0" w:firstLineChars="0"/>
              <w:jc w:val="center"/>
              <w:rPr>
                <w:rFonts w:hint="eastAsia" w:ascii="宋体" w:hAnsi="宋体" w:eastAsia="宋体" w:cs="宋体"/>
                <w:sz w:val="18"/>
                <w:szCs w:val="18"/>
                <w:vertAlign w:val="baseline"/>
              </w:rPr>
            </w:pPr>
            <w:r>
              <w:rPr>
                <w:rFonts w:hint="eastAsia" w:ascii="宋体" w:hAnsi="宋体" w:eastAsia="宋体" w:cs="宋体"/>
                <w:b/>
                <w:bCs/>
                <w:i w:val="0"/>
                <w:iCs w:val="0"/>
                <w:caps w:val="0"/>
                <w:color w:val="24292F"/>
                <w:spacing w:val="0"/>
                <w:sz w:val="18"/>
                <w:szCs w:val="18"/>
                <w:shd w:val="clear" w:fill="FFFFFF"/>
              </w:rPr>
              <w:t>区域/机构</w:t>
            </w:r>
          </w:p>
        </w:tc>
        <w:tc>
          <w:tcPr>
            <w:tcW w:w="3015" w:type="dxa"/>
            <w:vAlign w:val="center"/>
          </w:tcPr>
          <w:p w14:paraId="6E3943A5">
            <w:pPr>
              <w:pStyle w:val="60"/>
              <w:ind w:left="0" w:leftChars="0" w:firstLine="0" w:firstLineChars="0"/>
              <w:jc w:val="center"/>
              <w:rPr>
                <w:rFonts w:hint="eastAsia" w:ascii="宋体" w:hAnsi="宋体" w:eastAsia="宋体" w:cs="宋体"/>
                <w:sz w:val="18"/>
                <w:szCs w:val="18"/>
                <w:vertAlign w:val="baseline"/>
              </w:rPr>
            </w:pPr>
            <w:r>
              <w:rPr>
                <w:rFonts w:hint="eastAsia" w:ascii="宋体" w:hAnsi="宋体" w:eastAsia="宋体" w:cs="宋体"/>
                <w:b/>
                <w:bCs/>
                <w:i w:val="0"/>
                <w:iCs w:val="0"/>
                <w:caps w:val="0"/>
                <w:color w:val="24292F"/>
                <w:spacing w:val="0"/>
                <w:sz w:val="18"/>
                <w:szCs w:val="18"/>
                <w:shd w:val="clear" w:fill="FFFFFF"/>
              </w:rPr>
              <w:t>关键申报文件</w:t>
            </w:r>
          </w:p>
        </w:tc>
        <w:tc>
          <w:tcPr>
            <w:tcW w:w="2676" w:type="dxa"/>
            <w:vAlign w:val="center"/>
          </w:tcPr>
          <w:p w14:paraId="276A2FAE">
            <w:pPr>
              <w:pStyle w:val="60"/>
              <w:ind w:left="0" w:leftChars="0" w:firstLine="0" w:firstLineChars="0"/>
              <w:jc w:val="center"/>
              <w:rPr>
                <w:rFonts w:hint="eastAsia" w:ascii="宋体" w:hAnsi="宋体" w:eastAsia="宋体" w:cs="宋体"/>
                <w:sz w:val="18"/>
                <w:szCs w:val="18"/>
                <w:vertAlign w:val="baseline"/>
              </w:rPr>
            </w:pPr>
            <w:r>
              <w:rPr>
                <w:rFonts w:hint="eastAsia" w:ascii="宋体" w:hAnsi="宋体" w:eastAsia="宋体" w:cs="宋体"/>
                <w:b/>
                <w:bCs/>
                <w:i w:val="0"/>
                <w:iCs w:val="0"/>
                <w:caps w:val="0"/>
                <w:color w:val="24292F"/>
                <w:spacing w:val="0"/>
                <w:sz w:val="18"/>
                <w:szCs w:val="18"/>
                <w:shd w:val="clear" w:fill="FFFFFF"/>
              </w:rPr>
              <w:t>重点审查内容</w:t>
            </w:r>
          </w:p>
        </w:tc>
        <w:tc>
          <w:tcPr>
            <w:tcW w:w="2393" w:type="dxa"/>
            <w:vAlign w:val="center"/>
          </w:tcPr>
          <w:p w14:paraId="36F3E12D">
            <w:pPr>
              <w:pStyle w:val="60"/>
              <w:ind w:left="0" w:leftChars="0" w:firstLine="0" w:firstLineChars="0"/>
              <w:jc w:val="center"/>
              <w:rPr>
                <w:rFonts w:hint="eastAsia" w:ascii="宋体" w:hAnsi="宋体" w:eastAsia="宋体" w:cs="宋体"/>
                <w:sz w:val="18"/>
                <w:szCs w:val="18"/>
                <w:vertAlign w:val="baseline"/>
              </w:rPr>
            </w:pPr>
            <w:r>
              <w:rPr>
                <w:rFonts w:hint="eastAsia" w:ascii="宋体" w:hAnsi="宋体" w:eastAsia="宋体" w:cs="宋体"/>
                <w:b/>
                <w:bCs/>
                <w:i w:val="0"/>
                <w:iCs w:val="0"/>
                <w:caps w:val="0"/>
                <w:color w:val="24292F"/>
                <w:spacing w:val="0"/>
                <w:sz w:val="18"/>
                <w:szCs w:val="18"/>
                <w:shd w:val="clear" w:fill="FFFFFF"/>
              </w:rPr>
              <w:t>常见时间节点</w:t>
            </w:r>
          </w:p>
        </w:tc>
      </w:tr>
      <w:tr w14:paraId="52B6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7B8B8F66">
            <w:pPr>
              <w:pStyle w:val="60"/>
              <w:ind w:left="0" w:leftChars="0" w:firstLine="0" w:firstLineChars="0"/>
              <w:jc w:val="center"/>
              <w:rPr>
                <w:rFonts w:hint="eastAsia" w:ascii="宋体" w:hAnsi="宋体" w:eastAsia="宋体" w:cs="宋体"/>
                <w:b w:val="0"/>
                <w:bCs w:val="0"/>
                <w:sz w:val="18"/>
                <w:szCs w:val="18"/>
                <w:vertAlign w:val="baseline"/>
              </w:rPr>
            </w:pPr>
            <w:r>
              <w:rPr>
                <w:rStyle w:val="32"/>
                <w:rFonts w:hint="eastAsia" w:ascii="宋体" w:hAnsi="宋体" w:eastAsia="宋体" w:cs="宋体"/>
                <w:b w:val="0"/>
                <w:bCs w:val="0"/>
                <w:i w:val="0"/>
                <w:iCs w:val="0"/>
                <w:caps w:val="0"/>
                <w:color w:val="24292F"/>
                <w:spacing w:val="0"/>
                <w:sz w:val="18"/>
                <w:szCs w:val="18"/>
                <w:shd w:val="clear" w:fill="FFFFFF"/>
              </w:rPr>
              <w:t>美国 FDA</w:t>
            </w:r>
          </w:p>
        </w:tc>
        <w:tc>
          <w:tcPr>
            <w:tcW w:w="3015" w:type="dxa"/>
          </w:tcPr>
          <w:p w14:paraId="77EAB906">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IND（Investigational New Drug）申请</w:t>
            </w:r>
          </w:p>
          <w:p w14:paraId="6F4340B1">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临床试验方案（Protocol）</w:t>
            </w:r>
          </w:p>
          <w:p w14:paraId="25CE0A2F">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统计分析计划（SAP）</w:t>
            </w:r>
          </w:p>
          <w:p w14:paraId="7C0563F3">
            <w:pPr>
              <w:pStyle w:val="60"/>
              <w:ind w:left="0" w:leftChars="0" w:firstLine="0" w:firstLineChars="0"/>
              <w:rPr>
                <w:rFonts w:hint="eastAsia"/>
                <w:sz w:val="18"/>
                <w:szCs w:val="18"/>
                <w:vertAlign w:val="baseline"/>
              </w:rPr>
            </w:pPr>
            <w:r>
              <w:rPr>
                <w:rFonts w:hint="eastAsia"/>
                <w:sz w:val="18"/>
                <w:szCs w:val="18"/>
                <w:vertAlign w:val="baseline"/>
                <w:lang w:val="en-US" w:eastAsia="zh-CN"/>
              </w:rPr>
              <w:t>4、</w:t>
            </w:r>
            <w:r>
              <w:rPr>
                <w:rFonts w:hint="eastAsia"/>
                <w:sz w:val="18"/>
                <w:szCs w:val="18"/>
                <w:vertAlign w:val="baseline"/>
              </w:rPr>
              <w:t xml:space="preserve"> CMC（Chemistry, Manufacturing &amp; Controls）概述</w:t>
            </w:r>
          </w:p>
          <w:p w14:paraId="10D8BBF5">
            <w:pPr>
              <w:pStyle w:val="60"/>
              <w:ind w:left="0" w:leftChars="0" w:firstLine="0" w:firstLineChars="0"/>
              <w:rPr>
                <w:sz w:val="18"/>
                <w:szCs w:val="18"/>
                <w:vertAlign w:val="baseline"/>
              </w:rPr>
            </w:pPr>
            <w:r>
              <w:rPr>
                <w:rFonts w:hint="eastAsia"/>
                <w:sz w:val="18"/>
                <w:szCs w:val="18"/>
                <w:vertAlign w:val="baseline"/>
                <w:lang w:val="en-US" w:eastAsia="zh-CN"/>
              </w:rPr>
              <w:t>5、</w:t>
            </w:r>
            <w:r>
              <w:rPr>
                <w:rFonts w:hint="eastAsia"/>
                <w:sz w:val="18"/>
                <w:szCs w:val="18"/>
                <w:vertAlign w:val="baseline"/>
              </w:rPr>
              <w:t>药理、毒理学研究报告（GLP）</w:t>
            </w:r>
          </w:p>
        </w:tc>
        <w:tc>
          <w:tcPr>
            <w:tcW w:w="2676" w:type="dxa"/>
          </w:tcPr>
          <w:p w14:paraId="21788B3D">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方案完整性、受试者安全性评估</w:t>
            </w:r>
          </w:p>
          <w:p w14:paraId="2B62193D">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关键非临床数据（药代动力学、毒理学）是否满足安全裕度</w:t>
            </w:r>
          </w:p>
          <w:p w14:paraId="3130F268">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生产工艺与质量控制的可追溯性</w:t>
            </w:r>
          </w:p>
          <w:p w14:paraId="79B90BCA">
            <w:pPr>
              <w:pStyle w:val="60"/>
              <w:ind w:left="0" w:leftChars="0" w:firstLine="0" w:firstLineChars="0"/>
              <w:rPr>
                <w:sz w:val="18"/>
                <w:szCs w:val="18"/>
                <w:vertAlign w:val="baseline"/>
              </w:rPr>
            </w:pPr>
            <w:r>
              <w:rPr>
                <w:rFonts w:hint="eastAsia"/>
                <w:sz w:val="18"/>
                <w:szCs w:val="18"/>
                <w:vertAlign w:val="baseline"/>
                <w:lang w:val="en-US" w:eastAsia="zh-CN"/>
              </w:rPr>
              <w:t>4、</w:t>
            </w:r>
            <w:r>
              <w:rPr>
                <w:rFonts w:hint="eastAsia"/>
                <w:sz w:val="18"/>
                <w:szCs w:val="18"/>
                <w:vertAlign w:val="baseline"/>
              </w:rPr>
              <w:t>统计方法的合理性</w:t>
            </w:r>
          </w:p>
        </w:tc>
        <w:tc>
          <w:tcPr>
            <w:tcW w:w="2393" w:type="dxa"/>
            <w:vAlign w:val="center"/>
          </w:tcPr>
          <w:p w14:paraId="3085DCA0">
            <w:pPr>
              <w:pStyle w:val="60"/>
              <w:ind w:left="0" w:leftChars="0" w:firstLine="0" w:firstLineChars="0"/>
              <w:jc w:val="left"/>
              <w:rPr>
                <w:sz w:val="18"/>
                <w:szCs w:val="18"/>
                <w:vertAlign w:val="baseline"/>
              </w:rPr>
            </w:pPr>
            <w:r>
              <w:rPr>
                <w:rFonts w:hint="eastAsia"/>
                <w:sz w:val="18"/>
                <w:szCs w:val="18"/>
                <w:vertAlign w:val="baseline"/>
              </w:rPr>
              <w:t>预 IND 会议后 30 天内提交正式 IND；审评一般 30 天（“30‑day safety review”）</w:t>
            </w:r>
          </w:p>
        </w:tc>
      </w:tr>
      <w:tr w14:paraId="369C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2A424EE0">
            <w:pPr>
              <w:pStyle w:val="60"/>
              <w:ind w:left="0" w:leftChars="0" w:firstLine="0" w:firstLineChars="0"/>
              <w:jc w:val="center"/>
              <w:rPr>
                <w:rFonts w:hint="eastAsia" w:ascii="宋体" w:hAnsi="宋体" w:eastAsia="宋体" w:cs="宋体"/>
                <w:b w:val="0"/>
                <w:bCs w:val="0"/>
                <w:sz w:val="18"/>
                <w:szCs w:val="18"/>
                <w:vertAlign w:val="baseline"/>
              </w:rPr>
            </w:pPr>
            <w:r>
              <w:rPr>
                <w:rStyle w:val="32"/>
                <w:rFonts w:hint="eastAsia" w:ascii="宋体" w:hAnsi="宋体" w:eastAsia="宋体" w:cs="宋体"/>
                <w:b w:val="0"/>
                <w:bCs w:val="0"/>
                <w:i w:val="0"/>
                <w:iCs w:val="0"/>
                <w:caps w:val="0"/>
                <w:color w:val="24292F"/>
                <w:spacing w:val="0"/>
                <w:sz w:val="18"/>
                <w:szCs w:val="18"/>
              </w:rPr>
              <w:t>欧盟 EMA</w:t>
            </w:r>
          </w:p>
        </w:tc>
        <w:tc>
          <w:tcPr>
            <w:tcW w:w="3015" w:type="dxa"/>
          </w:tcPr>
          <w:p w14:paraId="6579AD9A">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CTA（Clinical Trial Application）或 eCTD 包含的模块 5（临床）</w:t>
            </w:r>
          </w:p>
          <w:p w14:paraId="249E4D0B">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原始患者数据（IPD）遵循 CDISC 标准（SDTM/ADaM）</w:t>
            </w:r>
          </w:p>
          <w:p w14:paraId="54C1DF5F">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CMC 报告（符合 EU‑GMP）</w:t>
            </w:r>
          </w:p>
          <w:p w14:paraId="79BF4288">
            <w:pPr>
              <w:pStyle w:val="60"/>
              <w:ind w:left="0" w:leftChars="0" w:firstLine="0" w:firstLineChars="0"/>
              <w:rPr>
                <w:sz w:val="18"/>
                <w:szCs w:val="18"/>
                <w:vertAlign w:val="baseline"/>
              </w:rPr>
            </w:pPr>
            <w:r>
              <w:rPr>
                <w:rFonts w:hint="eastAsia"/>
                <w:sz w:val="18"/>
                <w:szCs w:val="18"/>
                <w:vertAlign w:val="baseline"/>
                <w:lang w:val="en-US" w:eastAsia="zh-CN"/>
              </w:rPr>
              <w:t>4、</w:t>
            </w:r>
            <w:r>
              <w:rPr>
                <w:rFonts w:hint="eastAsia"/>
                <w:sz w:val="18"/>
                <w:szCs w:val="18"/>
                <w:vertAlign w:val="baseline"/>
              </w:rPr>
              <w:t>非临床毒理学报告（符合 GLP）</w:t>
            </w:r>
          </w:p>
        </w:tc>
        <w:tc>
          <w:tcPr>
            <w:tcW w:w="2676" w:type="dxa"/>
          </w:tcPr>
          <w:p w14:paraId="6AF217D2">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数据交换标准（CDISC）和原始数据提交要求</w:t>
            </w:r>
          </w:p>
          <w:p w14:paraId="7356F56C">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透明度与数据保护（GDPR）合规</w:t>
            </w:r>
          </w:p>
          <w:p w14:paraId="7AFF996B">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质量体系（EU‑GMP）审查</w:t>
            </w:r>
          </w:p>
          <w:p w14:paraId="790EEC74">
            <w:pPr>
              <w:pStyle w:val="60"/>
              <w:ind w:left="0" w:leftChars="0" w:firstLine="0" w:firstLineChars="0"/>
              <w:rPr>
                <w:sz w:val="18"/>
                <w:szCs w:val="18"/>
                <w:vertAlign w:val="baseline"/>
              </w:rPr>
            </w:pPr>
            <w:r>
              <w:rPr>
                <w:rFonts w:hint="eastAsia"/>
                <w:sz w:val="18"/>
                <w:szCs w:val="18"/>
                <w:vertAlign w:val="baseline"/>
                <w:lang w:val="en-US" w:eastAsia="zh-CN"/>
              </w:rPr>
              <w:t>4、</w:t>
            </w:r>
            <w:r>
              <w:rPr>
                <w:rFonts w:hint="eastAsia"/>
                <w:sz w:val="18"/>
                <w:szCs w:val="18"/>
                <w:vertAlign w:val="baseline"/>
              </w:rPr>
              <w:t>对原始临床数据的可重复性评估（报告中可附加原始数据包）</w:t>
            </w:r>
          </w:p>
        </w:tc>
        <w:tc>
          <w:tcPr>
            <w:tcW w:w="2393" w:type="dxa"/>
            <w:vAlign w:val="center"/>
          </w:tcPr>
          <w:p w14:paraId="6735DB26">
            <w:pPr>
              <w:pStyle w:val="60"/>
              <w:ind w:left="0" w:leftChars="0" w:firstLine="0" w:firstLineChars="0"/>
              <w:jc w:val="left"/>
              <w:rPr>
                <w:sz w:val="18"/>
                <w:szCs w:val="18"/>
                <w:vertAlign w:val="baseline"/>
              </w:rPr>
            </w:pPr>
            <w:r>
              <w:rPr>
                <w:rFonts w:hint="eastAsia"/>
                <w:sz w:val="18"/>
                <w:szCs w:val="18"/>
                <w:vertAlign w:val="baseline"/>
              </w:rPr>
              <w:t>电子提交（eCTD）后 60 天内完成首次审评；若涉及原始数据，EMA 可能在评估期间要求额外分析</w:t>
            </w:r>
          </w:p>
        </w:tc>
      </w:tr>
      <w:tr w14:paraId="6D26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5CBE3835">
            <w:pPr>
              <w:pStyle w:val="60"/>
              <w:ind w:left="0" w:leftChars="0" w:firstLine="0" w:firstLineChars="0"/>
              <w:jc w:val="center"/>
              <w:rPr>
                <w:rFonts w:hint="eastAsia" w:ascii="宋体" w:hAnsi="宋体" w:eastAsia="宋体" w:cs="宋体"/>
                <w:b w:val="0"/>
                <w:bCs w:val="0"/>
                <w:sz w:val="18"/>
                <w:szCs w:val="18"/>
                <w:vertAlign w:val="baseline"/>
              </w:rPr>
            </w:pPr>
            <w:r>
              <w:rPr>
                <w:rStyle w:val="32"/>
                <w:rFonts w:hint="eastAsia" w:ascii="宋体" w:hAnsi="宋体" w:eastAsia="宋体" w:cs="宋体"/>
                <w:b w:val="0"/>
                <w:bCs w:val="0"/>
                <w:i w:val="0"/>
                <w:iCs w:val="0"/>
                <w:caps w:val="0"/>
                <w:color w:val="24292F"/>
                <w:spacing w:val="0"/>
                <w:sz w:val="18"/>
                <w:szCs w:val="18"/>
                <w:shd w:val="clear" w:fill="FFFFFF"/>
              </w:rPr>
              <w:t>日本 PMDA</w:t>
            </w:r>
          </w:p>
        </w:tc>
        <w:tc>
          <w:tcPr>
            <w:tcW w:w="3015" w:type="dxa"/>
          </w:tcPr>
          <w:p w14:paraId="5643193F">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医药品上市前审查（NDA）或临床试验批准（e‑Gov 系统）</w:t>
            </w:r>
          </w:p>
          <w:p w14:paraId="76534E59">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技术文件：产品说明书、质量管理体系（ISO 13485/日本GMP）</w:t>
            </w:r>
          </w:p>
          <w:p w14:paraId="0DE70229">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临床试验方案及伦理审查文件</w:t>
            </w:r>
          </w:p>
          <w:p w14:paraId="40CA914D">
            <w:pPr>
              <w:pStyle w:val="60"/>
              <w:ind w:left="0" w:leftChars="0" w:firstLine="0" w:firstLineChars="0"/>
              <w:rPr>
                <w:sz w:val="18"/>
                <w:szCs w:val="18"/>
                <w:vertAlign w:val="baseline"/>
              </w:rPr>
            </w:pPr>
            <w:r>
              <w:rPr>
                <w:rFonts w:hint="eastAsia"/>
                <w:sz w:val="18"/>
                <w:szCs w:val="18"/>
                <w:vertAlign w:val="baseline"/>
                <w:lang w:val="en-US" w:eastAsia="zh-CN"/>
              </w:rPr>
              <w:t>4、</w:t>
            </w:r>
            <w:r>
              <w:rPr>
                <w:rFonts w:hint="eastAsia"/>
                <w:sz w:val="18"/>
                <w:szCs w:val="18"/>
                <w:vertAlign w:val="baseline"/>
              </w:rPr>
              <w:t>必要时现场 GMP 检查报告</w:t>
            </w:r>
          </w:p>
        </w:tc>
        <w:tc>
          <w:tcPr>
            <w:tcW w:w="2676" w:type="dxa"/>
          </w:tcPr>
          <w:p w14:paraId="53CCBE0E">
            <w:pPr>
              <w:pStyle w:val="60"/>
              <w:ind w:left="0" w:leftChars="0" w:firstLine="0" w:firstLineChars="0"/>
              <w:rPr>
                <w:rFonts w:hint="eastAsia"/>
                <w:sz w:val="18"/>
                <w:szCs w:val="18"/>
                <w:vertAlign w:val="baseline"/>
              </w:rPr>
            </w:pPr>
            <w:r>
              <w:rPr>
                <w:rFonts w:hint="eastAsia"/>
                <w:sz w:val="18"/>
                <w:szCs w:val="18"/>
                <w:vertAlign w:val="baseline"/>
                <w:lang w:val="en-US" w:eastAsia="zh-CN"/>
              </w:rPr>
              <w:t>1、</w:t>
            </w:r>
            <w:r>
              <w:rPr>
                <w:rFonts w:hint="eastAsia"/>
                <w:sz w:val="18"/>
                <w:szCs w:val="18"/>
                <w:vertAlign w:val="baseline"/>
              </w:rPr>
              <w:t>方案符合《药事法》要求</w:t>
            </w:r>
          </w:p>
          <w:p w14:paraId="19EA06FE">
            <w:pPr>
              <w:pStyle w:val="60"/>
              <w:ind w:left="0" w:leftChars="0" w:firstLine="0" w:firstLineChars="0"/>
              <w:rPr>
                <w:rFonts w:hint="eastAsia"/>
                <w:sz w:val="18"/>
                <w:szCs w:val="18"/>
                <w:vertAlign w:val="baseline"/>
              </w:rPr>
            </w:pPr>
            <w:r>
              <w:rPr>
                <w:rFonts w:hint="eastAsia"/>
                <w:sz w:val="18"/>
                <w:szCs w:val="18"/>
                <w:vertAlign w:val="baseline"/>
                <w:lang w:val="en-US" w:eastAsia="zh-CN"/>
              </w:rPr>
              <w:t>2、</w:t>
            </w:r>
            <w:r>
              <w:rPr>
                <w:rFonts w:hint="eastAsia"/>
                <w:sz w:val="18"/>
                <w:szCs w:val="18"/>
                <w:vertAlign w:val="baseline"/>
              </w:rPr>
              <w:t>CMC 文件需满足日本 GMP 与 ISO 13485 标准</w:t>
            </w:r>
          </w:p>
          <w:p w14:paraId="317A0F32">
            <w:pPr>
              <w:pStyle w:val="60"/>
              <w:ind w:left="0" w:leftChars="0" w:firstLine="0" w:firstLineChars="0"/>
              <w:rPr>
                <w:rFonts w:hint="eastAsia"/>
                <w:sz w:val="18"/>
                <w:szCs w:val="18"/>
                <w:vertAlign w:val="baseline"/>
              </w:rPr>
            </w:pPr>
            <w:r>
              <w:rPr>
                <w:rFonts w:hint="eastAsia"/>
                <w:sz w:val="18"/>
                <w:szCs w:val="18"/>
                <w:vertAlign w:val="baseline"/>
                <w:lang w:val="en-US" w:eastAsia="zh-CN"/>
              </w:rPr>
              <w:t>3、</w:t>
            </w:r>
            <w:r>
              <w:rPr>
                <w:rFonts w:hint="eastAsia"/>
                <w:sz w:val="18"/>
                <w:szCs w:val="18"/>
                <w:vertAlign w:val="baseline"/>
              </w:rPr>
              <w:t>高风险产品需现场审查（工厂检查）</w:t>
            </w:r>
          </w:p>
          <w:p w14:paraId="60B97F4B">
            <w:pPr>
              <w:pStyle w:val="60"/>
              <w:ind w:left="0" w:leftChars="0" w:firstLine="0" w:firstLineChars="0"/>
              <w:rPr>
                <w:sz w:val="18"/>
                <w:szCs w:val="18"/>
                <w:vertAlign w:val="baseline"/>
              </w:rPr>
            </w:pPr>
            <w:r>
              <w:rPr>
                <w:rFonts w:hint="eastAsia"/>
                <w:sz w:val="18"/>
                <w:szCs w:val="18"/>
                <w:vertAlign w:val="baseline"/>
                <w:lang w:val="en-US" w:eastAsia="zh-CN"/>
              </w:rPr>
              <w:t>4、</w:t>
            </w:r>
            <w:r>
              <w:rPr>
                <w:rFonts w:hint="eastAsia"/>
                <w:sz w:val="18"/>
                <w:szCs w:val="18"/>
                <w:vertAlign w:val="baseline"/>
              </w:rPr>
              <w:t>通过审查后由厚生劳动省颁发上市许可</w:t>
            </w:r>
          </w:p>
        </w:tc>
        <w:tc>
          <w:tcPr>
            <w:tcW w:w="2393" w:type="dxa"/>
            <w:vAlign w:val="center"/>
          </w:tcPr>
          <w:p w14:paraId="18675B34">
            <w:pPr>
              <w:pStyle w:val="60"/>
              <w:ind w:left="0" w:leftChars="0" w:firstLine="0" w:firstLineChars="0"/>
              <w:jc w:val="left"/>
              <w:rPr>
                <w:sz w:val="18"/>
                <w:szCs w:val="18"/>
                <w:vertAlign w:val="baseline"/>
              </w:rPr>
            </w:pPr>
            <w:r>
              <w:rPr>
                <w:rFonts w:hint="eastAsia"/>
                <w:sz w:val="18"/>
                <w:szCs w:val="18"/>
                <w:vertAlign w:val="baseline"/>
              </w:rPr>
              <w:t>电子提交后约 12‑18 个月完成技术审评；高风险产品现场检查时间另计</w:t>
            </w:r>
          </w:p>
        </w:tc>
      </w:tr>
      <w:tr w14:paraId="36B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14:paraId="438AD087">
            <w:pPr>
              <w:pStyle w:val="60"/>
              <w:rPr>
                <w:vertAlign w:val="baseline"/>
              </w:rPr>
            </w:pPr>
          </w:p>
        </w:tc>
        <w:tc>
          <w:tcPr>
            <w:tcW w:w="3015" w:type="dxa"/>
          </w:tcPr>
          <w:p w14:paraId="1CBC5338">
            <w:pPr>
              <w:pStyle w:val="60"/>
              <w:rPr>
                <w:vertAlign w:val="baseline"/>
              </w:rPr>
            </w:pPr>
          </w:p>
        </w:tc>
        <w:tc>
          <w:tcPr>
            <w:tcW w:w="2676" w:type="dxa"/>
          </w:tcPr>
          <w:p w14:paraId="2BB35F2A">
            <w:pPr>
              <w:pStyle w:val="60"/>
              <w:rPr>
                <w:vertAlign w:val="baseline"/>
              </w:rPr>
            </w:pPr>
          </w:p>
        </w:tc>
        <w:tc>
          <w:tcPr>
            <w:tcW w:w="2393" w:type="dxa"/>
          </w:tcPr>
          <w:p w14:paraId="3682208E">
            <w:pPr>
              <w:pStyle w:val="60"/>
              <w:rPr>
                <w:vertAlign w:val="baseline"/>
              </w:rPr>
            </w:pPr>
          </w:p>
        </w:tc>
      </w:tr>
    </w:tbl>
    <w:p w14:paraId="65EF8D15">
      <w:pPr>
        <w:pStyle w:val="60"/>
        <w:ind w:left="0" w:leftChars="0" w:firstLine="0" w:firstLineChars="0"/>
      </w:pPr>
    </w:p>
    <w:p w14:paraId="63B24999">
      <w:pPr>
        <w:pStyle w:val="60"/>
        <w:spacing w:before="120" w:beforeLines="50" w:after="120" w:afterLines="50" w:line="240" w:lineRule="auto"/>
        <w:ind w:left="0" w:leftChars="0" w:firstLine="420" w:firstLineChars="200"/>
        <w:jc w:val="both"/>
        <w:rPr>
          <w:rFonts w:hint="eastAsia"/>
          <w:lang w:val="en-US" w:eastAsia="zh-CN"/>
        </w:rPr>
      </w:pPr>
      <w:bookmarkStart w:id="106" w:name="_Toc168830341"/>
      <w:bookmarkStart w:id="107" w:name="_Toc168838097"/>
      <w:bookmarkStart w:id="108" w:name="_Toc168838068"/>
      <w:bookmarkStart w:id="109" w:name="_Toc28451"/>
      <w:bookmarkStart w:id="110" w:name="_Toc14236"/>
      <w:bookmarkStart w:id="111" w:name="_Toc32182"/>
      <w:bookmarkStart w:id="112" w:name="_Toc21683"/>
      <w:bookmarkStart w:id="113" w:name="_Toc168917574"/>
      <w:bookmarkStart w:id="114" w:name="_Toc168836470"/>
    </w:p>
    <w:p w14:paraId="63F8DCCF">
      <w:pPr>
        <w:pStyle w:val="60"/>
        <w:spacing w:before="120" w:beforeLines="50" w:after="120" w:afterLines="50" w:line="240" w:lineRule="auto"/>
        <w:ind w:left="0" w:leftChars="0" w:firstLine="420" w:firstLineChars="200"/>
        <w:jc w:val="both"/>
        <w:rPr>
          <w:rFonts w:hint="eastAsia"/>
          <w:lang w:val="en-US" w:eastAsia="zh-CN"/>
        </w:rPr>
      </w:pPr>
    </w:p>
    <w:p w14:paraId="1D7251E2">
      <w:pPr>
        <w:pStyle w:val="60"/>
        <w:spacing w:before="120" w:beforeLines="50" w:after="120" w:afterLines="50" w:line="240" w:lineRule="auto"/>
        <w:ind w:left="0" w:leftChars="0" w:firstLine="420" w:firstLineChars="200"/>
        <w:jc w:val="both"/>
        <w:rPr>
          <w:rFonts w:hint="eastAsia"/>
          <w:lang w:val="en-US" w:eastAsia="zh-CN"/>
        </w:rPr>
      </w:pPr>
    </w:p>
    <w:p w14:paraId="1C9F90D2">
      <w:pPr>
        <w:rPr>
          <w:rFonts w:ascii="黑体" w:eastAsia="黑体"/>
          <w:spacing w:val="105"/>
          <w:kern w:val="0"/>
        </w:rPr>
      </w:pPr>
      <w:r>
        <w:rPr>
          <w:rFonts w:hint="eastAsia" w:ascii="黑体" w:eastAsia="黑体"/>
          <w:spacing w:val="105"/>
          <w:kern w:val="0"/>
        </w:rPr>
        <w:br w:type="page"/>
      </w:r>
    </w:p>
    <w:p w14:paraId="3083826F">
      <w:pPr>
        <w:widowControl/>
        <w:shd w:val="clear" w:color="FFFFFF" w:fill="FFFFFF"/>
        <w:adjustRightInd/>
        <w:spacing w:before="240" w:beforeLines="100" w:after="240" w:afterLines="100" w:line="240" w:lineRule="auto"/>
        <w:jc w:val="center"/>
        <w:outlineLvl w:val="0"/>
        <w:rPr>
          <w:rFonts w:ascii="黑体" w:eastAsia="黑体"/>
          <w:kern w:val="0"/>
          <w:sz w:val="22"/>
          <w:szCs w:val="22"/>
        </w:rPr>
      </w:pPr>
      <w:bookmarkStart w:id="115" w:name="_Toc10857"/>
      <w:r>
        <w:rPr>
          <w:rFonts w:hint="eastAsia" w:ascii="黑体" w:eastAsia="黑体"/>
          <w:spacing w:val="105"/>
          <w:kern w:val="0"/>
          <w:sz w:val="22"/>
          <w:szCs w:val="22"/>
        </w:rPr>
        <w:t>参考文</w:t>
      </w:r>
      <w:r>
        <w:rPr>
          <w:rFonts w:hint="eastAsia" w:ascii="黑体" w:eastAsia="黑体"/>
          <w:kern w:val="0"/>
          <w:sz w:val="22"/>
          <w:szCs w:val="22"/>
        </w:rPr>
        <w:t>献</w:t>
      </w:r>
      <w:bookmarkEnd w:id="106"/>
      <w:bookmarkEnd w:id="107"/>
      <w:bookmarkEnd w:id="108"/>
      <w:bookmarkEnd w:id="109"/>
      <w:bookmarkEnd w:id="110"/>
      <w:bookmarkEnd w:id="111"/>
      <w:bookmarkEnd w:id="112"/>
      <w:bookmarkEnd w:id="113"/>
      <w:bookmarkEnd w:id="114"/>
      <w:bookmarkEnd w:id="115"/>
    </w:p>
    <w:p w14:paraId="7EDCCCEF">
      <w:pPr>
        <w:pStyle w:val="178"/>
        <w:numPr>
          <w:ilvl w:val="0"/>
          <w:numId w:val="36"/>
        </w:numPr>
        <w:ind w:left="-1" w:leftChars="0"/>
        <w:rPr>
          <w:rFonts w:hint="eastAsia"/>
          <w:lang w:val="en-US" w:eastAsia="zh-CN"/>
        </w:rPr>
      </w:pPr>
      <w:r>
        <w:rPr>
          <w:rFonts w:hint="eastAsia"/>
          <w:lang w:val="en-US" w:eastAsia="zh-CN"/>
        </w:rPr>
        <w:t xml:space="preserve"> 《药物临床试验质量管理规范》 国家药监局、国家卫生健康委 2020年4月</w:t>
      </w:r>
    </w:p>
    <w:p w14:paraId="7E69978D">
      <w:pPr>
        <w:pStyle w:val="178"/>
        <w:numPr>
          <w:ilvl w:val="0"/>
          <w:numId w:val="36"/>
        </w:numPr>
        <w:ind w:left="-1" w:leftChars="0"/>
        <w:rPr>
          <w:rFonts w:hint="eastAsia"/>
          <w:lang w:val="en-US" w:eastAsia="zh-CN"/>
        </w:rPr>
      </w:pPr>
      <w:r>
        <w:rPr>
          <w:rFonts w:hint="eastAsia"/>
          <w:lang w:val="en-US" w:eastAsia="zh-CN"/>
        </w:rPr>
        <w:t xml:space="preserve"> 《药物临床试验机构管理规定》 国家药监局  国家卫生健康委 2019年11月</w:t>
      </w:r>
    </w:p>
    <w:p w14:paraId="69A0BE24">
      <w:pPr>
        <w:pStyle w:val="178"/>
        <w:numPr>
          <w:ilvl w:val="0"/>
          <w:numId w:val="36"/>
        </w:numPr>
        <w:ind w:left="-1" w:leftChars="0"/>
        <w:rPr>
          <w:rFonts w:hint="eastAsia"/>
          <w:lang w:val="en-US" w:eastAsia="zh-CN"/>
        </w:rPr>
      </w:pPr>
      <w:r>
        <w:rPr>
          <w:rFonts w:hint="eastAsia"/>
          <w:lang w:val="en-US" w:eastAsia="zh-CN"/>
        </w:rPr>
        <w:t xml:space="preserve"> 《药品记录与数据管理要求(试行)》 国家药监局 2020年7月</w:t>
      </w:r>
    </w:p>
    <w:p w14:paraId="2F23961E">
      <w:pPr>
        <w:pStyle w:val="178"/>
        <w:numPr>
          <w:ilvl w:val="0"/>
          <w:numId w:val="36"/>
        </w:numPr>
        <w:ind w:left="-1" w:leftChars="0"/>
        <w:rPr>
          <w:rFonts w:hint="eastAsia"/>
          <w:lang w:val="en-US" w:eastAsia="zh-CN"/>
        </w:rPr>
      </w:pPr>
      <w:r>
        <w:rPr>
          <w:rFonts w:hint="eastAsia"/>
          <w:lang w:val="en-US" w:eastAsia="zh-CN"/>
        </w:rPr>
        <w:t xml:space="preserve"> 《药品注册核査要点与判定原则(药物临床试验)(试行)》 国家药监局核查中心 2021年12月5月</w:t>
      </w:r>
    </w:p>
    <w:p w14:paraId="50A76342">
      <w:pPr>
        <w:pStyle w:val="178"/>
        <w:numPr>
          <w:ilvl w:val="0"/>
          <w:numId w:val="36"/>
        </w:numPr>
        <w:ind w:left="-1" w:leftChars="0"/>
        <w:rPr>
          <w:rFonts w:hint="eastAsia"/>
          <w:lang w:val="en-US" w:eastAsia="zh-CN"/>
        </w:rPr>
      </w:pPr>
      <w:r>
        <w:rPr>
          <w:rFonts w:hint="eastAsia"/>
          <w:lang w:val="en-US" w:eastAsia="zh-CN"/>
        </w:rPr>
        <w:t xml:space="preserve"> 《药物临床试验机构监督检查要点及判定原则(试行)》 国家药监局核查中心.2023年11月</w:t>
      </w:r>
    </w:p>
    <w:p w14:paraId="3306CF66">
      <w:pPr>
        <w:pStyle w:val="178"/>
        <w:numPr>
          <w:ilvl w:val="0"/>
          <w:numId w:val="36"/>
        </w:numPr>
        <w:ind w:left="-1" w:leftChars="0"/>
        <w:rPr>
          <w:rFonts w:hint="default" w:eastAsia="宋体"/>
          <w:lang w:val="en-US" w:eastAsia="zh-CN"/>
        </w:rPr>
      </w:pPr>
      <w:r>
        <w:rPr>
          <w:rFonts w:hint="eastAsia"/>
          <w:lang w:val="en-US" w:eastAsia="zh-CN"/>
        </w:rPr>
        <w:t xml:space="preserve"> 《药物临床试验期间安全信息评估与管理规范(试行)》 国家药监局审评中心 2020年7月</w:t>
      </w:r>
    </w:p>
    <w:p w14:paraId="180BCD07">
      <w:pPr>
        <w:pStyle w:val="178"/>
        <w:numPr>
          <w:ilvl w:val="0"/>
          <w:numId w:val="36"/>
        </w:numPr>
        <w:ind w:left="-1" w:leftChars="0"/>
        <w:rPr>
          <w:rFonts w:hint="eastAsia"/>
          <w:lang w:val="en-US" w:eastAsia="zh-CN"/>
        </w:rPr>
      </w:pPr>
      <w:r>
        <w:rPr>
          <w:rFonts w:hint="eastAsia"/>
          <w:lang w:val="en-US" w:eastAsia="zh-CN"/>
        </w:rPr>
        <w:t xml:space="preserve"> 《药物临床试验期间方案变更技术指导原则(试行)》 国家药监局审评中心 2022年6月</w:t>
      </w:r>
    </w:p>
    <w:p w14:paraId="22FA6178">
      <w:pPr>
        <w:pStyle w:val="178"/>
        <w:numPr>
          <w:ilvl w:val="0"/>
          <w:numId w:val="36"/>
        </w:numPr>
        <w:ind w:left="-1" w:leftChars="0"/>
        <w:rPr>
          <w:rFonts w:hint="eastAsia"/>
          <w:lang w:val="en-US" w:eastAsia="zh-CN"/>
        </w:rPr>
      </w:pPr>
      <w:r>
        <w:rPr>
          <w:rFonts w:hint="eastAsia"/>
          <w:lang w:val="en-US" w:eastAsia="zh-CN"/>
        </w:rPr>
        <w:t xml:space="preserve"> 《药物临床试验数据管理与统计分析的计划和报告指导原则》 国家药监局审评中心 2016年7月</w:t>
      </w:r>
    </w:p>
    <w:p w14:paraId="4F53A028">
      <w:pPr>
        <w:pStyle w:val="178"/>
        <w:numPr>
          <w:ilvl w:val="0"/>
          <w:numId w:val="36"/>
        </w:numPr>
        <w:ind w:left="-1" w:leftChars="0"/>
        <w:rPr>
          <w:rFonts w:hint="default" w:eastAsia="宋体"/>
          <w:lang w:val="en-US" w:eastAsia="zh-CN"/>
        </w:rPr>
      </w:pPr>
      <w:r>
        <w:rPr>
          <w:rFonts w:hint="eastAsia"/>
          <w:lang w:val="en-US" w:eastAsia="zh-CN"/>
        </w:rPr>
        <w:t xml:space="preserve"> 《涉及人的生命科学和医学研究伦理审查办法》 国家卫生健康委 教育部 科技部 国家中医药局.2023年2月</w:t>
      </w:r>
    </w:p>
    <w:p w14:paraId="284537B4">
      <w:pPr>
        <w:pStyle w:val="178"/>
        <w:numPr>
          <w:ilvl w:val="0"/>
          <w:numId w:val="36"/>
        </w:numPr>
        <w:ind w:left="-1" w:leftChars="0"/>
        <w:rPr>
          <w:rFonts w:hint="eastAsia"/>
          <w:lang w:val="en-US" w:eastAsia="zh-CN"/>
        </w:rPr>
      </w:pPr>
      <w:r>
        <w:rPr>
          <w:rFonts w:hint="eastAsia"/>
          <w:lang w:val="en-US" w:eastAsia="zh-CN"/>
        </w:rPr>
        <w:t xml:space="preserve"> 《药物Ⅰ期临床试验管理指导原则》 国家药品监督管理局2025.06.20 发布</w:t>
      </w:r>
    </w:p>
    <w:p w14:paraId="342AAE97">
      <w:pPr>
        <w:pStyle w:val="178"/>
        <w:numPr>
          <w:ilvl w:val="0"/>
          <w:numId w:val="36"/>
        </w:numPr>
        <w:ind w:left="-1" w:leftChars="0"/>
        <w:rPr>
          <w:rFonts w:hint="eastAsia"/>
          <w:lang w:val="en-US" w:eastAsia="zh-CN"/>
        </w:rPr>
      </w:pPr>
      <w:r>
        <w:rPr>
          <w:rFonts w:hint="eastAsia"/>
          <w:lang w:val="en-US" w:eastAsia="zh-CN"/>
        </w:rPr>
        <w:t>《建设项目安全设施“三同时”监督管理暂行办法》</w:t>
      </w:r>
    </w:p>
    <w:p w14:paraId="6478939F">
      <w:pPr>
        <w:pStyle w:val="178"/>
        <w:numPr>
          <w:ilvl w:val="0"/>
          <w:numId w:val="36"/>
        </w:numPr>
        <w:ind w:left="-1" w:leftChars="0"/>
        <w:rPr>
          <w:rFonts w:hint="eastAsia"/>
          <w:lang w:val="en-US" w:eastAsia="zh-CN"/>
        </w:rPr>
      </w:pPr>
      <w:r>
        <w:rPr>
          <w:rFonts w:hint="eastAsia"/>
          <w:lang w:val="en-US" w:eastAsia="zh-CN"/>
        </w:rPr>
        <w:t>《建设项目环境保护管理条例》</w:t>
      </w:r>
    </w:p>
    <w:p w14:paraId="00C42085">
      <w:pPr>
        <w:pStyle w:val="178"/>
        <w:numPr>
          <w:ilvl w:val="0"/>
          <w:numId w:val="36"/>
        </w:numPr>
        <w:ind w:left="-1" w:leftChars="0"/>
        <w:rPr>
          <w:rFonts w:hint="eastAsia"/>
          <w:lang w:val="en-US" w:eastAsia="zh-CN"/>
        </w:rPr>
      </w:pPr>
      <w:r>
        <w:rPr>
          <w:rFonts w:hint="eastAsia"/>
          <w:lang w:val="en-US" w:eastAsia="zh-CN"/>
        </w:rPr>
        <w:t>《职业病防治法》</w:t>
      </w:r>
    </w:p>
    <w:p w14:paraId="7F20350D">
      <w:pPr>
        <w:pStyle w:val="178"/>
        <w:numPr>
          <w:ilvl w:val="0"/>
          <w:numId w:val="36"/>
        </w:numPr>
        <w:ind w:left="-1" w:leftChars="0"/>
        <w:rPr>
          <w:rFonts w:hint="eastAsia"/>
          <w:lang w:val="en-US" w:eastAsia="zh-CN"/>
        </w:rPr>
      </w:pPr>
      <w:r>
        <w:rPr>
          <w:rFonts w:hint="eastAsia"/>
          <w:lang w:val="en-US" w:eastAsia="zh-CN"/>
        </w:rPr>
        <w:t>《建设项目职业病防护设施“三同时”监督管理办法》</w:t>
      </w:r>
    </w:p>
    <w:p w14:paraId="1ADE162F">
      <w:pPr>
        <w:pStyle w:val="178"/>
        <w:numPr>
          <w:ilvl w:val="0"/>
          <w:numId w:val="0"/>
        </w:numPr>
        <w:jc w:val="both"/>
        <w:rPr>
          <w:rFonts w:hint="eastAsia"/>
          <w:lang w:val="en-US" w:eastAsia="zh-CN"/>
        </w:rPr>
      </w:pPr>
    </w:p>
    <w:p w14:paraId="708D1386">
      <w:pPr>
        <w:pStyle w:val="178"/>
        <w:numPr>
          <w:ilvl w:val="0"/>
          <w:numId w:val="0"/>
        </w:numPr>
        <w:jc w:val="both"/>
        <w:rPr>
          <w:rFonts w:hint="eastAsia"/>
          <w:lang w:val="en-US" w:eastAsia="zh-CN"/>
        </w:rPr>
      </w:pPr>
    </w:p>
    <w:p w14:paraId="3E78D289">
      <w:pPr>
        <w:pStyle w:val="178"/>
        <w:numPr>
          <w:ilvl w:val="0"/>
          <w:numId w:val="0"/>
        </w:numPr>
        <w:jc w:val="both"/>
        <w:rPr>
          <w:rFonts w:hint="eastAsia"/>
          <w:lang w:val="en-US" w:eastAsia="zh-CN"/>
        </w:rPr>
      </w:pPr>
    </w:p>
    <w:p w14:paraId="02615C7F">
      <w:pPr>
        <w:pStyle w:val="178"/>
        <w:numPr>
          <w:ilvl w:val="0"/>
          <w:numId w:val="0"/>
        </w:numPr>
        <w:jc w:val="both"/>
        <w:rPr>
          <w:rFonts w:hint="eastAsia"/>
          <w:lang w:val="en-US" w:eastAsia="zh-CN"/>
        </w:rPr>
      </w:pPr>
    </w:p>
    <w:p w14:paraId="31703A2A">
      <w:pPr>
        <w:pStyle w:val="178"/>
        <w:numPr>
          <w:ilvl w:val="0"/>
          <w:numId w:val="0"/>
        </w:numPr>
        <w:jc w:val="both"/>
        <w:rPr>
          <w:rFonts w:hint="eastAsia"/>
          <w:lang w:val="en-US" w:eastAsia="zh-CN"/>
        </w:rPr>
      </w:pPr>
    </w:p>
    <w:p w14:paraId="686C1C5D">
      <w:pPr>
        <w:pStyle w:val="178"/>
        <w:numPr>
          <w:ilvl w:val="0"/>
          <w:numId w:val="0"/>
        </w:numPr>
        <w:jc w:val="both"/>
        <w:rPr>
          <w:rFonts w:hint="eastAsia"/>
          <w:lang w:val="en-US" w:eastAsia="zh-CN"/>
        </w:rPr>
      </w:pPr>
    </w:p>
    <w:p w14:paraId="4B6DC470">
      <w:pPr>
        <w:pStyle w:val="178"/>
        <w:numPr>
          <w:ilvl w:val="0"/>
          <w:numId w:val="0"/>
        </w:numPr>
        <w:jc w:val="both"/>
        <w:rPr>
          <w:rFonts w:hint="eastAsia"/>
          <w:lang w:val="en-US" w:eastAsia="zh-C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1630680</wp:posOffset>
                </wp:positionH>
                <wp:positionV relativeFrom="paragraph">
                  <wp:posOffset>26035</wp:posOffset>
                </wp:positionV>
                <wp:extent cx="202374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202374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28.4pt;margin-top:2.05pt;height:0pt;width:159.35pt;z-index:251661312;mso-width-relative:page;mso-height-relative:page;" filled="f" stroked="t" coordsize="21600,21600" o:gfxdata="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uvCP1gAAAAcBAAAPAAAAAAAAAAEAIAAAACIAAABkcnMvZG93bnJldi54bWxQ&#10;SwECFAAUAAAACACHTuJAZrPN2sABAABrAwAADgAAAAAAAAABACAAAAAlAQAAZHJzL2Uyb0RvYy54&#10;bWxQSwUGAAAAAAYABgBZAQAAVwUAAAAA&#10;">
                <v:fill on="f" focussize="0,0"/>
                <v:stroke weight="1pt" color="#000000" joinstyle="round"/>
                <v:imagedata o:title=""/>
                <o:lock v:ext="edit" aspectratio="f"/>
              </v:line>
            </w:pict>
          </mc:Fallback>
        </mc:AlternateContent>
      </w:r>
    </w:p>
    <w:p w14:paraId="6FFC77DD">
      <w:pPr>
        <w:pStyle w:val="178"/>
        <w:numPr>
          <w:ilvl w:val="0"/>
          <w:numId w:val="0"/>
        </w:numPr>
        <w:jc w:val="both"/>
        <w:rPr>
          <w:rFonts w:hint="eastAsia"/>
          <w:lang w:val="en-US" w:eastAsia="zh-CN"/>
        </w:rPr>
      </w:pPr>
    </w:p>
    <w:p w14:paraId="20CC802E">
      <w:pPr>
        <w:pStyle w:val="178"/>
        <w:numPr>
          <w:ilvl w:val="0"/>
          <w:numId w:val="0"/>
        </w:numPr>
        <w:jc w:val="both"/>
        <w:rPr>
          <w:rFonts w:hint="default"/>
          <w:lang w:val="en-US" w:eastAsia="zh-CN"/>
        </w:rPr>
      </w:pPr>
      <w:bookmarkStart w:id="116" w:name="_GoBack"/>
      <w:bookmarkEnd w:id="116"/>
    </w:p>
    <w:p w14:paraId="5BE1D451">
      <w:pPr>
        <w:pStyle w:val="60"/>
      </w:pPr>
    </w:p>
    <w:p w14:paraId="5983A879">
      <w:pPr>
        <w:pStyle w:val="60"/>
      </w:pPr>
    </w:p>
    <w:p w14:paraId="2AE3158F">
      <w:pPr>
        <w:pStyle w:val="60"/>
      </w:pPr>
    </w:p>
    <w:p w14:paraId="64BEC798">
      <w:pPr>
        <w:pStyle w:val="60"/>
        <w:ind w:left="0" w:leftChars="0"/>
      </w:pPr>
    </w:p>
    <w:p w14:paraId="05FBF85A">
      <w:pPr>
        <w:pStyle w:val="60"/>
      </w:pPr>
    </w:p>
    <w:p w14:paraId="2E7337EA">
      <w:pPr>
        <w:pStyle w:val="60"/>
      </w:pPr>
    </w:p>
    <w:p w14:paraId="1534CDB9">
      <w:pPr>
        <w:pStyle w:val="60"/>
      </w:pPr>
    </w:p>
    <w:p w14:paraId="25C4F126">
      <w:pPr>
        <w:pStyle w:val="60"/>
      </w:pPr>
    </w:p>
    <w:p w14:paraId="0F640876">
      <w:pPr>
        <w:pStyle w:val="60"/>
      </w:pPr>
    </w:p>
    <w:p w14:paraId="0BA55F8D">
      <w:pPr>
        <w:pStyle w:val="60"/>
      </w:pPr>
    </w:p>
    <w:p w14:paraId="624F5F0A">
      <w:pPr>
        <w:pStyle w:val="60"/>
      </w:pPr>
    </w:p>
    <w:p w14:paraId="19FDF307">
      <w:pPr>
        <w:pStyle w:val="60"/>
      </w:pPr>
    </w:p>
    <w:p w14:paraId="3E6118B4">
      <w:pPr>
        <w:pStyle w:val="60"/>
      </w:pPr>
    </w:p>
    <w:p w14:paraId="2DFD7DF8">
      <w:pPr>
        <w:pStyle w:val="60"/>
      </w:pPr>
    </w:p>
    <w:sectPr>
      <w:headerReference r:id="rId13" w:type="default"/>
      <w:footerReference r:id="rId14" w:type="default"/>
      <w:pgSz w:w="11906" w:h="16838"/>
      <w:pgMar w:top="1928" w:right="1389" w:bottom="1134" w:left="1389"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9149">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133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D437">
    <w:pPr>
      <w:pStyle w:val="56"/>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DFB7">
    <w:pPr>
      <w:pStyle w:val="5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9D3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FE8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47E2">
    <w:pPr>
      <w:pStyle w:val="65"/>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CNDIA  XXX-2025</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0868">
    <w:pPr>
      <w:pStyle w:val="19"/>
      <w:jc w:val="right"/>
    </w:pPr>
    <w:r>
      <w:fldChar w:fldCharType="begin"/>
    </w:r>
    <w:r>
      <w:instrText xml:space="preserve"> STYLEREF  标准文件_文件编号  \* MERGEFORMAT </w:instrText>
    </w:r>
    <w:r>
      <w:fldChar w:fldCharType="separate"/>
    </w:r>
    <w:r>
      <w:t>CNDIA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7113">
    <w:pPr>
      <w:pStyle w:val="65"/>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CNDIA  XXX-2025</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F311">
    <w:pPr>
      <w:pStyle w:val="65"/>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B0CE3"/>
    <w:multiLevelType w:val="singleLevel"/>
    <w:tmpl w:val="C72B0CE3"/>
    <w:lvl w:ilvl="0" w:tentative="0">
      <w:start w:val="1"/>
      <w:numFmt w:val="lowerLetter"/>
      <w:suff w:val="nothing"/>
      <w:lvlText w:val="%1）"/>
      <w:lvlJc w:val="left"/>
    </w:lvl>
  </w:abstractNum>
  <w:abstractNum w:abstractNumId="1">
    <w:nsid w:val="012DECB9"/>
    <w:multiLevelType w:val="singleLevel"/>
    <w:tmpl w:val="012DECB9"/>
    <w:lvl w:ilvl="0" w:tentative="0">
      <w:start w:val="1"/>
      <w:numFmt w:val="lowerLetter"/>
      <w:suff w:val="nothing"/>
      <w:lvlText w:val="%1）"/>
      <w:lvlJc w:val="left"/>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8A58015"/>
    <w:multiLevelType w:val="singleLevel"/>
    <w:tmpl w:val="18A58015"/>
    <w:lvl w:ilvl="0" w:tentative="0">
      <w:start w:val="1"/>
      <w:numFmt w:val="lowerLetter"/>
      <w:suff w:val="nothing"/>
      <w:lvlText w:val="%1）"/>
      <w:lvlJc w:val="left"/>
    </w:lvl>
  </w:abstractNum>
  <w:abstractNum w:abstractNumId="10">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3754DE"/>
    <w:multiLevelType w:val="singleLevel"/>
    <w:tmpl w:val="543754DE"/>
    <w:lvl w:ilvl="0" w:tentative="0">
      <w:start w:val="1"/>
      <w:numFmt w:val="decimal"/>
      <w:suff w:val="space"/>
      <w:lvlText w:val="[%1]"/>
      <w:lvlJc w:val="left"/>
    </w:lvl>
  </w:abstractNum>
  <w:abstractNum w:abstractNumId="20">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AB31EA1"/>
    <w:multiLevelType w:val="singleLevel"/>
    <w:tmpl w:val="5AB31EA1"/>
    <w:lvl w:ilvl="0" w:tentative="0">
      <w:start w:val="1"/>
      <w:numFmt w:val="lowerLetter"/>
      <w:suff w:val="nothing"/>
      <w:lvlText w:val="%1）"/>
      <w:lvlJc w:val="left"/>
    </w:lvl>
  </w:abstractNum>
  <w:abstractNum w:abstractNumId="25">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2"/>
  </w:num>
  <w:num w:numId="3">
    <w:abstractNumId w:val="7"/>
  </w:num>
  <w:num w:numId="4">
    <w:abstractNumId w:val="28"/>
  </w:num>
  <w:num w:numId="5">
    <w:abstractNumId w:val="22"/>
  </w:num>
  <w:num w:numId="6">
    <w:abstractNumId w:val="16"/>
  </w:num>
  <w:num w:numId="7">
    <w:abstractNumId w:val="11"/>
  </w:num>
  <w:num w:numId="8">
    <w:abstractNumId w:val="5"/>
  </w:num>
  <w:num w:numId="9">
    <w:abstractNumId w:val="12"/>
  </w:num>
  <w:num w:numId="10">
    <w:abstractNumId w:val="20"/>
  </w:num>
  <w:num w:numId="11">
    <w:abstractNumId w:val="30"/>
  </w:num>
  <w:num w:numId="12">
    <w:abstractNumId w:val="14"/>
  </w:num>
  <w:num w:numId="13">
    <w:abstractNumId w:val="15"/>
  </w:num>
  <w:num w:numId="14">
    <w:abstractNumId w:val="10"/>
  </w:num>
  <w:num w:numId="15">
    <w:abstractNumId w:val="23"/>
  </w:num>
  <w:num w:numId="16">
    <w:abstractNumId w:val="26"/>
  </w:num>
  <w:num w:numId="17">
    <w:abstractNumId w:val="21"/>
  </w:num>
  <w:num w:numId="18">
    <w:abstractNumId w:val="34"/>
  </w:num>
  <w:num w:numId="19">
    <w:abstractNumId w:val="18"/>
  </w:num>
  <w:num w:numId="20">
    <w:abstractNumId w:val="3"/>
  </w:num>
  <w:num w:numId="21">
    <w:abstractNumId w:val="13"/>
  </w:num>
  <w:num w:numId="22">
    <w:abstractNumId w:val="35"/>
  </w:num>
  <w:num w:numId="23">
    <w:abstractNumId w:val="25"/>
  </w:num>
  <w:num w:numId="24">
    <w:abstractNumId w:val="8"/>
  </w:num>
  <w:num w:numId="25">
    <w:abstractNumId w:val="31"/>
  </w:num>
  <w:num w:numId="26">
    <w:abstractNumId w:val="33"/>
  </w:num>
  <w:num w:numId="27">
    <w:abstractNumId w:val="4"/>
  </w:num>
  <w:num w:numId="28">
    <w:abstractNumId w:val="6"/>
  </w:num>
  <w:num w:numId="29">
    <w:abstractNumId w:val="17"/>
  </w:num>
  <w:num w:numId="30">
    <w:abstractNumId w:val="29"/>
  </w:num>
  <w:num w:numId="31">
    <w:abstractNumId w:val="27"/>
  </w:num>
  <w:num w:numId="32">
    <w:abstractNumId w:val="24"/>
  </w:num>
  <w:num w:numId="33">
    <w:abstractNumId w:val="1"/>
  </w:num>
  <w:num w:numId="34">
    <w:abstractNumId w:val="0"/>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4EE2"/>
    <w:rsid w:val="00007B3A"/>
    <w:rsid w:val="000107E0"/>
    <w:rsid w:val="00011FDE"/>
    <w:rsid w:val="00012FFD"/>
    <w:rsid w:val="00014162"/>
    <w:rsid w:val="00014340"/>
    <w:rsid w:val="00016A9C"/>
    <w:rsid w:val="00016F14"/>
    <w:rsid w:val="00022184"/>
    <w:rsid w:val="00022762"/>
    <w:rsid w:val="000238E0"/>
    <w:rsid w:val="000247B2"/>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0DEC"/>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17346"/>
    <w:rsid w:val="00124E4F"/>
    <w:rsid w:val="001260B7"/>
    <w:rsid w:val="001265CB"/>
    <w:rsid w:val="001321C6"/>
    <w:rsid w:val="001325C4"/>
    <w:rsid w:val="00132822"/>
    <w:rsid w:val="00133010"/>
    <w:rsid w:val="001338EE"/>
    <w:rsid w:val="00133AAE"/>
    <w:rsid w:val="00135323"/>
    <w:rsid w:val="001356A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EEE"/>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A9A"/>
    <w:rsid w:val="0019348F"/>
    <w:rsid w:val="00193A07"/>
    <w:rsid w:val="00194C95"/>
    <w:rsid w:val="00194E3A"/>
    <w:rsid w:val="00195C34"/>
    <w:rsid w:val="00196EF5"/>
    <w:rsid w:val="001A1A53"/>
    <w:rsid w:val="001A234A"/>
    <w:rsid w:val="001A4CF3"/>
    <w:rsid w:val="001A6696"/>
    <w:rsid w:val="001B06E8"/>
    <w:rsid w:val="001B1EA8"/>
    <w:rsid w:val="001B4F64"/>
    <w:rsid w:val="001B71D0"/>
    <w:rsid w:val="001B71EE"/>
    <w:rsid w:val="001C04A8"/>
    <w:rsid w:val="001C287A"/>
    <w:rsid w:val="001C2C03"/>
    <w:rsid w:val="001C3A2B"/>
    <w:rsid w:val="001C42F7"/>
    <w:rsid w:val="001C49E5"/>
    <w:rsid w:val="001C680C"/>
    <w:rsid w:val="001C6AE1"/>
    <w:rsid w:val="001C7FEA"/>
    <w:rsid w:val="001D0499"/>
    <w:rsid w:val="001D0BBE"/>
    <w:rsid w:val="001D0ED4"/>
    <w:rsid w:val="001D212F"/>
    <w:rsid w:val="001D29D7"/>
    <w:rsid w:val="001D2DE7"/>
    <w:rsid w:val="001D411C"/>
    <w:rsid w:val="001E1B6A"/>
    <w:rsid w:val="001E2484"/>
    <w:rsid w:val="001E2488"/>
    <w:rsid w:val="001E3CC4"/>
    <w:rsid w:val="001E4882"/>
    <w:rsid w:val="001E72CF"/>
    <w:rsid w:val="001E73AB"/>
    <w:rsid w:val="001F092D"/>
    <w:rsid w:val="001F0A91"/>
    <w:rsid w:val="001F143A"/>
    <w:rsid w:val="001F1605"/>
    <w:rsid w:val="001F1C50"/>
    <w:rsid w:val="001F2508"/>
    <w:rsid w:val="001F4816"/>
    <w:rsid w:val="001F69B4"/>
    <w:rsid w:val="001F77C7"/>
    <w:rsid w:val="00200183"/>
    <w:rsid w:val="00200333"/>
    <w:rsid w:val="0020107D"/>
    <w:rsid w:val="002022A2"/>
    <w:rsid w:val="00202AA4"/>
    <w:rsid w:val="002031F7"/>
    <w:rsid w:val="00203C02"/>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2D6D"/>
    <w:rsid w:val="00263D25"/>
    <w:rsid w:val="002643C3"/>
    <w:rsid w:val="00264A0C"/>
    <w:rsid w:val="00264C77"/>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4AD9"/>
    <w:rsid w:val="002C5278"/>
    <w:rsid w:val="002C7EBB"/>
    <w:rsid w:val="002D06C1"/>
    <w:rsid w:val="002D42B5"/>
    <w:rsid w:val="002D4F1A"/>
    <w:rsid w:val="002D6EC6"/>
    <w:rsid w:val="002D73AE"/>
    <w:rsid w:val="002D79AC"/>
    <w:rsid w:val="002E039D"/>
    <w:rsid w:val="002E4D5A"/>
    <w:rsid w:val="002E6326"/>
    <w:rsid w:val="002F2461"/>
    <w:rsid w:val="002F30E0"/>
    <w:rsid w:val="002F35E4"/>
    <w:rsid w:val="002F3730"/>
    <w:rsid w:val="002F38E1"/>
    <w:rsid w:val="002F7AF6"/>
    <w:rsid w:val="00300E63"/>
    <w:rsid w:val="00302F5F"/>
    <w:rsid w:val="00303370"/>
    <w:rsid w:val="0030441D"/>
    <w:rsid w:val="00306063"/>
    <w:rsid w:val="00313B85"/>
    <w:rsid w:val="00317988"/>
    <w:rsid w:val="003221B4"/>
    <w:rsid w:val="0032258D"/>
    <w:rsid w:val="00322E62"/>
    <w:rsid w:val="00324D13"/>
    <w:rsid w:val="00324EDD"/>
    <w:rsid w:val="00325DEB"/>
    <w:rsid w:val="00327318"/>
    <w:rsid w:val="003331E4"/>
    <w:rsid w:val="00336C64"/>
    <w:rsid w:val="00337162"/>
    <w:rsid w:val="0034194F"/>
    <w:rsid w:val="00344605"/>
    <w:rsid w:val="00344643"/>
    <w:rsid w:val="003474AA"/>
    <w:rsid w:val="00350D1D"/>
    <w:rsid w:val="00352C83"/>
    <w:rsid w:val="00352F1A"/>
    <w:rsid w:val="0036107C"/>
    <w:rsid w:val="003615D2"/>
    <w:rsid w:val="00363AEF"/>
    <w:rsid w:val="0036429C"/>
    <w:rsid w:val="00364A53"/>
    <w:rsid w:val="003654CB"/>
    <w:rsid w:val="00365AA9"/>
    <w:rsid w:val="00365F86"/>
    <w:rsid w:val="00365F87"/>
    <w:rsid w:val="00366E89"/>
    <w:rsid w:val="003705A0"/>
    <w:rsid w:val="003705F4"/>
    <w:rsid w:val="00370D58"/>
    <w:rsid w:val="00371316"/>
    <w:rsid w:val="00372092"/>
    <w:rsid w:val="003738A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46E"/>
    <w:rsid w:val="003B0119"/>
    <w:rsid w:val="003B09AD"/>
    <w:rsid w:val="003B0F31"/>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AA3"/>
    <w:rsid w:val="003E1C53"/>
    <w:rsid w:val="003E2A69"/>
    <w:rsid w:val="003E2D49"/>
    <w:rsid w:val="003E2FD4"/>
    <w:rsid w:val="003E49F6"/>
    <w:rsid w:val="003E53ED"/>
    <w:rsid w:val="003E623E"/>
    <w:rsid w:val="003E660F"/>
    <w:rsid w:val="003F0841"/>
    <w:rsid w:val="003F23D3"/>
    <w:rsid w:val="003F3F08"/>
    <w:rsid w:val="003F49F1"/>
    <w:rsid w:val="003F6272"/>
    <w:rsid w:val="00400E72"/>
    <w:rsid w:val="00401400"/>
    <w:rsid w:val="00404869"/>
    <w:rsid w:val="00405884"/>
    <w:rsid w:val="00406077"/>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4A8"/>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942FF"/>
    <w:rsid w:val="00497F8B"/>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17D"/>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4F78CE"/>
    <w:rsid w:val="00500354"/>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7E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72F"/>
    <w:rsid w:val="00561475"/>
    <w:rsid w:val="00562308"/>
    <w:rsid w:val="0056487B"/>
    <w:rsid w:val="00564FB9"/>
    <w:rsid w:val="00565331"/>
    <w:rsid w:val="00573D9E"/>
    <w:rsid w:val="005752FE"/>
    <w:rsid w:val="005801E3"/>
    <w:rsid w:val="00581802"/>
    <w:rsid w:val="005836A8"/>
    <w:rsid w:val="0058409C"/>
    <w:rsid w:val="00584262"/>
    <w:rsid w:val="00585C2D"/>
    <w:rsid w:val="00586630"/>
    <w:rsid w:val="00587ADD"/>
    <w:rsid w:val="005914B0"/>
    <w:rsid w:val="00593A49"/>
    <w:rsid w:val="00596160"/>
    <w:rsid w:val="005966E2"/>
    <w:rsid w:val="00597007"/>
    <w:rsid w:val="00597697"/>
    <w:rsid w:val="00597C6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46AB"/>
    <w:rsid w:val="005E6812"/>
    <w:rsid w:val="005E7881"/>
    <w:rsid w:val="005E78E0"/>
    <w:rsid w:val="005F038D"/>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27347"/>
    <w:rsid w:val="00632182"/>
    <w:rsid w:val="0063261D"/>
    <w:rsid w:val="00632AE0"/>
    <w:rsid w:val="00633C17"/>
    <w:rsid w:val="00634D9E"/>
    <w:rsid w:val="00636E3E"/>
    <w:rsid w:val="006379F7"/>
    <w:rsid w:val="00637E4D"/>
    <w:rsid w:val="00640620"/>
    <w:rsid w:val="006408C2"/>
    <w:rsid w:val="00641A1F"/>
    <w:rsid w:val="00644EBF"/>
    <w:rsid w:val="00645904"/>
    <w:rsid w:val="00651ACB"/>
    <w:rsid w:val="00651C47"/>
    <w:rsid w:val="00652AB2"/>
    <w:rsid w:val="00653FED"/>
    <w:rsid w:val="00654EC0"/>
    <w:rsid w:val="0065525B"/>
    <w:rsid w:val="00655D4F"/>
    <w:rsid w:val="00656D29"/>
    <w:rsid w:val="00656DFA"/>
    <w:rsid w:val="006640E5"/>
    <w:rsid w:val="006646F1"/>
    <w:rsid w:val="00664929"/>
    <w:rsid w:val="00664F62"/>
    <w:rsid w:val="006655E1"/>
    <w:rsid w:val="00672060"/>
    <w:rsid w:val="00672BFD"/>
    <w:rsid w:val="006770F4"/>
    <w:rsid w:val="00677A84"/>
    <w:rsid w:val="0068026D"/>
    <w:rsid w:val="00680A27"/>
    <w:rsid w:val="00680E91"/>
    <w:rsid w:val="0068156A"/>
    <w:rsid w:val="006816A4"/>
    <w:rsid w:val="006819B8"/>
    <w:rsid w:val="006840A6"/>
    <w:rsid w:val="006850CD"/>
    <w:rsid w:val="00685AAB"/>
    <w:rsid w:val="006926C1"/>
    <w:rsid w:val="006A07AA"/>
    <w:rsid w:val="006A25E5"/>
    <w:rsid w:val="006A2B46"/>
    <w:rsid w:val="006A336D"/>
    <w:rsid w:val="006A37B9"/>
    <w:rsid w:val="006A48AE"/>
    <w:rsid w:val="006A543D"/>
    <w:rsid w:val="006A56F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22F"/>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7D5"/>
    <w:rsid w:val="00746800"/>
    <w:rsid w:val="007501A8"/>
    <w:rsid w:val="00750D61"/>
    <w:rsid w:val="00750EE1"/>
    <w:rsid w:val="00752B4D"/>
    <w:rsid w:val="00755402"/>
    <w:rsid w:val="00756B26"/>
    <w:rsid w:val="00756EDF"/>
    <w:rsid w:val="00757BCE"/>
    <w:rsid w:val="007600E3"/>
    <w:rsid w:val="00765C43"/>
    <w:rsid w:val="00765EFB"/>
    <w:rsid w:val="007671CA"/>
    <w:rsid w:val="00767C61"/>
    <w:rsid w:val="0077008A"/>
    <w:rsid w:val="00773C1F"/>
    <w:rsid w:val="00774DA4"/>
    <w:rsid w:val="00776599"/>
    <w:rsid w:val="007803F6"/>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33C"/>
    <w:rsid w:val="007B7453"/>
    <w:rsid w:val="007C2D89"/>
    <w:rsid w:val="007C4593"/>
    <w:rsid w:val="007C5309"/>
    <w:rsid w:val="007C6069"/>
    <w:rsid w:val="007D06C4"/>
    <w:rsid w:val="007D1352"/>
    <w:rsid w:val="007D2508"/>
    <w:rsid w:val="007D346A"/>
    <w:rsid w:val="007D6518"/>
    <w:rsid w:val="007D6FC9"/>
    <w:rsid w:val="007D76BD"/>
    <w:rsid w:val="007E0BF1"/>
    <w:rsid w:val="007F013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52B"/>
    <w:rsid w:val="00872F39"/>
    <w:rsid w:val="00883F93"/>
    <w:rsid w:val="00884DB3"/>
    <w:rsid w:val="00885A9D"/>
    <w:rsid w:val="008864F6"/>
    <w:rsid w:val="0089049D"/>
    <w:rsid w:val="00891660"/>
    <w:rsid w:val="008928C9"/>
    <w:rsid w:val="008930CB"/>
    <w:rsid w:val="008938DC"/>
    <w:rsid w:val="00893FD1"/>
    <w:rsid w:val="00894836"/>
    <w:rsid w:val="00894F72"/>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13D"/>
    <w:rsid w:val="008B5281"/>
    <w:rsid w:val="008B6950"/>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196"/>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5A8B"/>
    <w:rsid w:val="009062E6"/>
    <w:rsid w:val="0091114C"/>
    <w:rsid w:val="00911BE5"/>
    <w:rsid w:val="00913CA9"/>
    <w:rsid w:val="009145AE"/>
    <w:rsid w:val="009146CE"/>
    <w:rsid w:val="00914CA7"/>
    <w:rsid w:val="00915C3E"/>
    <w:rsid w:val="009161A8"/>
    <w:rsid w:val="009245AE"/>
    <w:rsid w:val="009245F5"/>
    <w:rsid w:val="009249EC"/>
    <w:rsid w:val="009273B3"/>
    <w:rsid w:val="009305B5"/>
    <w:rsid w:val="009378DD"/>
    <w:rsid w:val="00942039"/>
    <w:rsid w:val="0094250D"/>
    <w:rsid w:val="009429D5"/>
    <w:rsid w:val="00942BF1"/>
    <w:rsid w:val="00945180"/>
    <w:rsid w:val="00945428"/>
    <w:rsid w:val="009457BD"/>
    <w:rsid w:val="0094607B"/>
    <w:rsid w:val="00953604"/>
    <w:rsid w:val="0095496B"/>
    <w:rsid w:val="00960F1E"/>
    <w:rsid w:val="009610DC"/>
    <w:rsid w:val="00961490"/>
    <w:rsid w:val="0096381A"/>
    <w:rsid w:val="00964B0D"/>
    <w:rsid w:val="00964F7C"/>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020"/>
    <w:rsid w:val="00A3367B"/>
    <w:rsid w:val="00A33C67"/>
    <w:rsid w:val="00A34421"/>
    <w:rsid w:val="00A3597D"/>
    <w:rsid w:val="00A36DD1"/>
    <w:rsid w:val="00A4006C"/>
    <w:rsid w:val="00A40091"/>
    <w:rsid w:val="00A4030F"/>
    <w:rsid w:val="00A41C79"/>
    <w:rsid w:val="00A41CB5"/>
    <w:rsid w:val="00A4232B"/>
    <w:rsid w:val="00A42CDF"/>
    <w:rsid w:val="00A4452E"/>
    <w:rsid w:val="00A4472C"/>
    <w:rsid w:val="00A44E69"/>
    <w:rsid w:val="00A4661E"/>
    <w:rsid w:val="00A467FB"/>
    <w:rsid w:val="00A55BD6"/>
    <w:rsid w:val="00A55D50"/>
    <w:rsid w:val="00A57142"/>
    <w:rsid w:val="00A648CD"/>
    <w:rsid w:val="00A6537A"/>
    <w:rsid w:val="00A67866"/>
    <w:rsid w:val="00A67C19"/>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1E7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9CD"/>
    <w:rsid w:val="00AE5EB4"/>
    <w:rsid w:val="00AF0C18"/>
    <w:rsid w:val="00AF47C5"/>
    <w:rsid w:val="00AF5398"/>
    <w:rsid w:val="00AF7548"/>
    <w:rsid w:val="00B034ED"/>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90D"/>
    <w:rsid w:val="00B6242E"/>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0600"/>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0655"/>
    <w:rsid w:val="00BD52D7"/>
    <w:rsid w:val="00BD5AD2"/>
    <w:rsid w:val="00BE22F3"/>
    <w:rsid w:val="00BE5B52"/>
    <w:rsid w:val="00BE7B8D"/>
    <w:rsid w:val="00BF0993"/>
    <w:rsid w:val="00BF10A9"/>
    <w:rsid w:val="00BF1703"/>
    <w:rsid w:val="00BF231C"/>
    <w:rsid w:val="00BF51E5"/>
    <w:rsid w:val="00BF74A6"/>
    <w:rsid w:val="00C013AD"/>
    <w:rsid w:val="00C01C29"/>
    <w:rsid w:val="00C04904"/>
    <w:rsid w:val="00C056B3"/>
    <w:rsid w:val="00C103E5"/>
    <w:rsid w:val="00C13319"/>
    <w:rsid w:val="00C13EE9"/>
    <w:rsid w:val="00C21540"/>
    <w:rsid w:val="00C21906"/>
    <w:rsid w:val="00C21BFA"/>
    <w:rsid w:val="00C24C8D"/>
    <w:rsid w:val="00C25FE2"/>
    <w:rsid w:val="00C26B53"/>
    <w:rsid w:val="00C279B2"/>
    <w:rsid w:val="00C31D71"/>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03"/>
    <w:rsid w:val="00C71372"/>
    <w:rsid w:val="00C72410"/>
    <w:rsid w:val="00C7287F"/>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3F0"/>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E00"/>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0E2D"/>
    <w:rsid w:val="00D926D0"/>
    <w:rsid w:val="00D93030"/>
    <w:rsid w:val="00D930FF"/>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971"/>
    <w:rsid w:val="00E01138"/>
    <w:rsid w:val="00E02DFB"/>
    <w:rsid w:val="00E030F9"/>
    <w:rsid w:val="00E0311A"/>
    <w:rsid w:val="00E03138"/>
    <w:rsid w:val="00E0360C"/>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1ABD"/>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B36"/>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1738D"/>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315D"/>
    <w:rsid w:val="00F6412A"/>
    <w:rsid w:val="00F65893"/>
    <w:rsid w:val="00F66976"/>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0EE4"/>
    <w:rsid w:val="00FF3E7D"/>
    <w:rsid w:val="00FF5B99"/>
    <w:rsid w:val="00FF5D6A"/>
    <w:rsid w:val="00FF730C"/>
    <w:rsid w:val="00FF73F4"/>
    <w:rsid w:val="00FF7CE4"/>
    <w:rsid w:val="00FF7E39"/>
    <w:rsid w:val="010E050E"/>
    <w:rsid w:val="016B748F"/>
    <w:rsid w:val="01987BC5"/>
    <w:rsid w:val="01993A39"/>
    <w:rsid w:val="01B47915"/>
    <w:rsid w:val="0284231A"/>
    <w:rsid w:val="046C15DD"/>
    <w:rsid w:val="04C57393"/>
    <w:rsid w:val="04EC4BF5"/>
    <w:rsid w:val="05196812"/>
    <w:rsid w:val="052B7D45"/>
    <w:rsid w:val="07A56C11"/>
    <w:rsid w:val="07BE57CA"/>
    <w:rsid w:val="080725D8"/>
    <w:rsid w:val="087C0159"/>
    <w:rsid w:val="08AA0601"/>
    <w:rsid w:val="08BB636A"/>
    <w:rsid w:val="08FD6304"/>
    <w:rsid w:val="098C59DB"/>
    <w:rsid w:val="09B43B5A"/>
    <w:rsid w:val="0ACF55A6"/>
    <w:rsid w:val="0B036205"/>
    <w:rsid w:val="0C1321E5"/>
    <w:rsid w:val="0C3F34B0"/>
    <w:rsid w:val="0CF77DD0"/>
    <w:rsid w:val="0DF370DA"/>
    <w:rsid w:val="0E570D75"/>
    <w:rsid w:val="0E692597"/>
    <w:rsid w:val="0E8432DB"/>
    <w:rsid w:val="0F2113F9"/>
    <w:rsid w:val="103B4960"/>
    <w:rsid w:val="1125116C"/>
    <w:rsid w:val="122071C2"/>
    <w:rsid w:val="122A111A"/>
    <w:rsid w:val="128911EC"/>
    <w:rsid w:val="12A84D03"/>
    <w:rsid w:val="12B0001A"/>
    <w:rsid w:val="13723984"/>
    <w:rsid w:val="15912EE2"/>
    <w:rsid w:val="164910B1"/>
    <w:rsid w:val="16B14EEA"/>
    <w:rsid w:val="16BE1E47"/>
    <w:rsid w:val="170A4468"/>
    <w:rsid w:val="17325833"/>
    <w:rsid w:val="18D56FD4"/>
    <w:rsid w:val="190C5DF0"/>
    <w:rsid w:val="19557946"/>
    <w:rsid w:val="1A59061A"/>
    <w:rsid w:val="1B164BDF"/>
    <w:rsid w:val="1B2136A9"/>
    <w:rsid w:val="1B7F7EF0"/>
    <w:rsid w:val="1C51112F"/>
    <w:rsid w:val="1D8E3EED"/>
    <w:rsid w:val="1DFE022D"/>
    <w:rsid w:val="1E3A3144"/>
    <w:rsid w:val="1FCD6C57"/>
    <w:rsid w:val="20895C0A"/>
    <w:rsid w:val="20E7201B"/>
    <w:rsid w:val="21ED244C"/>
    <w:rsid w:val="23FA0B23"/>
    <w:rsid w:val="23FC3148"/>
    <w:rsid w:val="24073D32"/>
    <w:rsid w:val="24A3744C"/>
    <w:rsid w:val="258C1DAC"/>
    <w:rsid w:val="25EF1383"/>
    <w:rsid w:val="26647BE9"/>
    <w:rsid w:val="268E3F77"/>
    <w:rsid w:val="26977FBF"/>
    <w:rsid w:val="28334F8F"/>
    <w:rsid w:val="287E6765"/>
    <w:rsid w:val="28992FFF"/>
    <w:rsid w:val="28EC3206"/>
    <w:rsid w:val="292E501E"/>
    <w:rsid w:val="29884CF4"/>
    <w:rsid w:val="2A461749"/>
    <w:rsid w:val="2AA97A92"/>
    <w:rsid w:val="2AF545D4"/>
    <w:rsid w:val="2C6426F1"/>
    <w:rsid w:val="2CAF6745"/>
    <w:rsid w:val="2FFB3C85"/>
    <w:rsid w:val="308573DC"/>
    <w:rsid w:val="30947D51"/>
    <w:rsid w:val="30F629C1"/>
    <w:rsid w:val="31E45155"/>
    <w:rsid w:val="31F16D0B"/>
    <w:rsid w:val="32AD4288"/>
    <w:rsid w:val="33981726"/>
    <w:rsid w:val="33A327C1"/>
    <w:rsid w:val="33B20A5C"/>
    <w:rsid w:val="34642AAA"/>
    <w:rsid w:val="34777D8C"/>
    <w:rsid w:val="348036A6"/>
    <w:rsid w:val="3748030D"/>
    <w:rsid w:val="3748158D"/>
    <w:rsid w:val="374B61CE"/>
    <w:rsid w:val="37ED3400"/>
    <w:rsid w:val="383025FB"/>
    <w:rsid w:val="38CF183A"/>
    <w:rsid w:val="3910280C"/>
    <w:rsid w:val="39155CC9"/>
    <w:rsid w:val="3B523786"/>
    <w:rsid w:val="3B56363E"/>
    <w:rsid w:val="3B607CF1"/>
    <w:rsid w:val="3F314A01"/>
    <w:rsid w:val="3F7B14F3"/>
    <w:rsid w:val="3F9532BE"/>
    <w:rsid w:val="3FA252BF"/>
    <w:rsid w:val="3FC75EE2"/>
    <w:rsid w:val="3FF9372A"/>
    <w:rsid w:val="4001677D"/>
    <w:rsid w:val="40172062"/>
    <w:rsid w:val="40CD2972"/>
    <w:rsid w:val="41A72FB3"/>
    <w:rsid w:val="41D149D7"/>
    <w:rsid w:val="41DD17D5"/>
    <w:rsid w:val="42362E9B"/>
    <w:rsid w:val="43353C00"/>
    <w:rsid w:val="43924233"/>
    <w:rsid w:val="440E3217"/>
    <w:rsid w:val="4444652F"/>
    <w:rsid w:val="456D30C8"/>
    <w:rsid w:val="458326D3"/>
    <w:rsid w:val="45A84FAE"/>
    <w:rsid w:val="46963362"/>
    <w:rsid w:val="46C55490"/>
    <w:rsid w:val="476B4D08"/>
    <w:rsid w:val="48877A3B"/>
    <w:rsid w:val="489D100D"/>
    <w:rsid w:val="48AF6243"/>
    <w:rsid w:val="4AFB5E83"/>
    <w:rsid w:val="4B1C37DE"/>
    <w:rsid w:val="4B3C2D5F"/>
    <w:rsid w:val="4B7F0E9E"/>
    <w:rsid w:val="4C7373E6"/>
    <w:rsid w:val="4DB03BA8"/>
    <w:rsid w:val="4DCB56CC"/>
    <w:rsid w:val="4E4C0E5D"/>
    <w:rsid w:val="4E5B3ECA"/>
    <w:rsid w:val="4E7E368F"/>
    <w:rsid w:val="4E896FED"/>
    <w:rsid w:val="4E9A4D49"/>
    <w:rsid w:val="4E9A6468"/>
    <w:rsid w:val="4ED3131A"/>
    <w:rsid w:val="4EFF3F87"/>
    <w:rsid w:val="4FEF7A8B"/>
    <w:rsid w:val="50BA30B4"/>
    <w:rsid w:val="51DB755E"/>
    <w:rsid w:val="522A2D0E"/>
    <w:rsid w:val="529B0E68"/>
    <w:rsid w:val="52D54783"/>
    <w:rsid w:val="531C1107"/>
    <w:rsid w:val="53A64550"/>
    <w:rsid w:val="549459BA"/>
    <w:rsid w:val="54A96DB1"/>
    <w:rsid w:val="54AB5E7C"/>
    <w:rsid w:val="55114E77"/>
    <w:rsid w:val="569945BB"/>
    <w:rsid w:val="580A2639"/>
    <w:rsid w:val="580B3EC6"/>
    <w:rsid w:val="5868739E"/>
    <w:rsid w:val="58EE2CEB"/>
    <w:rsid w:val="596A7BB9"/>
    <w:rsid w:val="59D51F95"/>
    <w:rsid w:val="5A0F529C"/>
    <w:rsid w:val="5A675D60"/>
    <w:rsid w:val="5ADA0D98"/>
    <w:rsid w:val="5B505D59"/>
    <w:rsid w:val="5B9444F1"/>
    <w:rsid w:val="5CC833B7"/>
    <w:rsid w:val="5D223DFD"/>
    <w:rsid w:val="5D41204B"/>
    <w:rsid w:val="5D4A7347"/>
    <w:rsid w:val="5F073CE9"/>
    <w:rsid w:val="5FD451C6"/>
    <w:rsid w:val="60A26C20"/>
    <w:rsid w:val="61211C61"/>
    <w:rsid w:val="6148415E"/>
    <w:rsid w:val="61B62957"/>
    <w:rsid w:val="629A7E7C"/>
    <w:rsid w:val="65D516DC"/>
    <w:rsid w:val="65E43AC3"/>
    <w:rsid w:val="66C56D67"/>
    <w:rsid w:val="6751773B"/>
    <w:rsid w:val="676549FF"/>
    <w:rsid w:val="67A21D44"/>
    <w:rsid w:val="68485D02"/>
    <w:rsid w:val="68816CFD"/>
    <w:rsid w:val="6884759F"/>
    <w:rsid w:val="69A519D1"/>
    <w:rsid w:val="6A126B36"/>
    <w:rsid w:val="6A3C3266"/>
    <w:rsid w:val="6C0060C2"/>
    <w:rsid w:val="6C1C60E5"/>
    <w:rsid w:val="6CC51F3F"/>
    <w:rsid w:val="6D402B26"/>
    <w:rsid w:val="6E02353D"/>
    <w:rsid w:val="6E6B692F"/>
    <w:rsid w:val="6EA45732"/>
    <w:rsid w:val="6EA629A9"/>
    <w:rsid w:val="6EBC7B8F"/>
    <w:rsid w:val="70514DF9"/>
    <w:rsid w:val="70744EAA"/>
    <w:rsid w:val="721866B6"/>
    <w:rsid w:val="727918F3"/>
    <w:rsid w:val="74AA64B4"/>
    <w:rsid w:val="74F64E88"/>
    <w:rsid w:val="7632699D"/>
    <w:rsid w:val="773B7115"/>
    <w:rsid w:val="77AA2491"/>
    <w:rsid w:val="78360DC6"/>
    <w:rsid w:val="78614A98"/>
    <w:rsid w:val="78CE31F6"/>
    <w:rsid w:val="78D4396D"/>
    <w:rsid w:val="794644CA"/>
    <w:rsid w:val="7B82326D"/>
    <w:rsid w:val="7B83219C"/>
    <w:rsid w:val="7CCF5D03"/>
    <w:rsid w:val="7CFC277A"/>
    <w:rsid w:val="7D5A5F2C"/>
    <w:rsid w:val="7DFF53A3"/>
    <w:rsid w:val="7E2D457B"/>
    <w:rsid w:val="7E3D18A1"/>
    <w:rsid w:val="7E5E1385"/>
    <w:rsid w:val="7E9A1511"/>
    <w:rsid w:val="7EBA751C"/>
    <w:rsid w:val="7F013D21"/>
    <w:rsid w:val="7F5130CD"/>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kern w:val="2"/>
      <w:sz w:val="18"/>
      <w:szCs w:val="18"/>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spacing w:line="276" w:lineRule="auto"/>
      <w:ind w:left="470" w:leftChars="224"/>
    </w:pPr>
    <w:rPr>
      <w:rFonts w:ascii="Times New Roman"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120" w:beforeLines="50" w:after="120" w:afterLines="50"/>
      <w:outlineLvl w:val="1"/>
    </w:pPr>
    <w:rPr>
      <w:rFonts w:ascii="Times New Roman"/>
    </w:r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pPr>
    <w:rPr>
      <w:rFonts w:cs="Arial"/>
      <w:szCs w:val="28"/>
    </w:rPr>
  </w:style>
  <w:style w:type="paragraph" w:customStyle="1" w:styleId="173">
    <w:name w:val="标准文件_小写罗马数字编号列项"/>
    <w:basedOn w:val="60"/>
    <w:autoRedefine/>
    <w:qFormat/>
    <w:uiPriority w:val="0"/>
    <w:pPr>
      <w:numPr>
        <w:ilvl w:val="0"/>
        <w:numId w:val="24"/>
      </w:numPr>
      <w:ind w:firstLine="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jc w:val="center"/>
    </w:pPr>
    <w:rPr>
      <w:sz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firstLine="0"/>
    </w:pPr>
  </w:style>
  <w:style w:type="paragraph" w:customStyle="1" w:styleId="192">
    <w:name w:val="标准文件_三级项2"/>
    <w:basedOn w:val="60"/>
    <w:autoRedefine/>
    <w:qFormat/>
    <w:uiPriority w:val="0"/>
    <w:pPr>
      <w:numPr>
        <w:ilvl w:val="0"/>
        <w:numId w:val="30"/>
      </w:numPr>
      <w:spacing w:line="300" w:lineRule="exact"/>
    </w:pPr>
  </w:style>
  <w:style w:type="paragraph" w:customStyle="1" w:styleId="193">
    <w:name w:val="标准文件_一级项2"/>
    <w:basedOn w:val="60"/>
    <w:autoRedefine/>
    <w:qFormat/>
    <w:uiPriority w:val="0"/>
    <w:pPr>
      <w:numPr>
        <w:ilvl w:val="0"/>
        <w:numId w:val="31"/>
      </w:numPr>
      <w:spacing w:line="300" w:lineRule="exact"/>
    </w:p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pPr>
    <w:rPr>
      <w:rFonts w:ascii="黑体" w:eastAsia="黑体"/>
    </w:rPr>
  </w:style>
  <w:style w:type="paragraph" w:customStyle="1" w:styleId="209">
    <w:name w:val="标准文件_注后"/>
    <w:basedOn w:val="60"/>
    <w:autoRedefine/>
    <w:qFormat/>
    <w:uiPriority w:val="0"/>
    <w:pPr>
      <w:ind w:left="811"/>
    </w:pPr>
    <w:rPr>
      <w:sz w:val="18"/>
    </w:rPr>
  </w:style>
  <w:style w:type="paragraph" w:customStyle="1" w:styleId="210">
    <w:name w:val="标准文件_注X后"/>
    <w:basedOn w:val="60"/>
    <w:autoRedefine/>
    <w:qFormat/>
    <w:uiPriority w:val="0"/>
    <w:pPr>
      <w:ind w:left="811"/>
    </w:pPr>
    <w:rPr>
      <w:sz w:val="18"/>
    </w:rPr>
  </w:style>
  <w:style w:type="paragraph" w:customStyle="1" w:styleId="211">
    <w:name w:val="标准文件_示例后"/>
    <w:basedOn w:val="60"/>
    <w:autoRedefine/>
    <w:qFormat/>
    <w:uiPriority w:val="0"/>
    <w:pPr>
      <w:ind w:left="964"/>
    </w:pPr>
    <w:rPr>
      <w:sz w:val="18"/>
    </w:rPr>
  </w:style>
  <w:style w:type="paragraph" w:customStyle="1" w:styleId="212">
    <w:name w:val="标准文件_示例X后"/>
    <w:basedOn w:val="60"/>
    <w:link w:val="213"/>
    <w:autoRedefine/>
    <w:qFormat/>
    <w:uiPriority w:val="0"/>
    <w:pPr>
      <w:ind w:left="1049"/>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pPr>
    <w:rPr>
      <w:rFonts w:ascii="宋体" w:eastAsia="宋体"/>
    </w:rPr>
  </w:style>
  <w:style w:type="paragraph" w:customStyle="1" w:styleId="222">
    <w:name w:val="标准文件_引言三级无标题"/>
    <w:basedOn w:val="206"/>
    <w:autoRedefine/>
    <w:qFormat/>
    <w:uiPriority w:val="0"/>
    <w:pPr>
      <w:spacing w:before="0" w:beforeLines="0" w:after="0" w:afterLines="0"/>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spacing w:line="276" w:lineRule="auto"/>
      <w:ind w:left="420" w:leftChars="200" w:firstLine="420" w:firstLineChars="200"/>
    </w:pPr>
    <w:rPr>
      <w:rFonts w:ascii="Times New Roman" w:hAnsi="Times New Roman" w:eastAsia="宋体" w:cs="Times New Roman"/>
      <w:color w:val="000000"/>
      <w:sz w:val="21"/>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Table Text"/>
    <w:basedOn w:val="1"/>
    <w:autoRedefine/>
    <w:semiHidden/>
    <w:qFormat/>
    <w:uiPriority w:val="0"/>
    <w:rPr>
      <w:rFonts w:ascii="Arial" w:hAnsi="Arial" w:eastAsia="Arial" w:cs="Arial"/>
      <w:lang w:eastAsia="en-US"/>
    </w:rPr>
  </w:style>
  <w:style w:type="paragraph" w:styleId="236">
    <w:name w:val="List Paragraph"/>
    <w:basedOn w:val="1"/>
    <w:autoRedefine/>
    <w:qFormat/>
    <w:uiPriority w:val="34"/>
    <w:pPr>
      <w:ind w:firstLine="420" w:firstLineChars="200"/>
    </w:pPr>
  </w:style>
  <w:style w:type="character" w:customStyle="1" w:styleId="237">
    <w:name w:val="批注文字 字符"/>
    <w:basedOn w:val="31"/>
    <w:link w:val="13"/>
    <w:semiHidden/>
    <w:qFormat/>
    <w:uiPriority w:val="99"/>
    <w:rPr>
      <w:rFonts w:ascii="Calibri" w:hAnsi="Calibri"/>
      <w:kern w:val="2"/>
      <w:sz w:val="21"/>
      <w:szCs w:val="21"/>
    </w:rPr>
  </w:style>
  <w:style w:type="character" w:customStyle="1" w:styleId="238">
    <w:name w:val="批注主题 字符"/>
    <w:basedOn w:val="237"/>
    <w:link w:val="28"/>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1DB14D28">
          <w:pPr>
            <w:pStyle w:val="5"/>
          </w:pPr>
          <w:r>
            <w:rPr>
              <w:rStyle w:val="4"/>
              <w:rFonts w:hint="eastAsia"/>
            </w:rPr>
            <w:t>单击或点击此处输入文字。</w:t>
          </w:r>
        </w:p>
      </w:docPartBody>
    </w:docPart>
    <w:docPart>
      <w:docPartPr>
        <w:name w:val="{13a848b2-fde8-4a23-88e2-c01129eee358}"/>
        <w:style w:val=""/>
        <w:category>
          <w:name w:val="常规"/>
          <w:gallery w:val="placeholder"/>
        </w:category>
        <w:types>
          <w:type w:val="bbPlcHdr"/>
        </w:types>
        <w:behaviors>
          <w:behavior w:val="content"/>
        </w:behaviors>
        <w:description w:val=""/>
        <w:guid w:val="{13A848B2-FDE8-4A23-88E2-C01129EEE358}"/>
      </w:docPartPr>
      <w:docPartBody>
        <w:p w14:paraId="502E1BC0">
          <w:pPr>
            <w:pStyle w:val="6"/>
          </w:pPr>
          <w:r>
            <w:rPr>
              <w:rStyle w:val="4"/>
              <w:rFonts w:hint="eastAsia"/>
            </w:rPr>
            <w:t>选择一项。</w:t>
          </w:r>
        </w:p>
      </w:docPartBody>
    </w:docPart>
    <w:docPart>
      <w:docPartPr>
        <w:name w:val="{dc472174-af79-4b89-9a5e-efb467698089}"/>
        <w:style w:val=""/>
        <w:category>
          <w:name w:val="常规"/>
          <w:gallery w:val="placeholder"/>
        </w:category>
        <w:types>
          <w:type w:val="bbPlcHdr"/>
        </w:types>
        <w:behaviors>
          <w:behavior w:val="content"/>
        </w:behaviors>
        <w:description w:val=""/>
        <w:guid w:val="{DC472174-AF79-4B89-9A5E-EFB467698089}"/>
      </w:docPartPr>
      <w:docPartBody>
        <w:p w14:paraId="6E8B427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081B1D"/>
    <w:rsid w:val="001567CB"/>
    <w:rsid w:val="001A4CEF"/>
    <w:rsid w:val="00202CB3"/>
    <w:rsid w:val="002358E0"/>
    <w:rsid w:val="00253F04"/>
    <w:rsid w:val="002E2850"/>
    <w:rsid w:val="003C7725"/>
    <w:rsid w:val="003D1A2D"/>
    <w:rsid w:val="003D7087"/>
    <w:rsid w:val="00494E41"/>
    <w:rsid w:val="00565A98"/>
    <w:rsid w:val="00597697"/>
    <w:rsid w:val="006629E1"/>
    <w:rsid w:val="007519A3"/>
    <w:rsid w:val="00751EF2"/>
    <w:rsid w:val="00862D74"/>
    <w:rsid w:val="0090108F"/>
    <w:rsid w:val="0097054E"/>
    <w:rsid w:val="00A201E2"/>
    <w:rsid w:val="00AB6C10"/>
    <w:rsid w:val="00C4041F"/>
    <w:rsid w:val="00DE045F"/>
    <w:rsid w:val="00E85251"/>
    <w:rsid w:val="00F2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21</Pages>
  <Words>3602</Words>
  <Characters>4135</Characters>
  <Lines>39</Lines>
  <Paragraphs>11</Paragraphs>
  <TotalTime>2</TotalTime>
  <ScaleCrop>false</ScaleCrop>
  <LinksUpToDate>false</LinksUpToDate>
  <CharactersWithSpaces>4345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2025-12-22T08:46:04Z</dcterms:modified>
  <dc:title>团体标准</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A86B5E15C1A74F1BA3EB7E73AD314B33_13</vt:lpwstr>
  </property>
  <property fmtid="{D5CDD505-2E9C-101B-9397-08002B2CF9AE}" pid="16" name="KSOTemplateDocerSaveRecord">
    <vt:lpwstr>eyJoZGlkIjoiNWZkMDYxMGQzMTg2NTA1MTg5NjFlNzE0OGNhYjllMDQiLCJ1c2VySWQiOiIxMDM2OTMwMDA2In0=</vt:lpwstr>
  </property>
</Properties>
</file>