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AD60F">
      <w:pPr>
        <w:pStyle w:val="41"/>
        <w:framePr w:wrap="around" w:vAnchor="page" w:hAnchor="margin" w:y="775"/>
        <w:rPr>
          <w:highlight w:val="none"/>
        </w:rPr>
      </w:pPr>
      <w:r>
        <w:rPr>
          <w:rFonts w:ascii="Times New Roman"/>
          <w:highlight w:val="none"/>
        </w:rPr>
        <w:t>ICS</w:t>
      </w:r>
      <w:r>
        <w:rPr>
          <w:rFonts w:hint="eastAsia" w:ascii="Times New Roman"/>
          <w:highlight w:val="none"/>
        </w:rPr>
        <w:t xml:space="preserve"> </w:t>
      </w:r>
      <w:r>
        <w:rPr>
          <w:rFonts w:ascii="Times New Roman"/>
          <w:highlight w:val="none"/>
        </w:rPr>
        <w:t>07.080</w:t>
      </w:r>
    </w:p>
    <w:p w14:paraId="3922D50B">
      <w:pPr>
        <w:pStyle w:val="41"/>
        <w:framePr w:wrap="around" w:vAnchor="page" w:hAnchor="margin" w:y="775"/>
        <w:rPr>
          <w:rFonts w:ascii="Times New Roman"/>
          <w:highlight w:val="none"/>
        </w:rPr>
      </w:pPr>
      <w:r>
        <w:rPr>
          <w:rFonts w:ascii="Times New Roman"/>
          <w:highlight w:val="none"/>
        </w:rPr>
        <w:t>A 40</w:t>
      </w:r>
    </w:p>
    <w:p w14:paraId="0853C770">
      <w:pPr>
        <w:pStyle w:val="50"/>
        <w:framePr w:w="5035" w:wrap="around" w:vAnchor="page" w:hAnchor="page" w:x="5881" w:y="905"/>
        <w:rPr>
          <w:highlight w:val="none"/>
        </w:rPr>
      </w:pPr>
    </w:p>
    <w:p w14:paraId="1116CF42">
      <w:pPr>
        <w:pStyle w:val="45"/>
        <w:framePr w:w="8178" w:h="856" w:hRule="exact" w:wrap="around" w:x="2055" w:y="2221"/>
        <w:pBdr>
          <w:top w:val="none" w:sz="0" w:space="0"/>
          <w:left w:val="none" w:sz="0" w:space="0"/>
          <w:bottom w:val="none" w:sz="0" w:space="0"/>
          <w:right w:val="none" w:sz="0" w:space="0"/>
        </w:pBdr>
        <w:rPr>
          <w:rFonts w:hint="eastAsia" w:ascii="黑体" w:hAnsi="黑体" w:eastAsia="黑体"/>
          <w:b w:val="0"/>
          <w:sz w:val="56"/>
          <w:szCs w:val="52"/>
          <w:highlight w:val="none"/>
        </w:rPr>
      </w:pPr>
      <w:r>
        <w:rPr>
          <w:rFonts w:hint="eastAsia" w:ascii="黑体" w:hAnsi="黑体" w:eastAsia="黑体"/>
          <w:b w:val="0"/>
          <w:sz w:val="56"/>
          <w:szCs w:val="52"/>
          <w:highlight w:val="none"/>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1CB9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319D9F7">
            <w:pPr>
              <w:pStyle w:val="43"/>
              <w:framePr w:wrap="around" w:x="1382" w:y="3031"/>
              <w:jc w:val="center"/>
              <w:rPr>
                <w:highlight w:val="none"/>
              </w:rPr>
            </w:pPr>
            <w:r>
              <w:rPr>
                <w:rFonts w:hint="eastAsia" w:ascii="Times New Roman"/>
                <w:highlight w:val="none"/>
              </w:rPr>
              <w:t xml:space="preserve">                                               </w:t>
            </w:r>
            <w:r>
              <w:rPr>
                <w:rFonts w:hint="eastAsia" w:ascii="Times New Roman"/>
                <w:highlight w:val="none"/>
                <w:lang w:val="fr-FR"/>
              </w:rPr>
              <w:t>T</w:t>
            </w:r>
            <w:r>
              <w:rPr>
                <w:rFonts w:ascii="Times New Roman"/>
                <w:highlight w:val="none"/>
                <w:lang w:val="fr-FR"/>
              </w:rPr>
              <w:t>/</w:t>
            </w:r>
            <w:r>
              <w:rPr>
                <w:rFonts w:hint="eastAsia" w:ascii="Times New Roman"/>
                <w:highlight w:val="none"/>
                <w:lang w:val="fr-FR"/>
              </w:rPr>
              <w:t>C</w:t>
            </w:r>
            <w:bookmarkStart w:id="0" w:name="StdNo1"/>
            <w:r>
              <w:rPr>
                <w:rFonts w:hint="eastAsia" w:ascii="Times New Roman"/>
                <w:highlight w:val="none"/>
              </w:rPr>
              <w:t>RHA</w:t>
            </w:r>
            <w:r>
              <w:rPr>
                <w:rFonts w:ascii="Times New Roman"/>
                <w:highlight w:val="none"/>
                <w:lang w:val="fr-FR"/>
              </w:rPr>
              <w:t xml:space="preserve"> </w:t>
            </w:r>
            <w:bookmarkEnd w:id="0"/>
            <w:r>
              <w:rPr>
                <w:rFonts w:hint="eastAsia"/>
                <w:highlight w:val="none"/>
                <w:lang w:val="en-US" w:eastAsia="zh-CN"/>
              </w:rPr>
              <w:t>XXX</w:t>
            </w:r>
            <w:r>
              <w:rPr>
                <w:highlight w:val="none"/>
              </w:rPr>
              <w:t>—</w:t>
            </w:r>
            <w:r>
              <w:rPr>
                <w:rFonts w:hint="eastAsia"/>
                <w:highlight w:val="none"/>
              </w:rPr>
              <w:t>2025</w:t>
            </w:r>
          </w:p>
        </w:tc>
      </w:tr>
    </w:tbl>
    <w:p w14:paraId="7B07C551">
      <w:pPr>
        <w:pStyle w:val="43"/>
        <w:framePr w:wrap="around" w:x="1382" w:y="3031"/>
        <w:jc w:val="center"/>
        <w:rPr>
          <w:highlight w:val="none"/>
        </w:rPr>
      </w:pPr>
      <w:r>
        <w:rPr>
          <w:rFonts w:hint="eastAsia"/>
          <w:highlight w:val="none"/>
        </w:rPr>
        <w:t>————————————————————————————————————————</w:t>
      </w:r>
    </w:p>
    <w:p w14:paraId="7429A9D7">
      <w:pPr>
        <w:pStyle w:val="43"/>
        <w:framePr w:wrap="around" w:x="1382" w:y="3031"/>
        <w:rPr>
          <w:highlight w:val="none"/>
        </w:rPr>
      </w:pPr>
    </w:p>
    <w:p w14:paraId="7D657FC8">
      <w:pPr>
        <w:framePr w:w="9116" w:h="3482" w:hRule="exact" w:wrap="around" w:vAnchor="page" w:hAnchor="page" w:x="1327" w:y="6897" w:anchorLock="1"/>
        <w:jc w:val="left"/>
        <w:rPr>
          <w:rFonts w:hint="eastAsia" w:ascii="宋体" w:hAnsi="宋体" w:eastAsia="宋体"/>
          <w:color w:val="000000"/>
          <w:sz w:val="24"/>
          <w:highlight w:val="none"/>
        </w:rPr>
      </w:pPr>
      <w:bookmarkStart w:id="1" w:name="StdEnglishName"/>
    </w:p>
    <w:p w14:paraId="39E42467">
      <w:pPr>
        <w:pStyle w:val="42"/>
        <w:keepNext/>
        <w:keepLines/>
        <w:framePr w:w="9116" w:h="3482" w:hRule="exact" w:wrap="around" w:vAnchor="page" w:hAnchor="page" w:x="1327" w:y="6897" w:anchorLock="1"/>
        <w:ind w:firstLine="0"/>
        <w:jc w:val="center"/>
        <w:rPr>
          <w:rFonts w:hint="eastAsia" w:ascii="黑体" w:hAnsi="黑体" w:eastAsia="黑体" w:cs="黑体"/>
          <w:color w:val="000000"/>
          <w:sz w:val="52"/>
          <w:szCs w:val="52"/>
          <w:highlight w:val="none"/>
          <w:lang w:eastAsia="zh-CN"/>
        </w:rPr>
      </w:pPr>
      <w:r>
        <w:rPr>
          <w:rFonts w:hint="eastAsia" w:ascii="黑体" w:hAnsi="黑体" w:eastAsia="黑体" w:cs="黑体"/>
          <w:color w:val="000000"/>
          <w:sz w:val="52"/>
          <w:szCs w:val="52"/>
          <w:highlight w:val="none"/>
          <w:lang w:eastAsia="zh-CN"/>
        </w:rPr>
        <w:t>人多能干细胞来源的小细胞外囊泡</w:t>
      </w:r>
    </w:p>
    <w:p w14:paraId="005549EE">
      <w:pPr>
        <w:pStyle w:val="42"/>
        <w:keepNext/>
        <w:keepLines/>
        <w:framePr w:w="9116" w:h="3482" w:hRule="exact" w:wrap="around" w:vAnchor="page" w:hAnchor="page" w:x="1327" w:y="6897" w:anchorLock="1"/>
        <w:ind w:firstLine="0"/>
        <w:jc w:val="center"/>
        <w:rPr>
          <w:rFonts w:ascii="Times New Roman" w:hAnsi="Times New Roman" w:cs="Times New Roman"/>
          <w:color w:val="000000"/>
          <w:sz w:val="28"/>
          <w:szCs w:val="28"/>
          <w:highlight w:val="none"/>
          <w:lang w:val="en-US"/>
        </w:rPr>
      </w:pPr>
      <w:r>
        <w:rPr>
          <w:rFonts w:ascii="Times New Roman" w:hAnsi="Times New Roman" w:cs="Times New Roman"/>
          <w:color w:val="000000"/>
          <w:sz w:val="28"/>
          <w:szCs w:val="28"/>
          <w:highlight w:val="none"/>
          <w:lang w:val="en-US"/>
        </w:rPr>
        <w:t>Human pluripotent stem cell derived small extracellular vesicles</w:t>
      </w:r>
    </w:p>
    <w:p w14:paraId="6301E003">
      <w:pPr>
        <w:pStyle w:val="42"/>
        <w:keepNext/>
        <w:keepLines/>
        <w:framePr w:w="9116" w:h="3482" w:hRule="exact" w:wrap="around" w:vAnchor="page" w:hAnchor="page" w:x="1327" w:y="6897" w:anchorLock="1"/>
        <w:ind w:firstLine="0"/>
        <w:jc w:val="center"/>
        <w:rPr>
          <w:rFonts w:ascii="Times New Roman" w:hAnsi="Times New Roman" w:cs="Times New Roman"/>
          <w:b/>
          <w:bCs/>
          <w:color w:val="000000"/>
          <w:sz w:val="28"/>
          <w:szCs w:val="28"/>
          <w:highlight w:val="none"/>
          <w:lang w:eastAsia="zh-CN"/>
        </w:rPr>
      </w:pPr>
      <w:r>
        <w:rPr>
          <w:rFonts w:hint="eastAsia" w:ascii="Times New Roman" w:hAnsi="Times New Roman" w:cs="Times New Roman"/>
          <w:b/>
          <w:bCs/>
          <w:color w:val="000000"/>
          <w:sz w:val="28"/>
          <w:szCs w:val="28"/>
          <w:highlight w:val="none"/>
          <w:lang w:eastAsia="zh-CN"/>
        </w:rPr>
        <w:t>（征求意见稿）</w:t>
      </w:r>
    </w:p>
    <w:p w14:paraId="59FBC7E7">
      <w:pPr>
        <w:pStyle w:val="48"/>
        <w:framePr w:wrap="around" w:vAnchor="page" w:hAnchor="page" w:x="1466" w:y="14403"/>
        <w:rPr>
          <w:highlight w:val="none"/>
        </w:rPr>
      </w:pPr>
      <w:r>
        <w:rPr>
          <w:rFonts w:hint="eastAsia" w:ascii="黑体" w:hAnsi="黑体"/>
          <w:highlight w:val="none"/>
        </w:rPr>
        <w:t>2025</w:t>
      </w:r>
      <w:r>
        <w:rPr>
          <w:rFonts w:ascii="黑体" w:hAnsi="黑体"/>
          <w:highlight w:val="none"/>
        </w:rPr>
        <w:t>-</w:t>
      </w:r>
      <w:r>
        <w:rPr>
          <w:rFonts w:hint="eastAsia" w:ascii="黑体" w:hAnsi="黑体"/>
          <w:highlight w:val="none"/>
          <w:lang w:val="en-US" w:eastAsia="zh-CN"/>
        </w:rPr>
        <w:t>XX</w:t>
      </w:r>
      <w:r>
        <w:rPr>
          <w:rFonts w:ascii="黑体" w:hAnsi="黑体"/>
          <w:highlight w:val="none"/>
        </w:rPr>
        <w:t>-</w:t>
      </w:r>
      <w:r>
        <w:rPr>
          <w:rFonts w:hint="eastAsia" w:ascii="黑体" w:hAnsi="黑体"/>
          <w:highlight w:val="none"/>
          <w:lang w:val="en-US" w:eastAsia="zh-CN"/>
        </w:rPr>
        <w:t>XX</w:t>
      </w:r>
      <w:r>
        <w:rPr>
          <w:rFonts w:hint="eastAsia"/>
          <w:highlight w:val="none"/>
        </w:rPr>
        <w:t>发布</w:t>
      </w:r>
      <w:r>
        <w:rPr>
          <w:highlight w:val="none"/>
        </w:rPr>
        <mc:AlternateContent>
          <mc:Choice Requires="wps">
            <w:drawing>
              <wp:anchor distT="0" distB="0" distL="114300" distR="114300" simplePos="0" relativeHeight="251659264" behindDoc="0" locked="1" layoutInCell="1" allowOverlap="1">
                <wp:simplePos x="0" y="0"/>
                <wp:positionH relativeFrom="margin">
                  <wp:posOffset>-280035</wp:posOffset>
                </wp:positionH>
                <wp:positionV relativeFrom="margin">
                  <wp:posOffset>8956040</wp:posOffset>
                </wp:positionV>
                <wp:extent cx="6120130" cy="0"/>
                <wp:effectExtent l="0" t="0" r="13970"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05pt;margin-top:705.2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6Qz0&#10;2AAAAA0BAAAPAAAAAAAAAAEAIAAAACIAAABkcnMvZG93bnJldi54bWxQSwECFAAUAAAACACHTuJA&#10;Muttcu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B30D7F7">
      <w:pPr>
        <w:pStyle w:val="46"/>
        <w:framePr w:w="9416" w:wrap="around" w:x="1356" w:y="15096"/>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highlight w:val="none"/>
        </w:rPr>
      </w:pPr>
      <w:r>
        <w:rPr>
          <w:rFonts w:hint="eastAsia" w:ascii="黑体" w:hAnsi="黑体" w:eastAsia="黑体" w:cs="黑体"/>
          <w:b w:val="0"/>
          <w:bCs/>
          <w:w w:val="100"/>
          <w:sz w:val="32"/>
          <w:szCs w:val="32"/>
          <w:highlight w:val="none"/>
        </w:rPr>
        <w:t>中国研究型医院学会 发 布</w:t>
      </w:r>
      <w:bookmarkEnd w:id="1"/>
    </w:p>
    <w:p w14:paraId="0BD9D98D">
      <w:pPr>
        <w:rPr>
          <w:rFonts w:hint="eastAsia" w:eastAsia="宋体"/>
          <w:highlight w:val="none"/>
        </w:rPr>
      </w:pPr>
    </w:p>
    <w:p w14:paraId="3F7BC041">
      <w:pPr>
        <w:widowControl/>
        <w:spacing w:line="360" w:lineRule="auto"/>
        <w:jc w:val="center"/>
        <w:rPr>
          <w:rFonts w:hint="eastAsia" w:ascii="宋体" w:hAnsi="宋体" w:eastAsia="宋体" w:cs="Times New Roman"/>
          <w:b/>
          <w:bCs/>
          <w:sz w:val="32"/>
          <w:szCs w:val="32"/>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0"/>
          <w:cols w:space="425" w:num="1"/>
          <w:titlePg/>
          <w:docGrid w:type="lines" w:linePitch="312" w:charSpace="0"/>
        </w:sect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3910330</wp:posOffset>
                </wp:positionH>
                <wp:positionV relativeFrom="paragraph">
                  <wp:posOffset>6169660</wp:posOffset>
                </wp:positionV>
                <wp:extent cx="1811020" cy="372745"/>
                <wp:effectExtent l="4445" t="4445" r="13335" b="22860"/>
                <wp:wrapNone/>
                <wp:docPr id="2" name="文本框 2"/>
                <wp:cNvGraphicFramePr/>
                <a:graphic xmlns:a="http://schemas.openxmlformats.org/drawingml/2006/main">
                  <a:graphicData uri="http://schemas.microsoft.com/office/word/2010/wordprocessingShape">
                    <wps:wsp>
                      <wps:cNvSpPr txBox="1"/>
                      <wps:spPr>
                        <a:xfrm>
                          <a:off x="0" y="0"/>
                          <a:ext cx="1811020" cy="3727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C6B47BB">
                            <w:pPr>
                              <w:jc w:val="right"/>
                              <w:rPr>
                                <w:rFonts w:hint="eastAsia" w:ascii="黑体" w:hAnsi="黑体" w:eastAsia="黑体" w:cs="黑体"/>
                                <w:sz w:val="28"/>
                                <w:szCs w:val="28"/>
                              </w:rPr>
                            </w:pPr>
                            <w:r>
                              <w:rPr>
                                <w:rFonts w:hint="eastAsia" w:ascii="黑体" w:hAnsi="黑体" w:eastAsia="黑体" w:cs="Times New Roman"/>
                                <w:kern w:val="0"/>
                                <w:sz w:val="28"/>
                              </w:rPr>
                              <w:t>2025-</w:t>
                            </w:r>
                            <w:r>
                              <w:rPr>
                                <w:rFonts w:hint="eastAsia" w:ascii="黑体" w:hAnsi="黑体" w:eastAsia="黑体" w:cs="Times New Roman"/>
                                <w:kern w:val="0"/>
                                <w:sz w:val="28"/>
                                <w:lang w:val="en-US" w:eastAsia="zh-CN"/>
                              </w:rPr>
                              <w:t>XX</w:t>
                            </w:r>
                            <w:r>
                              <w:rPr>
                                <w:rFonts w:hint="eastAsia" w:ascii="黑体" w:hAnsi="黑体" w:eastAsia="黑体" w:cs="Times New Roman"/>
                                <w:kern w:val="0"/>
                                <w:sz w:val="28"/>
                              </w:rPr>
                              <w:t>-</w:t>
                            </w:r>
                            <w:r>
                              <w:rPr>
                                <w:rFonts w:hint="eastAsia" w:ascii="黑体" w:hAnsi="黑体" w:eastAsia="黑体" w:cs="Times New Roman"/>
                                <w:kern w:val="0"/>
                                <w:sz w:val="28"/>
                                <w:lang w:val="en-US" w:eastAsia="zh-CN"/>
                              </w:rPr>
                              <w:t>XX</w:t>
                            </w:r>
                            <w:r>
                              <w:rPr>
                                <w:rFonts w:hint="eastAsia" w:ascii="黑体" w:hAnsi="黑体" w:eastAsia="黑体" w:cs="Times New Roman"/>
                                <w:kern w:val="0"/>
                                <w:sz w:val="28"/>
                              </w:rPr>
                              <w:t>实施</w:t>
                            </w:r>
                          </w:p>
                        </w:txbxContent>
                      </wps:txbx>
                      <wps:bodyPr upright="1"/>
                    </wps:wsp>
                  </a:graphicData>
                </a:graphic>
              </wp:anchor>
            </w:drawing>
          </mc:Choice>
          <mc:Fallback>
            <w:pict>
              <v:shape id="_x0000_s1026" o:spid="_x0000_s1026" o:spt="202" type="#_x0000_t202" style="position:absolute;left:0pt;margin-left:307.9pt;margin-top:485.8pt;height:29.35pt;width:142.6pt;z-index:251660288;mso-width-relative:page;mso-height-relative:page;" fillcolor="#FFFFFF" filled="t" stroked="t" coordsize="21600,21600" o:gfxdata="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7ge+9oAAAANAQAADwAAAAAAAAABACAAAAAiAAAA&#10;ZHJzL2Rvd25yZXYueG1sUEsBAhQAFAAAAAgAh07iQORwJjUFAgAANgQAAA4AAAAAAAAAAQAgAAAA&#10;KQEAAGRycy9lMm9Eb2MueG1sUEsFBgAAAAAGAAYAWQEAAKAFAAAAAA==&#10;">
                <v:fill on="t" focussize="0,0"/>
                <v:stroke color="#FFFFFF" joinstyle="miter"/>
                <v:imagedata o:title=""/>
                <o:lock v:ext="edit" aspectratio="f"/>
                <v:textbox>
                  <w:txbxContent>
                    <w:p w14:paraId="7C6B47BB">
                      <w:pPr>
                        <w:jc w:val="right"/>
                        <w:rPr>
                          <w:rFonts w:hint="eastAsia" w:ascii="黑体" w:hAnsi="黑体" w:eastAsia="黑体" w:cs="黑体"/>
                          <w:sz w:val="28"/>
                          <w:szCs w:val="28"/>
                        </w:rPr>
                      </w:pPr>
                      <w:r>
                        <w:rPr>
                          <w:rFonts w:hint="eastAsia" w:ascii="黑体" w:hAnsi="黑体" w:eastAsia="黑体" w:cs="Times New Roman"/>
                          <w:kern w:val="0"/>
                          <w:sz w:val="28"/>
                        </w:rPr>
                        <w:t>2025-</w:t>
                      </w:r>
                      <w:r>
                        <w:rPr>
                          <w:rFonts w:hint="eastAsia" w:ascii="黑体" w:hAnsi="黑体" w:eastAsia="黑体" w:cs="Times New Roman"/>
                          <w:kern w:val="0"/>
                          <w:sz w:val="28"/>
                          <w:lang w:val="en-US" w:eastAsia="zh-CN"/>
                        </w:rPr>
                        <w:t>XX</w:t>
                      </w:r>
                      <w:r>
                        <w:rPr>
                          <w:rFonts w:hint="eastAsia" w:ascii="黑体" w:hAnsi="黑体" w:eastAsia="黑体" w:cs="Times New Roman"/>
                          <w:kern w:val="0"/>
                          <w:sz w:val="28"/>
                        </w:rPr>
                        <w:t>-</w:t>
                      </w:r>
                      <w:r>
                        <w:rPr>
                          <w:rFonts w:hint="eastAsia" w:ascii="黑体" w:hAnsi="黑体" w:eastAsia="黑体" w:cs="Times New Roman"/>
                          <w:kern w:val="0"/>
                          <w:sz w:val="28"/>
                          <w:lang w:val="en-US" w:eastAsia="zh-CN"/>
                        </w:rPr>
                        <w:t>XX</w:t>
                      </w:r>
                      <w:r>
                        <w:rPr>
                          <w:rFonts w:hint="eastAsia" w:ascii="黑体" w:hAnsi="黑体" w:eastAsia="黑体" w:cs="Times New Roman"/>
                          <w:kern w:val="0"/>
                          <w:sz w:val="28"/>
                        </w:rPr>
                        <w:t>实施</w:t>
                      </w:r>
                    </w:p>
                  </w:txbxContent>
                </v:textbox>
              </v:shape>
            </w:pict>
          </mc:Fallback>
        </mc:AlternateContent>
      </w:r>
      <w:r>
        <w:rPr>
          <w:rFonts w:hint="eastAsia" w:eastAsia="宋体"/>
          <w:highlight w:val="none"/>
        </w:rPr>
        <w:drawing>
          <wp:anchor distT="0" distB="0" distL="114300" distR="114300" simplePos="0" relativeHeight="251666432" behindDoc="0" locked="0" layoutInCell="1" allowOverlap="1">
            <wp:simplePos x="0" y="0"/>
            <wp:positionH relativeFrom="column">
              <wp:posOffset>4454525</wp:posOffset>
            </wp:positionH>
            <wp:positionV relativeFrom="paragraph">
              <wp:posOffset>-983615</wp:posOffset>
            </wp:positionV>
            <wp:extent cx="1076325" cy="1040130"/>
            <wp:effectExtent l="0" t="0" r="3175" b="1270"/>
            <wp:wrapTopAndBottom/>
            <wp:docPr id="5" name="图片 5"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098B42C7">
      <w:pPr>
        <w:widowControl/>
        <w:spacing w:line="360" w:lineRule="auto"/>
        <w:jc w:val="center"/>
        <w:rPr>
          <w:rFonts w:hint="eastAsia" w:ascii="宋体" w:hAnsi="宋体" w:eastAsia="宋体" w:cs="Times New Roman"/>
          <w:b/>
          <w:bCs/>
          <w:sz w:val="32"/>
          <w:szCs w:val="32"/>
          <w:highlight w:val="none"/>
        </w:rPr>
      </w:pPr>
      <w:r>
        <w:rPr>
          <w:rFonts w:hint="eastAsia" w:ascii="黑体" w:hAnsi="黑体" w:eastAsia="黑体" w:cs="黑体"/>
          <w:sz w:val="32"/>
          <w:szCs w:val="32"/>
          <w:highlight w:val="none"/>
        </w:rPr>
        <w:t>目  次</w:t>
      </w:r>
    </w:p>
    <w:sdt>
      <w:sdtPr>
        <w:rPr>
          <w:rFonts w:ascii="宋体" w:hAnsi="宋体" w:eastAsia="宋体" w:cs="Times New Roman"/>
          <w:kern w:val="0"/>
          <w:sz w:val="20"/>
          <w:szCs w:val="20"/>
          <w:highlight w:val="none"/>
        </w:rPr>
        <w:id w:val="-1719194252"/>
      </w:sdtPr>
      <w:sdtEndPr>
        <w:rPr>
          <w:rFonts w:hint="eastAsia" w:ascii="宋体" w:hAnsi="宋体" w:eastAsia="宋体" w:cs="宋体"/>
          <w:kern w:val="0"/>
          <w:sz w:val="21"/>
          <w:szCs w:val="21"/>
          <w:highlight w:val="none"/>
        </w:rPr>
      </w:sdtEndPr>
      <w:sdtContent>
        <w:p w14:paraId="3E8D7282">
          <w:pPr>
            <w:jc w:val="center"/>
            <w:rPr>
              <w:rFonts w:hint="eastAsia"/>
              <w:highlight w:val="none"/>
            </w:rPr>
          </w:pPr>
          <w:bookmarkStart w:id="2" w:name="_Toc15502_WPSOffice_Type1"/>
        </w:p>
        <w:p w14:paraId="536EB121">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"_Toc20411_WPSOffice_Level1" </w:instrText>
          </w:r>
          <w:r>
            <w:rPr>
              <w:highlight w:val="none"/>
            </w:rPr>
            <w:fldChar w:fldCharType="separate"/>
          </w:r>
          <w:sdt>
            <w:sdtPr>
              <w:rPr>
                <w:rFonts w:hint="eastAsia" w:ascii="宋体" w:hAnsi="宋体" w:cs="宋体"/>
                <w:kern w:val="2"/>
                <w:sz w:val="21"/>
                <w:szCs w:val="21"/>
                <w:highlight w:val="none"/>
              </w:rPr>
              <w:id w:val="147457813"/>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前  言</w:t>
              </w:r>
            </w:sdtContent>
          </w:sdt>
          <w:r>
            <w:rPr>
              <w:rFonts w:hint="eastAsia" w:ascii="宋体" w:hAnsi="宋体" w:cs="宋体"/>
              <w:sz w:val="21"/>
              <w:szCs w:val="21"/>
              <w:highlight w:val="none"/>
            </w:rPr>
            <w:tab/>
          </w:r>
          <w:r>
            <w:rPr>
              <w:rFonts w:hint="eastAsia" w:ascii="宋体" w:hAnsi="宋体" w:cs="宋体"/>
              <w:sz w:val="21"/>
              <w:szCs w:val="21"/>
              <w:highlight w:val="none"/>
            </w:rPr>
            <w:t>Ⅰ</w:t>
          </w:r>
          <w:r>
            <w:rPr>
              <w:rFonts w:hint="eastAsia" w:ascii="宋体" w:hAnsi="宋体" w:cs="宋体"/>
              <w:sz w:val="21"/>
              <w:szCs w:val="21"/>
              <w:highlight w:val="none"/>
            </w:rPr>
            <w:fldChar w:fldCharType="end"/>
          </w:r>
        </w:p>
        <w:p w14:paraId="588E18E7">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"_Toc4220_WPSOffice_Level1" </w:instrText>
          </w:r>
          <w:r>
            <w:rPr>
              <w:highlight w:val="none"/>
            </w:rPr>
            <w:fldChar w:fldCharType="separate"/>
          </w:r>
          <w:sdt>
            <w:sdtPr>
              <w:rPr>
                <w:rFonts w:hint="eastAsia" w:ascii="宋体" w:hAnsi="宋体" w:cs="宋体"/>
                <w:kern w:val="2"/>
                <w:sz w:val="21"/>
                <w:szCs w:val="21"/>
                <w:highlight w:val="none"/>
              </w:rPr>
              <w:id w:val="1735425319"/>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1 范围</w:t>
              </w:r>
            </w:sdtContent>
          </w:sdt>
          <w:r>
            <w:rPr>
              <w:rFonts w:hint="eastAsia" w:ascii="宋体" w:hAnsi="宋体" w:cs="宋体"/>
              <w:sz w:val="21"/>
              <w:szCs w:val="21"/>
              <w:highlight w:val="none"/>
            </w:rPr>
            <w:tab/>
          </w:r>
          <w:bookmarkStart w:id="3" w:name="_Toc4220_WPSOffice_Level1Page"/>
          <w:r>
            <w:rPr>
              <w:rFonts w:hint="eastAsia" w:ascii="宋体" w:hAnsi="宋体" w:cs="宋体"/>
              <w:sz w:val="21"/>
              <w:szCs w:val="21"/>
              <w:highlight w:val="none"/>
            </w:rPr>
            <w:t>1</w:t>
          </w:r>
          <w:bookmarkEnd w:id="3"/>
          <w:r>
            <w:rPr>
              <w:rFonts w:hint="eastAsia" w:ascii="宋体" w:hAnsi="宋体" w:cs="宋体"/>
              <w:sz w:val="21"/>
              <w:szCs w:val="21"/>
              <w:highlight w:val="none"/>
            </w:rPr>
            <w:fldChar w:fldCharType="end"/>
          </w:r>
        </w:p>
        <w:p w14:paraId="5E5E2E8E">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"_Toc19022_WPSOffice_Level1" </w:instrText>
          </w:r>
          <w:r>
            <w:rPr>
              <w:highlight w:val="none"/>
            </w:rPr>
            <w:fldChar w:fldCharType="separate"/>
          </w:r>
          <w:sdt>
            <w:sdtPr>
              <w:rPr>
                <w:rFonts w:hint="eastAsia" w:ascii="宋体" w:hAnsi="宋体" w:cs="宋体"/>
                <w:kern w:val="2"/>
                <w:sz w:val="21"/>
                <w:szCs w:val="21"/>
                <w:highlight w:val="none"/>
              </w:rPr>
              <w:id w:val="61766177"/>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2 规范性引用文件</w:t>
              </w:r>
            </w:sdtContent>
          </w:sdt>
          <w:r>
            <w:rPr>
              <w:rFonts w:hint="eastAsia" w:ascii="宋体" w:hAnsi="宋体" w:cs="宋体"/>
              <w:sz w:val="21"/>
              <w:szCs w:val="21"/>
              <w:highlight w:val="none"/>
            </w:rPr>
            <w:tab/>
          </w:r>
          <w:bookmarkStart w:id="4" w:name="_Toc19022_WPSOffice_Level1Page"/>
          <w:r>
            <w:rPr>
              <w:rFonts w:hint="eastAsia" w:ascii="宋体" w:hAnsi="宋体" w:cs="宋体"/>
              <w:sz w:val="21"/>
              <w:szCs w:val="21"/>
              <w:highlight w:val="none"/>
            </w:rPr>
            <w:t>1</w:t>
          </w:r>
          <w:bookmarkEnd w:id="4"/>
          <w:r>
            <w:rPr>
              <w:rFonts w:hint="eastAsia" w:ascii="宋体" w:hAnsi="宋体" w:cs="宋体"/>
              <w:sz w:val="21"/>
              <w:szCs w:val="21"/>
              <w:highlight w:val="none"/>
            </w:rPr>
            <w:fldChar w:fldCharType="end"/>
          </w:r>
        </w:p>
        <w:p w14:paraId="5E2CF937">
          <w:pPr>
            <w:pStyle w:val="54"/>
            <w:tabs>
              <w:tab w:val="right" w:leader="dot" w:pos="8306"/>
            </w:tabs>
            <w:spacing w:line="320" w:lineRule="exact"/>
            <w:rPr>
              <w:highlight w:val="none"/>
            </w:rPr>
          </w:pPr>
          <w:r>
            <w:rPr>
              <w:highlight w:val="none"/>
            </w:rPr>
            <w:fldChar w:fldCharType="begin"/>
          </w:r>
          <w:r>
            <w:rPr>
              <w:highlight w:val="none"/>
            </w:rPr>
            <w:instrText xml:space="preserve"> HYPERLINK \l "_Toc26994_WPSOffice_Level1" </w:instrText>
          </w:r>
          <w:r>
            <w:rPr>
              <w:highlight w:val="none"/>
            </w:rPr>
            <w:fldChar w:fldCharType="separate"/>
          </w:r>
          <w:sdt>
            <w:sdtPr>
              <w:rPr>
                <w:rFonts w:hint="eastAsia" w:ascii="宋体" w:hAnsi="宋体" w:cs="宋体"/>
                <w:kern w:val="2"/>
                <w:sz w:val="21"/>
                <w:szCs w:val="21"/>
                <w:highlight w:val="none"/>
              </w:rPr>
              <w:id w:val="-1433666984"/>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 xml:space="preserve">3 </w:t>
              </w:r>
              <w:bookmarkStart w:id="5" w:name="OLE_LINK5"/>
              <w:r>
                <w:rPr>
                  <w:rFonts w:hint="eastAsia" w:ascii="宋体" w:hAnsi="宋体" w:cs="宋体"/>
                  <w:sz w:val="21"/>
                  <w:szCs w:val="21"/>
                  <w:highlight w:val="none"/>
                </w:rPr>
                <w:t>术语和定义</w:t>
              </w:r>
              <w:bookmarkStart w:id="6" w:name="OLE_LINK1"/>
            </w:sdtContent>
          </w:sdt>
          <w:bookmarkEnd w:id="5"/>
          <w:r>
            <w:rPr>
              <w:rFonts w:hint="eastAsia" w:ascii="宋体" w:hAnsi="宋体" w:cs="宋体"/>
              <w:sz w:val="21"/>
              <w:szCs w:val="21"/>
              <w:highlight w:val="none"/>
            </w:rPr>
            <w:tab/>
          </w:r>
          <w:bookmarkEnd w:id="6"/>
          <w:bookmarkStart w:id="7" w:name="_Toc26994_WPSOffice_Level1Page"/>
          <w:r>
            <w:rPr>
              <w:rFonts w:hint="eastAsia" w:ascii="宋体" w:hAnsi="宋体" w:cs="宋体"/>
              <w:sz w:val="21"/>
              <w:szCs w:val="21"/>
              <w:highlight w:val="none"/>
            </w:rPr>
            <w:t>1</w:t>
          </w:r>
          <w:bookmarkEnd w:id="7"/>
          <w:r>
            <w:rPr>
              <w:rFonts w:hint="eastAsia" w:ascii="宋体" w:hAnsi="宋体" w:cs="宋体"/>
              <w:sz w:val="21"/>
              <w:szCs w:val="21"/>
              <w:highlight w:val="none"/>
            </w:rPr>
            <w:fldChar w:fldCharType="end"/>
          </w:r>
        </w:p>
        <w:p w14:paraId="7E61A7F1">
          <w:pPr>
            <w:pStyle w:val="54"/>
            <w:tabs>
              <w:tab w:val="right" w:leader="dot" w:pos="8306"/>
            </w:tabs>
            <w:spacing w:line="320" w:lineRule="exact"/>
            <w:rPr>
              <w:highlight w:val="none"/>
            </w:rPr>
          </w:pPr>
          <w:r>
            <w:rPr>
              <w:highlight w:val="none"/>
            </w:rPr>
            <w:fldChar w:fldCharType="begin"/>
          </w:r>
          <w:r>
            <w:rPr>
              <w:highlight w:val="none"/>
            </w:rPr>
            <w:instrText xml:space="preserve"> HYPERLINK \l "_Toc7657_WPSOffice_Level1" </w:instrText>
          </w:r>
          <w:r>
            <w:rPr>
              <w:highlight w:val="none"/>
            </w:rPr>
            <w:fldChar w:fldCharType="separate"/>
          </w:r>
          <w:sdt>
            <w:sdtPr>
              <w:rPr>
                <w:rFonts w:hint="eastAsia" w:ascii="宋体" w:hAnsi="宋体" w:cs="宋体"/>
                <w:kern w:val="2"/>
                <w:sz w:val="21"/>
                <w:szCs w:val="21"/>
                <w:highlight w:val="none"/>
              </w:rPr>
              <w:id w:val="1142464686"/>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4 技术要求</w:t>
              </w:r>
            </w:sdtContent>
          </w:sdt>
          <w:r>
            <w:rPr>
              <w:rFonts w:hint="eastAsia" w:ascii="宋体" w:hAnsi="宋体" w:cs="宋体"/>
              <w:sz w:val="21"/>
              <w:szCs w:val="21"/>
              <w:highlight w:val="none"/>
            </w:rPr>
            <w:tab/>
          </w:r>
          <w:r>
            <w:rPr>
              <w:rFonts w:hint="eastAsia" w:ascii="宋体" w:hAnsi="宋体" w:cs="宋体"/>
              <w:sz w:val="21"/>
              <w:szCs w:val="21"/>
              <w:highlight w:val="none"/>
            </w:rPr>
            <w:t>1</w:t>
          </w:r>
          <w:r>
            <w:rPr>
              <w:rFonts w:hint="eastAsia" w:ascii="宋体" w:hAnsi="宋体" w:cs="宋体"/>
              <w:sz w:val="21"/>
              <w:szCs w:val="21"/>
              <w:highlight w:val="none"/>
            </w:rPr>
            <w:fldChar w:fldCharType="end"/>
          </w:r>
        </w:p>
        <w:p w14:paraId="0374B726">
          <w:pPr>
            <w:pStyle w:val="54"/>
            <w:tabs>
              <w:tab w:val="right" w:leader="dot" w:pos="8306"/>
            </w:tabs>
            <w:spacing w:line="320" w:lineRule="exact"/>
            <w:rPr>
              <w:highlight w:val="none"/>
            </w:rPr>
          </w:pPr>
          <w:r>
            <w:rPr>
              <w:highlight w:val="none"/>
            </w:rPr>
            <w:fldChar w:fldCharType="begin"/>
          </w:r>
          <w:r>
            <w:rPr>
              <w:highlight w:val="none"/>
            </w:rPr>
            <w:instrText xml:space="preserve"> HYPERLINK \l "_Toc9169_WPSOffice_Level1" </w:instrText>
          </w:r>
          <w:r>
            <w:rPr>
              <w:highlight w:val="none"/>
            </w:rPr>
            <w:fldChar w:fldCharType="separate"/>
          </w:r>
          <w:sdt>
            <w:sdtPr>
              <w:rPr>
                <w:rFonts w:hint="eastAsia" w:ascii="宋体" w:hAnsi="宋体" w:cs="宋体"/>
                <w:kern w:val="2"/>
                <w:sz w:val="21"/>
                <w:szCs w:val="21"/>
                <w:highlight w:val="none"/>
              </w:rPr>
              <w:id w:val="1971244014"/>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5 检测方法</w:t>
              </w:r>
            </w:sdtContent>
          </w:sdt>
          <w:r>
            <w:rPr>
              <w:rFonts w:hint="eastAsia" w:ascii="宋体" w:hAnsi="宋体" w:cs="宋体"/>
              <w:sz w:val="21"/>
              <w:szCs w:val="21"/>
              <w:highlight w:val="none"/>
            </w:rPr>
            <w:tab/>
          </w:r>
          <w:bookmarkStart w:id="8" w:name="_Toc9169_WPSOffice_Level1Page"/>
          <w:r>
            <w:rPr>
              <w:rFonts w:hint="eastAsia" w:ascii="宋体" w:hAnsi="宋体" w:cs="宋体"/>
              <w:sz w:val="21"/>
              <w:szCs w:val="21"/>
              <w:highlight w:val="none"/>
            </w:rPr>
            <w:t>3</w:t>
          </w:r>
          <w:bookmarkEnd w:id="8"/>
          <w:r>
            <w:rPr>
              <w:rFonts w:hint="eastAsia" w:ascii="宋体" w:hAnsi="宋体" w:cs="宋体"/>
              <w:sz w:val="21"/>
              <w:szCs w:val="21"/>
              <w:highlight w:val="none"/>
            </w:rPr>
            <w:fldChar w:fldCharType="end"/>
          </w:r>
        </w:p>
        <w:p w14:paraId="2FA2E42E">
          <w:pPr>
            <w:pStyle w:val="54"/>
            <w:tabs>
              <w:tab w:val="right" w:leader="dot" w:pos="8306"/>
            </w:tabs>
            <w:spacing w:line="320" w:lineRule="exact"/>
            <w:rPr>
              <w:highlight w:val="none"/>
            </w:rPr>
          </w:pPr>
          <w:r>
            <w:rPr>
              <w:highlight w:val="none"/>
            </w:rPr>
            <w:fldChar w:fldCharType="begin"/>
          </w:r>
          <w:r>
            <w:rPr>
              <w:highlight w:val="none"/>
            </w:rPr>
            <w:instrText xml:space="preserve"> HYPERLINK \l "_Toc23909_WPSOffice_Level1" </w:instrText>
          </w:r>
          <w:r>
            <w:rPr>
              <w:highlight w:val="none"/>
            </w:rPr>
            <w:fldChar w:fldCharType="separate"/>
          </w:r>
          <w:sdt>
            <w:sdtPr>
              <w:rPr>
                <w:rFonts w:hint="eastAsia" w:ascii="宋体" w:hAnsi="宋体" w:cs="宋体"/>
                <w:kern w:val="2"/>
                <w:sz w:val="21"/>
                <w:szCs w:val="21"/>
                <w:highlight w:val="none"/>
              </w:rPr>
              <w:id w:val="-569343643"/>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6 检验规则</w:t>
              </w:r>
              <w:bookmarkStart w:id="9" w:name="OLE_LINK2"/>
            </w:sdtContent>
          </w:sdt>
          <w:r>
            <w:rPr>
              <w:rFonts w:hint="eastAsia" w:ascii="宋体" w:hAnsi="宋体" w:cs="宋体"/>
              <w:sz w:val="21"/>
              <w:szCs w:val="21"/>
              <w:highlight w:val="none"/>
            </w:rPr>
            <w:tab/>
          </w:r>
          <w:bookmarkStart w:id="10" w:name="_Toc23909_WPSOffice_Level1Page"/>
          <w:r>
            <w:rPr>
              <w:rFonts w:hint="eastAsia" w:ascii="宋体" w:hAnsi="宋体" w:cs="宋体"/>
              <w:sz w:val="21"/>
              <w:szCs w:val="21"/>
              <w:highlight w:val="none"/>
            </w:rPr>
            <w:t>4</w:t>
          </w:r>
          <w:bookmarkEnd w:id="9"/>
          <w:bookmarkEnd w:id="10"/>
          <w:r>
            <w:rPr>
              <w:rFonts w:hint="eastAsia" w:ascii="宋体" w:hAnsi="宋体" w:cs="宋体"/>
              <w:sz w:val="21"/>
              <w:szCs w:val="21"/>
              <w:highlight w:val="none"/>
            </w:rPr>
            <w:fldChar w:fldCharType="end"/>
          </w:r>
        </w:p>
        <w:p w14:paraId="1718751B">
          <w:pPr>
            <w:pStyle w:val="54"/>
            <w:tabs>
              <w:tab w:val="right" w:leader="dot" w:pos="8306"/>
            </w:tabs>
            <w:spacing w:line="320" w:lineRule="exact"/>
            <w:rPr>
              <w:highlight w:val="none"/>
            </w:rPr>
          </w:pPr>
          <w:r>
            <w:rPr>
              <w:highlight w:val="none"/>
            </w:rPr>
            <w:fldChar w:fldCharType="begin"/>
          </w:r>
          <w:r>
            <w:rPr>
              <w:highlight w:val="none"/>
            </w:rPr>
            <w:instrText xml:space="preserve"> HYPERLINK \l "_Toc28464_WPSOffice_Level1" </w:instrText>
          </w:r>
          <w:r>
            <w:rPr>
              <w:highlight w:val="none"/>
            </w:rPr>
            <w:fldChar w:fldCharType="separate"/>
          </w:r>
          <w:sdt>
            <w:sdtPr>
              <w:rPr>
                <w:rFonts w:hint="eastAsia" w:ascii="宋体" w:hAnsi="宋体" w:cs="宋体"/>
                <w:kern w:val="2"/>
                <w:sz w:val="21"/>
                <w:szCs w:val="21"/>
                <w:highlight w:val="none"/>
              </w:rPr>
              <w:id w:val="1349524806"/>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7 包装、使用说明、标签、储存及运输</w:t>
              </w:r>
            </w:sdtContent>
          </w:sdt>
          <w:bookmarkStart w:id="11" w:name="OLE_LINK3"/>
          <w:r>
            <w:rPr>
              <w:rFonts w:hint="eastAsia" w:ascii="宋体" w:hAnsi="宋体" w:cs="宋体"/>
              <w:sz w:val="21"/>
              <w:szCs w:val="21"/>
              <w:highlight w:val="none"/>
            </w:rPr>
            <w:tab/>
          </w:r>
          <w:bookmarkEnd w:id="11"/>
          <w:r>
            <w:rPr>
              <w:rFonts w:hint="eastAsia" w:ascii="宋体" w:hAnsi="宋体" w:cs="宋体"/>
              <w:sz w:val="21"/>
              <w:szCs w:val="21"/>
              <w:highlight w:val="none"/>
            </w:rPr>
            <w:t>5</w:t>
          </w:r>
          <w:r>
            <w:rPr>
              <w:rFonts w:hint="eastAsia" w:ascii="宋体" w:hAnsi="宋体" w:cs="宋体"/>
              <w:sz w:val="21"/>
              <w:szCs w:val="21"/>
              <w:highlight w:val="none"/>
            </w:rPr>
            <w:fldChar w:fldCharType="end"/>
          </w:r>
        </w:p>
        <w:p w14:paraId="20514FB9">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"_Toc23783_WPSOffice_Level1" </w:instrText>
          </w:r>
          <w:r>
            <w:rPr>
              <w:highlight w:val="none"/>
            </w:rPr>
            <w:fldChar w:fldCharType="separate"/>
          </w:r>
          <w:sdt>
            <w:sdtPr>
              <w:rPr>
                <w:rFonts w:hint="eastAsia" w:ascii="宋体" w:hAnsi="宋体" w:cs="宋体"/>
                <w:kern w:val="2"/>
                <w:sz w:val="21"/>
                <w:szCs w:val="21"/>
                <w:highlight w:val="none"/>
              </w:rPr>
              <w:id w:val="1697662176"/>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8 废弃物处理</w:t>
              </w:r>
            </w:sdtContent>
          </w:sdt>
          <w:r>
            <w:rPr>
              <w:rFonts w:hint="eastAsia" w:ascii="宋体" w:hAnsi="宋体" w:cs="宋体"/>
              <w:sz w:val="21"/>
              <w:szCs w:val="21"/>
              <w:highlight w:val="none"/>
            </w:rPr>
            <w:tab/>
          </w:r>
          <w:bookmarkStart w:id="12" w:name="_Toc23783_WPSOffice_Level1Page"/>
          <w:r>
            <w:rPr>
              <w:rFonts w:hint="eastAsia" w:ascii="宋体" w:hAnsi="宋体" w:cs="宋体"/>
              <w:sz w:val="21"/>
              <w:szCs w:val="21"/>
              <w:highlight w:val="none"/>
            </w:rPr>
            <w:t>5</w:t>
          </w:r>
          <w:bookmarkEnd w:id="12"/>
          <w:r>
            <w:rPr>
              <w:rFonts w:hint="eastAsia" w:ascii="宋体" w:hAnsi="宋体" w:cs="宋体"/>
              <w:sz w:val="21"/>
              <w:szCs w:val="21"/>
              <w:highlight w:val="none"/>
            </w:rPr>
            <w:fldChar w:fldCharType="end"/>
          </w:r>
        </w:p>
        <w:p w14:paraId="01900ECD">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"_Toc1476_WPSOffice_Level1" </w:instrText>
          </w:r>
          <w:r>
            <w:rPr>
              <w:highlight w:val="none"/>
            </w:rPr>
            <w:fldChar w:fldCharType="separate"/>
          </w:r>
          <w:sdt>
            <w:sdtPr>
              <w:rPr>
                <w:rFonts w:hint="eastAsia" w:ascii="宋体" w:hAnsi="宋体" w:cs="宋体"/>
                <w:kern w:val="2"/>
                <w:sz w:val="21"/>
                <w:szCs w:val="21"/>
                <w:highlight w:val="none"/>
              </w:rPr>
              <w:id w:val="701904070"/>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附录A（规范性）小细胞外囊泡形态检测方法（透射电镜观察法）</w:t>
              </w:r>
            </w:sdtContent>
          </w:sdt>
          <w:r>
            <w:rPr>
              <w:rFonts w:hint="eastAsia" w:ascii="宋体" w:hAnsi="宋体" w:cs="宋体"/>
              <w:sz w:val="21"/>
              <w:szCs w:val="21"/>
              <w:highlight w:val="none"/>
            </w:rPr>
            <w:tab/>
          </w:r>
          <w:r>
            <w:rPr>
              <w:rFonts w:hint="eastAsia" w:ascii="宋体" w:hAnsi="宋体" w:cs="宋体"/>
              <w:sz w:val="21"/>
              <w:szCs w:val="21"/>
              <w:highlight w:val="none"/>
            </w:rPr>
            <w:t>6</w:t>
          </w:r>
          <w:r>
            <w:rPr>
              <w:rFonts w:hint="eastAsia" w:ascii="宋体" w:hAnsi="宋体" w:cs="宋体"/>
              <w:sz w:val="21"/>
              <w:szCs w:val="21"/>
              <w:highlight w:val="none"/>
            </w:rPr>
            <w:fldChar w:fldCharType="end"/>
          </w:r>
        </w:p>
        <w:p w14:paraId="0E947750">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"_Toc16442_WPSOffice_Level1" </w:instrText>
          </w:r>
          <w:r>
            <w:rPr>
              <w:highlight w:val="none"/>
            </w:rPr>
            <w:fldChar w:fldCharType="separate"/>
          </w:r>
          <w:sdt>
            <w:sdtPr>
              <w:rPr>
                <w:rFonts w:hint="eastAsia" w:ascii="宋体" w:hAnsi="宋体" w:cs="宋体"/>
                <w:kern w:val="2"/>
                <w:sz w:val="21"/>
                <w:szCs w:val="21"/>
                <w:highlight w:val="none"/>
              </w:rPr>
              <w:id w:val="-1533715760"/>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附录B（规范性）小细胞外囊泡数量检测方法（纳米流式检测法)</w:t>
              </w:r>
            </w:sdtContent>
          </w:sdt>
          <w:r>
            <w:rPr>
              <w:rFonts w:hint="eastAsia" w:ascii="宋体" w:hAnsi="宋体" w:cs="宋体"/>
              <w:sz w:val="21"/>
              <w:szCs w:val="21"/>
              <w:highlight w:val="none"/>
            </w:rPr>
            <w:tab/>
          </w:r>
          <w:r>
            <w:rPr>
              <w:rFonts w:hint="eastAsia" w:ascii="宋体" w:hAnsi="宋体" w:cs="宋体"/>
              <w:sz w:val="21"/>
              <w:szCs w:val="21"/>
              <w:highlight w:val="none"/>
            </w:rPr>
            <w:t>7</w:t>
          </w:r>
          <w:r>
            <w:rPr>
              <w:rFonts w:hint="eastAsia" w:ascii="宋体" w:hAnsi="宋体" w:cs="宋体"/>
              <w:sz w:val="21"/>
              <w:szCs w:val="21"/>
              <w:highlight w:val="none"/>
            </w:rPr>
            <w:fldChar w:fldCharType="end"/>
          </w:r>
        </w:p>
        <w:p w14:paraId="7DC79878">
          <w:pPr>
            <w:pStyle w:val="54"/>
            <w:tabs>
              <w:tab w:val="right" w:leader="dot" w:pos="8306"/>
            </w:tabs>
            <w:spacing w:line="320" w:lineRule="exact"/>
            <w:rPr>
              <w:highlight w:val="none"/>
            </w:rPr>
          </w:pPr>
          <w:r>
            <w:rPr>
              <w:highlight w:val="none"/>
            </w:rPr>
            <w:fldChar w:fldCharType="begin"/>
          </w:r>
          <w:r>
            <w:rPr>
              <w:highlight w:val="none"/>
            </w:rPr>
            <w:instrText xml:space="preserve"> HYPERLINK \l "_Toc7047_WPSOffice_Level1" </w:instrText>
          </w:r>
          <w:r>
            <w:rPr>
              <w:highlight w:val="none"/>
            </w:rPr>
            <w:fldChar w:fldCharType="separate"/>
          </w:r>
          <w:sdt>
            <w:sdtPr>
              <w:rPr>
                <w:rFonts w:hint="eastAsia" w:ascii="宋体" w:hAnsi="宋体" w:cs="宋体"/>
                <w:kern w:val="2"/>
                <w:sz w:val="21"/>
                <w:szCs w:val="21"/>
                <w:highlight w:val="none"/>
              </w:rPr>
              <w:id w:val="1709992198"/>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附录C（规范性）小细胞外囊泡粒径检测方法（纳米流式检测法）</w:t>
              </w:r>
            </w:sdtContent>
          </w:sdt>
          <w:r>
            <w:rPr>
              <w:rFonts w:hint="eastAsia" w:ascii="宋体" w:hAnsi="宋体" w:cs="宋体"/>
              <w:sz w:val="21"/>
              <w:szCs w:val="21"/>
              <w:highlight w:val="none"/>
            </w:rPr>
            <w:tab/>
          </w:r>
          <w:r>
            <w:rPr>
              <w:rFonts w:hint="eastAsia" w:ascii="宋体" w:hAnsi="宋体" w:cs="宋体"/>
              <w:sz w:val="21"/>
              <w:szCs w:val="21"/>
              <w:highlight w:val="none"/>
            </w:rPr>
            <w:t>8</w:t>
          </w:r>
          <w:r>
            <w:rPr>
              <w:rFonts w:hint="eastAsia" w:ascii="宋体" w:hAnsi="宋体" w:cs="宋体"/>
              <w:sz w:val="21"/>
              <w:szCs w:val="21"/>
              <w:highlight w:val="none"/>
            </w:rPr>
            <w:fldChar w:fldCharType="end"/>
          </w:r>
        </w:p>
        <w:p w14:paraId="7FF7FA34">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"_Toc3266_WPSOffice_Level1" </w:instrText>
          </w:r>
          <w:r>
            <w:rPr>
              <w:highlight w:val="none"/>
            </w:rPr>
            <w:fldChar w:fldCharType="separate"/>
          </w:r>
          <w:sdt>
            <w:sdtPr>
              <w:rPr>
                <w:rFonts w:hint="eastAsia" w:ascii="宋体" w:hAnsi="宋体" w:cs="宋体"/>
                <w:kern w:val="2"/>
                <w:sz w:val="21"/>
                <w:szCs w:val="21"/>
                <w:highlight w:val="none"/>
              </w:rPr>
              <w:id w:val="1549180367"/>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附录D（规范性）小细胞外囊泡蛋白检测方法（蛋白印迹法）</w:t>
              </w:r>
            </w:sdtContent>
          </w:sdt>
          <w:r>
            <w:rPr>
              <w:rFonts w:hint="eastAsia" w:ascii="宋体" w:hAnsi="宋体" w:cs="宋体"/>
              <w:sz w:val="21"/>
              <w:szCs w:val="21"/>
              <w:highlight w:val="none"/>
            </w:rPr>
            <w:tab/>
          </w:r>
          <w:r>
            <w:rPr>
              <w:rFonts w:hint="eastAsia" w:ascii="宋体" w:hAnsi="宋体" w:cs="宋体"/>
              <w:sz w:val="21"/>
              <w:szCs w:val="21"/>
              <w:highlight w:val="none"/>
            </w:rPr>
            <w:t>9</w:t>
          </w:r>
          <w:r>
            <w:rPr>
              <w:rFonts w:hint="eastAsia" w:ascii="宋体" w:hAnsi="宋体" w:cs="宋体"/>
              <w:sz w:val="21"/>
              <w:szCs w:val="21"/>
              <w:highlight w:val="none"/>
            </w:rPr>
            <w:fldChar w:fldCharType="end"/>
          </w:r>
        </w:p>
        <w:p w14:paraId="25D24CD4">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"_Toc7047_WPSOffice_Level1" </w:instrText>
          </w:r>
          <w:r>
            <w:rPr>
              <w:highlight w:val="none"/>
            </w:rPr>
            <w:fldChar w:fldCharType="separate"/>
          </w:r>
          <w:sdt>
            <w:sdtPr>
              <w:rPr>
                <w:rFonts w:hint="eastAsia" w:ascii="宋体" w:hAnsi="宋体" w:cs="宋体"/>
                <w:kern w:val="2"/>
                <w:sz w:val="21"/>
                <w:szCs w:val="21"/>
                <w:highlight w:val="none"/>
              </w:rPr>
              <w:id w:val="-223215142"/>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附录E（规范性）小细胞外囊泡表面标志物检测方法（纳米流式检测法）</w:t>
              </w:r>
            </w:sdtContent>
          </w:sdt>
          <w:r>
            <w:rPr>
              <w:rFonts w:hint="eastAsia" w:ascii="宋体" w:hAnsi="宋体" w:cs="宋体"/>
              <w:sz w:val="21"/>
              <w:szCs w:val="21"/>
              <w:highlight w:val="none"/>
            </w:rPr>
            <w:tab/>
          </w:r>
          <w:r>
            <w:rPr>
              <w:rFonts w:hint="eastAsia" w:ascii="宋体" w:hAnsi="宋体" w:cs="宋体"/>
              <w:sz w:val="21"/>
              <w:szCs w:val="21"/>
              <w:highlight w:val="none"/>
            </w:rPr>
            <w:t>10</w:t>
          </w:r>
          <w:r>
            <w:rPr>
              <w:rFonts w:hint="eastAsia" w:ascii="宋体" w:hAnsi="宋体" w:cs="宋体"/>
              <w:sz w:val="21"/>
              <w:szCs w:val="21"/>
              <w:highlight w:val="none"/>
            </w:rPr>
            <w:fldChar w:fldCharType="end"/>
          </w:r>
        </w:p>
        <w:p w14:paraId="51475CD0">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"_Toc1561_WPSOffice_Level1" </w:instrText>
          </w:r>
          <w:r>
            <w:rPr>
              <w:highlight w:val="none"/>
            </w:rPr>
            <w:fldChar w:fldCharType="separate"/>
          </w:r>
          <w:sdt>
            <w:sdtPr>
              <w:rPr>
                <w:rFonts w:hint="eastAsia" w:ascii="宋体" w:hAnsi="宋体" w:cs="宋体"/>
                <w:kern w:val="2"/>
                <w:sz w:val="21"/>
                <w:szCs w:val="21"/>
                <w:highlight w:val="none"/>
              </w:rPr>
              <w:id w:val="2034916399"/>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附录F（规范性）小细胞外囊泡数量与蛋白量比值计算方法</w:t>
              </w:r>
            </w:sdtContent>
          </w:sdt>
          <w:r>
            <w:rPr>
              <w:rFonts w:hint="eastAsia" w:ascii="宋体" w:hAnsi="宋体" w:cs="宋体"/>
              <w:sz w:val="21"/>
              <w:szCs w:val="21"/>
              <w:highlight w:val="none"/>
            </w:rPr>
            <w:tab/>
          </w:r>
          <w:bookmarkStart w:id="13" w:name="_Toc1561_WPSOffice_Level1Page"/>
          <w:r>
            <w:rPr>
              <w:rFonts w:hint="eastAsia" w:ascii="宋体" w:hAnsi="宋体" w:cs="宋体"/>
              <w:sz w:val="21"/>
              <w:szCs w:val="21"/>
              <w:highlight w:val="none"/>
            </w:rPr>
            <w:t>1</w:t>
          </w:r>
          <w:bookmarkEnd w:id="13"/>
          <w:r>
            <w:rPr>
              <w:rFonts w:hint="eastAsia" w:ascii="宋体" w:hAnsi="宋体" w:cs="宋体"/>
              <w:sz w:val="21"/>
              <w:szCs w:val="21"/>
              <w:highlight w:val="none"/>
            </w:rPr>
            <w:t>1</w:t>
          </w:r>
          <w:r>
            <w:rPr>
              <w:rFonts w:hint="eastAsia" w:ascii="宋体" w:hAnsi="宋体" w:cs="宋体"/>
              <w:sz w:val="21"/>
              <w:szCs w:val="21"/>
              <w:highlight w:val="none"/>
            </w:rPr>
            <w:fldChar w:fldCharType="end"/>
          </w:r>
        </w:p>
        <w:p w14:paraId="39C082C9">
          <w:pPr>
            <w:pStyle w:val="54"/>
            <w:tabs>
              <w:tab w:val="right" w:leader="dot" w:pos="8306"/>
            </w:tabs>
            <w:spacing w:line="320" w:lineRule="exact"/>
            <w:rPr>
              <w:rFonts w:hint="eastAsia" w:ascii="宋体" w:hAnsi="宋体" w:cs="宋体"/>
              <w:sz w:val="21"/>
              <w:szCs w:val="21"/>
              <w:highlight w:val="none"/>
            </w:rPr>
          </w:pPr>
          <w:r>
            <w:rPr>
              <w:highlight w:val="none"/>
            </w:rPr>
            <w:fldChar w:fldCharType="begin"/>
          </w:r>
          <w:r>
            <w:rPr>
              <w:highlight w:val="none"/>
            </w:rPr>
            <w:instrText xml:space="preserve"> HYPERLINK \l "_Toc28590_WPSOffice_Level1" </w:instrText>
          </w:r>
          <w:r>
            <w:rPr>
              <w:highlight w:val="none"/>
            </w:rPr>
            <w:fldChar w:fldCharType="separate"/>
          </w:r>
          <w:sdt>
            <w:sdtPr>
              <w:rPr>
                <w:rFonts w:hint="eastAsia" w:ascii="宋体" w:hAnsi="宋体" w:cs="宋体"/>
                <w:kern w:val="2"/>
                <w:sz w:val="21"/>
                <w:szCs w:val="21"/>
                <w:highlight w:val="none"/>
              </w:rPr>
              <w:id w:val="1199519383"/>
            </w:sdtPr>
            <w:sdtEndPr>
              <w:rPr>
                <w:rFonts w:hint="eastAsia" w:ascii="宋体" w:hAnsi="宋体" w:cs="宋体"/>
                <w:kern w:val="2"/>
                <w:sz w:val="21"/>
                <w:szCs w:val="21"/>
                <w:highlight w:val="none"/>
              </w:rPr>
            </w:sdtEndPr>
            <w:sdtContent>
              <w:r>
                <w:rPr>
                  <w:rFonts w:hint="eastAsia" w:ascii="宋体" w:hAnsi="宋体" w:cs="宋体"/>
                  <w:sz w:val="21"/>
                  <w:szCs w:val="21"/>
                  <w:highlight w:val="none"/>
                </w:rPr>
                <w:t>附录G（规范性）促进细胞增殖检测方法（CCK-8法）</w:t>
              </w:r>
            </w:sdtContent>
          </w:sdt>
          <w:r>
            <w:rPr>
              <w:rFonts w:hint="eastAsia" w:ascii="宋体" w:hAnsi="宋体" w:cs="宋体"/>
              <w:sz w:val="21"/>
              <w:szCs w:val="21"/>
              <w:highlight w:val="none"/>
            </w:rPr>
            <w:tab/>
          </w:r>
          <w:bookmarkStart w:id="14" w:name="_Toc28590_WPSOffice_Level1Page"/>
          <w:r>
            <w:rPr>
              <w:rFonts w:hint="eastAsia" w:ascii="宋体" w:hAnsi="宋体" w:cs="宋体"/>
              <w:sz w:val="21"/>
              <w:szCs w:val="21"/>
              <w:highlight w:val="none"/>
            </w:rPr>
            <w:t>1</w:t>
          </w:r>
          <w:bookmarkEnd w:id="14"/>
          <w:r>
            <w:rPr>
              <w:rFonts w:hint="eastAsia" w:ascii="宋体" w:hAnsi="宋体" w:cs="宋体"/>
              <w:sz w:val="21"/>
              <w:szCs w:val="21"/>
              <w:highlight w:val="none"/>
            </w:rPr>
            <w:t>2</w:t>
          </w:r>
          <w:r>
            <w:rPr>
              <w:rFonts w:hint="eastAsia" w:ascii="宋体" w:hAnsi="宋体" w:cs="宋体"/>
              <w:sz w:val="21"/>
              <w:szCs w:val="21"/>
              <w:highlight w:val="none"/>
            </w:rPr>
            <w:fldChar w:fldCharType="end"/>
          </w:r>
          <w:bookmarkEnd w:id="2"/>
        </w:p>
        <w:p w14:paraId="504F9861">
          <w:pPr>
            <w:pStyle w:val="54"/>
            <w:tabs>
              <w:tab w:val="right" w:leader="dot" w:pos="8306"/>
            </w:tabs>
            <w:spacing w:line="320" w:lineRule="exact"/>
            <w:rPr>
              <w:highlight w:val="none"/>
            </w:rPr>
          </w:pPr>
          <w:r>
            <w:rPr>
              <w:rFonts w:hint="eastAsia" w:ascii="宋体" w:hAnsi="宋体" w:cs="宋体"/>
              <w:sz w:val="21"/>
              <w:szCs w:val="21"/>
              <w:highlight w:val="none"/>
            </w:rPr>
            <w:t>参考文献</w:t>
          </w:r>
          <w:r>
            <w:rPr>
              <w:rFonts w:hint="eastAsia" w:ascii="宋体" w:hAnsi="宋体" w:cs="宋体"/>
              <w:sz w:val="21"/>
              <w:szCs w:val="21"/>
              <w:highlight w:val="none"/>
            </w:rPr>
            <w:tab/>
          </w:r>
          <w:r>
            <w:rPr>
              <w:rFonts w:hint="eastAsia" w:ascii="宋体" w:hAnsi="宋体" w:cs="宋体"/>
              <w:sz w:val="21"/>
              <w:szCs w:val="21"/>
              <w:highlight w:val="none"/>
            </w:rPr>
            <w:t>13</w:t>
          </w:r>
        </w:p>
      </w:sdtContent>
    </w:sdt>
    <w:p w14:paraId="189599A8">
      <w:pPr>
        <w:rPr>
          <w:rFonts w:hint="eastAsia" w:ascii="宋体" w:hAnsi="宋体" w:eastAsia="宋体" w:cs="Times New Roman"/>
          <w:b/>
          <w:szCs w:val="21"/>
          <w:highlight w:val="none"/>
        </w:rPr>
      </w:pPr>
    </w:p>
    <w:p w14:paraId="3E348265">
      <w:pPr>
        <w:spacing w:line="360" w:lineRule="auto"/>
        <w:jc w:val="center"/>
        <w:rPr>
          <w:rFonts w:hint="eastAsia" w:ascii="宋体" w:hAnsi="宋体" w:eastAsia="宋体" w:cs="Times New Roman"/>
          <w:b/>
          <w:bCs/>
          <w:sz w:val="32"/>
          <w:szCs w:val="32"/>
          <w:highlight w:val="none"/>
        </w:rPr>
        <w:sectPr>
          <w:footerReference r:id="rId9" w:type="first"/>
          <w:footerReference r:id="rId7" w:type="default"/>
          <w:footerReference r:id="rId8" w:type="even"/>
          <w:pgSz w:w="11906" w:h="16838"/>
          <w:pgMar w:top="1440" w:right="1800" w:bottom="1440" w:left="1800" w:header="851" w:footer="992" w:gutter="0"/>
          <w:pgNumType w:start="1"/>
          <w:cols w:space="425" w:num="1"/>
          <w:docGrid w:type="lines" w:linePitch="312" w:charSpace="0"/>
        </w:sectPr>
      </w:pPr>
    </w:p>
    <w:p w14:paraId="7F7B37A7">
      <w:pPr>
        <w:pStyle w:val="10"/>
        <w:jc w:val="center"/>
        <w:rPr>
          <w:rFonts w:hint="eastAsia" w:ascii="黑体" w:hAnsi="黑体" w:eastAsia="黑体" w:cs="黑体"/>
          <w:sz w:val="32"/>
          <w:szCs w:val="32"/>
          <w:highlight w:val="none"/>
        </w:rPr>
      </w:pPr>
      <w:bookmarkStart w:id="15" w:name="_Toc20411_WPSOffice_Level1"/>
      <w:r>
        <w:rPr>
          <w:rFonts w:hint="eastAsia" w:ascii="黑体" w:hAnsi="黑体" w:eastAsia="黑体" w:cs="黑体"/>
          <w:sz w:val="32"/>
          <w:szCs w:val="32"/>
          <w:highlight w:val="none"/>
        </w:rPr>
        <w:t>前  言</w:t>
      </w:r>
      <w:bookmarkEnd w:id="15"/>
    </w:p>
    <w:p w14:paraId="3512EF24">
      <w:pPr>
        <w:spacing w:line="360" w:lineRule="auto"/>
        <w:rPr>
          <w:rFonts w:hint="eastAsia" w:ascii="宋体" w:hAnsi="宋体" w:eastAsia="宋体" w:cs="Times New Roman"/>
          <w:sz w:val="24"/>
          <w:szCs w:val="24"/>
          <w:highlight w:val="none"/>
        </w:rPr>
      </w:pPr>
    </w:p>
    <w:p w14:paraId="326CFA17">
      <w:pPr>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本</w:t>
      </w:r>
      <w:r>
        <w:rPr>
          <w:rFonts w:hint="eastAsia" w:ascii="宋体" w:hAnsi="宋体" w:eastAsia="宋体" w:cs="Times New Roman"/>
          <w:szCs w:val="21"/>
          <w:highlight w:val="none"/>
        </w:rPr>
        <w:t>文件</w:t>
      </w:r>
      <w:r>
        <w:rPr>
          <w:rFonts w:ascii="宋体" w:hAnsi="宋体" w:eastAsia="宋体" w:cs="Times New Roman"/>
          <w:szCs w:val="21"/>
          <w:highlight w:val="none"/>
        </w:rPr>
        <w:t>按照GB/T 1.1—2020</w:t>
      </w:r>
      <w:r>
        <w:rPr>
          <w:rFonts w:hint="eastAsia" w:ascii="宋体" w:hAnsi="宋体" w:eastAsia="宋体" w:cs="Times New Roman"/>
          <w:szCs w:val="21"/>
          <w:highlight w:val="none"/>
        </w:rPr>
        <w:t>《标准化工作导则 第1部分：标准化文件的结构和起草规则》的规定</w:t>
      </w:r>
      <w:r>
        <w:rPr>
          <w:rFonts w:ascii="宋体" w:hAnsi="宋体" w:eastAsia="宋体" w:cs="Times New Roman"/>
          <w:szCs w:val="21"/>
          <w:highlight w:val="none"/>
        </w:rPr>
        <w:t>起草。</w:t>
      </w:r>
    </w:p>
    <w:p w14:paraId="19C31F2C">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本文件由中国研究型医院学会细胞外囊泡研究与应用专业委员会提出</w:t>
      </w:r>
      <w:r>
        <w:rPr>
          <w:rFonts w:hint="eastAsia" w:ascii="宋体" w:hAnsi="宋体" w:eastAsia="宋体" w:cs="Times New Roman"/>
          <w:szCs w:val="21"/>
          <w:highlight w:val="none"/>
          <w:lang w:eastAsia="zh-Hans"/>
        </w:rPr>
        <w:t>。</w:t>
      </w:r>
    </w:p>
    <w:p w14:paraId="6D8F9427">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本文件由中国研究型医院学会归口。</w:t>
      </w:r>
    </w:p>
    <w:p w14:paraId="38338CB6">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本文件起草单位：。</w:t>
      </w:r>
    </w:p>
    <w:p w14:paraId="2CA9F55D">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本文件主要起草人：。</w:t>
      </w:r>
    </w:p>
    <w:p w14:paraId="0F36C30F">
      <w:pPr>
        <w:spacing w:line="360" w:lineRule="auto"/>
        <w:rPr>
          <w:rFonts w:hint="eastAsia" w:ascii="宋体" w:hAnsi="宋体" w:eastAsia="宋体" w:cs="Times New Roman"/>
          <w:sz w:val="24"/>
          <w:szCs w:val="24"/>
          <w:highlight w:val="none"/>
        </w:rPr>
      </w:pPr>
    </w:p>
    <w:p w14:paraId="42E5DADC">
      <w:pPr>
        <w:spacing w:line="360" w:lineRule="auto"/>
        <w:rPr>
          <w:rFonts w:hint="eastAsia" w:ascii="宋体" w:hAnsi="宋体" w:eastAsia="宋体" w:cs="Times New Roman"/>
          <w:sz w:val="24"/>
          <w:szCs w:val="24"/>
          <w:highlight w:val="none"/>
        </w:rPr>
      </w:pPr>
    </w:p>
    <w:p w14:paraId="0709FD8C">
      <w:pPr>
        <w:widowControl/>
        <w:jc w:val="left"/>
        <w:rPr>
          <w:rFonts w:hint="eastAsia" w:ascii="宋体" w:hAnsi="宋体" w:eastAsia="宋体" w:cs="Times New Roman"/>
          <w:b/>
          <w:bCs/>
          <w:sz w:val="28"/>
          <w:szCs w:val="28"/>
          <w:highlight w:val="none"/>
        </w:rPr>
        <w:sectPr>
          <w:footerReference r:id="rId10" w:type="default"/>
          <w:footerReference r:id="rId11" w:type="even"/>
          <w:pgSz w:w="11906" w:h="16838"/>
          <w:pgMar w:top="1440" w:right="1800" w:bottom="1440" w:left="1800" w:header="851" w:footer="992" w:gutter="0"/>
          <w:pgNumType w:fmt="upperRoman" w:start="1"/>
          <w:cols w:space="425" w:num="1"/>
          <w:docGrid w:type="lines" w:linePitch="312" w:charSpace="0"/>
        </w:sectPr>
      </w:pPr>
      <w:r>
        <w:rPr>
          <w:rFonts w:ascii="宋体" w:hAnsi="宋体" w:eastAsia="宋体" w:cs="Times New Roman"/>
          <w:b/>
          <w:bCs/>
          <w:sz w:val="28"/>
          <w:szCs w:val="28"/>
          <w:highlight w:val="none"/>
        </w:rPr>
        <w:br w:type="page"/>
      </w:r>
    </w:p>
    <w:p w14:paraId="25508C3F">
      <w:pPr>
        <w:spacing w:line="360" w:lineRule="auto"/>
        <w:jc w:val="center"/>
        <w:rPr>
          <w:rFonts w:hint="eastAsia" w:ascii="宋体" w:hAnsi="宋体" w:eastAsia="宋体" w:cs="Times New Roman"/>
          <w:sz w:val="24"/>
          <w:szCs w:val="24"/>
          <w:highlight w:val="none"/>
        </w:rPr>
      </w:pPr>
      <w:bookmarkStart w:id="16" w:name="_Toc15502_WPSOffice_Level1"/>
      <w:r>
        <w:rPr>
          <w:rFonts w:hint="eastAsia" w:ascii="黑体" w:hAnsi="黑体" w:eastAsia="黑体" w:cs="黑体"/>
          <w:sz w:val="32"/>
          <w:szCs w:val="32"/>
          <w:highlight w:val="none"/>
        </w:rPr>
        <w:t>人多能干细胞来源的小细胞外囊泡</w:t>
      </w:r>
      <w:bookmarkEnd w:id="16"/>
    </w:p>
    <w:p w14:paraId="1E21230F">
      <w:pPr>
        <w:pStyle w:val="10"/>
        <w:numPr>
          <w:ilvl w:val="0"/>
          <w:numId w:val="2"/>
        </w:numPr>
        <w:rPr>
          <w:rFonts w:hint="eastAsia" w:ascii="黑体" w:hAnsi="黑体" w:eastAsia="黑体" w:cs="黑体"/>
          <w:sz w:val="21"/>
          <w:szCs w:val="21"/>
          <w:highlight w:val="none"/>
        </w:rPr>
      </w:pPr>
      <w:bookmarkStart w:id="17" w:name="_Toc4220_WPSOffice_Level1"/>
      <w:r>
        <w:rPr>
          <w:rFonts w:hint="eastAsia" w:ascii="黑体" w:hAnsi="黑体" w:eastAsia="黑体" w:cs="黑体"/>
          <w:sz w:val="21"/>
          <w:szCs w:val="21"/>
          <w:highlight w:val="none"/>
        </w:rPr>
        <w:t>范围</w:t>
      </w:r>
      <w:bookmarkEnd w:id="17"/>
    </w:p>
    <w:p w14:paraId="784AA593">
      <w:pPr>
        <w:spacing w:before="312" w:beforeLines="100"/>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本文件规定了生产</w:t>
      </w:r>
      <w:r>
        <w:rPr>
          <w:rFonts w:hint="eastAsia" w:ascii="宋体" w:hAnsi="宋体" w:eastAsia="宋体" w:cs="宋体"/>
          <w:bCs/>
          <w:szCs w:val="21"/>
          <w:highlight w:val="none"/>
        </w:rPr>
        <w:t>人多能干细胞来源的小细胞外囊泡的技术要求、检测方法、检验规则、包装、使用说明、标签、储存及运输和废弃物处理要求。</w:t>
      </w:r>
    </w:p>
    <w:p w14:paraId="62BF0245">
      <w:pPr>
        <w:spacing w:after="312" w:afterLines="10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本文件适用于人多能干细胞来源的小细胞外囊泡的生产与检测。</w:t>
      </w:r>
    </w:p>
    <w:p w14:paraId="54C6F34C">
      <w:pPr>
        <w:pStyle w:val="10"/>
        <w:numPr>
          <w:ilvl w:val="0"/>
          <w:numId w:val="2"/>
        </w:numPr>
        <w:rPr>
          <w:rFonts w:hint="eastAsia" w:ascii="黑体" w:hAnsi="黑体" w:eastAsia="黑体" w:cs="黑体"/>
          <w:sz w:val="21"/>
          <w:szCs w:val="21"/>
          <w:highlight w:val="none"/>
        </w:rPr>
      </w:pPr>
      <w:bookmarkStart w:id="18" w:name="_Toc19022_WPSOffice_Level1"/>
      <w:r>
        <w:rPr>
          <w:rFonts w:hint="eastAsia" w:ascii="黑体" w:hAnsi="黑体" w:eastAsia="黑体" w:cs="黑体"/>
          <w:sz w:val="21"/>
          <w:szCs w:val="21"/>
          <w:highlight w:val="none"/>
        </w:rPr>
        <w:t>规范性引用文件</w:t>
      </w:r>
      <w:bookmarkEnd w:id="18"/>
    </w:p>
    <w:p w14:paraId="6F708977">
      <w:pPr>
        <w:spacing w:before="312" w:beforeLines="10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下列文件中的内容通过文中的规范性引用而成为本文件必不可少的条款。</w:t>
      </w:r>
      <w:r>
        <w:rPr>
          <w:rFonts w:hint="eastAsia" w:ascii="宋体" w:hAnsi="宋体" w:eastAsia="宋体" w:cs="宋体"/>
          <w:szCs w:val="21"/>
          <w:highlight w:val="none"/>
        </w:rPr>
        <w:t>其中，</w:t>
      </w:r>
      <w:r>
        <w:rPr>
          <w:rFonts w:hint="eastAsia" w:ascii="宋体" w:hAnsi="宋体" w:eastAsia="宋体" w:cs="宋体"/>
          <w:bCs/>
          <w:szCs w:val="21"/>
          <w:highlight w:val="none"/>
        </w:rPr>
        <w:t>注日期的引用文件，仅注日期</w:t>
      </w:r>
      <w:r>
        <w:rPr>
          <w:rFonts w:hint="eastAsia" w:ascii="宋体" w:hAnsi="宋体" w:eastAsia="宋体" w:cs="宋体"/>
          <w:szCs w:val="21"/>
          <w:highlight w:val="none"/>
        </w:rPr>
        <w:t>对应</w:t>
      </w:r>
      <w:r>
        <w:rPr>
          <w:rFonts w:hint="eastAsia" w:ascii="宋体" w:hAnsi="宋体" w:eastAsia="宋体" w:cs="宋体"/>
          <w:bCs/>
          <w:szCs w:val="21"/>
          <w:highlight w:val="none"/>
        </w:rPr>
        <w:t>的版本适用于本文件；不注日期的引用文件，其最新版本（包括所有的修改单）适用于本文件。</w:t>
      </w:r>
    </w:p>
    <w:p w14:paraId="4B5698C9">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GB/T 6682  分析实验室用水规格和试验方法</w:t>
      </w:r>
    </w:p>
    <w:p w14:paraId="543028EA">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WS 213  丙型肝炎诊断</w:t>
      </w:r>
    </w:p>
    <w:p w14:paraId="569E874D">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WS 273  梅毒诊断</w:t>
      </w:r>
    </w:p>
    <w:p w14:paraId="1AB97D33">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WS 293  艾滋病和艾滋病病毒感染诊断标准</w:t>
      </w:r>
    </w:p>
    <w:p w14:paraId="5904DA67">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WS 299  乙型病毒性肝炎诊断标准</w:t>
      </w:r>
    </w:p>
    <w:p w14:paraId="2A3B8932">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T/CSCB 0001  干细胞通用要求</w:t>
      </w:r>
    </w:p>
    <w:p w14:paraId="490B0C98">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T/CSCB 0002  人胚干细胞</w:t>
      </w:r>
    </w:p>
    <w:p w14:paraId="47EEFD5B">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T/CSCB 0005  人诱导多能干细胞</w:t>
      </w:r>
    </w:p>
    <w:p w14:paraId="58E4A7C6">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药品生产质量管理规范</w:t>
      </w:r>
    </w:p>
    <w:p w14:paraId="57053B7B">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中华人民共和国药典（三部）</w:t>
      </w:r>
    </w:p>
    <w:p w14:paraId="1397F838">
      <w:pPr>
        <w:spacing w:after="312" w:afterLines="10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全国临床检验操作规程</w:t>
      </w:r>
    </w:p>
    <w:p w14:paraId="481A25B4">
      <w:pPr>
        <w:pStyle w:val="10"/>
        <w:numPr>
          <w:ilvl w:val="0"/>
          <w:numId w:val="2"/>
        </w:numPr>
        <w:rPr>
          <w:rFonts w:hint="eastAsia" w:ascii="黑体" w:hAnsi="黑体" w:eastAsia="黑体" w:cs="黑体"/>
          <w:sz w:val="21"/>
          <w:szCs w:val="21"/>
          <w:highlight w:val="none"/>
        </w:rPr>
      </w:pPr>
      <w:bookmarkStart w:id="19" w:name="_Toc26994_WPSOffice_Level1"/>
      <w:r>
        <w:rPr>
          <w:rFonts w:hint="eastAsia" w:ascii="黑体" w:hAnsi="黑体" w:eastAsia="黑体" w:cs="黑体"/>
          <w:sz w:val="21"/>
          <w:szCs w:val="21"/>
          <w:highlight w:val="none"/>
        </w:rPr>
        <w:t>术语和定义</w:t>
      </w:r>
      <w:bookmarkEnd w:id="19"/>
    </w:p>
    <w:p w14:paraId="683E4B84">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下列术语及定义适用于本文件。</w:t>
      </w:r>
    </w:p>
    <w:p w14:paraId="38E3EF54">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人多能干细胞 human pluripotent stem cell</w:t>
      </w:r>
    </w:p>
    <w:p w14:paraId="1B614455">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具有在体外无限地自我更新和向三胚层分化潜能的干细胞，包括人胚干细胞和人诱导多能干细胞。</w:t>
      </w:r>
    </w:p>
    <w:p w14:paraId="7D872A0C">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人胚干细胞 human embryonic stem cell</w:t>
      </w:r>
    </w:p>
    <w:p w14:paraId="4564FEE7">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可在体外无限地自我更新，并且具有向三胚层细胞分化潜能的，源自人着床前胚胎中未分化的初始细胞。</w:t>
      </w:r>
    </w:p>
    <w:p w14:paraId="4E93B72A">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人诱导多能干细胞 human induced pluripotent stem cell</w:t>
      </w:r>
    </w:p>
    <w:p w14:paraId="13E69888">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由人体细胞经重编程而获得的具有无限自我更新能力和向三胚层细胞分化潜能的一种干细胞。</w:t>
      </w:r>
    </w:p>
    <w:p w14:paraId="10765DD2">
      <w:pPr>
        <w:pStyle w:val="20"/>
        <w:numPr>
          <w:ilvl w:val="1"/>
          <w:numId w:val="2"/>
        </w:numPr>
        <w:ind w:firstLineChars="0"/>
        <w:rPr>
          <w:rFonts w:hint="eastAsia" w:ascii="宋体" w:hAnsi="宋体" w:eastAsia="宋体" w:cs="宋体"/>
          <w:b/>
          <w:szCs w:val="21"/>
          <w:highlight w:val="none"/>
        </w:rPr>
      </w:pPr>
      <w:r>
        <w:rPr>
          <w:rFonts w:hint="eastAsia" w:ascii="黑体" w:hAnsi="黑体" w:eastAsia="黑体" w:cs="黑体"/>
          <w:kern w:val="0"/>
          <w:szCs w:val="21"/>
          <w:highlight w:val="none"/>
        </w:rPr>
        <w:t>小细胞外囊泡 small extracellular vesicles</w:t>
      </w:r>
    </w:p>
    <w:p w14:paraId="27F9EE8C">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由细胞主动分泌的具有脂质双分子层膜结构的直径小于200nm的微小囊泡。</w:t>
      </w:r>
    </w:p>
    <w:p w14:paraId="4922BC2F">
      <w:pPr>
        <w:pStyle w:val="10"/>
        <w:numPr>
          <w:ilvl w:val="0"/>
          <w:numId w:val="2"/>
        </w:numPr>
        <w:rPr>
          <w:rFonts w:hint="eastAsia" w:ascii="宋体" w:hAnsi="宋体" w:eastAsia="宋体" w:cs="宋体"/>
          <w:sz w:val="21"/>
          <w:szCs w:val="21"/>
          <w:highlight w:val="none"/>
        </w:rPr>
      </w:pPr>
      <w:bookmarkStart w:id="20" w:name="_Toc7657_WPSOffice_Level1"/>
      <w:r>
        <w:rPr>
          <w:rFonts w:hint="eastAsia" w:ascii="黑体" w:hAnsi="黑体" w:eastAsia="黑体" w:cs="黑体"/>
          <w:sz w:val="21"/>
          <w:szCs w:val="21"/>
          <w:highlight w:val="none"/>
        </w:rPr>
        <w:t>技术要求</w:t>
      </w:r>
      <w:bookmarkEnd w:id="20"/>
    </w:p>
    <w:p w14:paraId="549A2E97">
      <w:pPr>
        <w:pStyle w:val="20"/>
        <w:numPr>
          <w:ilvl w:val="1"/>
          <w:numId w:val="2"/>
        </w:numPr>
        <w:spacing w:before="312" w:beforeLines="10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生产要求</w:t>
      </w:r>
    </w:p>
    <w:p w14:paraId="6E46821B">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原材料和辅料</w:t>
      </w:r>
    </w:p>
    <w:p w14:paraId="39FA36B0">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生产人多能干细胞来源的小细胞外囊泡的过程中，使用的原材料和辅料应符合T/CSCB0001、T/CSCB0002、T/CSCB0005要求。</w:t>
      </w:r>
    </w:p>
    <w:p w14:paraId="090446A8">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培养体系</w:t>
      </w:r>
    </w:p>
    <w:p w14:paraId="235713A7">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支持细胞</w:t>
      </w:r>
    </w:p>
    <w:p w14:paraId="5E99C170">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人多能干细胞应在无滋养层的培养体系中培养。</w:t>
      </w:r>
    </w:p>
    <w:p w14:paraId="4B9EC260">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细胞基质</w:t>
      </w:r>
    </w:p>
    <w:p w14:paraId="2493AACD">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应采用符合《药品生产质量管理规范》的成分明确、无动物源成分的细胞外基质。</w:t>
      </w:r>
    </w:p>
    <w:p w14:paraId="500C50B7">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细胞培养基及添加剂</w:t>
      </w:r>
    </w:p>
    <w:p w14:paraId="038158F2">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应采用符合《药品生产质量管理规范》的成分明确的、无动物源成分的、不含囊泡的培养基。</w:t>
      </w:r>
    </w:p>
    <w:p w14:paraId="143DF4F0">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细胞消化液</w:t>
      </w:r>
    </w:p>
    <w:p w14:paraId="4F10E3FD">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应采用符合《药品生产质量管理规范》的成分明确、无动物源成分的细胞消化液。</w:t>
      </w:r>
    </w:p>
    <w:p w14:paraId="5F33FD83">
      <w:pPr>
        <w:pStyle w:val="20"/>
        <w:numPr>
          <w:ilvl w:val="2"/>
          <w:numId w:val="2"/>
        </w:numPr>
        <w:spacing w:before="156" w:beforeLines="50" w:after="156" w:afterLines="50"/>
        <w:ind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人多能干细胞培养上清液的收集与储存</w:t>
      </w:r>
    </w:p>
    <w:p w14:paraId="68916733">
      <w:pPr>
        <w:pStyle w:val="20"/>
        <w:numPr>
          <w:ilvl w:val="3"/>
          <w:numId w:val="2"/>
        </w:numPr>
        <w:ind w:firstLine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收集人多能干细胞的培养上清液后应依次去除死细胞及细胞碎片，记录去除方法。</w:t>
      </w:r>
    </w:p>
    <w:p w14:paraId="2D30FCD9">
      <w:pPr>
        <w:pStyle w:val="20"/>
        <w:numPr>
          <w:ilvl w:val="3"/>
          <w:numId w:val="2"/>
        </w:numPr>
        <w:ind w:firstLine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经过以上处理的培养上清液应即刻分离小细胞外囊泡或-80℃保存。</w:t>
      </w:r>
    </w:p>
    <w:p w14:paraId="560749E2">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关键质量属性</w:t>
      </w:r>
    </w:p>
    <w:p w14:paraId="70AA4F4C">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人多能干细胞</w:t>
      </w:r>
    </w:p>
    <w:p w14:paraId="50B0FB89">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用于生产小细胞外囊泡的人多能干细胞的关键质量属性分别完全符合T/CSCB0002和T/CSCB0005的规定。</w:t>
      </w:r>
    </w:p>
    <w:p w14:paraId="30AEAA63">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w:t>
      </w:r>
    </w:p>
    <w:p w14:paraId="37CB55DB">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形态</w:t>
      </w:r>
    </w:p>
    <w:p w14:paraId="0EA98DC0">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透射电镜下应呈现不聚团的具有清晰膜结构的茶托状或杯状结构，边缘清晰。</w:t>
      </w:r>
    </w:p>
    <w:p w14:paraId="19AFB467">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粒径</w:t>
      </w:r>
    </w:p>
    <w:p w14:paraId="04A888FF">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应分布在小于200nm范围内，且在30-200nm范围内存在粒径峰值。</w:t>
      </w:r>
    </w:p>
    <w:p w14:paraId="509C4D3E">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通用标志物</w:t>
      </w:r>
    </w:p>
    <w:p w14:paraId="174C1C9E">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小细胞外囊泡表面标志物CD9、CD81、CD63中的任意两个表达阳性；小细胞外囊泡内部标志物TSG-101、Alix中的任意一个表达阳性。</w:t>
      </w:r>
    </w:p>
    <w:p w14:paraId="5B6535E5">
      <w:pPr>
        <w:pStyle w:val="20"/>
        <w:numPr>
          <w:ilvl w:val="3"/>
          <w:numId w:val="2"/>
        </w:numPr>
        <w:spacing w:before="156" w:beforeLines="50" w:after="156" w:afterLines="50"/>
        <w:ind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特征标志物</w:t>
      </w:r>
    </w:p>
    <w:p w14:paraId="54D16BF4">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人多能干细胞来源的小细胞外囊泡内部特征标志物</w:t>
      </w:r>
      <w:r>
        <w:rPr>
          <w:rFonts w:ascii="宋体" w:hAnsi="宋体" w:eastAsia="宋体" w:cs="宋体"/>
          <w:color w:val="000000" w:themeColor="text1"/>
          <w:szCs w:val="21"/>
          <w:highlight w:val="none"/>
          <w14:textFill>
            <w14:solidFill>
              <w14:schemeClr w14:val="tx1"/>
            </w14:solidFill>
          </w14:textFill>
        </w:rPr>
        <w:t>OCT4、</w:t>
      </w:r>
      <w:r>
        <w:rPr>
          <w:rFonts w:hint="eastAsia" w:ascii="宋体" w:hAnsi="宋体" w:eastAsia="宋体" w:cs="宋体"/>
          <w:color w:val="000000" w:themeColor="text1"/>
          <w:szCs w:val="21"/>
          <w:highlight w:val="none"/>
          <w14:textFill>
            <w14:solidFill>
              <w14:schemeClr w14:val="tx1"/>
            </w14:solidFill>
          </w14:textFill>
        </w:rPr>
        <w:t>DNMT3A</w:t>
      </w:r>
      <w:r>
        <w:rPr>
          <w:rFonts w:ascii="宋体" w:hAnsi="宋体" w:eastAsia="宋体" w:cs="宋体"/>
          <w:color w:val="000000" w:themeColor="text1"/>
          <w:szCs w:val="21"/>
          <w:highlight w:val="none"/>
          <w14:textFill>
            <w14:solidFill>
              <w14:schemeClr w14:val="tx1"/>
            </w14:solidFill>
          </w14:textFill>
        </w:rPr>
        <w:t>、LIN28A</w:t>
      </w:r>
      <w:r>
        <w:rPr>
          <w:rFonts w:hint="eastAsia" w:ascii="宋体" w:hAnsi="宋体" w:eastAsia="宋体" w:cs="宋体"/>
          <w:color w:val="000000" w:themeColor="text1"/>
          <w:szCs w:val="21"/>
          <w:highlight w:val="none"/>
          <w14:textFill>
            <w14:solidFill>
              <w14:schemeClr w14:val="tx1"/>
            </w14:solidFill>
          </w14:textFill>
        </w:rPr>
        <w:t>中的任意两个表达应为阳性；表面特征标志物</w:t>
      </w:r>
      <w:r>
        <w:rPr>
          <w:rFonts w:ascii="宋体" w:hAnsi="宋体" w:eastAsia="宋体" w:cs="宋体"/>
          <w:color w:val="000000" w:themeColor="text1"/>
          <w:szCs w:val="21"/>
          <w:highlight w:val="none"/>
          <w14:textFill>
            <w14:solidFill>
              <w14:schemeClr w14:val="tx1"/>
            </w14:solidFill>
          </w14:textFill>
        </w:rPr>
        <w:t>PODXL</w:t>
      </w:r>
      <w:r>
        <w:rPr>
          <w:rFonts w:hint="eastAsia" w:ascii="宋体" w:hAnsi="宋体" w:eastAsia="宋体" w:cs="宋体"/>
          <w:color w:val="000000" w:themeColor="text1"/>
          <w:szCs w:val="21"/>
          <w:highlight w:val="none"/>
          <w14:textFill>
            <w14:solidFill>
              <w14:schemeClr w14:val="tx1"/>
            </w14:solidFill>
          </w14:textFill>
        </w:rPr>
        <w:t>阳性率不小于</w:t>
      </w:r>
      <w:r>
        <w:rPr>
          <w:rFonts w:ascii="宋体" w:hAnsi="宋体" w:eastAsia="宋体" w:cs="宋体"/>
          <w:color w:val="000000" w:themeColor="text1"/>
          <w:szCs w:val="21"/>
          <w:highlight w:val="none"/>
          <w14:textFill>
            <w14:solidFill>
              <w14:schemeClr w14:val="tx1"/>
            </w14:solidFill>
          </w14:textFill>
        </w:rPr>
        <w:t>50%</w:t>
      </w: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SSEA4</w:t>
      </w:r>
      <w:r>
        <w:rPr>
          <w:rFonts w:hint="eastAsia" w:ascii="宋体" w:hAnsi="宋体" w:eastAsia="宋体" w:cs="宋体"/>
          <w:color w:val="000000" w:themeColor="text1"/>
          <w:szCs w:val="21"/>
          <w:highlight w:val="none"/>
          <w14:textFill>
            <w14:solidFill>
              <w14:schemeClr w14:val="tx1"/>
            </w14:solidFill>
          </w14:textFill>
        </w:rPr>
        <w:t>阳性率不小于</w:t>
      </w:r>
      <w:r>
        <w:rPr>
          <w:rFonts w:ascii="宋体" w:hAnsi="宋体" w:eastAsia="宋体" w:cs="宋体"/>
          <w:color w:val="000000" w:themeColor="text1"/>
          <w:szCs w:val="21"/>
          <w:highlight w:val="none"/>
          <w14:textFill>
            <w14:solidFill>
              <w14:schemeClr w14:val="tx1"/>
            </w14:solidFill>
          </w14:textFill>
        </w:rPr>
        <w:t>50%。</w:t>
      </w:r>
    </w:p>
    <w:p w14:paraId="5DF28BC0">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纯度</w:t>
      </w:r>
    </w:p>
    <w:p w14:paraId="3CE820FD">
      <w:pPr>
        <w:pStyle w:val="20"/>
        <w:spacing w:before="156" w:beforeLines="50" w:after="156" w:afterLines="50"/>
        <w:rPr>
          <w:rFonts w:hint="eastAsia" w:ascii="宋体" w:hAnsi="宋体" w:eastAsia="宋体" w:cs="宋体"/>
          <w:bCs/>
          <w:szCs w:val="21"/>
          <w:highlight w:val="none"/>
        </w:rPr>
      </w:pPr>
      <w:r>
        <w:rPr>
          <w:rFonts w:hint="eastAsia" w:ascii="宋体" w:hAnsi="宋体" w:eastAsia="宋体" w:cs="宋体"/>
          <w:bCs/>
          <w:szCs w:val="21"/>
          <w:highlight w:val="none"/>
        </w:rPr>
        <w:t>小细胞外囊泡阴性标志物GM130或Calnexin应为阴性；小细胞外囊泡数量与蛋白量比值不低于1×10</w:t>
      </w:r>
      <w:r>
        <w:rPr>
          <w:rFonts w:hint="eastAsia" w:ascii="宋体" w:hAnsi="宋体" w:eastAsia="宋体" w:cs="宋体"/>
          <w:bCs/>
          <w:szCs w:val="21"/>
          <w:highlight w:val="none"/>
          <w:vertAlign w:val="superscript"/>
        </w:rPr>
        <w:t>8</w:t>
      </w:r>
      <w:r>
        <w:rPr>
          <w:rFonts w:hint="eastAsia" w:ascii="宋体" w:hAnsi="宋体" w:eastAsia="宋体" w:cs="宋体"/>
          <w:bCs/>
          <w:szCs w:val="21"/>
          <w:highlight w:val="none"/>
        </w:rPr>
        <w:t>个颗粒/</w:t>
      </w:r>
      <w:bookmarkStart w:id="21" w:name="OLE_LINK4"/>
      <w:bookmarkStart w:id="22" w:name="_Hlk200643850"/>
      <w:r>
        <w:rPr>
          <w:rFonts w:hint="eastAsia" w:ascii="宋体" w:hAnsi="宋体" w:eastAsia="宋体" w:cs="宋体"/>
          <w:bCs/>
          <w:szCs w:val="21"/>
          <w:highlight w:val="none"/>
        </w:rPr>
        <w:t>μ</w:t>
      </w:r>
      <w:bookmarkEnd w:id="21"/>
      <w:r>
        <w:rPr>
          <w:rFonts w:hint="eastAsia" w:ascii="宋体" w:hAnsi="宋体" w:eastAsia="宋体" w:cs="宋体"/>
          <w:bCs/>
          <w:szCs w:val="21"/>
          <w:highlight w:val="none"/>
        </w:rPr>
        <w:t>ｇ</w:t>
      </w:r>
      <w:bookmarkEnd w:id="22"/>
      <w:r>
        <w:rPr>
          <w:rFonts w:hint="eastAsia" w:ascii="宋体" w:hAnsi="宋体" w:eastAsia="宋体" w:cs="宋体"/>
          <w:bCs/>
          <w:szCs w:val="21"/>
          <w:highlight w:val="none"/>
        </w:rPr>
        <w:t>蛋白。</w:t>
      </w:r>
    </w:p>
    <w:p w14:paraId="30465464">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生物活性</w:t>
      </w:r>
    </w:p>
    <w:p w14:paraId="152048F0">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能促进体外培养的血管内皮细胞和成纤维细胞增殖。</w:t>
      </w:r>
    </w:p>
    <w:p w14:paraId="129AD30A">
      <w:pPr>
        <w:pStyle w:val="20"/>
        <w:numPr>
          <w:ilvl w:val="3"/>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微生物</w:t>
      </w:r>
    </w:p>
    <w:p w14:paraId="589EF4C8">
      <w:pPr>
        <w:pStyle w:val="20"/>
        <w:spacing w:before="156" w:beforeLines="50" w:after="156" w:afterLines="50"/>
        <w:rPr>
          <w:rFonts w:hint="eastAsia" w:ascii="宋体" w:hAnsi="宋体" w:eastAsia="宋体" w:cs="宋体"/>
          <w:szCs w:val="21"/>
          <w:highlight w:val="none"/>
        </w:rPr>
      </w:pPr>
      <w:r>
        <w:rPr>
          <w:rFonts w:hint="eastAsia" w:ascii="宋体" w:hAnsi="宋体" w:eastAsia="宋体" w:cs="宋体"/>
          <w:szCs w:val="21"/>
          <w:highlight w:val="none"/>
        </w:rPr>
        <w:t>真菌、细菌、支原体、人类免疫缺陷病毒、乙型肝炎病毒、丙型肝炎病毒、人类嗜T细胞病毒、人类疱疹病毒、人巨细胞病毒、梅毒螺旋体应为阴性。</w:t>
      </w:r>
    </w:p>
    <w:p w14:paraId="0E7E25BD">
      <w:pPr>
        <w:pStyle w:val="20"/>
        <w:numPr>
          <w:ilvl w:val="3"/>
          <w:numId w:val="2"/>
        </w:numPr>
        <w:spacing w:before="156" w:beforeLines="50" w:after="156" w:afterLines="50"/>
        <w:ind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内毒素</w:t>
      </w:r>
    </w:p>
    <w:p w14:paraId="187A7C3C">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内毒素含量应低于0.5 EU/mL</w:t>
      </w:r>
      <w:r>
        <w:rPr>
          <w:rFonts w:ascii="宋体" w:hAnsi="宋体" w:eastAsia="宋体" w:cs="宋体"/>
          <w:color w:val="000000" w:themeColor="text1"/>
          <w:szCs w:val="21"/>
          <w:highlight w:val="none"/>
          <w14:textFill>
            <w14:solidFill>
              <w14:schemeClr w14:val="tx1"/>
            </w14:solidFill>
          </w14:textFill>
        </w:rPr>
        <w:t>。</w:t>
      </w:r>
    </w:p>
    <w:p w14:paraId="652187CD">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过程控制</w:t>
      </w:r>
    </w:p>
    <w:p w14:paraId="5263B9EF">
      <w:pPr>
        <w:spacing w:before="156" w:beforeLines="50" w:after="312" w:afterLines="100"/>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应记录小细胞外囊泡的分离方法。</w:t>
      </w:r>
    </w:p>
    <w:p w14:paraId="56E0E655">
      <w:pPr>
        <w:pStyle w:val="10"/>
        <w:numPr>
          <w:ilvl w:val="0"/>
          <w:numId w:val="2"/>
        </w:numPr>
        <w:rPr>
          <w:rFonts w:hint="eastAsia" w:ascii="黑体" w:hAnsi="黑体" w:eastAsia="黑体" w:cs="黑体"/>
          <w:sz w:val="21"/>
          <w:szCs w:val="21"/>
          <w:highlight w:val="none"/>
        </w:rPr>
      </w:pPr>
      <w:bookmarkStart w:id="23" w:name="_Toc9169_WPSOffice_Level1"/>
      <w:r>
        <w:rPr>
          <w:rFonts w:hint="eastAsia" w:ascii="黑体" w:hAnsi="黑体" w:eastAsia="黑体" w:cs="黑体"/>
          <w:sz w:val="21"/>
          <w:szCs w:val="21"/>
          <w:highlight w:val="none"/>
        </w:rPr>
        <w:t>检测方法</w:t>
      </w:r>
      <w:bookmarkEnd w:id="23"/>
    </w:p>
    <w:p w14:paraId="0CF122EC">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人多能干细胞</w:t>
      </w:r>
    </w:p>
    <w:p w14:paraId="19D57B9F">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按照T/CSCB0002和T/CSCB0005文件规定的关键质量属性标准进行检测。</w:t>
      </w:r>
    </w:p>
    <w:p w14:paraId="4AE5200F">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小细胞外囊泡形态</w:t>
      </w:r>
    </w:p>
    <w:p w14:paraId="530BCD98">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按照附录A的方法检测。</w:t>
      </w:r>
    </w:p>
    <w:p w14:paraId="06DB1A83">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小细胞外囊泡数量</w:t>
      </w:r>
    </w:p>
    <w:p w14:paraId="1E94C259">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按照附录B的方法检测。</w:t>
      </w:r>
    </w:p>
    <w:p w14:paraId="4BF090FF">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小细胞外囊泡粒径</w:t>
      </w:r>
    </w:p>
    <w:p w14:paraId="66F7571C">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按照附录C的方法检测。</w:t>
      </w:r>
    </w:p>
    <w:p w14:paraId="39D5AA29">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小细胞外囊泡通用标志物</w:t>
      </w:r>
    </w:p>
    <w:p w14:paraId="54EDAA54">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按照附录D的方法检测。</w:t>
      </w:r>
    </w:p>
    <w:p w14:paraId="4319B763">
      <w:pPr>
        <w:pStyle w:val="20"/>
        <w:numPr>
          <w:ilvl w:val="1"/>
          <w:numId w:val="2"/>
        </w:numPr>
        <w:spacing w:before="156" w:beforeLines="50" w:after="156" w:afterLines="50"/>
        <w:ind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小细胞外囊泡特征</w:t>
      </w:r>
      <w:r>
        <w:rPr>
          <w:rFonts w:ascii="黑体" w:hAnsi="黑体" w:eastAsia="黑体" w:cs="黑体"/>
          <w:color w:val="000000" w:themeColor="text1"/>
          <w:kern w:val="0"/>
          <w:szCs w:val="21"/>
          <w:highlight w:val="none"/>
          <w14:textFill>
            <w14:solidFill>
              <w14:schemeClr w14:val="tx1"/>
            </w14:solidFill>
          </w14:textFill>
        </w:rPr>
        <w:t>标志物</w:t>
      </w:r>
    </w:p>
    <w:p w14:paraId="779405D6">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小细胞外囊泡内部标志物按照附录D的方法检测；表面标志物按照附录E的方法检测。</w:t>
      </w:r>
    </w:p>
    <w:p w14:paraId="3CAC44A3">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小细胞外囊泡纯度</w:t>
      </w:r>
    </w:p>
    <w:p w14:paraId="37D1FF2D">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小细胞外囊泡数量与蛋白量比值</w:t>
      </w:r>
    </w:p>
    <w:p w14:paraId="0E3732A6">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按照附录F的方法计算。</w:t>
      </w:r>
    </w:p>
    <w:p w14:paraId="769EC0D9">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小细胞外囊泡阴性标志物</w:t>
      </w:r>
    </w:p>
    <w:p w14:paraId="43594E07">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按照附录D的方法检测。</w:t>
      </w:r>
    </w:p>
    <w:p w14:paraId="54132C7F">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小细胞外囊泡生物活性</w:t>
      </w:r>
    </w:p>
    <w:p w14:paraId="7E9EE8B0">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促进血管内皮细胞增殖</w:t>
      </w:r>
    </w:p>
    <w:p w14:paraId="31519F00">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按照附录G的方法检测。</w:t>
      </w:r>
    </w:p>
    <w:p w14:paraId="234D8E9B">
      <w:pPr>
        <w:pStyle w:val="20"/>
        <w:numPr>
          <w:ilvl w:val="2"/>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促进成纤维细胞增殖</w:t>
      </w:r>
    </w:p>
    <w:p w14:paraId="71648E59">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按照附录G的方法检测。</w:t>
      </w:r>
    </w:p>
    <w:p w14:paraId="39B5D575">
      <w:pPr>
        <w:pStyle w:val="20"/>
        <w:numPr>
          <w:ilvl w:val="1"/>
          <w:numId w:val="2"/>
        </w:numPr>
        <w:spacing w:before="156" w:beforeLines="50" w:after="156" w:after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微生物</w:t>
      </w:r>
    </w:p>
    <w:p w14:paraId="0FCABD5A">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微生物检验方法按表1执行。</w:t>
      </w:r>
    </w:p>
    <w:p w14:paraId="6FCEE2FC">
      <w:pPr>
        <w:spacing w:before="156" w:beforeLines="50" w:after="156" w:afterLines="50"/>
        <w:ind w:firstLine="422" w:firstLineChars="200"/>
        <w:jc w:val="center"/>
        <w:rPr>
          <w:rFonts w:hint="eastAsia" w:ascii="宋体" w:hAnsi="宋体" w:eastAsia="宋体" w:cs="宋体"/>
          <w:b/>
          <w:bCs/>
          <w:szCs w:val="21"/>
          <w:highlight w:val="none"/>
        </w:rPr>
      </w:pPr>
      <w:r>
        <w:rPr>
          <w:rFonts w:hint="eastAsia" w:ascii="宋体" w:hAnsi="宋体" w:eastAsia="宋体" w:cs="宋体"/>
          <w:b/>
          <w:bCs/>
          <w:szCs w:val="21"/>
          <w:highlight w:val="none"/>
        </w:rPr>
        <w:t xml:space="preserve">表1 微生物检验方法 </w:t>
      </w:r>
    </w:p>
    <w:tbl>
      <w:tblPr>
        <w:tblStyle w:val="15"/>
        <w:tblW w:w="8296"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367"/>
      </w:tblGrid>
      <w:tr w14:paraId="5E35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6EE6CDB6">
            <w:pPr>
              <w:jc w:val="center"/>
              <w:rPr>
                <w:rFonts w:hint="eastAsia" w:ascii="宋体" w:hAnsi="宋体" w:eastAsia="宋体" w:cs="宋体"/>
                <w:szCs w:val="21"/>
                <w:highlight w:val="none"/>
              </w:rPr>
            </w:pPr>
            <w:r>
              <w:rPr>
                <w:rFonts w:hint="eastAsia" w:ascii="宋体" w:hAnsi="宋体" w:eastAsia="宋体" w:cs="宋体"/>
                <w:szCs w:val="21"/>
                <w:highlight w:val="none"/>
              </w:rPr>
              <w:t>项目</w:t>
            </w:r>
          </w:p>
        </w:tc>
        <w:tc>
          <w:tcPr>
            <w:tcW w:w="6367" w:type="dxa"/>
          </w:tcPr>
          <w:p w14:paraId="276EBC2D">
            <w:pPr>
              <w:jc w:val="center"/>
              <w:rPr>
                <w:rFonts w:hint="eastAsia" w:ascii="宋体" w:hAnsi="宋体" w:eastAsia="宋体" w:cs="宋体"/>
                <w:szCs w:val="21"/>
                <w:highlight w:val="none"/>
              </w:rPr>
            </w:pPr>
            <w:r>
              <w:rPr>
                <w:rFonts w:hint="eastAsia" w:ascii="宋体" w:hAnsi="宋体" w:eastAsia="宋体" w:cs="宋体"/>
                <w:szCs w:val="21"/>
                <w:highlight w:val="none"/>
              </w:rPr>
              <w:t>检验方法</w:t>
            </w:r>
          </w:p>
        </w:tc>
      </w:tr>
      <w:tr w14:paraId="10E1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FABCEB8">
            <w:pPr>
              <w:rPr>
                <w:rFonts w:hint="eastAsia" w:ascii="宋体" w:hAnsi="宋体" w:eastAsia="宋体" w:cs="宋体"/>
                <w:szCs w:val="21"/>
                <w:highlight w:val="none"/>
              </w:rPr>
            </w:pPr>
            <w:r>
              <w:rPr>
                <w:rFonts w:hint="eastAsia" w:ascii="宋体" w:hAnsi="宋体" w:eastAsia="宋体" w:cs="宋体"/>
                <w:szCs w:val="21"/>
                <w:highlight w:val="none"/>
              </w:rPr>
              <w:t>真菌</w:t>
            </w:r>
          </w:p>
        </w:tc>
        <w:tc>
          <w:tcPr>
            <w:tcW w:w="6367" w:type="dxa"/>
          </w:tcPr>
          <w:p w14:paraId="0D264994">
            <w:pPr>
              <w:rPr>
                <w:rFonts w:hint="eastAsia" w:ascii="宋体" w:hAnsi="宋体" w:eastAsia="宋体" w:cs="宋体"/>
                <w:szCs w:val="21"/>
                <w:highlight w:val="none"/>
              </w:rPr>
            </w:pPr>
            <w:r>
              <w:rPr>
                <w:rFonts w:hint="eastAsia" w:ascii="宋体" w:hAnsi="宋体" w:eastAsia="宋体" w:cs="宋体"/>
                <w:szCs w:val="21"/>
                <w:highlight w:val="none"/>
              </w:rPr>
              <w:t>《中华人民共和国药典》中“1101无菌检查法”</w:t>
            </w:r>
          </w:p>
        </w:tc>
      </w:tr>
      <w:tr w14:paraId="3892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34F92938">
            <w:pPr>
              <w:rPr>
                <w:rFonts w:hint="eastAsia" w:ascii="宋体" w:hAnsi="宋体" w:eastAsia="宋体" w:cs="宋体"/>
                <w:szCs w:val="21"/>
                <w:highlight w:val="none"/>
              </w:rPr>
            </w:pPr>
            <w:r>
              <w:rPr>
                <w:rFonts w:hint="eastAsia" w:ascii="宋体" w:hAnsi="宋体" w:eastAsia="宋体" w:cs="宋体"/>
                <w:szCs w:val="21"/>
                <w:highlight w:val="none"/>
              </w:rPr>
              <w:t>细菌</w:t>
            </w:r>
          </w:p>
        </w:tc>
        <w:tc>
          <w:tcPr>
            <w:tcW w:w="6367" w:type="dxa"/>
          </w:tcPr>
          <w:p w14:paraId="55AF13AC">
            <w:pPr>
              <w:rPr>
                <w:rFonts w:hint="eastAsia" w:ascii="宋体" w:hAnsi="宋体" w:eastAsia="宋体" w:cs="宋体"/>
                <w:szCs w:val="21"/>
                <w:highlight w:val="none"/>
              </w:rPr>
            </w:pPr>
            <w:r>
              <w:rPr>
                <w:rFonts w:hint="eastAsia" w:ascii="宋体" w:hAnsi="宋体" w:eastAsia="宋体" w:cs="宋体"/>
                <w:szCs w:val="21"/>
                <w:highlight w:val="none"/>
              </w:rPr>
              <w:t>《中华人民共和国药典》中“1101无菌检查法”</w:t>
            </w:r>
          </w:p>
        </w:tc>
      </w:tr>
      <w:tr w14:paraId="14C9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69724068">
            <w:pPr>
              <w:rPr>
                <w:rFonts w:hint="eastAsia" w:ascii="宋体" w:hAnsi="宋体" w:eastAsia="宋体" w:cs="宋体"/>
                <w:szCs w:val="21"/>
                <w:highlight w:val="none"/>
              </w:rPr>
            </w:pPr>
            <w:r>
              <w:rPr>
                <w:rFonts w:hint="eastAsia" w:ascii="宋体" w:hAnsi="宋体" w:eastAsia="宋体" w:cs="宋体"/>
                <w:szCs w:val="21"/>
                <w:highlight w:val="none"/>
              </w:rPr>
              <w:t>支原体</w:t>
            </w:r>
          </w:p>
        </w:tc>
        <w:tc>
          <w:tcPr>
            <w:tcW w:w="6367" w:type="dxa"/>
          </w:tcPr>
          <w:p w14:paraId="5F1DC98B">
            <w:pPr>
              <w:rPr>
                <w:rFonts w:hint="eastAsia" w:ascii="宋体" w:hAnsi="宋体" w:eastAsia="宋体" w:cs="宋体"/>
                <w:szCs w:val="21"/>
                <w:highlight w:val="none"/>
              </w:rPr>
            </w:pPr>
            <w:r>
              <w:rPr>
                <w:rFonts w:hint="eastAsia" w:ascii="宋体" w:hAnsi="宋体" w:eastAsia="宋体" w:cs="宋体"/>
                <w:szCs w:val="21"/>
                <w:highlight w:val="none"/>
              </w:rPr>
              <w:t>《中华人民共和国药典》中“3301支原体检查法”</w:t>
            </w:r>
          </w:p>
        </w:tc>
      </w:tr>
      <w:tr w14:paraId="59F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1C97F1E3">
            <w:pPr>
              <w:rPr>
                <w:rFonts w:hint="eastAsia" w:ascii="宋体" w:hAnsi="宋体" w:eastAsia="宋体" w:cs="宋体"/>
                <w:szCs w:val="21"/>
                <w:highlight w:val="none"/>
              </w:rPr>
            </w:pPr>
            <w:r>
              <w:rPr>
                <w:rFonts w:hint="eastAsia" w:ascii="宋体" w:hAnsi="宋体" w:eastAsia="宋体"/>
                <w:highlight w:val="none"/>
              </w:rPr>
              <w:t>人类免疫缺陷病毒</w:t>
            </w:r>
          </w:p>
        </w:tc>
        <w:tc>
          <w:tcPr>
            <w:tcW w:w="6367" w:type="dxa"/>
          </w:tcPr>
          <w:p w14:paraId="0C2747DE">
            <w:pPr>
              <w:rPr>
                <w:rFonts w:hint="eastAsia" w:ascii="宋体" w:hAnsi="宋体" w:eastAsia="宋体" w:cs="宋体"/>
                <w:szCs w:val="21"/>
                <w:highlight w:val="none"/>
              </w:rPr>
            </w:pPr>
            <w:r>
              <w:rPr>
                <w:rFonts w:hint="eastAsia" w:ascii="宋体" w:hAnsi="宋体" w:eastAsia="宋体" w:cs="宋体"/>
                <w:szCs w:val="21"/>
                <w:highlight w:val="none"/>
              </w:rPr>
              <w:t>WS 293核酸法</w:t>
            </w:r>
          </w:p>
        </w:tc>
      </w:tr>
      <w:tr w14:paraId="0A41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5018BCD5">
            <w:pPr>
              <w:rPr>
                <w:rFonts w:hint="eastAsia" w:ascii="宋体" w:hAnsi="宋体" w:eastAsia="宋体" w:cs="宋体"/>
                <w:szCs w:val="21"/>
                <w:highlight w:val="none"/>
              </w:rPr>
            </w:pPr>
            <w:r>
              <w:rPr>
                <w:rFonts w:hint="eastAsia" w:ascii="宋体" w:hAnsi="宋体" w:eastAsia="宋体"/>
                <w:highlight w:val="none"/>
              </w:rPr>
              <w:t>乙型肝炎病毒</w:t>
            </w:r>
          </w:p>
        </w:tc>
        <w:tc>
          <w:tcPr>
            <w:tcW w:w="6367" w:type="dxa"/>
          </w:tcPr>
          <w:p w14:paraId="60111437">
            <w:pPr>
              <w:rPr>
                <w:rFonts w:hint="eastAsia" w:ascii="宋体" w:hAnsi="宋体" w:eastAsia="宋体" w:cs="宋体"/>
                <w:szCs w:val="21"/>
                <w:highlight w:val="none"/>
              </w:rPr>
            </w:pPr>
            <w:r>
              <w:rPr>
                <w:rFonts w:hint="eastAsia" w:ascii="宋体" w:hAnsi="宋体" w:eastAsia="宋体" w:cs="宋体"/>
                <w:szCs w:val="21"/>
                <w:highlight w:val="none"/>
              </w:rPr>
              <w:t>WS 299核酸法</w:t>
            </w:r>
          </w:p>
        </w:tc>
      </w:tr>
      <w:tr w14:paraId="7852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08B9F579">
            <w:pPr>
              <w:rPr>
                <w:rFonts w:hint="eastAsia" w:ascii="宋体" w:hAnsi="宋体" w:eastAsia="宋体" w:cs="宋体"/>
                <w:szCs w:val="21"/>
                <w:highlight w:val="none"/>
              </w:rPr>
            </w:pPr>
            <w:r>
              <w:rPr>
                <w:rFonts w:hint="eastAsia" w:ascii="宋体" w:hAnsi="宋体" w:eastAsia="宋体"/>
                <w:highlight w:val="none"/>
              </w:rPr>
              <w:t>丙型肝炎病毒</w:t>
            </w:r>
          </w:p>
        </w:tc>
        <w:tc>
          <w:tcPr>
            <w:tcW w:w="6367" w:type="dxa"/>
          </w:tcPr>
          <w:p w14:paraId="610AD9CE">
            <w:pPr>
              <w:rPr>
                <w:rFonts w:hint="eastAsia" w:ascii="宋体" w:hAnsi="宋体" w:eastAsia="宋体" w:cs="宋体"/>
                <w:szCs w:val="21"/>
                <w:highlight w:val="none"/>
              </w:rPr>
            </w:pPr>
            <w:r>
              <w:rPr>
                <w:rFonts w:hint="eastAsia" w:ascii="宋体" w:hAnsi="宋体" w:eastAsia="宋体" w:cs="宋体"/>
                <w:szCs w:val="21"/>
                <w:highlight w:val="none"/>
              </w:rPr>
              <w:t>WS 213核酸法</w:t>
            </w:r>
          </w:p>
        </w:tc>
      </w:tr>
      <w:tr w14:paraId="4E1F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11D87A1C">
            <w:pPr>
              <w:rPr>
                <w:rFonts w:hint="eastAsia" w:ascii="宋体" w:hAnsi="宋体" w:eastAsia="宋体"/>
                <w:highlight w:val="none"/>
              </w:rPr>
            </w:pPr>
            <w:r>
              <w:rPr>
                <w:rFonts w:hint="eastAsia" w:ascii="宋体" w:hAnsi="宋体" w:eastAsia="宋体"/>
                <w:highlight w:val="none"/>
              </w:rPr>
              <w:t>人类嗜T细胞病毒</w:t>
            </w:r>
          </w:p>
        </w:tc>
        <w:tc>
          <w:tcPr>
            <w:tcW w:w="6367" w:type="dxa"/>
          </w:tcPr>
          <w:p w14:paraId="38D13D0B">
            <w:pPr>
              <w:rPr>
                <w:rFonts w:hint="eastAsia" w:ascii="宋体" w:hAnsi="宋体" w:eastAsia="宋体" w:cs="宋体"/>
                <w:szCs w:val="21"/>
                <w:highlight w:val="none"/>
              </w:rPr>
            </w:pPr>
            <w:r>
              <w:rPr>
                <w:rFonts w:hint="eastAsia" w:ascii="宋体" w:hAnsi="宋体" w:eastAsia="宋体" w:cs="宋体"/>
                <w:szCs w:val="21"/>
                <w:highlight w:val="none"/>
              </w:rPr>
              <w:t>《全国临床检验操作规程（2016年版）》核酸法</w:t>
            </w:r>
          </w:p>
        </w:tc>
      </w:tr>
      <w:tr w14:paraId="658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2ED69457">
            <w:pPr>
              <w:rPr>
                <w:rFonts w:hint="eastAsia" w:ascii="宋体" w:hAnsi="宋体" w:eastAsia="宋体"/>
                <w:highlight w:val="none"/>
              </w:rPr>
            </w:pPr>
            <w:r>
              <w:rPr>
                <w:rFonts w:hint="eastAsia" w:ascii="宋体" w:hAnsi="宋体" w:eastAsia="宋体"/>
                <w:highlight w:val="none"/>
              </w:rPr>
              <w:t>人类疱疹病毒</w:t>
            </w:r>
          </w:p>
        </w:tc>
        <w:tc>
          <w:tcPr>
            <w:tcW w:w="6367" w:type="dxa"/>
          </w:tcPr>
          <w:p w14:paraId="79059070">
            <w:pPr>
              <w:rPr>
                <w:rFonts w:hint="eastAsia" w:ascii="宋体" w:hAnsi="宋体" w:eastAsia="宋体" w:cs="宋体"/>
                <w:szCs w:val="21"/>
                <w:highlight w:val="none"/>
              </w:rPr>
            </w:pPr>
            <w:r>
              <w:rPr>
                <w:rFonts w:hint="eastAsia" w:ascii="宋体" w:hAnsi="宋体" w:eastAsia="宋体" w:cs="宋体"/>
                <w:szCs w:val="21"/>
                <w:highlight w:val="none"/>
              </w:rPr>
              <w:t>《全国临床检验操作规程</w:t>
            </w:r>
            <w:r>
              <w:rPr>
                <w:rFonts w:hint="eastAsia" w:ascii="宋体" w:hAnsi="宋体" w:eastAsia="宋体" w:cs="宋体"/>
                <w:bCs/>
                <w:color w:val="000000" w:themeColor="text1"/>
                <w:szCs w:val="21"/>
                <w:highlight w:val="none"/>
                <w14:textFill>
                  <w14:solidFill>
                    <w14:schemeClr w14:val="tx1"/>
                  </w14:solidFill>
                </w14:textFill>
              </w:rPr>
              <w:t>（2016年版）</w:t>
            </w:r>
            <w:r>
              <w:rPr>
                <w:rFonts w:hint="eastAsia" w:ascii="宋体" w:hAnsi="宋体" w:eastAsia="宋体" w:cs="宋体"/>
                <w:szCs w:val="21"/>
                <w:highlight w:val="none"/>
              </w:rPr>
              <w:t>》核酸法</w:t>
            </w:r>
          </w:p>
        </w:tc>
      </w:tr>
      <w:tr w14:paraId="06F5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71813305">
            <w:pPr>
              <w:rPr>
                <w:rFonts w:hint="eastAsia" w:ascii="宋体" w:hAnsi="宋体" w:eastAsia="宋体"/>
                <w:highlight w:val="none"/>
              </w:rPr>
            </w:pPr>
            <w:r>
              <w:rPr>
                <w:rFonts w:hint="eastAsia" w:ascii="宋体" w:hAnsi="宋体" w:eastAsia="宋体"/>
                <w:highlight w:val="none"/>
              </w:rPr>
              <w:t>人巨细胞病毒</w:t>
            </w:r>
          </w:p>
        </w:tc>
        <w:tc>
          <w:tcPr>
            <w:tcW w:w="6367" w:type="dxa"/>
          </w:tcPr>
          <w:p w14:paraId="048F4274">
            <w:pPr>
              <w:rPr>
                <w:rFonts w:hint="eastAsia" w:ascii="宋体" w:hAnsi="宋体" w:eastAsia="宋体" w:cs="宋体"/>
                <w:szCs w:val="21"/>
                <w:highlight w:val="none"/>
              </w:rPr>
            </w:pPr>
            <w:r>
              <w:rPr>
                <w:rFonts w:hint="eastAsia" w:ascii="宋体" w:hAnsi="宋体" w:eastAsia="宋体" w:cs="宋体"/>
                <w:szCs w:val="21"/>
                <w:highlight w:val="none"/>
              </w:rPr>
              <w:t>《全国临床检验操作规程</w:t>
            </w:r>
            <w:r>
              <w:rPr>
                <w:rFonts w:hint="eastAsia" w:ascii="宋体" w:hAnsi="宋体" w:eastAsia="宋体" w:cs="宋体"/>
                <w:bCs/>
                <w:color w:val="000000" w:themeColor="text1"/>
                <w:szCs w:val="21"/>
                <w:highlight w:val="none"/>
                <w14:textFill>
                  <w14:solidFill>
                    <w14:schemeClr w14:val="tx1"/>
                  </w14:solidFill>
                </w14:textFill>
              </w:rPr>
              <w:t>（2016年版）</w:t>
            </w:r>
            <w:r>
              <w:rPr>
                <w:rFonts w:hint="eastAsia" w:ascii="宋体" w:hAnsi="宋体" w:eastAsia="宋体" w:cs="宋体"/>
                <w:szCs w:val="21"/>
                <w:highlight w:val="none"/>
              </w:rPr>
              <w:t>》核酸法</w:t>
            </w:r>
          </w:p>
        </w:tc>
      </w:tr>
      <w:tr w14:paraId="4C4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00BB8537">
            <w:pPr>
              <w:rPr>
                <w:rFonts w:hint="eastAsia" w:ascii="宋体" w:hAnsi="宋体" w:eastAsia="宋体" w:cs="宋体"/>
                <w:szCs w:val="21"/>
                <w:highlight w:val="none"/>
              </w:rPr>
            </w:pPr>
            <w:r>
              <w:rPr>
                <w:rFonts w:hint="eastAsia" w:ascii="宋体" w:hAnsi="宋体" w:eastAsia="宋体" w:cs="宋体"/>
                <w:bCs/>
                <w:color w:val="000000" w:themeColor="text1"/>
                <w:szCs w:val="21"/>
                <w:highlight w:val="none"/>
                <w14:textFill>
                  <w14:solidFill>
                    <w14:schemeClr w14:val="tx1"/>
                  </w14:solidFill>
                </w14:textFill>
              </w:rPr>
              <w:t>梅毒螺旋体</w:t>
            </w:r>
          </w:p>
        </w:tc>
        <w:tc>
          <w:tcPr>
            <w:tcW w:w="6367" w:type="dxa"/>
          </w:tcPr>
          <w:p w14:paraId="34F23E1D">
            <w:pPr>
              <w:rPr>
                <w:rFonts w:hint="eastAsia" w:ascii="宋体" w:hAnsi="宋体" w:eastAsia="宋体" w:cs="宋体"/>
                <w:szCs w:val="21"/>
                <w:highlight w:val="none"/>
              </w:rPr>
            </w:pPr>
            <w:r>
              <w:rPr>
                <w:rFonts w:hint="eastAsia" w:ascii="宋体" w:hAnsi="宋体" w:eastAsia="宋体" w:cs="宋体"/>
                <w:szCs w:val="21"/>
                <w:highlight w:val="none"/>
              </w:rPr>
              <w:t>WS 273核酸法</w:t>
            </w:r>
          </w:p>
        </w:tc>
      </w:tr>
    </w:tbl>
    <w:p w14:paraId="03A0C375">
      <w:pPr>
        <w:pStyle w:val="20"/>
        <w:numPr>
          <w:ilvl w:val="1"/>
          <w:numId w:val="2"/>
        </w:numPr>
        <w:spacing w:before="156" w:beforeLines="50" w:after="156" w:afterLines="50"/>
        <w:ind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内毒素</w:t>
      </w:r>
    </w:p>
    <w:p w14:paraId="35318AD2">
      <w:pPr>
        <w:spacing w:before="156" w:beforeLines="50" w:after="312" w:afterLines="10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按照《中华人民共和国药典（三部）（2020年版）》中“</w:t>
      </w:r>
      <w:r>
        <w:rPr>
          <w:rFonts w:ascii="宋体" w:hAnsi="宋体" w:eastAsia="宋体" w:cs="宋体"/>
          <w:szCs w:val="21"/>
          <w:highlight w:val="none"/>
        </w:rPr>
        <w:t>1143 细菌内毒素检查法</w:t>
      </w:r>
      <w:r>
        <w:rPr>
          <w:rFonts w:hint="eastAsia" w:ascii="宋体" w:hAnsi="宋体" w:eastAsia="宋体" w:cs="宋体"/>
          <w:szCs w:val="21"/>
          <w:highlight w:val="none"/>
        </w:rPr>
        <w:t>”</w:t>
      </w:r>
      <w:r>
        <w:rPr>
          <w:rFonts w:ascii="宋体" w:hAnsi="宋体" w:eastAsia="宋体" w:cs="宋体"/>
          <w:szCs w:val="21"/>
          <w:highlight w:val="none"/>
        </w:rPr>
        <w:t>检测。</w:t>
      </w:r>
    </w:p>
    <w:p w14:paraId="48A757F4">
      <w:pPr>
        <w:pStyle w:val="10"/>
        <w:numPr>
          <w:ilvl w:val="0"/>
          <w:numId w:val="2"/>
        </w:numPr>
        <w:rPr>
          <w:rFonts w:hint="eastAsia" w:ascii="黑体" w:hAnsi="黑体" w:eastAsia="黑体" w:cs="黑体"/>
          <w:sz w:val="21"/>
          <w:szCs w:val="21"/>
          <w:highlight w:val="none"/>
        </w:rPr>
      </w:pPr>
      <w:bookmarkStart w:id="24" w:name="_Toc23909_WPSOffice_Level1"/>
      <w:r>
        <w:rPr>
          <w:rFonts w:hint="eastAsia" w:ascii="黑体" w:hAnsi="黑体" w:eastAsia="黑体" w:cs="黑体"/>
          <w:sz w:val="21"/>
          <w:szCs w:val="21"/>
          <w:highlight w:val="none"/>
        </w:rPr>
        <w:t>检验规则</w:t>
      </w:r>
      <w:bookmarkEnd w:id="24"/>
    </w:p>
    <w:p w14:paraId="56E61849">
      <w:pPr>
        <w:pStyle w:val="20"/>
        <w:numPr>
          <w:ilvl w:val="1"/>
          <w:numId w:val="2"/>
        </w:numPr>
        <w:spacing w:before="312" w:beforeLines="10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出厂检验</w:t>
      </w:r>
    </w:p>
    <w:p w14:paraId="543E90E5">
      <w:pPr>
        <w:pStyle w:val="20"/>
        <w:numPr>
          <w:ilvl w:val="2"/>
          <w:numId w:val="2"/>
        </w:numPr>
        <w:spacing w:before="156" w:beforeLines="50"/>
        <w:ind w:firstLineChars="0"/>
        <w:rPr>
          <w:rFonts w:hint="eastAsia" w:ascii="宋体" w:hAnsi="宋体" w:eastAsia="宋体" w:cs="宋体"/>
          <w:bCs/>
          <w:szCs w:val="21"/>
          <w:highlight w:val="none"/>
        </w:rPr>
      </w:pPr>
      <w:r>
        <w:rPr>
          <w:rFonts w:hint="eastAsia" w:ascii="宋体" w:hAnsi="宋体" w:eastAsia="宋体" w:cs="宋体"/>
          <w:bCs/>
          <w:szCs w:val="21"/>
          <w:highlight w:val="none"/>
        </w:rPr>
        <w:t>在同一生产周期中，同一生产线、同一细胞来源、同一细胞代次、同一工艺制备出来的产品为一批。</w:t>
      </w:r>
    </w:p>
    <w:p w14:paraId="7F497C00">
      <w:pPr>
        <w:pStyle w:val="20"/>
        <w:numPr>
          <w:ilvl w:val="2"/>
          <w:numId w:val="2"/>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在同一批的产品中随机抽取3个最小包装单元进行检测。</w:t>
      </w:r>
    </w:p>
    <w:p w14:paraId="412711E6">
      <w:pPr>
        <w:pStyle w:val="20"/>
        <w:numPr>
          <w:ilvl w:val="2"/>
          <w:numId w:val="2"/>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每批产品均应进行出厂检验，并附检验报告。</w:t>
      </w:r>
    </w:p>
    <w:p w14:paraId="12E66ED0">
      <w:pPr>
        <w:pStyle w:val="20"/>
        <w:numPr>
          <w:ilvl w:val="2"/>
          <w:numId w:val="2"/>
        </w:numPr>
        <w:spacing w:after="156" w:afterLines="50"/>
        <w:ind w:firstLineChars="0"/>
        <w:rPr>
          <w:rFonts w:hint="eastAsia" w:ascii="宋体" w:hAnsi="宋体" w:eastAsia="宋体" w:cs="宋体"/>
          <w:bCs/>
          <w:szCs w:val="21"/>
          <w:highlight w:val="none"/>
        </w:rPr>
      </w:pPr>
      <w:r>
        <w:rPr>
          <w:rFonts w:hint="eastAsia" w:ascii="宋体" w:hAnsi="宋体" w:eastAsia="宋体" w:cs="宋体"/>
          <w:bCs/>
          <w:szCs w:val="21"/>
          <w:highlight w:val="none"/>
        </w:rPr>
        <w:t>出厂检验的项目须包括4.2规定的所有项目。</w:t>
      </w:r>
    </w:p>
    <w:p w14:paraId="2D35D544">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复核检验</w:t>
      </w:r>
    </w:p>
    <w:p w14:paraId="054351EC">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根据产品需要，应由专业检验机构/实验室进行复核检验。</w:t>
      </w:r>
    </w:p>
    <w:p w14:paraId="02AA7167">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判定规则</w:t>
      </w:r>
    </w:p>
    <w:p w14:paraId="5FCD2567">
      <w:pPr>
        <w:pStyle w:val="20"/>
        <w:numPr>
          <w:ilvl w:val="2"/>
          <w:numId w:val="2"/>
        </w:numPr>
        <w:spacing w:before="156" w:beforeLines="50"/>
        <w:ind w:firstLineChars="0"/>
        <w:rPr>
          <w:rFonts w:hint="eastAsia" w:ascii="宋体" w:hAnsi="宋体" w:eastAsia="宋体" w:cs="宋体"/>
          <w:bCs/>
          <w:szCs w:val="21"/>
          <w:highlight w:val="none"/>
        </w:rPr>
      </w:pPr>
      <w:r>
        <w:rPr>
          <w:rFonts w:hint="eastAsia" w:ascii="宋体" w:hAnsi="宋体" w:eastAsia="宋体" w:cs="宋体"/>
          <w:bCs/>
          <w:szCs w:val="21"/>
          <w:highlight w:val="none"/>
        </w:rPr>
        <w:t>出厂检验项目全部符合4.2规定，即被判为合格产品；有1项及以上不符合4.2规定，则被判为不合格产品。</w:t>
      </w:r>
    </w:p>
    <w:p w14:paraId="5C20C7F8">
      <w:pPr>
        <w:pStyle w:val="20"/>
        <w:numPr>
          <w:ilvl w:val="2"/>
          <w:numId w:val="2"/>
        </w:numPr>
        <w:spacing w:after="156" w:afterLines="50"/>
        <w:ind w:firstLineChars="0"/>
        <w:rPr>
          <w:rFonts w:hint="eastAsia" w:ascii="宋体" w:hAnsi="宋体" w:eastAsia="宋体" w:cs="宋体"/>
          <w:b/>
          <w:szCs w:val="21"/>
          <w:highlight w:val="none"/>
        </w:rPr>
      </w:pPr>
      <w:r>
        <w:rPr>
          <w:rFonts w:hint="eastAsia" w:ascii="宋体" w:hAnsi="宋体" w:eastAsia="宋体" w:cs="宋体"/>
          <w:bCs/>
          <w:szCs w:val="21"/>
          <w:highlight w:val="none"/>
        </w:rPr>
        <w:t>复核检验项目全部符合4.2规定，即被判为合格产品；有1项及以上不符合4.2规定，则被判为不合格产品。</w:t>
      </w:r>
    </w:p>
    <w:p w14:paraId="70A466FB">
      <w:pPr>
        <w:pStyle w:val="10"/>
        <w:numPr>
          <w:ilvl w:val="0"/>
          <w:numId w:val="2"/>
        </w:numPr>
        <w:rPr>
          <w:rFonts w:hint="eastAsia" w:ascii="黑体" w:hAnsi="黑体" w:eastAsia="黑体" w:cs="黑体"/>
          <w:sz w:val="21"/>
          <w:szCs w:val="21"/>
          <w:highlight w:val="none"/>
        </w:rPr>
      </w:pPr>
      <w:bookmarkStart w:id="25" w:name="_Toc28464_WPSOffice_Level1"/>
      <w:r>
        <w:rPr>
          <w:rFonts w:hint="eastAsia" w:ascii="黑体" w:hAnsi="黑体" w:eastAsia="黑体" w:cs="黑体"/>
          <w:sz w:val="21"/>
          <w:szCs w:val="21"/>
          <w:highlight w:val="none"/>
        </w:rPr>
        <w:t>包装、使用说明、标签、储存及运输</w:t>
      </w:r>
      <w:bookmarkEnd w:id="25"/>
    </w:p>
    <w:p w14:paraId="6E0FAEFB">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包装</w:t>
      </w:r>
    </w:p>
    <w:p w14:paraId="6AB8C080">
      <w:pPr>
        <w:spacing w:before="156" w:before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多能干细胞来源的小细胞外囊泡在生产后应进行密封包装，包装满足无菌要求。</w:t>
      </w:r>
    </w:p>
    <w:p w14:paraId="4CBDEF4D">
      <w:pPr>
        <w:spacing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包装内应附使用说明，最小包装上应附标签。</w:t>
      </w:r>
    </w:p>
    <w:p w14:paraId="2D924008">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使用说明</w:t>
      </w:r>
    </w:p>
    <w:p w14:paraId="5EAF2B53">
      <w:pPr>
        <w:spacing w:before="156" w:beforeLines="50"/>
        <w:ind w:firstLine="420" w:firstLineChars="200"/>
        <w:rPr>
          <w:rFonts w:hint="eastAsia" w:ascii="宋体" w:hAnsi="宋体" w:eastAsia="宋体" w:cs="宋体"/>
          <w:bCs/>
          <w:szCs w:val="21"/>
          <w:highlight w:val="none"/>
        </w:rPr>
      </w:pPr>
      <w:bookmarkStart w:id="26" w:name="_Hlk76670683"/>
      <w:r>
        <w:rPr>
          <w:rFonts w:hint="eastAsia" w:ascii="宋体" w:hAnsi="宋体" w:eastAsia="宋体" w:cs="宋体"/>
          <w:bCs/>
          <w:szCs w:val="21"/>
          <w:highlight w:val="none"/>
        </w:rPr>
        <w:t>使用说明应包括以下内容：</w:t>
      </w:r>
    </w:p>
    <w:p w14:paraId="011E06BE">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来源细胞名称，代次；</w:t>
      </w:r>
    </w:p>
    <w:p w14:paraId="77F5569A">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产品液体体积量，小细胞外囊泡数量；</w:t>
      </w:r>
    </w:p>
    <w:p w14:paraId="1A0838E7">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小细胞外囊泡分离方法；</w:t>
      </w:r>
    </w:p>
    <w:p w14:paraId="487BA499">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生产日期，生产批号；</w:t>
      </w:r>
    </w:p>
    <w:p w14:paraId="4A6661A4">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储存条件，运输条件；</w:t>
      </w:r>
    </w:p>
    <w:p w14:paraId="54BCA52C">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使用方法；</w:t>
      </w:r>
    </w:p>
    <w:p w14:paraId="64196598">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执行标准号；</w:t>
      </w:r>
    </w:p>
    <w:p w14:paraId="3D5B658A">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生产组织，生产地址；</w:t>
      </w:r>
    </w:p>
    <w:p w14:paraId="7653397E">
      <w:pPr>
        <w:pStyle w:val="20"/>
        <w:numPr>
          <w:ilvl w:val="0"/>
          <w:numId w:val="3"/>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联系方式，邮政编码；</w:t>
      </w:r>
    </w:p>
    <w:p w14:paraId="71D19939">
      <w:pPr>
        <w:pStyle w:val="20"/>
        <w:numPr>
          <w:ilvl w:val="0"/>
          <w:numId w:val="3"/>
        </w:numPr>
        <w:spacing w:after="156" w:afterLines="50"/>
        <w:ind w:left="901" w:firstLineChars="0"/>
        <w:rPr>
          <w:rFonts w:hint="eastAsia" w:ascii="宋体" w:hAnsi="宋体" w:eastAsia="宋体" w:cs="宋体"/>
          <w:bCs/>
          <w:szCs w:val="21"/>
          <w:highlight w:val="none"/>
        </w:rPr>
      </w:pPr>
      <w:r>
        <w:rPr>
          <w:rFonts w:hint="eastAsia" w:ascii="宋体" w:hAnsi="宋体" w:eastAsia="宋体" w:cs="宋体"/>
          <w:bCs/>
          <w:szCs w:val="21"/>
          <w:highlight w:val="none"/>
        </w:rPr>
        <w:t>注意事项。</w:t>
      </w:r>
      <w:bookmarkEnd w:id="26"/>
    </w:p>
    <w:p w14:paraId="10F002B1">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标签</w:t>
      </w:r>
    </w:p>
    <w:p w14:paraId="62A3F1D4">
      <w:pPr>
        <w:spacing w:before="156" w:before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标签应包括以下内容：</w:t>
      </w:r>
    </w:p>
    <w:p w14:paraId="46812E54">
      <w:pPr>
        <w:pStyle w:val="20"/>
        <w:numPr>
          <w:ilvl w:val="0"/>
          <w:numId w:val="4"/>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来源细胞名称，代次；</w:t>
      </w:r>
    </w:p>
    <w:p w14:paraId="64DB1DF6">
      <w:pPr>
        <w:pStyle w:val="20"/>
        <w:numPr>
          <w:ilvl w:val="0"/>
          <w:numId w:val="4"/>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产品液体体积量，小细胞外囊泡数量；</w:t>
      </w:r>
    </w:p>
    <w:p w14:paraId="45195137">
      <w:pPr>
        <w:pStyle w:val="20"/>
        <w:numPr>
          <w:ilvl w:val="0"/>
          <w:numId w:val="4"/>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生产组织；</w:t>
      </w:r>
    </w:p>
    <w:p w14:paraId="774D8591">
      <w:pPr>
        <w:pStyle w:val="20"/>
        <w:numPr>
          <w:ilvl w:val="0"/>
          <w:numId w:val="4"/>
        </w:numPr>
        <w:ind w:firstLineChars="0"/>
        <w:rPr>
          <w:rFonts w:hint="eastAsia" w:ascii="宋体" w:hAnsi="宋体" w:eastAsia="宋体" w:cs="宋体"/>
          <w:bCs/>
          <w:szCs w:val="21"/>
          <w:highlight w:val="none"/>
        </w:rPr>
      </w:pPr>
      <w:r>
        <w:rPr>
          <w:rFonts w:hint="eastAsia" w:ascii="宋体" w:hAnsi="宋体" w:eastAsia="宋体" w:cs="宋体"/>
          <w:bCs/>
          <w:szCs w:val="21"/>
          <w:highlight w:val="none"/>
        </w:rPr>
        <w:t>生产日期，生产批号；</w:t>
      </w:r>
    </w:p>
    <w:p w14:paraId="7409FCAA">
      <w:pPr>
        <w:pStyle w:val="20"/>
        <w:numPr>
          <w:ilvl w:val="0"/>
          <w:numId w:val="4"/>
        </w:numPr>
        <w:spacing w:after="156" w:afterLines="50"/>
        <w:ind w:left="901" w:firstLineChars="0"/>
        <w:rPr>
          <w:rFonts w:hint="eastAsia" w:ascii="宋体" w:hAnsi="宋体" w:eastAsia="宋体" w:cs="宋体"/>
          <w:bCs/>
          <w:szCs w:val="21"/>
          <w:highlight w:val="none"/>
        </w:rPr>
      </w:pPr>
      <w:r>
        <w:rPr>
          <w:rFonts w:hint="eastAsia" w:ascii="宋体" w:hAnsi="宋体" w:eastAsia="宋体" w:cs="宋体"/>
          <w:bCs/>
          <w:szCs w:val="21"/>
          <w:highlight w:val="none"/>
        </w:rPr>
        <w:t>储存条件。</w:t>
      </w:r>
    </w:p>
    <w:p w14:paraId="3E2F02AA">
      <w:pPr>
        <w:pStyle w:val="20"/>
        <w:numPr>
          <w:ilvl w:val="1"/>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储存及运输</w:t>
      </w:r>
    </w:p>
    <w:p w14:paraId="2C8605CE">
      <w:pPr>
        <w:pStyle w:val="20"/>
        <w:numPr>
          <w:ilvl w:val="2"/>
          <w:numId w:val="2"/>
        </w:numPr>
        <w:spacing w:before="156" w:beforeLines="50"/>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储存</w:t>
      </w:r>
    </w:p>
    <w:p w14:paraId="2C9985B5">
      <w:pPr>
        <w:spacing w:before="156" w:before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应选择低吸附、对人多能干细胞来源的小细胞外囊泡关键质量属性无影响的材料和容器。</w:t>
      </w:r>
    </w:p>
    <w:p w14:paraId="18AB2A60">
      <w:pPr>
        <w:spacing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小细胞外囊泡在2℃~8℃存储应不超过7天，如果生产完成后不能立即应用，应在不高于-80℃环境下储存，应避免反复冻融或温度剧烈波动。</w:t>
      </w:r>
    </w:p>
    <w:p w14:paraId="7985727F">
      <w:pPr>
        <w:pStyle w:val="20"/>
        <w:numPr>
          <w:ilvl w:val="2"/>
          <w:numId w:val="2"/>
        </w:numPr>
        <w:ind w:firstLineChars="0"/>
        <w:rPr>
          <w:rFonts w:hint="eastAsia" w:ascii="黑体" w:hAnsi="黑体" w:eastAsia="黑体" w:cs="黑体"/>
          <w:kern w:val="0"/>
          <w:szCs w:val="21"/>
          <w:highlight w:val="none"/>
        </w:rPr>
      </w:pPr>
      <w:r>
        <w:rPr>
          <w:rFonts w:hint="eastAsia" w:ascii="黑体" w:hAnsi="黑体" w:eastAsia="黑体" w:cs="黑体"/>
          <w:kern w:val="0"/>
          <w:szCs w:val="21"/>
          <w:highlight w:val="none"/>
        </w:rPr>
        <w:t>运输</w:t>
      </w:r>
    </w:p>
    <w:p w14:paraId="0F86793C">
      <w:pPr>
        <w:spacing w:before="156" w:before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冻存的小细胞外囊泡应在干冰条件下运输，非冻存的小细胞外囊泡应在2℃~8℃条件下运输。</w:t>
      </w:r>
    </w:p>
    <w:p w14:paraId="34E5B975">
      <w:pPr>
        <w:pStyle w:val="10"/>
        <w:numPr>
          <w:ilvl w:val="0"/>
          <w:numId w:val="2"/>
        </w:numPr>
        <w:rPr>
          <w:rFonts w:hint="eastAsia" w:ascii="黑体" w:hAnsi="黑体" w:eastAsia="黑体" w:cs="黑体"/>
          <w:sz w:val="21"/>
          <w:szCs w:val="21"/>
          <w:highlight w:val="none"/>
        </w:rPr>
      </w:pPr>
      <w:bookmarkStart w:id="27" w:name="_Toc23783_WPSOffice_Level1"/>
      <w:r>
        <w:rPr>
          <w:rFonts w:hint="eastAsia" w:ascii="黑体" w:hAnsi="黑体" w:eastAsia="黑体" w:cs="黑体"/>
          <w:sz w:val="21"/>
          <w:szCs w:val="21"/>
          <w:highlight w:val="none"/>
        </w:rPr>
        <w:t>废弃物处理</w:t>
      </w:r>
      <w:bookmarkEnd w:id="27"/>
    </w:p>
    <w:p w14:paraId="1C89ABD9">
      <w:pPr>
        <w:spacing w:before="156" w:beforeLines="50" w:after="156" w:afterLines="5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人多能干细胞来源的小细胞外囊泡生产和检测过程中产生的废弃物应按照T/CSCB 0001中的规定处理。</w:t>
      </w:r>
    </w:p>
    <w:p w14:paraId="68925EF3">
      <w:pPr>
        <w:widowControl/>
        <w:jc w:val="left"/>
        <w:rPr>
          <w:rFonts w:hint="eastAsia" w:ascii="宋体" w:hAnsi="宋体" w:eastAsia="宋体" w:cs="Times New Roman"/>
          <w:b/>
          <w:szCs w:val="21"/>
          <w:highlight w:val="none"/>
        </w:rPr>
      </w:pPr>
      <w:r>
        <w:rPr>
          <w:rFonts w:ascii="宋体" w:hAnsi="宋体" w:eastAsia="宋体" w:cs="Times New Roman"/>
          <w:b/>
          <w:szCs w:val="21"/>
          <w:highlight w:val="none"/>
        </w:rPr>
        <w:br w:type="page"/>
      </w:r>
    </w:p>
    <w:p w14:paraId="39410B75">
      <w:pPr>
        <w:jc w:val="center"/>
        <w:rPr>
          <w:rFonts w:hint="eastAsia" w:ascii="黑体" w:hAnsi="黑体" w:eastAsia="黑体" w:cs="黑体"/>
          <w:bCs/>
          <w:szCs w:val="21"/>
          <w:highlight w:val="none"/>
        </w:rPr>
      </w:pPr>
      <w:bookmarkStart w:id="28" w:name="_Toc1476_WPSOffice_Level1"/>
      <w:r>
        <w:rPr>
          <w:rFonts w:hint="eastAsia" w:ascii="黑体" w:hAnsi="黑体" w:eastAsia="黑体" w:cs="黑体"/>
          <w:bCs/>
          <w:szCs w:val="21"/>
          <w:highlight w:val="none"/>
        </w:rPr>
        <w:t>附录A</w:t>
      </w:r>
    </w:p>
    <w:p w14:paraId="0F6151D6">
      <w:pPr>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238D396A">
      <w:pPr>
        <w:jc w:val="center"/>
        <w:rPr>
          <w:rFonts w:hint="eastAsia" w:ascii="黑体" w:hAnsi="黑体" w:eastAsia="黑体" w:cs="黑体"/>
          <w:bCs/>
          <w:szCs w:val="21"/>
          <w:highlight w:val="none"/>
        </w:rPr>
      </w:pPr>
      <w:r>
        <w:rPr>
          <w:rFonts w:hint="eastAsia" w:ascii="黑体" w:hAnsi="黑体" w:eastAsia="黑体" w:cs="黑体"/>
          <w:bCs/>
          <w:szCs w:val="21"/>
          <w:highlight w:val="none"/>
        </w:rPr>
        <w:t>小细胞外囊泡形态检测方法（透射电镜观察法）</w:t>
      </w:r>
      <w:bookmarkEnd w:id="28"/>
    </w:p>
    <w:p w14:paraId="7BE05399">
      <w:pPr>
        <w:spacing w:line="360" w:lineRule="auto"/>
        <w:rPr>
          <w:rFonts w:hint="eastAsia" w:ascii="宋体" w:hAnsi="宋体" w:eastAsia="宋体" w:cs="Times New Roman"/>
          <w:b/>
          <w:szCs w:val="21"/>
          <w:highlight w:val="none"/>
        </w:rPr>
      </w:pPr>
    </w:p>
    <w:p w14:paraId="67F40858">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A.1 仪器和设备</w:t>
      </w:r>
    </w:p>
    <w:p w14:paraId="17F10A3D">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.1.1 </w:t>
      </w:r>
      <w:r>
        <w:rPr>
          <w:rFonts w:hint="eastAsia" w:ascii="宋体" w:hAnsi="宋体" w:eastAsia="宋体" w:cs="Times New Roman"/>
          <w:bCs/>
          <w:szCs w:val="21"/>
          <w:highlight w:val="none"/>
        </w:rPr>
        <w:t>透射电子显微镜。</w:t>
      </w:r>
    </w:p>
    <w:p w14:paraId="152279B7">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.1.2 </w:t>
      </w:r>
      <w:r>
        <w:rPr>
          <w:rFonts w:hint="eastAsia" w:ascii="宋体" w:hAnsi="宋体" w:eastAsia="宋体" w:cs="Times New Roman"/>
          <w:bCs/>
          <w:szCs w:val="21"/>
          <w:highlight w:val="none"/>
        </w:rPr>
        <w:t>F</w:t>
      </w:r>
      <w:r>
        <w:rPr>
          <w:rFonts w:ascii="宋体" w:hAnsi="宋体" w:eastAsia="宋体" w:cs="Times New Roman"/>
          <w:bCs/>
          <w:szCs w:val="21"/>
          <w:highlight w:val="none"/>
        </w:rPr>
        <w:t>ormvar-carbon</w:t>
      </w:r>
      <w:r>
        <w:rPr>
          <w:rFonts w:hint="eastAsia" w:ascii="宋体" w:hAnsi="宋体" w:eastAsia="宋体" w:cs="Times New Roman"/>
          <w:bCs/>
          <w:szCs w:val="21"/>
          <w:highlight w:val="none"/>
        </w:rPr>
        <w:t>载样铜网。</w:t>
      </w:r>
    </w:p>
    <w:p w14:paraId="66A413C1">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A.2 试剂</w:t>
      </w:r>
    </w:p>
    <w:p w14:paraId="3F96CEBF">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本方法所用试剂均为分析纯，除特别说明外，实验用水均为G</w:t>
      </w:r>
      <w:r>
        <w:rPr>
          <w:rFonts w:ascii="宋体" w:hAnsi="宋体" w:eastAsia="宋体" w:cs="Times New Roman"/>
          <w:bCs/>
          <w:szCs w:val="21"/>
          <w:highlight w:val="none"/>
        </w:rPr>
        <w:t>B/T 6682</w:t>
      </w:r>
      <w:r>
        <w:rPr>
          <w:rFonts w:hint="eastAsia" w:ascii="宋体" w:hAnsi="宋体" w:eastAsia="宋体" w:cs="Times New Roman"/>
          <w:bCs/>
          <w:szCs w:val="21"/>
          <w:highlight w:val="none"/>
        </w:rPr>
        <w:t>规定的一级水。</w:t>
      </w:r>
    </w:p>
    <w:p w14:paraId="178643FD">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.2.1 </w:t>
      </w:r>
      <w:r>
        <w:rPr>
          <w:rFonts w:hint="eastAsia" w:ascii="宋体" w:hAnsi="宋体" w:eastAsia="宋体" w:cs="Times New Roman"/>
          <w:bCs/>
          <w:szCs w:val="21"/>
          <w:highlight w:val="none"/>
        </w:rPr>
        <w:t>磷酸盐缓冲液：pH为7</w:t>
      </w:r>
      <w:r>
        <w:rPr>
          <w:rFonts w:ascii="宋体" w:hAnsi="宋体" w:eastAsia="宋体" w:cs="Times New Roman"/>
          <w:bCs/>
          <w:szCs w:val="21"/>
          <w:highlight w:val="none"/>
        </w:rPr>
        <w:t>.4</w:t>
      </w:r>
      <w:r>
        <w:rPr>
          <w:rFonts w:hint="eastAsia" w:ascii="宋体" w:hAnsi="宋体" w:eastAsia="宋体" w:cs="Times New Roman"/>
          <w:bCs/>
          <w:szCs w:val="21"/>
          <w:highlight w:val="none"/>
        </w:rPr>
        <w:t>。</w:t>
      </w:r>
    </w:p>
    <w:p w14:paraId="14EB0925">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2.2 1%</w:t>
      </w:r>
      <w:r>
        <w:rPr>
          <w:rFonts w:hint="eastAsia" w:ascii="宋体" w:hAnsi="宋体" w:eastAsia="宋体" w:cs="Times New Roman"/>
          <w:bCs/>
          <w:szCs w:val="21"/>
          <w:highlight w:val="none"/>
        </w:rPr>
        <w:t>戊二醛溶液。</w:t>
      </w:r>
    </w:p>
    <w:p w14:paraId="17CA87D1">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.2.3 </w:t>
      </w:r>
      <w:r>
        <w:rPr>
          <w:rFonts w:hint="eastAsia" w:ascii="宋体" w:hAnsi="宋体" w:eastAsia="宋体" w:cs="Times New Roman"/>
          <w:bCs/>
          <w:szCs w:val="21"/>
          <w:highlight w:val="none"/>
        </w:rPr>
        <w:t>饱和草酸双氧铀溶液。</w:t>
      </w:r>
    </w:p>
    <w:p w14:paraId="4FC91951">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A.3 检测步骤</w:t>
      </w:r>
    </w:p>
    <w:p w14:paraId="70DD21B3">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3.1 </w:t>
      </w:r>
      <w:r>
        <w:rPr>
          <w:rFonts w:hint="eastAsia" w:ascii="宋体" w:hAnsi="宋体" w:eastAsia="宋体" w:cs="Times New Roman"/>
          <w:bCs/>
          <w:szCs w:val="21"/>
          <w:highlight w:val="none"/>
        </w:rPr>
        <w:t>将小细胞外囊泡样本滴加在F</w:t>
      </w:r>
      <w:r>
        <w:rPr>
          <w:rFonts w:ascii="宋体" w:hAnsi="宋体" w:eastAsia="宋体" w:cs="Times New Roman"/>
          <w:bCs/>
          <w:szCs w:val="21"/>
          <w:highlight w:val="none"/>
        </w:rPr>
        <w:t>ormvar-carbon</w:t>
      </w:r>
      <w:r>
        <w:rPr>
          <w:rFonts w:hint="eastAsia" w:ascii="宋体" w:hAnsi="宋体" w:eastAsia="宋体" w:cs="Times New Roman"/>
          <w:bCs/>
          <w:szCs w:val="21"/>
          <w:highlight w:val="none"/>
        </w:rPr>
        <w:t>载样铜网上，室温静置2</w:t>
      </w:r>
      <w:r>
        <w:rPr>
          <w:rFonts w:ascii="宋体" w:hAnsi="宋体" w:eastAsia="宋体" w:cs="Times New Roman"/>
          <w:bCs/>
          <w:szCs w:val="21"/>
          <w:highlight w:val="none"/>
        </w:rPr>
        <w:t>0</w:t>
      </w:r>
      <w:r>
        <w:rPr>
          <w:rFonts w:hint="eastAsia" w:ascii="宋体" w:hAnsi="宋体" w:eastAsia="宋体" w:cs="Times New Roman"/>
          <w:bCs/>
          <w:szCs w:val="21"/>
          <w:highlight w:val="none"/>
        </w:rPr>
        <w:t>min。</w:t>
      </w:r>
    </w:p>
    <w:p w14:paraId="6E62B1BB">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.3.2 </w:t>
      </w:r>
      <w:r>
        <w:rPr>
          <w:rFonts w:hint="eastAsia" w:ascii="宋体" w:hAnsi="宋体" w:eastAsia="宋体" w:cs="Times New Roman"/>
          <w:bCs/>
          <w:szCs w:val="21"/>
          <w:highlight w:val="none"/>
        </w:rPr>
        <w:t>滴加适量磷酸盐缓冲液于样本上，清洗</w:t>
      </w:r>
      <w:r>
        <w:rPr>
          <w:rFonts w:ascii="宋体" w:hAnsi="宋体" w:eastAsia="宋体" w:cs="Times New Roman"/>
          <w:bCs/>
          <w:szCs w:val="21"/>
          <w:highlight w:val="none"/>
        </w:rPr>
        <w:t>3</w:t>
      </w:r>
      <w:r>
        <w:rPr>
          <w:rFonts w:hint="eastAsia" w:ascii="宋体" w:hAnsi="宋体" w:eastAsia="宋体" w:cs="Times New Roman"/>
          <w:bCs/>
          <w:szCs w:val="21"/>
          <w:highlight w:val="none"/>
        </w:rPr>
        <w:t>次。</w:t>
      </w:r>
    </w:p>
    <w:p w14:paraId="5B494DBD">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.3.3 </w:t>
      </w:r>
      <w:r>
        <w:rPr>
          <w:rFonts w:hint="eastAsia" w:ascii="宋体" w:hAnsi="宋体" w:eastAsia="宋体" w:cs="Times New Roman"/>
          <w:bCs/>
          <w:szCs w:val="21"/>
          <w:highlight w:val="none"/>
        </w:rPr>
        <w:t>滴加适量1</w:t>
      </w:r>
      <w:r>
        <w:rPr>
          <w:rFonts w:ascii="宋体" w:hAnsi="宋体" w:eastAsia="宋体" w:cs="Times New Roman"/>
          <w:bCs/>
          <w:szCs w:val="21"/>
          <w:highlight w:val="none"/>
        </w:rPr>
        <w:t>%</w:t>
      </w:r>
      <w:r>
        <w:rPr>
          <w:rFonts w:hint="eastAsia" w:ascii="宋体" w:hAnsi="宋体" w:eastAsia="宋体" w:cs="Times New Roman"/>
          <w:bCs/>
          <w:szCs w:val="21"/>
          <w:highlight w:val="none"/>
        </w:rPr>
        <w:t>戊二醛溶液于样本上，固定5min，随后用超纯水清洗8次。</w:t>
      </w:r>
    </w:p>
    <w:p w14:paraId="263840C6">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.3.4 </w:t>
      </w:r>
      <w:r>
        <w:rPr>
          <w:rFonts w:hint="eastAsia" w:ascii="宋体" w:hAnsi="宋体" w:eastAsia="宋体" w:cs="Times New Roman"/>
          <w:bCs/>
          <w:szCs w:val="21"/>
          <w:highlight w:val="none"/>
        </w:rPr>
        <w:t>用饱和草酸双氧铀溶液染色5min。</w:t>
      </w:r>
    </w:p>
    <w:p w14:paraId="5719C219">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 xml:space="preserve">.3.5 </w:t>
      </w:r>
      <w:r>
        <w:rPr>
          <w:rFonts w:hint="eastAsia" w:ascii="宋体" w:hAnsi="宋体" w:eastAsia="宋体" w:cs="Times New Roman"/>
          <w:bCs/>
          <w:szCs w:val="21"/>
          <w:highlight w:val="none"/>
        </w:rPr>
        <w:t>铜网在室温下干燥1</w:t>
      </w:r>
      <w:r>
        <w:rPr>
          <w:rFonts w:ascii="宋体" w:hAnsi="宋体" w:eastAsia="宋体" w:cs="Times New Roman"/>
          <w:bCs/>
          <w:szCs w:val="21"/>
          <w:highlight w:val="none"/>
        </w:rPr>
        <w:t>0</w:t>
      </w:r>
      <w:r>
        <w:rPr>
          <w:rFonts w:hint="eastAsia" w:ascii="宋体" w:hAnsi="宋体" w:eastAsia="宋体" w:cs="Times New Roman"/>
          <w:bCs/>
          <w:szCs w:val="21"/>
          <w:highlight w:val="none"/>
        </w:rPr>
        <w:t>min。</w:t>
      </w:r>
    </w:p>
    <w:p w14:paraId="12380E94">
      <w:pPr>
        <w:rPr>
          <w:rFonts w:hint="eastAsia" w:ascii="宋体" w:hAnsi="宋体" w:eastAsia="宋体" w:cs="Times New Roman"/>
          <w:bCs/>
          <w:szCs w:val="21"/>
          <w:highlight w:val="none"/>
        </w:rPr>
      </w:pPr>
      <w:r>
        <w:rPr>
          <w:rFonts w:hint="eastAsia" w:ascii="宋体" w:hAnsi="宋体" w:eastAsia="宋体" w:cs="Times New Roman"/>
          <w:bCs/>
          <w:szCs w:val="21"/>
          <w:highlight w:val="none"/>
        </w:rPr>
        <w:t>A</w:t>
      </w:r>
      <w:r>
        <w:rPr>
          <w:rFonts w:ascii="宋体" w:hAnsi="宋体" w:eastAsia="宋体" w:cs="Times New Roman"/>
          <w:bCs/>
          <w:szCs w:val="21"/>
          <w:highlight w:val="none"/>
        </w:rPr>
        <w:t>.3.6</w:t>
      </w:r>
      <w:r>
        <w:rPr>
          <w:rFonts w:hint="eastAsia" w:ascii="宋体" w:hAnsi="宋体" w:eastAsia="宋体" w:cs="Times New Roman"/>
          <w:bCs/>
          <w:szCs w:val="21"/>
          <w:highlight w:val="none"/>
        </w:rPr>
        <w:t xml:space="preserve"> 按照仪器说明书，将铜网置于透射电子显微镜样本室内，观测小细胞外囊泡的形态。</w:t>
      </w:r>
    </w:p>
    <w:p w14:paraId="0B9400E9">
      <w:pPr>
        <w:spacing w:line="360" w:lineRule="auto"/>
        <w:rPr>
          <w:rFonts w:hint="eastAsia" w:ascii="宋体" w:hAnsi="宋体" w:eastAsia="宋体" w:cs="Times New Roman"/>
          <w:bCs/>
          <w:szCs w:val="21"/>
          <w:highlight w:val="none"/>
        </w:rPr>
      </w:pPr>
    </w:p>
    <w:p w14:paraId="47F3A683">
      <w:pPr>
        <w:widowControl/>
        <w:jc w:val="left"/>
        <w:rPr>
          <w:rFonts w:hint="eastAsia" w:ascii="宋体" w:hAnsi="宋体" w:eastAsia="宋体" w:cs="Times New Roman"/>
          <w:b/>
          <w:szCs w:val="21"/>
          <w:highlight w:val="none"/>
        </w:rPr>
      </w:pPr>
      <w:r>
        <w:rPr>
          <w:rFonts w:ascii="宋体" w:hAnsi="宋体" w:eastAsia="宋体" w:cs="Times New Roman"/>
          <w:b/>
          <w:szCs w:val="21"/>
          <w:highlight w:val="none"/>
        </w:rPr>
        <w:br w:type="page"/>
      </w:r>
    </w:p>
    <w:p w14:paraId="6947CE72">
      <w:pPr>
        <w:jc w:val="center"/>
        <w:rPr>
          <w:rFonts w:hint="eastAsia" w:ascii="黑体" w:hAnsi="黑体" w:eastAsia="黑体" w:cs="黑体"/>
          <w:bCs/>
          <w:szCs w:val="21"/>
          <w:highlight w:val="none"/>
        </w:rPr>
      </w:pPr>
      <w:bookmarkStart w:id="29" w:name="_Toc16442_WPSOffice_Level1"/>
      <w:r>
        <w:rPr>
          <w:rFonts w:hint="eastAsia" w:ascii="黑体" w:hAnsi="黑体" w:eastAsia="黑体" w:cs="黑体"/>
          <w:bCs/>
          <w:szCs w:val="21"/>
          <w:highlight w:val="none"/>
        </w:rPr>
        <w:t>附录B</w:t>
      </w:r>
    </w:p>
    <w:p w14:paraId="02C7E9F9">
      <w:pPr>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4A67A0EA">
      <w:pPr>
        <w:jc w:val="center"/>
        <w:rPr>
          <w:rFonts w:hint="eastAsia" w:ascii="黑体" w:hAnsi="黑体" w:eastAsia="黑体" w:cs="黑体"/>
          <w:bCs/>
          <w:szCs w:val="21"/>
          <w:highlight w:val="none"/>
        </w:rPr>
      </w:pPr>
      <w:r>
        <w:rPr>
          <w:rFonts w:hint="eastAsia" w:ascii="黑体" w:hAnsi="黑体" w:eastAsia="黑体" w:cs="黑体"/>
          <w:bCs/>
          <w:szCs w:val="21"/>
          <w:highlight w:val="none"/>
        </w:rPr>
        <w:t>小细胞外囊泡数量检测方法（纳米流式检测法)</w:t>
      </w:r>
      <w:bookmarkEnd w:id="29"/>
    </w:p>
    <w:p w14:paraId="04951857">
      <w:pPr>
        <w:jc w:val="center"/>
        <w:rPr>
          <w:rFonts w:hint="eastAsia" w:ascii="黑体" w:hAnsi="黑体" w:eastAsia="黑体" w:cs="黑体"/>
          <w:bCs/>
          <w:szCs w:val="21"/>
          <w:highlight w:val="none"/>
        </w:rPr>
      </w:pPr>
    </w:p>
    <w:p w14:paraId="66D3783A">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B.1 仪器和设备</w:t>
      </w:r>
    </w:p>
    <w:p w14:paraId="59B832DE">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.1.1 </w:t>
      </w:r>
      <w:r>
        <w:rPr>
          <w:rFonts w:hint="eastAsia" w:ascii="宋体" w:hAnsi="宋体" w:eastAsia="宋体" w:cs="Times New Roman"/>
          <w:bCs/>
          <w:szCs w:val="21"/>
          <w:highlight w:val="none"/>
        </w:rPr>
        <w:t>纳米流式仪。</w:t>
      </w:r>
    </w:p>
    <w:p w14:paraId="0A845AC6">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B.2 试剂</w:t>
      </w:r>
    </w:p>
    <w:p w14:paraId="129B1588">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本方法所用试剂均为分析纯，除特别说明外，实验用水均为G</w:t>
      </w:r>
      <w:r>
        <w:rPr>
          <w:rFonts w:ascii="宋体" w:hAnsi="宋体" w:eastAsia="宋体" w:cs="Times New Roman"/>
          <w:bCs/>
          <w:szCs w:val="21"/>
          <w:highlight w:val="none"/>
        </w:rPr>
        <w:t>B/T 6682</w:t>
      </w:r>
      <w:r>
        <w:rPr>
          <w:rFonts w:hint="eastAsia" w:ascii="宋体" w:hAnsi="宋体" w:eastAsia="宋体" w:cs="Times New Roman"/>
          <w:bCs/>
          <w:szCs w:val="21"/>
          <w:highlight w:val="none"/>
        </w:rPr>
        <w:t>规定的一级水。</w:t>
      </w:r>
    </w:p>
    <w:p w14:paraId="6295AD57">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.2.1 </w:t>
      </w:r>
      <w:r>
        <w:rPr>
          <w:rFonts w:hint="eastAsia" w:ascii="宋体" w:hAnsi="宋体" w:eastAsia="宋体" w:cs="Times New Roman"/>
          <w:bCs/>
          <w:szCs w:val="21"/>
          <w:highlight w:val="none"/>
        </w:rPr>
        <w:t>磷酸盐缓冲液：pH为7</w:t>
      </w:r>
      <w:r>
        <w:rPr>
          <w:rFonts w:ascii="宋体" w:hAnsi="宋体" w:eastAsia="宋体" w:cs="Times New Roman"/>
          <w:bCs/>
          <w:szCs w:val="21"/>
          <w:highlight w:val="none"/>
        </w:rPr>
        <w:t>.4</w:t>
      </w:r>
      <w:r>
        <w:rPr>
          <w:rFonts w:hint="eastAsia" w:ascii="宋体" w:hAnsi="宋体" w:eastAsia="宋体" w:cs="Times New Roman"/>
          <w:bCs/>
          <w:szCs w:val="21"/>
          <w:highlight w:val="none"/>
        </w:rPr>
        <w:t>。</w:t>
      </w:r>
    </w:p>
    <w:p w14:paraId="2327BF85">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.2.2 </w:t>
      </w:r>
      <w:r>
        <w:rPr>
          <w:rFonts w:hint="eastAsia" w:ascii="宋体" w:hAnsi="宋体" w:eastAsia="宋体" w:cs="Times New Roman"/>
          <w:bCs/>
          <w:szCs w:val="21"/>
          <w:highlight w:val="none"/>
        </w:rPr>
        <w:t>纳米流式仪浓度标准品（1.99×</w:t>
      </w:r>
      <w:r>
        <w:rPr>
          <w:rFonts w:ascii="宋体" w:hAnsi="宋体" w:eastAsia="宋体" w:cs="Times New Roman"/>
          <w:bCs/>
          <w:szCs w:val="21"/>
          <w:highlight w:val="none"/>
        </w:rPr>
        <w:t>10</w:t>
      </w:r>
      <w:r>
        <w:rPr>
          <w:rFonts w:ascii="宋体" w:hAnsi="宋体" w:eastAsia="宋体" w:cs="Times New Roman"/>
          <w:bCs/>
          <w:szCs w:val="21"/>
          <w:highlight w:val="none"/>
          <w:vertAlign w:val="superscript"/>
        </w:rPr>
        <w:t>10</w:t>
      </w:r>
      <w:r>
        <w:rPr>
          <w:rFonts w:hint="eastAsia" w:ascii="宋体" w:hAnsi="宋体" w:eastAsia="宋体" w:cs="Times New Roman"/>
          <w:bCs/>
          <w:szCs w:val="21"/>
          <w:highlight w:val="none"/>
        </w:rPr>
        <w:t>个颗粒</w:t>
      </w:r>
      <w:r>
        <w:rPr>
          <w:rFonts w:ascii="宋体" w:hAnsi="宋体" w:eastAsia="宋体" w:cs="Times New Roman"/>
          <w:bCs/>
          <w:szCs w:val="21"/>
          <w:highlight w:val="none"/>
        </w:rPr>
        <w:t>/</w:t>
      </w:r>
      <w:r>
        <w:rPr>
          <w:rFonts w:hint="eastAsia" w:ascii="宋体" w:hAnsi="宋体" w:eastAsia="宋体" w:cs="Times New Roman"/>
          <w:bCs/>
          <w:szCs w:val="21"/>
          <w:highlight w:val="none"/>
        </w:rPr>
        <w:t>mL）。</w:t>
      </w:r>
    </w:p>
    <w:p w14:paraId="46EB0DC9">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B.3 检测步骤</w:t>
      </w:r>
    </w:p>
    <w:p w14:paraId="427CA1E6">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.3.1 </w:t>
      </w:r>
      <w:r>
        <w:rPr>
          <w:rFonts w:hint="eastAsia" w:ascii="宋体" w:hAnsi="宋体" w:eastAsia="宋体" w:cs="Times New Roman"/>
          <w:bCs/>
          <w:szCs w:val="21"/>
          <w:highlight w:val="none"/>
        </w:rPr>
        <w:t>按照使用说明，对纳米流式仪进行液流初始化和管路气泡排出。</w:t>
      </w:r>
    </w:p>
    <w:p w14:paraId="425BD224">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.3.2 </w:t>
      </w:r>
      <w:r>
        <w:rPr>
          <w:rFonts w:hint="eastAsia" w:ascii="宋体" w:hAnsi="宋体" w:eastAsia="宋体" w:cs="Times New Roman"/>
          <w:bCs/>
          <w:szCs w:val="21"/>
          <w:highlight w:val="none"/>
        </w:rPr>
        <w:t>用超纯水将浓度标准品稀释1</w:t>
      </w:r>
      <w:r>
        <w:rPr>
          <w:rFonts w:ascii="宋体" w:hAnsi="宋体" w:eastAsia="宋体" w:cs="Times New Roman"/>
          <w:bCs/>
          <w:szCs w:val="21"/>
          <w:highlight w:val="none"/>
        </w:rPr>
        <w:t>00</w:t>
      </w:r>
      <w:r>
        <w:rPr>
          <w:rFonts w:hint="eastAsia" w:ascii="宋体" w:hAnsi="宋体" w:eastAsia="宋体" w:cs="Times New Roman"/>
          <w:bCs/>
          <w:szCs w:val="21"/>
          <w:highlight w:val="none"/>
        </w:rPr>
        <w:t>倍，按照使用说明进行纳米流式仪的质控，将纳米流式仪调试到最佳检测状态后（散射和荧光通道的信号均达到最强且均一），在浓度标准品的测量参数下对稀释后的标准品采集数据（在最佳状态下，质控标准品颗粒数计数值范围通常在5</w:t>
      </w:r>
      <w:r>
        <w:rPr>
          <w:rFonts w:ascii="宋体" w:hAnsi="宋体" w:eastAsia="宋体" w:cs="Times New Roman"/>
          <w:bCs/>
          <w:szCs w:val="21"/>
          <w:highlight w:val="none"/>
        </w:rPr>
        <w:t>000</w:t>
      </w:r>
      <w:r>
        <w:rPr>
          <w:rFonts w:hint="eastAsia" w:ascii="宋体" w:hAnsi="宋体" w:eastAsia="宋体" w:cs="Times New Roman"/>
          <w:bCs/>
          <w:szCs w:val="21"/>
          <w:highlight w:val="none"/>
        </w:rPr>
        <w:t>-</w:t>
      </w:r>
      <w:r>
        <w:rPr>
          <w:rFonts w:ascii="宋体" w:hAnsi="宋体" w:eastAsia="宋体" w:cs="Times New Roman"/>
          <w:bCs/>
          <w:szCs w:val="21"/>
          <w:highlight w:val="none"/>
        </w:rPr>
        <w:t>7000</w:t>
      </w:r>
      <w:r>
        <w:rPr>
          <w:rFonts w:hint="eastAsia" w:ascii="宋体" w:hAnsi="宋体" w:eastAsia="宋体" w:cs="Times New Roman"/>
          <w:bCs/>
          <w:szCs w:val="21"/>
          <w:highlight w:val="none"/>
        </w:rPr>
        <w:t>）。</w:t>
      </w:r>
    </w:p>
    <w:p w14:paraId="579983E5">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.3.3 </w:t>
      </w:r>
      <w:r>
        <w:rPr>
          <w:rFonts w:hint="eastAsia" w:ascii="宋体" w:hAnsi="宋体" w:eastAsia="宋体" w:cs="Times New Roman"/>
          <w:bCs/>
          <w:szCs w:val="21"/>
          <w:highlight w:val="none"/>
        </w:rPr>
        <w:t>按照使用说明，依次用洗液和超纯水清洗进样毛细管。</w:t>
      </w:r>
    </w:p>
    <w:p w14:paraId="3765D9B5">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.3.4 </w:t>
      </w:r>
      <w:r>
        <w:rPr>
          <w:rFonts w:hint="eastAsia" w:ascii="宋体" w:hAnsi="宋体" w:eastAsia="宋体" w:cs="Times New Roman"/>
          <w:bCs/>
          <w:szCs w:val="21"/>
          <w:highlight w:val="none"/>
        </w:rPr>
        <w:t>在</w:t>
      </w:r>
      <w:r>
        <w:rPr>
          <w:rFonts w:ascii="宋体" w:hAnsi="宋体" w:eastAsia="宋体" w:cs="Times New Roman"/>
          <w:bCs/>
          <w:szCs w:val="21"/>
          <w:highlight w:val="none"/>
        </w:rPr>
        <w:t>Labelled Exo样品</w:t>
      </w:r>
      <w:r>
        <w:rPr>
          <w:rFonts w:hint="eastAsia" w:ascii="宋体" w:hAnsi="宋体" w:eastAsia="宋体" w:cs="Times New Roman"/>
          <w:bCs/>
          <w:szCs w:val="21"/>
          <w:highlight w:val="none"/>
        </w:rPr>
        <w:t>测量参数下检测磷酸盐缓冲液的颗粒数，确定磷酸盐缓冲液的洁净度，颗粒数计数小于3</w:t>
      </w:r>
      <w:r>
        <w:rPr>
          <w:rFonts w:ascii="宋体" w:hAnsi="宋体" w:eastAsia="宋体" w:cs="Times New Roman"/>
          <w:bCs/>
          <w:szCs w:val="21"/>
          <w:highlight w:val="none"/>
        </w:rPr>
        <w:t>00</w:t>
      </w:r>
      <w:r>
        <w:rPr>
          <w:rFonts w:hint="eastAsia" w:ascii="宋体" w:hAnsi="宋体" w:eastAsia="宋体" w:cs="Times New Roman"/>
          <w:bCs/>
          <w:szCs w:val="21"/>
          <w:highlight w:val="none"/>
        </w:rPr>
        <w:t>的磷酸盐缓冲液才能作为空白对照的数据采集并用于后续的样品稀释。如果颗粒数计数高于300，需用0.22</w:t>
      </w:r>
      <w:bookmarkStart w:id="30" w:name="_Hlk200644173"/>
      <w:r>
        <w:rPr>
          <w:rFonts w:hint="eastAsia" w:ascii="宋体" w:hAnsi="宋体" w:eastAsia="宋体" w:cs="Times New Roman"/>
          <w:bCs/>
          <w:szCs w:val="21"/>
          <w:highlight w:val="none"/>
        </w:rPr>
        <w:t>μｍ</w:t>
      </w:r>
      <w:bookmarkEnd w:id="30"/>
      <w:r>
        <w:rPr>
          <w:rFonts w:hint="eastAsia" w:ascii="宋体" w:hAnsi="宋体" w:eastAsia="宋体" w:cs="Times New Roman"/>
          <w:bCs/>
          <w:szCs w:val="21"/>
          <w:highlight w:val="none"/>
        </w:rPr>
        <w:t>的滤膜过滤。</w:t>
      </w:r>
    </w:p>
    <w:p w14:paraId="595DD5B6">
      <w:pPr>
        <w:rPr>
          <w:rFonts w:hint="eastAsia" w:ascii="宋体" w:hAnsi="宋体" w:eastAsia="宋体" w:cs="Times New Roman"/>
          <w:bCs/>
          <w:szCs w:val="21"/>
          <w:highlight w:val="none"/>
        </w:rPr>
      </w:pPr>
      <w:r>
        <w:rPr>
          <w:rFonts w:hint="eastAsia" w:ascii="宋体" w:hAnsi="宋体" w:eastAsia="宋体" w:cs="Times New Roman"/>
          <w:bCs/>
          <w:szCs w:val="21"/>
          <w:highlight w:val="none"/>
        </w:rPr>
        <w:t>B</w:t>
      </w:r>
      <w:r>
        <w:rPr>
          <w:rFonts w:ascii="宋体" w:hAnsi="宋体" w:eastAsia="宋体" w:cs="Times New Roman"/>
          <w:bCs/>
          <w:szCs w:val="21"/>
          <w:highlight w:val="none"/>
        </w:rPr>
        <w:t xml:space="preserve">.3.5 </w:t>
      </w:r>
      <w:r>
        <w:rPr>
          <w:rFonts w:hint="eastAsia" w:ascii="宋体" w:hAnsi="宋体" w:eastAsia="宋体" w:cs="Times New Roman"/>
          <w:bCs/>
          <w:szCs w:val="21"/>
          <w:highlight w:val="none"/>
        </w:rPr>
        <w:t>用洁净的磷酸盐缓冲液将小细胞外囊泡样品预稀释1</w:t>
      </w:r>
      <w:r>
        <w:rPr>
          <w:rFonts w:ascii="宋体" w:hAnsi="宋体" w:eastAsia="宋体" w:cs="Times New Roman"/>
          <w:bCs/>
          <w:szCs w:val="21"/>
          <w:highlight w:val="none"/>
        </w:rPr>
        <w:t>00</w:t>
      </w:r>
      <w:r>
        <w:rPr>
          <w:rFonts w:hint="eastAsia" w:ascii="宋体" w:hAnsi="宋体" w:eastAsia="宋体" w:cs="Times New Roman"/>
          <w:bCs/>
          <w:szCs w:val="21"/>
          <w:highlight w:val="none"/>
        </w:rPr>
        <w:t>倍，在</w:t>
      </w:r>
      <w:r>
        <w:rPr>
          <w:rFonts w:ascii="宋体" w:hAnsi="宋体" w:eastAsia="宋体" w:cs="Times New Roman"/>
          <w:bCs/>
          <w:szCs w:val="21"/>
          <w:highlight w:val="none"/>
        </w:rPr>
        <w:t>Labelled Exo样品</w:t>
      </w:r>
      <w:r>
        <w:rPr>
          <w:rFonts w:hint="eastAsia" w:ascii="宋体" w:hAnsi="宋体" w:eastAsia="宋体" w:cs="Times New Roman"/>
          <w:bCs/>
          <w:szCs w:val="21"/>
          <w:highlight w:val="none"/>
        </w:rPr>
        <w:t>测量参数对小细胞外囊泡样本进行数据采集。纳米流式仪颗粒计数在4</w:t>
      </w:r>
      <w:r>
        <w:rPr>
          <w:rFonts w:ascii="宋体" w:hAnsi="宋体" w:eastAsia="宋体" w:cs="Times New Roman"/>
          <w:bCs/>
          <w:szCs w:val="21"/>
          <w:highlight w:val="none"/>
        </w:rPr>
        <w:t>000</w:t>
      </w:r>
      <w:r>
        <w:rPr>
          <w:rFonts w:hint="eastAsia" w:ascii="宋体" w:hAnsi="宋体" w:eastAsia="宋体" w:cs="Times New Roman"/>
          <w:bCs/>
          <w:szCs w:val="21"/>
          <w:highlight w:val="none"/>
        </w:rPr>
        <w:t>-</w:t>
      </w:r>
      <w:r>
        <w:rPr>
          <w:rFonts w:ascii="宋体" w:hAnsi="宋体" w:eastAsia="宋体" w:cs="Times New Roman"/>
          <w:bCs/>
          <w:szCs w:val="21"/>
          <w:highlight w:val="none"/>
        </w:rPr>
        <w:t>8000</w:t>
      </w:r>
      <w:r>
        <w:rPr>
          <w:rFonts w:hint="eastAsia" w:ascii="宋体" w:hAnsi="宋体" w:eastAsia="宋体" w:cs="Times New Roman"/>
          <w:bCs/>
          <w:szCs w:val="21"/>
          <w:highlight w:val="none"/>
        </w:rPr>
        <w:t>之间为准确测量范围，若样品颗粒数计数过高或过低，则需调整样品的稀释倍数，再进行测定，记下样品的最终稀释倍数。另外需注意样品上机检测时散射通道的基线和自动阈值应与空白对照一致，若样品检测时出现基线抬升，则需重新制备更高纯度的样品。</w:t>
      </w:r>
    </w:p>
    <w:p w14:paraId="7FDC829A">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B.4 结果分析</w:t>
      </w:r>
    </w:p>
    <w:p w14:paraId="498B45D5">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按照</w:t>
      </w:r>
      <w:r>
        <w:rPr>
          <w:rFonts w:ascii="宋体" w:hAnsi="宋体" w:eastAsia="宋体" w:cs="Times New Roman"/>
          <w:bCs/>
          <w:szCs w:val="21"/>
          <w:highlight w:val="none"/>
        </w:rPr>
        <w:t>NF Profession</w:t>
      </w:r>
      <w:r>
        <w:rPr>
          <w:rFonts w:hint="eastAsia" w:ascii="宋体" w:hAnsi="宋体" w:eastAsia="宋体" w:cs="Times New Roman"/>
          <w:bCs/>
          <w:szCs w:val="21"/>
          <w:highlight w:val="none"/>
        </w:rPr>
        <w:t>软件使用说明书进行分析，得到待测样品浓度检测报告。</w:t>
      </w:r>
    </w:p>
    <w:p w14:paraId="7F02C7D4">
      <w:pPr>
        <w:pStyle w:val="20"/>
        <w:spacing w:line="360" w:lineRule="auto"/>
        <w:rPr>
          <w:rFonts w:hint="eastAsia" w:ascii="宋体" w:hAnsi="宋体" w:eastAsia="宋体" w:cs="Times New Roman"/>
          <w:bCs/>
          <w:szCs w:val="21"/>
          <w:highlight w:val="none"/>
        </w:rPr>
      </w:pPr>
    </w:p>
    <w:p w14:paraId="28B90CD9">
      <w:pPr>
        <w:widowControl/>
        <w:jc w:val="left"/>
        <w:rPr>
          <w:rFonts w:hint="eastAsia" w:ascii="宋体" w:hAnsi="宋体" w:eastAsia="宋体" w:cs="Times New Roman"/>
          <w:b/>
          <w:szCs w:val="21"/>
          <w:highlight w:val="none"/>
        </w:rPr>
      </w:pPr>
      <w:r>
        <w:rPr>
          <w:rFonts w:ascii="宋体" w:hAnsi="宋体" w:eastAsia="宋体" w:cs="Times New Roman"/>
          <w:b/>
          <w:szCs w:val="21"/>
          <w:highlight w:val="none"/>
        </w:rPr>
        <w:br w:type="page"/>
      </w:r>
    </w:p>
    <w:p w14:paraId="5E2EABFC">
      <w:pPr>
        <w:jc w:val="center"/>
        <w:rPr>
          <w:rFonts w:hint="eastAsia" w:ascii="黑体" w:hAnsi="黑体" w:eastAsia="黑体" w:cs="黑体"/>
          <w:bCs/>
          <w:szCs w:val="21"/>
          <w:highlight w:val="none"/>
        </w:rPr>
      </w:pPr>
      <w:bookmarkStart w:id="31" w:name="_Toc7047_WPSOffice_Level1"/>
      <w:r>
        <w:rPr>
          <w:rFonts w:hint="eastAsia" w:ascii="黑体" w:hAnsi="黑体" w:eastAsia="黑体" w:cs="黑体"/>
          <w:bCs/>
          <w:szCs w:val="21"/>
          <w:highlight w:val="none"/>
        </w:rPr>
        <w:t>附录C</w:t>
      </w:r>
    </w:p>
    <w:p w14:paraId="3F88C381">
      <w:pPr>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7CC10759">
      <w:pPr>
        <w:jc w:val="center"/>
        <w:rPr>
          <w:rFonts w:hint="eastAsia" w:ascii="黑体" w:hAnsi="黑体" w:eastAsia="黑体" w:cs="黑体"/>
          <w:bCs/>
          <w:szCs w:val="21"/>
          <w:highlight w:val="none"/>
        </w:rPr>
      </w:pPr>
      <w:r>
        <w:rPr>
          <w:rFonts w:hint="eastAsia" w:ascii="黑体" w:hAnsi="黑体" w:eastAsia="黑体" w:cs="黑体"/>
          <w:bCs/>
          <w:szCs w:val="21"/>
          <w:highlight w:val="none"/>
        </w:rPr>
        <w:t>小细胞外囊泡粒径检测方法（纳米流式检测法）</w:t>
      </w:r>
      <w:bookmarkEnd w:id="31"/>
    </w:p>
    <w:p w14:paraId="1443D938">
      <w:pPr>
        <w:jc w:val="center"/>
        <w:rPr>
          <w:rFonts w:hint="eastAsia" w:ascii="黑体" w:hAnsi="黑体" w:eastAsia="黑体" w:cs="黑体"/>
          <w:bCs/>
          <w:szCs w:val="21"/>
          <w:highlight w:val="none"/>
        </w:rPr>
      </w:pPr>
    </w:p>
    <w:p w14:paraId="09F104CD">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C.1 仪器和设备</w:t>
      </w:r>
    </w:p>
    <w:p w14:paraId="7E51DC93">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.1.1 </w:t>
      </w:r>
      <w:r>
        <w:rPr>
          <w:rFonts w:hint="eastAsia" w:ascii="宋体" w:hAnsi="宋体" w:eastAsia="宋体" w:cs="Times New Roman"/>
          <w:bCs/>
          <w:szCs w:val="21"/>
          <w:highlight w:val="none"/>
        </w:rPr>
        <w:t>纳米流式仪。</w:t>
      </w:r>
    </w:p>
    <w:p w14:paraId="2587E4C5">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C.2 试剂</w:t>
      </w:r>
    </w:p>
    <w:p w14:paraId="69602CA9">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本方法所用试剂均为分析纯，除特别说明外，实验用水均为G</w:t>
      </w:r>
      <w:r>
        <w:rPr>
          <w:rFonts w:ascii="宋体" w:hAnsi="宋体" w:eastAsia="宋体" w:cs="Times New Roman"/>
          <w:bCs/>
          <w:szCs w:val="21"/>
          <w:highlight w:val="none"/>
        </w:rPr>
        <w:t>B/T 6682</w:t>
      </w:r>
      <w:r>
        <w:rPr>
          <w:rFonts w:hint="eastAsia" w:ascii="宋体" w:hAnsi="宋体" w:eastAsia="宋体" w:cs="Times New Roman"/>
          <w:bCs/>
          <w:szCs w:val="21"/>
          <w:highlight w:val="none"/>
        </w:rPr>
        <w:t>规定的一级水。</w:t>
      </w:r>
    </w:p>
    <w:p w14:paraId="299E3A18">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.2.1 </w:t>
      </w:r>
      <w:r>
        <w:rPr>
          <w:rFonts w:hint="eastAsia" w:ascii="宋体" w:hAnsi="宋体" w:eastAsia="宋体" w:cs="Times New Roman"/>
          <w:bCs/>
          <w:szCs w:val="21"/>
          <w:highlight w:val="none"/>
        </w:rPr>
        <w:t>磷酸盐缓冲液：pH为7</w:t>
      </w:r>
      <w:r>
        <w:rPr>
          <w:rFonts w:ascii="宋体" w:hAnsi="宋体" w:eastAsia="宋体" w:cs="Times New Roman"/>
          <w:bCs/>
          <w:szCs w:val="21"/>
          <w:highlight w:val="none"/>
        </w:rPr>
        <w:t>.4</w:t>
      </w:r>
      <w:r>
        <w:rPr>
          <w:rFonts w:hint="eastAsia" w:ascii="宋体" w:hAnsi="宋体" w:eastAsia="宋体" w:cs="Times New Roman"/>
          <w:bCs/>
          <w:szCs w:val="21"/>
          <w:highlight w:val="none"/>
        </w:rPr>
        <w:t>。</w:t>
      </w:r>
    </w:p>
    <w:p w14:paraId="3627775F">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.2.2 </w:t>
      </w:r>
      <w:r>
        <w:rPr>
          <w:rFonts w:hint="eastAsia" w:ascii="宋体" w:hAnsi="宋体" w:eastAsia="宋体" w:cs="Times New Roman"/>
          <w:bCs/>
          <w:szCs w:val="21"/>
          <w:highlight w:val="none"/>
        </w:rPr>
        <w:t>纳米流式仪浓度标准品（1.99×</w:t>
      </w:r>
      <w:r>
        <w:rPr>
          <w:rFonts w:ascii="宋体" w:hAnsi="宋体" w:eastAsia="宋体" w:cs="Times New Roman"/>
          <w:bCs/>
          <w:szCs w:val="21"/>
          <w:highlight w:val="none"/>
        </w:rPr>
        <w:t>10</w:t>
      </w:r>
      <w:r>
        <w:rPr>
          <w:rFonts w:ascii="宋体" w:hAnsi="宋体" w:eastAsia="宋体" w:cs="Times New Roman"/>
          <w:bCs/>
          <w:szCs w:val="21"/>
          <w:highlight w:val="none"/>
          <w:vertAlign w:val="superscript"/>
        </w:rPr>
        <w:t>10</w:t>
      </w:r>
      <w:r>
        <w:rPr>
          <w:rFonts w:hint="eastAsia" w:ascii="宋体" w:hAnsi="宋体" w:eastAsia="宋体" w:cs="Times New Roman"/>
          <w:bCs/>
          <w:szCs w:val="21"/>
          <w:highlight w:val="none"/>
        </w:rPr>
        <w:t>个颗粒</w:t>
      </w:r>
      <w:r>
        <w:rPr>
          <w:rFonts w:ascii="宋体" w:hAnsi="宋体" w:eastAsia="宋体" w:cs="Times New Roman"/>
          <w:bCs/>
          <w:szCs w:val="21"/>
          <w:highlight w:val="none"/>
        </w:rPr>
        <w:t>/</w:t>
      </w:r>
      <w:r>
        <w:rPr>
          <w:rFonts w:hint="eastAsia" w:ascii="宋体" w:hAnsi="宋体" w:eastAsia="宋体" w:cs="Times New Roman"/>
          <w:bCs/>
          <w:szCs w:val="21"/>
          <w:highlight w:val="none"/>
        </w:rPr>
        <w:t>mL）、S</w:t>
      </w:r>
      <w:r>
        <w:rPr>
          <w:rFonts w:ascii="宋体" w:hAnsi="宋体" w:eastAsia="宋体" w:cs="Times New Roman"/>
          <w:bCs/>
          <w:szCs w:val="21"/>
          <w:highlight w:val="none"/>
        </w:rPr>
        <w:t>16M-</w:t>
      </w:r>
      <w:r>
        <w:rPr>
          <w:rFonts w:hint="eastAsia" w:ascii="宋体" w:hAnsi="宋体" w:eastAsia="宋体" w:cs="Times New Roman"/>
          <w:bCs/>
          <w:szCs w:val="21"/>
          <w:highlight w:val="none"/>
        </w:rPr>
        <w:t>Exo粒径标准品。</w:t>
      </w:r>
    </w:p>
    <w:p w14:paraId="231B4A62">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C.3 检测步骤</w:t>
      </w:r>
    </w:p>
    <w:p w14:paraId="69016764">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.3.1 </w:t>
      </w:r>
      <w:r>
        <w:rPr>
          <w:rFonts w:hint="eastAsia" w:ascii="宋体" w:hAnsi="宋体" w:eastAsia="宋体" w:cs="Times New Roman"/>
          <w:bCs/>
          <w:szCs w:val="21"/>
          <w:highlight w:val="none"/>
        </w:rPr>
        <w:t>按照使用说明，对纳米流式仪进行液流初始化和管路气泡排出。</w:t>
      </w:r>
    </w:p>
    <w:p w14:paraId="75E866B4">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.3.2 </w:t>
      </w:r>
      <w:r>
        <w:rPr>
          <w:rFonts w:hint="eastAsia" w:ascii="宋体" w:hAnsi="宋体" w:eastAsia="宋体" w:cs="Times New Roman"/>
          <w:bCs/>
          <w:szCs w:val="21"/>
          <w:highlight w:val="none"/>
        </w:rPr>
        <w:t>用超纯水将浓度标准品稀释1</w:t>
      </w:r>
      <w:r>
        <w:rPr>
          <w:rFonts w:ascii="宋体" w:hAnsi="宋体" w:eastAsia="宋体" w:cs="Times New Roman"/>
          <w:bCs/>
          <w:szCs w:val="21"/>
          <w:highlight w:val="none"/>
        </w:rPr>
        <w:t>00</w:t>
      </w:r>
      <w:r>
        <w:rPr>
          <w:rFonts w:hint="eastAsia" w:ascii="宋体" w:hAnsi="宋体" w:eastAsia="宋体" w:cs="Times New Roman"/>
          <w:bCs/>
          <w:szCs w:val="21"/>
          <w:highlight w:val="none"/>
        </w:rPr>
        <w:t>倍，按照使用说明进行纳米流式仪的质控，将纳米流式仪调试到最佳检测状态后（散射和荧光通道的信号均达到最强且均一），在浓度标准品的测量参数下对稀释后的标准品采集数据（在最佳状态下，质控标准品颗粒数计数值范围通常在5</w:t>
      </w:r>
      <w:r>
        <w:rPr>
          <w:rFonts w:ascii="宋体" w:hAnsi="宋体" w:eastAsia="宋体" w:cs="Times New Roman"/>
          <w:bCs/>
          <w:szCs w:val="21"/>
          <w:highlight w:val="none"/>
        </w:rPr>
        <w:t>000</w:t>
      </w:r>
      <w:r>
        <w:rPr>
          <w:rFonts w:hint="eastAsia" w:ascii="宋体" w:hAnsi="宋体" w:eastAsia="宋体" w:cs="Times New Roman"/>
          <w:bCs/>
          <w:szCs w:val="21"/>
          <w:highlight w:val="none"/>
        </w:rPr>
        <w:t>-</w:t>
      </w:r>
      <w:r>
        <w:rPr>
          <w:rFonts w:ascii="宋体" w:hAnsi="宋体" w:eastAsia="宋体" w:cs="Times New Roman"/>
          <w:bCs/>
          <w:szCs w:val="21"/>
          <w:highlight w:val="none"/>
        </w:rPr>
        <w:t>7000</w:t>
      </w:r>
      <w:r>
        <w:rPr>
          <w:rFonts w:hint="eastAsia" w:ascii="宋体" w:hAnsi="宋体" w:eastAsia="宋体" w:cs="Times New Roman"/>
          <w:bCs/>
          <w:szCs w:val="21"/>
          <w:highlight w:val="none"/>
        </w:rPr>
        <w:t>）。</w:t>
      </w:r>
    </w:p>
    <w:p w14:paraId="6FB8FF80">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.3.3 </w:t>
      </w:r>
      <w:r>
        <w:rPr>
          <w:rFonts w:hint="eastAsia" w:ascii="宋体" w:hAnsi="宋体" w:eastAsia="宋体" w:cs="Times New Roman"/>
          <w:bCs/>
          <w:szCs w:val="21"/>
          <w:highlight w:val="none"/>
        </w:rPr>
        <w:t>按照使用说明，依次用洗液和超纯水清洗进样毛细管。</w:t>
      </w:r>
    </w:p>
    <w:p w14:paraId="272EB1EF">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.3.4 </w:t>
      </w:r>
      <w:r>
        <w:rPr>
          <w:rFonts w:hint="eastAsia" w:ascii="宋体" w:hAnsi="宋体" w:eastAsia="宋体" w:cs="Times New Roman"/>
          <w:bCs/>
          <w:szCs w:val="21"/>
          <w:highlight w:val="none"/>
        </w:rPr>
        <w:t>用超纯水将S16M-Exo粒径标准品稀释1</w:t>
      </w:r>
      <w:r>
        <w:rPr>
          <w:rFonts w:ascii="宋体" w:hAnsi="宋体" w:eastAsia="宋体" w:cs="Times New Roman"/>
          <w:bCs/>
          <w:szCs w:val="21"/>
          <w:highlight w:val="none"/>
        </w:rPr>
        <w:t>00</w:t>
      </w:r>
      <w:r>
        <w:rPr>
          <w:rFonts w:hint="eastAsia" w:ascii="宋体" w:hAnsi="宋体" w:eastAsia="宋体" w:cs="Times New Roman"/>
          <w:bCs/>
          <w:szCs w:val="21"/>
          <w:highlight w:val="none"/>
        </w:rPr>
        <w:t>倍，在S16M-Exo粒径标准品测量参数下对稀释后的粒径标准品进行采集数据。</w:t>
      </w:r>
    </w:p>
    <w:p w14:paraId="456CEEF9">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.3.5 </w:t>
      </w:r>
      <w:r>
        <w:rPr>
          <w:rFonts w:hint="eastAsia" w:ascii="宋体" w:hAnsi="宋体" w:eastAsia="宋体" w:cs="Times New Roman"/>
          <w:bCs/>
          <w:szCs w:val="21"/>
          <w:highlight w:val="none"/>
        </w:rPr>
        <w:t>按照使用说明，依次用洗液和超纯水清洗进样毛细管。</w:t>
      </w:r>
    </w:p>
    <w:p w14:paraId="7F18956E">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.3.6 </w:t>
      </w:r>
      <w:r>
        <w:rPr>
          <w:rFonts w:hint="eastAsia" w:ascii="宋体" w:hAnsi="宋体" w:eastAsia="宋体" w:cs="Times New Roman"/>
          <w:bCs/>
          <w:szCs w:val="21"/>
          <w:highlight w:val="none"/>
        </w:rPr>
        <w:t>在</w:t>
      </w:r>
      <w:r>
        <w:rPr>
          <w:rFonts w:ascii="宋体" w:hAnsi="宋体" w:eastAsia="宋体" w:cs="Times New Roman"/>
          <w:bCs/>
          <w:szCs w:val="21"/>
          <w:highlight w:val="none"/>
        </w:rPr>
        <w:t>Labelled Exo样品</w:t>
      </w:r>
      <w:r>
        <w:rPr>
          <w:rFonts w:hint="eastAsia" w:ascii="宋体" w:hAnsi="宋体" w:eastAsia="宋体" w:cs="Times New Roman"/>
          <w:bCs/>
          <w:szCs w:val="21"/>
          <w:highlight w:val="none"/>
        </w:rPr>
        <w:t>测量参数下检测磷酸盐缓冲液的颗粒数，确定磷酸盐缓冲液的洁净度，颗粒数计数小于3</w:t>
      </w:r>
      <w:r>
        <w:rPr>
          <w:rFonts w:ascii="宋体" w:hAnsi="宋体" w:eastAsia="宋体" w:cs="Times New Roman"/>
          <w:bCs/>
          <w:szCs w:val="21"/>
          <w:highlight w:val="none"/>
        </w:rPr>
        <w:t>00</w:t>
      </w:r>
      <w:r>
        <w:rPr>
          <w:rFonts w:hint="eastAsia" w:ascii="宋体" w:hAnsi="宋体" w:eastAsia="宋体" w:cs="Times New Roman"/>
          <w:bCs/>
          <w:szCs w:val="21"/>
          <w:highlight w:val="none"/>
        </w:rPr>
        <w:t>的磷酸盐缓冲液才能作为空白对照的数据采集并用于后续的样品稀释。如果颗粒数计数高于300，需用0.22μｍ的滤膜过滤。</w:t>
      </w:r>
    </w:p>
    <w:p w14:paraId="6D298808">
      <w:pPr>
        <w:rPr>
          <w:rFonts w:hint="eastAsia" w:ascii="宋体" w:hAnsi="宋体" w:eastAsia="宋体" w:cs="Times New Roman"/>
          <w:bCs/>
          <w:szCs w:val="21"/>
          <w:highlight w:val="none"/>
        </w:rPr>
      </w:pPr>
      <w:r>
        <w:rPr>
          <w:rFonts w:hint="eastAsia" w:ascii="宋体" w:hAnsi="宋体" w:eastAsia="宋体" w:cs="Times New Roman"/>
          <w:bCs/>
          <w:szCs w:val="21"/>
          <w:highlight w:val="none"/>
        </w:rPr>
        <w:t>C</w:t>
      </w:r>
      <w:r>
        <w:rPr>
          <w:rFonts w:ascii="宋体" w:hAnsi="宋体" w:eastAsia="宋体" w:cs="Times New Roman"/>
          <w:bCs/>
          <w:szCs w:val="21"/>
          <w:highlight w:val="none"/>
        </w:rPr>
        <w:t xml:space="preserve">.3.7 </w:t>
      </w:r>
      <w:r>
        <w:rPr>
          <w:rFonts w:hint="eastAsia" w:ascii="宋体" w:hAnsi="宋体" w:eastAsia="宋体" w:cs="Times New Roman"/>
          <w:bCs/>
          <w:szCs w:val="21"/>
          <w:highlight w:val="none"/>
        </w:rPr>
        <w:t>用洁净的磷酸盐缓冲液将小细胞外囊泡样品预稀释1</w:t>
      </w:r>
      <w:r>
        <w:rPr>
          <w:rFonts w:ascii="宋体" w:hAnsi="宋体" w:eastAsia="宋体" w:cs="Times New Roman"/>
          <w:bCs/>
          <w:szCs w:val="21"/>
          <w:highlight w:val="none"/>
        </w:rPr>
        <w:t>00</w:t>
      </w:r>
      <w:r>
        <w:rPr>
          <w:rFonts w:hint="eastAsia" w:ascii="宋体" w:hAnsi="宋体" w:eastAsia="宋体" w:cs="Times New Roman"/>
          <w:bCs/>
          <w:szCs w:val="21"/>
          <w:highlight w:val="none"/>
        </w:rPr>
        <w:t>倍，在</w:t>
      </w:r>
      <w:r>
        <w:rPr>
          <w:rFonts w:ascii="宋体" w:hAnsi="宋体" w:eastAsia="宋体" w:cs="Times New Roman"/>
          <w:bCs/>
          <w:szCs w:val="21"/>
          <w:highlight w:val="none"/>
        </w:rPr>
        <w:t>Labelled Exo样品测</w:t>
      </w:r>
      <w:r>
        <w:rPr>
          <w:rFonts w:hint="eastAsia" w:ascii="宋体" w:hAnsi="宋体" w:eastAsia="宋体" w:cs="Times New Roman"/>
          <w:bCs/>
          <w:szCs w:val="21"/>
          <w:highlight w:val="none"/>
        </w:rPr>
        <w:t>量参数对小细胞外囊泡样本进行数据采集。纳米流式仪颗粒计数在4</w:t>
      </w:r>
      <w:r>
        <w:rPr>
          <w:rFonts w:ascii="宋体" w:hAnsi="宋体" w:eastAsia="宋体" w:cs="Times New Roman"/>
          <w:bCs/>
          <w:szCs w:val="21"/>
          <w:highlight w:val="none"/>
        </w:rPr>
        <w:t>000</w:t>
      </w:r>
      <w:r>
        <w:rPr>
          <w:rFonts w:hint="eastAsia" w:ascii="宋体" w:hAnsi="宋体" w:eastAsia="宋体" w:cs="Times New Roman"/>
          <w:bCs/>
          <w:szCs w:val="21"/>
          <w:highlight w:val="none"/>
        </w:rPr>
        <w:t>-</w:t>
      </w:r>
      <w:r>
        <w:rPr>
          <w:rFonts w:ascii="宋体" w:hAnsi="宋体" w:eastAsia="宋体" w:cs="Times New Roman"/>
          <w:bCs/>
          <w:szCs w:val="21"/>
          <w:highlight w:val="none"/>
        </w:rPr>
        <w:t>8000</w:t>
      </w:r>
      <w:r>
        <w:rPr>
          <w:rFonts w:hint="eastAsia" w:ascii="宋体" w:hAnsi="宋体" w:eastAsia="宋体" w:cs="Times New Roman"/>
          <w:bCs/>
          <w:szCs w:val="21"/>
          <w:highlight w:val="none"/>
        </w:rPr>
        <w:t>之间为准确测量范围，若样品颗粒数计数过高或过低，则需调整样品的稀释倍数，再进行测定，记下样品的最终稀释倍数。另外需注意样品上机检测时散射通道的基线和自动阈值应与空白对照一致，若样品检测时出现基线抬升，则需重新制备更高纯度的样品。</w:t>
      </w:r>
    </w:p>
    <w:p w14:paraId="6D548A79">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C.4 结果分析</w:t>
      </w:r>
    </w:p>
    <w:p w14:paraId="5F512FA1">
      <w:pPr>
        <w:pStyle w:val="20"/>
        <w:rPr>
          <w:rFonts w:hint="eastAsia" w:ascii="宋体" w:hAnsi="宋体" w:eastAsia="宋体" w:cs="Times New Roman"/>
          <w:bCs/>
          <w:szCs w:val="21"/>
          <w:highlight w:val="none"/>
        </w:rPr>
      </w:pPr>
      <w:bookmarkStart w:id="32" w:name="_Toc3266_WPSOffice_Level1"/>
      <w:r>
        <w:rPr>
          <w:rFonts w:hint="eastAsia" w:ascii="宋体" w:hAnsi="宋体" w:eastAsia="宋体" w:cs="Times New Roman"/>
          <w:bCs/>
          <w:szCs w:val="21"/>
          <w:highlight w:val="none"/>
        </w:rPr>
        <w:t>按照</w:t>
      </w:r>
      <w:r>
        <w:rPr>
          <w:rFonts w:ascii="宋体" w:hAnsi="宋体" w:eastAsia="宋体" w:cs="Times New Roman"/>
          <w:bCs/>
          <w:szCs w:val="21"/>
          <w:highlight w:val="none"/>
        </w:rPr>
        <w:t>NF Profession</w:t>
      </w:r>
      <w:r>
        <w:rPr>
          <w:rFonts w:hint="eastAsia" w:ascii="宋体" w:hAnsi="宋体" w:eastAsia="宋体" w:cs="Times New Roman"/>
          <w:bCs/>
          <w:szCs w:val="21"/>
          <w:highlight w:val="none"/>
        </w:rPr>
        <w:t>软件使用说明书进行分析，得到待测样品粒径分析报告。</w:t>
      </w:r>
    </w:p>
    <w:p w14:paraId="489D0E14">
      <w:pPr>
        <w:pStyle w:val="20"/>
        <w:spacing w:line="360" w:lineRule="auto"/>
        <w:rPr>
          <w:rFonts w:hint="eastAsia" w:ascii="黑体" w:hAnsi="黑体" w:eastAsia="黑体" w:cs="黑体"/>
          <w:bCs/>
          <w:szCs w:val="21"/>
          <w:highlight w:val="none"/>
        </w:rPr>
      </w:pPr>
      <w:r>
        <w:rPr>
          <w:rFonts w:hint="eastAsia" w:ascii="黑体" w:hAnsi="黑体" w:eastAsia="黑体" w:cs="黑体"/>
          <w:bCs/>
          <w:szCs w:val="21"/>
          <w:highlight w:val="none"/>
        </w:rPr>
        <w:br w:type="page"/>
      </w:r>
    </w:p>
    <w:p w14:paraId="4C31DFE5">
      <w:pPr>
        <w:jc w:val="center"/>
        <w:rPr>
          <w:rFonts w:hint="eastAsia" w:ascii="黑体" w:hAnsi="黑体" w:eastAsia="黑体" w:cs="黑体"/>
          <w:bCs/>
          <w:szCs w:val="21"/>
          <w:highlight w:val="none"/>
        </w:rPr>
      </w:pPr>
      <w:r>
        <w:rPr>
          <w:rFonts w:hint="eastAsia" w:ascii="黑体" w:hAnsi="黑体" w:eastAsia="黑体" w:cs="黑体"/>
          <w:bCs/>
          <w:szCs w:val="21"/>
          <w:highlight w:val="none"/>
        </w:rPr>
        <w:t>附录D</w:t>
      </w:r>
    </w:p>
    <w:p w14:paraId="30672ABC">
      <w:pPr>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00DF4046">
      <w:pPr>
        <w:jc w:val="center"/>
        <w:rPr>
          <w:rFonts w:hint="eastAsia" w:ascii="黑体" w:hAnsi="黑体" w:eastAsia="黑体" w:cs="黑体"/>
          <w:bCs/>
          <w:szCs w:val="21"/>
          <w:highlight w:val="none"/>
        </w:rPr>
      </w:pPr>
      <w:r>
        <w:rPr>
          <w:rFonts w:hint="eastAsia" w:ascii="黑体" w:hAnsi="黑体" w:eastAsia="黑体" w:cs="黑体"/>
          <w:bCs/>
          <w:szCs w:val="21"/>
          <w:highlight w:val="none"/>
        </w:rPr>
        <w:t>小细胞外囊泡蛋白检测方法（蛋白印迹法）</w:t>
      </w:r>
      <w:bookmarkEnd w:id="32"/>
    </w:p>
    <w:p w14:paraId="0FB165F8">
      <w:pPr>
        <w:spacing w:line="360" w:lineRule="auto"/>
        <w:rPr>
          <w:rFonts w:hint="eastAsia" w:ascii="宋体" w:hAnsi="宋体" w:eastAsia="宋体" w:cs="Times New Roman"/>
          <w:b/>
          <w:szCs w:val="21"/>
          <w:highlight w:val="none"/>
        </w:rPr>
      </w:pPr>
    </w:p>
    <w:p w14:paraId="23A198D7">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D.1 仪器和设备</w:t>
      </w:r>
    </w:p>
    <w:p w14:paraId="09712280">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.1.1 </w:t>
      </w:r>
      <w:r>
        <w:rPr>
          <w:rFonts w:hint="eastAsia" w:ascii="宋体" w:hAnsi="宋体" w:eastAsia="宋体"/>
          <w:bCs/>
          <w:color w:val="000000" w:themeColor="text1"/>
          <w:szCs w:val="21"/>
          <w:highlight w:val="none"/>
          <w14:textFill>
            <w14:solidFill>
              <w14:schemeClr w14:val="tx1"/>
            </w14:solidFill>
          </w14:textFill>
        </w:rPr>
        <w:t>电泳仪。</w:t>
      </w:r>
    </w:p>
    <w:p w14:paraId="54452EAD">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.1.2 </w:t>
      </w:r>
      <w:r>
        <w:rPr>
          <w:rFonts w:hint="eastAsia" w:ascii="宋体" w:hAnsi="宋体" w:eastAsia="宋体"/>
          <w:bCs/>
          <w:color w:val="000000" w:themeColor="text1"/>
          <w:szCs w:val="21"/>
          <w:highlight w:val="none"/>
          <w14:textFill>
            <w14:solidFill>
              <w14:schemeClr w14:val="tx1"/>
            </w14:solidFill>
          </w14:textFill>
        </w:rPr>
        <w:t>转膜仪。</w:t>
      </w:r>
    </w:p>
    <w:p w14:paraId="7D1C7E72">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.1.3 </w:t>
      </w:r>
      <w:r>
        <w:rPr>
          <w:rFonts w:hint="eastAsia" w:ascii="宋体" w:hAnsi="宋体" w:eastAsia="宋体"/>
          <w:bCs/>
          <w:color w:val="000000" w:themeColor="text1"/>
          <w:szCs w:val="21"/>
          <w:highlight w:val="none"/>
          <w14:textFill>
            <w14:solidFill>
              <w14:schemeClr w14:val="tx1"/>
            </w14:solidFill>
          </w14:textFill>
        </w:rPr>
        <w:t>摇床。</w:t>
      </w:r>
    </w:p>
    <w:p w14:paraId="492BCA9B">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.1.4 </w:t>
      </w:r>
      <w:r>
        <w:rPr>
          <w:rFonts w:hint="eastAsia" w:ascii="宋体" w:hAnsi="宋体" w:eastAsia="宋体"/>
          <w:bCs/>
          <w:color w:val="000000" w:themeColor="text1"/>
          <w:szCs w:val="21"/>
          <w:highlight w:val="none"/>
          <w14:textFill>
            <w14:solidFill>
              <w14:schemeClr w14:val="tx1"/>
            </w14:solidFill>
          </w14:textFill>
        </w:rPr>
        <w:t>化学荧光成像仪。</w:t>
      </w:r>
    </w:p>
    <w:p w14:paraId="30088B6E">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D.2 试剂</w:t>
      </w:r>
    </w:p>
    <w:p w14:paraId="52D9BCBF">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本方法所用试剂均为分析纯，除特别说明外，实验用水均为G</w:t>
      </w:r>
      <w:r>
        <w:rPr>
          <w:rFonts w:ascii="宋体" w:hAnsi="宋体" w:eastAsia="宋体" w:cs="Times New Roman"/>
          <w:bCs/>
          <w:szCs w:val="21"/>
          <w:highlight w:val="none"/>
        </w:rPr>
        <w:t>B/T 6682</w:t>
      </w:r>
      <w:r>
        <w:rPr>
          <w:rFonts w:hint="eastAsia" w:ascii="宋体" w:hAnsi="宋体" w:eastAsia="宋体" w:cs="Times New Roman"/>
          <w:bCs/>
          <w:szCs w:val="21"/>
          <w:highlight w:val="none"/>
        </w:rPr>
        <w:t>规定的一级水。</w:t>
      </w:r>
    </w:p>
    <w:p w14:paraId="062AD7A9">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.2.1</w:t>
      </w:r>
      <w:r>
        <w:rPr>
          <w:rFonts w:hint="eastAsia" w:ascii="宋体" w:hAnsi="宋体" w:eastAsia="宋体"/>
          <w:bCs/>
          <w:color w:val="000000" w:themeColor="text1"/>
          <w:szCs w:val="21"/>
          <w:highlight w:val="none"/>
          <w14:textFill>
            <w14:solidFill>
              <w14:schemeClr w14:val="tx1"/>
            </w14:solidFill>
          </w14:textFill>
        </w:rPr>
        <w:t xml:space="preserve"> 磷酸盐缓冲液：pH为7</w:t>
      </w:r>
      <w:r>
        <w:rPr>
          <w:rFonts w:ascii="宋体" w:hAnsi="宋体" w:eastAsia="宋体"/>
          <w:bCs/>
          <w:color w:val="000000" w:themeColor="text1"/>
          <w:szCs w:val="21"/>
          <w:highlight w:val="none"/>
          <w14:textFill>
            <w14:solidFill>
              <w14:schemeClr w14:val="tx1"/>
            </w14:solidFill>
          </w14:textFill>
        </w:rPr>
        <w:t>.4</w:t>
      </w:r>
      <w:r>
        <w:rPr>
          <w:rFonts w:hint="eastAsia" w:ascii="宋体" w:hAnsi="宋体" w:eastAsia="宋体"/>
          <w:bCs/>
          <w:color w:val="000000" w:themeColor="text1"/>
          <w:szCs w:val="21"/>
          <w:highlight w:val="none"/>
          <w14:textFill>
            <w14:solidFill>
              <w14:schemeClr w14:val="tx1"/>
            </w14:solidFill>
          </w14:textFill>
        </w:rPr>
        <w:t>。</w:t>
      </w:r>
    </w:p>
    <w:p w14:paraId="34A033EE">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.2.2 </w:t>
      </w:r>
      <w:r>
        <w:rPr>
          <w:rFonts w:hint="eastAsia" w:ascii="宋体" w:hAnsi="宋体" w:eastAsia="宋体"/>
          <w:bCs/>
          <w:color w:val="000000" w:themeColor="text1"/>
          <w:szCs w:val="21"/>
          <w:highlight w:val="none"/>
          <w14:textFill>
            <w14:solidFill>
              <w14:schemeClr w14:val="tx1"/>
            </w14:solidFill>
          </w14:textFill>
        </w:rPr>
        <w:t>商品化分离胶、浓缩胶溶液。</w:t>
      </w:r>
    </w:p>
    <w:p w14:paraId="00F4FA85">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.2.3</w:t>
      </w:r>
      <w:r>
        <w:rPr>
          <w:rFonts w:hint="eastAsia" w:ascii="宋体" w:hAnsi="宋体" w:eastAsia="宋体"/>
          <w:bCs/>
          <w:color w:val="000000" w:themeColor="text1"/>
          <w:szCs w:val="21"/>
          <w:highlight w:val="none"/>
          <w14:textFill>
            <w14:solidFill>
              <w14:schemeClr w14:val="tx1"/>
            </w14:solidFill>
          </w14:textFill>
        </w:rPr>
        <w:t xml:space="preserve"> 三乙醇胺缓冲盐吐温水溶液(TBST)。</w:t>
      </w:r>
    </w:p>
    <w:p w14:paraId="513B779D">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.2.4 </w:t>
      </w:r>
      <w:r>
        <w:rPr>
          <w:rFonts w:hint="eastAsia" w:ascii="宋体" w:hAnsi="宋体" w:eastAsia="宋体"/>
          <w:bCs/>
          <w:color w:val="000000" w:themeColor="text1"/>
          <w:szCs w:val="21"/>
          <w:highlight w:val="none"/>
          <w14:textFill>
            <w14:solidFill>
              <w14:schemeClr w14:val="tx1"/>
            </w14:solidFill>
          </w14:textFill>
        </w:rPr>
        <w:t>电泳缓冲液。</w:t>
      </w:r>
    </w:p>
    <w:p w14:paraId="71689DD2">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.2.5 </w:t>
      </w:r>
      <w:r>
        <w:rPr>
          <w:rFonts w:hint="eastAsia" w:ascii="宋体" w:hAnsi="宋体" w:eastAsia="宋体"/>
          <w:bCs/>
          <w:color w:val="000000" w:themeColor="text1"/>
          <w:szCs w:val="21"/>
          <w:highlight w:val="none"/>
          <w14:textFill>
            <w14:solidFill>
              <w14:schemeClr w14:val="tx1"/>
            </w14:solidFill>
          </w14:textFill>
        </w:rPr>
        <w:t>转膜缓冲液。</w:t>
      </w:r>
    </w:p>
    <w:p w14:paraId="557B7A26">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.2.6 </w:t>
      </w:r>
      <w:r>
        <w:rPr>
          <w:rFonts w:hint="eastAsia" w:ascii="宋体" w:hAnsi="宋体" w:eastAsia="宋体"/>
          <w:bCs/>
          <w:color w:val="000000" w:themeColor="text1"/>
          <w:szCs w:val="21"/>
          <w:highlight w:val="none"/>
          <w14:textFill>
            <w14:solidFill>
              <w14:schemeClr w14:val="tx1"/>
            </w14:solidFill>
          </w14:textFill>
        </w:rPr>
        <w:t>封闭液。</w:t>
      </w:r>
    </w:p>
    <w:p w14:paraId="7D09DD31">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.2.7 </w:t>
      </w:r>
      <w:r>
        <w:rPr>
          <w:rFonts w:hint="eastAsia" w:ascii="宋体" w:hAnsi="宋体" w:eastAsia="宋体"/>
          <w:bCs/>
          <w:color w:val="000000" w:themeColor="text1"/>
          <w:szCs w:val="21"/>
          <w:highlight w:val="none"/>
          <w14:textFill>
            <w14:solidFill>
              <w14:schemeClr w14:val="tx1"/>
            </w14:solidFill>
          </w14:textFill>
        </w:rPr>
        <w:t>抗体（一抗、二抗）。</w:t>
      </w:r>
    </w:p>
    <w:p w14:paraId="7E779563">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D.3 检测步骤</w:t>
      </w:r>
    </w:p>
    <w:p w14:paraId="4CAAE915">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D.3.1 SDS-PAGE电泳、转膜和封闭</w:t>
      </w:r>
    </w:p>
    <w:p w14:paraId="53BC96AE">
      <w:pPr>
        <w:rPr>
          <w:rFonts w:hint="eastAsia" w:ascii="宋体" w:hAnsi="宋体" w:eastAsia="宋体"/>
          <w:bCs/>
          <w:color w:val="000000" w:themeColor="text1"/>
          <w:sz w:val="18"/>
          <w:szCs w:val="18"/>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 xml:space="preserve">.3.1.1 </w:t>
      </w:r>
      <w:r>
        <w:rPr>
          <w:rFonts w:hint="eastAsia" w:ascii="宋体" w:hAnsi="宋体" w:eastAsia="宋体"/>
          <w:bCs/>
          <w:color w:val="000000" w:themeColor="text1"/>
          <w:szCs w:val="21"/>
          <w:highlight w:val="none"/>
          <w14:textFill>
            <w14:solidFill>
              <w14:schemeClr w14:val="tx1"/>
            </w14:solidFill>
          </w14:textFill>
        </w:rPr>
        <w:t>按照仪器说明书进行，</w:t>
      </w:r>
      <w:r>
        <w:rPr>
          <w:rFonts w:ascii="宋体" w:hAnsi="宋体" w:eastAsia="宋体"/>
          <w:bCs/>
          <w:color w:val="000000" w:themeColor="text1"/>
          <w:szCs w:val="21"/>
          <w:highlight w:val="none"/>
          <w14:textFill>
            <w14:solidFill>
              <w14:schemeClr w14:val="tx1"/>
            </w14:solidFill>
          </w14:textFill>
        </w:rPr>
        <w:t>取20</w:t>
      </w:r>
      <w:bookmarkStart w:id="33" w:name="_Hlk200644381"/>
      <w:r>
        <w:rPr>
          <w:rFonts w:hint="eastAsia" w:ascii="宋体" w:hAnsi="宋体" w:eastAsia="宋体"/>
          <w:bCs/>
          <w:color w:val="000000" w:themeColor="text1"/>
          <w:szCs w:val="21"/>
          <w:highlight w:val="none"/>
          <w14:textFill>
            <w14:solidFill>
              <w14:schemeClr w14:val="tx1"/>
            </w14:solidFill>
          </w14:textFill>
        </w:rPr>
        <w:t>μL</w:t>
      </w:r>
      <w:bookmarkEnd w:id="33"/>
      <w:r>
        <w:rPr>
          <w:rFonts w:hint="eastAsia" w:ascii="宋体" w:hAnsi="宋体" w:eastAsia="宋体"/>
          <w:bCs/>
          <w:color w:val="000000" w:themeColor="text1"/>
          <w:szCs w:val="21"/>
          <w:highlight w:val="none"/>
          <w14:textFill>
            <w14:solidFill>
              <w14:schemeClr w14:val="tx1"/>
            </w14:solidFill>
          </w14:textFill>
        </w:rPr>
        <w:t>小细胞外囊泡（浓度不低于</w:t>
      </w:r>
      <w:r>
        <w:rPr>
          <w:rFonts w:ascii="宋体" w:hAnsi="宋体" w:eastAsia="宋体"/>
          <w:bCs/>
          <w:color w:val="000000" w:themeColor="text1"/>
          <w:szCs w:val="21"/>
          <w:highlight w:val="none"/>
          <w14:textFill>
            <w14:solidFill>
              <w14:schemeClr w14:val="tx1"/>
            </w14:solidFill>
          </w14:textFill>
        </w:rPr>
        <w:t>1×10</w:t>
      </w:r>
      <w:r>
        <w:rPr>
          <w:rFonts w:ascii="宋体" w:hAnsi="宋体" w:eastAsia="宋体"/>
          <w:bCs/>
          <w:color w:val="000000" w:themeColor="text1"/>
          <w:szCs w:val="21"/>
          <w:highlight w:val="none"/>
          <w:vertAlign w:val="superscript"/>
          <w14:textFill>
            <w14:solidFill>
              <w14:schemeClr w14:val="tx1"/>
            </w14:solidFill>
          </w14:textFill>
        </w:rPr>
        <w:t>10</w:t>
      </w:r>
      <w:r>
        <w:rPr>
          <w:rFonts w:hint="eastAsia" w:ascii="宋体" w:hAnsi="宋体" w:eastAsia="宋体"/>
          <w:bCs/>
          <w:color w:val="000000" w:themeColor="text1"/>
          <w:szCs w:val="21"/>
          <w:highlight w:val="none"/>
          <w14:textFill>
            <w14:solidFill>
              <w14:schemeClr w14:val="tx1"/>
            </w14:solidFill>
          </w14:textFill>
        </w:rPr>
        <w:t>个颗粒</w:t>
      </w:r>
      <w:r>
        <w:rPr>
          <w:rFonts w:ascii="宋体" w:hAnsi="宋体" w:eastAsia="宋体"/>
          <w:bCs/>
          <w:color w:val="000000" w:themeColor="text1"/>
          <w:szCs w:val="21"/>
          <w:highlight w:val="none"/>
          <w14:textFill>
            <w14:solidFill>
              <w14:schemeClr w14:val="tx1"/>
            </w14:solidFill>
          </w14:textFill>
        </w:rPr>
        <w:t>/</w:t>
      </w:r>
      <w:r>
        <w:rPr>
          <w:rFonts w:hint="eastAsia" w:ascii="宋体" w:hAnsi="宋体" w:eastAsia="宋体"/>
          <w:bCs/>
          <w:color w:val="000000" w:themeColor="text1"/>
          <w:szCs w:val="21"/>
          <w:highlight w:val="none"/>
          <w14:textFill>
            <w14:solidFill>
              <w14:schemeClr w14:val="tx1"/>
            </w14:solidFill>
          </w14:textFill>
        </w:rPr>
        <w:t>mL）使用电泳仪和垂直电泳槽进行电泳。</w:t>
      </w:r>
    </w:p>
    <w:p w14:paraId="04ED7911">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1</w:t>
      </w:r>
      <w:r>
        <w:rPr>
          <w:rFonts w:ascii="宋体" w:hAnsi="宋体" w:eastAsia="宋体"/>
          <w:bCs/>
          <w:color w:val="000000" w:themeColor="text1"/>
          <w:szCs w:val="21"/>
          <w:highlight w:val="none"/>
          <w14:textFill>
            <w14:solidFill>
              <w14:schemeClr w14:val="tx1"/>
            </w14:solidFill>
          </w14:textFill>
        </w:rPr>
        <w:t>.2</w:t>
      </w:r>
      <w:r>
        <w:rPr>
          <w:rFonts w:hint="eastAsia" w:ascii="宋体" w:hAnsi="宋体" w:eastAsia="宋体"/>
          <w:bCs/>
          <w:color w:val="000000" w:themeColor="text1"/>
          <w:szCs w:val="21"/>
          <w:highlight w:val="none"/>
          <w14:textFill>
            <w14:solidFill>
              <w14:schemeClr w14:val="tx1"/>
            </w14:solidFill>
          </w14:textFill>
        </w:rPr>
        <w:t xml:space="preserve"> 按照仪器说明书，使用转膜仪进行转膜。</w:t>
      </w:r>
    </w:p>
    <w:p w14:paraId="254A2B36">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1</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 xml:space="preserve"> 转膜后，使用封闭液室温封闭1h。</w:t>
      </w:r>
    </w:p>
    <w:p w14:paraId="29688CA3">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D.3.2 抗体孵育</w:t>
      </w:r>
    </w:p>
    <w:p w14:paraId="2AE810C6">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w:t>
      </w:r>
      <w:r>
        <w:rPr>
          <w:rFonts w:ascii="宋体" w:hAnsi="宋体" w:eastAsia="宋体"/>
          <w:bCs/>
          <w:color w:val="000000" w:themeColor="text1"/>
          <w:szCs w:val="21"/>
          <w:highlight w:val="none"/>
          <w14:textFill>
            <w14:solidFill>
              <w14:schemeClr w14:val="tx1"/>
            </w14:solidFill>
          </w14:textFill>
        </w:rPr>
        <w:t>.1</w:t>
      </w:r>
      <w:r>
        <w:rPr>
          <w:rFonts w:hint="eastAsia" w:ascii="宋体" w:hAnsi="宋体" w:eastAsia="宋体"/>
          <w:bCs/>
          <w:color w:val="000000" w:themeColor="text1"/>
          <w:szCs w:val="21"/>
          <w:highlight w:val="none"/>
          <w14:textFill>
            <w14:solidFill>
              <w14:schemeClr w14:val="tx1"/>
            </w14:solidFill>
          </w14:textFill>
        </w:rPr>
        <w:t xml:space="preserve"> 孵育一抗，摇床4℃过夜。孵育结束后，用TBST洗涤3次。</w:t>
      </w:r>
    </w:p>
    <w:p w14:paraId="23D84151">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D</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w:t>
      </w:r>
      <w:r>
        <w:rPr>
          <w:rFonts w:ascii="宋体" w:hAnsi="宋体" w:eastAsia="宋体"/>
          <w:bCs/>
          <w:color w:val="000000" w:themeColor="text1"/>
          <w:szCs w:val="21"/>
          <w:highlight w:val="none"/>
          <w14:textFill>
            <w14:solidFill>
              <w14:schemeClr w14:val="tx1"/>
            </w14:solidFill>
          </w14:textFill>
        </w:rPr>
        <w:t>.2</w:t>
      </w:r>
      <w:r>
        <w:rPr>
          <w:rFonts w:hint="eastAsia" w:ascii="宋体" w:hAnsi="宋体" w:eastAsia="宋体"/>
          <w:bCs/>
          <w:color w:val="000000" w:themeColor="text1"/>
          <w:szCs w:val="21"/>
          <w:highlight w:val="none"/>
          <w14:textFill>
            <w14:solidFill>
              <w14:schemeClr w14:val="tx1"/>
            </w14:solidFill>
          </w14:textFill>
        </w:rPr>
        <w:t xml:space="preserve"> 孵育二抗，摇床室温1h。孵育结束后，用TBST洗涤3次。</w:t>
      </w:r>
    </w:p>
    <w:p w14:paraId="3A4E7B8B">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D.3.3 显影</w:t>
      </w:r>
    </w:p>
    <w:p w14:paraId="6FE66965">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按照仪器说明书，使用化学荧光成像系统进行显影。</w:t>
      </w:r>
    </w:p>
    <w:p w14:paraId="75664917">
      <w:pPr>
        <w:spacing w:line="360" w:lineRule="auto"/>
        <w:rPr>
          <w:rFonts w:hint="eastAsia" w:ascii="宋体" w:hAnsi="宋体" w:eastAsia="宋体" w:cs="Times New Roman"/>
          <w:b/>
          <w:szCs w:val="21"/>
          <w:highlight w:val="none"/>
        </w:rPr>
      </w:pPr>
    </w:p>
    <w:p w14:paraId="700EEBDE">
      <w:pPr>
        <w:widowControl/>
        <w:jc w:val="left"/>
        <w:rPr>
          <w:rFonts w:hint="eastAsia" w:ascii="宋体" w:hAnsi="宋体" w:eastAsia="宋体" w:cs="Times New Roman"/>
          <w:b/>
          <w:szCs w:val="21"/>
          <w:highlight w:val="none"/>
        </w:rPr>
      </w:pPr>
      <w:r>
        <w:rPr>
          <w:rFonts w:ascii="宋体" w:hAnsi="宋体" w:eastAsia="宋体" w:cs="Times New Roman"/>
          <w:b/>
          <w:szCs w:val="21"/>
          <w:highlight w:val="none"/>
        </w:rPr>
        <w:br w:type="page"/>
      </w:r>
    </w:p>
    <w:p w14:paraId="066E26A7">
      <w:pPr>
        <w:pStyle w:val="20"/>
        <w:ind w:firstLine="0" w:firstLineChars="0"/>
        <w:jc w:val="center"/>
        <w:rPr>
          <w:rFonts w:hint="eastAsia" w:ascii="黑体" w:hAnsi="黑体" w:eastAsia="黑体" w:cs="黑体"/>
          <w:bCs/>
          <w:szCs w:val="21"/>
          <w:highlight w:val="none"/>
        </w:rPr>
      </w:pPr>
      <w:bookmarkStart w:id="34" w:name="_Toc1561_WPSOffice_Level1"/>
      <w:r>
        <w:rPr>
          <w:rFonts w:hint="eastAsia" w:ascii="黑体" w:hAnsi="黑体" w:eastAsia="黑体" w:cs="黑体"/>
          <w:bCs/>
          <w:szCs w:val="21"/>
          <w:highlight w:val="none"/>
        </w:rPr>
        <w:t>附录E</w:t>
      </w:r>
    </w:p>
    <w:p w14:paraId="4ACD8C44">
      <w:pPr>
        <w:pStyle w:val="20"/>
        <w:ind w:firstLine="0" w:firstLineChars="0"/>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4A8ADE00">
      <w:pPr>
        <w:pStyle w:val="20"/>
        <w:ind w:firstLine="0" w:firstLineChars="0"/>
        <w:jc w:val="center"/>
        <w:rPr>
          <w:rFonts w:hint="eastAsia" w:ascii="黑体" w:hAnsi="黑体" w:eastAsia="黑体" w:cs="黑体"/>
          <w:bCs/>
          <w:szCs w:val="21"/>
          <w:highlight w:val="none"/>
        </w:rPr>
      </w:pPr>
      <w:r>
        <w:rPr>
          <w:rFonts w:hint="eastAsia" w:ascii="黑体" w:hAnsi="黑体" w:eastAsia="黑体" w:cs="黑体"/>
          <w:bCs/>
          <w:szCs w:val="21"/>
          <w:highlight w:val="none"/>
        </w:rPr>
        <w:t>小细胞外囊泡表面标志物检测方法（纳米流式检测法）</w:t>
      </w:r>
    </w:p>
    <w:p w14:paraId="4C7382E9">
      <w:pPr>
        <w:pStyle w:val="20"/>
        <w:ind w:firstLine="0" w:firstLineChars="0"/>
        <w:jc w:val="center"/>
        <w:rPr>
          <w:rFonts w:hint="eastAsia" w:ascii="宋体" w:hAnsi="宋体" w:eastAsia="宋体" w:cs="Times New Roman"/>
          <w:b/>
          <w:bCs/>
          <w:szCs w:val="21"/>
          <w:highlight w:val="none"/>
        </w:rPr>
      </w:pPr>
    </w:p>
    <w:p w14:paraId="0672077B">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E.1 仪器和设备</w:t>
      </w:r>
    </w:p>
    <w:p w14:paraId="5F959D33">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 xml:space="preserve">.1.1 </w:t>
      </w:r>
      <w:r>
        <w:rPr>
          <w:rFonts w:hint="eastAsia" w:ascii="宋体" w:hAnsi="宋体" w:eastAsia="宋体"/>
          <w:bCs/>
          <w:color w:val="000000" w:themeColor="text1"/>
          <w:szCs w:val="21"/>
          <w:highlight w:val="none"/>
          <w14:textFill>
            <w14:solidFill>
              <w14:schemeClr w14:val="tx1"/>
            </w14:solidFill>
          </w14:textFill>
        </w:rPr>
        <w:t>纳米流式仪。</w:t>
      </w:r>
    </w:p>
    <w:p w14:paraId="09BC8B1E">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E.1.2 恒温水浴锅。</w:t>
      </w:r>
    </w:p>
    <w:p w14:paraId="2131AC5B">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E.2 试剂</w:t>
      </w:r>
    </w:p>
    <w:p w14:paraId="09ADEA37">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.2.1</w:t>
      </w:r>
      <w:r>
        <w:rPr>
          <w:rFonts w:hint="eastAsia" w:ascii="宋体" w:hAnsi="宋体" w:eastAsia="宋体"/>
          <w:bCs/>
          <w:color w:val="000000" w:themeColor="text1"/>
          <w:szCs w:val="21"/>
          <w:highlight w:val="none"/>
          <w14:textFill>
            <w14:solidFill>
              <w14:schemeClr w14:val="tx1"/>
            </w14:solidFill>
          </w14:textFill>
        </w:rPr>
        <w:t>本方法所用试剂均为分析纯，实验用水均为G</w:t>
      </w:r>
      <w:r>
        <w:rPr>
          <w:rFonts w:ascii="宋体" w:hAnsi="宋体" w:eastAsia="宋体"/>
          <w:bCs/>
          <w:color w:val="000000" w:themeColor="text1"/>
          <w:szCs w:val="21"/>
          <w:highlight w:val="none"/>
          <w14:textFill>
            <w14:solidFill>
              <w14:schemeClr w14:val="tx1"/>
            </w14:solidFill>
          </w14:textFill>
        </w:rPr>
        <w:t>B/T 6682</w:t>
      </w:r>
      <w:r>
        <w:rPr>
          <w:rFonts w:hint="eastAsia" w:ascii="宋体" w:hAnsi="宋体" w:eastAsia="宋体"/>
          <w:bCs/>
          <w:color w:val="000000" w:themeColor="text1"/>
          <w:szCs w:val="21"/>
          <w:highlight w:val="none"/>
          <w14:textFill>
            <w14:solidFill>
              <w14:schemeClr w14:val="tx1"/>
            </w14:solidFill>
          </w14:textFill>
        </w:rPr>
        <w:t>规定的一级水。</w:t>
      </w:r>
    </w:p>
    <w:p w14:paraId="6FFEFA92">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.2.</w:t>
      </w:r>
      <w:r>
        <w:rPr>
          <w:rFonts w:hint="eastAsia" w:ascii="宋体" w:hAnsi="宋体" w:eastAsia="宋体"/>
          <w:bCs/>
          <w:color w:val="000000" w:themeColor="text1"/>
          <w:szCs w:val="21"/>
          <w:highlight w:val="none"/>
          <w14:textFill>
            <w14:solidFill>
              <w14:schemeClr w14:val="tx1"/>
            </w14:solidFill>
          </w14:textFill>
        </w:rPr>
        <w:t>2磷酸盐缓冲液：</w:t>
      </w:r>
      <w:r>
        <w:rPr>
          <w:rFonts w:ascii="宋体" w:hAnsi="宋体" w:eastAsia="宋体"/>
          <w:bCs/>
          <w:color w:val="000000" w:themeColor="text1"/>
          <w:szCs w:val="21"/>
          <w:highlight w:val="none"/>
          <w14:textFill>
            <w14:solidFill>
              <w14:schemeClr w14:val="tx1"/>
            </w14:solidFill>
          </w14:textFill>
        </w:rPr>
        <w:t>0.1 M</w:t>
      </w:r>
      <w:r>
        <w:rPr>
          <w:rFonts w:hint="eastAsia" w:ascii="宋体" w:hAnsi="宋体" w:eastAsia="宋体"/>
          <w:bCs/>
          <w:color w:val="000000" w:themeColor="text1"/>
          <w:szCs w:val="21"/>
          <w:highlight w:val="none"/>
          <w14:textFill>
            <w14:solidFill>
              <w14:schemeClr w14:val="tx1"/>
            </w14:solidFill>
          </w14:textFill>
        </w:rPr>
        <w:t>，pH为7</w:t>
      </w:r>
      <w:r>
        <w:rPr>
          <w:rFonts w:ascii="宋体" w:hAnsi="宋体" w:eastAsia="宋体"/>
          <w:bCs/>
          <w:color w:val="000000" w:themeColor="text1"/>
          <w:szCs w:val="21"/>
          <w:highlight w:val="none"/>
          <w14:textFill>
            <w14:solidFill>
              <w14:schemeClr w14:val="tx1"/>
            </w14:solidFill>
          </w14:textFill>
        </w:rPr>
        <w:t>.4</w:t>
      </w:r>
      <w:r>
        <w:rPr>
          <w:rFonts w:hint="eastAsia" w:ascii="宋体" w:hAnsi="宋体" w:eastAsia="宋体"/>
          <w:bCs/>
          <w:color w:val="000000" w:themeColor="text1"/>
          <w:szCs w:val="21"/>
          <w:highlight w:val="none"/>
          <w14:textFill>
            <w14:solidFill>
              <w14:schemeClr w14:val="tx1"/>
            </w14:solidFill>
          </w14:textFill>
        </w:rPr>
        <w:t>。</w:t>
      </w:r>
    </w:p>
    <w:p w14:paraId="23DFB4E4">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.2.</w:t>
      </w:r>
      <w:r>
        <w:rPr>
          <w:rFonts w:hint="eastAsia" w:ascii="宋体" w:hAnsi="宋体" w:eastAsia="宋体"/>
          <w:bCs/>
          <w:color w:val="000000" w:themeColor="text1"/>
          <w:szCs w:val="21"/>
          <w:highlight w:val="none"/>
          <w14:textFill>
            <w14:solidFill>
              <w14:schemeClr w14:val="tx1"/>
            </w14:solidFill>
          </w14:textFill>
        </w:rPr>
        <w:t>3纳米流式仪浓度标准品。</w:t>
      </w:r>
    </w:p>
    <w:p w14:paraId="582B606D">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E.2.4荧光标记抗体。</w:t>
      </w:r>
    </w:p>
    <w:p w14:paraId="131F0806">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E.3 检测步骤</w:t>
      </w:r>
    </w:p>
    <w:p w14:paraId="28837A2A">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E</w:t>
      </w:r>
      <w:r>
        <w:rPr>
          <w:rFonts w:ascii="黑体" w:hAnsi="黑体" w:eastAsia="黑体" w:cs="黑体"/>
          <w:color w:val="000000" w:themeColor="text1"/>
          <w:kern w:val="0"/>
          <w:szCs w:val="21"/>
          <w:highlight w:val="none"/>
          <w14:textFill>
            <w14:solidFill>
              <w14:schemeClr w14:val="tx1"/>
            </w14:solidFill>
          </w14:textFill>
        </w:rPr>
        <w:t xml:space="preserve">.3.1 </w:t>
      </w:r>
      <w:r>
        <w:rPr>
          <w:rFonts w:hint="eastAsia" w:ascii="黑体" w:hAnsi="黑体" w:eastAsia="黑体" w:cs="黑体"/>
          <w:color w:val="000000" w:themeColor="text1"/>
          <w:kern w:val="0"/>
          <w:szCs w:val="21"/>
          <w:highlight w:val="none"/>
          <w14:textFill>
            <w14:solidFill>
              <w14:schemeClr w14:val="tx1"/>
            </w14:solidFill>
          </w14:textFill>
        </w:rPr>
        <w:t>小细胞外囊泡抗体孵育</w:t>
      </w:r>
    </w:p>
    <w:p w14:paraId="56F268A2">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E.3.1.1 将100</w:t>
      </w:r>
      <w:r>
        <w:rPr>
          <w:rFonts w:ascii="宋体" w:hAnsi="宋体" w:eastAsia="宋体"/>
          <w:bCs/>
          <w:color w:val="000000" w:themeColor="text1"/>
          <w:szCs w:val="21"/>
          <w:highlight w:val="none"/>
          <w14:textFill>
            <w14:solidFill>
              <w14:schemeClr w14:val="tx1"/>
            </w14:solidFill>
          </w14:textFill>
        </w:rPr>
        <w:t>μ</w:t>
      </w:r>
      <w:r>
        <w:rPr>
          <w:rFonts w:hint="eastAsia" w:ascii="宋体" w:hAnsi="宋体" w:eastAsia="宋体"/>
          <w:bCs/>
          <w:color w:val="000000" w:themeColor="text1"/>
          <w:szCs w:val="21"/>
          <w:highlight w:val="none"/>
          <w14:textFill>
            <w14:solidFill>
              <w14:schemeClr w14:val="tx1"/>
            </w14:solidFill>
          </w14:textFill>
        </w:rPr>
        <w:t>L小细胞外囊泡（浓度不低于</w:t>
      </w:r>
      <w:r>
        <w:rPr>
          <w:rFonts w:ascii="宋体" w:hAnsi="宋体" w:eastAsia="宋体"/>
          <w:bCs/>
          <w:color w:val="000000" w:themeColor="text1"/>
          <w:szCs w:val="21"/>
          <w:highlight w:val="none"/>
          <w14:textFill>
            <w14:solidFill>
              <w14:schemeClr w14:val="tx1"/>
            </w14:solidFill>
          </w14:textFill>
        </w:rPr>
        <w:t>1×10</w:t>
      </w:r>
      <w:r>
        <w:rPr>
          <w:rFonts w:ascii="宋体" w:hAnsi="宋体" w:eastAsia="宋体"/>
          <w:bCs/>
          <w:color w:val="000000" w:themeColor="text1"/>
          <w:szCs w:val="21"/>
          <w:highlight w:val="none"/>
          <w:vertAlign w:val="superscript"/>
          <w14:textFill>
            <w14:solidFill>
              <w14:schemeClr w14:val="tx1"/>
            </w14:solidFill>
          </w14:textFill>
        </w:rPr>
        <w:t>10</w:t>
      </w:r>
      <w:r>
        <w:rPr>
          <w:rFonts w:hint="eastAsia" w:ascii="宋体" w:hAnsi="宋体" w:eastAsia="宋体"/>
          <w:bCs/>
          <w:color w:val="000000" w:themeColor="text1"/>
          <w:szCs w:val="21"/>
          <w:highlight w:val="none"/>
          <w14:textFill>
            <w14:solidFill>
              <w14:schemeClr w14:val="tx1"/>
            </w14:solidFill>
          </w14:textFill>
        </w:rPr>
        <w:t>个颗粒/mL）与荧光标记抗体于37℃避光孵育30 min至1 h。</w:t>
      </w:r>
    </w:p>
    <w:p w14:paraId="2CA504B7">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E.3.1.2 去除未结合的荧光标记抗体。</w:t>
      </w:r>
    </w:p>
    <w:p w14:paraId="51B2AF9B">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E</w:t>
      </w:r>
      <w:r>
        <w:rPr>
          <w:rFonts w:ascii="黑体" w:hAnsi="黑体" w:eastAsia="黑体" w:cs="黑体"/>
          <w:color w:val="000000" w:themeColor="text1"/>
          <w:kern w:val="0"/>
          <w:szCs w:val="21"/>
          <w:highlight w:val="none"/>
          <w14:textFill>
            <w14:solidFill>
              <w14:schemeClr w14:val="tx1"/>
            </w14:solidFill>
          </w14:textFill>
        </w:rPr>
        <w:t xml:space="preserve">.3.2 </w:t>
      </w:r>
      <w:r>
        <w:rPr>
          <w:rFonts w:hint="eastAsia" w:ascii="黑体" w:hAnsi="黑体" w:eastAsia="黑体" w:cs="黑体"/>
          <w:color w:val="000000" w:themeColor="text1"/>
          <w:kern w:val="0"/>
          <w:szCs w:val="21"/>
          <w:highlight w:val="none"/>
          <w14:textFill>
            <w14:solidFill>
              <w14:schemeClr w14:val="tx1"/>
            </w14:solidFill>
          </w14:textFill>
        </w:rPr>
        <w:t>纳米流式仪检测</w:t>
      </w:r>
    </w:p>
    <w:p w14:paraId="4F079FF4">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w:t>
      </w:r>
      <w:r>
        <w:rPr>
          <w:rFonts w:ascii="宋体" w:hAnsi="宋体" w:eastAsia="宋体"/>
          <w:bCs/>
          <w:color w:val="000000" w:themeColor="text1"/>
          <w:szCs w:val="21"/>
          <w:highlight w:val="none"/>
          <w14:textFill>
            <w14:solidFill>
              <w14:schemeClr w14:val="tx1"/>
            </w14:solidFill>
          </w14:textFill>
        </w:rPr>
        <w:t xml:space="preserve">1 </w:t>
      </w:r>
      <w:r>
        <w:rPr>
          <w:rFonts w:hint="eastAsia" w:ascii="宋体" w:hAnsi="宋体" w:eastAsia="宋体"/>
          <w:bCs/>
          <w:color w:val="000000" w:themeColor="text1"/>
          <w:szCs w:val="21"/>
          <w:highlight w:val="none"/>
          <w14:textFill>
            <w14:solidFill>
              <w14:schemeClr w14:val="tx1"/>
            </w14:solidFill>
          </w14:textFill>
        </w:rPr>
        <w:t>按照使用说明，对纳米流式仪进行液流初始化和管路气泡排出。</w:t>
      </w:r>
    </w:p>
    <w:p w14:paraId="72903AE4">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w:t>
      </w:r>
      <w:r>
        <w:rPr>
          <w:rFonts w:ascii="宋体" w:hAnsi="宋体" w:eastAsia="宋体"/>
          <w:bCs/>
          <w:color w:val="000000" w:themeColor="text1"/>
          <w:szCs w:val="21"/>
          <w:highlight w:val="none"/>
          <w14:textFill>
            <w14:solidFill>
              <w14:schemeClr w14:val="tx1"/>
            </w14:solidFill>
          </w14:textFill>
        </w:rPr>
        <w:t xml:space="preserve">2 </w:t>
      </w:r>
      <w:r>
        <w:rPr>
          <w:rFonts w:hint="eastAsia" w:ascii="宋体" w:hAnsi="宋体" w:eastAsia="宋体"/>
          <w:bCs/>
          <w:color w:val="000000" w:themeColor="text1"/>
          <w:szCs w:val="21"/>
          <w:highlight w:val="none"/>
          <w14:textFill>
            <w14:solidFill>
              <w14:schemeClr w14:val="tx1"/>
            </w14:solidFill>
          </w14:textFill>
        </w:rPr>
        <w:t>用超纯水稀释浓度标准品，按照使用说明进行纳米流式仪的质控，将纳米流式仪调试到最佳检测状态后（散射和荧光通道的信号均达到最强且均一），在浓度标准品的测量参数下对稀释后的标准品采集数据。</w:t>
      </w:r>
    </w:p>
    <w:p w14:paraId="22302235">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w:t>
      </w:r>
      <w:r>
        <w:rPr>
          <w:rFonts w:ascii="宋体" w:hAnsi="宋体" w:eastAsia="宋体"/>
          <w:bCs/>
          <w:color w:val="000000" w:themeColor="text1"/>
          <w:szCs w:val="21"/>
          <w:highlight w:val="none"/>
          <w14:textFill>
            <w14:solidFill>
              <w14:schemeClr w14:val="tx1"/>
            </w14:solidFill>
          </w14:textFill>
        </w:rPr>
        <w:t xml:space="preserve">3 </w:t>
      </w:r>
      <w:r>
        <w:rPr>
          <w:rFonts w:hint="eastAsia" w:ascii="宋体" w:hAnsi="宋体" w:eastAsia="宋体"/>
          <w:bCs/>
          <w:color w:val="000000" w:themeColor="text1"/>
          <w:szCs w:val="21"/>
          <w:highlight w:val="none"/>
          <w14:textFill>
            <w14:solidFill>
              <w14:schemeClr w14:val="tx1"/>
            </w14:solidFill>
          </w14:textFill>
        </w:rPr>
        <w:t>按照使用说明，依次用洗液和超纯水清洗进样毛细管。</w:t>
      </w:r>
    </w:p>
    <w:p w14:paraId="2B9D1BF4">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w:t>
      </w:r>
      <w:r>
        <w:rPr>
          <w:rFonts w:ascii="宋体" w:hAnsi="宋体" w:eastAsia="宋体"/>
          <w:bCs/>
          <w:color w:val="000000" w:themeColor="text1"/>
          <w:szCs w:val="21"/>
          <w:highlight w:val="none"/>
          <w14:textFill>
            <w14:solidFill>
              <w14:schemeClr w14:val="tx1"/>
            </w14:solidFill>
          </w14:textFill>
        </w:rPr>
        <w:t>4在Labelled Exo样品测量参数下检测磷酸盐缓冲液的颗粒数，确定磷酸盐缓冲液的洁净度，颗粒数计数小于</w:t>
      </w:r>
      <w:r>
        <w:rPr>
          <w:rFonts w:hint="eastAsia" w:ascii="宋体" w:hAnsi="宋体" w:eastAsia="宋体"/>
          <w:bCs/>
          <w:color w:val="000000" w:themeColor="text1"/>
          <w:szCs w:val="21"/>
          <w:highlight w:val="none"/>
          <w14:textFill>
            <w14:solidFill>
              <w14:schemeClr w14:val="tx1"/>
            </w14:solidFill>
          </w14:textFill>
        </w:rPr>
        <w:t>300</w:t>
      </w:r>
      <w:r>
        <w:rPr>
          <w:rFonts w:ascii="宋体" w:hAnsi="宋体" w:eastAsia="宋体"/>
          <w:bCs/>
          <w:color w:val="000000" w:themeColor="text1"/>
          <w:szCs w:val="21"/>
          <w:highlight w:val="none"/>
          <w14:textFill>
            <w14:solidFill>
              <w14:schemeClr w14:val="tx1"/>
            </w14:solidFill>
          </w14:textFill>
        </w:rPr>
        <w:t>的磷酸盐缓冲液才能作为空白对照的数据采集并用于后续的样品稀释。如果颗粒数计数高于</w:t>
      </w:r>
      <w:r>
        <w:rPr>
          <w:rFonts w:hint="eastAsia" w:ascii="宋体" w:hAnsi="宋体" w:eastAsia="宋体"/>
          <w:bCs/>
          <w:color w:val="000000" w:themeColor="text1"/>
          <w:szCs w:val="21"/>
          <w:highlight w:val="none"/>
          <w14:textFill>
            <w14:solidFill>
              <w14:schemeClr w14:val="tx1"/>
            </w14:solidFill>
          </w14:textFill>
        </w:rPr>
        <w:t>300</w:t>
      </w:r>
      <w:r>
        <w:rPr>
          <w:rFonts w:ascii="宋体" w:hAnsi="宋体" w:eastAsia="宋体"/>
          <w:bCs/>
          <w:color w:val="000000" w:themeColor="text1"/>
          <w:szCs w:val="21"/>
          <w:highlight w:val="none"/>
          <w14:textFill>
            <w14:solidFill>
              <w14:schemeClr w14:val="tx1"/>
            </w14:solidFill>
          </w14:textFill>
        </w:rPr>
        <w:t>，需用0.22μ</w:t>
      </w:r>
      <w:r>
        <w:rPr>
          <w:rFonts w:hint="eastAsia" w:ascii="宋体" w:hAnsi="宋体" w:eastAsia="宋体"/>
          <w:bCs/>
          <w:color w:val="000000" w:themeColor="text1"/>
          <w:szCs w:val="21"/>
          <w:highlight w:val="none"/>
          <w14:textFill>
            <w14:solidFill>
              <w14:schemeClr w14:val="tx1"/>
            </w14:solidFill>
          </w14:textFill>
        </w:rPr>
        <w:t>m</w:t>
      </w:r>
      <w:r>
        <w:rPr>
          <w:rFonts w:ascii="宋体" w:hAnsi="宋体" w:eastAsia="宋体"/>
          <w:bCs/>
          <w:color w:val="000000" w:themeColor="text1"/>
          <w:szCs w:val="21"/>
          <w:highlight w:val="none"/>
          <w14:textFill>
            <w14:solidFill>
              <w14:schemeClr w14:val="tx1"/>
            </w14:solidFill>
          </w14:textFill>
        </w:rPr>
        <w:t>的滤膜过滤或更换新配置的磷酸盐缓冲液。</w:t>
      </w:r>
    </w:p>
    <w:p w14:paraId="45462B2B">
      <w:pPr>
        <w:rPr>
          <w:rFonts w:hint="eastAsia" w:ascii="宋体" w:hAnsi="宋体" w:eastAsia="宋体"/>
          <w:bCs/>
          <w:color w:val="000000" w:themeColor="text1"/>
          <w:szCs w:val="21"/>
          <w:highlight w:val="none"/>
          <w14:textFill>
            <w14:solidFill>
              <w14:schemeClr w14:val="tx1"/>
            </w14:solidFill>
          </w14:textFill>
        </w:rPr>
      </w:pPr>
      <w:r>
        <w:rPr>
          <w:rFonts w:hint="eastAsia" w:ascii="宋体" w:hAnsi="宋体" w:eastAsia="宋体"/>
          <w:bCs/>
          <w:color w:val="000000" w:themeColor="text1"/>
          <w:szCs w:val="21"/>
          <w:highlight w:val="none"/>
          <w14:textFill>
            <w14:solidFill>
              <w14:schemeClr w14:val="tx1"/>
            </w14:solidFill>
          </w14:textFill>
        </w:rPr>
        <w:t>E</w:t>
      </w:r>
      <w:r>
        <w:rPr>
          <w:rFonts w:ascii="宋体" w:hAnsi="宋体" w:eastAsia="宋体"/>
          <w:bCs/>
          <w:color w:val="000000" w:themeColor="text1"/>
          <w:szCs w:val="21"/>
          <w:highlight w:val="none"/>
          <w14:textFill>
            <w14:solidFill>
              <w14:schemeClr w14:val="tx1"/>
            </w14:solidFill>
          </w14:textFill>
        </w:rPr>
        <w:t>.3.</w:t>
      </w:r>
      <w:r>
        <w:rPr>
          <w:rFonts w:hint="eastAsia" w:ascii="宋体" w:hAnsi="宋体" w:eastAsia="宋体"/>
          <w:bCs/>
          <w:color w:val="000000" w:themeColor="text1"/>
          <w:szCs w:val="21"/>
          <w:highlight w:val="none"/>
          <w14:textFill>
            <w14:solidFill>
              <w14:schemeClr w14:val="tx1"/>
            </w14:solidFill>
          </w14:textFill>
        </w:rPr>
        <w:t>2.5用洁净的磷酸盐缓冲液将小细胞外囊泡样品预稀释，在Labe</w:t>
      </w:r>
      <w:r>
        <w:rPr>
          <w:rFonts w:ascii="宋体" w:hAnsi="宋体" w:eastAsia="宋体"/>
          <w:bCs/>
          <w:color w:val="000000" w:themeColor="text1"/>
          <w:szCs w:val="21"/>
          <w:highlight w:val="none"/>
          <w14:textFill>
            <w14:solidFill>
              <w14:schemeClr w14:val="tx1"/>
            </w14:solidFill>
          </w14:textFill>
        </w:rPr>
        <w:t>l</w:t>
      </w:r>
      <w:r>
        <w:rPr>
          <w:rFonts w:hint="eastAsia" w:ascii="宋体" w:hAnsi="宋体" w:eastAsia="宋体"/>
          <w:bCs/>
          <w:color w:val="000000" w:themeColor="text1"/>
          <w:szCs w:val="21"/>
          <w:highlight w:val="none"/>
          <w14:textFill>
            <w14:solidFill>
              <w14:schemeClr w14:val="tx1"/>
            </w14:solidFill>
          </w14:textFill>
        </w:rPr>
        <w:t>led Exo</w:t>
      </w:r>
      <w:r>
        <w:rPr>
          <w:rFonts w:ascii="宋体" w:hAnsi="宋体" w:eastAsia="宋体"/>
          <w:bCs/>
          <w:color w:val="000000" w:themeColor="text1"/>
          <w:szCs w:val="21"/>
          <w:highlight w:val="none"/>
          <w14:textFill>
            <w14:solidFill>
              <w14:schemeClr w14:val="tx1"/>
            </w14:solidFill>
          </w14:textFill>
        </w:rPr>
        <w:t>样品</w:t>
      </w:r>
      <w:r>
        <w:rPr>
          <w:rFonts w:hint="eastAsia" w:ascii="宋体" w:hAnsi="宋体" w:eastAsia="宋体"/>
          <w:bCs/>
          <w:color w:val="000000" w:themeColor="text1"/>
          <w:szCs w:val="21"/>
          <w:highlight w:val="none"/>
          <w14:textFill>
            <w14:solidFill>
              <w14:schemeClr w14:val="tx1"/>
            </w14:solidFill>
          </w14:textFill>
        </w:rPr>
        <w:t>测量参数对小细胞外囊泡样本进行数据采集。纳米流式仪颗粒计数在4</w:t>
      </w:r>
      <w:r>
        <w:rPr>
          <w:rFonts w:ascii="宋体" w:hAnsi="宋体" w:eastAsia="宋体"/>
          <w:bCs/>
          <w:color w:val="000000" w:themeColor="text1"/>
          <w:szCs w:val="21"/>
          <w:highlight w:val="none"/>
          <w14:textFill>
            <w14:solidFill>
              <w14:schemeClr w14:val="tx1"/>
            </w14:solidFill>
          </w14:textFill>
        </w:rPr>
        <w:t>000</w:t>
      </w:r>
      <w:r>
        <w:rPr>
          <w:rFonts w:hint="eastAsia" w:ascii="宋体" w:hAnsi="宋体" w:eastAsia="宋体"/>
          <w:bCs/>
          <w:color w:val="000000" w:themeColor="text1"/>
          <w:szCs w:val="21"/>
          <w:highlight w:val="none"/>
          <w14:textFill>
            <w14:solidFill>
              <w14:schemeClr w14:val="tx1"/>
            </w14:solidFill>
          </w14:textFill>
        </w:rPr>
        <w:t>-</w:t>
      </w:r>
      <w:r>
        <w:rPr>
          <w:rFonts w:ascii="宋体" w:hAnsi="宋体" w:eastAsia="宋体"/>
          <w:bCs/>
          <w:color w:val="000000" w:themeColor="text1"/>
          <w:szCs w:val="21"/>
          <w:highlight w:val="none"/>
          <w14:textFill>
            <w14:solidFill>
              <w14:schemeClr w14:val="tx1"/>
            </w14:solidFill>
          </w14:textFill>
        </w:rPr>
        <w:t>8000</w:t>
      </w:r>
      <w:r>
        <w:rPr>
          <w:rFonts w:hint="eastAsia" w:ascii="宋体" w:hAnsi="宋体" w:eastAsia="宋体"/>
          <w:bCs/>
          <w:color w:val="000000" w:themeColor="text1"/>
          <w:szCs w:val="21"/>
          <w:highlight w:val="none"/>
          <w14:textFill>
            <w14:solidFill>
              <w14:schemeClr w14:val="tx1"/>
            </w14:solidFill>
          </w14:textFill>
        </w:rPr>
        <w:t>之间为</w:t>
      </w:r>
      <w:r>
        <w:rPr>
          <w:rFonts w:ascii="宋体" w:hAnsi="宋体" w:eastAsia="宋体"/>
          <w:bCs/>
          <w:color w:val="000000" w:themeColor="text1"/>
          <w:szCs w:val="21"/>
          <w:highlight w:val="none"/>
          <w14:textFill>
            <w14:solidFill>
              <w14:schemeClr w14:val="tx1"/>
            </w14:solidFill>
          </w14:textFill>
        </w:rPr>
        <w:t>最佳测量范围</w:t>
      </w:r>
      <w:r>
        <w:rPr>
          <w:rFonts w:hint="eastAsia" w:ascii="宋体" w:hAnsi="宋体" w:eastAsia="宋体"/>
          <w:bCs/>
          <w:color w:val="000000" w:themeColor="text1"/>
          <w:szCs w:val="21"/>
          <w:highlight w:val="none"/>
          <w14:textFill>
            <w14:solidFill>
              <w14:schemeClr w14:val="tx1"/>
            </w14:solidFill>
          </w14:textFill>
        </w:rPr>
        <w:t>，若样品颗粒数计数过高或过低，则需调整样品的稀释倍数，再进行测定。另外需注意样品上机检测时各通道的基线和自动阈值应与空白对照一致，</w:t>
      </w:r>
      <w:r>
        <w:rPr>
          <w:rFonts w:ascii="宋体" w:hAnsi="宋体" w:eastAsia="宋体"/>
          <w:bCs/>
          <w:color w:val="000000" w:themeColor="text1"/>
          <w:szCs w:val="21"/>
          <w:highlight w:val="none"/>
          <w14:textFill>
            <w14:solidFill>
              <w14:schemeClr w14:val="tx1"/>
            </w14:solidFill>
          </w14:textFill>
        </w:rPr>
        <w:t>若样品检测时出现散射基线抬升则需重新制备更高纯度的样品，若荧光背景基线抬升则需进一步去除未结合的荧光抗体</w:t>
      </w:r>
      <w:r>
        <w:rPr>
          <w:rFonts w:hint="eastAsia" w:ascii="宋体" w:hAnsi="宋体" w:eastAsia="宋体"/>
          <w:bCs/>
          <w:color w:val="000000" w:themeColor="text1"/>
          <w:szCs w:val="21"/>
          <w:highlight w:val="none"/>
          <w14:textFill>
            <w14:solidFill>
              <w14:schemeClr w14:val="tx1"/>
            </w14:solidFill>
          </w14:textFill>
        </w:rPr>
        <w:t>。</w:t>
      </w:r>
    </w:p>
    <w:p w14:paraId="2FF2EE0F">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E.4 结果分析</w:t>
      </w:r>
    </w:p>
    <w:p w14:paraId="15A37C56">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按照</w:t>
      </w:r>
      <w:r>
        <w:rPr>
          <w:rFonts w:ascii="宋体" w:hAnsi="宋体" w:eastAsia="宋体" w:cs="Times New Roman"/>
          <w:bCs/>
          <w:szCs w:val="21"/>
          <w:highlight w:val="none"/>
        </w:rPr>
        <w:t>NF Prof</w:t>
      </w:r>
      <w:r>
        <w:rPr>
          <w:rFonts w:hint="eastAsia" w:ascii="宋体" w:hAnsi="宋体" w:eastAsia="宋体" w:cs="Times New Roman"/>
          <w:bCs/>
          <w:szCs w:val="21"/>
          <w:highlight w:val="none"/>
        </w:rPr>
        <w:t>e</w:t>
      </w:r>
      <w:r>
        <w:rPr>
          <w:rFonts w:ascii="宋体" w:hAnsi="宋体" w:eastAsia="宋体" w:cs="Times New Roman"/>
          <w:bCs/>
          <w:szCs w:val="21"/>
          <w:highlight w:val="none"/>
        </w:rPr>
        <w:t>ssion</w:t>
      </w:r>
      <w:r>
        <w:rPr>
          <w:rFonts w:hint="eastAsia" w:ascii="宋体" w:hAnsi="宋体" w:eastAsia="宋体" w:cs="Times New Roman"/>
          <w:bCs/>
          <w:szCs w:val="21"/>
          <w:highlight w:val="none"/>
        </w:rPr>
        <w:t>软件使用说明书进行分析，得到待测样品表面标志物阳性率结果。</w:t>
      </w:r>
    </w:p>
    <w:p w14:paraId="3BE59C46">
      <w:pPr>
        <w:rPr>
          <w:rFonts w:hint="eastAsia"/>
          <w:highlight w:val="none"/>
        </w:rPr>
      </w:pPr>
    </w:p>
    <w:p w14:paraId="1AD9A62E">
      <w:pPr>
        <w:widowControl/>
        <w:jc w:val="left"/>
        <w:rPr>
          <w:rFonts w:hint="eastAsia" w:ascii="黑体" w:hAnsi="黑体" w:eastAsia="黑体" w:cs="黑体"/>
          <w:bCs/>
          <w:szCs w:val="21"/>
          <w:highlight w:val="none"/>
        </w:rPr>
      </w:pPr>
      <w:r>
        <w:rPr>
          <w:rFonts w:hint="eastAsia" w:ascii="黑体" w:hAnsi="黑体" w:eastAsia="黑体" w:cs="黑体"/>
          <w:bCs/>
          <w:szCs w:val="21"/>
          <w:highlight w:val="none"/>
        </w:rPr>
        <w:br w:type="page"/>
      </w:r>
    </w:p>
    <w:p w14:paraId="077B8EE0">
      <w:pPr>
        <w:jc w:val="center"/>
        <w:rPr>
          <w:rFonts w:hint="eastAsia" w:ascii="黑体" w:hAnsi="黑体" w:eastAsia="黑体" w:cs="黑体"/>
          <w:bCs/>
          <w:szCs w:val="21"/>
          <w:highlight w:val="none"/>
        </w:rPr>
      </w:pPr>
      <w:r>
        <w:rPr>
          <w:rFonts w:hint="eastAsia" w:ascii="黑体" w:hAnsi="黑体" w:eastAsia="黑体" w:cs="黑体"/>
          <w:bCs/>
          <w:szCs w:val="21"/>
          <w:highlight w:val="none"/>
        </w:rPr>
        <w:t>附录F</w:t>
      </w:r>
    </w:p>
    <w:p w14:paraId="2A24D828">
      <w:pPr>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62853385">
      <w:pPr>
        <w:jc w:val="center"/>
        <w:rPr>
          <w:rFonts w:hint="eastAsia" w:ascii="黑体" w:hAnsi="黑体" w:eastAsia="黑体" w:cs="黑体"/>
          <w:bCs/>
          <w:szCs w:val="21"/>
          <w:highlight w:val="none"/>
        </w:rPr>
      </w:pPr>
      <w:r>
        <w:rPr>
          <w:rFonts w:hint="eastAsia" w:ascii="黑体" w:hAnsi="黑体" w:eastAsia="黑体" w:cs="黑体"/>
          <w:bCs/>
          <w:szCs w:val="21"/>
          <w:highlight w:val="none"/>
        </w:rPr>
        <w:t>小细胞外囊泡数量与蛋白量比值计算方法</w:t>
      </w:r>
      <w:bookmarkEnd w:id="34"/>
    </w:p>
    <w:p w14:paraId="2B166FFA">
      <w:pPr>
        <w:jc w:val="center"/>
        <w:rPr>
          <w:rFonts w:hint="eastAsia" w:ascii="黑体" w:hAnsi="黑体" w:eastAsia="黑体" w:cs="黑体"/>
          <w:bCs/>
          <w:szCs w:val="21"/>
          <w:highlight w:val="none"/>
        </w:rPr>
      </w:pPr>
    </w:p>
    <w:p w14:paraId="16D28A90">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F.1 小细胞外囊泡的数量检测。</w:t>
      </w:r>
    </w:p>
    <w:p w14:paraId="261A6764">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按照附录B的方法测定样品中小细胞外囊泡的数量</w:t>
      </w:r>
      <w:r>
        <w:rPr>
          <w:rFonts w:ascii="宋体" w:hAnsi="宋体" w:eastAsia="宋体" w:cs="Times New Roman"/>
          <w:bCs/>
          <w:szCs w:val="21"/>
          <w:highlight w:val="none"/>
        </w:rPr>
        <w:t>X</w:t>
      </w:r>
      <w:r>
        <w:rPr>
          <w:rFonts w:hint="eastAsia" w:ascii="宋体" w:hAnsi="宋体" w:eastAsia="宋体" w:cs="Times New Roman"/>
          <w:bCs/>
          <w:szCs w:val="21"/>
          <w:highlight w:val="none"/>
        </w:rPr>
        <w:t>。</w:t>
      </w:r>
    </w:p>
    <w:p w14:paraId="5DFD4031">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F.2 小细胞外囊泡的蛋白量检测</w:t>
      </w:r>
    </w:p>
    <w:p w14:paraId="33731452">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用BCA试剂盒按照说明书测定样品的蛋白量</w:t>
      </w:r>
      <w:r>
        <w:rPr>
          <w:rFonts w:ascii="宋体" w:hAnsi="宋体" w:eastAsia="宋体" w:cs="Times New Roman"/>
          <w:bCs/>
          <w:szCs w:val="21"/>
          <w:highlight w:val="none"/>
        </w:rPr>
        <w:t>P</w:t>
      </w:r>
      <w:r>
        <w:rPr>
          <w:rFonts w:hint="eastAsia" w:ascii="宋体" w:hAnsi="宋体" w:eastAsia="宋体" w:cs="Times New Roman"/>
          <w:bCs/>
          <w:szCs w:val="21"/>
          <w:highlight w:val="none"/>
        </w:rPr>
        <w:t>。</w:t>
      </w:r>
    </w:p>
    <w:p w14:paraId="3ED2CF72">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F.3 小细胞外囊泡的数量与蛋白量比值计算</w:t>
      </w:r>
    </w:p>
    <w:p w14:paraId="579481F9">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按照公式（F.1）计算小细胞外囊泡数量与蛋白量比值</w:t>
      </w:r>
      <w:r>
        <w:rPr>
          <w:rFonts w:ascii="宋体" w:hAnsi="宋体" w:eastAsia="宋体" w:cs="Times New Roman"/>
          <w:bCs/>
          <w:szCs w:val="21"/>
          <w:highlight w:val="none"/>
        </w:rPr>
        <w:t>T</w:t>
      </w:r>
      <w:r>
        <w:rPr>
          <w:rFonts w:hint="eastAsia" w:ascii="宋体" w:hAnsi="宋体" w:eastAsia="宋体" w:cs="Times New Roman"/>
          <w:bCs/>
          <w:szCs w:val="21"/>
          <w:highlight w:val="none"/>
        </w:rPr>
        <w:t>：</w:t>
      </w:r>
    </w:p>
    <w:p w14:paraId="774B160E">
      <w:pPr>
        <w:widowControl/>
        <w:jc w:val="left"/>
        <w:rPr>
          <w:rFonts w:hint="eastAsia" w:ascii="宋体" w:hAnsi="宋体" w:eastAsia="宋体" w:cs="Times New Roman"/>
          <w:bCs/>
          <w:szCs w:val="21"/>
          <w:highlight w:val="none"/>
        </w:rPr>
      </w:pPr>
    </w:p>
    <w:p w14:paraId="169A06CF">
      <w:pPr>
        <w:widowControl/>
        <w:ind w:firstLine="2730" w:firstLineChars="1300"/>
        <w:jc w:val="left"/>
        <w:rPr>
          <w:rFonts w:hint="eastAsia" w:ascii="宋体" w:hAnsi="宋体" w:eastAsia="宋体" w:cs="Times New Roman"/>
          <w:bCs/>
          <w:szCs w:val="21"/>
          <w:highlight w:val="none"/>
        </w:rPr>
      </w:pPr>
      <w:r>
        <w:rPr>
          <w:rFonts w:ascii="宋体" w:hAnsi="宋体" w:eastAsia="宋体" w:cs="Times New Roman"/>
          <w:bCs/>
          <w:i/>
          <w:szCs w:val="21"/>
          <w:highlight w:val="none"/>
        </w:rPr>
        <w:t>T=X/P</w:t>
      </w:r>
      <w:r>
        <w:rPr>
          <w:rFonts w:hint="eastAsia" w:ascii="宋体" w:hAnsi="宋体" w:eastAsia="宋体" w:cs="Times New Roman"/>
          <w:bCs/>
          <w:szCs w:val="21"/>
          <w:highlight w:val="none"/>
        </w:rPr>
        <w:t xml:space="preserve">            …………………………公式（F.1</w:t>
      </w:r>
      <w:r>
        <w:rPr>
          <w:rFonts w:ascii="宋体" w:hAnsi="宋体" w:eastAsia="宋体" w:cs="Times New Roman"/>
          <w:bCs/>
          <w:szCs w:val="21"/>
          <w:highlight w:val="none"/>
        </w:rPr>
        <w:t>）</w:t>
      </w:r>
    </w:p>
    <w:p w14:paraId="2141AF46">
      <w:pPr>
        <w:widowControl/>
        <w:ind w:firstLine="2730" w:firstLineChars="1300"/>
        <w:jc w:val="left"/>
        <w:rPr>
          <w:rFonts w:hint="eastAsia" w:ascii="宋体" w:hAnsi="宋体" w:eastAsia="宋体" w:cs="Times New Roman"/>
          <w:bCs/>
          <w:i/>
          <w:szCs w:val="21"/>
          <w:highlight w:val="none"/>
        </w:rPr>
      </w:pPr>
    </w:p>
    <w:p w14:paraId="2E03E015">
      <w:pPr>
        <w:widowControl/>
        <w:jc w:val="left"/>
        <w:rPr>
          <w:rFonts w:hint="eastAsia" w:ascii="宋体" w:hAnsi="宋体" w:eastAsia="宋体" w:cs="Times New Roman"/>
          <w:b/>
          <w:szCs w:val="21"/>
          <w:highlight w:val="none"/>
        </w:rPr>
      </w:pPr>
      <w:r>
        <w:rPr>
          <w:rFonts w:ascii="宋体" w:hAnsi="宋体" w:eastAsia="宋体" w:cs="Times New Roman"/>
          <w:b/>
          <w:szCs w:val="21"/>
          <w:highlight w:val="none"/>
        </w:rPr>
        <w:t>式中</w:t>
      </w:r>
      <w:r>
        <w:rPr>
          <w:rFonts w:hint="eastAsia" w:ascii="宋体" w:hAnsi="宋体" w:eastAsia="宋体" w:cs="Times New Roman"/>
          <w:b/>
          <w:szCs w:val="21"/>
          <w:highlight w:val="none"/>
        </w:rPr>
        <w:t>：</w:t>
      </w:r>
    </w:p>
    <w:p w14:paraId="65B857E6">
      <w:pPr>
        <w:pStyle w:val="20"/>
        <w:rPr>
          <w:rFonts w:hint="eastAsia" w:ascii="宋体" w:hAnsi="宋体" w:eastAsia="宋体" w:cs="Times New Roman"/>
          <w:bCs/>
          <w:szCs w:val="21"/>
          <w:highlight w:val="none"/>
        </w:rPr>
      </w:pPr>
      <w:r>
        <w:rPr>
          <w:rFonts w:ascii="宋体" w:hAnsi="宋体" w:eastAsia="宋体" w:cs="Times New Roman"/>
          <w:bCs/>
          <w:i/>
          <w:szCs w:val="21"/>
          <w:highlight w:val="none"/>
        </w:rPr>
        <w:t>T</w:t>
      </w:r>
      <w:r>
        <w:rPr>
          <w:rFonts w:ascii="宋体" w:hAnsi="宋体" w:eastAsia="宋体" w:cs="Times New Roman"/>
          <w:bCs/>
          <w:szCs w:val="21"/>
          <w:highlight w:val="none"/>
        </w:rPr>
        <w:t>——</w:t>
      </w:r>
      <w:r>
        <w:rPr>
          <w:rFonts w:hint="eastAsia" w:ascii="宋体" w:hAnsi="宋体" w:eastAsia="宋体" w:cs="Times New Roman"/>
          <w:bCs/>
          <w:szCs w:val="21"/>
          <w:highlight w:val="none"/>
        </w:rPr>
        <w:t>小细胞外囊泡数量与蛋白量比值；</w:t>
      </w:r>
    </w:p>
    <w:p w14:paraId="6C10FD53">
      <w:pPr>
        <w:pStyle w:val="20"/>
        <w:rPr>
          <w:rFonts w:hint="eastAsia" w:ascii="宋体" w:hAnsi="宋体" w:eastAsia="宋体" w:cs="Times New Roman"/>
          <w:bCs/>
          <w:szCs w:val="21"/>
          <w:highlight w:val="none"/>
        </w:rPr>
      </w:pPr>
      <w:r>
        <w:rPr>
          <w:rFonts w:ascii="宋体" w:hAnsi="宋体" w:eastAsia="宋体" w:cs="Times New Roman"/>
          <w:bCs/>
          <w:i/>
          <w:szCs w:val="21"/>
          <w:highlight w:val="none"/>
        </w:rPr>
        <w:t>X</w:t>
      </w:r>
      <w:r>
        <w:rPr>
          <w:rFonts w:ascii="宋体" w:hAnsi="宋体" w:eastAsia="宋体" w:cs="Times New Roman"/>
          <w:bCs/>
          <w:szCs w:val="21"/>
          <w:highlight w:val="none"/>
        </w:rPr>
        <w:t>——</w:t>
      </w:r>
      <w:r>
        <w:rPr>
          <w:rFonts w:hint="eastAsia" w:ascii="宋体" w:hAnsi="宋体" w:eastAsia="宋体" w:cs="Times New Roman"/>
          <w:bCs/>
          <w:szCs w:val="21"/>
          <w:highlight w:val="none"/>
        </w:rPr>
        <w:t>小细胞外囊泡的数量；</w:t>
      </w:r>
    </w:p>
    <w:p w14:paraId="62D35322">
      <w:pPr>
        <w:pStyle w:val="20"/>
        <w:rPr>
          <w:rFonts w:hint="eastAsia" w:ascii="宋体" w:hAnsi="宋体" w:eastAsia="宋体" w:cs="Times New Roman"/>
          <w:bCs/>
          <w:szCs w:val="21"/>
          <w:highlight w:val="none"/>
        </w:rPr>
      </w:pPr>
      <w:r>
        <w:rPr>
          <w:rFonts w:ascii="宋体" w:hAnsi="宋体" w:eastAsia="宋体" w:cs="Times New Roman"/>
          <w:bCs/>
          <w:i/>
          <w:szCs w:val="21"/>
          <w:highlight w:val="none"/>
        </w:rPr>
        <w:t>P</w:t>
      </w:r>
      <w:r>
        <w:rPr>
          <w:rFonts w:ascii="宋体" w:hAnsi="宋体" w:eastAsia="宋体" w:cs="Times New Roman"/>
          <w:bCs/>
          <w:szCs w:val="21"/>
          <w:highlight w:val="none"/>
        </w:rPr>
        <w:t>——</w:t>
      </w:r>
      <w:r>
        <w:rPr>
          <w:rFonts w:hint="eastAsia" w:ascii="宋体" w:hAnsi="宋体" w:eastAsia="宋体" w:cs="Times New Roman"/>
          <w:bCs/>
          <w:szCs w:val="21"/>
          <w:highlight w:val="none"/>
        </w:rPr>
        <w:t>小细胞外囊泡的蛋白量。</w:t>
      </w:r>
    </w:p>
    <w:p w14:paraId="60293476">
      <w:pPr>
        <w:widowControl/>
        <w:jc w:val="left"/>
        <w:rPr>
          <w:rFonts w:hint="eastAsia" w:ascii="宋体" w:hAnsi="宋体" w:eastAsia="宋体" w:cs="Times New Roman"/>
          <w:b/>
          <w:szCs w:val="21"/>
          <w:highlight w:val="none"/>
        </w:rPr>
      </w:pPr>
    </w:p>
    <w:p w14:paraId="27CE8F66">
      <w:pPr>
        <w:widowControl/>
        <w:jc w:val="left"/>
        <w:rPr>
          <w:rFonts w:hint="eastAsia" w:ascii="宋体" w:hAnsi="宋体" w:eastAsia="宋体" w:cs="Times New Roman"/>
          <w:b/>
          <w:szCs w:val="21"/>
          <w:highlight w:val="none"/>
        </w:rPr>
      </w:pPr>
      <w:r>
        <w:rPr>
          <w:rFonts w:ascii="宋体" w:hAnsi="宋体" w:eastAsia="宋体" w:cs="Times New Roman"/>
          <w:b/>
          <w:szCs w:val="21"/>
          <w:highlight w:val="none"/>
        </w:rPr>
        <w:br w:type="page"/>
      </w:r>
    </w:p>
    <w:p w14:paraId="3A60118C">
      <w:pPr>
        <w:jc w:val="center"/>
        <w:rPr>
          <w:rFonts w:hint="eastAsia" w:ascii="黑体" w:hAnsi="黑体" w:eastAsia="黑体" w:cs="黑体"/>
          <w:bCs/>
          <w:szCs w:val="21"/>
          <w:highlight w:val="none"/>
        </w:rPr>
      </w:pPr>
      <w:bookmarkStart w:id="35" w:name="_Toc28590_WPSOffice_Level1"/>
      <w:r>
        <w:rPr>
          <w:rFonts w:hint="eastAsia" w:ascii="黑体" w:hAnsi="黑体" w:eastAsia="黑体" w:cs="黑体"/>
          <w:bCs/>
          <w:szCs w:val="21"/>
          <w:highlight w:val="none"/>
        </w:rPr>
        <w:t>附录G</w:t>
      </w:r>
    </w:p>
    <w:p w14:paraId="128E0B5E">
      <w:pPr>
        <w:jc w:val="center"/>
        <w:rPr>
          <w:rFonts w:hint="eastAsia" w:ascii="黑体" w:hAnsi="黑体" w:eastAsia="黑体" w:cs="黑体"/>
          <w:bCs/>
          <w:szCs w:val="21"/>
          <w:highlight w:val="none"/>
        </w:rPr>
      </w:pPr>
      <w:r>
        <w:rPr>
          <w:rFonts w:hint="eastAsia" w:ascii="黑体" w:hAnsi="黑体" w:eastAsia="黑体" w:cs="黑体"/>
          <w:bCs/>
          <w:szCs w:val="21"/>
          <w:highlight w:val="none"/>
        </w:rPr>
        <w:t>（规范性）</w:t>
      </w:r>
    </w:p>
    <w:p w14:paraId="6E56D103">
      <w:pPr>
        <w:jc w:val="center"/>
        <w:rPr>
          <w:rFonts w:hint="eastAsia" w:ascii="黑体" w:hAnsi="黑体" w:eastAsia="黑体" w:cs="黑体"/>
          <w:bCs/>
          <w:szCs w:val="21"/>
          <w:highlight w:val="none"/>
        </w:rPr>
      </w:pPr>
      <w:r>
        <w:rPr>
          <w:rFonts w:hint="eastAsia" w:ascii="黑体" w:hAnsi="黑体" w:eastAsia="黑体" w:cs="黑体"/>
          <w:bCs/>
          <w:szCs w:val="21"/>
          <w:highlight w:val="none"/>
        </w:rPr>
        <w:t>促进细胞增殖检测方法（CCK-8法）</w:t>
      </w:r>
      <w:bookmarkEnd w:id="35"/>
    </w:p>
    <w:p w14:paraId="139D6551">
      <w:pPr>
        <w:widowControl/>
        <w:spacing w:line="360" w:lineRule="auto"/>
        <w:jc w:val="left"/>
        <w:rPr>
          <w:rFonts w:hint="eastAsia" w:ascii="宋体" w:hAnsi="宋体" w:eastAsia="宋体" w:cs="Times New Roman"/>
          <w:b/>
          <w:szCs w:val="21"/>
          <w:highlight w:val="none"/>
        </w:rPr>
      </w:pPr>
    </w:p>
    <w:p w14:paraId="18448668">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G.1 仪器和设备</w:t>
      </w:r>
    </w:p>
    <w:p w14:paraId="17E4FD2E">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1.1</w:t>
      </w:r>
      <w:r>
        <w:rPr>
          <w:rFonts w:hint="eastAsia" w:ascii="宋体" w:hAnsi="宋体" w:eastAsia="宋体" w:cs="Times New Roman"/>
          <w:bCs/>
          <w:szCs w:val="21"/>
          <w:highlight w:val="none"/>
        </w:rPr>
        <w:t xml:space="preserve"> 多功能酶标仪。</w:t>
      </w:r>
    </w:p>
    <w:p w14:paraId="46D1866E">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 xml:space="preserve">.1.2 </w:t>
      </w:r>
      <w:r>
        <w:rPr>
          <w:rFonts w:hint="eastAsia" w:ascii="宋体" w:hAnsi="宋体" w:eastAsia="宋体" w:cs="Times New Roman"/>
          <w:bCs/>
          <w:szCs w:val="21"/>
          <w:highlight w:val="none"/>
        </w:rPr>
        <w:t>C</w:t>
      </w:r>
      <w:r>
        <w:rPr>
          <w:rFonts w:ascii="宋体" w:hAnsi="宋体" w:eastAsia="宋体" w:cs="Times New Roman"/>
          <w:bCs/>
          <w:szCs w:val="21"/>
          <w:highlight w:val="none"/>
        </w:rPr>
        <w:t>O2</w:t>
      </w:r>
      <w:r>
        <w:rPr>
          <w:rFonts w:hint="eastAsia" w:ascii="宋体" w:hAnsi="宋体" w:eastAsia="宋体" w:cs="Times New Roman"/>
          <w:bCs/>
          <w:szCs w:val="21"/>
          <w:highlight w:val="none"/>
        </w:rPr>
        <w:t>细胞培养箱。</w:t>
      </w:r>
    </w:p>
    <w:p w14:paraId="6F1F170E">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.1.3</w:t>
      </w:r>
      <w:r>
        <w:rPr>
          <w:rFonts w:hint="eastAsia" w:ascii="宋体" w:hAnsi="宋体" w:eastAsia="宋体" w:cs="Times New Roman"/>
          <w:bCs/>
          <w:szCs w:val="21"/>
          <w:highlight w:val="none"/>
        </w:rPr>
        <w:t xml:space="preserve"> 细胞超净台。</w:t>
      </w:r>
    </w:p>
    <w:p w14:paraId="16C45FE9">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G.2 试剂</w:t>
      </w:r>
    </w:p>
    <w:p w14:paraId="06A02FCF">
      <w:pPr>
        <w:pStyle w:val="20"/>
        <w:rPr>
          <w:rFonts w:hint="eastAsia" w:ascii="宋体" w:hAnsi="宋体" w:eastAsia="宋体" w:cs="Times New Roman"/>
          <w:bCs/>
          <w:szCs w:val="21"/>
          <w:highlight w:val="none"/>
        </w:rPr>
      </w:pPr>
      <w:r>
        <w:rPr>
          <w:rFonts w:hint="eastAsia" w:ascii="宋体" w:hAnsi="宋体" w:eastAsia="宋体" w:cs="Times New Roman"/>
          <w:bCs/>
          <w:szCs w:val="21"/>
          <w:highlight w:val="none"/>
        </w:rPr>
        <w:t>本方法所用试剂均为分析纯，除特别说明外，实验用水均为G</w:t>
      </w:r>
      <w:r>
        <w:rPr>
          <w:rFonts w:ascii="宋体" w:hAnsi="宋体" w:eastAsia="宋体" w:cs="Times New Roman"/>
          <w:bCs/>
          <w:szCs w:val="21"/>
          <w:highlight w:val="none"/>
        </w:rPr>
        <w:t>B/T 6682</w:t>
      </w:r>
      <w:r>
        <w:rPr>
          <w:rFonts w:hint="eastAsia" w:ascii="宋体" w:hAnsi="宋体" w:eastAsia="宋体" w:cs="Times New Roman"/>
          <w:bCs/>
          <w:szCs w:val="21"/>
          <w:highlight w:val="none"/>
        </w:rPr>
        <w:t>规定的一级水。</w:t>
      </w:r>
    </w:p>
    <w:p w14:paraId="4A56DA96">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2.1</w:t>
      </w:r>
      <w:r>
        <w:rPr>
          <w:rFonts w:hint="eastAsia" w:ascii="宋体" w:hAnsi="宋体" w:eastAsia="宋体" w:cs="Times New Roman"/>
          <w:bCs/>
          <w:szCs w:val="21"/>
          <w:highlight w:val="none"/>
        </w:rPr>
        <w:t xml:space="preserve"> 磷酸盐缓冲液：pH为7</w:t>
      </w:r>
      <w:r>
        <w:rPr>
          <w:rFonts w:ascii="宋体" w:hAnsi="宋体" w:eastAsia="宋体" w:cs="Times New Roman"/>
          <w:bCs/>
          <w:szCs w:val="21"/>
          <w:highlight w:val="none"/>
        </w:rPr>
        <w:t>.4</w:t>
      </w:r>
      <w:r>
        <w:rPr>
          <w:rFonts w:hint="eastAsia" w:ascii="宋体" w:hAnsi="宋体" w:eastAsia="宋体" w:cs="Times New Roman"/>
          <w:bCs/>
          <w:szCs w:val="21"/>
          <w:highlight w:val="none"/>
        </w:rPr>
        <w:t>。</w:t>
      </w:r>
    </w:p>
    <w:p w14:paraId="010C83CA">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 xml:space="preserve">2.2 </w:t>
      </w:r>
      <w:r>
        <w:rPr>
          <w:rFonts w:hint="eastAsia" w:ascii="宋体" w:hAnsi="宋体" w:eastAsia="宋体" w:cs="Times New Roman"/>
          <w:bCs/>
          <w:szCs w:val="21"/>
          <w:highlight w:val="none"/>
        </w:rPr>
        <w:t>商品化</w:t>
      </w:r>
      <w:r>
        <w:rPr>
          <w:rFonts w:ascii="宋体" w:hAnsi="宋体" w:eastAsia="宋体" w:cs="Times New Roman"/>
          <w:bCs/>
          <w:szCs w:val="21"/>
          <w:highlight w:val="none"/>
        </w:rPr>
        <w:t>CCK-8</w:t>
      </w:r>
      <w:r>
        <w:rPr>
          <w:rFonts w:hint="eastAsia" w:ascii="宋体" w:hAnsi="宋体" w:eastAsia="宋体" w:cs="Times New Roman"/>
          <w:bCs/>
          <w:szCs w:val="21"/>
          <w:highlight w:val="none"/>
        </w:rPr>
        <w:t>试剂盒。</w:t>
      </w:r>
    </w:p>
    <w:p w14:paraId="582880F2">
      <w:pPr>
        <w:pStyle w:val="20"/>
        <w:spacing w:before="156" w:beforeLines="50" w:after="156" w:afterLines="50"/>
        <w:ind w:firstLine="0" w:firstLineChars="0"/>
        <w:rPr>
          <w:rFonts w:hint="eastAsia"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G.3 检测步骤</w:t>
      </w:r>
    </w:p>
    <w:p w14:paraId="24E7B655">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3.1</w:t>
      </w:r>
      <w:r>
        <w:rPr>
          <w:rFonts w:hint="eastAsia" w:ascii="宋体" w:hAnsi="宋体" w:eastAsia="宋体" w:cs="Times New Roman"/>
          <w:bCs/>
          <w:szCs w:val="21"/>
          <w:highlight w:val="none"/>
        </w:rPr>
        <w:t xml:space="preserve"> 将血管内皮细胞和成纤维细胞以3000-5000个细胞/孔的密度分别种植到9</w:t>
      </w:r>
      <w:r>
        <w:rPr>
          <w:rFonts w:ascii="宋体" w:hAnsi="宋体" w:eastAsia="宋体" w:cs="Times New Roman"/>
          <w:bCs/>
          <w:szCs w:val="21"/>
          <w:highlight w:val="none"/>
        </w:rPr>
        <w:t>6</w:t>
      </w:r>
      <w:r>
        <w:rPr>
          <w:rFonts w:hint="eastAsia" w:ascii="宋体" w:hAnsi="宋体" w:eastAsia="宋体" w:cs="Times New Roman"/>
          <w:bCs/>
          <w:szCs w:val="21"/>
          <w:highlight w:val="none"/>
        </w:rPr>
        <w:t>孔板中。</w:t>
      </w:r>
    </w:p>
    <w:p w14:paraId="684AA7D4">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3.2</w:t>
      </w:r>
      <w:r>
        <w:rPr>
          <w:rFonts w:hint="eastAsia" w:ascii="宋体" w:hAnsi="宋体" w:eastAsia="宋体" w:cs="Times New Roman"/>
          <w:bCs/>
          <w:szCs w:val="21"/>
          <w:highlight w:val="none"/>
        </w:rPr>
        <w:t xml:space="preserve"> 过夜培养后，实验组将小细胞外囊泡样本加入细胞培养基中，终浓度为1</w:t>
      </w:r>
      <w:r>
        <w:rPr>
          <w:rFonts w:ascii="宋体" w:hAnsi="宋体" w:eastAsia="宋体" w:cs="Times New Roman"/>
          <w:bCs/>
          <w:szCs w:val="21"/>
          <w:highlight w:val="none"/>
        </w:rPr>
        <w:t>×</w:t>
      </w:r>
      <w:r>
        <w:rPr>
          <w:rFonts w:hint="eastAsia" w:ascii="宋体" w:hAnsi="宋体" w:eastAsia="宋体" w:cs="Times New Roman"/>
          <w:bCs/>
          <w:szCs w:val="21"/>
          <w:highlight w:val="none"/>
        </w:rPr>
        <w:t>10</w:t>
      </w:r>
      <w:r>
        <w:rPr>
          <w:rFonts w:ascii="宋体" w:hAnsi="宋体" w:eastAsia="宋体" w:cs="Times New Roman"/>
          <w:bCs/>
          <w:szCs w:val="21"/>
          <w:highlight w:val="none"/>
          <w:vertAlign w:val="superscript"/>
        </w:rPr>
        <w:t>9</w:t>
      </w:r>
      <w:r>
        <w:rPr>
          <w:rFonts w:hint="eastAsia" w:ascii="宋体" w:hAnsi="宋体" w:eastAsia="宋体" w:cs="Times New Roman"/>
          <w:bCs/>
          <w:szCs w:val="21"/>
          <w:highlight w:val="none"/>
        </w:rPr>
        <w:t>个颗粒/mL。对照组加入相同体积的磷酸盐缓冲液。</w:t>
      </w:r>
    </w:p>
    <w:p w14:paraId="13155EC3">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.3.3</w:t>
      </w:r>
      <w:r>
        <w:rPr>
          <w:rFonts w:hint="eastAsia" w:ascii="宋体" w:hAnsi="宋体" w:eastAsia="宋体" w:cs="Times New Roman"/>
          <w:bCs/>
          <w:szCs w:val="21"/>
          <w:highlight w:val="none"/>
        </w:rPr>
        <w:t xml:space="preserve"> 每日用商品化C</w:t>
      </w:r>
      <w:r>
        <w:rPr>
          <w:rFonts w:ascii="宋体" w:hAnsi="宋体" w:eastAsia="宋体" w:cs="Times New Roman"/>
          <w:bCs/>
          <w:szCs w:val="21"/>
          <w:highlight w:val="none"/>
        </w:rPr>
        <w:t>CK-8</w:t>
      </w:r>
      <w:r>
        <w:rPr>
          <w:rFonts w:hint="eastAsia" w:ascii="宋体" w:hAnsi="宋体" w:eastAsia="宋体" w:cs="Times New Roman"/>
          <w:bCs/>
          <w:szCs w:val="21"/>
          <w:highlight w:val="none"/>
        </w:rPr>
        <w:t>试剂盒检测各组细胞生长情况，检测4-5天。</w:t>
      </w:r>
    </w:p>
    <w:p w14:paraId="35E12426">
      <w:pPr>
        <w:rPr>
          <w:rFonts w:hint="eastAsia" w:ascii="宋体" w:hAnsi="宋体" w:eastAsia="宋体" w:cs="Times New Roman"/>
          <w:bCs/>
          <w:szCs w:val="21"/>
          <w:highlight w:val="none"/>
        </w:rPr>
      </w:pPr>
      <w:r>
        <w:rPr>
          <w:rFonts w:hint="eastAsia" w:ascii="宋体" w:hAnsi="宋体" w:eastAsia="宋体" w:cs="Times New Roman"/>
          <w:bCs/>
          <w:szCs w:val="21"/>
          <w:highlight w:val="none"/>
        </w:rPr>
        <w:t>G</w:t>
      </w:r>
      <w:r>
        <w:rPr>
          <w:rFonts w:ascii="宋体" w:hAnsi="宋体" w:eastAsia="宋体" w:cs="Times New Roman"/>
          <w:bCs/>
          <w:szCs w:val="21"/>
          <w:highlight w:val="none"/>
        </w:rPr>
        <w:t>.3.4</w:t>
      </w:r>
      <w:r>
        <w:rPr>
          <w:rFonts w:hint="eastAsia" w:ascii="宋体" w:hAnsi="宋体" w:eastAsia="宋体" w:cs="Times New Roman"/>
          <w:bCs/>
          <w:szCs w:val="21"/>
          <w:highlight w:val="none"/>
        </w:rPr>
        <w:t xml:space="preserve"> 比较实验组和对照组的细胞生长曲线。</w:t>
      </w:r>
    </w:p>
    <w:p w14:paraId="1934A052">
      <w:pPr>
        <w:widowControl/>
        <w:jc w:val="left"/>
        <w:rPr>
          <w:rFonts w:hint="eastAsia" w:ascii="宋体" w:hAnsi="宋体" w:eastAsia="宋体" w:cs="Times New Roman"/>
          <w:bCs/>
          <w:szCs w:val="21"/>
          <w:highlight w:val="none"/>
        </w:rPr>
      </w:pPr>
      <w:r>
        <w:rPr>
          <w:rFonts w:ascii="宋体" w:hAnsi="宋体" w:eastAsia="宋体" w:cs="Times New Roman"/>
          <w:bCs/>
          <w:szCs w:val="21"/>
          <w:highlight w:val="none"/>
        </w:rPr>
        <w:br w:type="page"/>
      </w:r>
    </w:p>
    <w:p w14:paraId="12F72D74">
      <w:pPr>
        <w:widowControl/>
        <w:spacing w:before="156" w:beforeLines="50" w:after="312" w:afterLines="100"/>
        <w:jc w:val="center"/>
        <w:rPr>
          <w:rFonts w:hint="eastAsia" w:ascii="黑体" w:hAnsi="黑体" w:eastAsia="黑体" w:cs="黑体"/>
          <w:bCs/>
          <w:szCs w:val="21"/>
          <w:highlight w:val="none"/>
        </w:rPr>
      </w:pPr>
      <w:r>
        <w:rPr>
          <w:rFonts w:hint="eastAsia" w:ascii="黑体" w:hAnsi="黑体" w:eastAsia="黑体" w:cs="黑体"/>
          <w:bCs/>
          <w:szCs w:val="21"/>
          <w:highlight w:val="none"/>
        </w:rPr>
        <w:t>参  考  文  献</w:t>
      </w:r>
    </w:p>
    <w:p w14:paraId="3242FC86">
      <w:pPr>
        <w:pStyle w:val="20"/>
        <w:spacing w:line="360" w:lineRule="auto"/>
        <w:ind w:left="210" w:firstLine="0" w:firstLineChars="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[1]  </w:t>
      </w:r>
      <w:r>
        <w:rPr>
          <w:rFonts w:ascii="Times New Roman" w:hAnsi="Times New Roman" w:cs="Times New Roman"/>
          <w:color w:val="000000" w:themeColor="text1"/>
          <w:szCs w:val="21"/>
          <w:highlight w:val="none"/>
          <w14:textFill>
            <w14:solidFill>
              <w14:schemeClr w14:val="tx1"/>
            </w14:solidFill>
          </w14:textFill>
        </w:rPr>
        <w:t>Welsh JA, Goberdhan DCI, O'Driscoll L</w:t>
      </w:r>
      <w:r>
        <w:rPr>
          <w:rFonts w:hint="eastAsia"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cs="Times New Roman"/>
          <w:i/>
          <w:iCs/>
          <w:color w:val="000000" w:themeColor="text1"/>
          <w:szCs w:val="21"/>
          <w:highlight w:val="none"/>
          <w14:textFill>
            <w14:solidFill>
              <w14:schemeClr w14:val="tx1"/>
            </w14:solidFill>
          </w14:textFill>
        </w:rPr>
        <w:t>et al.,</w:t>
      </w:r>
      <w:r>
        <w:rPr>
          <w:rFonts w:ascii="Times New Roman" w:hAnsi="Times New Roman" w:cs="Times New Roman"/>
          <w:color w:val="000000" w:themeColor="text1"/>
          <w:szCs w:val="21"/>
          <w:highlight w:val="none"/>
          <w14:textFill>
            <w14:solidFill>
              <w14:schemeClr w14:val="tx1"/>
            </w14:solidFill>
          </w14:textFill>
        </w:rPr>
        <w:t xml:space="preserve"> Minimal information for studies of extracellular vesicles (MISEV2023): From basic to advanced approaches</w:t>
      </w:r>
      <w:r>
        <w:rPr>
          <w:rFonts w:hint="eastAsia"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J Extracell Vesicles. 2024;13:</w:t>
      </w:r>
      <w:r>
        <w:rPr>
          <w:rFonts w:hint="eastAsia" w:ascii="Times New Roman" w:hAnsi="Times New Roman" w:cs="Times New Roman"/>
          <w:color w:val="000000" w:themeColor="text1"/>
          <w:szCs w:val="21"/>
          <w:highlight w:val="none"/>
          <w14:textFill>
            <w14:solidFill>
              <w14:schemeClr w14:val="tx1"/>
            </w14:solidFill>
          </w14:textFill>
        </w:rPr>
        <w:t>e</w:t>
      </w:r>
      <w:r>
        <w:rPr>
          <w:rFonts w:ascii="Times New Roman" w:hAnsi="Times New Roman" w:cs="Times New Roman"/>
          <w:color w:val="000000" w:themeColor="text1"/>
          <w:szCs w:val="21"/>
          <w:highlight w:val="none"/>
          <w14:textFill>
            <w14:solidFill>
              <w14:schemeClr w14:val="tx1"/>
            </w14:solidFill>
          </w14:textFill>
        </w:rPr>
        <w:t>12404.</w:t>
      </w:r>
    </w:p>
    <w:p w14:paraId="4EDE6BE8">
      <w:pPr>
        <w:pStyle w:val="20"/>
        <w:spacing w:line="360" w:lineRule="auto"/>
        <w:ind w:left="210" w:firstLine="0" w:firstLineChars="0"/>
        <w:rPr>
          <w:rFonts w:ascii="Times New Roman" w:hAnsi="Times New Roman"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[2]  </w:t>
      </w:r>
      <w:r>
        <w:rPr>
          <w:rFonts w:ascii="Times New Roman" w:hAnsi="Times New Roman" w:cs="Times New Roman"/>
          <w:color w:val="000000" w:themeColor="text1"/>
          <w:szCs w:val="21"/>
          <w:highlight w:val="none"/>
          <w14:textFill>
            <w14:solidFill>
              <w14:schemeClr w14:val="tx1"/>
            </w14:solidFill>
          </w14:textFill>
        </w:rPr>
        <w:t xml:space="preserve">Webber J., Clayton A. How pure are your vesicles? J. Extracellular Vesicles </w:t>
      </w:r>
      <w:r>
        <w:rPr>
          <w:rFonts w:hint="eastAsia" w:ascii="Times New Roman" w:hAnsi="Times New Roman" w:cs="Times New Roman"/>
          <w:color w:val="000000" w:themeColor="text1"/>
          <w:szCs w:val="21"/>
          <w:highlight w:val="none"/>
          <w14:textFill>
            <w14:solidFill>
              <w14:schemeClr w14:val="tx1"/>
            </w14:solidFill>
          </w14:textFill>
        </w:rPr>
        <w:t>2013;</w:t>
      </w:r>
      <w:r>
        <w:rPr>
          <w:rFonts w:ascii="Times New Roman" w:hAnsi="Times New Roman" w:cs="Times New Roman"/>
          <w:color w:val="000000" w:themeColor="text1"/>
          <w:szCs w:val="21"/>
          <w:highlight w:val="none"/>
          <w14:textFill>
            <w14:solidFill>
              <w14:schemeClr w14:val="tx1"/>
            </w14:solidFill>
          </w14:textFill>
        </w:rPr>
        <w:t>2:19861.</w:t>
      </w:r>
    </w:p>
    <w:p w14:paraId="45DE8B35">
      <w:pPr>
        <w:pStyle w:val="20"/>
        <w:spacing w:line="360" w:lineRule="auto"/>
        <w:ind w:left="210" w:firstLine="0" w:firstLineChars="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[3]  Chen Zh, Luo L, Ye T, </w:t>
      </w:r>
      <w:r>
        <w:rPr>
          <w:rFonts w:ascii="Times New Roman" w:hAnsi="Times New Roman" w:eastAsia="宋体" w:cs="Times New Roman"/>
          <w:i/>
          <w:iCs/>
          <w:color w:val="000000" w:themeColor="text1"/>
          <w:szCs w:val="21"/>
          <w:highlight w:val="none"/>
          <w14:textFill>
            <w14:solidFill>
              <w14:schemeClr w14:val="tx1"/>
            </w14:solidFill>
          </w14:textFill>
        </w:rPr>
        <w:t>et al</w:t>
      </w:r>
      <w:r>
        <w:rPr>
          <w:rFonts w:hint="eastAsia" w:ascii="Times New Roman" w:hAnsi="Times New Roman" w:eastAsia="宋体" w:cs="Times New Roman"/>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Identification of specific markers for human pluripotent stem</w:t>
      </w:r>
      <w:r>
        <w:rPr>
          <w:rFonts w:hint="eastAsia" w:ascii="Times New Roman" w:hAnsi="Times New Roman" w:eastAsia="宋体" w:cs="Times New Roman"/>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cell-derived small extracellular vesicles</w:t>
      </w:r>
      <w:r>
        <w:rPr>
          <w:rFonts w:hint="eastAsia" w:ascii="Times New Roman" w:hAnsi="Times New Roman" w:eastAsia="宋体" w:cs="Times New Roman"/>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J Extracell Vesicles. 2024;13:12409</w:t>
      </w:r>
    </w:p>
    <w:p w14:paraId="5B4D99B9">
      <w:pPr>
        <w:spacing w:line="360" w:lineRule="auto"/>
        <w:rPr>
          <w:rFonts w:hint="eastAsia" w:ascii="宋体" w:hAnsi="宋体" w:eastAsia="宋体" w:cs="Times New Roman"/>
          <w:bCs/>
          <w:sz w:val="24"/>
          <w:szCs w:val="24"/>
          <w:highlight w:val="none"/>
        </w:rPr>
      </w:pPr>
      <w:bookmarkStart w:id="36" w:name="_GoBack"/>
      <w:r>
        <w:rPr>
          <w:rFonts w:hint="eastAsia" w:ascii="宋体" w:hAnsi="宋体"/>
          <w:bCs/>
          <w:sz w:val="24"/>
          <w:highlight w:val="none"/>
        </w:rPr>
        <mc:AlternateContent>
          <mc:Choice Requires="wps">
            <w:drawing>
              <wp:anchor distT="0" distB="0" distL="114300" distR="114300" simplePos="0" relativeHeight="251662336" behindDoc="0" locked="0" layoutInCell="1" allowOverlap="1">
                <wp:simplePos x="0" y="0"/>
                <wp:positionH relativeFrom="column">
                  <wp:posOffset>1640840</wp:posOffset>
                </wp:positionH>
                <wp:positionV relativeFrom="page">
                  <wp:posOffset>3598545</wp:posOffset>
                </wp:positionV>
                <wp:extent cx="1882775"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9.2pt;margin-top:283.35pt;height:0.5pt;width:148.25pt;mso-position-vertical-relative:page;z-index:251662336;mso-width-relative:page;mso-height-relative:page;" filled="f" stroked="t" coordsize="21600,21600" o:gfxdata="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jrT09gAAAALAQAADwAAAAAAAAABACAAAAAiAAAAZHJzL2Rvd25yZXYueG1sUEsBAhQAFAAAAAgA&#10;h07iQJnOpsHsAQAAvgMAAA4AAAAAAAAAAQAgAAAAJwEAAGRycy9lMm9Eb2MueG1sUEsFBgAAAAAG&#10;AAYAWQEAAIUFAAAAAA==&#10;">
                <v:fill on="f" focussize="0,0"/>
                <v:stroke weight="0.5pt" color="#000000 [3200]" miterlimit="8" joinstyle="miter"/>
                <v:imagedata o:title=""/>
                <o:lock v:ext="edit" aspectratio="f"/>
              </v:line>
            </w:pict>
          </mc:Fallback>
        </mc:AlternateContent>
      </w:r>
      <w:bookmarkEnd w:id="36"/>
    </w:p>
    <w:sectPr>
      <w:footerReference r:id="rId15" w:type="first"/>
      <w:footerReference r:id="rId13" w:type="default"/>
      <w:headerReference r:id="rId12" w:type="even"/>
      <w:footerReference r:id="rId1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8F7B">
    <w:pPr>
      <w:pStyle w:val="8"/>
      <w:jc w:val="right"/>
      <w:rPr>
        <w:rFonts w:hint="eastAsia"/>
      </w:rPr>
    </w:pPr>
  </w:p>
  <w:p w14:paraId="11171935">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235E">
    <w:pPr>
      <w:pStyle w:val="8"/>
      <w:jc w:val="right"/>
      <w:rPr>
        <w:rFonts w:hint="eastAsia"/>
      </w:rPr>
    </w:pPr>
  </w:p>
  <w:p w14:paraId="6C5DA9FB">
    <w:pPr>
      <w:pStyle w:val="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B0A9E">
    <w:pPr>
      <w:pStyle w:val="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FE4B">
    <w:pPr>
      <w:pStyle w:val="8"/>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42479">
                          <w:pPr>
                            <w:pStyle w:val="8"/>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13</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9742479">
                    <w:pPr>
                      <w:pStyle w:val="8"/>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13</w:t>
                    </w:r>
                    <w:r>
                      <w:rPr>
                        <w:rFonts w:hint="eastAsia" w:eastAsia="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9BDE">
    <w:pPr>
      <w:pStyle w:val="8"/>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6004059"/>
                          </w:sdtPr>
                          <w:sdtContent>
                            <w:p w14:paraId="01A0B6AE">
                              <w:pPr>
                                <w:pStyle w:val="44"/>
                              </w:pPr>
                              <w:r>
                                <w:fldChar w:fldCharType="begin"/>
                              </w:r>
                              <w:r>
                                <w:instrText xml:space="preserve">PAGE   \* MERGEFORMAT</w:instrText>
                              </w:r>
                              <w:r>
                                <w:fldChar w:fldCharType="separate"/>
                              </w:r>
                              <w:r>
                                <w:rPr>
                                  <w:lang w:val="zh-CN"/>
                                </w:rPr>
                                <w:t>I</w:t>
                              </w:r>
                              <w:r>
                                <w:fldChar w:fldCharType="end"/>
                              </w:r>
                            </w:p>
                          </w:sdtContent>
                        </w:sdt>
                        <w:p w14:paraId="0D8CE9C9">
                          <w:pPr>
                            <w:pStyle w:val="4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6004059"/>
                    </w:sdtPr>
                    <w:sdtContent>
                      <w:p w14:paraId="01A0B6AE">
                        <w:pPr>
                          <w:pStyle w:val="44"/>
                        </w:pPr>
                        <w:r>
                          <w:fldChar w:fldCharType="begin"/>
                        </w:r>
                        <w:r>
                          <w:instrText xml:space="preserve">PAGE   \* MERGEFORMAT</w:instrText>
                        </w:r>
                        <w:r>
                          <w:fldChar w:fldCharType="separate"/>
                        </w:r>
                        <w:r>
                          <w:rPr>
                            <w:lang w:val="zh-CN"/>
                          </w:rPr>
                          <w:t>I</w:t>
                        </w:r>
                        <w:r>
                          <w:fldChar w:fldCharType="end"/>
                        </w:r>
                      </w:p>
                    </w:sdtContent>
                  </w:sdt>
                  <w:p w14:paraId="0D8CE9C9">
                    <w:pPr>
                      <w:pStyle w:val="44"/>
                    </w:pPr>
                  </w:p>
                </w:txbxContent>
              </v:textbox>
            </v:shape>
          </w:pict>
        </mc:Fallback>
      </mc:AlternateContent>
    </w:r>
  </w:p>
  <w:p w14:paraId="72E67DE5">
    <w:pPr>
      <w:pStyle w:val="8"/>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E8CA">
    <w:pPr>
      <w:pStyle w:val="8"/>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2F7E4">
                          <w:pPr>
                            <w:pStyle w:val="8"/>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0</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292F7E4">
                    <w:pPr>
                      <w:pStyle w:val="8"/>
                      <w:rPr>
                        <w:rFonts w:hint="eastAsia"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0</w:t>
                    </w:r>
                    <w:r>
                      <w:rPr>
                        <w:rFonts w:hint="eastAsia" w:eastAsia="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6D0A">
    <w:pPr>
      <w:pStyle w:val="8"/>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posOffset>5151755</wp:posOffset>
              </wp:positionH>
              <wp:positionV relativeFrom="paragraph">
                <wp:posOffset>0</wp:posOffset>
              </wp:positionV>
              <wp:extent cx="122555" cy="132080"/>
              <wp:effectExtent l="0" t="0" r="11430" b="1270"/>
              <wp:wrapNone/>
              <wp:docPr id="9" name="文本框 9"/>
              <wp:cNvGraphicFramePr/>
              <a:graphic xmlns:a="http://schemas.openxmlformats.org/drawingml/2006/main">
                <a:graphicData uri="http://schemas.microsoft.com/office/word/2010/wordprocessingShape">
                  <wps:wsp>
                    <wps:cNvSpPr txBox="1"/>
                    <wps:spPr>
                      <a:xfrm>
                        <a:off x="0" y="0"/>
                        <a:ext cx="122276" cy="1321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3D580">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13</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5.65pt;margin-top:0pt;height:10.4pt;width:9.65pt;mso-position-horizontal-relative:margin;z-index:251664384;mso-width-relative:page;mso-height-relative:page;" filled="f" stroked="f" coordsize="21600,21600" o:gfxdata="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4AJgtUAAAAHAQAADwAAAAAAAAABACAAAAAiAAAAZHJzL2Rvd25yZXYueG1sUEsB&#10;AhQAFAAAAAgAh07iQHVgpXQxAgAAVQQAAA4AAAAAAAAAAQAgAAAAJAEAAGRycy9lMm9Eb2MueG1s&#10;UEsFBgAAAAAGAAYAWQEAAMcFAAAAAA==&#10;">
              <v:fill on="f" focussize="0,0"/>
              <v:stroke on="f" weight="0.5pt"/>
              <v:imagedata o:title=""/>
              <o:lock v:ext="edit" aspectratio="f"/>
              <v:textbox inset="0mm,0mm,0mm,0mm">
                <w:txbxContent>
                  <w:p w14:paraId="3053D580">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13</w:t>
                    </w:r>
                    <w:r>
                      <w:rPr>
                        <w:rFonts w:hint="eastAsia" w:ascii="宋体" w:hAnsi="宋体" w:eastAsia="宋体" w:cs="宋体"/>
                      </w:rPr>
                      <w:fldChar w:fldCharType="end"/>
                    </w:r>
                  </w:p>
                </w:txbxContent>
              </v:textbox>
            </v:shape>
          </w:pict>
        </mc:Fallback>
      </mc:AlternateContent>
    </w:r>
  </w:p>
  <w:p w14:paraId="3978C7EA">
    <w:pPr>
      <w:pStyle w:val="8"/>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592E">
    <w:pPr>
      <w:pStyle w:val="8"/>
      <w:rPr>
        <w:rFonts w:hint="eastAsia"/>
      </w:rPr>
    </w:pPr>
    <w: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79705" cy="1828800"/>
              <wp:effectExtent l="0" t="0" r="10795" b="0"/>
              <wp:wrapNone/>
              <wp:docPr id="20" name="文本框 20"/>
              <wp:cNvGraphicFramePr/>
              <a:graphic xmlns:a="http://schemas.openxmlformats.org/drawingml/2006/main">
                <a:graphicData uri="http://schemas.microsoft.com/office/word/2010/wordprocessingShape">
                  <wps:wsp>
                    <wps:cNvSpPr txBox="1"/>
                    <wps:spPr>
                      <a:xfrm>
                        <a:off x="0" y="0"/>
                        <a:ext cx="179708"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E3720">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left;mso-position-horizontal-relative:margin;z-index:251667456;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BlYh0gAAAAQBAAAPAAAAAAAAAAEAIAAAACIAAABkcnMvZG93bnJldi54bWxQSwEC&#10;FAAUAAAACACHTuJAM4tTYDMCAABYBAAADgAAAAAAAAABACAAAAAhAQAAZHJzL2Uyb0RvYy54bWxQ&#10;SwUGAAAAAAYABgBZAQAAxgUAAAAA&#10;">
              <v:fill on="f" focussize="0,0"/>
              <v:stroke on="f" weight="0.5pt"/>
              <v:imagedata o:title=""/>
              <o:lock v:ext="edit" aspectratio="f"/>
              <v:textbox inset="0mm,0mm,0mm,0mm" style="mso-fit-shape-to-text:t;">
                <w:txbxContent>
                  <w:p w14:paraId="584E3720">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50FB">
    <w:pPr>
      <w:pStyle w:val="8"/>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B0361">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7BB0361">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4866">
    <w:pPr>
      <w:pStyle w:val="9"/>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002—</w:t>
    </w:r>
    <w:r>
      <w:rPr>
        <w:rFonts w:ascii="Times New Roman" w:hAnsi="Times New Roman" w:eastAsia="宋体" w:cs="Times New Roman"/>
      </w:rPr>
      <w:t>202</w:t>
    </w:r>
    <w:r>
      <w:rPr>
        <w:rFonts w:hint="eastAsia" w:ascii="Times New Roman" w:hAnsi="Times New Roman" w:eastAsia="宋体" w:cs="Times New Roman"/>
      </w:rPr>
      <w:t>5</w:t>
    </w:r>
  </w:p>
  <w:p w14:paraId="50704E9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DE48F">
    <w:pPr>
      <w:pStyle w:val="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C52A">
    <w:pPr>
      <w:pStyle w:val="9"/>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002—</w:t>
    </w:r>
    <w:r>
      <w:rPr>
        <w:rFonts w:ascii="Times New Roman" w:hAnsi="Times New Roman" w:eastAsia="宋体" w:cs="Times New Roman"/>
      </w:rPr>
      <w:t>202</w:t>
    </w:r>
    <w:r>
      <w:rPr>
        <w:rFonts w:hint="eastAsia" w:ascii="Times New Roman" w:hAnsi="Times New Roman" w:eastAsia="宋体" w:cs="Times New Roman"/>
      </w:rPr>
      <w:t>5</w:t>
    </w:r>
  </w:p>
  <w:p w14:paraId="430C985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22E4">
    <w:pPr>
      <w:pStyle w:val="9"/>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002—</w:t>
    </w:r>
    <w:r>
      <w:rPr>
        <w:rFonts w:ascii="Times New Roman" w:hAnsi="Times New Roman" w:eastAsia="宋体" w:cs="Times New Roman"/>
      </w:rPr>
      <w:t>2021</w:t>
    </w:r>
  </w:p>
  <w:p w14:paraId="63165719">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DB60E"/>
    <w:multiLevelType w:val="multilevel"/>
    <w:tmpl w:val="9A9DB60E"/>
    <w:lvl w:ilvl="0" w:tentative="0">
      <w:start w:val="1"/>
      <w:numFmt w:val="decimal"/>
      <w:lvlText w:val="%1"/>
      <w:lvlJc w:val="left"/>
      <w:pPr>
        <w:ind w:left="0" w:firstLine="0"/>
      </w:pPr>
      <w:rPr>
        <w:rFonts w:hint="default" w:ascii="黑体" w:hAnsi="黑体" w:eastAsia="黑体" w:cs="黑体"/>
      </w:rPr>
    </w:lvl>
    <w:lvl w:ilvl="1" w:tentative="0">
      <w:start w:val="1"/>
      <w:numFmt w:val="decimal"/>
      <w:lvlText w:val="%1.%2"/>
      <w:lvlJc w:val="left"/>
      <w:pPr>
        <w:ind w:left="0" w:firstLine="0"/>
      </w:pPr>
      <w:rPr>
        <w:rFonts w:hint="default" w:ascii="黑体" w:hAnsi="黑体" w:eastAsia="黑体" w:cs="黑体"/>
        <w:b w:val="0"/>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b w:val="0"/>
        <w:bCs w:val="0"/>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00F02684"/>
    <w:multiLevelType w:val="multilevel"/>
    <w:tmpl w:val="00F0268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C91163"/>
    <w:multiLevelType w:val="multilevel"/>
    <w:tmpl w:val="1FC91163"/>
    <w:lvl w:ilvl="0" w:tentative="0">
      <w:start w:val="1"/>
      <w:numFmt w:val="decimal"/>
      <w:pStyle w:val="5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7AC2556"/>
    <w:multiLevelType w:val="multilevel"/>
    <w:tmpl w:val="27AC2556"/>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27C8"/>
    <w:rsid w:val="000053C0"/>
    <w:rsid w:val="00010792"/>
    <w:rsid w:val="00011FC8"/>
    <w:rsid w:val="000126AC"/>
    <w:rsid w:val="00017212"/>
    <w:rsid w:val="000215F4"/>
    <w:rsid w:val="000253DE"/>
    <w:rsid w:val="0002547B"/>
    <w:rsid w:val="0002663B"/>
    <w:rsid w:val="00026989"/>
    <w:rsid w:val="00031E6F"/>
    <w:rsid w:val="00036D01"/>
    <w:rsid w:val="00050413"/>
    <w:rsid w:val="000548DC"/>
    <w:rsid w:val="00056A60"/>
    <w:rsid w:val="0005763E"/>
    <w:rsid w:val="000578ED"/>
    <w:rsid w:val="00057B09"/>
    <w:rsid w:val="000658DB"/>
    <w:rsid w:val="00072491"/>
    <w:rsid w:val="00072B66"/>
    <w:rsid w:val="00074505"/>
    <w:rsid w:val="000771FC"/>
    <w:rsid w:val="0007732A"/>
    <w:rsid w:val="000858E6"/>
    <w:rsid w:val="000913AC"/>
    <w:rsid w:val="00091D8B"/>
    <w:rsid w:val="000A10B7"/>
    <w:rsid w:val="000A144A"/>
    <w:rsid w:val="000A1DE1"/>
    <w:rsid w:val="000A216D"/>
    <w:rsid w:val="000A2D37"/>
    <w:rsid w:val="000A3FAE"/>
    <w:rsid w:val="000B12BE"/>
    <w:rsid w:val="000B1BF4"/>
    <w:rsid w:val="000B2CAA"/>
    <w:rsid w:val="000B5A07"/>
    <w:rsid w:val="000B79D9"/>
    <w:rsid w:val="000C032C"/>
    <w:rsid w:val="000C53AB"/>
    <w:rsid w:val="000C7D61"/>
    <w:rsid w:val="000D05F3"/>
    <w:rsid w:val="000D38BE"/>
    <w:rsid w:val="000D411E"/>
    <w:rsid w:val="000D4494"/>
    <w:rsid w:val="000D5D4F"/>
    <w:rsid w:val="000D62E7"/>
    <w:rsid w:val="000D709E"/>
    <w:rsid w:val="000D74F8"/>
    <w:rsid w:val="000E02B2"/>
    <w:rsid w:val="000E1B7B"/>
    <w:rsid w:val="000E33C0"/>
    <w:rsid w:val="000E506C"/>
    <w:rsid w:val="000E6E93"/>
    <w:rsid w:val="000E7975"/>
    <w:rsid w:val="000F0451"/>
    <w:rsid w:val="000F58E2"/>
    <w:rsid w:val="000F6760"/>
    <w:rsid w:val="00104AB0"/>
    <w:rsid w:val="001105A3"/>
    <w:rsid w:val="001113DA"/>
    <w:rsid w:val="00113BFA"/>
    <w:rsid w:val="00114735"/>
    <w:rsid w:val="0011477A"/>
    <w:rsid w:val="001248BA"/>
    <w:rsid w:val="001270E5"/>
    <w:rsid w:val="0012759C"/>
    <w:rsid w:val="0012776E"/>
    <w:rsid w:val="00133950"/>
    <w:rsid w:val="0014625F"/>
    <w:rsid w:val="00152374"/>
    <w:rsid w:val="0015254C"/>
    <w:rsid w:val="001545CB"/>
    <w:rsid w:val="00165E15"/>
    <w:rsid w:val="00167735"/>
    <w:rsid w:val="00171623"/>
    <w:rsid w:val="00172146"/>
    <w:rsid w:val="00172AF3"/>
    <w:rsid w:val="00172CA8"/>
    <w:rsid w:val="00173CC9"/>
    <w:rsid w:val="00173FC5"/>
    <w:rsid w:val="00177C9E"/>
    <w:rsid w:val="00185073"/>
    <w:rsid w:val="00191DFD"/>
    <w:rsid w:val="00193BF3"/>
    <w:rsid w:val="00193D37"/>
    <w:rsid w:val="00193DB4"/>
    <w:rsid w:val="0019545B"/>
    <w:rsid w:val="00197C2C"/>
    <w:rsid w:val="001A0393"/>
    <w:rsid w:val="001A1A03"/>
    <w:rsid w:val="001A22EE"/>
    <w:rsid w:val="001B1499"/>
    <w:rsid w:val="001B2C09"/>
    <w:rsid w:val="001C1798"/>
    <w:rsid w:val="001C2770"/>
    <w:rsid w:val="001C63E9"/>
    <w:rsid w:val="001D55B5"/>
    <w:rsid w:val="001D55DB"/>
    <w:rsid w:val="001E0908"/>
    <w:rsid w:val="001E42D4"/>
    <w:rsid w:val="001E5B11"/>
    <w:rsid w:val="001E5CB3"/>
    <w:rsid w:val="001E64A9"/>
    <w:rsid w:val="001F185A"/>
    <w:rsid w:val="001F250E"/>
    <w:rsid w:val="001F3A00"/>
    <w:rsid w:val="001F5180"/>
    <w:rsid w:val="001F61D1"/>
    <w:rsid w:val="00200E14"/>
    <w:rsid w:val="002050B7"/>
    <w:rsid w:val="002054D6"/>
    <w:rsid w:val="0020796E"/>
    <w:rsid w:val="0021466A"/>
    <w:rsid w:val="00214910"/>
    <w:rsid w:val="00214B0A"/>
    <w:rsid w:val="002257B9"/>
    <w:rsid w:val="002262E4"/>
    <w:rsid w:val="00231B51"/>
    <w:rsid w:val="00233E1A"/>
    <w:rsid w:val="002353F8"/>
    <w:rsid w:val="00236632"/>
    <w:rsid w:val="0024007A"/>
    <w:rsid w:val="00245436"/>
    <w:rsid w:val="002517F9"/>
    <w:rsid w:val="00252505"/>
    <w:rsid w:val="00252F69"/>
    <w:rsid w:val="00257E6E"/>
    <w:rsid w:val="002620F5"/>
    <w:rsid w:val="002624D0"/>
    <w:rsid w:val="002638E4"/>
    <w:rsid w:val="002745FE"/>
    <w:rsid w:val="002754A5"/>
    <w:rsid w:val="00275E46"/>
    <w:rsid w:val="002774C4"/>
    <w:rsid w:val="00280B79"/>
    <w:rsid w:val="00284BE6"/>
    <w:rsid w:val="002861C4"/>
    <w:rsid w:val="00287866"/>
    <w:rsid w:val="00290172"/>
    <w:rsid w:val="0029785B"/>
    <w:rsid w:val="002A294C"/>
    <w:rsid w:val="002A2EF5"/>
    <w:rsid w:val="002A58EB"/>
    <w:rsid w:val="002A5F27"/>
    <w:rsid w:val="002A747A"/>
    <w:rsid w:val="002B02E9"/>
    <w:rsid w:val="002B0EFD"/>
    <w:rsid w:val="002B3A01"/>
    <w:rsid w:val="002B4027"/>
    <w:rsid w:val="002B55DE"/>
    <w:rsid w:val="002C2D82"/>
    <w:rsid w:val="002C2EF4"/>
    <w:rsid w:val="002C35CF"/>
    <w:rsid w:val="002D00BB"/>
    <w:rsid w:val="002D201A"/>
    <w:rsid w:val="002D4EE4"/>
    <w:rsid w:val="002D7DD8"/>
    <w:rsid w:val="002E64C1"/>
    <w:rsid w:val="002F7767"/>
    <w:rsid w:val="00300729"/>
    <w:rsid w:val="00305E22"/>
    <w:rsid w:val="00313E31"/>
    <w:rsid w:val="003145FA"/>
    <w:rsid w:val="00315F43"/>
    <w:rsid w:val="0031696A"/>
    <w:rsid w:val="003208E7"/>
    <w:rsid w:val="00324DA5"/>
    <w:rsid w:val="00327512"/>
    <w:rsid w:val="003317F9"/>
    <w:rsid w:val="00331CC2"/>
    <w:rsid w:val="0033219D"/>
    <w:rsid w:val="0033356B"/>
    <w:rsid w:val="003400F5"/>
    <w:rsid w:val="00342E69"/>
    <w:rsid w:val="003445EE"/>
    <w:rsid w:val="00344F79"/>
    <w:rsid w:val="00347CB2"/>
    <w:rsid w:val="00350333"/>
    <w:rsid w:val="0035267F"/>
    <w:rsid w:val="003527C8"/>
    <w:rsid w:val="00354E5E"/>
    <w:rsid w:val="00356C7D"/>
    <w:rsid w:val="00364783"/>
    <w:rsid w:val="003657FD"/>
    <w:rsid w:val="00375D6C"/>
    <w:rsid w:val="00375F95"/>
    <w:rsid w:val="003811C9"/>
    <w:rsid w:val="003824C2"/>
    <w:rsid w:val="00386076"/>
    <w:rsid w:val="00390258"/>
    <w:rsid w:val="00390E34"/>
    <w:rsid w:val="00394AEF"/>
    <w:rsid w:val="00397384"/>
    <w:rsid w:val="00397F9E"/>
    <w:rsid w:val="003A28C8"/>
    <w:rsid w:val="003A2AB0"/>
    <w:rsid w:val="003A4197"/>
    <w:rsid w:val="003A72FB"/>
    <w:rsid w:val="003B11D5"/>
    <w:rsid w:val="003B6317"/>
    <w:rsid w:val="003C6A28"/>
    <w:rsid w:val="003C76BA"/>
    <w:rsid w:val="003C7AE8"/>
    <w:rsid w:val="003D05AD"/>
    <w:rsid w:val="003D10C3"/>
    <w:rsid w:val="003D3BDD"/>
    <w:rsid w:val="003D5B65"/>
    <w:rsid w:val="003D5F18"/>
    <w:rsid w:val="003D7F21"/>
    <w:rsid w:val="003E0FA3"/>
    <w:rsid w:val="003E3507"/>
    <w:rsid w:val="003E37B5"/>
    <w:rsid w:val="003F0D83"/>
    <w:rsid w:val="003F1381"/>
    <w:rsid w:val="0040469B"/>
    <w:rsid w:val="004065F6"/>
    <w:rsid w:val="0040710E"/>
    <w:rsid w:val="0041083D"/>
    <w:rsid w:val="0041355C"/>
    <w:rsid w:val="00413717"/>
    <w:rsid w:val="00415D2F"/>
    <w:rsid w:val="004165A5"/>
    <w:rsid w:val="004218BD"/>
    <w:rsid w:val="00422925"/>
    <w:rsid w:val="00422DA8"/>
    <w:rsid w:val="0042406E"/>
    <w:rsid w:val="00424641"/>
    <w:rsid w:val="0043034C"/>
    <w:rsid w:val="00433002"/>
    <w:rsid w:val="00436831"/>
    <w:rsid w:val="00440269"/>
    <w:rsid w:val="0044366C"/>
    <w:rsid w:val="00453FDA"/>
    <w:rsid w:val="00457E2F"/>
    <w:rsid w:val="004615DA"/>
    <w:rsid w:val="004678FD"/>
    <w:rsid w:val="0047208D"/>
    <w:rsid w:val="00472B9B"/>
    <w:rsid w:val="004833E2"/>
    <w:rsid w:val="00487DF3"/>
    <w:rsid w:val="00490D95"/>
    <w:rsid w:val="00491C7E"/>
    <w:rsid w:val="0049231A"/>
    <w:rsid w:val="00494C1B"/>
    <w:rsid w:val="004965A1"/>
    <w:rsid w:val="00497E05"/>
    <w:rsid w:val="004A2205"/>
    <w:rsid w:val="004A4041"/>
    <w:rsid w:val="004A4A17"/>
    <w:rsid w:val="004A583E"/>
    <w:rsid w:val="004A6F6F"/>
    <w:rsid w:val="004B0A75"/>
    <w:rsid w:val="004C09C2"/>
    <w:rsid w:val="004C57D2"/>
    <w:rsid w:val="004C7695"/>
    <w:rsid w:val="004D0047"/>
    <w:rsid w:val="004D3518"/>
    <w:rsid w:val="004E0FA4"/>
    <w:rsid w:val="004E29FC"/>
    <w:rsid w:val="004E4111"/>
    <w:rsid w:val="004E5019"/>
    <w:rsid w:val="004F080C"/>
    <w:rsid w:val="004F2091"/>
    <w:rsid w:val="005002C5"/>
    <w:rsid w:val="00501382"/>
    <w:rsid w:val="005033FD"/>
    <w:rsid w:val="00505433"/>
    <w:rsid w:val="0050659A"/>
    <w:rsid w:val="00512B61"/>
    <w:rsid w:val="0051389A"/>
    <w:rsid w:val="00516F89"/>
    <w:rsid w:val="00520CD8"/>
    <w:rsid w:val="00524D29"/>
    <w:rsid w:val="00524F64"/>
    <w:rsid w:val="0052612D"/>
    <w:rsid w:val="00535A18"/>
    <w:rsid w:val="00536034"/>
    <w:rsid w:val="00541248"/>
    <w:rsid w:val="00541266"/>
    <w:rsid w:val="005419C0"/>
    <w:rsid w:val="00544926"/>
    <w:rsid w:val="00546117"/>
    <w:rsid w:val="00550014"/>
    <w:rsid w:val="005512EF"/>
    <w:rsid w:val="005641B7"/>
    <w:rsid w:val="00565055"/>
    <w:rsid w:val="00571204"/>
    <w:rsid w:val="0057126E"/>
    <w:rsid w:val="005749CE"/>
    <w:rsid w:val="005824EC"/>
    <w:rsid w:val="00586259"/>
    <w:rsid w:val="00594021"/>
    <w:rsid w:val="0059531E"/>
    <w:rsid w:val="00597064"/>
    <w:rsid w:val="00597654"/>
    <w:rsid w:val="005A3851"/>
    <w:rsid w:val="005B12AD"/>
    <w:rsid w:val="005B1835"/>
    <w:rsid w:val="005B3770"/>
    <w:rsid w:val="005B4FB3"/>
    <w:rsid w:val="005B4FE4"/>
    <w:rsid w:val="005B6E68"/>
    <w:rsid w:val="005C197C"/>
    <w:rsid w:val="005D131B"/>
    <w:rsid w:val="005D490C"/>
    <w:rsid w:val="005D7B2D"/>
    <w:rsid w:val="005E0DE4"/>
    <w:rsid w:val="005E3C6E"/>
    <w:rsid w:val="005E4347"/>
    <w:rsid w:val="005E58D6"/>
    <w:rsid w:val="005E6163"/>
    <w:rsid w:val="005F0F3A"/>
    <w:rsid w:val="005F46DC"/>
    <w:rsid w:val="00604130"/>
    <w:rsid w:val="00604716"/>
    <w:rsid w:val="00611C44"/>
    <w:rsid w:val="00612D8A"/>
    <w:rsid w:val="00620574"/>
    <w:rsid w:val="00622ECA"/>
    <w:rsid w:val="006333F0"/>
    <w:rsid w:val="006367B9"/>
    <w:rsid w:val="006370B7"/>
    <w:rsid w:val="006414DC"/>
    <w:rsid w:val="006432DF"/>
    <w:rsid w:val="00647139"/>
    <w:rsid w:val="00652BCD"/>
    <w:rsid w:val="00655E70"/>
    <w:rsid w:val="006569D8"/>
    <w:rsid w:val="00656AE6"/>
    <w:rsid w:val="00657882"/>
    <w:rsid w:val="00657C94"/>
    <w:rsid w:val="006620AD"/>
    <w:rsid w:val="00681BC9"/>
    <w:rsid w:val="00687E06"/>
    <w:rsid w:val="00690CA0"/>
    <w:rsid w:val="00691370"/>
    <w:rsid w:val="00695C3A"/>
    <w:rsid w:val="006A4EBC"/>
    <w:rsid w:val="006A6223"/>
    <w:rsid w:val="006B03C3"/>
    <w:rsid w:val="006C05F4"/>
    <w:rsid w:val="006C496E"/>
    <w:rsid w:val="006E1B77"/>
    <w:rsid w:val="006F41C4"/>
    <w:rsid w:val="006F77F3"/>
    <w:rsid w:val="0070163A"/>
    <w:rsid w:val="007076AB"/>
    <w:rsid w:val="00710BDD"/>
    <w:rsid w:val="0071112E"/>
    <w:rsid w:val="007177B1"/>
    <w:rsid w:val="00722005"/>
    <w:rsid w:val="00737121"/>
    <w:rsid w:val="007551DA"/>
    <w:rsid w:val="0075609C"/>
    <w:rsid w:val="00760557"/>
    <w:rsid w:val="007632EF"/>
    <w:rsid w:val="007642BA"/>
    <w:rsid w:val="0076787C"/>
    <w:rsid w:val="00773291"/>
    <w:rsid w:val="00774E1D"/>
    <w:rsid w:val="00776646"/>
    <w:rsid w:val="00776737"/>
    <w:rsid w:val="0079101B"/>
    <w:rsid w:val="00792A02"/>
    <w:rsid w:val="00793CAA"/>
    <w:rsid w:val="007956AA"/>
    <w:rsid w:val="007964BB"/>
    <w:rsid w:val="00797BF9"/>
    <w:rsid w:val="00797C9C"/>
    <w:rsid w:val="007A0A0D"/>
    <w:rsid w:val="007A0E63"/>
    <w:rsid w:val="007A20AF"/>
    <w:rsid w:val="007A3C64"/>
    <w:rsid w:val="007A5565"/>
    <w:rsid w:val="007A6239"/>
    <w:rsid w:val="007A7289"/>
    <w:rsid w:val="007B41F5"/>
    <w:rsid w:val="007B582A"/>
    <w:rsid w:val="007B72D8"/>
    <w:rsid w:val="007B7D8E"/>
    <w:rsid w:val="007C29C5"/>
    <w:rsid w:val="007D0E1D"/>
    <w:rsid w:val="007D34A9"/>
    <w:rsid w:val="007D46B9"/>
    <w:rsid w:val="007D68F4"/>
    <w:rsid w:val="007E0FB8"/>
    <w:rsid w:val="007E499A"/>
    <w:rsid w:val="007F1846"/>
    <w:rsid w:val="007F401F"/>
    <w:rsid w:val="007F443D"/>
    <w:rsid w:val="007F7F67"/>
    <w:rsid w:val="00801891"/>
    <w:rsid w:val="00802B65"/>
    <w:rsid w:val="00805B23"/>
    <w:rsid w:val="0080621A"/>
    <w:rsid w:val="00807B9E"/>
    <w:rsid w:val="00813B00"/>
    <w:rsid w:val="008158A6"/>
    <w:rsid w:val="008168A2"/>
    <w:rsid w:val="00817588"/>
    <w:rsid w:val="008204E7"/>
    <w:rsid w:val="00821AFB"/>
    <w:rsid w:val="00823819"/>
    <w:rsid w:val="008259CF"/>
    <w:rsid w:val="0082758F"/>
    <w:rsid w:val="00831672"/>
    <w:rsid w:val="008321DE"/>
    <w:rsid w:val="00832AF6"/>
    <w:rsid w:val="008353FC"/>
    <w:rsid w:val="00836652"/>
    <w:rsid w:val="0084223D"/>
    <w:rsid w:val="008443D7"/>
    <w:rsid w:val="00844847"/>
    <w:rsid w:val="00845B2F"/>
    <w:rsid w:val="0084793F"/>
    <w:rsid w:val="008510AF"/>
    <w:rsid w:val="0085319F"/>
    <w:rsid w:val="008560D4"/>
    <w:rsid w:val="008575C3"/>
    <w:rsid w:val="0086033A"/>
    <w:rsid w:val="00861F51"/>
    <w:rsid w:val="008664B3"/>
    <w:rsid w:val="00866911"/>
    <w:rsid w:val="008676B8"/>
    <w:rsid w:val="008679C2"/>
    <w:rsid w:val="00871670"/>
    <w:rsid w:val="0088038C"/>
    <w:rsid w:val="00880B86"/>
    <w:rsid w:val="00881CA3"/>
    <w:rsid w:val="00882EC1"/>
    <w:rsid w:val="00895523"/>
    <w:rsid w:val="00897A4E"/>
    <w:rsid w:val="008A0103"/>
    <w:rsid w:val="008A0DD1"/>
    <w:rsid w:val="008A4CF3"/>
    <w:rsid w:val="008A4DC1"/>
    <w:rsid w:val="008A7D68"/>
    <w:rsid w:val="008B0383"/>
    <w:rsid w:val="008B1A22"/>
    <w:rsid w:val="008B5CC8"/>
    <w:rsid w:val="008B77FA"/>
    <w:rsid w:val="008C30BB"/>
    <w:rsid w:val="008C7B4E"/>
    <w:rsid w:val="008D0B98"/>
    <w:rsid w:val="008D2276"/>
    <w:rsid w:val="008E3B86"/>
    <w:rsid w:val="008E4526"/>
    <w:rsid w:val="008E5ED9"/>
    <w:rsid w:val="008F02E4"/>
    <w:rsid w:val="008F71CB"/>
    <w:rsid w:val="00907E71"/>
    <w:rsid w:val="00911199"/>
    <w:rsid w:val="00913C5D"/>
    <w:rsid w:val="00914112"/>
    <w:rsid w:val="0091644D"/>
    <w:rsid w:val="00916B4A"/>
    <w:rsid w:val="00917BAC"/>
    <w:rsid w:val="00921726"/>
    <w:rsid w:val="009219B6"/>
    <w:rsid w:val="00931068"/>
    <w:rsid w:val="009351CC"/>
    <w:rsid w:val="00935A32"/>
    <w:rsid w:val="00940700"/>
    <w:rsid w:val="009417FB"/>
    <w:rsid w:val="009441B2"/>
    <w:rsid w:val="00944BC4"/>
    <w:rsid w:val="009559BA"/>
    <w:rsid w:val="0095628F"/>
    <w:rsid w:val="00961D91"/>
    <w:rsid w:val="00966453"/>
    <w:rsid w:val="009712EF"/>
    <w:rsid w:val="0097405E"/>
    <w:rsid w:val="009836DC"/>
    <w:rsid w:val="009857F1"/>
    <w:rsid w:val="00986BAD"/>
    <w:rsid w:val="0099341A"/>
    <w:rsid w:val="00993A7B"/>
    <w:rsid w:val="00994EF8"/>
    <w:rsid w:val="00996E5C"/>
    <w:rsid w:val="00997BBE"/>
    <w:rsid w:val="009A284E"/>
    <w:rsid w:val="009A4D49"/>
    <w:rsid w:val="009A6357"/>
    <w:rsid w:val="009B4D6D"/>
    <w:rsid w:val="009C4AEC"/>
    <w:rsid w:val="009C7256"/>
    <w:rsid w:val="009D2DBF"/>
    <w:rsid w:val="009D3482"/>
    <w:rsid w:val="009D56A9"/>
    <w:rsid w:val="009E2F00"/>
    <w:rsid w:val="009E40F6"/>
    <w:rsid w:val="009E57FD"/>
    <w:rsid w:val="009F05EF"/>
    <w:rsid w:val="009F0F65"/>
    <w:rsid w:val="009F7745"/>
    <w:rsid w:val="00A04366"/>
    <w:rsid w:val="00A12509"/>
    <w:rsid w:val="00A20CAD"/>
    <w:rsid w:val="00A22A25"/>
    <w:rsid w:val="00A40D0C"/>
    <w:rsid w:val="00A40EA5"/>
    <w:rsid w:val="00A41BFF"/>
    <w:rsid w:val="00A45D97"/>
    <w:rsid w:val="00A45E26"/>
    <w:rsid w:val="00A474D8"/>
    <w:rsid w:val="00A533EE"/>
    <w:rsid w:val="00A5638E"/>
    <w:rsid w:val="00A576D0"/>
    <w:rsid w:val="00A57BCB"/>
    <w:rsid w:val="00A57C05"/>
    <w:rsid w:val="00A61B17"/>
    <w:rsid w:val="00A67DE3"/>
    <w:rsid w:val="00A7046E"/>
    <w:rsid w:val="00A74C0B"/>
    <w:rsid w:val="00A7503E"/>
    <w:rsid w:val="00A75FC3"/>
    <w:rsid w:val="00A77ECE"/>
    <w:rsid w:val="00A8449E"/>
    <w:rsid w:val="00A85C55"/>
    <w:rsid w:val="00A868CB"/>
    <w:rsid w:val="00A90D6F"/>
    <w:rsid w:val="00A91C1B"/>
    <w:rsid w:val="00A93A53"/>
    <w:rsid w:val="00AA4039"/>
    <w:rsid w:val="00AA4E65"/>
    <w:rsid w:val="00AA5AC1"/>
    <w:rsid w:val="00AA741C"/>
    <w:rsid w:val="00AB5797"/>
    <w:rsid w:val="00AB5F49"/>
    <w:rsid w:val="00AC2F03"/>
    <w:rsid w:val="00AC6F93"/>
    <w:rsid w:val="00AD021D"/>
    <w:rsid w:val="00AD31D8"/>
    <w:rsid w:val="00AE2575"/>
    <w:rsid w:val="00AE27B4"/>
    <w:rsid w:val="00AE5663"/>
    <w:rsid w:val="00AE619B"/>
    <w:rsid w:val="00AE658E"/>
    <w:rsid w:val="00AF0263"/>
    <w:rsid w:val="00AF51DC"/>
    <w:rsid w:val="00AF5E98"/>
    <w:rsid w:val="00AF6662"/>
    <w:rsid w:val="00AF6DC3"/>
    <w:rsid w:val="00B03EDD"/>
    <w:rsid w:val="00B065C4"/>
    <w:rsid w:val="00B068CF"/>
    <w:rsid w:val="00B07CEC"/>
    <w:rsid w:val="00B11065"/>
    <w:rsid w:val="00B110A2"/>
    <w:rsid w:val="00B12278"/>
    <w:rsid w:val="00B1359C"/>
    <w:rsid w:val="00B16963"/>
    <w:rsid w:val="00B2156E"/>
    <w:rsid w:val="00B22991"/>
    <w:rsid w:val="00B22A55"/>
    <w:rsid w:val="00B2515D"/>
    <w:rsid w:val="00B2632D"/>
    <w:rsid w:val="00B26718"/>
    <w:rsid w:val="00B30BFF"/>
    <w:rsid w:val="00B3255E"/>
    <w:rsid w:val="00B32582"/>
    <w:rsid w:val="00B3398F"/>
    <w:rsid w:val="00B35A32"/>
    <w:rsid w:val="00B43F6E"/>
    <w:rsid w:val="00B467F0"/>
    <w:rsid w:val="00B477D4"/>
    <w:rsid w:val="00B5686F"/>
    <w:rsid w:val="00B57579"/>
    <w:rsid w:val="00B57973"/>
    <w:rsid w:val="00B6177D"/>
    <w:rsid w:val="00B64D06"/>
    <w:rsid w:val="00B67C79"/>
    <w:rsid w:val="00B67C87"/>
    <w:rsid w:val="00B7369B"/>
    <w:rsid w:val="00B7416B"/>
    <w:rsid w:val="00B7612D"/>
    <w:rsid w:val="00B77795"/>
    <w:rsid w:val="00B826AA"/>
    <w:rsid w:val="00B82E58"/>
    <w:rsid w:val="00B832A0"/>
    <w:rsid w:val="00B83544"/>
    <w:rsid w:val="00B8381E"/>
    <w:rsid w:val="00B85BB1"/>
    <w:rsid w:val="00B85F1A"/>
    <w:rsid w:val="00B8601F"/>
    <w:rsid w:val="00B931BE"/>
    <w:rsid w:val="00B93AF3"/>
    <w:rsid w:val="00B95226"/>
    <w:rsid w:val="00B9676D"/>
    <w:rsid w:val="00B96E4E"/>
    <w:rsid w:val="00B9752F"/>
    <w:rsid w:val="00BA0C5B"/>
    <w:rsid w:val="00BA0E8D"/>
    <w:rsid w:val="00BA24B3"/>
    <w:rsid w:val="00BA2502"/>
    <w:rsid w:val="00BA2673"/>
    <w:rsid w:val="00BA7F0A"/>
    <w:rsid w:val="00BB0777"/>
    <w:rsid w:val="00BB74CE"/>
    <w:rsid w:val="00BB7A0B"/>
    <w:rsid w:val="00BC4BFA"/>
    <w:rsid w:val="00BC6692"/>
    <w:rsid w:val="00BC70BD"/>
    <w:rsid w:val="00BD0EB9"/>
    <w:rsid w:val="00BD2124"/>
    <w:rsid w:val="00BD2127"/>
    <w:rsid w:val="00BD6D41"/>
    <w:rsid w:val="00BF1C4E"/>
    <w:rsid w:val="00BF4D87"/>
    <w:rsid w:val="00BF5996"/>
    <w:rsid w:val="00BF5D82"/>
    <w:rsid w:val="00C024BA"/>
    <w:rsid w:val="00C125CC"/>
    <w:rsid w:val="00C145DC"/>
    <w:rsid w:val="00C15266"/>
    <w:rsid w:val="00C16629"/>
    <w:rsid w:val="00C1670E"/>
    <w:rsid w:val="00C16FB8"/>
    <w:rsid w:val="00C203B9"/>
    <w:rsid w:val="00C22B2D"/>
    <w:rsid w:val="00C22F1C"/>
    <w:rsid w:val="00C3055E"/>
    <w:rsid w:val="00C33380"/>
    <w:rsid w:val="00C361DA"/>
    <w:rsid w:val="00C4170B"/>
    <w:rsid w:val="00C4716F"/>
    <w:rsid w:val="00C5035D"/>
    <w:rsid w:val="00C511B6"/>
    <w:rsid w:val="00C51882"/>
    <w:rsid w:val="00C53630"/>
    <w:rsid w:val="00C547A8"/>
    <w:rsid w:val="00C54D92"/>
    <w:rsid w:val="00C57D9D"/>
    <w:rsid w:val="00C62274"/>
    <w:rsid w:val="00C63195"/>
    <w:rsid w:val="00C74316"/>
    <w:rsid w:val="00C74FAD"/>
    <w:rsid w:val="00C80151"/>
    <w:rsid w:val="00C824A7"/>
    <w:rsid w:val="00C82EA3"/>
    <w:rsid w:val="00C84565"/>
    <w:rsid w:val="00C8639E"/>
    <w:rsid w:val="00C90FF2"/>
    <w:rsid w:val="00C91631"/>
    <w:rsid w:val="00C91EDD"/>
    <w:rsid w:val="00C933C9"/>
    <w:rsid w:val="00C94331"/>
    <w:rsid w:val="00CA35B1"/>
    <w:rsid w:val="00CA7113"/>
    <w:rsid w:val="00CB1F36"/>
    <w:rsid w:val="00CC7853"/>
    <w:rsid w:val="00CC7CA5"/>
    <w:rsid w:val="00CD0BD3"/>
    <w:rsid w:val="00CD14E7"/>
    <w:rsid w:val="00CD2804"/>
    <w:rsid w:val="00CD3985"/>
    <w:rsid w:val="00CD42FA"/>
    <w:rsid w:val="00CD705C"/>
    <w:rsid w:val="00CD7F73"/>
    <w:rsid w:val="00CE1810"/>
    <w:rsid w:val="00CE20D1"/>
    <w:rsid w:val="00CE3B68"/>
    <w:rsid w:val="00CE3D4C"/>
    <w:rsid w:val="00CF08DB"/>
    <w:rsid w:val="00CF16D7"/>
    <w:rsid w:val="00CF1C37"/>
    <w:rsid w:val="00CF5E04"/>
    <w:rsid w:val="00CF606C"/>
    <w:rsid w:val="00D02C01"/>
    <w:rsid w:val="00D02D09"/>
    <w:rsid w:val="00D0653F"/>
    <w:rsid w:val="00D065E5"/>
    <w:rsid w:val="00D06AE6"/>
    <w:rsid w:val="00D11927"/>
    <w:rsid w:val="00D130A7"/>
    <w:rsid w:val="00D151E2"/>
    <w:rsid w:val="00D167E5"/>
    <w:rsid w:val="00D16BE7"/>
    <w:rsid w:val="00D224CE"/>
    <w:rsid w:val="00D22B97"/>
    <w:rsid w:val="00D23475"/>
    <w:rsid w:val="00D2374F"/>
    <w:rsid w:val="00D26334"/>
    <w:rsid w:val="00D30C94"/>
    <w:rsid w:val="00D324AA"/>
    <w:rsid w:val="00D3632C"/>
    <w:rsid w:val="00D426BC"/>
    <w:rsid w:val="00D44C91"/>
    <w:rsid w:val="00D44F1F"/>
    <w:rsid w:val="00D45FD1"/>
    <w:rsid w:val="00D50D97"/>
    <w:rsid w:val="00D513A8"/>
    <w:rsid w:val="00D56BC6"/>
    <w:rsid w:val="00D620A4"/>
    <w:rsid w:val="00D70C1D"/>
    <w:rsid w:val="00D71C09"/>
    <w:rsid w:val="00D71F10"/>
    <w:rsid w:val="00D722CA"/>
    <w:rsid w:val="00D74072"/>
    <w:rsid w:val="00D76CA3"/>
    <w:rsid w:val="00D80626"/>
    <w:rsid w:val="00D81C75"/>
    <w:rsid w:val="00D8321C"/>
    <w:rsid w:val="00D87ADD"/>
    <w:rsid w:val="00D91F08"/>
    <w:rsid w:val="00D92827"/>
    <w:rsid w:val="00D934E3"/>
    <w:rsid w:val="00D95652"/>
    <w:rsid w:val="00D956C7"/>
    <w:rsid w:val="00DA1C31"/>
    <w:rsid w:val="00DC51BD"/>
    <w:rsid w:val="00DC69EE"/>
    <w:rsid w:val="00DC7145"/>
    <w:rsid w:val="00DC7E6D"/>
    <w:rsid w:val="00DD09C6"/>
    <w:rsid w:val="00DD15CF"/>
    <w:rsid w:val="00DD17C6"/>
    <w:rsid w:val="00DD41CA"/>
    <w:rsid w:val="00DE31CD"/>
    <w:rsid w:val="00DE6BC5"/>
    <w:rsid w:val="00DE7CC8"/>
    <w:rsid w:val="00DF015E"/>
    <w:rsid w:val="00DF1935"/>
    <w:rsid w:val="00DF3C07"/>
    <w:rsid w:val="00DF6B81"/>
    <w:rsid w:val="00E00BFE"/>
    <w:rsid w:val="00E0339B"/>
    <w:rsid w:val="00E04D39"/>
    <w:rsid w:val="00E068EC"/>
    <w:rsid w:val="00E1642E"/>
    <w:rsid w:val="00E222C0"/>
    <w:rsid w:val="00E22B4B"/>
    <w:rsid w:val="00E267F4"/>
    <w:rsid w:val="00E3325D"/>
    <w:rsid w:val="00E33C23"/>
    <w:rsid w:val="00E3444A"/>
    <w:rsid w:val="00E34B84"/>
    <w:rsid w:val="00E445F1"/>
    <w:rsid w:val="00E501B5"/>
    <w:rsid w:val="00E52FE5"/>
    <w:rsid w:val="00E54C18"/>
    <w:rsid w:val="00E5547E"/>
    <w:rsid w:val="00E62CE8"/>
    <w:rsid w:val="00E653C9"/>
    <w:rsid w:val="00E73AC6"/>
    <w:rsid w:val="00E75EE8"/>
    <w:rsid w:val="00E77BDF"/>
    <w:rsid w:val="00E831B5"/>
    <w:rsid w:val="00E8341A"/>
    <w:rsid w:val="00E90824"/>
    <w:rsid w:val="00E93CE6"/>
    <w:rsid w:val="00E958A2"/>
    <w:rsid w:val="00E95ED8"/>
    <w:rsid w:val="00E963A0"/>
    <w:rsid w:val="00EA7EFB"/>
    <w:rsid w:val="00EB3901"/>
    <w:rsid w:val="00EB3C4E"/>
    <w:rsid w:val="00EB6805"/>
    <w:rsid w:val="00EB6DC9"/>
    <w:rsid w:val="00EC033F"/>
    <w:rsid w:val="00EC1EDA"/>
    <w:rsid w:val="00EC47FA"/>
    <w:rsid w:val="00EC5C1D"/>
    <w:rsid w:val="00ED0209"/>
    <w:rsid w:val="00ED2583"/>
    <w:rsid w:val="00ED621F"/>
    <w:rsid w:val="00EE7CF4"/>
    <w:rsid w:val="00EF01CC"/>
    <w:rsid w:val="00EF25C2"/>
    <w:rsid w:val="00EF2A4E"/>
    <w:rsid w:val="00EF44B9"/>
    <w:rsid w:val="00EF5544"/>
    <w:rsid w:val="00EF5BBF"/>
    <w:rsid w:val="00EF680F"/>
    <w:rsid w:val="00EF6FBB"/>
    <w:rsid w:val="00F02A27"/>
    <w:rsid w:val="00F0432A"/>
    <w:rsid w:val="00F05F0F"/>
    <w:rsid w:val="00F118ED"/>
    <w:rsid w:val="00F174EF"/>
    <w:rsid w:val="00F2096B"/>
    <w:rsid w:val="00F22E0E"/>
    <w:rsid w:val="00F24572"/>
    <w:rsid w:val="00F259CE"/>
    <w:rsid w:val="00F26BC7"/>
    <w:rsid w:val="00F271F3"/>
    <w:rsid w:val="00F34BCC"/>
    <w:rsid w:val="00F35D01"/>
    <w:rsid w:val="00F377C2"/>
    <w:rsid w:val="00F41668"/>
    <w:rsid w:val="00F427D8"/>
    <w:rsid w:val="00F506DE"/>
    <w:rsid w:val="00F52382"/>
    <w:rsid w:val="00F532B2"/>
    <w:rsid w:val="00F561B6"/>
    <w:rsid w:val="00F609C4"/>
    <w:rsid w:val="00F61387"/>
    <w:rsid w:val="00F63116"/>
    <w:rsid w:val="00F64BA0"/>
    <w:rsid w:val="00F70766"/>
    <w:rsid w:val="00F84A0B"/>
    <w:rsid w:val="00F90C52"/>
    <w:rsid w:val="00F92F36"/>
    <w:rsid w:val="00F93177"/>
    <w:rsid w:val="00F93198"/>
    <w:rsid w:val="00FA0B28"/>
    <w:rsid w:val="00FA3145"/>
    <w:rsid w:val="00FA5191"/>
    <w:rsid w:val="00FA6ED8"/>
    <w:rsid w:val="00FA72BA"/>
    <w:rsid w:val="00FB3CBC"/>
    <w:rsid w:val="00FB4162"/>
    <w:rsid w:val="00FB518B"/>
    <w:rsid w:val="00FB5B15"/>
    <w:rsid w:val="00FB6AA6"/>
    <w:rsid w:val="00FB6D0F"/>
    <w:rsid w:val="00FB7035"/>
    <w:rsid w:val="00FB70A1"/>
    <w:rsid w:val="00FB7E76"/>
    <w:rsid w:val="00FC1295"/>
    <w:rsid w:val="00FC171F"/>
    <w:rsid w:val="00FC3CB9"/>
    <w:rsid w:val="00FC420A"/>
    <w:rsid w:val="00FC51AE"/>
    <w:rsid w:val="00FD555E"/>
    <w:rsid w:val="00FD74BB"/>
    <w:rsid w:val="00FE2B72"/>
    <w:rsid w:val="00FE39F2"/>
    <w:rsid w:val="00FE6472"/>
    <w:rsid w:val="00FF09D2"/>
    <w:rsid w:val="00FF46F9"/>
    <w:rsid w:val="00FF48A4"/>
    <w:rsid w:val="048E0E9B"/>
    <w:rsid w:val="05454453"/>
    <w:rsid w:val="0AAF6421"/>
    <w:rsid w:val="0F7D91B5"/>
    <w:rsid w:val="17AA4BD8"/>
    <w:rsid w:val="1E56076C"/>
    <w:rsid w:val="205D4216"/>
    <w:rsid w:val="223F441B"/>
    <w:rsid w:val="25653ABA"/>
    <w:rsid w:val="29406605"/>
    <w:rsid w:val="331B2BCB"/>
    <w:rsid w:val="33A825F7"/>
    <w:rsid w:val="3BAF0372"/>
    <w:rsid w:val="494266F0"/>
    <w:rsid w:val="4D672EEA"/>
    <w:rsid w:val="4EBE13B2"/>
    <w:rsid w:val="50413DD0"/>
    <w:rsid w:val="5DDB1CA6"/>
    <w:rsid w:val="5EE23E63"/>
    <w:rsid w:val="60F514CF"/>
    <w:rsid w:val="6290165E"/>
    <w:rsid w:val="63F20391"/>
    <w:rsid w:val="670E5B40"/>
    <w:rsid w:val="68E20CF2"/>
    <w:rsid w:val="7427708A"/>
    <w:rsid w:val="742F7BE8"/>
    <w:rsid w:val="7BB9CB8F"/>
    <w:rsid w:val="DFFB7170"/>
    <w:rsid w:val="F8EBEAA8"/>
    <w:rsid w:val="FFA65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rFonts w:eastAsia="宋体"/>
      <w:b/>
      <w:bCs/>
      <w:kern w:val="44"/>
      <w:sz w:val="2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index 3"/>
    <w:basedOn w:val="1"/>
    <w:next w:val="1"/>
    <w:autoRedefine/>
    <w:qFormat/>
    <w:uiPriority w:val="0"/>
    <w:pPr>
      <w:ind w:left="630" w:hanging="210"/>
      <w:jc w:val="left"/>
    </w:pPr>
    <w:rPr>
      <w:rFonts w:ascii="Calibri" w:hAnsi="Calibri" w:eastAsia="宋体" w:cs="Times New Roman"/>
      <w:sz w:val="20"/>
      <w:szCs w:val="20"/>
    </w:rPr>
  </w:style>
  <w:style w:type="paragraph" w:styleId="7">
    <w:name w:val="Balloon Text"/>
    <w:basedOn w:val="1"/>
    <w:link w:val="31"/>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cs="Times New Roman"/>
      <w:kern w:val="0"/>
      <w:sz w:val="22"/>
    </w:rPr>
  </w:style>
  <w:style w:type="paragraph" w:styleId="11">
    <w:name w:val="toc 2"/>
    <w:basedOn w:val="1"/>
    <w:next w:val="1"/>
    <w:unhideWhenUsed/>
    <w:qFormat/>
    <w:uiPriority w:val="39"/>
    <w:pPr>
      <w:widowControl/>
      <w:spacing w:line="259" w:lineRule="auto"/>
      <w:ind w:left="420" w:leftChars="200"/>
      <w:jc w:val="left"/>
    </w:pPr>
    <w:rPr>
      <w:rFonts w:cs="Times New Roman"/>
      <w:kern w:val="0"/>
      <w:sz w:val="22"/>
    </w:rPr>
  </w:style>
  <w:style w:type="paragraph" w:styleId="12">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annotation subject"/>
    <w:basedOn w:val="4"/>
    <w:next w:val="4"/>
    <w:link w:val="30"/>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iCs/>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unhideWhenUsed/>
    <w:qFormat/>
    <w:uiPriority w:val="99"/>
    <w:rPr>
      <w:sz w:val="21"/>
      <w:szCs w:val="21"/>
    </w:rPr>
  </w:style>
  <w:style w:type="paragraph" w:customStyle="1" w:styleId="20">
    <w:name w:val="列出段落1"/>
    <w:basedOn w:val="1"/>
    <w:link w:val="24"/>
    <w:qFormat/>
    <w:uiPriority w:val="34"/>
    <w:pPr>
      <w:ind w:firstLine="420" w:firstLineChars="200"/>
    </w:pPr>
  </w:style>
  <w:style w:type="character" w:customStyle="1" w:styleId="21">
    <w:name w:val="页眉 字符"/>
    <w:basedOn w:val="16"/>
    <w:link w:val="9"/>
    <w:qFormat/>
    <w:uiPriority w:val="99"/>
    <w:rPr>
      <w:sz w:val="18"/>
      <w:szCs w:val="18"/>
    </w:rPr>
  </w:style>
  <w:style w:type="character" w:customStyle="1" w:styleId="22">
    <w:name w:val="页脚 字符"/>
    <w:basedOn w:val="16"/>
    <w:link w:val="8"/>
    <w:qFormat/>
    <w:uiPriority w:val="99"/>
    <w:rPr>
      <w:sz w:val="18"/>
      <w:szCs w:val="18"/>
    </w:rPr>
  </w:style>
  <w:style w:type="paragraph" w:customStyle="1" w:styleId="23">
    <w:name w:val="EndNote Bibliography Title"/>
    <w:basedOn w:val="1"/>
    <w:link w:val="25"/>
    <w:qFormat/>
    <w:uiPriority w:val="0"/>
    <w:pPr>
      <w:jc w:val="center"/>
    </w:pPr>
    <w:rPr>
      <w:rFonts w:ascii="等线" w:hAnsi="等线" w:eastAsia="等线"/>
      <w:sz w:val="20"/>
    </w:rPr>
  </w:style>
  <w:style w:type="character" w:customStyle="1" w:styleId="24">
    <w:name w:val="列出段落 Char"/>
    <w:basedOn w:val="16"/>
    <w:link w:val="20"/>
    <w:qFormat/>
    <w:uiPriority w:val="34"/>
  </w:style>
  <w:style w:type="character" w:customStyle="1" w:styleId="25">
    <w:name w:val="EndNote Bibliography Title 字符"/>
    <w:basedOn w:val="24"/>
    <w:link w:val="23"/>
    <w:qFormat/>
    <w:uiPriority w:val="0"/>
    <w:rPr>
      <w:rFonts w:ascii="等线" w:hAnsi="等线" w:eastAsia="等线"/>
      <w:sz w:val="20"/>
    </w:rPr>
  </w:style>
  <w:style w:type="paragraph" w:customStyle="1" w:styleId="26">
    <w:name w:val="EndNote Bibliography"/>
    <w:basedOn w:val="1"/>
    <w:link w:val="27"/>
    <w:qFormat/>
    <w:uiPriority w:val="0"/>
    <w:rPr>
      <w:rFonts w:ascii="等线" w:hAnsi="等线" w:eastAsia="等线"/>
      <w:sz w:val="20"/>
    </w:rPr>
  </w:style>
  <w:style w:type="character" w:customStyle="1" w:styleId="27">
    <w:name w:val="EndNote Bibliography 字符"/>
    <w:basedOn w:val="24"/>
    <w:link w:val="26"/>
    <w:qFormat/>
    <w:uiPriority w:val="0"/>
    <w:rPr>
      <w:rFonts w:ascii="等线" w:hAnsi="等线" w:eastAsia="等线"/>
      <w:sz w:val="20"/>
    </w:rPr>
  </w:style>
  <w:style w:type="character" w:customStyle="1" w:styleId="28">
    <w:name w:val="未处理的提及1"/>
    <w:basedOn w:val="16"/>
    <w:unhideWhenUsed/>
    <w:qFormat/>
    <w:uiPriority w:val="99"/>
    <w:rPr>
      <w:color w:val="605E5C"/>
      <w:shd w:val="clear" w:color="auto" w:fill="E1DFDD"/>
    </w:rPr>
  </w:style>
  <w:style w:type="character" w:customStyle="1" w:styleId="29">
    <w:name w:val="批注文字 字符"/>
    <w:basedOn w:val="16"/>
    <w:link w:val="4"/>
    <w:semiHidden/>
    <w:qFormat/>
    <w:uiPriority w:val="99"/>
  </w:style>
  <w:style w:type="character" w:customStyle="1" w:styleId="30">
    <w:name w:val="批注主题 字符"/>
    <w:basedOn w:val="29"/>
    <w:link w:val="13"/>
    <w:semiHidden/>
    <w:qFormat/>
    <w:uiPriority w:val="99"/>
    <w:rPr>
      <w:b/>
      <w:bCs/>
    </w:rPr>
  </w:style>
  <w:style w:type="character" w:customStyle="1" w:styleId="31">
    <w:name w:val="批注框文本 字符"/>
    <w:basedOn w:val="16"/>
    <w:link w:val="7"/>
    <w:semiHidden/>
    <w:qFormat/>
    <w:uiPriority w:val="99"/>
    <w:rPr>
      <w:sz w:val="18"/>
      <w:szCs w:val="18"/>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6"/>
    <w:link w:val="12"/>
    <w:semiHidden/>
    <w:qFormat/>
    <w:uiPriority w:val="99"/>
    <w:rPr>
      <w:rFonts w:ascii="宋体" w:hAnsi="宋体" w:eastAsia="宋体" w:cs="宋体"/>
      <w:kern w:val="0"/>
      <w:sz w:val="24"/>
      <w:szCs w:val="24"/>
    </w:rPr>
  </w:style>
  <w:style w:type="character" w:customStyle="1" w:styleId="34">
    <w:name w:val="y2iqfc"/>
    <w:basedOn w:val="16"/>
    <w:qFormat/>
    <w:uiPriority w:val="0"/>
  </w:style>
  <w:style w:type="character" w:customStyle="1" w:styleId="35">
    <w:name w:val="inner-text-paragraph-org"/>
    <w:basedOn w:val="16"/>
    <w:qFormat/>
    <w:uiPriority w:val="0"/>
  </w:style>
  <w:style w:type="character" w:customStyle="1" w:styleId="36">
    <w:name w:val="未处理的提及2"/>
    <w:basedOn w:val="16"/>
    <w:unhideWhenUsed/>
    <w:qFormat/>
    <w:uiPriority w:val="99"/>
    <w:rPr>
      <w:color w:val="605E5C"/>
      <w:shd w:val="clear" w:color="auto" w:fill="E1DFDD"/>
    </w:rPr>
  </w:style>
  <w:style w:type="character" w:customStyle="1" w:styleId="37">
    <w:name w:val="列表段落 字符"/>
    <w:basedOn w:val="16"/>
    <w:qFormat/>
    <w:uiPriority w:val="34"/>
  </w:style>
  <w:style w:type="character" w:customStyle="1" w:styleId="38">
    <w:name w:val="标题 1 字符"/>
    <w:basedOn w:val="16"/>
    <w:link w:val="2"/>
    <w:qFormat/>
    <w:uiPriority w:val="9"/>
    <w:rPr>
      <w:rFonts w:eastAsia="宋体"/>
      <w:b/>
      <w:bCs/>
      <w:kern w:val="44"/>
      <w:sz w:val="24"/>
      <w:szCs w:val="44"/>
    </w:rPr>
  </w:style>
  <w:style w:type="paragraph" w:customStyle="1" w:styleId="3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4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2">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6">
    <w:name w:val="发布部门"/>
    <w:next w:val="4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qFormat/>
    <w:uiPriority w:val="0"/>
    <w:pPr>
      <w:framePr w:wrap="around" w:vAnchor="page" w:hAnchor="text" w:x="1419"/>
    </w:pPr>
  </w:style>
  <w:style w:type="paragraph" w:customStyle="1" w:styleId="4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1">
    <w:name w:val="终结线"/>
    <w:basedOn w:val="1"/>
    <w:qFormat/>
    <w:uiPriority w:val="0"/>
    <w:pPr>
      <w:framePr w:hSpace="181" w:vSpace="181" w:wrap="around" w:vAnchor="text" w:hAnchor="margin" w:xAlign="center" w:y="285"/>
    </w:p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styleId="55">
    <w:name w:val="List Paragraph"/>
    <w:basedOn w:val="1"/>
    <w:qFormat/>
    <w:uiPriority w:val="99"/>
    <w:pPr>
      <w:ind w:firstLine="420" w:firstLineChars="200"/>
    </w:pPr>
  </w:style>
  <w:style w:type="paragraph" w:customStyle="1" w:styleId="56">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5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8">
    <w:name w:val="章标题"/>
    <w:next w:val="4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59">
    <w:name w:val="一级条标题"/>
    <w:next w:val="4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60">
    <w:name w:val="二级条标题"/>
    <w:basedOn w:val="59"/>
    <w:next w:val="47"/>
    <w:qFormat/>
    <w:uiPriority w:val="0"/>
    <w:pPr>
      <w:numPr>
        <w:ilvl w:val="2"/>
      </w:numPr>
      <w:spacing w:before="50" w:after="50"/>
      <w:outlineLvl w:val="3"/>
    </w:pPr>
  </w:style>
  <w:style w:type="paragraph" w:customStyle="1" w:styleId="61">
    <w:name w:val="三级条标题"/>
    <w:basedOn w:val="60"/>
    <w:next w:val="47"/>
    <w:qFormat/>
    <w:uiPriority w:val="0"/>
    <w:pPr>
      <w:numPr>
        <w:ilvl w:val="3"/>
      </w:numPr>
      <w:outlineLvl w:val="4"/>
    </w:pPr>
  </w:style>
  <w:style w:type="paragraph" w:customStyle="1" w:styleId="62">
    <w:name w:val="四级条标题"/>
    <w:basedOn w:val="61"/>
    <w:next w:val="47"/>
    <w:qFormat/>
    <w:uiPriority w:val="0"/>
    <w:pPr>
      <w:numPr>
        <w:ilvl w:val="4"/>
      </w:numPr>
      <w:outlineLvl w:val="5"/>
    </w:pPr>
  </w:style>
  <w:style w:type="paragraph" w:customStyle="1" w:styleId="63">
    <w:name w:val="五级条标题"/>
    <w:basedOn w:val="62"/>
    <w:next w:val="47"/>
    <w:qFormat/>
    <w:uiPriority w:val="0"/>
    <w:pPr>
      <w:numPr>
        <w:ilvl w:val="5"/>
      </w:numPr>
      <w:outlineLvl w:val="6"/>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34B27-1F20-47C3-A992-3B828CD412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6157</Words>
  <Characters>7644</Characters>
  <Lines>64</Lines>
  <Paragraphs>18</Paragraphs>
  <TotalTime>0</TotalTime>
  <ScaleCrop>false</ScaleCrop>
  <LinksUpToDate>false</LinksUpToDate>
  <CharactersWithSpaces>8010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2025-11-17T08:06:00Z</dcterms:created>
  <dc:creator>Family</dc:creator>
  <cp:lastModifiedBy>J</cp:lastModifiedBy>
  <cp:lastPrinted>2021-10-18T22:33:00Z</cp:lastPrinted>
  <dcterms:modified xsi:type="dcterms:W3CDTF">2025-12-18T10:41:38Z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eyJoZGlkIjoiMTFmMDJjZGU0YzYzNjgxMjg1NzBlNDNlZWZkY2IyNjMiLCJ1c2VySWQiOiIxMzc2MzQzNjk3In0=</vt:lpwstr>
  </property>
  <property fmtid="{D5CDD505-2E9C-101B-9397-08002B2CF9AE}" pid="4" name="ICV">
    <vt:lpwstr>3F8F3011E34441A18BA8A260019AB212_12</vt:lpwstr>
  </property>
</Properties>
</file>