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0668C">
      <w:pPr>
        <w:pStyle w:val="34"/>
        <w:framePr w:wrap="around" w:vAnchor="page" w:hAnchor="page" w:x="1867" w:y="930"/>
        <w:pBdr>
          <w:top w:val="none" w:sz="0" w:space="0"/>
          <w:left w:val="none" w:sz="0" w:space="0"/>
          <w:bottom w:val="none" w:sz="0" w:space="0"/>
          <w:right w:val="none" w:sz="0" w:space="0"/>
        </w:pBdr>
      </w:pPr>
      <w:r>
        <w:rPr>
          <w:rFonts w:ascii="Times New Roman"/>
        </w:rPr>
        <w:t>ICS</w:t>
      </w:r>
      <w:r>
        <w:rPr>
          <w:rFonts w:hint="eastAsia" w:ascii="Times New Roman"/>
        </w:rPr>
        <w:t xml:space="preserve"> </w:t>
      </w:r>
      <w:r>
        <w:rPr>
          <w:rFonts w:ascii="Times New Roman"/>
        </w:rPr>
        <w:t>07.080</w:t>
      </w:r>
    </w:p>
    <w:p w14:paraId="465B0C22">
      <w:pPr>
        <w:pStyle w:val="34"/>
        <w:framePr w:wrap="around" w:vAnchor="page" w:hAnchor="page" w:x="1867" w:y="930"/>
        <w:pBdr>
          <w:top w:val="none" w:sz="0" w:space="0"/>
          <w:left w:val="none" w:sz="0" w:space="0"/>
          <w:bottom w:val="none" w:sz="0" w:space="0"/>
          <w:right w:val="none" w:sz="0" w:space="0"/>
        </w:pBdr>
        <w:rPr>
          <w:rFonts w:ascii="Times New Roman"/>
        </w:rPr>
      </w:pPr>
      <w:r>
        <w:rPr>
          <w:rFonts w:ascii="Times New Roman"/>
        </w:rPr>
        <w:t>A 40</w:t>
      </w:r>
    </w:p>
    <w:p w14:paraId="2DED572F">
      <w:pPr>
        <w:pStyle w:val="38"/>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1471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05366FF5">
            <w:pPr>
              <w:pStyle w:val="36"/>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lang w:val="en-US" w:eastAsia="zh-CN"/>
              </w:rPr>
              <w:t>XXX</w:t>
            </w:r>
            <w:r>
              <w:t>—</w:t>
            </w:r>
            <w:r>
              <w:rPr>
                <w:rFonts w:hint="eastAsia"/>
              </w:rPr>
              <w:t>2021</w:t>
            </w:r>
          </w:p>
        </w:tc>
      </w:tr>
    </w:tbl>
    <w:p w14:paraId="6B0EA2E3">
      <w:pPr>
        <w:pStyle w:val="36"/>
        <w:framePr w:wrap="around" w:x="1382" w:y="3031"/>
        <w:jc w:val="center"/>
      </w:pPr>
      <w:r>
        <w:rPr>
          <w:rFonts w:hint="eastAsia"/>
        </w:rPr>
        <w:t>————————————————————————————————————————</w:t>
      </w:r>
    </w:p>
    <w:p w14:paraId="2B8BCFFC">
      <w:pPr>
        <w:pStyle w:val="36"/>
        <w:framePr w:wrap="around" w:x="1382" w:y="3031"/>
      </w:pPr>
    </w:p>
    <w:p w14:paraId="2DB6B138">
      <w:pPr>
        <w:framePr w:w="9116" w:h="3482" w:hRule="exact" w:wrap="around" w:vAnchor="page" w:hAnchor="page" w:x="1327" w:y="6897" w:anchorLock="1"/>
        <w:jc w:val="left"/>
        <w:rPr>
          <w:rFonts w:hint="eastAsia" w:ascii="宋体" w:hAnsi="宋体" w:eastAsia="宋体"/>
          <w:color w:val="000000"/>
          <w:sz w:val="24"/>
        </w:rPr>
      </w:pPr>
      <w:bookmarkStart w:id="1" w:name="StdEnglishName"/>
    </w:p>
    <w:p w14:paraId="54B96D6F">
      <w:pPr>
        <w:pStyle w:val="35"/>
        <w:keepNext/>
        <w:keepLines/>
        <w:framePr w:w="9116" w:h="3482" w:hRule="exact" w:wrap="around" w:vAnchor="page" w:hAnchor="page" w:x="1327" w:y="6897" w:anchorLock="1"/>
        <w:ind w:firstLine="0"/>
        <w:jc w:val="center"/>
        <w:rPr>
          <w:rFonts w:hint="eastAsia" w:ascii="黑体" w:hAnsi="黑体" w:eastAsia="黑体" w:cs="黑体"/>
          <w:color w:val="000000"/>
          <w:sz w:val="52"/>
          <w:szCs w:val="52"/>
          <w:lang w:eastAsia="zh-CN"/>
        </w:rPr>
      </w:pPr>
      <w:r>
        <w:rPr>
          <w:rFonts w:hint="eastAsia" w:ascii="黑体" w:hAnsi="黑体" w:eastAsia="黑体" w:cs="黑体"/>
          <w:color w:val="000000"/>
          <w:sz w:val="52"/>
          <w:szCs w:val="52"/>
          <w:lang w:eastAsia="zh-CN"/>
        </w:rPr>
        <w:t>人间充质干细胞来源的小细胞外囊泡</w:t>
      </w:r>
    </w:p>
    <w:p w14:paraId="68A82F16">
      <w:pPr>
        <w:pStyle w:val="35"/>
        <w:keepNext/>
        <w:keepLines/>
        <w:framePr w:w="9116" w:h="3482" w:hRule="exact" w:wrap="around" w:vAnchor="page" w:hAnchor="page" w:x="1327" w:y="6897" w:anchorLock="1"/>
        <w:ind w:firstLine="0"/>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Human </w:t>
      </w:r>
      <w:r>
        <w:rPr>
          <w:rFonts w:hint="eastAsia" w:ascii="Times New Roman" w:hAnsi="Times New Roman" w:cs="Times New Roman"/>
          <w:color w:val="000000"/>
          <w:sz w:val="28"/>
          <w:szCs w:val="28"/>
          <w:lang w:val="en-US" w:eastAsia="zh-CN"/>
        </w:rPr>
        <w:t>mesenchymal</w:t>
      </w:r>
      <w:r>
        <w:rPr>
          <w:rFonts w:ascii="Times New Roman" w:hAnsi="Times New Roman" w:cs="Times New Roman"/>
          <w:color w:val="000000"/>
          <w:sz w:val="28"/>
          <w:szCs w:val="28"/>
          <w:lang w:val="en-US"/>
        </w:rPr>
        <w:t xml:space="preserve"> stem cell derived small extracellular vesicles</w:t>
      </w:r>
    </w:p>
    <w:p w14:paraId="17235130">
      <w:pPr>
        <w:pStyle w:val="35"/>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lang w:val="en-US" w:eastAsia="zh-CN"/>
        </w:rPr>
      </w:pPr>
      <w:r>
        <w:rPr>
          <w:rFonts w:hint="eastAsia" w:ascii="Times New Roman" w:hAnsi="Times New Roman" w:cs="Times New Roman"/>
          <w:b/>
          <w:bCs/>
          <w:color w:val="000000"/>
          <w:sz w:val="28"/>
          <w:szCs w:val="28"/>
          <w:lang w:val="en-US" w:eastAsia="zh-CN"/>
        </w:rPr>
        <w:t>（征求意见稿）</w:t>
      </w:r>
    </w:p>
    <w:p w14:paraId="40EE4B05">
      <w:pPr>
        <w:pStyle w:val="42"/>
        <w:framePr w:w="9331" w:wrap="around" w:hAnchor="page" w:x="1545" w:y="13948"/>
      </w:pPr>
      <w:r>
        <w:rPr>
          <w:rFonts w:hint="eastAsia" w:ascii="黑体" w:hAnsi="黑体"/>
        </w:rPr>
        <w:t>2025</w:t>
      </w:r>
      <w:r>
        <w:rPr>
          <w:rFonts w:ascii="黑体" w:hAnsi="黑体"/>
        </w:rPr>
        <w:t>-</w:t>
      </w:r>
      <w:r>
        <w:rPr>
          <w:rFonts w:hint="eastAsia" w:ascii="黑体" w:hAnsi="黑体"/>
          <w:lang w:val="en-US" w:eastAsia="zh-CN"/>
        </w:rPr>
        <w:t>XX</w:t>
      </w:r>
      <w:r>
        <w:rPr>
          <w:rFonts w:ascii="黑体" w:hAnsi="黑体"/>
        </w:rPr>
        <w:t>-</w:t>
      </w:r>
      <w:r>
        <w:rPr>
          <w:rFonts w:hint="eastAsia" w:ascii="黑体" w:hAnsi="黑体"/>
          <w:lang w:val="en-US" w:eastAsia="zh-CN"/>
        </w:rPr>
        <w:t>XX</w:t>
      </w:r>
      <w:r>
        <w:rPr>
          <w:rFonts w:hint="eastAsia"/>
        </w:rPr>
        <w:t xml:space="preserve">发布                                                                           </w:t>
      </w:r>
      <w:r>
        <w:rPr>
          <w:rFonts w:hint="eastAsia" w:ascii="黑体" w:hAnsi="黑体"/>
          <w:szCs w:val="22"/>
        </w:rPr>
        <w:t>2025-</w:t>
      </w:r>
      <w:r>
        <w:rPr>
          <w:rFonts w:hint="eastAsia" w:ascii="黑体" w:hAnsi="黑体"/>
          <w:szCs w:val="22"/>
          <w:lang w:val="en-US" w:eastAsia="zh-CN"/>
        </w:rPr>
        <w:t>XX</w:t>
      </w:r>
      <w:r>
        <w:rPr>
          <w:rFonts w:hint="eastAsia" w:ascii="黑体" w:hAnsi="黑体"/>
          <w:szCs w:val="22"/>
        </w:rPr>
        <w:t>-</w:t>
      </w:r>
      <w:r>
        <w:rPr>
          <w:rFonts w:hint="eastAsia" w:ascii="黑体" w:hAnsi="黑体"/>
          <w:szCs w:val="22"/>
          <w:lang w:val="en-US" w:eastAsia="zh-CN"/>
        </w:rPr>
        <w:t>XX</w:t>
      </w:r>
      <w:r>
        <w:rPr>
          <w:rFonts w:hint="eastAsia" w:ascii="黑体" w:hAnsi="黑体"/>
          <w:szCs w:val="22"/>
        </w:rPr>
        <w:t>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8956040</wp:posOffset>
                </wp:positionV>
                <wp:extent cx="6120130" cy="0"/>
                <wp:effectExtent l="0" t="0" r="0" b="0"/>
                <wp:wrapSquare wrapText="bothSides"/>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4F2dHX&#10;AAAADQEAAA8AAAAAAAAAAQAgAAAAIgAAAGRycy9kb3ducmV2LnhtbFBLAQIUABQAAAAIAIdO4kDY&#10;wSC+6AEAALgDAAAOAAAAAAAAAAEAIAAAACYBAABkcnMvZTJvRG9jLnhtbFBLBQYAAAAABgAGAFkB&#10;AACABQAAAAA=&#10;">
                <v:fill on="f" focussize="0,0"/>
                <v:stroke color="#000000" joinstyle="round"/>
                <v:imagedata o:title=""/>
                <o:lock v:ext="edit" aspectratio="f"/>
                <w10:wrap type="square"/>
                <w10:anchorlock/>
              </v:line>
            </w:pict>
          </mc:Fallback>
        </mc:AlternateContent>
      </w:r>
    </w:p>
    <w:p w14:paraId="10C0DB95">
      <w:pPr>
        <w:pStyle w:val="40"/>
        <w:framePr w:w="9416" w:wrap="around" w:x="1469" w:y="14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51B491A9">
      <w:pPr>
        <w:rPr>
          <w:rFonts w:hint="eastAsia" w:eastAsia="宋体"/>
        </w:rPr>
      </w:pPr>
      <w:r>
        <w:rPr>
          <w:rFonts w:hint="eastAsia" w:eastAsia="宋体"/>
          <w:highlight w:val="none"/>
        </w:rPr>
        <w:drawing>
          <wp:anchor distT="0" distB="0" distL="114300" distR="114300" simplePos="0" relativeHeight="251665408" behindDoc="0" locked="0" layoutInCell="1" allowOverlap="1">
            <wp:simplePos x="0" y="0"/>
            <wp:positionH relativeFrom="column">
              <wp:posOffset>4490085</wp:posOffset>
            </wp:positionH>
            <wp:positionV relativeFrom="paragraph">
              <wp:posOffset>-697230</wp:posOffset>
            </wp:positionV>
            <wp:extent cx="1076325" cy="1040130"/>
            <wp:effectExtent l="0" t="0" r="3175" b="1270"/>
            <wp:wrapNone/>
            <wp:docPr id="8" name="图片 8"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1744D285">
      <w:pPr>
        <w:spacing w:line="360" w:lineRule="auto"/>
        <w:jc w:val="center"/>
        <w:rPr>
          <w:rFonts w:hint="eastAsia" w:ascii="宋体" w:hAnsi="宋体" w:eastAsia="宋体" w:cs="Times New Roman"/>
          <w:bCs/>
          <w:sz w:val="24"/>
          <w:szCs w:val="24"/>
        </w:rPr>
      </w:pPr>
    </w:p>
    <w:p w14:paraId="464CEECA">
      <w:pPr>
        <w:spacing w:line="360" w:lineRule="auto"/>
        <w:jc w:val="center"/>
        <w:rPr>
          <w:rFonts w:hint="eastAsia" w:ascii="宋体" w:hAnsi="宋体" w:eastAsia="宋体" w:cs="Times New Roman"/>
          <w:bCs/>
          <w:sz w:val="24"/>
          <w:szCs w:val="24"/>
        </w:rPr>
      </w:pPr>
    </w:p>
    <w:p w14:paraId="10719740">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440" w:right="1800" w:bottom="1440" w:left="1800" w:header="851" w:footer="992" w:gutter="0"/>
          <w:pgNumType w:start="0"/>
          <w:cols w:space="425" w:num="1"/>
          <w:titlePg/>
          <w:docGrid w:type="lines" w:linePitch="312" w:charSpace="0"/>
        </w:sectPr>
      </w:pPr>
      <w:bookmarkStart w:id="24" w:name="_GoBack"/>
      <w:bookmarkEnd w:id="24"/>
    </w:p>
    <w:p w14:paraId="70C419E2">
      <w:pPr>
        <w:widowControl/>
        <w:jc w:val="center"/>
        <w:rPr>
          <w:rFonts w:hint="eastAsia" w:ascii="黑体" w:hAnsi="黑体" w:eastAsia="黑体" w:cs="黑体"/>
          <w:sz w:val="32"/>
          <w:szCs w:val="32"/>
        </w:rPr>
      </w:pPr>
      <w:r>
        <w:rPr>
          <w:rFonts w:hint="eastAsia" w:ascii="黑体" w:hAnsi="黑体" w:eastAsia="黑体" w:cs="黑体"/>
          <w:sz w:val="32"/>
          <w:szCs w:val="32"/>
        </w:rPr>
        <w:t>目  次</w:t>
      </w:r>
    </w:p>
    <w:p w14:paraId="2E21F6AD">
      <w:pPr>
        <w:widowControl/>
        <w:spacing w:line="360" w:lineRule="auto"/>
        <w:jc w:val="center"/>
        <w:rPr>
          <w:rFonts w:hint="eastAsia" w:ascii="黑体" w:hAnsi="黑体" w:eastAsia="黑体" w:cs="黑体"/>
          <w:sz w:val="32"/>
          <w:szCs w:val="32"/>
        </w:rPr>
      </w:pPr>
    </w:p>
    <w:sdt>
      <w:sdtPr>
        <w:rPr>
          <w:rFonts w:ascii="宋体" w:hAnsi="宋体" w:eastAsia="宋体" w:cs="Times New Roman"/>
          <w:kern w:val="0"/>
          <w:sz w:val="20"/>
          <w:szCs w:val="20"/>
        </w:rPr>
        <w:id w:val="-1719194252"/>
      </w:sdtPr>
      <w:sdtEndPr>
        <w:rPr>
          <w:rFonts w:hint="eastAsia" w:ascii="宋体" w:hAnsi="宋体" w:eastAsia="宋体" w:cs="宋体"/>
          <w:kern w:val="0"/>
          <w:sz w:val="21"/>
          <w:szCs w:val="21"/>
        </w:rPr>
      </w:sdtEndPr>
      <w:sdtContent>
        <w:p w14:paraId="5F63F4B7">
          <w:pPr>
            <w:jc w:val="center"/>
            <w:rPr>
              <w:rFonts w:hint="eastAsia"/>
            </w:rPr>
          </w:pPr>
          <w:bookmarkStart w:id="2" w:name="_Toc15502_WPSOffice_Type1"/>
        </w:p>
        <w:p w14:paraId="18AFF842">
          <w:pPr>
            <w:pStyle w:val="47"/>
            <w:tabs>
              <w:tab w:val="right" w:leader="dot" w:pos="8306"/>
            </w:tabs>
            <w:spacing w:line="320" w:lineRule="exact"/>
            <w:rPr>
              <w:rFonts w:hint="eastAsia" w:ascii="宋体" w:hAnsi="宋体" w:cs="宋体"/>
              <w:sz w:val="21"/>
              <w:szCs w:val="21"/>
            </w:rPr>
          </w:pPr>
          <w:r>
            <w:fldChar w:fldCharType="begin"/>
          </w:r>
          <w:r>
            <w:instrText xml:space="preserve"> HYPERLINK \l "_Toc20411_WPSOffice_Level1" </w:instrText>
          </w:r>
          <w:r>
            <w:fldChar w:fldCharType="separate"/>
          </w:r>
          <w:sdt>
            <w:sdtPr>
              <w:rPr>
                <w:rFonts w:hint="eastAsia" w:ascii="宋体" w:hAnsi="宋体" w:cs="宋体"/>
                <w:kern w:val="2"/>
                <w:sz w:val="21"/>
                <w:szCs w:val="21"/>
              </w:rPr>
              <w:id w:val="147457813"/>
            </w:sdtPr>
            <w:sdtEndPr>
              <w:rPr>
                <w:rFonts w:hint="eastAsia" w:ascii="宋体" w:hAnsi="宋体" w:cs="宋体"/>
                <w:kern w:val="2"/>
                <w:sz w:val="21"/>
                <w:szCs w:val="21"/>
              </w:rPr>
            </w:sdtEndPr>
            <w:sdtContent>
              <w:r>
                <w:rPr>
                  <w:rFonts w:hint="eastAsia" w:ascii="宋体" w:hAnsi="宋体" w:cs="宋体"/>
                  <w:sz w:val="21"/>
                  <w:szCs w:val="21"/>
                </w:rPr>
                <w:t>前  言</w:t>
              </w:r>
            </w:sdtContent>
          </w:sdt>
          <w:r>
            <w:rPr>
              <w:rFonts w:hint="eastAsia" w:ascii="宋体" w:hAnsi="宋体" w:cs="宋体"/>
              <w:sz w:val="21"/>
              <w:szCs w:val="21"/>
            </w:rPr>
            <w:tab/>
          </w:r>
          <w:r>
            <w:rPr>
              <w:rFonts w:hint="eastAsia" w:ascii="宋体" w:hAnsi="宋体" w:cs="宋体"/>
              <w:sz w:val="21"/>
              <w:szCs w:val="21"/>
            </w:rPr>
            <w:t>Ⅰ</w:t>
          </w:r>
          <w:r>
            <w:rPr>
              <w:rFonts w:hint="eastAsia" w:ascii="宋体" w:hAnsi="宋体" w:cs="宋体"/>
              <w:sz w:val="21"/>
              <w:szCs w:val="21"/>
            </w:rPr>
            <w:fldChar w:fldCharType="end"/>
          </w:r>
        </w:p>
        <w:p w14:paraId="31D3C568">
          <w:pPr>
            <w:pStyle w:val="47"/>
            <w:tabs>
              <w:tab w:val="right" w:leader="dot" w:pos="8306"/>
            </w:tabs>
            <w:spacing w:line="320" w:lineRule="exact"/>
            <w:rPr>
              <w:rFonts w:hint="eastAsia" w:ascii="宋体" w:hAnsi="宋体" w:cs="宋体"/>
              <w:sz w:val="21"/>
              <w:szCs w:val="21"/>
            </w:rPr>
          </w:pPr>
          <w:r>
            <w:fldChar w:fldCharType="begin"/>
          </w:r>
          <w:r>
            <w:instrText xml:space="preserve"> HYPERLINK \l "_Toc4220_WPSOffice_Level1" </w:instrText>
          </w:r>
          <w:r>
            <w:fldChar w:fldCharType="separate"/>
          </w:r>
          <w:sdt>
            <w:sdtPr>
              <w:rPr>
                <w:rFonts w:hint="eastAsia" w:ascii="宋体" w:hAnsi="宋体" w:cs="宋体"/>
                <w:kern w:val="2"/>
                <w:sz w:val="21"/>
                <w:szCs w:val="21"/>
              </w:rPr>
              <w:id w:val="1735425319"/>
            </w:sdtPr>
            <w:sdtEndPr>
              <w:rPr>
                <w:rFonts w:hint="eastAsia" w:ascii="宋体" w:hAnsi="宋体" w:cs="宋体"/>
                <w:kern w:val="2"/>
                <w:sz w:val="21"/>
                <w:szCs w:val="21"/>
              </w:rPr>
            </w:sdtEndPr>
            <w:sdtContent>
              <w:r>
                <w:rPr>
                  <w:rFonts w:hint="eastAsia" w:ascii="宋体" w:hAnsi="宋体" w:cs="宋体"/>
                  <w:sz w:val="21"/>
                  <w:szCs w:val="21"/>
                </w:rPr>
                <w:t>1 范围</w:t>
              </w:r>
            </w:sdtContent>
          </w:sdt>
          <w:r>
            <w:rPr>
              <w:rFonts w:hint="eastAsia" w:ascii="宋体" w:hAnsi="宋体" w:cs="宋体"/>
              <w:sz w:val="21"/>
              <w:szCs w:val="21"/>
            </w:rPr>
            <w:tab/>
          </w:r>
          <w:bookmarkStart w:id="3" w:name="_Toc4220_WPSOffice_Level1Page"/>
          <w:r>
            <w:rPr>
              <w:rFonts w:hint="eastAsia" w:ascii="宋体" w:hAnsi="宋体" w:cs="宋体"/>
              <w:sz w:val="21"/>
              <w:szCs w:val="21"/>
            </w:rPr>
            <w:t>1</w:t>
          </w:r>
          <w:bookmarkEnd w:id="3"/>
          <w:r>
            <w:rPr>
              <w:rFonts w:hint="eastAsia" w:ascii="宋体" w:hAnsi="宋体" w:cs="宋体"/>
              <w:sz w:val="21"/>
              <w:szCs w:val="21"/>
            </w:rPr>
            <w:fldChar w:fldCharType="end"/>
          </w:r>
        </w:p>
        <w:p w14:paraId="244900EC">
          <w:pPr>
            <w:pStyle w:val="47"/>
            <w:tabs>
              <w:tab w:val="right" w:leader="dot" w:pos="8306"/>
            </w:tabs>
            <w:spacing w:line="320" w:lineRule="exact"/>
            <w:rPr>
              <w:rFonts w:hint="eastAsia" w:ascii="宋体" w:hAnsi="宋体" w:cs="宋体"/>
              <w:sz w:val="21"/>
              <w:szCs w:val="21"/>
            </w:rPr>
          </w:pPr>
          <w:r>
            <w:fldChar w:fldCharType="begin"/>
          </w:r>
          <w:r>
            <w:instrText xml:space="preserve"> HYPERLINK \l "_Toc19022_WPSOffice_Level1" </w:instrText>
          </w:r>
          <w:r>
            <w:fldChar w:fldCharType="separate"/>
          </w:r>
          <w:sdt>
            <w:sdtPr>
              <w:rPr>
                <w:rFonts w:hint="eastAsia" w:ascii="宋体" w:hAnsi="宋体" w:cs="宋体"/>
                <w:kern w:val="2"/>
                <w:sz w:val="21"/>
                <w:szCs w:val="21"/>
              </w:rPr>
              <w:id w:val="61766177"/>
            </w:sdtPr>
            <w:sdtEndPr>
              <w:rPr>
                <w:rFonts w:hint="eastAsia" w:ascii="宋体" w:hAnsi="宋体" w:cs="宋体"/>
                <w:kern w:val="2"/>
                <w:sz w:val="21"/>
                <w:szCs w:val="21"/>
              </w:rPr>
            </w:sdtEndPr>
            <w:sdtContent>
              <w:r>
                <w:rPr>
                  <w:rFonts w:hint="eastAsia" w:ascii="宋体" w:hAnsi="宋体" w:cs="宋体"/>
                  <w:sz w:val="21"/>
                  <w:szCs w:val="21"/>
                </w:rPr>
                <w:t>2 规范性引用文件</w:t>
              </w:r>
            </w:sdtContent>
          </w:sdt>
          <w:r>
            <w:rPr>
              <w:rFonts w:hint="eastAsia" w:ascii="宋体" w:hAnsi="宋体" w:cs="宋体"/>
              <w:sz w:val="21"/>
              <w:szCs w:val="21"/>
            </w:rPr>
            <w:tab/>
          </w:r>
          <w:bookmarkStart w:id="4" w:name="_Toc19022_WPSOffice_Level1Page"/>
          <w:r>
            <w:rPr>
              <w:rFonts w:hint="eastAsia" w:ascii="宋体" w:hAnsi="宋体" w:cs="宋体"/>
              <w:sz w:val="21"/>
              <w:szCs w:val="21"/>
            </w:rPr>
            <w:t>1</w:t>
          </w:r>
          <w:bookmarkEnd w:id="4"/>
          <w:r>
            <w:rPr>
              <w:rFonts w:hint="eastAsia" w:ascii="宋体" w:hAnsi="宋体" w:cs="宋体"/>
              <w:sz w:val="21"/>
              <w:szCs w:val="21"/>
            </w:rPr>
            <w:fldChar w:fldCharType="end"/>
          </w:r>
        </w:p>
        <w:p w14:paraId="1FB524EB">
          <w:pPr>
            <w:pStyle w:val="47"/>
            <w:tabs>
              <w:tab w:val="right" w:leader="dot" w:pos="8306"/>
            </w:tabs>
            <w:spacing w:line="320" w:lineRule="exact"/>
          </w:pPr>
          <w:r>
            <w:fldChar w:fldCharType="begin"/>
          </w:r>
          <w:r>
            <w:instrText xml:space="preserve"> HYPERLINK \l "_Toc26994_WPSOffice_Level1" </w:instrText>
          </w:r>
          <w:r>
            <w:fldChar w:fldCharType="separate"/>
          </w:r>
          <w:sdt>
            <w:sdtPr>
              <w:rPr>
                <w:rFonts w:hint="eastAsia" w:ascii="宋体" w:hAnsi="宋体" w:cs="宋体"/>
                <w:kern w:val="2"/>
                <w:sz w:val="21"/>
                <w:szCs w:val="21"/>
              </w:rPr>
              <w:id w:val="-1433666984"/>
            </w:sdtPr>
            <w:sdtEndPr>
              <w:rPr>
                <w:rFonts w:hint="eastAsia" w:ascii="宋体" w:hAnsi="宋体" w:cs="宋体"/>
                <w:kern w:val="2"/>
                <w:sz w:val="21"/>
                <w:szCs w:val="21"/>
              </w:rPr>
            </w:sdtEndPr>
            <w:sdtContent>
              <w:r>
                <w:rPr>
                  <w:rFonts w:hint="eastAsia" w:ascii="宋体" w:hAnsi="宋体" w:cs="宋体"/>
                  <w:sz w:val="21"/>
                  <w:szCs w:val="21"/>
                </w:rPr>
                <w:t xml:space="preserve">3 </w:t>
              </w:r>
              <w:bookmarkStart w:id="5" w:name="OLE_LINK5"/>
              <w:r>
                <w:rPr>
                  <w:rFonts w:hint="eastAsia" w:ascii="宋体" w:hAnsi="宋体" w:cs="宋体"/>
                  <w:sz w:val="21"/>
                  <w:szCs w:val="21"/>
                </w:rPr>
                <w:t>术语和定义</w:t>
              </w:r>
              <w:bookmarkStart w:id="6" w:name="OLE_LINK1"/>
            </w:sdtContent>
          </w:sdt>
          <w:bookmarkEnd w:id="5"/>
          <w:r>
            <w:rPr>
              <w:rFonts w:hint="eastAsia" w:ascii="宋体" w:hAnsi="宋体" w:cs="宋体"/>
              <w:sz w:val="21"/>
              <w:szCs w:val="21"/>
            </w:rPr>
            <w:tab/>
          </w:r>
          <w:bookmarkEnd w:id="6"/>
          <w:bookmarkStart w:id="7" w:name="_Toc26994_WPSOffice_Level1Page"/>
          <w:r>
            <w:rPr>
              <w:rFonts w:hint="eastAsia" w:ascii="宋体" w:hAnsi="宋体" w:cs="宋体"/>
              <w:sz w:val="21"/>
              <w:szCs w:val="21"/>
            </w:rPr>
            <w:t>1</w:t>
          </w:r>
          <w:bookmarkEnd w:id="7"/>
          <w:r>
            <w:rPr>
              <w:rFonts w:hint="eastAsia" w:ascii="宋体" w:hAnsi="宋体" w:cs="宋体"/>
              <w:sz w:val="21"/>
              <w:szCs w:val="21"/>
            </w:rPr>
            <w:fldChar w:fldCharType="end"/>
          </w:r>
        </w:p>
        <w:p w14:paraId="03561448">
          <w:pPr>
            <w:pStyle w:val="47"/>
            <w:tabs>
              <w:tab w:val="right" w:leader="dot" w:pos="8306"/>
            </w:tabs>
            <w:spacing w:line="320" w:lineRule="exact"/>
          </w:pPr>
          <w:r>
            <w:fldChar w:fldCharType="begin"/>
          </w:r>
          <w:r>
            <w:instrText xml:space="preserve"> HYPERLINK \l "_Toc7657_WPSOffice_Level1" </w:instrText>
          </w:r>
          <w:r>
            <w:fldChar w:fldCharType="separate"/>
          </w:r>
          <w:sdt>
            <w:sdtPr>
              <w:rPr>
                <w:rFonts w:hint="eastAsia" w:ascii="宋体" w:hAnsi="宋体" w:cs="宋体"/>
                <w:kern w:val="2"/>
                <w:sz w:val="21"/>
                <w:szCs w:val="21"/>
              </w:rPr>
              <w:id w:val="1142464686"/>
            </w:sdtPr>
            <w:sdtEndPr>
              <w:rPr>
                <w:rFonts w:hint="eastAsia" w:ascii="宋体" w:hAnsi="宋体" w:cs="宋体"/>
                <w:kern w:val="2"/>
                <w:sz w:val="21"/>
                <w:szCs w:val="21"/>
              </w:rPr>
            </w:sdtEndPr>
            <w:sdtContent>
              <w:r>
                <w:rPr>
                  <w:rFonts w:hint="eastAsia" w:ascii="宋体" w:hAnsi="宋体" w:cs="宋体"/>
                  <w:sz w:val="21"/>
                  <w:szCs w:val="21"/>
                </w:rPr>
                <w:t>4 技术要求</w:t>
              </w:r>
            </w:sdtContent>
          </w:sdt>
          <w:r>
            <w:rPr>
              <w:rFonts w:hint="eastAsia" w:ascii="宋体" w:hAnsi="宋体" w:cs="宋体"/>
              <w:sz w:val="21"/>
              <w:szCs w:val="21"/>
            </w:rPr>
            <w:tab/>
          </w:r>
          <w:r>
            <w:rPr>
              <w:rFonts w:hint="eastAsia" w:ascii="宋体" w:hAnsi="宋体" w:cs="宋体"/>
              <w:sz w:val="21"/>
              <w:szCs w:val="21"/>
            </w:rPr>
            <w:t>1</w:t>
          </w:r>
          <w:r>
            <w:rPr>
              <w:rFonts w:hint="eastAsia" w:ascii="宋体" w:hAnsi="宋体" w:cs="宋体"/>
              <w:sz w:val="21"/>
              <w:szCs w:val="21"/>
            </w:rPr>
            <w:fldChar w:fldCharType="end"/>
          </w:r>
        </w:p>
        <w:p w14:paraId="1854B785">
          <w:pPr>
            <w:pStyle w:val="47"/>
            <w:tabs>
              <w:tab w:val="right" w:leader="dot" w:pos="8306"/>
            </w:tabs>
            <w:spacing w:line="320" w:lineRule="exact"/>
          </w:pPr>
          <w:r>
            <w:fldChar w:fldCharType="begin"/>
          </w:r>
          <w:r>
            <w:instrText xml:space="preserve"> HYPERLINK \l "_Toc9169_WPSOffice_Level1" </w:instrText>
          </w:r>
          <w:r>
            <w:fldChar w:fldCharType="separate"/>
          </w:r>
          <w:sdt>
            <w:sdtPr>
              <w:rPr>
                <w:rFonts w:hint="eastAsia" w:ascii="宋体" w:hAnsi="宋体" w:cs="宋体"/>
                <w:kern w:val="2"/>
                <w:sz w:val="21"/>
                <w:szCs w:val="21"/>
              </w:rPr>
              <w:id w:val="1971244014"/>
            </w:sdtPr>
            <w:sdtEndPr>
              <w:rPr>
                <w:rFonts w:hint="eastAsia" w:ascii="宋体" w:hAnsi="宋体" w:cs="宋体"/>
                <w:kern w:val="2"/>
                <w:sz w:val="21"/>
                <w:szCs w:val="21"/>
              </w:rPr>
            </w:sdtEndPr>
            <w:sdtContent>
              <w:r>
                <w:rPr>
                  <w:rFonts w:hint="eastAsia" w:ascii="宋体" w:hAnsi="宋体" w:cs="宋体"/>
                  <w:sz w:val="21"/>
                  <w:szCs w:val="21"/>
                </w:rPr>
                <w:t>5 检测方法</w:t>
              </w:r>
            </w:sdtContent>
          </w:sdt>
          <w:r>
            <w:rPr>
              <w:rFonts w:hint="eastAsia" w:ascii="宋体" w:hAnsi="宋体" w:cs="宋体"/>
              <w:sz w:val="21"/>
              <w:szCs w:val="21"/>
            </w:rPr>
            <w:tab/>
          </w:r>
          <w:bookmarkStart w:id="8" w:name="_Toc9169_WPSOffice_Level1Page"/>
          <w:r>
            <w:rPr>
              <w:rFonts w:hint="eastAsia" w:ascii="宋体" w:hAnsi="宋体" w:cs="宋体"/>
              <w:sz w:val="21"/>
              <w:szCs w:val="21"/>
            </w:rPr>
            <w:t>3</w:t>
          </w:r>
          <w:bookmarkEnd w:id="8"/>
          <w:r>
            <w:rPr>
              <w:rFonts w:hint="eastAsia" w:ascii="宋体" w:hAnsi="宋体" w:cs="宋体"/>
              <w:sz w:val="21"/>
              <w:szCs w:val="21"/>
            </w:rPr>
            <w:fldChar w:fldCharType="end"/>
          </w:r>
        </w:p>
        <w:p w14:paraId="051126FC">
          <w:pPr>
            <w:pStyle w:val="47"/>
            <w:tabs>
              <w:tab w:val="right" w:leader="dot" w:pos="8306"/>
            </w:tabs>
            <w:spacing w:line="320" w:lineRule="exact"/>
          </w:pPr>
          <w:r>
            <w:fldChar w:fldCharType="begin"/>
          </w:r>
          <w:r>
            <w:instrText xml:space="preserve"> HYPERLINK \l "_Toc23909_WPSOffice_Level1" </w:instrText>
          </w:r>
          <w:r>
            <w:fldChar w:fldCharType="separate"/>
          </w:r>
          <w:sdt>
            <w:sdtPr>
              <w:rPr>
                <w:rFonts w:hint="eastAsia" w:ascii="宋体" w:hAnsi="宋体" w:cs="宋体"/>
                <w:kern w:val="2"/>
                <w:sz w:val="21"/>
                <w:szCs w:val="21"/>
              </w:rPr>
              <w:id w:val="-569343643"/>
            </w:sdtPr>
            <w:sdtEndPr>
              <w:rPr>
                <w:rFonts w:hint="eastAsia" w:ascii="宋体" w:hAnsi="宋体" w:cs="宋体"/>
                <w:kern w:val="2"/>
                <w:sz w:val="21"/>
                <w:szCs w:val="21"/>
              </w:rPr>
            </w:sdtEndPr>
            <w:sdtContent>
              <w:r>
                <w:rPr>
                  <w:rFonts w:hint="eastAsia" w:ascii="宋体" w:hAnsi="宋体" w:cs="宋体"/>
                  <w:sz w:val="21"/>
                  <w:szCs w:val="21"/>
                </w:rPr>
                <w:t>6 检验规则</w:t>
              </w:r>
              <w:bookmarkStart w:id="9" w:name="OLE_LINK2"/>
            </w:sdtContent>
          </w:sdt>
          <w:r>
            <w:rPr>
              <w:rFonts w:hint="eastAsia" w:ascii="宋体" w:hAnsi="宋体" w:cs="宋体"/>
              <w:sz w:val="21"/>
              <w:szCs w:val="21"/>
            </w:rPr>
            <w:tab/>
          </w:r>
          <w:bookmarkStart w:id="10" w:name="_Toc23909_WPSOffice_Level1Page"/>
          <w:r>
            <w:rPr>
              <w:rFonts w:hint="eastAsia" w:ascii="宋体" w:hAnsi="宋体" w:cs="宋体"/>
              <w:sz w:val="21"/>
              <w:szCs w:val="21"/>
            </w:rPr>
            <w:t>4</w:t>
          </w:r>
          <w:bookmarkEnd w:id="9"/>
          <w:bookmarkEnd w:id="10"/>
          <w:r>
            <w:rPr>
              <w:rFonts w:hint="eastAsia" w:ascii="宋体" w:hAnsi="宋体" w:cs="宋体"/>
              <w:sz w:val="21"/>
              <w:szCs w:val="21"/>
            </w:rPr>
            <w:fldChar w:fldCharType="end"/>
          </w:r>
        </w:p>
        <w:p w14:paraId="7E1157D3">
          <w:pPr>
            <w:pStyle w:val="47"/>
            <w:tabs>
              <w:tab w:val="right" w:leader="dot" w:pos="8306"/>
            </w:tabs>
            <w:spacing w:line="320" w:lineRule="exact"/>
          </w:pPr>
          <w:r>
            <w:fldChar w:fldCharType="begin"/>
          </w:r>
          <w:r>
            <w:instrText xml:space="preserve"> HYPERLINK \l "_Toc28464_WPSOffice_Level1" </w:instrText>
          </w:r>
          <w:r>
            <w:fldChar w:fldCharType="separate"/>
          </w:r>
          <w:sdt>
            <w:sdtPr>
              <w:rPr>
                <w:rFonts w:hint="eastAsia" w:ascii="宋体" w:hAnsi="宋体" w:cs="宋体"/>
                <w:kern w:val="2"/>
                <w:sz w:val="21"/>
                <w:szCs w:val="21"/>
              </w:rPr>
              <w:id w:val="1349524806"/>
            </w:sdtPr>
            <w:sdtEndPr>
              <w:rPr>
                <w:rFonts w:hint="eastAsia" w:ascii="宋体" w:hAnsi="宋体" w:cs="宋体"/>
                <w:kern w:val="2"/>
                <w:sz w:val="21"/>
                <w:szCs w:val="21"/>
              </w:rPr>
            </w:sdtEndPr>
            <w:sdtContent>
              <w:r>
                <w:rPr>
                  <w:rFonts w:hint="eastAsia" w:ascii="宋体" w:hAnsi="宋体" w:cs="宋体"/>
                  <w:sz w:val="21"/>
                  <w:szCs w:val="21"/>
                </w:rPr>
                <w:t>7 包装、使用说明、标签、储存及运输</w:t>
              </w:r>
            </w:sdtContent>
          </w:sdt>
          <w:bookmarkStart w:id="11" w:name="OLE_LINK3"/>
          <w:r>
            <w:rPr>
              <w:rFonts w:hint="eastAsia" w:ascii="宋体" w:hAnsi="宋体" w:cs="宋体"/>
              <w:sz w:val="21"/>
              <w:szCs w:val="21"/>
            </w:rPr>
            <w:tab/>
          </w:r>
          <w:bookmarkEnd w:id="11"/>
          <w:r>
            <w:rPr>
              <w:rFonts w:hint="eastAsia" w:ascii="宋体" w:hAnsi="宋体" w:cs="宋体"/>
              <w:sz w:val="21"/>
              <w:szCs w:val="21"/>
            </w:rPr>
            <w:t>4</w:t>
          </w:r>
          <w:r>
            <w:rPr>
              <w:rFonts w:hint="eastAsia" w:ascii="宋体" w:hAnsi="宋体" w:cs="宋体"/>
              <w:sz w:val="21"/>
              <w:szCs w:val="21"/>
            </w:rPr>
            <w:fldChar w:fldCharType="end"/>
          </w:r>
        </w:p>
        <w:p w14:paraId="7A634863">
          <w:pPr>
            <w:pStyle w:val="47"/>
            <w:tabs>
              <w:tab w:val="right" w:leader="dot" w:pos="8306"/>
            </w:tabs>
            <w:spacing w:line="320" w:lineRule="exact"/>
            <w:rPr>
              <w:rFonts w:hint="eastAsia" w:ascii="宋体" w:hAnsi="宋体" w:cs="宋体"/>
              <w:sz w:val="21"/>
              <w:szCs w:val="21"/>
            </w:rPr>
          </w:pPr>
          <w:r>
            <w:fldChar w:fldCharType="begin"/>
          </w:r>
          <w:r>
            <w:instrText xml:space="preserve"> HYPERLINK \l "_Toc23783_WPSOffice_Level1" </w:instrText>
          </w:r>
          <w:r>
            <w:fldChar w:fldCharType="separate"/>
          </w:r>
          <w:sdt>
            <w:sdtPr>
              <w:rPr>
                <w:rFonts w:hint="eastAsia" w:ascii="宋体" w:hAnsi="宋体" w:cs="宋体"/>
                <w:kern w:val="2"/>
                <w:sz w:val="21"/>
                <w:szCs w:val="21"/>
              </w:rPr>
              <w:id w:val="1697662176"/>
            </w:sdtPr>
            <w:sdtEndPr>
              <w:rPr>
                <w:rFonts w:hint="eastAsia" w:ascii="宋体" w:hAnsi="宋体" w:cs="宋体"/>
                <w:kern w:val="2"/>
                <w:sz w:val="21"/>
                <w:szCs w:val="21"/>
              </w:rPr>
            </w:sdtEndPr>
            <w:sdtContent>
              <w:r>
                <w:rPr>
                  <w:rFonts w:hint="eastAsia" w:ascii="宋体" w:hAnsi="宋体" w:cs="宋体"/>
                  <w:sz w:val="21"/>
                  <w:szCs w:val="21"/>
                </w:rPr>
                <w:t>8 废弃物处理</w:t>
              </w:r>
            </w:sdtContent>
          </w:sdt>
          <w:r>
            <w:rPr>
              <w:rFonts w:hint="eastAsia" w:ascii="宋体" w:hAnsi="宋体" w:cs="宋体"/>
              <w:sz w:val="21"/>
              <w:szCs w:val="21"/>
            </w:rPr>
            <w:tab/>
          </w:r>
          <w:bookmarkStart w:id="12" w:name="_Toc23783_WPSOffice_Level1Page"/>
          <w:r>
            <w:rPr>
              <w:rFonts w:hint="eastAsia" w:ascii="宋体" w:hAnsi="宋体" w:cs="宋体"/>
              <w:sz w:val="21"/>
              <w:szCs w:val="21"/>
            </w:rPr>
            <w:t>5</w:t>
          </w:r>
          <w:bookmarkEnd w:id="12"/>
          <w:r>
            <w:rPr>
              <w:rFonts w:hint="eastAsia" w:ascii="宋体" w:hAnsi="宋体" w:cs="宋体"/>
              <w:sz w:val="21"/>
              <w:szCs w:val="21"/>
            </w:rPr>
            <w:fldChar w:fldCharType="end"/>
          </w:r>
        </w:p>
        <w:p w14:paraId="4DDCFF37">
          <w:pPr>
            <w:pStyle w:val="47"/>
            <w:tabs>
              <w:tab w:val="right" w:leader="dot" w:pos="8306"/>
            </w:tabs>
            <w:spacing w:line="320" w:lineRule="exact"/>
            <w:rPr>
              <w:rFonts w:hint="eastAsia" w:ascii="宋体" w:hAnsi="宋体" w:cs="宋体"/>
              <w:sz w:val="21"/>
              <w:szCs w:val="21"/>
            </w:rPr>
          </w:pPr>
          <w:r>
            <w:fldChar w:fldCharType="begin"/>
          </w:r>
          <w:r>
            <w:instrText xml:space="preserve"> HYPERLINK \l "_Toc1476_WPSOffice_Level1" </w:instrText>
          </w:r>
          <w:r>
            <w:fldChar w:fldCharType="separate"/>
          </w:r>
          <w:sdt>
            <w:sdtPr>
              <w:rPr>
                <w:rFonts w:hint="eastAsia" w:ascii="宋体" w:hAnsi="宋体" w:cs="宋体"/>
                <w:kern w:val="2"/>
                <w:sz w:val="21"/>
                <w:szCs w:val="21"/>
              </w:rPr>
              <w:id w:val="701904070"/>
            </w:sdtPr>
            <w:sdtEndPr>
              <w:rPr>
                <w:rFonts w:hint="eastAsia" w:ascii="宋体" w:hAnsi="宋体" w:cs="宋体"/>
                <w:kern w:val="2"/>
                <w:sz w:val="21"/>
                <w:szCs w:val="21"/>
              </w:rPr>
            </w:sdtEndPr>
            <w:sdtContent>
              <w:r>
                <w:rPr>
                  <w:rFonts w:hint="eastAsia" w:ascii="宋体" w:hAnsi="宋体" w:cs="宋体"/>
                  <w:sz w:val="21"/>
                  <w:szCs w:val="21"/>
                </w:rPr>
                <w:t>附录A（规范性）小细胞外囊泡形态检测方法（透射电镜观察法）</w:t>
              </w:r>
            </w:sdtContent>
          </w:sdt>
          <w:r>
            <w:rPr>
              <w:rFonts w:hint="eastAsia" w:ascii="宋体" w:hAnsi="宋体" w:cs="宋体"/>
              <w:sz w:val="21"/>
              <w:szCs w:val="21"/>
            </w:rPr>
            <w:tab/>
          </w:r>
          <w:r>
            <w:rPr>
              <w:rFonts w:hint="eastAsia" w:ascii="宋体" w:hAnsi="宋体" w:cs="宋体"/>
              <w:sz w:val="21"/>
              <w:szCs w:val="21"/>
            </w:rPr>
            <w:t>6</w:t>
          </w:r>
          <w:r>
            <w:rPr>
              <w:rFonts w:hint="eastAsia" w:ascii="宋体" w:hAnsi="宋体" w:cs="宋体"/>
              <w:sz w:val="21"/>
              <w:szCs w:val="21"/>
            </w:rPr>
            <w:fldChar w:fldCharType="end"/>
          </w:r>
        </w:p>
        <w:p w14:paraId="3237C78F">
          <w:pPr>
            <w:pStyle w:val="47"/>
            <w:tabs>
              <w:tab w:val="right" w:leader="dot" w:pos="8306"/>
            </w:tabs>
            <w:spacing w:line="320" w:lineRule="exact"/>
            <w:rPr>
              <w:rFonts w:hint="eastAsia" w:ascii="宋体" w:hAnsi="宋体" w:cs="宋体"/>
              <w:sz w:val="21"/>
              <w:szCs w:val="21"/>
            </w:rPr>
          </w:pPr>
          <w:r>
            <w:fldChar w:fldCharType="begin"/>
          </w:r>
          <w:r>
            <w:instrText xml:space="preserve"> HYPERLINK \l "_Toc16442_WPSOffice_Level1" </w:instrText>
          </w:r>
          <w:r>
            <w:fldChar w:fldCharType="separate"/>
          </w:r>
          <w:sdt>
            <w:sdtPr>
              <w:rPr>
                <w:rFonts w:hint="eastAsia" w:ascii="宋体" w:hAnsi="宋体" w:cs="宋体"/>
                <w:kern w:val="2"/>
                <w:sz w:val="21"/>
                <w:szCs w:val="21"/>
              </w:rPr>
              <w:id w:val="-1533715760"/>
            </w:sdtPr>
            <w:sdtEndPr>
              <w:rPr>
                <w:rFonts w:hint="eastAsia" w:ascii="宋体" w:hAnsi="宋体" w:cs="宋体"/>
                <w:kern w:val="2"/>
                <w:sz w:val="21"/>
                <w:szCs w:val="21"/>
              </w:rPr>
            </w:sdtEndPr>
            <w:sdtContent>
              <w:r>
                <w:rPr>
                  <w:rFonts w:hint="eastAsia" w:ascii="宋体" w:hAnsi="宋体" w:cs="宋体"/>
                  <w:sz w:val="21"/>
                  <w:szCs w:val="21"/>
                </w:rPr>
                <w:t>附录B（规范性）小细胞外囊泡数量检测方法（纳米流式检测法)</w:t>
              </w:r>
            </w:sdtContent>
          </w:sdt>
          <w:r>
            <w:rPr>
              <w:rFonts w:hint="eastAsia" w:ascii="宋体" w:hAnsi="宋体" w:cs="宋体"/>
              <w:sz w:val="21"/>
              <w:szCs w:val="21"/>
            </w:rPr>
            <w:tab/>
          </w:r>
          <w:r>
            <w:rPr>
              <w:rFonts w:hint="eastAsia" w:ascii="宋体" w:hAnsi="宋体" w:cs="宋体"/>
              <w:sz w:val="21"/>
              <w:szCs w:val="21"/>
            </w:rPr>
            <w:t>7</w:t>
          </w:r>
          <w:r>
            <w:rPr>
              <w:rFonts w:hint="eastAsia" w:ascii="宋体" w:hAnsi="宋体" w:cs="宋体"/>
              <w:sz w:val="21"/>
              <w:szCs w:val="21"/>
            </w:rPr>
            <w:fldChar w:fldCharType="end"/>
          </w:r>
        </w:p>
        <w:p w14:paraId="20EF85FA">
          <w:pPr>
            <w:pStyle w:val="47"/>
            <w:tabs>
              <w:tab w:val="right" w:leader="dot" w:pos="8306"/>
            </w:tabs>
            <w:spacing w:line="320" w:lineRule="exact"/>
          </w:pPr>
          <w:r>
            <w:fldChar w:fldCharType="begin"/>
          </w:r>
          <w:r>
            <w:instrText xml:space="preserve"> HYPERLINK \l "_Toc7047_WPSOffice_Level1" </w:instrText>
          </w:r>
          <w:r>
            <w:fldChar w:fldCharType="separate"/>
          </w:r>
          <w:sdt>
            <w:sdtPr>
              <w:rPr>
                <w:rFonts w:hint="eastAsia" w:ascii="宋体" w:hAnsi="宋体" w:cs="宋体"/>
                <w:kern w:val="2"/>
                <w:sz w:val="21"/>
                <w:szCs w:val="21"/>
              </w:rPr>
              <w:id w:val="1709992198"/>
            </w:sdtPr>
            <w:sdtEndPr>
              <w:rPr>
                <w:rFonts w:hint="eastAsia" w:ascii="宋体" w:hAnsi="宋体" w:cs="宋体"/>
                <w:kern w:val="2"/>
                <w:sz w:val="21"/>
                <w:szCs w:val="21"/>
              </w:rPr>
            </w:sdtEndPr>
            <w:sdtContent>
              <w:r>
                <w:rPr>
                  <w:rFonts w:hint="eastAsia" w:ascii="宋体" w:hAnsi="宋体" w:cs="宋体"/>
                  <w:sz w:val="21"/>
                  <w:szCs w:val="21"/>
                </w:rPr>
                <w:t>附录C（规范性）小细胞外囊泡粒径检测方法（纳米流式检测法）</w:t>
              </w:r>
            </w:sdtContent>
          </w:sdt>
          <w:r>
            <w:rPr>
              <w:rFonts w:hint="eastAsia" w:ascii="宋体" w:hAnsi="宋体" w:cs="宋体"/>
              <w:sz w:val="21"/>
              <w:szCs w:val="21"/>
            </w:rPr>
            <w:tab/>
          </w:r>
          <w:r>
            <w:rPr>
              <w:rFonts w:hint="eastAsia" w:ascii="宋体" w:hAnsi="宋体" w:cs="宋体"/>
              <w:sz w:val="21"/>
              <w:szCs w:val="21"/>
            </w:rPr>
            <w:t>8</w:t>
          </w:r>
          <w:r>
            <w:rPr>
              <w:rFonts w:hint="eastAsia" w:ascii="宋体" w:hAnsi="宋体" w:cs="宋体"/>
              <w:sz w:val="21"/>
              <w:szCs w:val="21"/>
            </w:rPr>
            <w:fldChar w:fldCharType="end"/>
          </w:r>
        </w:p>
        <w:p w14:paraId="1FF3972C">
          <w:pPr>
            <w:pStyle w:val="47"/>
            <w:tabs>
              <w:tab w:val="right" w:leader="dot" w:pos="8306"/>
            </w:tabs>
            <w:spacing w:line="320" w:lineRule="exact"/>
            <w:rPr>
              <w:rFonts w:hint="eastAsia" w:ascii="宋体" w:hAnsi="宋体" w:cs="宋体"/>
              <w:sz w:val="21"/>
              <w:szCs w:val="21"/>
            </w:rPr>
          </w:pPr>
          <w:r>
            <w:fldChar w:fldCharType="begin"/>
          </w:r>
          <w:r>
            <w:instrText xml:space="preserve"> HYPERLINK \l "_Toc3266_WPSOffice_Level1" </w:instrText>
          </w:r>
          <w:r>
            <w:fldChar w:fldCharType="separate"/>
          </w:r>
          <w:sdt>
            <w:sdtPr>
              <w:rPr>
                <w:rFonts w:hint="eastAsia" w:ascii="宋体" w:hAnsi="宋体" w:cs="宋体"/>
                <w:kern w:val="2"/>
                <w:sz w:val="21"/>
                <w:szCs w:val="21"/>
              </w:rPr>
              <w:id w:val="1549180367"/>
            </w:sdtPr>
            <w:sdtEndPr>
              <w:rPr>
                <w:rFonts w:hint="eastAsia" w:ascii="宋体" w:hAnsi="宋体" w:cs="宋体"/>
                <w:kern w:val="2"/>
                <w:sz w:val="21"/>
                <w:szCs w:val="21"/>
              </w:rPr>
            </w:sdtEndPr>
            <w:sdtContent>
              <w:r>
                <w:rPr>
                  <w:rFonts w:hint="eastAsia" w:ascii="宋体" w:hAnsi="宋体" w:cs="宋体"/>
                  <w:sz w:val="21"/>
                  <w:szCs w:val="21"/>
                </w:rPr>
                <w:t>附录D（规范性）小细胞外囊泡蛋白检测方法（蛋白印迹法）</w:t>
              </w:r>
            </w:sdtContent>
          </w:sdt>
          <w:r>
            <w:rPr>
              <w:rFonts w:hint="eastAsia" w:ascii="宋体" w:hAnsi="宋体" w:cs="宋体"/>
              <w:sz w:val="21"/>
              <w:szCs w:val="21"/>
            </w:rPr>
            <w:tab/>
          </w:r>
          <w:r>
            <w:rPr>
              <w:rFonts w:hint="eastAsia" w:ascii="宋体" w:hAnsi="宋体" w:cs="宋体"/>
              <w:sz w:val="21"/>
              <w:szCs w:val="21"/>
            </w:rPr>
            <w:t>9</w:t>
          </w:r>
          <w:r>
            <w:rPr>
              <w:rFonts w:hint="eastAsia" w:ascii="宋体" w:hAnsi="宋体" w:cs="宋体"/>
              <w:sz w:val="21"/>
              <w:szCs w:val="21"/>
            </w:rPr>
            <w:fldChar w:fldCharType="end"/>
          </w:r>
        </w:p>
        <w:p w14:paraId="5EFB342C">
          <w:pPr>
            <w:pStyle w:val="47"/>
            <w:tabs>
              <w:tab w:val="right" w:leader="dot" w:pos="8306"/>
            </w:tabs>
            <w:spacing w:line="320" w:lineRule="exact"/>
            <w:rPr>
              <w:rFonts w:hint="eastAsia" w:ascii="宋体" w:hAnsi="宋体" w:cs="宋体"/>
              <w:sz w:val="21"/>
              <w:szCs w:val="21"/>
            </w:rPr>
          </w:pPr>
          <w:r>
            <w:fldChar w:fldCharType="begin"/>
          </w:r>
          <w:r>
            <w:instrText xml:space="preserve"> HYPERLINK \l "_Toc7047_WPSOffice_Level1" </w:instrText>
          </w:r>
          <w:r>
            <w:fldChar w:fldCharType="separate"/>
          </w:r>
          <w:sdt>
            <w:sdtPr>
              <w:rPr>
                <w:rFonts w:hint="eastAsia" w:ascii="宋体" w:hAnsi="宋体" w:cs="宋体"/>
                <w:kern w:val="2"/>
                <w:sz w:val="21"/>
                <w:szCs w:val="21"/>
              </w:rPr>
              <w:id w:val="-223215142"/>
            </w:sdtPr>
            <w:sdtEndPr>
              <w:rPr>
                <w:rFonts w:hint="eastAsia" w:ascii="宋体" w:hAnsi="宋体" w:cs="宋体"/>
                <w:kern w:val="2"/>
                <w:sz w:val="21"/>
                <w:szCs w:val="21"/>
              </w:rPr>
            </w:sdtEndPr>
            <w:sdtContent>
              <w:r>
                <w:rPr>
                  <w:rFonts w:hint="eastAsia" w:ascii="宋体" w:hAnsi="宋体" w:cs="宋体"/>
                  <w:sz w:val="21"/>
                  <w:szCs w:val="21"/>
                </w:rPr>
                <w:t>附录E（规范性）小细胞外囊泡表面标志物检测方法（纳米流式检测法）</w:t>
              </w:r>
            </w:sdtContent>
          </w:sdt>
          <w:r>
            <w:rPr>
              <w:rFonts w:hint="eastAsia" w:ascii="宋体" w:hAnsi="宋体" w:cs="宋体"/>
              <w:sz w:val="21"/>
              <w:szCs w:val="21"/>
            </w:rPr>
            <w:tab/>
          </w:r>
          <w:r>
            <w:rPr>
              <w:rFonts w:hint="eastAsia" w:ascii="宋体" w:hAnsi="宋体" w:cs="宋体"/>
              <w:sz w:val="21"/>
              <w:szCs w:val="21"/>
            </w:rPr>
            <w:t>10</w:t>
          </w:r>
          <w:r>
            <w:rPr>
              <w:rFonts w:hint="eastAsia" w:ascii="宋体" w:hAnsi="宋体" w:cs="宋体"/>
              <w:sz w:val="21"/>
              <w:szCs w:val="21"/>
            </w:rPr>
            <w:fldChar w:fldCharType="end"/>
          </w:r>
        </w:p>
        <w:p w14:paraId="660D56DF">
          <w:pPr>
            <w:pStyle w:val="47"/>
            <w:tabs>
              <w:tab w:val="right" w:leader="dot" w:pos="8306"/>
            </w:tabs>
            <w:spacing w:line="320" w:lineRule="exact"/>
            <w:rPr>
              <w:rFonts w:hint="eastAsia" w:ascii="宋体" w:hAnsi="宋体" w:cs="宋体"/>
              <w:sz w:val="21"/>
              <w:szCs w:val="21"/>
            </w:rPr>
          </w:pPr>
          <w:r>
            <w:fldChar w:fldCharType="begin"/>
          </w:r>
          <w:r>
            <w:instrText xml:space="preserve"> HYPERLINK \l "_Toc1561_WPSOffice_Level1" </w:instrText>
          </w:r>
          <w:r>
            <w:fldChar w:fldCharType="separate"/>
          </w:r>
          <w:sdt>
            <w:sdtPr>
              <w:rPr>
                <w:rFonts w:hint="eastAsia" w:ascii="宋体" w:hAnsi="宋体" w:cs="宋体"/>
                <w:kern w:val="2"/>
                <w:sz w:val="21"/>
                <w:szCs w:val="21"/>
              </w:rPr>
              <w:id w:val="2034916399"/>
            </w:sdtPr>
            <w:sdtEndPr>
              <w:rPr>
                <w:rFonts w:hint="eastAsia" w:ascii="宋体" w:hAnsi="宋体" w:cs="宋体"/>
                <w:kern w:val="2"/>
                <w:sz w:val="21"/>
                <w:szCs w:val="21"/>
              </w:rPr>
            </w:sdtEndPr>
            <w:sdtContent>
              <w:r>
                <w:rPr>
                  <w:rFonts w:hint="eastAsia" w:ascii="宋体" w:hAnsi="宋体" w:cs="宋体"/>
                  <w:sz w:val="21"/>
                  <w:szCs w:val="21"/>
                </w:rPr>
                <w:t>附录F（规范性）小细胞外囊泡数量与蛋白量比值计算方法</w:t>
              </w:r>
            </w:sdtContent>
          </w:sdt>
          <w:r>
            <w:rPr>
              <w:rFonts w:hint="eastAsia" w:ascii="宋体" w:hAnsi="宋体" w:cs="宋体"/>
              <w:sz w:val="21"/>
              <w:szCs w:val="21"/>
            </w:rPr>
            <w:tab/>
          </w:r>
          <w:bookmarkStart w:id="13" w:name="_Toc1561_WPSOffice_Level1Page"/>
          <w:r>
            <w:rPr>
              <w:rFonts w:hint="eastAsia" w:ascii="宋体" w:hAnsi="宋体" w:cs="宋体"/>
              <w:sz w:val="21"/>
              <w:szCs w:val="21"/>
            </w:rPr>
            <w:t>1</w:t>
          </w:r>
          <w:bookmarkEnd w:id="13"/>
          <w:r>
            <w:rPr>
              <w:rFonts w:hint="eastAsia" w:ascii="宋体" w:hAnsi="宋体" w:cs="宋体"/>
              <w:sz w:val="21"/>
              <w:szCs w:val="21"/>
            </w:rPr>
            <w:t>1</w:t>
          </w:r>
          <w:r>
            <w:rPr>
              <w:rFonts w:hint="eastAsia" w:ascii="宋体" w:hAnsi="宋体" w:cs="宋体"/>
              <w:sz w:val="21"/>
              <w:szCs w:val="21"/>
            </w:rPr>
            <w:fldChar w:fldCharType="end"/>
          </w:r>
        </w:p>
        <w:p w14:paraId="28CA8F84">
          <w:pPr>
            <w:pStyle w:val="47"/>
            <w:tabs>
              <w:tab w:val="right" w:leader="dot" w:pos="8306"/>
            </w:tabs>
            <w:spacing w:line="320" w:lineRule="exact"/>
            <w:rPr>
              <w:rFonts w:hint="eastAsia" w:ascii="宋体" w:hAnsi="宋体" w:cs="宋体"/>
              <w:sz w:val="21"/>
              <w:szCs w:val="21"/>
            </w:rPr>
          </w:pPr>
          <w:r>
            <w:fldChar w:fldCharType="begin"/>
          </w:r>
          <w:r>
            <w:instrText xml:space="preserve"> HYPERLINK \l "_Toc28590_WPSOffice_Level1" </w:instrText>
          </w:r>
          <w:r>
            <w:fldChar w:fldCharType="separate"/>
          </w:r>
          <w:sdt>
            <w:sdtPr>
              <w:rPr>
                <w:rFonts w:hint="eastAsia" w:ascii="宋体" w:hAnsi="宋体" w:cs="宋体"/>
                <w:kern w:val="2"/>
                <w:sz w:val="21"/>
                <w:szCs w:val="21"/>
              </w:rPr>
              <w:id w:val="1199519383"/>
            </w:sdtPr>
            <w:sdtEndPr>
              <w:rPr>
                <w:rFonts w:hint="eastAsia" w:ascii="宋体" w:hAnsi="宋体" w:cs="宋体"/>
                <w:kern w:val="2"/>
                <w:sz w:val="21"/>
                <w:szCs w:val="21"/>
              </w:rPr>
            </w:sdtEndPr>
            <w:sdtContent>
              <w:r>
                <w:rPr>
                  <w:rFonts w:hint="eastAsia" w:ascii="宋体" w:hAnsi="宋体" w:cs="宋体"/>
                  <w:sz w:val="21"/>
                  <w:szCs w:val="21"/>
                </w:rPr>
                <w:t>附录G（规范性）抑制淋巴细胞增殖检测方法（CFSE标记法）</w:t>
              </w:r>
            </w:sdtContent>
          </w:sdt>
          <w:r>
            <w:rPr>
              <w:rFonts w:hint="eastAsia" w:ascii="宋体" w:hAnsi="宋体" w:cs="宋体"/>
              <w:sz w:val="21"/>
              <w:szCs w:val="21"/>
            </w:rPr>
            <w:tab/>
          </w:r>
          <w:bookmarkStart w:id="14" w:name="_Toc28590_WPSOffice_Level1Page"/>
          <w:r>
            <w:rPr>
              <w:rFonts w:hint="eastAsia" w:ascii="宋体" w:hAnsi="宋体" w:cs="宋体"/>
              <w:sz w:val="21"/>
              <w:szCs w:val="21"/>
            </w:rPr>
            <w:t>1</w:t>
          </w:r>
          <w:bookmarkEnd w:id="14"/>
          <w:r>
            <w:rPr>
              <w:rFonts w:hint="eastAsia" w:ascii="宋体" w:hAnsi="宋体" w:cs="宋体"/>
              <w:sz w:val="21"/>
              <w:szCs w:val="21"/>
            </w:rPr>
            <w:t>2</w:t>
          </w:r>
          <w:r>
            <w:rPr>
              <w:rFonts w:hint="eastAsia" w:ascii="宋体" w:hAnsi="宋体" w:cs="宋体"/>
              <w:sz w:val="21"/>
              <w:szCs w:val="21"/>
            </w:rPr>
            <w:fldChar w:fldCharType="end"/>
          </w:r>
          <w:bookmarkEnd w:id="2"/>
        </w:p>
        <w:p w14:paraId="26ABC08E">
          <w:pPr>
            <w:pStyle w:val="47"/>
            <w:tabs>
              <w:tab w:val="right" w:leader="dot" w:pos="8306"/>
            </w:tabs>
            <w:spacing w:line="320" w:lineRule="exact"/>
            <w:rPr>
              <w:rFonts w:hint="eastAsia" w:ascii="宋体" w:hAnsi="宋体" w:cs="宋体"/>
              <w:sz w:val="21"/>
              <w:szCs w:val="21"/>
            </w:rPr>
          </w:pPr>
          <w:r>
            <w:fldChar w:fldCharType="begin"/>
          </w:r>
          <w:r>
            <w:instrText xml:space="preserve"> HYPERLINK \l "_Toc28590_WPSOffice_Level1" </w:instrText>
          </w:r>
          <w:r>
            <w:fldChar w:fldCharType="separate"/>
          </w:r>
          <w:sdt>
            <w:sdtPr>
              <w:rPr>
                <w:rFonts w:hint="eastAsia" w:ascii="宋体" w:hAnsi="宋体" w:cs="宋体"/>
                <w:kern w:val="2"/>
                <w:sz w:val="21"/>
                <w:szCs w:val="21"/>
              </w:rPr>
              <w:id w:val="428010731"/>
            </w:sdtPr>
            <w:sdtEndPr>
              <w:rPr>
                <w:rFonts w:hint="eastAsia" w:ascii="宋体" w:hAnsi="宋体" w:cs="宋体"/>
                <w:kern w:val="2"/>
                <w:sz w:val="21"/>
                <w:szCs w:val="21"/>
              </w:rPr>
            </w:sdtEndPr>
            <w:sdtContent>
              <w:r>
                <w:rPr>
                  <w:rFonts w:hint="eastAsia" w:ascii="宋体" w:hAnsi="宋体" w:cs="宋体"/>
                  <w:sz w:val="21"/>
                  <w:szCs w:val="21"/>
                </w:rPr>
                <w:t>附录H（规范性）抑制Th1功能检测方法（胞内因子染色法）</w:t>
              </w:r>
            </w:sdtContent>
          </w:sdt>
          <w:r>
            <w:rPr>
              <w:rFonts w:hint="eastAsia" w:ascii="宋体" w:hAnsi="宋体" w:cs="宋体"/>
              <w:sz w:val="21"/>
              <w:szCs w:val="21"/>
            </w:rPr>
            <w:tab/>
          </w:r>
          <w:r>
            <w:rPr>
              <w:rFonts w:hint="eastAsia" w:ascii="宋体" w:hAnsi="宋体" w:cs="宋体"/>
              <w:sz w:val="21"/>
              <w:szCs w:val="21"/>
            </w:rPr>
            <w:t>13</w:t>
          </w:r>
          <w:r>
            <w:rPr>
              <w:rFonts w:hint="eastAsia" w:ascii="宋体" w:hAnsi="宋体" w:cs="宋体"/>
              <w:sz w:val="21"/>
              <w:szCs w:val="21"/>
            </w:rPr>
            <w:fldChar w:fldCharType="end"/>
          </w:r>
        </w:p>
        <w:p w14:paraId="7DF08102">
          <w:pPr>
            <w:pStyle w:val="47"/>
            <w:tabs>
              <w:tab w:val="right" w:leader="dot" w:pos="8306"/>
            </w:tabs>
            <w:spacing w:line="320" w:lineRule="exact"/>
            <w:rPr>
              <w:rFonts w:hint="eastAsia" w:hAnsi="宋体" w:cs="宋体"/>
              <w:kern w:val="2"/>
              <w:sz w:val="21"/>
              <w:szCs w:val="21"/>
            </w:rPr>
          </w:pPr>
          <w:r>
            <w:rPr>
              <w:rFonts w:hint="eastAsia" w:ascii="宋体" w:hAnsi="宋体" w:cs="宋体"/>
              <w:sz w:val="21"/>
              <w:szCs w:val="21"/>
            </w:rPr>
            <w:t>参考文献</w:t>
          </w:r>
          <w:r>
            <w:rPr>
              <w:rFonts w:hint="eastAsia" w:ascii="宋体" w:hAnsi="宋体" w:cs="宋体"/>
              <w:sz w:val="21"/>
              <w:szCs w:val="21"/>
            </w:rPr>
            <w:tab/>
          </w:r>
          <w:r>
            <w:rPr>
              <w:rFonts w:hint="eastAsia" w:ascii="宋体" w:hAnsi="宋体" w:cs="宋体"/>
              <w:sz w:val="21"/>
              <w:szCs w:val="21"/>
            </w:rPr>
            <w:t>14</w:t>
          </w:r>
        </w:p>
      </w:sdtContent>
    </w:sdt>
    <w:p w14:paraId="02DA5F2D">
      <w:pPr>
        <w:widowControl/>
        <w:tabs>
          <w:tab w:val="right" w:leader="dot" w:pos="8190"/>
        </w:tabs>
        <w:jc w:val="left"/>
        <w:rPr>
          <w:rFonts w:hint="eastAsia" w:ascii="宋体" w:hAnsi="宋体" w:eastAsia="宋体" w:cs="Times New Roman"/>
          <w:szCs w:val="21"/>
        </w:rPr>
      </w:pPr>
    </w:p>
    <w:p w14:paraId="2CCD7AFB">
      <w:pPr>
        <w:widowControl/>
        <w:tabs>
          <w:tab w:val="right" w:leader="dot" w:pos="8190"/>
        </w:tabs>
        <w:jc w:val="left"/>
        <w:rPr>
          <w:rFonts w:hint="eastAsia" w:ascii="宋体" w:hAnsi="宋体" w:eastAsia="宋体" w:cs="Times New Roman"/>
          <w:szCs w:val="21"/>
        </w:rPr>
      </w:pPr>
    </w:p>
    <w:p w14:paraId="2C583E8B">
      <w:pPr>
        <w:widowControl/>
        <w:spacing w:line="360" w:lineRule="auto"/>
        <w:jc w:val="center"/>
        <w:rPr>
          <w:rFonts w:hint="eastAsia" w:ascii="宋体" w:hAnsi="宋体" w:eastAsia="宋体" w:cs="Times New Roman"/>
          <w:b/>
          <w:bCs/>
          <w:sz w:val="32"/>
          <w:szCs w:val="32"/>
        </w:rPr>
      </w:pPr>
    </w:p>
    <w:p w14:paraId="5064129E">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2A2B131D">
      <w:pPr>
        <w:pStyle w:val="6"/>
        <w:jc w:val="center"/>
        <w:rPr>
          <w:rFonts w:hint="eastAsia" w:ascii="黑体" w:hAnsi="黑体" w:eastAsia="黑体" w:cs="黑体"/>
          <w:sz w:val="32"/>
          <w:szCs w:val="32"/>
        </w:rPr>
      </w:pPr>
      <w:r>
        <w:rPr>
          <w:rFonts w:hint="eastAsia" w:ascii="黑体" w:hAnsi="黑体" w:eastAsia="黑体" w:cs="黑体"/>
          <w:sz w:val="32"/>
          <w:szCs w:val="32"/>
        </w:rPr>
        <w:t>前  言</w:t>
      </w:r>
    </w:p>
    <w:p w14:paraId="5188FF99">
      <w:pPr>
        <w:spacing w:line="360" w:lineRule="auto"/>
        <w:rPr>
          <w:rFonts w:hint="eastAsia" w:ascii="宋体" w:hAnsi="宋体" w:eastAsia="宋体" w:cs="Times New Roman"/>
          <w:sz w:val="24"/>
          <w:szCs w:val="24"/>
        </w:rPr>
      </w:pPr>
    </w:p>
    <w:p w14:paraId="0FC2760A">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32370EDD">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本文件由中国研究型医院学会细胞外囊泡研究与应用专业委员会提出。</w:t>
      </w:r>
    </w:p>
    <w:p w14:paraId="0541F4BA">
      <w:pPr>
        <w:ind w:firstLine="420" w:firstLineChars="200"/>
        <w:rPr>
          <w:rFonts w:hint="eastAsia" w:ascii="宋体" w:hAnsi="宋体" w:eastAsia="宋体" w:cs="Times New Roman"/>
          <w:szCs w:val="21"/>
        </w:rPr>
      </w:pPr>
      <w:r>
        <w:rPr>
          <w:rFonts w:hint="eastAsia" w:ascii="宋体" w:hAnsi="宋体" w:eastAsia="宋体" w:cs="Times New Roman"/>
          <w:szCs w:val="21"/>
        </w:rPr>
        <w:t>本文件由中国研究型医院学会归口。</w:t>
      </w:r>
    </w:p>
    <w:p w14:paraId="4E563F23">
      <w:pPr>
        <w:ind w:firstLine="420" w:firstLineChars="200"/>
        <w:rPr>
          <w:rFonts w:hint="eastAsia" w:ascii="宋体" w:hAnsi="宋体" w:eastAsia="宋体" w:cs="Times New Roman"/>
          <w:szCs w:val="21"/>
        </w:rPr>
      </w:pPr>
      <w:r>
        <w:rPr>
          <w:rFonts w:hint="eastAsia" w:ascii="宋体" w:hAnsi="宋体" w:eastAsia="宋体" w:cs="Times New Roman"/>
          <w:szCs w:val="21"/>
        </w:rPr>
        <w:t>本文件起草单位：。</w:t>
      </w:r>
    </w:p>
    <w:p w14:paraId="5DC10B10">
      <w:pPr>
        <w:ind w:firstLine="420" w:firstLineChars="200"/>
        <w:rPr>
          <w:rFonts w:hint="eastAsia" w:ascii="宋体" w:hAnsi="宋体" w:eastAsia="宋体" w:cs="Times New Roman"/>
          <w:szCs w:val="21"/>
        </w:rPr>
      </w:pPr>
      <w:r>
        <w:rPr>
          <w:rFonts w:hint="eastAsia" w:ascii="宋体" w:hAnsi="宋体" w:eastAsia="宋体" w:cs="Times New Roman"/>
          <w:szCs w:val="21"/>
        </w:rPr>
        <w:t>本文件主要起草人：。</w:t>
      </w:r>
    </w:p>
    <w:p w14:paraId="51D24D7D">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p>
    <w:p w14:paraId="0BF384BD">
      <w:pPr>
        <w:spacing w:line="360" w:lineRule="auto"/>
        <w:jc w:val="center"/>
        <w:rPr>
          <w:rFonts w:hint="eastAsia" w:ascii="宋体" w:hAnsi="宋体" w:eastAsia="宋体" w:cs="Times New Roman"/>
          <w:b/>
          <w:bCs/>
          <w:sz w:val="28"/>
          <w:szCs w:val="28"/>
        </w:rPr>
      </w:pPr>
      <w:r>
        <w:rPr>
          <w:rFonts w:hint="eastAsia" w:ascii="黑体" w:hAnsi="黑体" w:eastAsia="黑体" w:cs="黑体"/>
          <w:sz w:val="32"/>
          <w:szCs w:val="32"/>
        </w:rPr>
        <w:t>人间充质干细胞来源的小细胞外囊泡</w:t>
      </w:r>
    </w:p>
    <w:p w14:paraId="1837EF59">
      <w:pPr>
        <w:spacing w:line="360" w:lineRule="auto"/>
        <w:rPr>
          <w:rFonts w:hint="eastAsia" w:ascii="宋体" w:hAnsi="宋体" w:eastAsia="宋体" w:cs="Times New Roman"/>
          <w:sz w:val="24"/>
          <w:szCs w:val="24"/>
        </w:rPr>
      </w:pPr>
    </w:p>
    <w:p w14:paraId="34E5F503">
      <w:pPr>
        <w:pStyle w:val="6"/>
        <w:widowControl/>
        <w:numPr>
          <w:ilvl w:val="0"/>
          <w:numId w:val="1"/>
        </w:numPr>
        <w:spacing w:after="100" w:line="259" w:lineRule="auto"/>
        <w:jc w:val="left"/>
        <w:rPr>
          <w:rFonts w:hint="eastAsia" w:ascii="黑体" w:hAnsi="黑体" w:eastAsia="黑体" w:cs="黑体"/>
          <w:kern w:val="0"/>
          <w:szCs w:val="21"/>
        </w:rPr>
      </w:pPr>
      <w:r>
        <w:rPr>
          <w:rFonts w:hint="eastAsia" w:ascii="黑体" w:hAnsi="黑体" w:eastAsia="黑体" w:cs="黑体"/>
          <w:kern w:val="0"/>
          <w:szCs w:val="21"/>
        </w:rPr>
        <w:t>范围</w:t>
      </w:r>
    </w:p>
    <w:p w14:paraId="74F53919">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本文件规定了生产人间充质干细胞来源的小细胞外囊泡的技术要求、检测方法、检验规则、包装、使用说明、标签、储存及运输和废弃物处理要求。</w:t>
      </w:r>
    </w:p>
    <w:p w14:paraId="4F127523">
      <w:pPr>
        <w:spacing w:after="312" w:afterLines="100"/>
        <w:ind w:firstLine="420" w:firstLineChars="200"/>
        <w:rPr>
          <w:rFonts w:hint="eastAsia" w:ascii="宋体" w:hAnsi="宋体" w:eastAsia="宋体" w:cs="宋体"/>
          <w:bCs/>
          <w:szCs w:val="21"/>
        </w:rPr>
      </w:pPr>
      <w:r>
        <w:rPr>
          <w:rFonts w:hint="eastAsia" w:ascii="宋体" w:hAnsi="宋体" w:eastAsia="宋体" w:cs="宋体"/>
          <w:bCs/>
          <w:szCs w:val="21"/>
        </w:rPr>
        <w:t>本文件适用于人间充质干细胞来源的小细胞外囊泡的生产与检测。</w:t>
      </w:r>
    </w:p>
    <w:p w14:paraId="122498F5">
      <w:pPr>
        <w:pStyle w:val="6"/>
        <w:widowControl/>
        <w:numPr>
          <w:ilvl w:val="0"/>
          <w:numId w:val="1"/>
        </w:numPr>
        <w:spacing w:after="100" w:line="259" w:lineRule="auto"/>
        <w:jc w:val="left"/>
        <w:rPr>
          <w:rFonts w:hint="eastAsia" w:ascii="黑体" w:hAnsi="黑体" w:eastAsia="黑体" w:cs="黑体"/>
          <w:kern w:val="0"/>
          <w:szCs w:val="21"/>
        </w:rPr>
      </w:pPr>
      <w:r>
        <w:rPr>
          <w:rFonts w:hint="eastAsia" w:ascii="黑体" w:hAnsi="黑体" w:eastAsia="黑体" w:cs="黑体"/>
          <w:kern w:val="0"/>
          <w:szCs w:val="21"/>
        </w:rPr>
        <w:t>规范性引用文件</w:t>
      </w:r>
    </w:p>
    <w:p w14:paraId="210CAF4B">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下列文件中的内容通过文中的规范性引用而成为本文件必不可少的条款。其中，注日期的引用文件，仅该日期对应的版本适用于本文件；不注日期的引用文件，其最新版本（包括所有的修改单）适用于本文件。</w:t>
      </w:r>
    </w:p>
    <w:p w14:paraId="7EADA43D">
      <w:pPr>
        <w:ind w:firstLine="420" w:firstLineChars="200"/>
        <w:rPr>
          <w:rFonts w:hint="eastAsia" w:ascii="宋体" w:hAnsi="宋体" w:eastAsia="宋体" w:cs="宋体"/>
          <w:szCs w:val="21"/>
        </w:rPr>
      </w:pPr>
      <w:r>
        <w:rPr>
          <w:rFonts w:hint="eastAsia" w:ascii="宋体" w:hAnsi="宋体" w:eastAsia="宋体" w:cs="宋体"/>
          <w:szCs w:val="21"/>
        </w:rPr>
        <w:t>GB/T 6682  分析实验室用水规格和试验方法</w:t>
      </w:r>
    </w:p>
    <w:p w14:paraId="6682A9C0">
      <w:pPr>
        <w:ind w:firstLine="420" w:firstLineChars="200"/>
        <w:rPr>
          <w:rFonts w:hint="eastAsia" w:ascii="宋体" w:hAnsi="宋体" w:eastAsia="宋体" w:cs="宋体"/>
          <w:szCs w:val="21"/>
        </w:rPr>
      </w:pPr>
      <w:r>
        <w:rPr>
          <w:rFonts w:hint="eastAsia" w:ascii="宋体" w:hAnsi="宋体" w:eastAsia="宋体" w:cs="宋体"/>
          <w:szCs w:val="21"/>
        </w:rPr>
        <w:t>WS 213  丙型肝炎诊断</w:t>
      </w:r>
    </w:p>
    <w:p w14:paraId="3DB712AD">
      <w:pPr>
        <w:ind w:firstLine="420" w:firstLineChars="200"/>
        <w:rPr>
          <w:rFonts w:hint="eastAsia" w:ascii="宋体" w:hAnsi="宋体" w:eastAsia="宋体" w:cs="宋体"/>
          <w:szCs w:val="21"/>
        </w:rPr>
      </w:pPr>
      <w:r>
        <w:rPr>
          <w:rFonts w:hint="eastAsia" w:ascii="宋体" w:hAnsi="宋体" w:eastAsia="宋体" w:cs="宋体"/>
          <w:szCs w:val="21"/>
        </w:rPr>
        <w:t>WS 273  梅毒诊断</w:t>
      </w:r>
    </w:p>
    <w:p w14:paraId="33544E37">
      <w:pPr>
        <w:ind w:firstLine="420" w:firstLineChars="200"/>
        <w:rPr>
          <w:rFonts w:hint="eastAsia" w:ascii="宋体" w:hAnsi="宋体" w:eastAsia="宋体" w:cs="宋体"/>
          <w:szCs w:val="21"/>
        </w:rPr>
      </w:pPr>
      <w:r>
        <w:rPr>
          <w:rFonts w:hint="eastAsia" w:ascii="宋体" w:hAnsi="宋体" w:eastAsia="宋体" w:cs="宋体"/>
          <w:szCs w:val="21"/>
        </w:rPr>
        <w:t>WS 293  艾滋病和艾滋病病毒感染诊断标准</w:t>
      </w:r>
    </w:p>
    <w:p w14:paraId="444965E1">
      <w:pPr>
        <w:ind w:firstLine="420" w:firstLineChars="200"/>
        <w:rPr>
          <w:rFonts w:hint="eastAsia" w:ascii="宋体" w:hAnsi="宋体" w:eastAsia="宋体" w:cs="宋体"/>
          <w:szCs w:val="21"/>
        </w:rPr>
      </w:pPr>
      <w:r>
        <w:rPr>
          <w:rFonts w:hint="eastAsia" w:ascii="宋体" w:hAnsi="宋体" w:eastAsia="宋体" w:cs="宋体"/>
          <w:bCs/>
          <w:szCs w:val="21"/>
        </w:rPr>
        <w:t>WS 299  乙型病毒性肝炎诊断标准</w:t>
      </w:r>
    </w:p>
    <w:p w14:paraId="4ED630AB">
      <w:pPr>
        <w:ind w:firstLine="420" w:firstLineChars="200"/>
        <w:rPr>
          <w:rFonts w:hint="eastAsia" w:ascii="宋体" w:hAnsi="宋体" w:eastAsia="宋体" w:cs="宋体"/>
          <w:szCs w:val="21"/>
        </w:rPr>
      </w:pPr>
      <w:r>
        <w:rPr>
          <w:rFonts w:hint="eastAsia" w:ascii="宋体" w:hAnsi="宋体" w:eastAsia="宋体" w:cs="宋体"/>
          <w:szCs w:val="21"/>
        </w:rPr>
        <w:t>T/CSCB 0001  干细胞通用要求</w:t>
      </w:r>
    </w:p>
    <w:p w14:paraId="0A15F85A">
      <w:pPr>
        <w:ind w:firstLine="420" w:firstLineChars="200"/>
        <w:rPr>
          <w:rFonts w:hint="eastAsia" w:ascii="宋体" w:hAnsi="宋体" w:eastAsia="宋体" w:cs="宋体"/>
          <w:szCs w:val="21"/>
        </w:rPr>
      </w:pPr>
      <w:r>
        <w:rPr>
          <w:rFonts w:hint="eastAsia" w:ascii="宋体" w:hAnsi="宋体" w:eastAsia="宋体" w:cs="宋体"/>
          <w:szCs w:val="21"/>
        </w:rPr>
        <w:t>T/CSCB 0003  人间充质干细胞</w:t>
      </w:r>
    </w:p>
    <w:p w14:paraId="44134CA9">
      <w:pPr>
        <w:ind w:firstLine="420" w:firstLineChars="200"/>
        <w:rPr>
          <w:rFonts w:hint="eastAsia" w:ascii="宋体" w:hAnsi="宋体" w:eastAsia="宋体" w:cs="宋体"/>
          <w:bCs/>
          <w:szCs w:val="21"/>
        </w:rPr>
      </w:pPr>
      <w:r>
        <w:rPr>
          <w:rFonts w:hint="eastAsia" w:ascii="宋体" w:hAnsi="宋体" w:eastAsia="宋体" w:cs="宋体"/>
          <w:bCs/>
          <w:szCs w:val="21"/>
        </w:rPr>
        <w:t>药品生产质量管理规范</w:t>
      </w:r>
    </w:p>
    <w:p w14:paraId="3370B694">
      <w:pPr>
        <w:ind w:firstLine="420" w:firstLineChars="200"/>
        <w:rPr>
          <w:rFonts w:hint="eastAsia" w:ascii="宋体" w:hAnsi="宋体" w:eastAsia="宋体" w:cs="宋体"/>
          <w:bCs/>
          <w:szCs w:val="21"/>
        </w:rPr>
      </w:pPr>
      <w:r>
        <w:rPr>
          <w:rFonts w:hint="eastAsia" w:ascii="宋体" w:hAnsi="宋体" w:eastAsia="宋体" w:cs="宋体"/>
          <w:bCs/>
          <w:szCs w:val="21"/>
        </w:rPr>
        <w:t>中华人民共和国药典（三部）</w:t>
      </w:r>
    </w:p>
    <w:p w14:paraId="061914AD">
      <w:pPr>
        <w:spacing w:after="312" w:afterLines="100"/>
        <w:ind w:firstLine="420" w:firstLineChars="200"/>
        <w:rPr>
          <w:rFonts w:hint="eastAsia" w:ascii="宋体" w:hAnsi="宋体" w:eastAsia="宋体" w:cs="宋体"/>
          <w:bCs/>
          <w:szCs w:val="21"/>
        </w:rPr>
      </w:pPr>
      <w:r>
        <w:rPr>
          <w:rFonts w:hint="eastAsia" w:ascii="宋体" w:hAnsi="宋体" w:eastAsia="宋体" w:cs="宋体"/>
          <w:bCs/>
          <w:szCs w:val="21"/>
        </w:rPr>
        <w:t>全国临床检验操作规程</w:t>
      </w:r>
    </w:p>
    <w:p w14:paraId="6FBBD161">
      <w:pPr>
        <w:pStyle w:val="6"/>
        <w:widowControl/>
        <w:numPr>
          <w:ilvl w:val="0"/>
          <w:numId w:val="1"/>
        </w:numPr>
        <w:spacing w:after="100" w:line="259" w:lineRule="auto"/>
        <w:jc w:val="left"/>
        <w:rPr>
          <w:rFonts w:hint="eastAsia" w:ascii="黑体" w:hAnsi="黑体" w:eastAsia="黑体" w:cs="黑体"/>
          <w:kern w:val="0"/>
          <w:szCs w:val="21"/>
        </w:rPr>
      </w:pPr>
      <w:r>
        <w:rPr>
          <w:rFonts w:hint="eastAsia" w:ascii="黑体" w:hAnsi="黑体" w:eastAsia="黑体" w:cs="黑体"/>
          <w:kern w:val="0"/>
          <w:szCs w:val="21"/>
        </w:rPr>
        <w:t>术语和定义</w:t>
      </w:r>
    </w:p>
    <w:p w14:paraId="5C97A60A">
      <w:pPr>
        <w:spacing w:before="156" w:beforeLines="50" w:after="156" w:afterLines="50"/>
        <w:ind w:firstLine="420" w:firstLineChars="200"/>
        <w:rPr>
          <w:rFonts w:hint="eastAsia" w:ascii="宋体" w:hAnsi="宋体" w:eastAsia="宋体" w:cs="宋体"/>
          <w:bCs/>
          <w:szCs w:val="21"/>
        </w:rPr>
      </w:pPr>
      <w:r>
        <w:rPr>
          <w:rFonts w:hint="eastAsia" w:ascii="宋体" w:hAnsi="宋体" w:eastAsia="宋体" w:cs="宋体"/>
          <w:bCs/>
          <w:szCs w:val="21"/>
        </w:rPr>
        <w:t>下列术语及定义适用于本文件。</w:t>
      </w:r>
    </w:p>
    <w:p w14:paraId="40C9AE97">
      <w:pPr>
        <w:pStyle w:val="16"/>
        <w:numPr>
          <w:ilvl w:val="1"/>
          <w:numId w:val="1"/>
        </w:numPr>
        <w:ind w:firstLineChars="0"/>
        <w:rPr>
          <w:rFonts w:hint="eastAsia" w:ascii="黑体" w:hAnsi="黑体" w:eastAsia="黑体" w:cs="黑体"/>
          <w:kern w:val="0"/>
          <w:szCs w:val="21"/>
        </w:rPr>
      </w:pPr>
      <w:r>
        <w:rPr>
          <w:rFonts w:hint="eastAsia" w:ascii="黑体" w:hAnsi="黑体" w:eastAsia="黑体" w:cs="黑体"/>
          <w:kern w:val="0"/>
          <w:szCs w:val="21"/>
        </w:rPr>
        <w:t>人间充质干细胞 human mesenchymal stem cell</w:t>
      </w:r>
    </w:p>
    <w:p w14:paraId="143BB259">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一类贴壁培养后呈成纤维细胞样形态（纺锤形和梭形）、可在体外自我更新并具有成骨、成脂、成软骨等分化能力的干细胞。</w:t>
      </w:r>
    </w:p>
    <w:p w14:paraId="5135AB7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注：人间充质干细胞可由多种人体组织（如骨髓、脐带、胎盘、脂肪、脐带血等）分离得到，也可以通过分化或转分化等方式获得；不同来源的人间充质干细胞在基因表达和分化能力方面存在差异。</w:t>
      </w:r>
    </w:p>
    <w:p w14:paraId="1300CC3B">
      <w:pPr>
        <w:pStyle w:val="16"/>
        <w:numPr>
          <w:ilvl w:val="1"/>
          <w:numId w:val="1"/>
        </w:numPr>
        <w:ind w:firstLineChars="0"/>
        <w:rPr>
          <w:rFonts w:hint="eastAsia" w:ascii="黑体" w:hAnsi="黑体" w:eastAsia="黑体" w:cs="黑体"/>
          <w:kern w:val="0"/>
          <w:szCs w:val="21"/>
        </w:rPr>
      </w:pPr>
      <w:r>
        <w:rPr>
          <w:rFonts w:hint="eastAsia" w:ascii="黑体" w:hAnsi="黑体" w:eastAsia="黑体" w:cs="黑体"/>
          <w:kern w:val="0"/>
          <w:szCs w:val="21"/>
        </w:rPr>
        <w:t>小细胞外囊泡 small extracellular vesicles</w:t>
      </w:r>
    </w:p>
    <w:p w14:paraId="20A7A38A">
      <w:pPr>
        <w:spacing w:before="156" w:beforeLines="50" w:after="156" w:afterLines="50"/>
        <w:ind w:firstLine="420" w:firstLineChars="200"/>
        <w:rPr>
          <w:rFonts w:hint="eastAsia" w:ascii="宋体" w:hAnsi="宋体" w:eastAsia="宋体" w:cs="宋体"/>
          <w:bCs/>
          <w:szCs w:val="21"/>
        </w:rPr>
      </w:pPr>
      <w:r>
        <w:rPr>
          <w:rFonts w:hint="eastAsia" w:ascii="宋体" w:hAnsi="宋体" w:eastAsia="宋体" w:cs="宋体"/>
          <w:bCs/>
          <w:szCs w:val="21"/>
        </w:rPr>
        <w:t>由细胞主动分泌的具有脂质双分子层膜结构的直径小于2</w:t>
      </w:r>
      <w:r>
        <w:rPr>
          <w:rFonts w:ascii="宋体" w:hAnsi="宋体" w:eastAsia="宋体" w:cs="宋体"/>
          <w:bCs/>
          <w:szCs w:val="21"/>
        </w:rPr>
        <w:t>00</w:t>
      </w:r>
      <w:r>
        <w:rPr>
          <w:rFonts w:hint="eastAsia" w:ascii="宋体" w:hAnsi="宋体" w:eastAsia="宋体" w:cs="宋体"/>
          <w:bCs/>
          <w:szCs w:val="21"/>
        </w:rPr>
        <w:t>nm的微小囊泡。</w:t>
      </w:r>
    </w:p>
    <w:p w14:paraId="5B1CD772">
      <w:pPr>
        <w:pStyle w:val="6"/>
        <w:widowControl/>
        <w:numPr>
          <w:ilvl w:val="0"/>
          <w:numId w:val="1"/>
        </w:numPr>
        <w:spacing w:after="100" w:line="259" w:lineRule="auto"/>
        <w:jc w:val="left"/>
        <w:rPr>
          <w:rFonts w:hint="eastAsia" w:ascii="黑体" w:hAnsi="黑体" w:eastAsia="黑体" w:cs="黑体"/>
          <w:kern w:val="0"/>
          <w:szCs w:val="21"/>
        </w:rPr>
      </w:pPr>
      <w:r>
        <w:rPr>
          <w:rFonts w:hint="eastAsia" w:ascii="黑体" w:hAnsi="黑体" w:eastAsia="黑体" w:cs="黑体"/>
          <w:kern w:val="0"/>
          <w:szCs w:val="21"/>
        </w:rPr>
        <w:t>技术要求</w:t>
      </w:r>
    </w:p>
    <w:p w14:paraId="28CF82EE">
      <w:pPr>
        <w:pStyle w:val="16"/>
        <w:numPr>
          <w:ilvl w:val="1"/>
          <w:numId w:val="1"/>
        </w:numPr>
        <w:spacing w:before="312" w:beforeLines="100"/>
        <w:ind w:firstLineChars="0"/>
        <w:rPr>
          <w:rFonts w:hint="eastAsia" w:ascii="黑体" w:hAnsi="黑体" w:eastAsia="黑体" w:cs="黑体"/>
          <w:kern w:val="0"/>
          <w:szCs w:val="21"/>
        </w:rPr>
      </w:pPr>
      <w:r>
        <w:rPr>
          <w:rFonts w:hint="eastAsia" w:ascii="黑体" w:hAnsi="黑体" w:eastAsia="黑体" w:cs="黑体"/>
          <w:kern w:val="0"/>
          <w:szCs w:val="21"/>
        </w:rPr>
        <w:t>生产要求</w:t>
      </w:r>
    </w:p>
    <w:p w14:paraId="3BDEBC0D">
      <w:pPr>
        <w:pStyle w:val="16"/>
        <w:numPr>
          <w:ilvl w:val="2"/>
          <w:numId w:val="1"/>
        </w:numPr>
        <w:spacing w:before="156" w:beforeLines="50" w:after="156" w:afterLines="50"/>
        <w:ind w:firstLineChars="0"/>
        <w:rPr>
          <w:rFonts w:hint="eastAsia" w:ascii="黑体" w:hAnsi="黑体" w:eastAsia="黑体" w:cs="黑体"/>
          <w:kern w:val="0"/>
          <w:szCs w:val="21"/>
        </w:rPr>
      </w:pPr>
      <w:r>
        <w:rPr>
          <w:rFonts w:hint="eastAsia" w:ascii="黑体" w:hAnsi="黑体" w:eastAsia="黑体" w:cs="黑体"/>
          <w:kern w:val="0"/>
          <w:szCs w:val="21"/>
        </w:rPr>
        <w:t>原材料和辅料</w:t>
      </w:r>
    </w:p>
    <w:p w14:paraId="6AE12586">
      <w:pPr>
        <w:spacing w:before="156" w:beforeLines="50" w:after="156" w:afterLines="50"/>
        <w:ind w:firstLine="420" w:firstLineChars="200"/>
        <w:rPr>
          <w:rFonts w:hint="eastAsia" w:ascii="宋体" w:hAnsi="宋体" w:eastAsia="宋体" w:cs="宋体"/>
          <w:bCs/>
          <w:szCs w:val="21"/>
        </w:rPr>
      </w:pPr>
      <w:r>
        <w:rPr>
          <w:rFonts w:hint="eastAsia" w:ascii="宋体" w:hAnsi="宋体" w:eastAsia="宋体" w:cs="宋体"/>
          <w:bCs/>
          <w:szCs w:val="21"/>
        </w:rPr>
        <w:t>生产人间充质干细胞来源的小细胞外囊泡的过程中，使用的原材料和辅料应符合T/CSCB0001、T/CSCB0003要求。</w:t>
      </w:r>
    </w:p>
    <w:p w14:paraId="5A69679C">
      <w:pPr>
        <w:pStyle w:val="16"/>
        <w:numPr>
          <w:ilvl w:val="2"/>
          <w:numId w:val="1"/>
        </w:numPr>
        <w:spacing w:before="156" w:beforeLines="50" w:after="156" w:afterLines="50"/>
        <w:ind w:firstLineChars="0"/>
        <w:rPr>
          <w:rFonts w:hint="eastAsia" w:ascii="黑体" w:hAnsi="黑体" w:eastAsia="黑体" w:cs="黑体"/>
          <w:kern w:val="0"/>
          <w:szCs w:val="21"/>
        </w:rPr>
      </w:pPr>
      <w:r>
        <w:rPr>
          <w:rFonts w:hint="eastAsia" w:ascii="黑体" w:hAnsi="黑体" w:eastAsia="黑体" w:cs="黑体"/>
          <w:kern w:val="0"/>
          <w:szCs w:val="21"/>
        </w:rPr>
        <w:t>培养体系</w:t>
      </w:r>
    </w:p>
    <w:p w14:paraId="363A2BDD">
      <w:pPr>
        <w:pStyle w:val="16"/>
        <w:numPr>
          <w:ilvl w:val="3"/>
          <w:numId w:val="1"/>
        </w:numPr>
        <w:spacing w:before="156" w:beforeLines="50" w:after="156" w:afterLines="50"/>
        <w:ind w:firstLineChars="0"/>
        <w:rPr>
          <w:rFonts w:hint="eastAsia" w:ascii="黑体" w:hAnsi="黑体" w:eastAsia="黑体" w:cs="黑体"/>
          <w:kern w:val="0"/>
          <w:szCs w:val="21"/>
        </w:rPr>
      </w:pPr>
      <w:r>
        <w:rPr>
          <w:rFonts w:hint="eastAsia" w:ascii="黑体" w:hAnsi="黑体" w:eastAsia="黑体" w:cs="黑体"/>
          <w:kern w:val="0"/>
          <w:szCs w:val="21"/>
        </w:rPr>
        <w:t>细胞培养基</w:t>
      </w:r>
    </w:p>
    <w:p w14:paraId="70B18C08">
      <w:pPr>
        <w:spacing w:before="156" w:beforeLines="50" w:after="156" w:afterLines="50"/>
        <w:ind w:firstLine="420" w:firstLineChars="200"/>
        <w:rPr>
          <w:rFonts w:hint="eastAsia" w:ascii="宋体" w:hAnsi="宋体" w:eastAsia="宋体" w:cs="宋体"/>
          <w:bCs/>
          <w:szCs w:val="21"/>
        </w:rPr>
      </w:pPr>
      <w:r>
        <w:rPr>
          <w:rFonts w:hint="eastAsia" w:ascii="宋体" w:hAnsi="宋体" w:eastAsia="宋体" w:cs="宋体"/>
          <w:bCs/>
          <w:szCs w:val="21"/>
        </w:rPr>
        <w:t>应采用符合《药品生产质量管理规范》的成分明确的、无动物源成分的、不含囊泡的培养基。</w:t>
      </w:r>
    </w:p>
    <w:p w14:paraId="66560B6F">
      <w:pPr>
        <w:pStyle w:val="16"/>
        <w:numPr>
          <w:ilvl w:val="3"/>
          <w:numId w:val="1"/>
        </w:numPr>
        <w:spacing w:before="156" w:beforeLines="50" w:after="156" w:afterLines="50"/>
        <w:ind w:firstLineChars="0"/>
        <w:rPr>
          <w:rFonts w:hint="eastAsia" w:ascii="黑体" w:hAnsi="黑体" w:eastAsia="黑体" w:cs="黑体"/>
          <w:kern w:val="0"/>
          <w:szCs w:val="21"/>
        </w:rPr>
      </w:pPr>
      <w:r>
        <w:rPr>
          <w:rFonts w:hint="eastAsia" w:ascii="黑体" w:hAnsi="黑体" w:eastAsia="黑体" w:cs="黑体"/>
          <w:kern w:val="0"/>
          <w:szCs w:val="21"/>
        </w:rPr>
        <w:t>细胞消化液</w:t>
      </w:r>
    </w:p>
    <w:p w14:paraId="0E019D55">
      <w:pPr>
        <w:spacing w:before="156" w:beforeLines="50" w:after="156" w:afterLines="50"/>
        <w:ind w:firstLine="420" w:firstLineChars="200"/>
        <w:rPr>
          <w:rFonts w:hint="eastAsia" w:ascii="宋体" w:hAnsi="宋体" w:eastAsia="宋体" w:cs="宋体"/>
          <w:bCs/>
          <w:szCs w:val="21"/>
        </w:rPr>
      </w:pPr>
      <w:r>
        <w:rPr>
          <w:rFonts w:hint="eastAsia" w:ascii="宋体" w:hAnsi="宋体" w:eastAsia="宋体" w:cs="宋体"/>
          <w:bCs/>
          <w:szCs w:val="21"/>
        </w:rPr>
        <w:t>应采用符合《药品生产质量管理规范》的成分明确、无动物源成分的细胞消化液。</w:t>
      </w:r>
    </w:p>
    <w:p w14:paraId="6EFD90F4">
      <w:pPr>
        <w:pStyle w:val="16"/>
        <w:numPr>
          <w:ilvl w:val="2"/>
          <w:numId w:val="1"/>
        </w:numPr>
        <w:spacing w:before="156" w:beforeLines="50" w:after="156" w:afterLines="50"/>
        <w:ind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人间充质干细胞培养上清液的收集与储存</w:t>
      </w:r>
    </w:p>
    <w:p w14:paraId="10AEE0FF">
      <w:pPr>
        <w:pStyle w:val="16"/>
        <w:numPr>
          <w:ilvl w:val="3"/>
          <w:numId w:val="1"/>
        </w:numPr>
        <w:ind w:firstLineChars="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收集人间充质干细胞的培养上清液后应依次去除死细胞及细胞碎片，记录去除方法。</w:t>
      </w:r>
    </w:p>
    <w:p w14:paraId="1FFA4FF6">
      <w:pPr>
        <w:pStyle w:val="16"/>
        <w:numPr>
          <w:ilvl w:val="3"/>
          <w:numId w:val="1"/>
        </w:numPr>
        <w:ind w:firstLineChars="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经过以上处理的培养上清液应即刻分离小细胞外囊泡或-80℃保存。</w:t>
      </w:r>
    </w:p>
    <w:p w14:paraId="512AB651">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关键质量属性</w:t>
      </w:r>
    </w:p>
    <w:p w14:paraId="6EA119C4">
      <w:pPr>
        <w:pStyle w:val="16"/>
        <w:numPr>
          <w:ilvl w:val="2"/>
          <w:numId w:val="1"/>
        </w:numPr>
        <w:spacing w:before="156" w:beforeLines="50" w:after="156" w:afterLines="50"/>
        <w:ind w:firstLineChars="0"/>
        <w:rPr>
          <w:rFonts w:hint="eastAsia" w:ascii="宋体" w:hAnsi="宋体" w:eastAsia="宋体" w:cs="Times New Roman"/>
          <w:b/>
          <w:szCs w:val="21"/>
        </w:rPr>
      </w:pPr>
      <w:r>
        <w:rPr>
          <w:rFonts w:hint="eastAsia" w:ascii="黑体" w:hAnsi="黑体" w:eastAsia="黑体" w:cs="黑体"/>
          <w:bCs/>
          <w:szCs w:val="21"/>
        </w:rPr>
        <w:t>人间充质干细胞</w:t>
      </w:r>
    </w:p>
    <w:p w14:paraId="356653F6">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用于生产小细胞外囊泡的人间充质干细胞的关键质量属性均</w:t>
      </w:r>
      <w:r>
        <w:rPr>
          <w:rFonts w:ascii="宋体" w:hAnsi="宋体" w:eastAsia="宋体" w:cs="Times New Roman"/>
          <w:bCs/>
          <w:szCs w:val="21"/>
        </w:rPr>
        <w:t>完全符合</w:t>
      </w:r>
      <w:r>
        <w:rPr>
          <w:rFonts w:hint="eastAsia" w:ascii="宋体" w:hAnsi="宋体" w:eastAsia="宋体" w:cs="Times New Roman"/>
          <w:bCs/>
          <w:szCs w:val="21"/>
        </w:rPr>
        <w:t>T/CSCB</w:t>
      </w:r>
      <w:r>
        <w:rPr>
          <w:rFonts w:ascii="宋体" w:hAnsi="宋体" w:eastAsia="宋体" w:cs="Times New Roman"/>
          <w:bCs/>
          <w:szCs w:val="21"/>
        </w:rPr>
        <w:t xml:space="preserve"> </w:t>
      </w:r>
      <w:r>
        <w:rPr>
          <w:rFonts w:hint="eastAsia" w:ascii="宋体" w:hAnsi="宋体" w:eastAsia="宋体" w:cs="Times New Roman"/>
          <w:bCs/>
          <w:szCs w:val="21"/>
        </w:rPr>
        <w:t>000</w:t>
      </w:r>
      <w:r>
        <w:rPr>
          <w:rFonts w:ascii="宋体" w:hAnsi="宋体" w:eastAsia="宋体" w:cs="Times New Roman"/>
          <w:bCs/>
          <w:szCs w:val="21"/>
        </w:rPr>
        <w:t>3</w:t>
      </w:r>
      <w:r>
        <w:rPr>
          <w:rFonts w:hint="eastAsia" w:ascii="宋体" w:hAnsi="宋体" w:eastAsia="宋体" w:cs="Times New Roman"/>
          <w:bCs/>
          <w:szCs w:val="21"/>
        </w:rPr>
        <w:t>的的规定。</w:t>
      </w:r>
    </w:p>
    <w:p w14:paraId="31AFE39A">
      <w:pPr>
        <w:pStyle w:val="16"/>
        <w:numPr>
          <w:ilvl w:val="2"/>
          <w:numId w:val="1"/>
        </w:numPr>
        <w:spacing w:before="156" w:beforeLines="50" w:after="156" w:afterLines="50"/>
        <w:ind w:firstLineChars="0"/>
        <w:rPr>
          <w:rFonts w:hint="eastAsia" w:ascii="宋体" w:hAnsi="宋体" w:eastAsia="宋体" w:cs="Times New Roman"/>
          <w:b/>
          <w:bCs/>
          <w:szCs w:val="21"/>
        </w:rPr>
      </w:pPr>
      <w:r>
        <w:rPr>
          <w:rFonts w:hint="eastAsia" w:ascii="黑体" w:hAnsi="黑体" w:eastAsia="黑体" w:cs="黑体"/>
          <w:bCs/>
          <w:szCs w:val="21"/>
        </w:rPr>
        <w:t>小细胞外囊泡</w:t>
      </w:r>
    </w:p>
    <w:p w14:paraId="43BB5F9D">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形态</w:t>
      </w:r>
    </w:p>
    <w:p w14:paraId="064FED9E">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透射电镜下应呈现不聚团的具有清晰膜结构的茶托状或杯状结构，边缘清晰。</w:t>
      </w:r>
    </w:p>
    <w:p w14:paraId="435B893C">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粒径</w:t>
      </w:r>
    </w:p>
    <w:p w14:paraId="29AC9D89">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应分布在小于200nm范围内，且在30-200nm范围内存在粒径峰值。</w:t>
      </w:r>
    </w:p>
    <w:p w14:paraId="5E246955">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通用标志物</w:t>
      </w:r>
    </w:p>
    <w:p w14:paraId="35E9D68B">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小细胞外囊泡表面标志物</w:t>
      </w:r>
      <w:r>
        <w:rPr>
          <w:rFonts w:ascii="宋体" w:hAnsi="宋体" w:eastAsia="宋体" w:cs="Times New Roman"/>
          <w:bCs/>
          <w:szCs w:val="21"/>
        </w:rPr>
        <w:t>CD9</w:t>
      </w:r>
      <w:r>
        <w:rPr>
          <w:rFonts w:hint="eastAsia" w:ascii="宋体" w:hAnsi="宋体" w:eastAsia="宋体" w:cs="Times New Roman"/>
          <w:bCs/>
          <w:szCs w:val="21"/>
        </w:rPr>
        <w:t>、</w:t>
      </w:r>
      <w:r>
        <w:rPr>
          <w:rFonts w:ascii="宋体" w:hAnsi="宋体" w:eastAsia="宋体" w:cs="Times New Roman"/>
          <w:bCs/>
          <w:szCs w:val="21"/>
        </w:rPr>
        <w:t>CD81</w:t>
      </w:r>
      <w:r>
        <w:rPr>
          <w:rFonts w:hint="eastAsia" w:ascii="宋体" w:hAnsi="宋体" w:eastAsia="宋体" w:cs="Times New Roman"/>
          <w:bCs/>
          <w:szCs w:val="21"/>
        </w:rPr>
        <w:t>、</w:t>
      </w:r>
      <w:r>
        <w:rPr>
          <w:rFonts w:ascii="宋体" w:hAnsi="宋体" w:eastAsia="宋体" w:cs="Times New Roman"/>
          <w:bCs/>
          <w:szCs w:val="21"/>
        </w:rPr>
        <w:t>CD63</w:t>
      </w:r>
      <w:r>
        <w:rPr>
          <w:rFonts w:hint="eastAsia" w:ascii="宋体" w:hAnsi="宋体" w:eastAsia="宋体" w:cs="Times New Roman"/>
          <w:bCs/>
          <w:szCs w:val="21"/>
        </w:rPr>
        <w:t>中的任意两个表达阳性；小细胞外囊泡内部标志物</w:t>
      </w:r>
      <w:r>
        <w:rPr>
          <w:rFonts w:ascii="宋体" w:hAnsi="宋体" w:eastAsia="宋体" w:cs="Times New Roman"/>
          <w:bCs/>
          <w:szCs w:val="21"/>
        </w:rPr>
        <w:t>TSG-101</w:t>
      </w:r>
      <w:r>
        <w:rPr>
          <w:rFonts w:hint="eastAsia" w:ascii="宋体" w:hAnsi="宋体" w:eastAsia="宋体" w:cs="Times New Roman"/>
          <w:bCs/>
          <w:szCs w:val="21"/>
        </w:rPr>
        <w:t>、</w:t>
      </w:r>
      <w:r>
        <w:rPr>
          <w:rFonts w:ascii="宋体" w:hAnsi="宋体" w:eastAsia="宋体" w:cs="Times New Roman"/>
          <w:bCs/>
          <w:szCs w:val="21"/>
        </w:rPr>
        <w:t>Alix</w:t>
      </w:r>
      <w:r>
        <w:rPr>
          <w:rFonts w:hint="eastAsia" w:ascii="宋体" w:hAnsi="宋体" w:eastAsia="宋体" w:cs="Times New Roman"/>
          <w:bCs/>
          <w:szCs w:val="21"/>
        </w:rPr>
        <w:t>中的任意一个表达阳性。</w:t>
      </w:r>
    </w:p>
    <w:p w14:paraId="356B85B6">
      <w:pPr>
        <w:pStyle w:val="16"/>
        <w:numPr>
          <w:ilvl w:val="3"/>
          <w:numId w:val="1"/>
        </w:numPr>
        <w:spacing w:before="156" w:beforeLines="50" w:after="156" w:afterLines="50"/>
        <w:ind w:firstLineChars="0"/>
        <w:rPr>
          <w:rFonts w:hint="eastAsia" w:ascii="黑体" w:hAnsi="黑体" w:eastAsia="黑体" w:cs="黑体"/>
          <w:bCs/>
          <w:szCs w:val="21"/>
          <w:highlight w:val="none"/>
        </w:rPr>
      </w:pPr>
      <w:r>
        <w:rPr>
          <w:rFonts w:hint="eastAsia" w:ascii="黑体" w:hAnsi="黑体" w:eastAsia="黑体" w:cs="黑体"/>
          <w:bCs/>
          <w:szCs w:val="21"/>
          <w:highlight w:val="none"/>
        </w:rPr>
        <w:t>特征标志物</w:t>
      </w:r>
    </w:p>
    <w:p w14:paraId="78F573BA">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人间充质干细胞来源的小细胞外囊泡表面特征标志物CD13、CD29、CD90阳性率均不小于50%。</w:t>
      </w:r>
    </w:p>
    <w:p w14:paraId="66D86537">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纯度</w:t>
      </w:r>
    </w:p>
    <w:p w14:paraId="16AFDD34">
      <w:pPr>
        <w:spacing w:before="156" w:beforeLines="50" w:after="156" w:afterLines="50"/>
        <w:ind w:firstLine="420" w:firstLineChars="200"/>
        <w:rPr>
          <w:rFonts w:hint="eastAsia" w:ascii="宋体" w:hAnsi="宋体" w:eastAsia="宋体" w:cs="Times New Roman"/>
          <w:bCs/>
          <w:szCs w:val="21"/>
          <w:highlight w:val="yellow"/>
        </w:rPr>
      </w:pPr>
      <w:r>
        <w:rPr>
          <w:rFonts w:ascii="宋体" w:hAnsi="宋体" w:eastAsia="宋体" w:cs="Times New Roman"/>
          <w:bCs/>
          <w:szCs w:val="21"/>
        </w:rPr>
        <w:t>小细胞外囊泡阴性标志物GM130</w:t>
      </w:r>
      <w:r>
        <w:rPr>
          <w:rFonts w:hint="eastAsia" w:ascii="宋体" w:hAnsi="宋体" w:eastAsia="宋体" w:cs="Times New Roman"/>
          <w:bCs/>
          <w:szCs w:val="21"/>
        </w:rPr>
        <w:t>或</w:t>
      </w:r>
      <w:r>
        <w:rPr>
          <w:rFonts w:ascii="宋体" w:hAnsi="宋体" w:eastAsia="宋体" w:cs="Times New Roman"/>
          <w:bCs/>
          <w:szCs w:val="21"/>
        </w:rPr>
        <w:t>Calnexin应为阴性；</w:t>
      </w:r>
      <w:r>
        <w:rPr>
          <w:rFonts w:hint="eastAsia" w:ascii="宋体" w:hAnsi="宋体" w:eastAsia="宋体" w:cs="Times New Roman"/>
          <w:bCs/>
          <w:szCs w:val="21"/>
        </w:rPr>
        <w:t>小细胞外囊泡数量与蛋白量比值不低于</w:t>
      </w:r>
      <w:r>
        <w:rPr>
          <w:rFonts w:ascii="宋体" w:hAnsi="宋体" w:eastAsia="宋体" w:cs="Times New Roman"/>
          <w:bCs/>
          <w:szCs w:val="21"/>
        </w:rPr>
        <w:t>1</w:t>
      </w:r>
      <w:r>
        <w:rPr>
          <w:rFonts w:hint="eastAsia" w:ascii="宋体" w:hAnsi="宋体" w:eastAsia="宋体" w:cs="Times New Roman"/>
          <w:bCs/>
          <w:szCs w:val="21"/>
        </w:rPr>
        <w:t>×</w:t>
      </w:r>
      <w:r>
        <w:rPr>
          <w:rFonts w:ascii="宋体" w:hAnsi="宋体" w:eastAsia="宋体" w:cs="Times New Roman"/>
          <w:bCs/>
          <w:szCs w:val="21"/>
        </w:rPr>
        <w:t>10</w:t>
      </w:r>
      <w:r>
        <w:rPr>
          <w:rFonts w:hint="eastAsia" w:ascii="宋体" w:hAnsi="宋体" w:eastAsia="宋体" w:cs="Times New Roman"/>
          <w:bCs/>
          <w:szCs w:val="21"/>
          <w:vertAlign w:val="superscript"/>
        </w:rPr>
        <w:t>8</w:t>
      </w:r>
      <w:r>
        <w:rPr>
          <w:rFonts w:hint="eastAsia" w:ascii="宋体" w:hAnsi="宋体" w:eastAsia="宋体" w:cs="Times New Roman"/>
          <w:bCs/>
          <w:szCs w:val="21"/>
        </w:rPr>
        <w:t>个颗粒</w:t>
      </w:r>
      <w:r>
        <w:rPr>
          <w:rFonts w:ascii="宋体" w:hAnsi="宋体" w:eastAsia="宋体" w:cs="Times New Roman"/>
          <w:bCs/>
          <w:szCs w:val="21"/>
        </w:rPr>
        <w:t>/</w:t>
      </w:r>
      <w:bookmarkStart w:id="15" w:name="OLE_LINK4"/>
      <w:r>
        <w:rPr>
          <w:rFonts w:hint="eastAsia" w:ascii="宋体" w:hAnsi="宋体" w:eastAsia="宋体" w:cs="宋体"/>
          <w:bCs/>
          <w:szCs w:val="21"/>
        </w:rPr>
        <w:t>μ</w:t>
      </w:r>
      <w:bookmarkEnd w:id="15"/>
      <w:r>
        <w:rPr>
          <w:rFonts w:hint="eastAsia" w:ascii="宋体" w:hAnsi="宋体" w:eastAsia="宋体" w:cs="宋体"/>
          <w:bCs/>
          <w:szCs w:val="21"/>
        </w:rPr>
        <w:t>ｇ</w:t>
      </w:r>
      <w:r>
        <w:rPr>
          <w:rFonts w:ascii="宋体" w:hAnsi="宋体" w:eastAsia="宋体" w:cs="Times New Roman"/>
          <w:bCs/>
          <w:szCs w:val="21"/>
        </w:rPr>
        <w:t>蛋白。</w:t>
      </w:r>
    </w:p>
    <w:p w14:paraId="73C5CEC8">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免疫调节</w:t>
      </w:r>
    </w:p>
    <w:p w14:paraId="069AC605">
      <w:pPr>
        <w:spacing w:before="156" w:beforeLines="50" w:after="156" w:afterLines="50"/>
        <w:ind w:firstLine="420" w:firstLineChars="200"/>
        <w:rPr>
          <w:rFonts w:hint="eastAsia" w:ascii="宋体" w:hAnsi="宋体" w:eastAsia="宋体" w:cs="Times New Roman"/>
          <w:bCs/>
          <w:szCs w:val="21"/>
        </w:rPr>
      </w:pPr>
      <w:r>
        <w:rPr>
          <w:rFonts w:ascii="宋体" w:hAnsi="宋体" w:eastAsia="宋体" w:cs="Times New Roman"/>
          <w:bCs/>
          <w:szCs w:val="21"/>
        </w:rPr>
        <w:t>人间充质干细胞来源的</w:t>
      </w:r>
      <w:r>
        <w:rPr>
          <w:rFonts w:hint="eastAsia" w:ascii="宋体" w:hAnsi="宋体" w:eastAsia="宋体" w:cs="Times New Roman"/>
          <w:bCs/>
          <w:szCs w:val="21"/>
        </w:rPr>
        <w:t>小细胞外囊泡与健康人来源的外周血单个核细胞共孵育，能抑制其增殖</w:t>
      </w:r>
      <w:r>
        <w:rPr>
          <w:rFonts w:ascii="宋体" w:hAnsi="宋体" w:eastAsia="宋体" w:cs="Times New Roman"/>
          <w:bCs/>
          <w:szCs w:val="21"/>
        </w:rPr>
        <w:t>，抑制Th1细胞功能。</w:t>
      </w:r>
    </w:p>
    <w:p w14:paraId="7AAB6EED">
      <w:pPr>
        <w:pStyle w:val="16"/>
        <w:numPr>
          <w:ilvl w:val="3"/>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微生物</w:t>
      </w:r>
    </w:p>
    <w:p w14:paraId="1DCB7462">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真菌、细菌、支原体、人类免疫缺陷病毒、乙型肝炎病毒、丙型肝炎病毒、人类嗜T细胞病毒、人类疱疹病毒、人巨细胞病毒、梅毒螺旋体应为阴性。</w:t>
      </w:r>
    </w:p>
    <w:p w14:paraId="253FB45E">
      <w:pPr>
        <w:pStyle w:val="16"/>
        <w:numPr>
          <w:ilvl w:val="3"/>
          <w:numId w:val="1"/>
        </w:numPr>
        <w:spacing w:before="156" w:beforeLines="50" w:after="156" w:afterLines="50"/>
        <w:ind w:firstLineChars="0"/>
        <w:rPr>
          <w:rFonts w:hint="eastAsia" w:ascii="黑体" w:hAnsi="黑体" w:eastAsia="黑体" w:cs="黑体"/>
          <w:bCs/>
          <w:szCs w:val="21"/>
          <w:highlight w:val="none"/>
        </w:rPr>
      </w:pPr>
      <w:r>
        <w:rPr>
          <w:rFonts w:hint="eastAsia" w:ascii="黑体" w:hAnsi="黑体" w:eastAsia="黑体" w:cs="黑体"/>
          <w:bCs/>
          <w:szCs w:val="21"/>
          <w:highlight w:val="none"/>
        </w:rPr>
        <w:t>内毒素</w:t>
      </w:r>
    </w:p>
    <w:p w14:paraId="17F73532">
      <w:pPr>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内毒素含量应低于0.5 EU/mL</w:t>
      </w:r>
      <w:r>
        <w:rPr>
          <w:rFonts w:ascii="宋体" w:hAnsi="宋体" w:eastAsia="宋体" w:cs="宋体"/>
          <w:color w:val="000000" w:themeColor="text1"/>
          <w:szCs w:val="21"/>
          <w:highlight w:val="none"/>
          <w14:textFill>
            <w14:solidFill>
              <w14:schemeClr w14:val="tx1"/>
            </w14:solidFill>
          </w14:textFill>
        </w:rPr>
        <w:t>。</w:t>
      </w:r>
    </w:p>
    <w:p w14:paraId="213C97DD">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过程控制</w:t>
      </w:r>
    </w:p>
    <w:p w14:paraId="2C9ABEF8">
      <w:pPr>
        <w:spacing w:before="156" w:beforeLines="50" w:after="312" w:afterLines="100"/>
        <w:ind w:firstLine="420" w:firstLineChars="200"/>
        <w:rPr>
          <w:rFonts w:hint="eastAsia" w:ascii="宋体" w:hAnsi="宋体" w:eastAsia="宋体" w:cs="Times New Roman"/>
          <w:bCs/>
          <w:szCs w:val="21"/>
        </w:rPr>
      </w:pPr>
      <w:r>
        <w:rPr>
          <w:rFonts w:hint="eastAsia" w:ascii="宋体" w:hAnsi="宋体" w:eastAsia="宋体" w:cs="Times New Roman"/>
          <w:bCs/>
          <w:szCs w:val="21"/>
        </w:rPr>
        <w:t>应记录小细胞外囊泡的分离方法。</w:t>
      </w:r>
    </w:p>
    <w:p w14:paraId="479D0716">
      <w:pPr>
        <w:pStyle w:val="16"/>
        <w:numPr>
          <w:ilvl w:val="0"/>
          <w:numId w:val="1"/>
        </w:numPr>
        <w:spacing w:line="360" w:lineRule="auto"/>
        <w:ind w:firstLineChars="0"/>
        <w:rPr>
          <w:rFonts w:hint="eastAsia" w:ascii="宋体" w:hAnsi="宋体" w:eastAsia="宋体" w:cs="Times New Roman"/>
          <w:b/>
          <w:szCs w:val="21"/>
        </w:rPr>
      </w:pPr>
      <w:r>
        <w:rPr>
          <w:rFonts w:hint="eastAsia" w:ascii="黑体" w:hAnsi="黑体" w:eastAsia="黑体" w:cs="黑体"/>
          <w:bCs/>
          <w:szCs w:val="21"/>
        </w:rPr>
        <w:t>检测方法</w:t>
      </w:r>
    </w:p>
    <w:p w14:paraId="6E25AC68">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人间充质干细胞</w:t>
      </w:r>
    </w:p>
    <w:p w14:paraId="365414AF">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按照T/CSCB000</w:t>
      </w:r>
      <w:r>
        <w:rPr>
          <w:rFonts w:ascii="宋体" w:hAnsi="宋体" w:eastAsia="宋体" w:cs="Times New Roman"/>
          <w:bCs/>
          <w:szCs w:val="21"/>
        </w:rPr>
        <w:t>3</w:t>
      </w:r>
      <w:r>
        <w:rPr>
          <w:rFonts w:hint="eastAsia" w:ascii="宋体" w:hAnsi="宋体" w:eastAsia="宋体" w:cs="Times New Roman"/>
          <w:bCs/>
          <w:szCs w:val="21"/>
        </w:rPr>
        <w:t>文件规定</w:t>
      </w:r>
      <w:r>
        <w:rPr>
          <w:rFonts w:ascii="宋体" w:hAnsi="宋体" w:eastAsia="宋体" w:cs="Times New Roman"/>
          <w:bCs/>
          <w:szCs w:val="21"/>
        </w:rPr>
        <w:t>的</w:t>
      </w:r>
      <w:r>
        <w:rPr>
          <w:rFonts w:hint="eastAsia" w:ascii="宋体" w:hAnsi="宋体" w:eastAsia="宋体" w:cs="Times New Roman"/>
          <w:bCs/>
          <w:szCs w:val="21"/>
        </w:rPr>
        <w:t>关键质量属性标准进行检测。</w:t>
      </w:r>
    </w:p>
    <w:p w14:paraId="1B9426B7">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小细胞外囊泡形态</w:t>
      </w:r>
    </w:p>
    <w:p w14:paraId="1D9DFAEC">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按照附录A的方法检测。</w:t>
      </w:r>
    </w:p>
    <w:p w14:paraId="50AFEB4D">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小细胞外囊泡数量</w:t>
      </w:r>
    </w:p>
    <w:p w14:paraId="07E2D253">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按照附录B的方法检测。</w:t>
      </w:r>
    </w:p>
    <w:p w14:paraId="23AB7C77">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小细胞外囊泡粒径</w:t>
      </w:r>
    </w:p>
    <w:p w14:paraId="04D2B18F">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按照附录C的方法检测。</w:t>
      </w:r>
    </w:p>
    <w:p w14:paraId="4A966A8A">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小细胞外囊泡通用标志物</w:t>
      </w:r>
    </w:p>
    <w:p w14:paraId="07821165">
      <w:pPr>
        <w:spacing w:before="156" w:beforeLines="50" w:after="156" w:afterLines="50"/>
        <w:ind w:firstLine="420" w:firstLineChars="200"/>
        <w:rPr>
          <w:rFonts w:hint="eastAsia" w:ascii="宋体" w:hAnsi="宋体" w:eastAsia="宋体" w:cs="宋体"/>
          <w:szCs w:val="21"/>
        </w:rPr>
      </w:pPr>
      <w:r>
        <w:rPr>
          <w:rFonts w:hint="eastAsia" w:ascii="宋体" w:hAnsi="宋体" w:eastAsia="宋体" w:cs="宋体"/>
          <w:szCs w:val="21"/>
        </w:rPr>
        <w:t>按照附录D的方法检测。</w:t>
      </w:r>
    </w:p>
    <w:p w14:paraId="23E1FA54">
      <w:pPr>
        <w:pStyle w:val="16"/>
        <w:numPr>
          <w:ilvl w:val="1"/>
          <w:numId w:val="1"/>
        </w:numPr>
        <w:spacing w:before="156" w:beforeLines="50" w:after="156" w:afterLines="50"/>
        <w:ind w:firstLineChars="0"/>
        <w:rPr>
          <w:rFonts w:hint="eastAsia" w:ascii="黑体" w:hAnsi="黑体" w:eastAsia="黑体" w:cs="黑体"/>
          <w:bCs/>
          <w:szCs w:val="21"/>
          <w:highlight w:val="none"/>
        </w:rPr>
      </w:pPr>
      <w:r>
        <w:rPr>
          <w:rFonts w:hint="eastAsia" w:ascii="黑体" w:hAnsi="黑体" w:eastAsia="黑体" w:cs="黑体"/>
          <w:bCs/>
          <w:szCs w:val="21"/>
          <w:highlight w:val="none"/>
        </w:rPr>
        <w:t>小细胞外囊泡特征</w:t>
      </w:r>
      <w:r>
        <w:rPr>
          <w:rFonts w:ascii="黑体" w:hAnsi="黑体" w:eastAsia="黑体" w:cs="黑体"/>
          <w:bCs/>
          <w:szCs w:val="21"/>
          <w:highlight w:val="none"/>
        </w:rPr>
        <w:t>标志物</w:t>
      </w:r>
    </w:p>
    <w:p w14:paraId="2F4D298E">
      <w:pPr>
        <w:spacing w:before="156" w:beforeLines="50" w:after="156" w:afterLines="5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小细胞外囊泡表面特征标志物按照附录E的方法检测。</w:t>
      </w:r>
    </w:p>
    <w:p w14:paraId="756B2933">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小细胞外囊泡纯度</w:t>
      </w:r>
    </w:p>
    <w:p w14:paraId="2B186E9B">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小细胞外囊泡数量与蛋白量比值</w:t>
      </w:r>
    </w:p>
    <w:p w14:paraId="63580B7F">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按照附录F</w:t>
      </w:r>
      <w:r>
        <w:rPr>
          <w:rFonts w:ascii="宋体" w:hAnsi="宋体" w:eastAsia="宋体" w:cs="Times New Roman"/>
          <w:bCs/>
          <w:szCs w:val="21"/>
        </w:rPr>
        <w:t>的方法计算。</w:t>
      </w:r>
    </w:p>
    <w:p w14:paraId="43BDE326">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小细胞外囊泡阴性标志物</w:t>
      </w:r>
    </w:p>
    <w:p w14:paraId="66C004BD">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按照附录D</w:t>
      </w:r>
      <w:r>
        <w:rPr>
          <w:rFonts w:ascii="宋体" w:hAnsi="宋体" w:eastAsia="宋体" w:cs="Times New Roman"/>
          <w:bCs/>
          <w:szCs w:val="21"/>
        </w:rPr>
        <w:t>的方法检测。</w:t>
      </w:r>
    </w:p>
    <w:p w14:paraId="6F82C1FD">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免疫调节</w:t>
      </w:r>
    </w:p>
    <w:p w14:paraId="0659065E">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抑制淋巴细胞增殖</w:t>
      </w:r>
    </w:p>
    <w:p w14:paraId="2055F694">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按照附录G</w:t>
      </w:r>
      <w:r>
        <w:rPr>
          <w:rFonts w:ascii="宋体" w:hAnsi="宋体" w:eastAsia="宋体" w:cs="Times New Roman"/>
          <w:bCs/>
          <w:szCs w:val="21"/>
        </w:rPr>
        <w:t>的方法检测。</w:t>
      </w:r>
    </w:p>
    <w:p w14:paraId="1CE1489C">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抑制Th1细胞功能</w:t>
      </w:r>
    </w:p>
    <w:p w14:paraId="09AB4F08">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按照附录H</w:t>
      </w:r>
      <w:r>
        <w:rPr>
          <w:rFonts w:ascii="宋体" w:hAnsi="宋体" w:eastAsia="宋体" w:cs="Times New Roman"/>
          <w:bCs/>
          <w:szCs w:val="21"/>
        </w:rPr>
        <w:t>的方法检测</w:t>
      </w:r>
      <w:r>
        <w:rPr>
          <w:rFonts w:hint="eastAsia" w:ascii="宋体" w:hAnsi="宋体" w:eastAsia="宋体" w:cs="Times New Roman"/>
          <w:bCs/>
          <w:szCs w:val="21"/>
        </w:rPr>
        <w:t>。</w:t>
      </w:r>
    </w:p>
    <w:p w14:paraId="526226FE">
      <w:pPr>
        <w:pStyle w:val="16"/>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微生物</w:t>
      </w:r>
    </w:p>
    <w:p w14:paraId="1A7EBC50">
      <w:pPr>
        <w:spacing w:before="156" w:beforeLines="50" w:after="156" w:afterLines="50"/>
        <w:ind w:firstLine="420" w:firstLineChars="200"/>
        <w:rPr>
          <w:rFonts w:hint="eastAsia" w:ascii="宋体" w:hAnsi="宋体" w:eastAsia="宋体" w:cs="宋体"/>
          <w:szCs w:val="21"/>
        </w:rPr>
      </w:pPr>
      <w:r>
        <w:rPr>
          <w:rFonts w:hint="eastAsia" w:ascii="宋体" w:hAnsi="宋体" w:eastAsia="宋体" w:cs="宋体"/>
          <w:szCs w:val="21"/>
        </w:rPr>
        <w:t>微生物检验方法按表1执行。</w:t>
      </w:r>
    </w:p>
    <w:p w14:paraId="0B0AFAF8">
      <w:pPr>
        <w:spacing w:before="156" w:beforeLines="50" w:after="156" w:afterLines="50"/>
        <w:ind w:firstLine="422" w:firstLineChars="200"/>
        <w:jc w:val="center"/>
        <w:rPr>
          <w:rFonts w:hint="eastAsia" w:ascii="宋体" w:hAnsi="宋体" w:eastAsia="宋体" w:cs="宋体"/>
          <w:b/>
          <w:bCs/>
          <w:szCs w:val="21"/>
        </w:rPr>
      </w:pPr>
      <w:r>
        <w:rPr>
          <w:rFonts w:hint="eastAsia" w:ascii="宋体" w:hAnsi="宋体" w:eastAsia="宋体" w:cs="宋体"/>
          <w:b/>
          <w:bCs/>
          <w:szCs w:val="21"/>
        </w:rPr>
        <w:t xml:space="preserve">表1 微生物检验方法 </w:t>
      </w:r>
    </w:p>
    <w:tbl>
      <w:tblPr>
        <w:tblStyle w:val="11"/>
        <w:tblW w:w="8296"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6367"/>
      </w:tblGrid>
      <w:tr w14:paraId="7B2B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F4AAE85">
            <w:pPr>
              <w:jc w:val="center"/>
              <w:rPr>
                <w:rFonts w:hint="eastAsia" w:ascii="宋体" w:hAnsi="宋体" w:eastAsia="宋体" w:cs="宋体"/>
                <w:szCs w:val="21"/>
              </w:rPr>
            </w:pPr>
            <w:r>
              <w:rPr>
                <w:rFonts w:hint="eastAsia" w:ascii="宋体" w:hAnsi="宋体" w:eastAsia="宋体" w:cs="宋体"/>
                <w:szCs w:val="21"/>
              </w:rPr>
              <w:t>项目</w:t>
            </w:r>
          </w:p>
        </w:tc>
        <w:tc>
          <w:tcPr>
            <w:tcW w:w="6367" w:type="dxa"/>
          </w:tcPr>
          <w:p w14:paraId="2F160786">
            <w:pPr>
              <w:jc w:val="center"/>
              <w:rPr>
                <w:rFonts w:hint="eastAsia" w:ascii="宋体" w:hAnsi="宋体" w:eastAsia="宋体" w:cs="宋体"/>
                <w:szCs w:val="21"/>
              </w:rPr>
            </w:pPr>
            <w:r>
              <w:rPr>
                <w:rFonts w:hint="eastAsia" w:ascii="宋体" w:hAnsi="宋体" w:eastAsia="宋体" w:cs="宋体"/>
                <w:szCs w:val="21"/>
              </w:rPr>
              <w:t>检验方法</w:t>
            </w:r>
          </w:p>
        </w:tc>
      </w:tr>
      <w:tr w14:paraId="4019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AF6569D">
            <w:pPr>
              <w:rPr>
                <w:rFonts w:hint="eastAsia" w:ascii="宋体" w:hAnsi="宋体" w:eastAsia="宋体" w:cs="宋体"/>
                <w:szCs w:val="21"/>
              </w:rPr>
            </w:pPr>
            <w:r>
              <w:rPr>
                <w:rFonts w:hint="eastAsia" w:ascii="宋体" w:hAnsi="宋体" w:eastAsia="宋体" w:cs="宋体"/>
                <w:szCs w:val="21"/>
              </w:rPr>
              <w:t>真菌</w:t>
            </w:r>
          </w:p>
        </w:tc>
        <w:tc>
          <w:tcPr>
            <w:tcW w:w="6367" w:type="dxa"/>
          </w:tcPr>
          <w:p w14:paraId="67659BE0">
            <w:pPr>
              <w:rPr>
                <w:rFonts w:hint="eastAsia" w:ascii="宋体" w:hAnsi="宋体" w:eastAsia="宋体" w:cs="宋体"/>
                <w:szCs w:val="21"/>
              </w:rPr>
            </w:pPr>
            <w:r>
              <w:rPr>
                <w:rFonts w:hint="eastAsia" w:ascii="宋体" w:hAnsi="宋体" w:eastAsia="宋体" w:cs="宋体"/>
                <w:szCs w:val="21"/>
              </w:rPr>
              <w:t>《中华人民共和国药典》中“1101无菌检查法”</w:t>
            </w:r>
          </w:p>
        </w:tc>
      </w:tr>
      <w:tr w14:paraId="3015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39091F20">
            <w:pPr>
              <w:rPr>
                <w:rFonts w:hint="eastAsia" w:ascii="宋体" w:hAnsi="宋体" w:eastAsia="宋体" w:cs="宋体"/>
                <w:szCs w:val="21"/>
              </w:rPr>
            </w:pPr>
            <w:r>
              <w:rPr>
                <w:rFonts w:hint="eastAsia" w:ascii="宋体" w:hAnsi="宋体" w:eastAsia="宋体" w:cs="宋体"/>
                <w:szCs w:val="21"/>
              </w:rPr>
              <w:t>细菌</w:t>
            </w:r>
          </w:p>
        </w:tc>
        <w:tc>
          <w:tcPr>
            <w:tcW w:w="6367" w:type="dxa"/>
          </w:tcPr>
          <w:p w14:paraId="2DFBCDDE">
            <w:pPr>
              <w:rPr>
                <w:rFonts w:hint="eastAsia" w:ascii="宋体" w:hAnsi="宋体" w:eastAsia="宋体" w:cs="宋体"/>
                <w:szCs w:val="21"/>
              </w:rPr>
            </w:pPr>
            <w:r>
              <w:rPr>
                <w:rFonts w:hint="eastAsia" w:ascii="宋体" w:hAnsi="宋体" w:eastAsia="宋体" w:cs="宋体"/>
                <w:szCs w:val="21"/>
              </w:rPr>
              <w:t>《中华人民共和国药典》中“1101无菌检查法”</w:t>
            </w:r>
          </w:p>
        </w:tc>
      </w:tr>
      <w:tr w14:paraId="46DA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362161F">
            <w:pPr>
              <w:rPr>
                <w:rFonts w:hint="eastAsia" w:ascii="宋体" w:hAnsi="宋体" w:eastAsia="宋体" w:cs="宋体"/>
                <w:szCs w:val="21"/>
              </w:rPr>
            </w:pPr>
            <w:r>
              <w:rPr>
                <w:rFonts w:hint="eastAsia" w:ascii="宋体" w:hAnsi="宋体" w:eastAsia="宋体" w:cs="宋体"/>
                <w:szCs w:val="21"/>
              </w:rPr>
              <w:t>支原体</w:t>
            </w:r>
          </w:p>
        </w:tc>
        <w:tc>
          <w:tcPr>
            <w:tcW w:w="6367" w:type="dxa"/>
          </w:tcPr>
          <w:p w14:paraId="24F785F2">
            <w:pPr>
              <w:rPr>
                <w:rFonts w:hint="eastAsia" w:ascii="宋体" w:hAnsi="宋体" w:eastAsia="宋体" w:cs="宋体"/>
                <w:szCs w:val="21"/>
              </w:rPr>
            </w:pPr>
            <w:r>
              <w:rPr>
                <w:rFonts w:hint="eastAsia" w:ascii="宋体" w:hAnsi="宋体" w:eastAsia="宋体" w:cs="宋体"/>
                <w:szCs w:val="21"/>
              </w:rPr>
              <w:t>《中华人民共和国药典》中“3301支原体检查法”</w:t>
            </w:r>
          </w:p>
        </w:tc>
      </w:tr>
      <w:tr w14:paraId="101A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405CC763">
            <w:pPr>
              <w:rPr>
                <w:rFonts w:hint="eastAsia" w:ascii="宋体" w:hAnsi="宋体" w:eastAsia="宋体" w:cs="宋体"/>
                <w:szCs w:val="21"/>
              </w:rPr>
            </w:pPr>
            <w:r>
              <w:rPr>
                <w:rFonts w:hint="eastAsia" w:ascii="宋体" w:hAnsi="宋体" w:eastAsia="宋体"/>
              </w:rPr>
              <w:t>人类免疫缺陷病毒</w:t>
            </w:r>
          </w:p>
        </w:tc>
        <w:tc>
          <w:tcPr>
            <w:tcW w:w="6367" w:type="dxa"/>
          </w:tcPr>
          <w:p w14:paraId="4259F509">
            <w:pPr>
              <w:rPr>
                <w:rFonts w:hint="eastAsia" w:ascii="宋体" w:hAnsi="宋体" w:eastAsia="宋体" w:cs="宋体"/>
                <w:szCs w:val="21"/>
              </w:rPr>
            </w:pPr>
            <w:r>
              <w:rPr>
                <w:rFonts w:hint="eastAsia" w:ascii="宋体" w:hAnsi="宋体" w:eastAsia="宋体" w:cs="宋体"/>
                <w:szCs w:val="21"/>
              </w:rPr>
              <w:t>WS 293核酸法</w:t>
            </w:r>
          </w:p>
        </w:tc>
      </w:tr>
      <w:tr w14:paraId="1212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5728B509">
            <w:pPr>
              <w:rPr>
                <w:rFonts w:hint="eastAsia" w:ascii="宋体" w:hAnsi="宋体" w:eastAsia="宋体" w:cs="宋体"/>
                <w:szCs w:val="21"/>
              </w:rPr>
            </w:pPr>
            <w:r>
              <w:rPr>
                <w:rFonts w:hint="eastAsia" w:ascii="宋体" w:hAnsi="宋体" w:eastAsia="宋体"/>
              </w:rPr>
              <w:t>乙型肝炎病毒</w:t>
            </w:r>
          </w:p>
        </w:tc>
        <w:tc>
          <w:tcPr>
            <w:tcW w:w="6367" w:type="dxa"/>
          </w:tcPr>
          <w:p w14:paraId="4FB5F203">
            <w:pPr>
              <w:rPr>
                <w:rFonts w:hint="eastAsia" w:ascii="宋体" w:hAnsi="宋体" w:eastAsia="宋体" w:cs="宋体"/>
                <w:szCs w:val="21"/>
              </w:rPr>
            </w:pPr>
            <w:r>
              <w:rPr>
                <w:rFonts w:hint="eastAsia" w:ascii="宋体" w:hAnsi="宋体" w:eastAsia="宋体" w:cs="宋体"/>
                <w:szCs w:val="21"/>
              </w:rPr>
              <w:t>WS 299核酸法</w:t>
            </w:r>
          </w:p>
        </w:tc>
      </w:tr>
      <w:tr w14:paraId="6100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5E1A4DEB">
            <w:pPr>
              <w:rPr>
                <w:rFonts w:hint="eastAsia" w:ascii="宋体" w:hAnsi="宋体" w:eastAsia="宋体" w:cs="宋体"/>
                <w:szCs w:val="21"/>
              </w:rPr>
            </w:pPr>
            <w:r>
              <w:rPr>
                <w:rFonts w:hint="eastAsia" w:ascii="宋体" w:hAnsi="宋体" w:eastAsia="宋体"/>
              </w:rPr>
              <w:t>丙型肝炎病毒</w:t>
            </w:r>
          </w:p>
        </w:tc>
        <w:tc>
          <w:tcPr>
            <w:tcW w:w="6367" w:type="dxa"/>
          </w:tcPr>
          <w:p w14:paraId="322C1A79">
            <w:pPr>
              <w:rPr>
                <w:rFonts w:hint="eastAsia" w:ascii="宋体" w:hAnsi="宋体" w:eastAsia="宋体" w:cs="宋体"/>
                <w:szCs w:val="21"/>
              </w:rPr>
            </w:pPr>
            <w:r>
              <w:rPr>
                <w:rFonts w:hint="eastAsia" w:ascii="宋体" w:hAnsi="宋体" w:eastAsia="宋体" w:cs="宋体"/>
                <w:szCs w:val="21"/>
              </w:rPr>
              <w:t>WS 213核酸法</w:t>
            </w:r>
          </w:p>
        </w:tc>
      </w:tr>
      <w:tr w14:paraId="5E7A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63EC318B">
            <w:pPr>
              <w:rPr>
                <w:rFonts w:hint="eastAsia" w:ascii="宋体" w:hAnsi="宋体" w:eastAsia="宋体"/>
              </w:rPr>
            </w:pPr>
            <w:r>
              <w:rPr>
                <w:rFonts w:hint="eastAsia" w:ascii="宋体" w:hAnsi="宋体" w:eastAsia="宋体"/>
              </w:rPr>
              <w:t>人类嗜T细胞病毒</w:t>
            </w:r>
          </w:p>
        </w:tc>
        <w:tc>
          <w:tcPr>
            <w:tcW w:w="6367" w:type="dxa"/>
          </w:tcPr>
          <w:p w14:paraId="77359AA7">
            <w:pPr>
              <w:rPr>
                <w:rFonts w:hint="eastAsia" w:ascii="宋体" w:hAnsi="宋体" w:eastAsia="宋体" w:cs="宋体"/>
                <w:szCs w:val="21"/>
              </w:rPr>
            </w:pPr>
            <w:r>
              <w:rPr>
                <w:rFonts w:hint="eastAsia" w:ascii="宋体" w:hAnsi="宋体" w:eastAsia="宋体" w:cs="宋体"/>
                <w:szCs w:val="21"/>
              </w:rPr>
              <w:t>《全国临床检验操作规程（2016年版）》核酸法</w:t>
            </w:r>
          </w:p>
        </w:tc>
      </w:tr>
      <w:tr w14:paraId="6FFD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2D03C7B2">
            <w:pPr>
              <w:rPr>
                <w:rFonts w:hint="eastAsia" w:ascii="宋体" w:hAnsi="宋体" w:eastAsia="宋体"/>
              </w:rPr>
            </w:pPr>
            <w:r>
              <w:rPr>
                <w:rFonts w:hint="eastAsia" w:ascii="宋体" w:hAnsi="宋体" w:eastAsia="宋体"/>
              </w:rPr>
              <w:t>人类疱疹病毒</w:t>
            </w:r>
          </w:p>
        </w:tc>
        <w:tc>
          <w:tcPr>
            <w:tcW w:w="6367" w:type="dxa"/>
          </w:tcPr>
          <w:p w14:paraId="0510C90A">
            <w:pPr>
              <w:rPr>
                <w:rFonts w:hint="eastAsia" w:ascii="宋体" w:hAnsi="宋体" w:eastAsia="宋体" w:cs="宋体"/>
                <w:szCs w:val="21"/>
              </w:rPr>
            </w:pPr>
            <w:r>
              <w:rPr>
                <w:rFonts w:hint="eastAsia" w:ascii="宋体" w:hAnsi="宋体" w:eastAsia="宋体" w:cs="宋体"/>
                <w:szCs w:val="21"/>
              </w:rPr>
              <w:t>《全国临床检验操作规程</w:t>
            </w:r>
            <w:r>
              <w:rPr>
                <w:rFonts w:hint="eastAsia" w:ascii="宋体" w:hAnsi="宋体" w:eastAsia="宋体" w:cs="宋体"/>
                <w:bCs/>
                <w:color w:val="000000" w:themeColor="text1"/>
                <w:szCs w:val="21"/>
                <w14:textFill>
                  <w14:solidFill>
                    <w14:schemeClr w14:val="tx1"/>
                  </w14:solidFill>
                </w14:textFill>
              </w:rPr>
              <w:t>（2016年版）</w:t>
            </w:r>
            <w:r>
              <w:rPr>
                <w:rFonts w:hint="eastAsia" w:ascii="宋体" w:hAnsi="宋体" w:eastAsia="宋体" w:cs="宋体"/>
                <w:szCs w:val="21"/>
              </w:rPr>
              <w:t>》核酸法</w:t>
            </w:r>
          </w:p>
        </w:tc>
      </w:tr>
      <w:tr w14:paraId="22FB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61DF8A83">
            <w:pPr>
              <w:rPr>
                <w:rFonts w:hint="eastAsia" w:ascii="宋体" w:hAnsi="宋体" w:eastAsia="宋体"/>
              </w:rPr>
            </w:pPr>
            <w:r>
              <w:rPr>
                <w:rFonts w:hint="eastAsia" w:ascii="宋体" w:hAnsi="宋体" w:eastAsia="宋体"/>
              </w:rPr>
              <w:t>人巨细胞病毒</w:t>
            </w:r>
          </w:p>
        </w:tc>
        <w:tc>
          <w:tcPr>
            <w:tcW w:w="6367" w:type="dxa"/>
          </w:tcPr>
          <w:p w14:paraId="57D1B435">
            <w:pPr>
              <w:rPr>
                <w:rFonts w:hint="eastAsia" w:ascii="宋体" w:hAnsi="宋体" w:eastAsia="宋体" w:cs="宋体"/>
                <w:szCs w:val="21"/>
              </w:rPr>
            </w:pPr>
            <w:r>
              <w:rPr>
                <w:rFonts w:hint="eastAsia" w:ascii="宋体" w:hAnsi="宋体" w:eastAsia="宋体" w:cs="宋体"/>
                <w:szCs w:val="21"/>
              </w:rPr>
              <w:t>《全国临床检验操作规程</w:t>
            </w:r>
            <w:r>
              <w:rPr>
                <w:rFonts w:hint="eastAsia" w:ascii="宋体" w:hAnsi="宋体" w:eastAsia="宋体" w:cs="宋体"/>
                <w:bCs/>
                <w:color w:val="000000" w:themeColor="text1"/>
                <w:szCs w:val="21"/>
                <w14:textFill>
                  <w14:solidFill>
                    <w14:schemeClr w14:val="tx1"/>
                  </w14:solidFill>
                </w14:textFill>
              </w:rPr>
              <w:t>（2016年版）</w:t>
            </w:r>
            <w:r>
              <w:rPr>
                <w:rFonts w:hint="eastAsia" w:ascii="宋体" w:hAnsi="宋体" w:eastAsia="宋体" w:cs="宋体"/>
                <w:szCs w:val="21"/>
              </w:rPr>
              <w:t>》核酸法</w:t>
            </w:r>
          </w:p>
        </w:tc>
      </w:tr>
      <w:tr w14:paraId="3C8C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9" w:type="dxa"/>
          </w:tcPr>
          <w:p w14:paraId="19531D01">
            <w:pPr>
              <w:rPr>
                <w:rFonts w:hint="eastAsia" w:ascii="宋体" w:hAnsi="宋体" w:eastAsia="宋体" w:cs="宋体"/>
                <w:szCs w:val="21"/>
              </w:rPr>
            </w:pPr>
            <w:r>
              <w:rPr>
                <w:rFonts w:hint="eastAsia" w:ascii="宋体" w:hAnsi="宋体" w:eastAsia="宋体" w:cs="宋体"/>
                <w:bCs/>
                <w:color w:val="000000" w:themeColor="text1"/>
                <w:szCs w:val="21"/>
                <w14:textFill>
                  <w14:solidFill>
                    <w14:schemeClr w14:val="tx1"/>
                  </w14:solidFill>
                </w14:textFill>
              </w:rPr>
              <w:t>梅毒螺旋体</w:t>
            </w:r>
          </w:p>
        </w:tc>
        <w:tc>
          <w:tcPr>
            <w:tcW w:w="6367" w:type="dxa"/>
          </w:tcPr>
          <w:p w14:paraId="248C7C64">
            <w:pPr>
              <w:rPr>
                <w:rFonts w:hint="eastAsia" w:ascii="宋体" w:hAnsi="宋体" w:eastAsia="宋体" w:cs="宋体"/>
                <w:szCs w:val="21"/>
              </w:rPr>
            </w:pPr>
            <w:r>
              <w:rPr>
                <w:rFonts w:hint="eastAsia" w:ascii="宋体" w:hAnsi="宋体" w:eastAsia="宋体" w:cs="宋体"/>
                <w:szCs w:val="21"/>
              </w:rPr>
              <w:t>WS 273核酸法</w:t>
            </w:r>
          </w:p>
        </w:tc>
      </w:tr>
    </w:tbl>
    <w:p w14:paraId="023AEF67">
      <w:pPr>
        <w:pStyle w:val="16"/>
        <w:numPr>
          <w:ilvl w:val="1"/>
          <w:numId w:val="1"/>
        </w:numPr>
        <w:spacing w:before="156" w:beforeLines="50" w:after="156" w:afterLines="50"/>
        <w:ind w:firstLineChars="0"/>
        <w:rPr>
          <w:rFonts w:hint="eastAsia" w:ascii="黑体" w:hAnsi="黑体" w:eastAsia="黑体" w:cs="黑体"/>
          <w:bCs/>
          <w:szCs w:val="21"/>
          <w:highlight w:val="none"/>
        </w:rPr>
      </w:pPr>
      <w:r>
        <w:rPr>
          <w:rFonts w:hint="eastAsia" w:ascii="黑体" w:hAnsi="黑体" w:eastAsia="黑体" w:cs="黑体"/>
          <w:bCs/>
          <w:szCs w:val="21"/>
          <w:highlight w:val="none"/>
        </w:rPr>
        <w:t>内毒素</w:t>
      </w:r>
    </w:p>
    <w:p w14:paraId="29FEF6F2">
      <w:pPr>
        <w:spacing w:before="156" w:beforeLines="50" w:after="312" w:afterLines="100"/>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按照《中华人民共和国药典（三部）（2020年版）》中“</w:t>
      </w:r>
      <w:r>
        <w:rPr>
          <w:rFonts w:ascii="宋体" w:hAnsi="宋体" w:eastAsia="宋体" w:cs="宋体"/>
          <w:szCs w:val="21"/>
          <w:highlight w:val="none"/>
        </w:rPr>
        <w:t>1143 细菌内毒素检查法</w:t>
      </w:r>
      <w:r>
        <w:rPr>
          <w:rFonts w:hint="eastAsia" w:ascii="宋体" w:hAnsi="宋体" w:eastAsia="宋体" w:cs="宋体"/>
          <w:szCs w:val="21"/>
          <w:highlight w:val="none"/>
        </w:rPr>
        <w:t>”</w:t>
      </w:r>
      <w:r>
        <w:rPr>
          <w:rFonts w:ascii="宋体" w:hAnsi="宋体" w:eastAsia="宋体" w:cs="宋体"/>
          <w:szCs w:val="21"/>
          <w:highlight w:val="none"/>
        </w:rPr>
        <w:t>检测。</w:t>
      </w:r>
    </w:p>
    <w:p w14:paraId="3BCD9CDD">
      <w:pPr>
        <w:pStyle w:val="16"/>
        <w:numPr>
          <w:ilvl w:val="0"/>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检验规则</w:t>
      </w:r>
    </w:p>
    <w:p w14:paraId="5A07A0E7">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出厂检验</w:t>
      </w:r>
    </w:p>
    <w:p w14:paraId="71B496DB">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在同一生产周期中，同一生产线、同一细胞来源、同一细胞代次、同一工艺制备出来的产品为一批。</w:t>
      </w:r>
    </w:p>
    <w:p w14:paraId="380C40B3">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在同一批的产品中随机抽取3个最小包装单元进行检测。</w:t>
      </w:r>
    </w:p>
    <w:p w14:paraId="491AF7A8">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每批产品均应进行出厂检验，并附检验报告。</w:t>
      </w:r>
    </w:p>
    <w:p w14:paraId="2A9BBFB3">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出厂检验项目应包括</w:t>
      </w:r>
      <w:r>
        <w:rPr>
          <w:rFonts w:ascii="宋体" w:hAnsi="宋体" w:eastAsia="宋体" w:cs="Times New Roman"/>
          <w:bCs/>
          <w:szCs w:val="21"/>
        </w:rPr>
        <w:t>4.2</w:t>
      </w:r>
      <w:r>
        <w:rPr>
          <w:rFonts w:hint="eastAsia" w:ascii="宋体" w:hAnsi="宋体" w:eastAsia="宋体" w:cs="Times New Roman"/>
          <w:bCs/>
          <w:szCs w:val="21"/>
        </w:rPr>
        <w:t>规定的所有项目。</w:t>
      </w:r>
    </w:p>
    <w:p w14:paraId="3415FD6F">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复核检验</w:t>
      </w:r>
    </w:p>
    <w:p w14:paraId="4AA86922">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根据产品需要，应由专业检验机构/实验室进行复核检验。</w:t>
      </w:r>
    </w:p>
    <w:p w14:paraId="39D62713">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判定规则</w:t>
      </w:r>
    </w:p>
    <w:p w14:paraId="67A5E90E">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出厂检验项目全部符合</w:t>
      </w:r>
      <w:r>
        <w:rPr>
          <w:rFonts w:ascii="宋体" w:hAnsi="宋体" w:eastAsia="宋体" w:cs="Times New Roman"/>
          <w:bCs/>
          <w:szCs w:val="21"/>
        </w:rPr>
        <w:t>4.2</w:t>
      </w:r>
      <w:r>
        <w:rPr>
          <w:rFonts w:hint="eastAsia" w:ascii="宋体" w:hAnsi="宋体" w:eastAsia="宋体" w:cs="Times New Roman"/>
          <w:bCs/>
          <w:szCs w:val="21"/>
        </w:rPr>
        <w:t>规定，即被判为合格产品；有1项及以上不符合</w:t>
      </w:r>
      <w:r>
        <w:rPr>
          <w:rFonts w:ascii="宋体" w:hAnsi="宋体" w:eastAsia="宋体" w:cs="Times New Roman"/>
          <w:bCs/>
          <w:szCs w:val="21"/>
        </w:rPr>
        <w:t>4.2</w:t>
      </w:r>
      <w:r>
        <w:rPr>
          <w:rFonts w:hint="eastAsia" w:ascii="宋体" w:hAnsi="宋体" w:eastAsia="宋体" w:cs="Times New Roman"/>
          <w:bCs/>
          <w:szCs w:val="21"/>
        </w:rPr>
        <w:t>规定，则被判为不合格品。</w:t>
      </w:r>
    </w:p>
    <w:p w14:paraId="5E0F628B">
      <w:pPr>
        <w:pStyle w:val="16"/>
        <w:numPr>
          <w:ilvl w:val="2"/>
          <w:numId w:val="1"/>
        </w:numPr>
        <w:ind w:firstLineChars="0"/>
        <w:rPr>
          <w:rFonts w:hint="eastAsia" w:ascii="宋体" w:hAnsi="宋体" w:eastAsia="宋体" w:cs="Times New Roman"/>
          <w:bCs/>
          <w:szCs w:val="21"/>
        </w:rPr>
      </w:pPr>
      <w:r>
        <w:rPr>
          <w:rFonts w:hint="eastAsia" w:ascii="宋体" w:hAnsi="宋体" w:eastAsia="宋体" w:cs="Times New Roman"/>
          <w:bCs/>
          <w:szCs w:val="21"/>
        </w:rPr>
        <w:t>复核检验项目全部符合</w:t>
      </w:r>
      <w:r>
        <w:rPr>
          <w:rFonts w:ascii="宋体" w:hAnsi="宋体" w:eastAsia="宋体" w:cs="Times New Roman"/>
          <w:bCs/>
          <w:szCs w:val="21"/>
        </w:rPr>
        <w:t>4.2</w:t>
      </w:r>
      <w:r>
        <w:rPr>
          <w:rFonts w:hint="eastAsia" w:ascii="宋体" w:hAnsi="宋体" w:eastAsia="宋体" w:cs="Times New Roman"/>
          <w:bCs/>
          <w:szCs w:val="21"/>
        </w:rPr>
        <w:t>规定，即被判为合格产品；有1项及以上不符合</w:t>
      </w:r>
      <w:r>
        <w:rPr>
          <w:rFonts w:ascii="宋体" w:hAnsi="宋体" w:eastAsia="宋体" w:cs="Times New Roman"/>
          <w:bCs/>
          <w:szCs w:val="21"/>
        </w:rPr>
        <w:t>4.2</w:t>
      </w:r>
      <w:r>
        <w:rPr>
          <w:rFonts w:hint="eastAsia" w:ascii="宋体" w:hAnsi="宋体" w:eastAsia="宋体" w:cs="Times New Roman"/>
          <w:bCs/>
          <w:szCs w:val="21"/>
        </w:rPr>
        <w:t>规定，则被判为不合格品。</w:t>
      </w:r>
    </w:p>
    <w:p w14:paraId="0F444EEF">
      <w:pPr>
        <w:pStyle w:val="16"/>
        <w:numPr>
          <w:ilvl w:val="0"/>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包装、使用说明、标签、储存及运输</w:t>
      </w:r>
    </w:p>
    <w:p w14:paraId="4A94D188">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包装</w:t>
      </w:r>
    </w:p>
    <w:p w14:paraId="4A373CC6">
      <w:pPr>
        <w:ind w:firstLine="420" w:firstLineChars="200"/>
        <w:rPr>
          <w:rFonts w:hint="eastAsia" w:ascii="宋体" w:hAnsi="宋体" w:eastAsia="宋体" w:cs="Times New Roman"/>
          <w:bCs/>
          <w:szCs w:val="21"/>
        </w:rPr>
      </w:pPr>
      <w:r>
        <w:rPr>
          <w:rFonts w:hint="eastAsia" w:ascii="宋体" w:hAnsi="宋体" w:eastAsia="宋体" w:cs="Times New Roman"/>
          <w:bCs/>
          <w:szCs w:val="21"/>
        </w:rPr>
        <w:t>间充质干细胞来源的小细胞外囊泡在生产后应进行密封包装，包装满足无菌要求。</w:t>
      </w:r>
    </w:p>
    <w:p w14:paraId="44236720">
      <w:pPr>
        <w:ind w:firstLine="420" w:firstLineChars="200"/>
        <w:rPr>
          <w:rFonts w:hint="eastAsia" w:ascii="宋体" w:hAnsi="宋体" w:eastAsia="宋体" w:cs="Times New Roman"/>
          <w:bCs/>
          <w:szCs w:val="21"/>
        </w:rPr>
      </w:pPr>
      <w:r>
        <w:rPr>
          <w:rFonts w:hint="eastAsia" w:ascii="宋体" w:hAnsi="宋体" w:eastAsia="宋体" w:cs="Times New Roman"/>
          <w:bCs/>
          <w:szCs w:val="21"/>
        </w:rPr>
        <w:t>包装内应附使用说明，最小包装上应附标签。</w:t>
      </w:r>
    </w:p>
    <w:p w14:paraId="1D37FF62">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使用说明</w:t>
      </w:r>
    </w:p>
    <w:p w14:paraId="084D1464">
      <w:pPr>
        <w:ind w:firstLine="420" w:firstLineChars="200"/>
        <w:rPr>
          <w:rFonts w:hint="eastAsia" w:ascii="宋体" w:hAnsi="宋体" w:eastAsia="宋体" w:cs="Times New Roman"/>
          <w:bCs/>
          <w:szCs w:val="21"/>
        </w:rPr>
      </w:pPr>
      <w:r>
        <w:rPr>
          <w:rFonts w:hint="eastAsia" w:ascii="宋体" w:hAnsi="宋体" w:eastAsia="宋体" w:cs="Times New Roman"/>
          <w:bCs/>
          <w:szCs w:val="21"/>
        </w:rPr>
        <w:t>使用说明应包括以下内容：</w:t>
      </w:r>
    </w:p>
    <w:p w14:paraId="1014063D">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来源细胞名称，代次；</w:t>
      </w:r>
    </w:p>
    <w:p w14:paraId="6B4017B1">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产品液体体积量，小细胞外囊泡数量；</w:t>
      </w:r>
    </w:p>
    <w:p w14:paraId="14D9D0B9">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小细胞外囊泡分离方法；</w:t>
      </w:r>
    </w:p>
    <w:p w14:paraId="03290095">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生产日期，生产批号；</w:t>
      </w:r>
    </w:p>
    <w:p w14:paraId="57081085">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储存条件，运输条件；</w:t>
      </w:r>
    </w:p>
    <w:p w14:paraId="6B6EA797">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使用方法；</w:t>
      </w:r>
    </w:p>
    <w:p w14:paraId="0F204491">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执行标准号；</w:t>
      </w:r>
    </w:p>
    <w:p w14:paraId="63F33A20">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生产组织，生产地址；</w:t>
      </w:r>
    </w:p>
    <w:p w14:paraId="0509DA76">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联系方式，邮政编码；</w:t>
      </w:r>
    </w:p>
    <w:p w14:paraId="660E8581">
      <w:pPr>
        <w:pStyle w:val="16"/>
        <w:numPr>
          <w:ilvl w:val="0"/>
          <w:numId w:val="2"/>
        </w:numPr>
        <w:ind w:firstLineChars="0"/>
        <w:rPr>
          <w:rFonts w:hint="eastAsia" w:ascii="宋体" w:hAnsi="宋体" w:eastAsia="宋体" w:cs="Times New Roman"/>
          <w:bCs/>
          <w:szCs w:val="21"/>
        </w:rPr>
      </w:pPr>
      <w:r>
        <w:rPr>
          <w:rFonts w:hint="eastAsia" w:ascii="宋体" w:hAnsi="宋体" w:eastAsia="宋体" w:cs="Times New Roman"/>
          <w:bCs/>
          <w:szCs w:val="21"/>
        </w:rPr>
        <w:t>注意事项。</w:t>
      </w:r>
    </w:p>
    <w:p w14:paraId="56249F3F">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标签</w:t>
      </w:r>
    </w:p>
    <w:p w14:paraId="55FE179E">
      <w:pPr>
        <w:ind w:firstLine="420" w:firstLineChars="200"/>
        <w:rPr>
          <w:rFonts w:hint="eastAsia" w:ascii="宋体" w:hAnsi="宋体" w:eastAsia="宋体" w:cs="Times New Roman"/>
          <w:bCs/>
          <w:szCs w:val="21"/>
        </w:rPr>
      </w:pPr>
      <w:r>
        <w:rPr>
          <w:rFonts w:hint="eastAsia" w:ascii="宋体" w:hAnsi="宋体" w:eastAsia="宋体" w:cs="Times New Roman"/>
          <w:bCs/>
          <w:szCs w:val="21"/>
        </w:rPr>
        <w:t>标签应包括以下内容：</w:t>
      </w:r>
    </w:p>
    <w:p w14:paraId="0FDCD92D">
      <w:pPr>
        <w:pStyle w:val="16"/>
        <w:numPr>
          <w:ilvl w:val="0"/>
          <w:numId w:val="3"/>
        </w:numPr>
        <w:ind w:firstLineChars="0"/>
        <w:rPr>
          <w:rFonts w:hint="eastAsia" w:ascii="宋体" w:hAnsi="宋体" w:eastAsia="宋体" w:cs="Times New Roman"/>
          <w:bCs/>
          <w:szCs w:val="21"/>
        </w:rPr>
      </w:pPr>
      <w:r>
        <w:rPr>
          <w:rFonts w:hint="eastAsia" w:ascii="宋体" w:hAnsi="宋体" w:eastAsia="宋体" w:cs="Times New Roman"/>
          <w:bCs/>
          <w:szCs w:val="21"/>
        </w:rPr>
        <w:t>来源细胞名称，代次；</w:t>
      </w:r>
    </w:p>
    <w:p w14:paraId="26843F7B">
      <w:pPr>
        <w:pStyle w:val="16"/>
        <w:numPr>
          <w:ilvl w:val="0"/>
          <w:numId w:val="3"/>
        </w:numPr>
        <w:ind w:firstLineChars="0"/>
        <w:rPr>
          <w:rFonts w:hint="eastAsia" w:ascii="宋体" w:hAnsi="宋体" w:eastAsia="宋体" w:cs="Times New Roman"/>
          <w:bCs/>
          <w:szCs w:val="21"/>
        </w:rPr>
      </w:pPr>
      <w:r>
        <w:rPr>
          <w:rFonts w:hint="eastAsia" w:ascii="宋体" w:hAnsi="宋体" w:eastAsia="宋体" w:cs="Times New Roman"/>
          <w:bCs/>
          <w:szCs w:val="21"/>
        </w:rPr>
        <w:t>产品液体体积量，小细胞外囊泡数量；</w:t>
      </w:r>
    </w:p>
    <w:p w14:paraId="3A842B00">
      <w:pPr>
        <w:pStyle w:val="16"/>
        <w:numPr>
          <w:ilvl w:val="0"/>
          <w:numId w:val="3"/>
        </w:numPr>
        <w:ind w:firstLineChars="0"/>
        <w:rPr>
          <w:rFonts w:hint="eastAsia" w:ascii="宋体" w:hAnsi="宋体" w:eastAsia="宋体" w:cs="Times New Roman"/>
          <w:bCs/>
          <w:szCs w:val="21"/>
        </w:rPr>
      </w:pPr>
      <w:r>
        <w:rPr>
          <w:rFonts w:hint="eastAsia" w:ascii="宋体" w:hAnsi="宋体" w:eastAsia="宋体" w:cs="Times New Roman"/>
          <w:bCs/>
          <w:szCs w:val="21"/>
        </w:rPr>
        <w:t>生产组织；</w:t>
      </w:r>
    </w:p>
    <w:p w14:paraId="7B726641">
      <w:pPr>
        <w:pStyle w:val="16"/>
        <w:numPr>
          <w:ilvl w:val="0"/>
          <w:numId w:val="3"/>
        </w:numPr>
        <w:ind w:firstLineChars="0"/>
        <w:rPr>
          <w:rFonts w:hint="eastAsia" w:ascii="宋体" w:hAnsi="宋体" w:eastAsia="宋体" w:cs="Times New Roman"/>
          <w:bCs/>
          <w:szCs w:val="21"/>
        </w:rPr>
      </w:pPr>
      <w:r>
        <w:rPr>
          <w:rFonts w:hint="eastAsia" w:ascii="宋体" w:hAnsi="宋体" w:eastAsia="宋体" w:cs="Times New Roman"/>
          <w:bCs/>
          <w:szCs w:val="21"/>
        </w:rPr>
        <w:t>生产日期，生产批号；</w:t>
      </w:r>
    </w:p>
    <w:p w14:paraId="6EC9C1D9">
      <w:pPr>
        <w:pStyle w:val="16"/>
        <w:numPr>
          <w:ilvl w:val="0"/>
          <w:numId w:val="3"/>
        </w:numPr>
        <w:ind w:firstLineChars="0"/>
        <w:rPr>
          <w:rFonts w:hint="eastAsia" w:ascii="宋体" w:hAnsi="宋体" w:eastAsia="宋体" w:cs="Times New Roman"/>
          <w:bCs/>
          <w:szCs w:val="21"/>
        </w:rPr>
      </w:pPr>
      <w:r>
        <w:rPr>
          <w:rFonts w:hint="eastAsia" w:ascii="宋体" w:hAnsi="宋体" w:eastAsia="宋体" w:cs="Times New Roman"/>
          <w:bCs/>
          <w:szCs w:val="21"/>
        </w:rPr>
        <w:t>储存条件。</w:t>
      </w:r>
    </w:p>
    <w:p w14:paraId="4D1E93F3">
      <w:pPr>
        <w:pStyle w:val="16"/>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储存及运输</w:t>
      </w:r>
    </w:p>
    <w:p w14:paraId="291E9D55">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储存</w:t>
      </w:r>
    </w:p>
    <w:p w14:paraId="1686875E">
      <w:pPr>
        <w:ind w:firstLine="420" w:firstLineChars="200"/>
        <w:rPr>
          <w:rFonts w:hint="eastAsia" w:ascii="宋体" w:hAnsi="宋体" w:eastAsia="宋体" w:cs="Times New Roman"/>
          <w:bCs/>
          <w:szCs w:val="21"/>
        </w:rPr>
      </w:pPr>
      <w:r>
        <w:rPr>
          <w:rFonts w:hint="eastAsia" w:ascii="宋体" w:hAnsi="宋体" w:eastAsia="宋体" w:cs="Times New Roman"/>
          <w:bCs/>
          <w:szCs w:val="21"/>
        </w:rPr>
        <w:t>应选择低吸附、对人间充质干细胞来源的小细胞外囊泡关键质量属性无影响的材料和容器。</w:t>
      </w:r>
    </w:p>
    <w:p w14:paraId="4203F18C">
      <w:pPr>
        <w:ind w:firstLine="420" w:firstLineChars="200"/>
        <w:rPr>
          <w:rFonts w:hint="eastAsia" w:ascii="宋体" w:hAnsi="宋体" w:eastAsia="宋体" w:cs="Times New Roman"/>
          <w:bCs/>
          <w:szCs w:val="21"/>
        </w:rPr>
      </w:pPr>
      <w:r>
        <w:rPr>
          <w:rFonts w:hint="eastAsia" w:ascii="宋体" w:hAnsi="宋体" w:eastAsia="宋体" w:cs="Times New Roman"/>
          <w:bCs/>
          <w:szCs w:val="21"/>
        </w:rPr>
        <w:t>小细胞外囊泡在2℃~8℃存储应不超过7天，如果生产完成后不能立即应用，应在不高于-80℃环境下储存，应避免反复冻融或温度剧烈波动。</w:t>
      </w:r>
    </w:p>
    <w:p w14:paraId="2C565DE1">
      <w:pPr>
        <w:pStyle w:val="16"/>
        <w:numPr>
          <w:ilvl w:val="2"/>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运输</w:t>
      </w:r>
    </w:p>
    <w:p w14:paraId="085C484C">
      <w:pP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冻存的小细胞外囊泡应在干冰条件下运输，非冻存的小细胞外囊泡应在2℃~</w:t>
      </w:r>
      <w:r>
        <w:rPr>
          <w:rFonts w:ascii="宋体" w:hAnsi="宋体" w:eastAsia="宋体" w:cs="Times New Roman"/>
          <w:bCs/>
          <w:szCs w:val="21"/>
        </w:rPr>
        <w:t>8</w:t>
      </w:r>
      <w:r>
        <w:rPr>
          <w:rFonts w:hint="eastAsia" w:ascii="宋体" w:hAnsi="宋体" w:eastAsia="宋体" w:cs="Times New Roman"/>
          <w:bCs/>
          <w:szCs w:val="21"/>
        </w:rPr>
        <w:t>℃条件下运输。</w:t>
      </w:r>
    </w:p>
    <w:p w14:paraId="574E50FE">
      <w:pPr>
        <w:pStyle w:val="16"/>
        <w:numPr>
          <w:ilvl w:val="0"/>
          <w:numId w:val="1"/>
        </w:numPr>
        <w:pBdr>
          <w:bottom w:val="single" w:color="auto" w:sz="4" w:space="23"/>
        </w:pBdr>
        <w:spacing w:before="312" w:beforeLines="100" w:after="156" w:afterLines="50"/>
        <w:ind w:firstLineChars="0"/>
        <w:rPr>
          <w:rFonts w:hint="eastAsia" w:ascii="宋体" w:hAnsi="宋体" w:eastAsia="宋体" w:cs="Times New Roman"/>
          <w:bCs/>
          <w:szCs w:val="21"/>
        </w:rPr>
      </w:pPr>
      <w:r>
        <w:rPr>
          <w:rFonts w:hint="eastAsia" w:ascii="黑体" w:hAnsi="黑体" w:eastAsia="黑体" w:cs="黑体"/>
          <w:bCs/>
          <w:szCs w:val="21"/>
        </w:rPr>
        <w:t>废弃物处理</w:t>
      </w:r>
    </w:p>
    <w:p w14:paraId="728601C1">
      <w:pPr>
        <w:pBdr>
          <w:bottom w:val="single" w:color="auto" w:sz="4" w:space="23"/>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t>人间充质干细胞来源的小细胞外囊泡生产和检测过程中产生的废弃物应按照T</w:t>
      </w:r>
      <w:r>
        <w:rPr>
          <w:rFonts w:ascii="宋体" w:hAnsi="宋体" w:eastAsia="宋体" w:cs="Times New Roman"/>
          <w:bCs/>
          <w:szCs w:val="21"/>
        </w:rPr>
        <w:t>/CSCB 0001</w:t>
      </w:r>
      <w:r>
        <w:rPr>
          <w:rFonts w:hint="eastAsia" w:ascii="宋体" w:hAnsi="宋体" w:eastAsia="宋体" w:cs="Times New Roman"/>
          <w:bCs/>
          <w:szCs w:val="21"/>
        </w:rPr>
        <w:t>中的规定处理。</w:t>
      </w:r>
    </w:p>
    <w:p w14:paraId="19FE2F05">
      <w:pPr>
        <w:pBdr>
          <w:bottom w:val="single" w:color="auto" w:sz="4" w:space="0"/>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br w:type="page"/>
      </w:r>
    </w:p>
    <w:p w14:paraId="04C49278">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附录A</w:t>
      </w:r>
    </w:p>
    <w:p w14:paraId="0433C4FD">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（规范性）</w:t>
      </w:r>
    </w:p>
    <w:p w14:paraId="5118C4A6">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小细胞外囊泡形态检测方法（透射电镜观察法）</w:t>
      </w:r>
    </w:p>
    <w:p w14:paraId="73651402">
      <w:pPr>
        <w:pStyle w:val="16"/>
        <w:ind w:firstLine="0" w:firstLineChars="0"/>
        <w:jc w:val="center"/>
        <w:rPr>
          <w:rFonts w:hint="eastAsia" w:ascii="宋体" w:hAnsi="宋体" w:eastAsia="宋体" w:cs="Times New Roman"/>
          <w:b/>
          <w:bCs/>
          <w:szCs w:val="21"/>
        </w:rPr>
      </w:pPr>
    </w:p>
    <w:p w14:paraId="1F5D56BD">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A.1 仪器和设备</w:t>
      </w:r>
    </w:p>
    <w:p w14:paraId="5AD554C5">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.1.1 </w:t>
      </w:r>
      <w:r>
        <w:rPr>
          <w:rFonts w:hint="eastAsia" w:ascii="宋体" w:hAnsi="宋体" w:eastAsia="宋体" w:cs="Times New Roman"/>
          <w:bCs/>
          <w:szCs w:val="21"/>
        </w:rPr>
        <w:t>透射电子显微镜。</w:t>
      </w:r>
    </w:p>
    <w:p w14:paraId="4521E7AD">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.1.2 </w:t>
      </w:r>
      <w:r>
        <w:rPr>
          <w:rFonts w:hint="eastAsia" w:ascii="宋体" w:hAnsi="宋体" w:eastAsia="宋体" w:cs="Times New Roman"/>
          <w:bCs/>
          <w:szCs w:val="21"/>
        </w:rPr>
        <w:t>F</w:t>
      </w:r>
      <w:r>
        <w:rPr>
          <w:rFonts w:ascii="宋体" w:hAnsi="宋体" w:eastAsia="宋体" w:cs="Times New Roman"/>
          <w:bCs/>
          <w:szCs w:val="21"/>
        </w:rPr>
        <w:t>ormvar-carbon</w:t>
      </w:r>
      <w:r>
        <w:rPr>
          <w:rFonts w:hint="eastAsia" w:ascii="宋体" w:hAnsi="宋体" w:eastAsia="宋体" w:cs="Times New Roman"/>
          <w:bCs/>
          <w:szCs w:val="21"/>
        </w:rPr>
        <w:t>载样铜网。</w:t>
      </w:r>
    </w:p>
    <w:p w14:paraId="40C1B715">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A.2 试剂</w:t>
      </w:r>
    </w:p>
    <w:p w14:paraId="6299754C">
      <w:pPr>
        <w:pStyle w:val="16"/>
        <w:rPr>
          <w:rFonts w:hint="eastAsia" w:ascii="宋体" w:hAnsi="宋体" w:eastAsia="宋体" w:cs="Times New Roman"/>
          <w:bCs/>
          <w:szCs w:val="21"/>
        </w:rPr>
      </w:pPr>
      <w:r>
        <w:rPr>
          <w:rFonts w:hint="eastAsia" w:ascii="宋体" w:hAnsi="宋体" w:eastAsia="宋体" w:cs="Times New Roman"/>
          <w:bCs/>
          <w:szCs w:val="21"/>
        </w:rPr>
        <w:t>本方法所用试剂均为分析纯，除特别说明外，实验用水均为G</w:t>
      </w:r>
      <w:r>
        <w:rPr>
          <w:rFonts w:ascii="宋体" w:hAnsi="宋体" w:eastAsia="宋体" w:cs="Times New Roman"/>
          <w:bCs/>
          <w:szCs w:val="21"/>
        </w:rPr>
        <w:t>B/T 6682</w:t>
      </w:r>
      <w:r>
        <w:rPr>
          <w:rFonts w:hint="eastAsia" w:ascii="宋体" w:hAnsi="宋体" w:eastAsia="宋体" w:cs="Times New Roman"/>
          <w:bCs/>
          <w:szCs w:val="21"/>
        </w:rPr>
        <w:t>规定的一级水。</w:t>
      </w:r>
    </w:p>
    <w:p w14:paraId="3435C831">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.2.1 </w:t>
      </w:r>
      <w:r>
        <w:rPr>
          <w:rFonts w:hint="eastAsia" w:ascii="宋体" w:hAnsi="宋体" w:eastAsia="宋体" w:cs="Times New Roman"/>
          <w:bCs/>
          <w:szCs w:val="21"/>
        </w:rPr>
        <w:t>磷酸盐缓冲液：pH为7</w:t>
      </w:r>
      <w:r>
        <w:rPr>
          <w:rFonts w:ascii="宋体" w:hAnsi="宋体" w:eastAsia="宋体" w:cs="Times New Roman"/>
          <w:bCs/>
          <w:szCs w:val="21"/>
        </w:rPr>
        <w:t>.4</w:t>
      </w:r>
      <w:r>
        <w:rPr>
          <w:rFonts w:hint="eastAsia" w:ascii="宋体" w:hAnsi="宋体" w:eastAsia="宋体" w:cs="Times New Roman"/>
          <w:bCs/>
          <w:szCs w:val="21"/>
        </w:rPr>
        <w:t>。</w:t>
      </w:r>
    </w:p>
    <w:p w14:paraId="0E4DC2A4">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2.2 1%</w:t>
      </w:r>
      <w:r>
        <w:rPr>
          <w:rFonts w:hint="eastAsia" w:ascii="宋体" w:hAnsi="宋体" w:eastAsia="宋体" w:cs="Times New Roman"/>
          <w:bCs/>
          <w:szCs w:val="21"/>
        </w:rPr>
        <w:t>戊二醛溶液。</w:t>
      </w:r>
    </w:p>
    <w:p w14:paraId="5830C1F4">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.2.3 </w:t>
      </w:r>
      <w:r>
        <w:rPr>
          <w:rFonts w:hint="eastAsia" w:ascii="宋体" w:hAnsi="宋体" w:eastAsia="宋体" w:cs="Times New Roman"/>
          <w:bCs/>
          <w:szCs w:val="21"/>
        </w:rPr>
        <w:t>饱和草酸双氧铀溶液。</w:t>
      </w:r>
    </w:p>
    <w:p w14:paraId="618D8634">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A.3 检测步骤</w:t>
      </w:r>
    </w:p>
    <w:p w14:paraId="0D626D8F">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3.1 </w:t>
      </w:r>
      <w:r>
        <w:rPr>
          <w:rFonts w:hint="eastAsia" w:ascii="宋体" w:hAnsi="宋体" w:eastAsia="宋体" w:cs="Times New Roman"/>
          <w:bCs/>
          <w:szCs w:val="21"/>
        </w:rPr>
        <w:t>将小细胞外囊泡样本滴加在F</w:t>
      </w:r>
      <w:r>
        <w:rPr>
          <w:rFonts w:ascii="宋体" w:hAnsi="宋体" w:eastAsia="宋体" w:cs="Times New Roman"/>
          <w:bCs/>
          <w:szCs w:val="21"/>
        </w:rPr>
        <w:t>ormvar-carbon</w:t>
      </w:r>
      <w:r>
        <w:rPr>
          <w:rFonts w:hint="eastAsia" w:ascii="宋体" w:hAnsi="宋体" w:eastAsia="宋体" w:cs="Times New Roman"/>
          <w:bCs/>
          <w:szCs w:val="21"/>
        </w:rPr>
        <w:t>载样铜网上，室温静置2</w:t>
      </w:r>
      <w:r>
        <w:rPr>
          <w:rFonts w:ascii="宋体" w:hAnsi="宋体" w:eastAsia="宋体" w:cs="Times New Roman"/>
          <w:bCs/>
          <w:szCs w:val="21"/>
        </w:rPr>
        <w:t>0</w:t>
      </w:r>
      <w:r>
        <w:rPr>
          <w:rFonts w:hint="eastAsia" w:ascii="宋体" w:hAnsi="宋体" w:eastAsia="宋体" w:cs="Times New Roman"/>
          <w:bCs/>
          <w:szCs w:val="21"/>
        </w:rPr>
        <w:t>min。</w:t>
      </w:r>
    </w:p>
    <w:p w14:paraId="1411B34F">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.3.2 </w:t>
      </w:r>
      <w:r>
        <w:rPr>
          <w:rFonts w:hint="eastAsia" w:ascii="宋体" w:hAnsi="宋体" w:eastAsia="宋体" w:cs="Times New Roman"/>
          <w:bCs/>
          <w:szCs w:val="21"/>
        </w:rPr>
        <w:t>滴加适量磷酸盐缓冲液于样本上，清洗</w:t>
      </w:r>
      <w:r>
        <w:rPr>
          <w:rFonts w:ascii="宋体" w:hAnsi="宋体" w:eastAsia="宋体" w:cs="Times New Roman"/>
          <w:bCs/>
          <w:szCs w:val="21"/>
        </w:rPr>
        <w:t>3</w:t>
      </w:r>
      <w:r>
        <w:rPr>
          <w:rFonts w:hint="eastAsia" w:ascii="宋体" w:hAnsi="宋体" w:eastAsia="宋体" w:cs="Times New Roman"/>
          <w:bCs/>
          <w:szCs w:val="21"/>
        </w:rPr>
        <w:t>次。</w:t>
      </w:r>
    </w:p>
    <w:p w14:paraId="0618A58F">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.3.3 </w:t>
      </w:r>
      <w:r>
        <w:rPr>
          <w:rFonts w:hint="eastAsia" w:ascii="宋体" w:hAnsi="宋体" w:eastAsia="宋体" w:cs="Times New Roman"/>
          <w:bCs/>
          <w:szCs w:val="21"/>
        </w:rPr>
        <w:t>滴加适量1</w:t>
      </w:r>
      <w:r>
        <w:rPr>
          <w:rFonts w:ascii="宋体" w:hAnsi="宋体" w:eastAsia="宋体" w:cs="Times New Roman"/>
          <w:bCs/>
          <w:szCs w:val="21"/>
        </w:rPr>
        <w:t>%</w:t>
      </w:r>
      <w:r>
        <w:rPr>
          <w:rFonts w:hint="eastAsia" w:ascii="宋体" w:hAnsi="宋体" w:eastAsia="宋体" w:cs="Times New Roman"/>
          <w:bCs/>
          <w:szCs w:val="21"/>
        </w:rPr>
        <w:t>戊二醛溶液于样本上，固定5min，随后用超纯水清洗8次。</w:t>
      </w:r>
    </w:p>
    <w:p w14:paraId="7A9419D7">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.3.4 </w:t>
      </w:r>
      <w:r>
        <w:rPr>
          <w:rFonts w:hint="eastAsia" w:ascii="宋体" w:hAnsi="宋体" w:eastAsia="宋体" w:cs="Times New Roman"/>
          <w:bCs/>
          <w:szCs w:val="21"/>
        </w:rPr>
        <w:t>用饱和草酸双氧铀溶液染色5min。</w:t>
      </w:r>
    </w:p>
    <w:p w14:paraId="1EB04478">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 xml:space="preserve">.3.5 </w:t>
      </w:r>
      <w:r>
        <w:rPr>
          <w:rFonts w:hint="eastAsia" w:ascii="宋体" w:hAnsi="宋体" w:eastAsia="宋体" w:cs="Times New Roman"/>
          <w:bCs/>
          <w:szCs w:val="21"/>
        </w:rPr>
        <w:t>铜网在室温下干燥1</w:t>
      </w:r>
      <w:r>
        <w:rPr>
          <w:rFonts w:ascii="宋体" w:hAnsi="宋体" w:eastAsia="宋体" w:cs="Times New Roman"/>
          <w:bCs/>
          <w:szCs w:val="21"/>
        </w:rPr>
        <w:t>0</w:t>
      </w:r>
      <w:r>
        <w:rPr>
          <w:rFonts w:hint="eastAsia" w:ascii="宋体" w:hAnsi="宋体" w:eastAsia="宋体" w:cs="Times New Roman"/>
          <w:bCs/>
          <w:szCs w:val="21"/>
        </w:rPr>
        <w:t>min。</w:t>
      </w:r>
    </w:p>
    <w:p w14:paraId="6B3F70B4">
      <w:pPr>
        <w:rPr>
          <w:rFonts w:hint="eastAsia" w:ascii="宋体" w:hAnsi="宋体" w:eastAsia="宋体" w:cs="Times New Roman"/>
          <w:bCs/>
          <w:szCs w:val="21"/>
        </w:rPr>
      </w:pPr>
      <w:r>
        <w:rPr>
          <w:rFonts w:hint="eastAsia" w:ascii="宋体" w:hAnsi="宋体" w:eastAsia="宋体" w:cs="Times New Roman"/>
          <w:bCs/>
          <w:szCs w:val="21"/>
        </w:rPr>
        <w:t>A</w:t>
      </w:r>
      <w:r>
        <w:rPr>
          <w:rFonts w:ascii="宋体" w:hAnsi="宋体" w:eastAsia="宋体" w:cs="Times New Roman"/>
          <w:bCs/>
          <w:szCs w:val="21"/>
        </w:rPr>
        <w:t>.3.6</w:t>
      </w:r>
      <w:r>
        <w:rPr>
          <w:rFonts w:hint="eastAsia" w:ascii="宋体" w:hAnsi="宋体" w:eastAsia="宋体" w:cs="Times New Roman"/>
          <w:bCs/>
          <w:szCs w:val="21"/>
        </w:rPr>
        <w:t xml:space="preserve"> 按照仪器说明书，将铜网置于透射电子显微镜样本室内，观测小细胞外囊泡的形态。</w:t>
      </w:r>
    </w:p>
    <w:p w14:paraId="179B4056">
      <w:pPr>
        <w:widowControl/>
        <w:jc w:val="left"/>
        <w:rPr>
          <w:rFonts w:hint="eastAsia" w:ascii="宋体" w:hAnsi="宋体" w:eastAsia="宋体" w:cs="Times New Roman"/>
          <w:b/>
          <w:szCs w:val="21"/>
        </w:rPr>
      </w:pPr>
      <w:r>
        <w:rPr>
          <w:rFonts w:ascii="宋体" w:hAnsi="宋体" w:eastAsia="宋体" w:cs="Times New Roman"/>
          <w:b/>
          <w:szCs w:val="21"/>
        </w:rPr>
        <w:br w:type="page"/>
      </w:r>
    </w:p>
    <w:p w14:paraId="1F197FBC">
      <w:pPr>
        <w:jc w:val="center"/>
        <w:rPr>
          <w:rFonts w:hint="eastAsia" w:ascii="黑体" w:hAnsi="黑体" w:eastAsia="黑体" w:cs="黑体"/>
          <w:bCs/>
          <w:szCs w:val="21"/>
        </w:rPr>
      </w:pPr>
      <w:bookmarkStart w:id="16" w:name="_Toc16442_WPSOffice_Level1"/>
      <w:r>
        <w:rPr>
          <w:rFonts w:hint="eastAsia" w:ascii="黑体" w:hAnsi="黑体" w:eastAsia="黑体" w:cs="黑体"/>
          <w:bCs/>
          <w:szCs w:val="21"/>
        </w:rPr>
        <w:t>附录B</w:t>
      </w:r>
    </w:p>
    <w:p w14:paraId="30462012">
      <w:pPr>
        <w:jc w:val="center"/>
        <w:rPr>
          <w:rFonts w:hint="eastAsia" w:ascii="黑体" w:hAnsi="黑体" w:eastAsia="黑体" w:cs="黑体"/>
          <w:bCs/>
          <w:szCs w:val="21"/>
        </w:rPr>
      </w:pPr>
      <w:r>
        <w:rPr>
          <w:rFonts w:hint="eastAsia" w:ascii="黑体" w:hAnsi="黑体" w:eastAsia="黑体" w:cs="黑体"/>
          <w:bCs/>
          <w:szCs w:val="21"/>
        </w:rPr>
        <w:t>（规范性）</w:t>
      </w:r>
    </w:p>
    <w:p w14:paraId="0D49250A">
      <w:pPr>
        <w:jc w:val="center"/>
        <w:rPr>
          <w:rFonts w:hint="eastAsia" w:ascii="黑体" w:hAnsi="黑体" w:eastAsia="黑体" w:cs="黑体"/>
          <w:bCs/>
          <w:szCs w:val="21"/>
        </w:rPr>
      </w:pPr>
      <w:r>
        <w:rPr>
          <w:rFonts w:hint="eastAsia" w:ascii="黑体" w:hAnsi="黑体" w:eastAsia="黑体" w:cs="黑体"/>
          <w:bCs/>
          <w:szCs w:val="21"/>
        </w:rPr>
        <w:t>小细胞外囊泡数量检测方法（纳米流式检测法)</w:t>
      </w:r>
      <w:bookmarkEnd w:id="16"/>
    </w:p>
    <w:p w14:paraId="4A1EA395">
      <w:pPr>
        <w:jc w:val="center"/>
        <w:rPr>
          <w:rFonts w:hint="eastAsia" w:ascii="黑体" w:hAnsi="黑体" w:eastAsia="黑体" w:cs="黑体"/>
          <w:bCs/>
          <w:szCs w:val="21"/>
        </w:rPr>
      </w:pPr>
    </w:p>
    <w:p w14:paraId="147678C1">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B.1 仪器和设备</w:t>
      </w:r>
    </w:p>
    <w:p w14:paraId="20032DA0">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.1.1 </w:t>
      </w:r>
      <w:r>
        <w:rPr>
          <w:rFonts w:hint="eastAsia" w:ascii="宋体" w:hAnsi="宋体" w:eastAsia="宋体" w:cs="Times New Roman"/>
          <w:bCs/>
          <w:szCs w:val="21"/>
        </w:rPr>
        <w:t>纳米流式仪。</w:t>
      </w:r>
    </w:p>
    <w:p w14:paraId="34FA1EBB">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B.2 试剂</w:t>
      </w:r>
    </w:p>
    <w:p w14:paraId="7A79A9F9">
      <w:pPr>
        <w:pStyle w:val="16"/>
        <w:rPr>
          <w:rFonts w:hint="eastAsia" w:ascii="宋体" w:hAnsi="宋体" w:eastAsia="宋体" w:cs="Times New Roman"/>
          <w:bCs/>
          <w:szCs w:val="21"/>
        </w:rPr>
      </w:pPr>
      <w:r>
        <w:rPr>
          <w:rFonts w:hint="eastAsia" w:ascii="宋体" w:hAnsi="宋体" w:eastAsia="宋体" w:cs="Times New Roman"/>
          <w:bCs/>
          <w:szCs w:val="21"/>
        </w:rPr>
        <w:t>本方法所用试剂均为分析纯，除特别说明外，实验用水均为G</w:t>
      </w:r>
      <w:r>
        <w:rPr>
          <w:rFonts w:ascii="宋体" w:hAnsi="宋体" w:eastAsia="宋体" w:cs="Times New Roman"/>
          <w:bCs/>
          <w:szCs w:val="21"/>
        </w:rPr>
        <w:t>B/T 6682</w:t>
      </w:r>
      <w:r>
        <w:rPr>
          <w:rFonts w:hint="eastAsia" w:ascii="宋体" w:hAnsi="宋体" w:eastAsia="宋体" w:cs="Times New Roman"/>
          <w:bCs/>
          <w:szCs w:val="21"/>
        </w:rPr>
        <w:t>规定的一级水。</w:t>
      </w:r>
    </w:p>
    <w:p w14:paraId="287A9E95">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.2.1 </w:t>
      </w:r>
      <w:r>
        <w:rPr>
          <w:rFonts w:hint="eastAsia" w:ascii="宋体" w:hAnsi="宋体" w:eastAsia="宋体" w:cs="Times New Roman"/>
          <w:bCs/>
          <w:szCs w:val="21"/>
        </w:rPr>
        <w:t>磷酸盐缓冲液：pH为7</w:t>
      </w:r>
      <w:r>
        <w:rPr>
          <w:rFonts w:ascii="宋体" w:hAnsi="宋体" w:eastAsia="宋体" w:cs="Times New Roman"/>
          <w:bCs/>
          <w:szCs w:val="21"/>
        </w:rPr>
        <w:t>.4</w:t>
      </w:r>
      <w:r>
        <w:rPr>
          <w:rFonts w:hint="eastAsia" w:ascii="宋体" w:hAnsi="宋体" w:eastAsia="宋体" w:cs="Times New Roman"/>
          <w:bCs/>
          <w:szCs w:val="21"/>
        </w:rPr>
        <w:t>。</w:t>
      </w:r>
    </w:p>
    <w:p w14:paraId="03228DFA">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.2.2 </w:t>
      </w:r>
      <w:r>
        <w:rPr>
          <w:rFonts w:hint="eastAsia" w:ascii="宋体" w:hAnsi="宋体" w:eastAsia="宋体" w:cs="Times New Roman"/>
          <w:bCs/>
          <w:szCs w:val="21"/>
        </w:rPr>
        <w:t>纳米流式仪浓度标准品（1.99×</w:t>
      </w:r>
      <w:r>
        <w:rPr>
          <w:rFonts w:ascii="宋体" w:hAnsi="宋体" w:eastAsia="宋体" w:cs="Times New Roman"/>
          <w:bCs/>
          <w:szCs w:val="21"/>
        </w:rPr>
        <w:t>1010</w:t>
      </w:r>
      <w:r>
        <w:rPr>
          <w:rFonts w:hint="eastAsia" w:ascii="宋体" w:hAnsi="宋体" w:eastAsia="宋体" w:cs="Times New Roman"/>
          <w:bCs/>
          <w:szCs w:val="21"/>
        </w:rPr>
        <w:t>个颗粒</w:t>
      </w:r>
      <w:r>
        <w:rPr>
          <w:rFonts w:ascii="宋体" w:hAnsi="宋体" w:eastAsia="宋体" w:cs="Times New Roman"/>
          <w:bCs/>
          <w:szCs w:val="21"/>
        </w:rPr>
        <w:t>/</w:t>
      </w:r>
      <w:r>
        <w:rPr>
          <w:rFonts w:hint="eastAsia" w:ascii="宋体" w:hAnsi="宋体" w:eastAsia="宋体" w:cs="Times New Roman"/>
          <w:bCs/>
          <w:szCs w:val="21"/>
        </w:rPr>
        <w:t>mL）。</w:t>
      </w:r>
    </w:p>
    <w:p w14:paraId="5FAD6D1C">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B.3 检测步骤</w:t>
      </w:r>
    </w:p>
    <w:p w14:paraId="1B3FBB58">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.3.1 </w:t>
      </w:r>
      <w:r>
        <w:rPr>
          <w:rFonts w:hint="eastAsia" w:ascii="宋体" w:hAnsi="宋体" w:eastAsia="宋体" w:cs="Times New Roman"/>
          <w:bCs/>
          <w:szCs w:val="21"/>
        </w:rPr>
        <w:t>按照使用说明，对纳米流式仪进行液流初始化和管路气泡排出。</w:t>
      </w:r>
    </w:p>
    <w:p w14:paraId="7702E639">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.3.2 </w:t>
      </w:r>
      <w:r>
        <w:rPr>
          <w:rFonts w:hint="eastAsia" w:ascii="宋体" w:hAnsi="宋体" w:eastAsia="宋体" w:cs="Times New Roman"/>
          <w:bCs/>
          <w:szCs w:val="21"/>
        </w:rPr>
        <w:t>用超纯水将浓度标准品稀释1</w:t>
      </w:r>
      <w:r>
        <w:rPr>
          <w:rFonts w:ascii="宋体" w:hAnsi="宋体" w:eastAsia="宋体" w:cs="Times New Roman"/>
          <w:bCs/>
          <w:szCs w:val="21"/>
        </w:rPr>
        <w:t>00</w:t>
      </w:r>
      <w:r>
        <w:rPr>
          <w:rFonts w:hint="eastAsia" w:ascii="宋体" w:hAnsi="宋体" w:eastAsia="宋体" w:cs="Times New Roman"/>
          <w:bCs/>
          <w:szCs w:val="21"/>
        </w:rPr>
        <w:t>倍，按照使用说明进行纳米流式仪的质控，将纳米流式仪调试到最佳检测状态后（散射和荧光通道的信号均达到最强且均一），在浓度标准品的测量参数下对稀释后的标准品采集数据（在最佳状态下，质控标准品颗粒数计数值范围通常在5</w:t>
      </w:r>
      <w:r>
        <w:rPr>
          <w:rFonts w:ascii="宋体" w:hAnsi="宋体" w:eastAsia="宋体" w:cs="Times New Roman"/>
          <w:bCs/>
          <w:szCs w:val="21"/>
        </w:rPr>
        <w:t>000</w:t>
      </w:r>
      <w:r>
        <w:rPr>
          <w:rFonts w:hint="eastAsia" w:ascii="宋体" w:hAnsi="宋体" w:eastAsia="宋体" w:cs="Times New Roman"/>
          <w:bCs/>
          <w:szCs w:val="21"/>
        </w:rPr>
        <w:t>-</w:t>
      </w:r>
      <w:r>
        <w:rPr>
          <w:rFonts w:ascii="宋体" w:hAnsi="宋体" w:eastAsia="宋体" w:cs="Times New Roman"/>
          <w:bCs/>
          <w:szCs w:val="21"/>
        </w:rPr>
        <w:t>7000</w:t>
      </w:r>
      <w:r>
        <w:rPr>
          <w:rFonts w:hint="eastAsia" w:ascii="宋体" w:hAnsi="宋体" w:eastAsia="宋体" w:cs="Times New Roman"/>
          <w:bCs/>
          <w:szCs w:val="21"/>
        </w:rPr>
        <w:t>）。</w:t>
      </w:r>
    </w:p>
    <w:p w14:paraId="45470EF2">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.3.3 </w:t>
      </w:r>
      <w:r>
        <w:rPr>
          <w:rFonts w:hint="eastAsia" w:ascii="宋体" w:hAnsi="宋体" w:eastAsia="宋体" w:cs="Times New Roman"/>
          <w:bCs/>
          <w:szCs w:val="21"/>
        </w:rPr>
        <w:t>按照使用说明，依次用洗液和超纯水清洗进样毛细管。</w:t>
      </w:r>
    </w:p>
    <w:p w14:paraId="521525AA">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.3.4 </w:t>
      </w:r>
      <w:r>
        <w:rPr>
          <w:rFonts w:hint="eastAsia" w:ascii="宋体" w:hAnsi="宋体" w:eastAsia="宋体" w:cs="Times New Roman"/>
          <w:bCs/>
          <w:szCs w:val="21"/>
        </w:rPr>
        <w:t>在</w:t>
      </w:r>
      <w:r>
        <w:rPr>
          <w:rFonts w:ascii="宋体" w:hAnsi="宋体" w:eastAsia="宋体" w:cs="Times New Roman"/>
          <w:bCs/>
          <w:szCs w:val="21"/>
        </w:rPr>
        <w:t>Labelled Exo样品</w:t>
      </w:r>
      <w:r>
        <w:rPr>
          <w:rFonts w:hint="eastAsia" w:ascii="宋体" w:hAnsi="宋体" w:eastAsia="宋体" w:cs="Times New Roman"/>
          <w:bCs/>
          <w:szCs w:val="21"/>
        </w:rPr>
        <w:t>测量参数下检测磷酸盐缓冲液的颗粒数，确定磷酸盐缓冲液的洁净度，颗粒数计数小于3</w:t>
      </w:r>
      <w:r>
        <w:rPr>
          <w:rFonts w:ascii="宋体" w:hAnsi="宋体" w:eastAsia="宋体" w:cs="Times New Roman"/>
          <w:bCs/>
          <w:szCs w:val="21"/>
        </w:rPr>
        <w:t>00</w:t>
      </w:r>
      <w:r>
        <w:rPr>
          <w:rFonts w:hint="eastAsia" w:ascii="宋体" w:hAnsi="宋体" w:eastAsia="宋体" w:cs="Times New Roman"/>
          <w:bCs/>
          <w:szCs w:val="21"/>
        </w:rPr>
        <w:t>的磷酸盐缓冲液才能作为空白对照的数据采集并用于后续的样品稀释。如果颗粒数计数高于300，需用0.22</w:t>
      </w:r>
      <w:bookmarkStart w:id="17" w:name="_Hlk200644173"/>
      <w:r>
        <w:rPr>
          <w:rFonts w:hint="eastAsia" w:ascii="宋体" w:hAnsi="宋体" w:eastAsia="宋体" w:cs="Times New Roman"/>
          <w:bCs/>
          <w:szCs w:val="21"/>
        </w:rPr>
        <w:t>μｍ</w:t>
      </w:r>
      <w:bookmarkEnd w:id="17"/>
      <w:r>
        <w:rPr>
          <w:rFonts w:hint="eastAsia" w:ascii="宋体" w:hAnsi="宋体" w:eastAsia="宋体" w:cs="Times New Roman"/>
          <w:bCs/>
          <w:szCs w:val="21"/>
        </w:rPr>
        <w:t>的滤膜过滤。</w:t>
      </w:r>
    </w:p>
    <w:p w14:paraId="1052DD1A">
      <w:pPr>
        <w:rPr>
          <w:rFonts w:hint="eastAsia" w:ascii="宋体" w:hAnsi="宋体" w:eastAsia="宋体" w:cs="Times New Roman"/>
          <w:bCs/>
          <w:szCs w:val="21"/>
        </w:rPr>
      </w:pPr>
      <w:r>
        <w:rPr>
          <w:rFonts w:hint="eastAsia" w:ascii="宋体" w:hAnsi="宋体" w:eastAsia="宋体" w:cs="Times New Roman"/>
          <w:bCs/>
          <w:szCs w:val="21"/>
        </w:rPr>
        <w:t>B</w:t>
      </w:r>
      <w:r>
        <w:rPr>
          <w:rFonts w:ascii="宋体" w:hAnsi="宋体" w:eastAsia="宋体" w:cs="Times New Roman"/>
          <w:bCs/>
          <w:szCs w:val="21"/>
        </w:rPr>
        <w:t xml:space="preserve">.3.5 </w:t>
      </w:r>
      <w:r>
        <w:rPr>
          <w:rFonts w:hint="eastAsia" w:ascii="宋体" w:hAnsi="宋体" w:eastAsia="宋体" w:cs="Times New Roman"/>
          <w:bCs/>
          <w:szCs w:val="21"/>
        </w:rPr>
        <w:t>用洁净的磷酸盐缓冲液将小细胞外囊泡样品预稀释1</w:t>
      </w:r>
      <w:r>
        <w:rPr>
          <w:rFonts w:ascii="宋体" w:hAnsi="宋体" w:eastAsia="宋体" w:cs="Times New Roman"/>
          <w:bCs/>
          <w:szCs w:val="21"/>
        </w:rPr>
        <w:t>00</w:t>
      </w:r>
      <w:r>
        <w:rPr>
          <w:rFonts w:hint="eastAsia" w:ascii="宋体" w:hAnsi="宋体" w:eastAsia="宋体" w:cs="Times New Roman"/>
          <w:bCs/>
          <w:szCs w:val="21"/>
        </w:rPr>
        <w:t>倍，在</w:t>
      </w:r>
      <w:r>
        <w:rPr>
          <w:rFonts w:ascii="宋体" w:hAnsi="宋体" w:eastAsia="宋体" w:cs="Times New Roman"/>
          <w:bCs/>
          <w:szCs w:val="21"/>
        </w:rPr>
        <w:t>Labelled Exo样品</w:t>
      </w:r>
      <w:r>
        <w:rPr>
          <w:rFonts w:hint="eastAsia" w:ascii="宋体" w:hAnsi="宋体" w:eastAsia="宋体" w:cs="Times New Roman"/>
          <w:bCs/>
          <w:szCs w:val="21"/>
        </w:rPr>
        <w:t>测量参数对小细胞外囊泡样本进行数据采集。纳米流式仪颗粒计数在4</w:t>
      </w:r>
      <w:r>
        <w:rPr>
          <w:rFonts w:ascii="宋体" w:hAnsi="宋体" w:eastAsia="宋体" w:cs="Times New Roman"/>
          <w:bCs/>
          <w:szCs w:val="21"/>
        </w:rPr>
        <w:t>000</w:t>
      </w:r>
      <w:r>
        <w:rPr>
          <w:rFonts w:hint="eastAsia" w:ascii="宋体" w:hAnsi="宋体" w:eastAsia="宋体" w:cs="Times New Roman"/>
          <w:bCs/>
          <w:szCs w:val="21"/>
        </w:rPr>
        <w:t>-</w:t>
      </w:r>
      <w:r>
        <w:rPr>
          <w:rFonts w:ascii="宋体" w:hAnsi="宋体" w:eastAsia="宋体" w:cs="Times New Roman"/>
          <w:bCs/>
          <w:szCs w:val="21"/>
        </w:rPr>
        <w:t>8000</w:t>
      </w:r>
      <w:r>
        <w:rPr>
          <w:rFonts w:hint="eastAsia" w:ascii="宋体" w:hAnsi="宋体" w:eastAsia="宋体" w:cs="Times New Roman"/>
          <w:bCs/>
          <w:szCs w:val="21"/>
        </w:rPr>
        <w:t>之间为准确测量范围，若样品颗粒数计数过高或过低，则需调整样品的稀释倍数，再进行测定，记下样品的最终稀释倍数。另外需注意样品上机检测时散射通道的基线和自动阈值应与空白对照一致，若样品检测时出现基线抬升，则需重新制备更高纯度的样品。</w:t>
      </w:r>
    </w:p>
    <w:p w14:paraId="55F8E8F7">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B.4 结果分析</w:t>
      </w:r>
    </w:p>
    <w:p w14:paraId="490E2040">
      <w:pPr>
        <w:pStyle w:val="16"/>
        <w:rPr>
          <w:rFonts w:hint="eastAsia" w:ascii="宋体" w:hAnsi="宋体" w:eastAsia="宋体" w:cs="Times New Roman"/>
          <w:bCs/>
          <w:szCs w:val="21"/>
        </w:rPr>
      </w:pPr>
      <w:r>
        <w:rPr>
          <w:rFonts w:hint="eastAsia" w:ascii="宋体" w:hAnsi="宋体" w:eastAsia="宋体" w:cs="Times New Roman"/>
          <w:bCs/>
          <w:szCs w:val="21"/>
        </w:rPr>
        <w:t>按照</w:t>
      </w:r>
      <w:r>
        <w:rPr>
          <w:rFonts w:ascii="宋体" w:hAnsi="宋体" w:eastAsia="宋体" w:cs="Times New Roman"/>
          <w:bCs/>
          <w:szCs w:val="21"/>
        </w:rPr>
        <w:t>NF Profession</w:t>
      </w:r>
      <w:r>
        <w:rPr>
          <w:rFonts w:hint="eastAsia" w:ascii="宋体" w:hAnsi="宋体" w:eastAsia="宋体" w:cs="Times New Roman"/>
          <w:bCs/>
          <w:szCs w:val="21"/>
        </w:rPr>
        <w:t>软件使用说明书进行分析，得到待测样品浓度检测报告。</w:t>
      </w:r>
    </w:p>
    <w:p w14:paraId="67C02BFE">
      <w:pPr>
        <w:widowControl/>
        <w:jc w:val="left"/>
        <w:rPr>
          <w:rFonts w:hint="eastAsia" w:ascii="宋体" w:hAnsi="宋体" w:eastAsia="宋体" w:cs="Times New Roman"/>
          <w:b/>
          <w:szCs w:val="21"/>
        </w:rPr>
      </w:pPr>
      <w:r>
        <w:rPr>
          <w:rFonts w:ascii="宋体" w:hAnsi="宋体" w:eastAsia="宋体" w:cs="Times New Roman"/>
          <w:b/>
          <w:szCs w:val="21"/>
        </w:rPr>
        <w:br w:type="page"/>
      </w:r>
    </w:p>
    <w:p w14:paraId="44380FA4">
      <w:pPr>
        <w:jc w:val="center"/>
        <w:rPr>
          <w:rFonts w:hint="eastAsia" w:ascii="黑体" w:hAnsi="黑体" w:eastAsia="黑体" w:cs="黑体"/>
          <w:bCs/>
          <w:szCs w:val="21"/>
        </w:rPr>
      </w:pPr>
      <w:bookmarkStart w:id="18" w:name="_Toc7047_WPSOffice_Level1"/>
      <w:r>
        <w:rPr>
          <w:rFonts w:hint="eastAsia" w:ascii="黑体" w:hAnsi="黑体" w:eastAsia="黑体" w:cs="黑体"/>
          <w:bCs/>
          <w:szCs w:val="21"/>
        </w:rPr>
        <w:t>附录C</w:t>
      </w:r>
    </w:p>
    <w:p w14:paraId="35BCF1A7">
      <w:pPr>
        <w:jc w:val="center"/>
        <w:rPr>
          <w:rFonts w:hint="eastAsia" w:ascii="黑体" w:hAnsi="黑体" w:eastAsia="黑体" w:cs="黑体"/>
          <w:bCs/>
          <w:szCs w:val="21"/>
        </w:rPr>
      </w:pPr>
      <w:r>
        <w:rPr>
          <w:rFonts w:hint="eastAsia" w:ascii="黑体" w:hAnsi="黑体" w:eastAsia="黑体" w:cs="黑体"/>
          <w:bCs/>
          <w:szCs w:val="21"/>
        </w:rPr>
        <w:t>（规范性）</w:t>
      </w:r>
    </w:p>
    <w:p w14:paraId="2C8F5CCD">
      <w:pPr>
        <w:jc w:val="center"/>
        <w:rPr>
          <w:rFonts w:hint="eastAsia" w:ascii="黑体" w:hAnsi="黑体" w:eastAsia="黑体" w:cs="黑体"/>
          <w:bCs/>
          <w:szCs w:val="21"/>
        </w:rPr>
      </w:pPr>
      <w:r>
        <w:rPr>
          <w:rFonts w:hint="eastAsia" w:ascii="黑体" w:hAnsi="黑体" w:eastAsia="黑体" w:cs="黑体"/>
          <w:bCs/>
          <w:szCs w:val="21"/>
        </w:rPr>
        <w:t>小细胞外囊泡粒径检测方法（纳米流式检测法）</w:t>
      </w:r>
      <w:bookmarkEnd w:id="18"/>
    </w:p>
    <w:p w14:paraId="12E7E2BE">
      <w:pPr>
        <w:jc w:val="center"/>
        <w:rPr>
          <w:rFonts w:hint="eastAsia" w:ascii="黑体" w:hAnsi="黑体" w:eastAsia="黑体" w:cs="黑体"/>
          <w:bCs/>
          <w:szCs w:val="21"/>
        </w:rPr>
      </w:pPr>
    </w:p>
    <w:p w14:paraId="64F24453">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C.1 仪器和设备</w:t>
      </w:r>
    </w:p>
    <w:p w14:paraId="3D3411EC">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.1.1 </w:t>
      </w:r>
      <w:r>
        <w:rPr>
          <w:rFonts w:hint="eastAsia" w:ascii="宋体" w:hAnsi="宋体" w:eastAsia="宋体" w:cs="Times New Roman"/>
          <w:bCs/>
          <w:szCs w:val="21"/>
        </w:rPr>
        <w:t>纳米流式仪。</w:t>
      </w:r>
    </w:p>
    <w:p w14:paraId="11A0688C">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C.2 试剂</w:t>
      </w:r>
    </w:p>
    <w:p w14:paraId="51D78638">
      <w:pPr>
        <w:pStyle w:val="16"/>
        <w:rPr>
          <w:rFonts w:hint="eastAsia" w:ascii="宋体" w:hAnsi="宋体" w:eastAsia="宋体" w:cs="Times New Roman"/>
          <w:bCs/>
          <w:szCs w:val="21"/>
        </w:rPr>
      </w:pPr>
      <w:r>
        <w:rPr>
          <w:rFonts w:hint="eastAsia" w:ascii="宋体" w:hAnsi="宋体" w:eastAsia="宋体" w:cs="Times New Roman"/>
          <w:bCs/>
          <w:szCs w:val="21"/>
        </w:rPr>
        <w:t>本方法所用试剂均为分析纯，除特别说明外，实验用水均为G</w:t>
      </w:r>
      <w:r>
        <w:rPr>
          <w:rFonts w:ascii="宋体" w:hAnsi="宋体" w:eastAsia="宋体" w:cs="Times New Roman"/>
          <w:bCs/>
          <w:szCs w:val="21"/>
        </w:rPr>
        <w:t>B/T 6682</w:t>
      </w:r>
      <w:r>
        <w:rPr>
          <w:rFonts w:hint="eastAsia" w:ascii="宋体" w:hAnsi="宋体" w:eastAsia="宋体" w:cs="Times New Roman"/>
          <w:bCs/>
          <w:szCs w:val="21"/>
        </w:rPr>
        <w:t>规定的一级水。</w:t>
      </w:r>
    </w:p>
    <w:p w14:paraId="5444F77F">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.2.1 </w:t>
      </w:r>
      <w:r>
        <w:rPr>
          <w:rFonts w:hint="eastAsia" w:ascii="宋体" w:hAnsi="宋体" w:eastAsia="宋体" w:cs="Times New Roman"/>
          <w:bCs/>
          <w:szCs w:val="21"/>
        </w:rPr>
        <w:t>磷酸盐缓冲液：pH为7</w:t>
      </w:r>
      <w:r>
        <w:rPr>
          <w:rFonts w:ascii="宋体" w:hAnsi="宋体" w:eastAsia="宋体" w:cs="Times New Roman"/>
          <w:bCs/>
          <w:szCs w:val="21"/>
        </w:rPr>
        <w:t>.4</w:t>
      </w:r>
      <w:r>
        <w:rPr>
          <w:rFonts w:hint="eastAsia" w:ascii="宋体" w:hAnsi="宋体" w:eastAsia="宋体" w:cs="Times New Roman"/>
          <w:bCs/>
          <w:szCs w:val="21"/>
        </w:rPr>
        <w:t>。</w:t>
      </w:r>
    </w:p>
    <w:p w14:paraId="74D7A537">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.2.2 </w:t>
      </w:r>
      <w:r>
        <w:rPr>
          <w:rFonts w:hint="eastAsia" w:ascii="宋体" w:hAnsi="宋体" w:eastAsia="宋体" w:cs="Times New Roman"/>
          <w:bCs/>
          <w:szCs w:val="21"/>
        </w:rPr>
        <w:t>纳米流式仪浓度标准品（1.99×</w:t>
      </w:r>
      <w:r>
        <w:rPr>
          <w:rFonts w:ascii="宋体" w:hAnsi="宋体" w:eastAsia="宋体" w:cs="Times New Roman"/>
          <w:bCs/>
          <w:szCs w:val="21"/>
        </w:rPr>
        <w:t>10</w:t>
      </w:r>
      <w:r>
        <w:rPr>
          <w:rFonts w:ascii="宋体" w:hAnsi="宋体" w:eastAsia="宋体" w:cs="Times New Roman"/>
          <w:bCs/>
          <w:szCs w:val="21"/>
          <w:vertAlign w:val="superscript"/>
        </w:rPr>
        <w:t>10</w:t>
      </w:r>
      <w:r>
        <w:rPr>
          <w:rFonts w:hint="eastAsia" w:ascii="宋体" w:hAnsi="宋体" w:eastAsia="宋体" w:cs="Times New Roman"/>
          <w:bCs/>
          <w:szCs w:val="21"/>
        </w:rPr>
        <w:t>个颗粒</w:t>
      </w:r>
      <w:r>
        <w:rPr>
          <w:rFonts w:ascii="宋体" w:hAnsi="宋体" w:eastAsia="宋体" w:cs="Times New Roman"/>
          <w:bCs/>
          <w:szCs w:val="21"/>
        </w:rPr>
        <w:t>/</w:t>
      </w:r>
      <w:r>
        <w:rPr>
          <w:rFonts w:hint="eastAsia" w:ascii="宋体" w:hAnsi="宋体" w:eastAsia="宋体" w:cs="Times New Roman"/>
          <w:bCs/>
          <w:szCs w:val="21"/>
        </w:rPr>
        <w:t>mL）、S</w:t>
      </w:r>
      <w:r>
        <w:rPr>
          <w:rFonts w:ascii="宋体" w:hAnsi="宋体" w:eastAsia="宋体" w:cs="Times New Roman"/>
          <w:bCs/>
          <w:szCs w:val="21"/>
        </w:rPr>
        <w:t>16M-</w:t>
      </w:r>
      <w:r>
        <w:rPr>
          <w:rFonts w:hint="eastAsia" w:ascii="宋体" w:hAnsi="宋体" w:eastAsia="宋体" w:cs="Times New Roman"/>
          <w:bCs/>
          <w:szCs w:val="21"/>
        </w:rPr>
        <w:t>Exo粒径标准品。</w:t>
      </w:r>
    </w:p>
    <w:p w14:paraId="0FEA2645">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C.3 检测步骤</w:t>
      </w:r>
    </w:p>
    <w:p w14:paraId="24CADF23">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.3.1 </w:t>
      </w:r>
      <w:r>
        <w:rPr>
          <w:rFonts w:hint="eastAsia" w:ascii="宋体" w:hAnsi="宋体" w:eastAsia="宋体" w:cs="Times New Roman"/>
          <w:bCs/>
          <w:szCs w:val="21"/>
        </w:rPr>
        <w:t>按照使用说明，对纳米流式仪进行液流初始化和管路气泡排出。</w:t>
      </w:r>
    </w:p>
    <w:p w14:paraId="15DF12CA">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.3.2 </w:t>
      </w:r>
      <w:r>
        <w:rPr>
          <w:rFonts w:hint="eastAsia" w:ascii="宋体" w:hAnsi="宋体" w:eastAsia="宋体" w:cs="Times New Roman"/>
          <w:bCs/>
          <w:szCs w:val="21"/>
        </w:rPr>
        <w:t>用超纯水将浓度标准品稀释1</w:t>
      </w:r>
      <w:r>
        <w:rPr>
          <w:rFonts w:ascii="宋体" w:hAnsi="宋体" w:eastAsia="宋体" w:cs="Times New Roman"/>
          <w:bCs/>
          <w:szCs w:val="21"/>
        </w:rPr>
        <w:t>00</w:t>
      </w:r>
      <w:r>
        <w:rPr>
          <w:rFonts w:hint="eastAsia" w:ascii="宋体" w:hAnsi="宋体" w:eastAsia="宋体" w:cs="Times New Roman"/>
          <w:bCs/>
          <w:szCs w:val="21"/>
        </w:rPr>
        <w:t>倍，按照使用说明进行纳米流式仪的质控，将纳米流式仪调试到最佳检测状态后（散射和荧光通道的信号均达到最强且均一），在浓度标准品的测量参数下对稀释后的标准品采集数据（在最佳状态下，质控标准品颗粒数计数值范围通常在5</w:t>
      </w:r>
      <w:r>
        <w:rPr>
          <w:rFonts w:ascii="宋体" w:hAnsi="宋体" w:eastAsia="宋体" w:cs="Times New Roman"/>
          <w:bCs/>
          <w:szCs w:val="21"/>
        </w:rPr>
        <w:t>000</w:t>
      </w:r>
      <w:r>
        <w:rPr>
          <w:rFonts w:hint="eastAsia" w:ascii="宋体" w:hAnsi="宋体" w:eastAsia="宋体" w:cs="Times New Roman"/>
          <w:bCs/>
          <w:szCs w:val="21"/>
        </w:rPr>
        <w:t>-</w:t>
      </w:r>
      <w:r>
        <w:rPr>
          <w:rFonts w:ascii="宋体" w:hAnsi="宋体" w:eastAsia="宋体" w:cs="Times New Roman"/>
          <w:bCs/>
          <w:szCs w:val="21"/>
        </w:rPr>
        <w:t>7000</w:t>
      </w:r>
      <w:r>
        <w:rPr>
          <w:rFonts w:hint="eastAsia" w:ascii="宋体" w:hAnsi="宋体" w:eastAsia="宋体" w:cs="Times New Roman"/>
          <w:bCs/>
          <w:szCs w:val="21"/>
        </w:rPr>
        <w:t>）。</w:t>
      </w:r>
    </w:p>
    <w:p w14:paraId="29E09764">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.3.3 </w:t>
      </w:r>
      <w:r>
        <w:rPr>
          <w:rFonts w:hint="eastAsia" w:ascii="宋体" w:hAnsi="宋体" w:eastAsia="宋体" w:cs="Times New Roman"/>
          <w:bCs/>
          <w:szCs w:val="21"/>
        </w:rPr>
        <w:t>按照使用说明，依次用洗液和超纯水清洗进样毛细管。</w:t>
      </w:r>
    </w:p>
    <w:p w14:paraId="281CA029">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.3.4 </w:t>
      </w:r>
      <w:r>
        <w:rPr>
          <w:rFonts w:hint="eastAsia" w:ascii="宋体" w:hAnsi="宋体" w:eastAsia="宋体" w:cs="Times New Roman"/>
          <w:bCs/>
          <w:szCs w:val="21"/>
        </w:rPr>
        <w:t>用超纯水将S16M-Exo粒径标准品稀释1</w:t>
      </w:r>
      <w:r>
        <w:rPr>
          <w:rFonts w:ascii="宋体" w:hAnsi="宋体" w:eastAsia="宋体" w:cs="Times New Roman"/>
          <w:bCs/>
          <w:szCs w:val="21"/>
        </w:rPr>
        <w:t>00</w:t>
      </w:r>
      <w:r>
        <w:rPr>
          <w:rFonts w:hint="eastAsia" w:ascii="宋体" w:hAnsi="宋体" w:eastAsia="宋体" w:cs="Times New Roman"/>
          <w:bCs/>
          <w:szCs w:val="21"/>
        </w:rPr>
        <w:t>倍，在S16M-Exo粒径标准品测量参数下对稀释后的粒径标准品进行采集数据。</w:t>
      </w:r>
    </w:p>
    <w:p w14:paraId="6D390DA6">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.3.5 </w:t>
      </w:r>
      <w:r>
        <w:rPr>
          <w:rFonts w:hint="eastAsia" w:ascii="宋体" w:hAnsi="宋体" w:eastAsia="宋体" w:cs="Times New Roman"/>
          <w:bCs/>
          <w:szCs w:val="21"/>
        </w:rPr>
        <w:t>按照使用说明，依次用洗液和超纯水清洗进样毛细管。</w:t>
      </w:r>
    </w:p>
    <w:p w14:paraId="40CD8175">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.3.6 </w:t>
      </w:r>
      <w:r>
        <w:rPr>
          <w:rFonts w:hint="eastAsia" w:ascii="宋体" w:hAnsi="宋体" w:eastAsia="宋体" w:cs="Times New Roman"/>
          <w:bCs/>
          <w:szCs w:val="21"/>
        </w:rPr>
        <w:t>在</w:t>
      </w:r>
      <w:r>
        <w:rPr>
          <w:rFonts w:ascii="宋体" w:hAnsi="宋体" w:eastAsia="宋体" w:cs="Times New Roman"/>
          <w:bCs/>
          <w:szCs w:val="21"/>
        </w:rPr>
        <w:t>Labelled Exo样品</w:t>
      </w:r>
      <w:r>
        <w:rPr>
          <w:rFonts w:hint="eastAsia" w:ascii="宋体" w:hAnsi="宋体" w:eastAsia="宋体" w:cs="Times New Roman"/>
          <w:bCs/>
          <w:szCs w:val="21"/>
        </w:rPr>
        <w:t>测量参数下检测磷酸盐缓冲液的颗粒数，确定磷酸盐缓冲液的洁净度，颗粒数计数小于3</w:t>
      </w:r>
      <w:r>
        <w:rPr>
          <w:rFonts w:ascii="宋体" w:hAnsi="宋体" w:eastAsia="宋体" w:cs="Times New Roman"/>
          <w:bCs/>
          <w:szCs w:val="21"/>
        </w:rPr>
        <w:t>00</w:t>
      </w:r>
      <w:r>
        <w:rPr>
          <w:rFonts w:hint="eastAsia" w:ascii="宋体" w:hAnsi="宋体" w:eastAsia="宋体" w:cs="Times New Roman"/>
          <w:bCs/>
          <w:szCs w:val="21"/>
        </w:rPr>
        <w:t>的磷酸盐缓冲液才能作为空白对照的数据采集并用于后续的样品稀释。如果颗粒数计数高于300，需用0.22μｍ的滤膜过滤。</w:t>
      </w:r>
    </w:p>
    <w:p w14:paraId="26EC2B90">
      <w:pPr>
        <w:rPr>
          <w:rFonts w:hint="eastAsia" w:ascii="宋体" w:hAnsi="宋体" w:eastAsia="宋体" w:cs="Times New Roman"/>
          <w:bCs/>
          <w:szCs w:val="21"/>
        </w:rPr>
      </w:pPr>
      <w:r>
        <w:rPr>
          <w:rFonts w:hint="eastAsia" w:ascii="宋体" w:hAnsi="宋体" w:eastAsia="宋体" w:cs="Times New Roman"/>
          <w:bCs/>
          <w:szCs w:val="21"/>
        </w:rPr>
        <w:t>C</w:t>
      </w:r>
      <w:r>
        <w:rPr>
          <w:rFonts w:ascii="宋体" w:hAnsi="宋体" w:eastAsia="宋体" w:cs="Times New Roman"/>
          <w:bCs/>
          <w:szCs w:val="21"/>
        </w:rPr>
        <w:t xml:space="preserve">.3.7 </w:t>
      </w:r>
      <w:r>
        <w:rPr>
          <w:rFonts w:hint="eastAsia" w:ascii="宋体" w:hAnsi="宋体" w:eastAsia="宋体" w:cs="Times New Roman"/>
          <w:bCs/>
          <w:szCs w:val="21"/>
        </w:rPr>
        <w:t>用洁净的磷酸盐缓冲液将小细胞外囊泡样品预稀释1</w:t>
      </w:r>
      <w:r>
        <w:rPr>
          <w:rFonts w:ascii="宋体" w:hAnsi="宋体" w:eastAsia="宋体" w:cs="Times New Roman"/>
          <w:bCs/>
          <w:szCs w:val="21"/>
        </w:rPr>
        <w:t>00</w:t>
      </w:r>
      <w:r>
        <w:rPr>
          <w:rFonts w:hint="eastAsia" w:ascii="宋体" w:hAnsi="宋体" w:eastAsia="宋体" w:cs="Times New Roman"/>
          <w:bCs/>
          <w:szCs w:val="21"/>
        </w:rPr>
        <w:t>倍，在</w:t>
      </w:r>
      <w:r>
        <w:rPr>
          <w:rFonts w:ascii="宋体" w:hAnsi="宋体" w:eastAsia="宋体" w:cs="Times New Roman"/>
          <w:bCs/>
          <w:szCs w:val="21"/>
        </w:rPr>
        <w:t>Labelled Exo样品测</w:t>
      </w:r>
      <w:r>
        <w:rPr>
          <w:rFonts w:hint="eastAsia" w:ascii="宋体" w:hAnsi="宋体" w:eastAsia="宋体" w:cs="Times New Roman"/>
          <w:bCs/>
          <w:szCs w:val="21"/>
        </w:rPr>
        <w:t>量参数对小细胞外囊泡样本进行数据采集。纳米流式仪颗粒计数在4</w:t>
      </w:r>
      <w:r>
        <w:rPr>
          <w:rFonts w:ascii="宋体" w:hAnsi="宋体" w:eastAsia="宋体" w:cs="Times New Roman"/>
          <w:bCs/>
          <w:szCs w:val="21"/>
        </w:rPr>
        <w:t>000</w:t>
      </w:r>
      <w:r>
        <w:rPr>
          <w:rFonts w:hint="eastAsia" w:ascii="宋体" w:hAnsi="宋体" w:eastAsia="宋体" w:cs="Times New Roman"/>
          <w:bCs/>
          <w:szCs w:val="21"/>
        </w:rPr>
        <w:t>-</w:t>
      </w:r>
      <w:r>
        <w:rPr>
          <w:rFonts w:ascii="宋体" w:hAnsi="宋体" w:eastAsia="宋体" w:cs="Times New Roman"/>
          <w:bCs/>
          <w:szCs w:val="21"/>
        </w:rPr>
        <w:t>8000</w:t>
      </w:r>
      <w:r>
        <w:rPr>
          <w:rFonts w:hint="eastAsia" w:ascii="宋体" w:hAnsi="宋体" w:eastAsia="宋体" w:cs="Times New Roman"/>
          <w:bCs/>
          <w:szCs w:val="21"/>
        </w:rPr>
        <w:t>之间为准确测量范围，若样品颗粒数计数过高或过低，则需调整样品的稀释倍数，再进行测定，记下样品的最终稀释倍数。另外需注意样品上机检测时散射通道的基线和自动阈值应与空白对照一致，若样品检测时出现基线抬升，则需重新制备更高纯度的样品。</w:t>
      </w:r>
    </w:p>
    <w:p w14:paraId="4D5006C8">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C.4 结果分析</w:t>
      </w:r>
    </w:p>
    <w:p w14:paraId="12210DD6">
      <w:pPr>
        <w:pStyle w:val="16"/>
        <w:rPr>
          <w:rFonts w:hint="eastAsia" w:ascii="宋体" w:hAnsi="宋体" w:eastAsia="宋体" w:cs="Times New Roman"/>
          <w:bCs/>
          <w:szCs w:val="21"/>
        </w:rPr>
      </w:pPr>
      <w:r>
        <w:rPr>
          <w:rFonts w:hint="eastAsia" w:ascii="宋体" w:hAnsi="宋体" w:eastAsia="宋体" w:cs="Times New Roman"/>
          <w:bCs/>
          <w:szCs w:val="21"/>
        </w:rPr>
        <w:t>按照</w:t>
      </w:r>
      <w:r>
        <w:rPr>
          <w:rFonts w:ascii="宋体" w:hAnsi="宋体" w:eastAsia="宋体" w:cs="Times New Roman"/>
          <w:bCs/>
          <w:szCs w:val="21"/>
        </w:rPr>
        <w:t>NF Profession</w:t>
      </w:r>
      <w:r>
        <w:rPr>
          <w:rFonts w:hint="eastAsia" w:ascii="宋体" w:hAnsi="宋体" w:eastAsia="宋体" w:cs="Times New Roman"/>
          <w:bCs/>
          <w:szCs w:val="21"/>
        </w:rPr>
        <w:t>软件使用说明书进行分析，得到待测样品粒径分析报告。</w:t>
      </w:r>
    </w:p>
    <w:p w14:paraId="04999FE7">
      <w:pPr>
        <w:spacing w:line="360" w:lineRule="auto"/>
        <w:rPr>
          <w:rFonts w:hint="eastAsia" w:ascii="宋体" w:hAnsi="宋体" w:eastAsia="宋体" w:cs="Times New Roman"/>
          <w:b/>
          <w:sz w:val="24"/>
          <w:szCs w:val="24"/>
        </w:rPr>
      </w:pPr>
    </w:p>
    <w:p w14:paraId="14981106">
      <w:pPr>
        <w:widowControl/>
        <w:jc w:val="left"/>
        <w:rPr>
          <w:rFonts w:hint="eastAsia" w:ascii="宋体" w:hAnsi="宋体" w:eastAsia="宋体" w:cs="Times New Roman"/>
          <w:b/>
          <w:sz w:val="24"/>
          <w:szCs w:val="24"/>
        </w:rPr>
      </w:pPr>
      <w:r>
        <w:rPr>
          <w:rFonts w:ascii="宋体" w:hAnsi="宋体" w:eastAsia="宋体" w:cs="Times New Roman"/>
          <w:b/>
          <w:sz w:val="24"/>
          <w:szCs w:val="24"/>
        </w:rPr>
        <w:br w:type="page"/>
      </w:r>
    </w:p>
    <w:p w14:paraId="2F2354A5">
      <w:pPr>
        <w:jc w:val="center"/>
        <w:rPr>
          <w:rFonts w:hint="eastAsia" w:ascii="黑体" w:hAnsi="黑体" w:eastAsia="黑体" w:cs="黑体"/>
          <w:bCs/>
          <w:szCs w:val="21"/>
        </w:rPr>
      </w:pPr>
      <w:r>
        <w:rPr>
          <w:rFonts w:hint="eastAsia" w:ascii="黑体" w:hAnsi="黑体" w:eastAsia="黑体" w:cs="黑体"/>
          <w:bCs/>
          <w:szCs w:val="21"/>
        </w:rPr>
        <w:t>附录D</w:t>
      </w:r>
    </w:p>
    <w:p w14:paraId="7972FFE1">
      <w:pPr>
        <w:jc w:val="center"/>
        <w:rPr>
          <w:rFonts w:hint="eastAsia" w:ascii="黑体" w:hAnsi="黑体" w:eastAsia="黑体" w:cs="黑体"/>
          <w:bCs/>
          <w:szCs w:val="21"/>
        </w:rPr>
      </w:pPr>
      <w:r>
        <w:rPr>
          <w:rFonts w:hint="eastAsia" w:ascii="黑体" w:hAnsi="黑体" w:eastAsia="黑体" w:cs="黑体"/>
          <w:bCs/>
          <w:szCs w:val="21"/>
        </w:rPr>
        <w:t>（规范性）</w:t>
      </w:r>
    </w:p>
    <w:p w14:paraId="4BCF4596">
      <w:pPr>
        <w:jc w:val="center"/>
        <w:rPr>
          <w:rFonts w:hint="eastAsia" w:ascii="黑体" w:hAnsi="黑体" w:eastAsia="黑体" w:cs="黑体"/>
          <w:bCs/>
          <w:szCs w:val="21"/>
        </w:rPr>
      </w:pPr>
      <w:r>
        <w:rPr>
          <w:rFonts w:hint="eastAsia" w:ascii="黑体" w:hAnsi="黑体" w:eastAsia="黑体" w:cs="黑体"/>
          <w:bCs/>
          <w:szCs w:val="21"/>
        </w:rPr>
        <w:t>小细胞外囊泡蛋白检测方法（蛋白印迹法）</w:t>
      </w:r>
    </w:p>
    <w:p w14:paraId="69AD663A">
      <w:pPr>
        <w:spacing w:line="360" w:lineRule="auto"/>
        <w:rPr>
          <w:rFonts w:hint="eastAsia" w:ascii="宋体" w:hAnsi="宋体" w:eastAsia="宋体" w:cs="Times New Roman"/>
          <w:b/>
          <w:szCs w:val="21"/>
        </w:rPr>
      </w:pPr>
    </w:p>
    <w:p w14:paraId="3C37BE00">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D.1 仪器和设备</w:t>
      </w:r>
    </w:p>
    <w:p w14:paraId="4180D44D">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.1.1 </w:t>
      </w:r>
      <w:r>
        <w:rPr>
          <w:rFonts w:hint="eastAsia" w:ascii="宋体" w:hAnsi="宋体" w:eastAsia="宋体"/>
          <w:bCs/>
          <w:color w:val="000000" w:themeColor="text1"/>
          <w:szCs w:val="21"/>
          <w14:textFill>
            <w14:solidFill>
              <w14:schemeClr w14:val="tx1"/>
            </w14:solidFill>
          </w14:textFill>
        </w:rPr>
        <w:t>电泳仪。</w:t>
      </w:r>
    </w:p>
    <w:p w14:paraId="065D60B3">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.1.2 </w:t>
      </w:r>
      <w:r>
        <w:rPr>
          <w:rFonts w:hint="eastAsia" w:ascii="宋体" w:hAnsi="宋体" w:eastAsia="宋体"/>
          <w:bCs/>
          <w:color w:val="000000" w:themeColor="text1"/>
          <w:szCs w:val="21"/>
          <w14:textFill>
            <w14:solidFill>
              <w14:schemeClr w14:val="tx1"/>
            </w14:solidFill>
          </w14:textFill>
        </w:rPr>
        <w:t>转膜仪。</w:t>
      </w:r>
    </w:p>
    <w:p w14:paraId="47535485">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.1.3 </w:t>
      </w:r>
      <w:r>
        <w:rPr>
          <w:rFonts w:hint="eastAsia" w:ascii="宋体" w:hAnsi="宋体" w:eastAsia="宋体"/>
          <w:bCs/>
          <w:color w:val="000000" w:themeColor="text1"/>
          <w:szCs w:val="21"/>
          <w14:textFill>
            <w14:solidFill>
              <w14:schemeClr w14:val="tx1"/>
            </w14:solidFill>
          </w14:textFill>
        </w:rPr>
        <w:t>摇床。</w:t>
      </w:r>
    </w:p>
    <w:p w14:paraId="62DE5392">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.1.4 </w:t>
      </w:r>
      <w:r>
        <w:rPr>
          <w:rFonts w:hint="eastAsia" w:ascii="宋体" w:hAnsi="宋体" w:eastAsia="宋体"/>
          <w:bCs/>
          <w:color w:val="000000" w:themeColor="text1"/>
          <w:szCs w:val="21"/>
          <w14:textFill>
            <w14:solidFill>
              <w14:schemeClr w14:val="tx1"/>
            </w14:solidFill>
          </w14:textFill>
        </w:rPr>
        <w:t>化学荧光成像仪。</w:t>
      </w:r>
    </w:p>
    <w:p w14:paraId="0638FF67">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D.2 试剂</w:t>
      </w:r>
    </w:p>
    <w:p w14:paraId="53AAD374">
      <w:pPr>
        <w:pStyle w:val="16"/>
        <w:rPr>
          <w:rFonts w:hint="eastAsia" w:ascii="宋体" w:hAnsi="宋体" w:eastAsia="宋体" w:cs="Times New Roman"/>
          <w:bCs/>
          <w:szCs w:val="21"/>
        </w:rPr>
      </w:pPr>
      <w:r>
        <w:rPr>
          <w:rFonts w:hint="eastAsia" w:ascii="宋体" w:hAnsi="宋体" w:eastAsia="宋体" w:cs="Times New Roman"/>
          <w:bCs/>
          <w:szCs w:val="21"/>
        </w:rPr>
        <w:t>本方法所用试剂均为分析纯，除特别说明外，实验用水均为G</w:t>
      </w:r>
      <w:r>
        <w:rPr>
          <w:rFonts w:ascii="宋体" w:hAnsi="宋体" w:eastAsia="宋体" w:cs="Times New Roman"/>
          <w:bCs/>
          <w:szCs w:val="21"/>
        </w:rPr>
        <w:t>B/T 6682</w:t>
      </w:r>
      <w:r>
        <w:rPr>
          <w:rFonts w:hint="eastAsia" w:ascii="宋体" w:hAnsi="宋体" w:eastAsia="宋体" w:cs="Times New Roman"/>
          <w:bCs/>
          <w:szCs w:val="21"/>
        </w:rPr>
        <w:t>规定的一级水。</w:t>
      </w:r>
    </w:p>
    <w:p w14:paraId="5B7EFC74">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 xml:space="preserve"> 磷酸盐缓冲液：pH为7</w:t>
      </w:r>
      <w:r>
        <w:rPr>
          <w:rFonts w:ascii="宋体" w:hAnsi="宋体" w:eastAsia="宋体"/>
          <w:bCs/>
          <w:color w:val="000000" w:themeColor="text1"/>
          <w:szCs w:val="21"/>
          <w14:textFill>
            <w14:solidFill>
              <w14:schemeClr w14:val="tx1"/>
            </w14:solidFill>
          </w14:textFill>
        </w:rPr>
        <w:t>.4</w:t>
      </w:r>
      <w:r>
        <w:rPr>
          <w:rFonts w:hint="eastAsia" w:ascii="宋体" w:hAnsi="宋体" w:eastAsia="宋体"/>
          <w:bCs/>
          <w:color w:val="000000" w:themeColor="text1"/>
          <w:szCs w:val="21"/>
          <w14:textFill>
            <w14:solidFill>
              <w14:schemeClr w14:val="tx1"/>
            </w14:solidFill>
          </w14:textFill>
        </w:rPr>
        <w:t>。</w:t>
      </w:r>
    </w:p>
    <w:p w14:paraId="31A7DCE3">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.2.2 </w:t>
      </w:r>
      <w:r>
        <w:rPr>
          <w:rFonts w:hint="eastAsia" w:ascii="宋体" w:hAnsi="宋体" w:eastAsia="宋体"/>
          <w:bCs/>
          <w:color w:val="000000" w:themeColor="text1"/>
          <w:szCs w:val="21"/>
          <w14:textFill>
            <w14:solidFill>
              <w14:schemeClr w14:val="tx1"/>
            </w14:solidFill>
          </w14:textFill>
        </w:rPr>
        <w:t>商品化分离胶、浓缩胶溶液。</w:t>
      </w:r>
    </w:p>
    <w:p w14:paraId="0FD1B5C7">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.2.3</w:t>
      </w:r>
      <w:r>
        <w:rPr>
          <w:rFonts w:hint="eastAsia" w:ascii="宋体" w:hAnsi="宋体" w:eastAsia="宋体"/>
          <w:bCs/>
          <w:color w:val="000000" w:themeColor="text1"/>
          <w:szCs w:val="21"/>
          <w14:textFill>
            <w14:solidFill>
              <w14:schemeClr w14:val="tx1"/>
            </w14:solidFill>
          </w14:textFill>
        </w:rPr>
        <w:t xml:space="preserve"> 三乙醇胺缓冲盐吐温水溶液(TBST)。</w:t>
      </w:r>
    </w:p>
    <w:p w14:paraId="7B374771">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.2.4 </w:t>
      </w:r>
      <w:r>
        <w:rPr>
          <w:rFonts w:hint="eastAsia" w:ascii="宋体" w:hAnsi="宋体" w:eastAsia="宋体"/>
          <w:bCs/>
          <w:color w:val="000000" w:themeColor="text1"/>
          <w:szCs w:val="21"/>
          <w14:textFill>
            <w14:solidFill>
              <w14:schemeClr w14:val="tx1"/>
            </w14:solidFill>
          </w14:textFill>
        </w:rPr>
        <w:t>电泳缓冲液。</w:t>
      </w:r>
    </w:p>
    <w:p w14:paraId="12BCA414">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.2.5 </w:t>
      </w:r>
      <w:r>
        <w:rPr>
          <w:rFonts w:hint="eastAsia" w:ascii="宋体" w:hAnsi="宋体" w:eastAsia="宋体"/>
          <w:bCs/>
          <w:color w:val="000000" w:themeColor="text1"/>
          <w:szCs w:val="21"/>
          <w14:textFill>
            <w14:solidFill>
              <w14:schemeClr w14:val="tx1"/>
            </w14:solidFill>
          </w14:textFill>
        </w:rPr>
        <w:t>转膜缓冲液。</w:t>
      </w:r>
    </w:p>
    <w:p w14:paraId="69EF47A3">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.2.6 </w:t>
      </w:r>
      <w:r>
        <w:rPr>
          <w:rFonts w:hint="eastAsia" w:ascii="宋体" w:hAnsi="宋体" w:eastAsia="宋体"/>
          <w:bCs/>
          <w:color w:val="000000" w:themeColor="text1"/>
          <w:szCs w:val="21"/>
          <w14:textFill>
            <w14:solidFill>
              <w14:schemeClr w14:val="tx1"/>
            </w14:solidFill>
          </w14:textFill>
        </w:rPr>
        <w:t>封闭液。</w:t>
      </w:r>
    </w:p>
    <w:p w14:paraId="1B9C3725">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.2.7 </w:t>
      </w:r>
      <w:r>
        <w:rPr>
          <w:rFonts w:hint="eastAsia" w:ascii="宋体" w:hAnsi="宋体" w:eastAsia="宋体"/>
          <w:bCs/>
          <w:color w:val="000000" w:themeColor="text1"/>
          <w:szCs w:val="21"/>
          <w14:textFill>
            <w14:solidFill>
              <w14:schemeClr w14:val="tx1"/>
            </w14:solidFill>
          </w14:textFill>
        </w:rPr>
        <w:t>抗体（一抗、二抗）。</w:t>
      </w:r>
    </w:p>
    <w:p w14:paraId="52FC54BE">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D.3 检测步骤</w:t>
      </w:r>
    </w:p>
    <w:p w14:paraId="354BCFBF">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D.3.1 SDS-PAGE电泳、转膜和封闭</w:t>
      </w:r>
    </w:p>
    <w:p w14:paraId="386D9A3E">
      <w:pPr>
        <w:rPr>
          <w:rFonts w:hint="eastAsia" w:ascii="宋体" w:hAnsi="宋体" w:eastAsia="宋体"/>
          <w:bCs/>
          <w:color w:val="000000" w:themeColor="text1"/>
          <w:sz w:val="18"/>
          <w:szCs w:val="18"/>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 xml:space="preserve">.3.1.1 </w:t>
      </w:r>
      <w:r>
        <w:rPr>
          <w:rFonts w:hint="eastAsia" w:ascii="宋体" w:hAnsi="宋体" w:eastAsia="宋体"/>
          <w:bCs/>
          <w:color w:val="000000" w:themeColor="text1"/>
          <w:szCs w:val="21"/>
          <w14:textFill>
            <w14:solidFill>
              <w14:schemeClr w14:val="tx1"/>
            </w14:solidFill>
          </w14:textFill>
        </w:rPr>
        <w:t>按照仪器说明书进行，</w:t>
      </w:r>
      <w:r>
        <w:rPr>
          <w:rFonts w:ascii="宋体" w:hAnsi="宋体" w:eastAsia="宋体"/>
          <w:bCs/>
          <w:color w:val="000000" w:themeColor="text1"/>
          <w:szCs w:val="21"/>
          <w14:textFill>
            <w14:solidFill>
              <w14:schemeClr w14:val="tx1"/>
            </w14:solidFill>
          </w14:textFill>
        </w:rPr>
        <w:t>取20</w:t>
      </w:r>
      <w:bookmarkStart w:id="19" w:name="_Hlk200644381"/>
      <w:r>
        <w:rPr>
          <w:rFonts w:hint="eastAsia" w:ascii="宋体" w:hAnsi="宋体" w:eastAsia="宋体"/>
          <w:bCs/>
          <w:color w:val="000000" w:themeColor="text1"/>
          <w:szCs w:val="21"/>
          <w14:textFill>
            <w14:solidFill>
              <w14:schemeClr w14:val="tx1"/>
            </w14:solidFill>
          </w14:textFill>
        </w:rPr>
        <w:t>μL</w:t>
      </w:r>
      <w:bookmarkEnd w:id="19"/>
      <w:r>
        <w:rPr>
          <w:rFonts w:hint="eastAsia" w:ascii="宋体" w:hAnsi="宋体" w:eastAsia="宋体"/>
          <w:bCs/>
          <w:color w:val="000000" w:themeColor="text1"/>
          <w:szCs w:val="21"/>
          <w14:textFill>
            <w14:solidFill>
              <w14:schemeClr w14:val="tx1"/>
            </w14:solidFill>
          </w14:textFill>
        </w:rPr>
        <w:t>小细胞外囊泡（浓度不低于</w:t>
      </w:r>
      <w:r>
        <w:rPr>
          <w:rFonts w:ascii="宋体" w:hAnsi="宋体" w:eastAsia="宋体"/>
          <w:bCs/>
          <w:color w:val="000000" w:themeColor="text1"/>
          <w:szCs w:val="21"/>
          <w14:textFill>
            <w14:solidFill>
              <w14:schemeClr w14:val="tx1"/>
            </w14:solidFill>
          </w14:textFill>
        </w:rPr>
        <w:t>1×10</w:t>
      </w:r>
      <w:r>
        <w:rPr>
          <w:rFonts w:ascii="宋体" w:hAnsi="宋体" w:eastAsia="宋体"/>
          <w:bCs/>
          <w:color w:val="000000" w:themeColor="text1"/>
          <w:szCs w:val="21"/>
          <w:vertAlign w:val="superscript"/>
          <w14:textFill>
            <w14:solidFill>
              <w14:schemeClr w14:val="tx1"/>
            </w14:solidFill>
          </w14:textFill>
        </w:rPr>
        <w:t>10</w:t>
      </w:r>
      <w:r>
        <w:rPr>
          <w:rFonts w:hint="eastAsia" w:ascii="宋体" w:hAnsi="宋体" w:eastAsia="宋体"/>
          <w:bCs/>
          <w:color w:val="000000" w:themeColor="text1"/>
          <w:szCs w:val="21"/>
          <w14:textFill>
            <w14:solidFill>
              <w14:schemeClr w14:val="tx1"/>
            </w14:solidFill>
          </w14:textFill>
        </w:rPr>
        <w:t>个颗粒</w:t>
      </w:r>
      <w:r>
        <w:rPr>
          <w:rFonts w:ascii="宋体" w:hAnsi="宋体" w:eastAsia="宋体"/>
          <w:bCs/>
          <w:color w:val="000000" w:themeColor="text1"/>
          <w:szCs w:val="21"/>
          <w14:textFill>
            <w14:solidFill>
              <w14:schemeClr w14:val="tx1"/>
            </w14:solidFill>
          </w14:textFill>
        </w:rPr>
        <w:t>/</w:t>
      </w:r>
      <w:r>
        <w:rPr>
          <w:rFonts w:hint="eastAsia" w:ascii="宋体" w:hAnsi="宋体" w:eastAsia="宋体"/>
          <w:bCs/>
          <w:color w:val="000000" w:themeColor="text1"/>
          <w:szCs w:val="21"/>
          <w14:textFill>
            <w14:solidFill>
              <w14:schemeClr w14:val="tx1"/>
            </w14:solidFill>
          </w14:textFill>
        </w:rPr>
        <w:t>mL）使用电泳仪和垂直电泳槽进行电泳。</w:t>
      </w:r>
    </w:p>
    <w:p w14:paraId="5FC31DC7">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1</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 xml:space="preserve"> 按照仪器说明书，使用转膜仪进行转膜。</w:t>
      </w:r>
    </w:p>
    <w:p w14:paraId="5B5A52A7">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1</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 xml:space="preserve"> 转膜后，使用封闭液室温封闭1h。</w:t>
      </w:r>
    </w:p>
    <w:p w14:paraId="3321B812">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D.3.2 抗体孵育</w:t>
      </w:r>
    </w:p>
    <w:p w14:paraId="2F9F577E">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.1</w:t>
      </w:r>
      <w:r>
        <w:rPr>
          <w:rFonts w:hint="eastAsia" w:ascii="宋体" w:hAnsi="宋体" w:eastAsia="宋体"/>
          <w:bCs/>
          <w:color w:val="000000" w:themeColor="text1"/>
          <w:szCs w:val="21"/>
          <w14:textFill>
            <w14:solidFill>
              <w14:schemeClr w14:val="tx1"/>
            </w14:solidFill>
          </w14:textFill>
        </w:rPr>
        <w:t xml:space="preserve"> 孵育一抗，摇床4℃过夜。孵育结束后，用TBST洗涤3次。</w:t>
      </w:r>
    </w:p>
    <w:p w14:paraId="0EEC4528">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D</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 xml:space="preserve"> 孵育二抗，摇床室温1h。孵育结束后，用TBST洗涤3次。</w:t>
      </w:r>
    </w:p>
    <w:p w14:paraId="1925D4D8">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D.3.3 显影</w:t>
      </w:r>
    </w:p>
    <w:p w14:paraId="5B63169E">
      <w:pPr>
        <w:pStyle w:val="16"/>
        <w:rPr>
          <w:rFonts w:hint="eastAsia" w:ascii="宋体" w:hAnsi="宋体" w:eastAsia="宋体" w:cs="Times New Roman"/>
          <w:bCs/>
          <w:szCs w:val="21"/>
        </w:rPr>
      </w:pPr>
      <w:r>
        <w:rPr>
          <w:rFonts w:hint="eastAsia" w:ascii="宋体" w:hAnsi="宋体" w:eastAsia="宋体" w:cs="Times New Roman"/>
          <w:bCs/>
          <w:szCs w:val="21"/>
        </w:rPr>
        <w:t>按照仪器说明书，使用化学荧光成像系统进行显影。</w:t>
      </w:r>
    </w:p>
    <w:p w14:paraId="316F0A3E">
      <w:pPr>
        <w:widowControl/>
        <w:jc w:val="left"/>
        <w:rPr>
          <w:rFonts w:hint="eastAsia" w:ascii="宋体" w:hAnsi="宋体" w:eastAsia="宋体" w:cs="Times New Roman"/>
          <w:b/>
          <w:szCs w:val="21"/>
        </w:rPr>
      </w:pPr>
      <w:r>
        <w:rPr>
          <w:rFonts w:ascii="宋体" w:hAnsi="宋体" w:eastAsia="宋体" w:cs="Times New Roman"/>
          <w:b/>
          <w:szCs w:val="21"/>
        </w:rPr>
        <w:br w:type="page"/>
      </w:r>
    </w:p>
    <w:p w14:paraId="534CE859">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附录E</w:t>
      </w:r>
    </w:p>
    <w:p w14:paraId="487A7BFF">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（规范性）</w:t>
      </w:r>
    </w:p>
    <w:p w14:paraId="1DF3B211">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小细胞外囊泡表面标志物检测方法（纳米流式检测法）</w:t>
      </w:r>
    </w:p>
    <w:p w14:paraId="2902F425">
      <w:pPr>
        <w:pStyle w:val="16"/>
        <w:ind w:firstLine="0" w:firstLineChars="0"/>
        <w:jc w:val="center"/>
        <w:rPr>
          <w:rFonts w:hint="eastAsia" w:ascii="宋体" w:hAnsi="宋体" w:eastAsia="宋体" w:cs="Times New Roman"/>
          <w:b/>
          <w:bCs/>
          <w:szCs w:val="21"/>
        </w:rPr>
      </w:pPr>
    </w:p>
    <w:p w14:paraId="715CEB3B">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E.1 仪器和设备</w:t>
      </w:r>
    </w:p>
    <w:p w14:paraId="14B934B1">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 xml:space="preserve">.1.1 </w:t>
      </w:r>
      <w:r>
        <w:rPr>
          <w:rFonts w:hint="eastAsia" w:ascii="宋体" w:hAnsi="宋体" w:eastAsia="宋体"/>
          <w:bCs/>
          <w:color w:val="000000" w:themeColor="text1"/>
          <w:szCs w:val="21"/>
          <w14:textFill>
            <w14:solidFill>
              <w14:schemeClr w14:val="tx1"/>
            </w14:solidFill>
          </w14:textFill>
        </w:rPr>
        <w:t>纳米流式仪。</w:t>
      </w:r>
    </w:p>
    <w:p w14:paraId="20272054">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E.1.2 恒温水浴锅。</w:t>
      </w:r>
    </w:p>
    <w:p w14:paraId="180FE892">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E.2 试剂</w:t>
      </w:r>
    </w:p>
    <w:p w14:paraId="3559E967">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本方法所用试剂均为分析纯，实验用水均为G</w:t>
      </w:r>
      <w:r>
        <w:rPr>
          <w:rFonts w:ascii="宋体" w:hAnsi="宋体" w:eastAsia="宋体"/>
          <w:bCs/>
          <w:color w:val="000000" w:themeColor="text1"/>
          <w:szCs w:val="21"/>
          <w14:textFill>
            <w14:solidFill>
              <w14:schemeClr w14:val="tx1"/>
            </w14:solidFill>
          </w14:textFill>
        </w:rPr>
        <w:t>B/T 6682</w:t>
      </w:r>
      <w:r>
        <w:rPr>
          <w:rFonts w:hint="eastAsia" w:ascii="宋体" w:hAnsi="宋体" w:eastAsia="宋体"/>
          <w:bCs/>
          <w:color w:val="000000" w:themeColor="text1"/>
          <w:szCs w:val="21"/>
          <w14:textFill>
            <w14:solidFill>
              <w14:schemeClr w14:val="tx1"/>
            </w14:solidFill>
          </w14:textFill>
        </w:rPr>
        <w:t>规定的一级水。</w:t>
      </w:r>
    </w:p>
    <w:p w14:paraId="555BEF61">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2磷酸盐缓冲液：</w:t>
      </w:r>
      <w:r>
        <w:rPr>
          <w:rFonts w:ascii="宋体" w:hAnsi="宋体" w:eastAsia="宋体"/>
          <w:bCs/>
          <w:color w:val="000000" w:themeColor="text1"/>
          <w:szCs w:val="21"/>
          <w14:textFill>
            <w14:solidFill>
              <w14:schemeClr w14:val="tx1"/>
            </w14:solidFill>
          </w14:textFill>
        </w:rPr>
        <w:t>0.1 M</w:t>
      </w:r>
      <w:r>
        <w:rPr>
          <w:rFonts w:hint="eastAsia" w:ascii="宋体" w:hAnsi="宋体" w:eastAsia="宋体"/>
          <w:bCs/>
          <w:color w:val="000000" w:themeColor="text1"/>
          <w:szCs w:val="21"/>
          <w14:textFill>
            <w14:solidFill>
              <w14:schemeClr w14:val="tx1"/>
            </w14:solidFill>
          </w14:textFill>
        </w:rPr>
        <w:t>，pH为7</w:t>
      </w:r>
      <w:r>
        <w:rPr>
          <w:rFonts w:ascii="宋体" w:hAnsi="宋体" w:eastAsia="宋体"/>
          <w:bCs/>
          <w:color w:val="000000" w:themeColor="text1"/>
          <w:szCs w:val="21"/>
          <w14:textFill>
            <w14:solidFill>
              <w14:schemeClr w14:val="tx1"/>
            </w14:solidFill>
          </w14:textFill>
        </w:rPr>
        <w:t>.4</w:t>
      </w:r>
      <w:r>
        <w:rPr>
          <w:rFonts w:hint="eastAsia" w:ascii="宋体" w:hAnsi="宋体" w:eastAsia="宋体"/>
          <w:bCs/>
          <w:color w:val="000000" w:themeColor="text1"/>
          <w:szCs w:val="21"/>
          <w14:textFill>
            <w14:solidFill>
              <w14:schemeClr w14:val="tx1"/>
            </w14:solidFill>
          </w14:textFill>
        </w:rPr>
        <w:t>。</w:t>
      </w:r>
    </w:p>
    <w:p w14:paraId="42FB49B5">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.2.</w:t>
      </w:r>
      <w:r>
        <w:rPr>
          <w:rFonts w:hint="eastAsia" w:ascii="宋体" w:hAnsi="宋体" w:eastAsia="宋体"/>
          <w:bCs/>
          <w:color w:val="000000" w:themeColor="text1"/>
          <w:szCs w:val="21"/>
          <w14:textFill>
            <w14:solidFill>
              <w14:schemeClr w14:val="tx1"/>
            </w14:solidFill>
          </w14:textFill>
        </w:rPr>
        <w:t>3纳米流式仪浓度标准品。</w:t>
      </w:r>
    </w:p>
    <w:p w14:paraId="3D478D0E">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E.2.4荧光标记抗体。</w:t>
      </w:r>
    </w:p>
    <w:p w14:paraId="7CFB25ED">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E.3 检测步骤</w:t>
      </w:r>
    </w:p>
    <w:p w14:paraId="49EAFF1E">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w:t>
      </w:r>
      <w:r>
        <w:rPr>
          <w:rFonts w:ascii="黑体" w:hAnsi="黑体" w:eastAsia="黑体" w:cs="黑体"/>
          <w:color w:val="000000" w:themeColor="text1"/>
          <w:kern w:val="0"/>
          <w:szCs w:val="21"/>
          <w14:textFill>
            <w14:solidFill>
              <w14:schemeClr w14:val="tx1"/>
            </w14:solidFill>
          </w14:textFill>
        </w:rPr>
        <w:t xml:space="preserve">.3.1 </w:t>
      </w:r>
      <w:r>
        <w:rPr>
          <w:rFonts w:hint="eastAsia" w:ascii="黑体" w:hAnsi="黑体" w:eastAsia="黑体" w:cs="黑体"/>
          <w:color w:val="000000" w:themeColor="text1"/>
          <w:kern w:val="0"/>
          <w:szCs w:val="21"/>
          <w14:textFill>
            <w14:solidFill>
              <w14:schemeClr w14:val="tx1"/>
            </w14:solidFill>
          </w14:textFill>
        </w:rPr>
        <w:t>小细胞外囊泡抗体孵育</w:t>
      </w:r>
    </w:p>
    <w:p w14:paraId="5749EBDA">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E.3.1.1 将100</w:t>
      </w:r>
      <w:r>
        <w:rPr>
          <w:rFonts w:ascii="宋体" w:hAnsi="宋体" w:eastAsia="宋体"/>
          <w:bCs/>
          <w:color w:val="000000" w:themeColor="text1"/>
          <w:szCs w:val="21"/>
          <w14:textFill>
            <w14:solidFill>
              <w14:schemeClr w14:val="tx1"/>
            </w14:solidFill>
          </w14:textFill>
        </w:rPr>
        <w:t>μ</w:t>
      </w:r>
      <w:r>
        <w:rPr>
          <w:rFonts w:hint="eastAsia" w:ascii="宋体" w:hAnsi="宋体" w:eastAsia="宋体"/>
          <w:bCs/>
          <w:color w:val="000000" w:themeColor="text1"/>
          <w:szCs w:val="21"/>
          <w14:textFill>
            <w14:solidFill>
              <w14:schemeClr w14:val="tx1"/>
            </w14:solidFill>
          </w14:textFill>
        </w:rPr>
        <w:t>L小细胞外囊泡（浓度不低于</w:t>
      </w:r>
      <w:r>
        <w:rPr>
          <w:rFonts w:ascii="宋体" w:hAnsi="宋体" w:eastAsia="宋体"/>
          <w:bCs/>
          <w:color w:val="000000" w:themeColor="text1"/>
          <w:szCs w:val="21"/>
          <w14:textFill>
            <w14:solidFill>
              <w14:schemeClr w14:val="tx1"/>
            </w14:solidFill>
          </w14:textFill>
        </w:rPr>
        <w:t>1×10</w:t>
      </w:r>
      <w:r>
        <w:rPr>
          <w:rFonts w:ascii="宋体" w:hAnsi="宋体" w:eastAsia="宋体"/>
          <w:bCs/>
          <w:color w:val="000000" w:themeColor="text1"/>
          <w:szCs w:val="21"/>
          <w:vertAlign w:val="superscript"/>
          <w14:textFill>
            <w14:solidFill>
              <w14:schemeClr w14:val="tx1"/>
            </w14:solidFill>
          </w14:textFill>
        </w:rPr>
        <w:t>10</w:t>
      </w:r>
      <w:r>
        <w:rPr>
          <w:rFonts w:hint="eastAsia" w:ascii="宋体" w:hAnsi="宋体" w:eastAsia="宋体"/>
          <w:bCs/>
          <w:color w:val="000000" w:themeColor="text1"/>
          <w:szCs w:val="21"/>
          <w14:textFill>
            <w14:solidFill>
              <w14:schemeClr w14:val="tx1"/>
            </w14:solidFill>
          </w14:textFill>
        </w:rPr>
        <w:t>个颗粒/mL）与荧光标记抗体于37℃避光孵育30 min至1 h。</w:t>
      </w:r>
    </w:p>
    <w:p w14:paraId="49E9EEC0">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E.3.1.2 去除未结合的荧光标记抗体。</w:t>
      </w:r>
    </w:p>
    <w:p w14:paraId="2E790C73">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w:t>
      </w:r>
      <w:r>
        <w:rPr>
          <w:rFonts w:ascii="黑体" w:hAnsi="黑体" w:eastAsia="黑体" w:cs="黑体"/>
          <w:color w:val="000000" w:themeColor="text1"/>
          <w:kern w:val="0"/>
          <w:szCs w:val="21"/>
          <w14:textFill>
            <w14:solidFill>
              <w14:schemeClr w14:val="tx1"/>
            </w14:solidFill>
          </w14:textFill>
        </w:rPr>
        <w:t xml:space="preserve">.3.2 </w:t>
      </w:r>
      <w:r>
        <w:rPr>
          <w:rFonts w:hint="eastAsia" w:ascii="黑体" w:hAnsi="黑体" w:eastAsia="黑体" w:cs="黑体"/>
          <w:color w:val="000000" w:themeColor="text1"/>
          <w:kern w:val="0"/>
          <w:szCs w:val="21"/>
          <w14:textFill>
            <w14:solidFill>
              <w14:schemeClr w14:val="tx1"/>
            </w14:solidFill>
          </w14:textFill>
        </w:rPr>
        <w:t>纳米流式仪检测</w:t>
      </w:r>
    </w:p>
    <w:p w14:paraId="74DF634D">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 xml:space="preserve">1 </w:t>
      </w:r>
      <w:r>
        <w:rPr>
          <w:rFonts w:hint="eastAsia" w:ascii="宋体" w:hAnsi="宋体" w:eastAsia="宋体"/>
          <w:bCs/>
          <w:color w:val="000000" w:themeColor="text1"/>
          <w:szCs w:val="21"/>
          <w14:textFill>
            <w14:solidFill>
              <w14:schemeClr w14:val="tx1"/>
            </w14:solidFill>
          </w14:textFill>
        </w:rPr>
        <w:t>按照使用说明，对纳米流式仪进行液流初始化和管路气泡排出。</w:t>
      </w:r>
    </w:p>
    <w:p w14:paraId="38F184C6">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 xml:space="preserve">2 </w:t>
      </w:r>
      <w:r>
        <w:rPr>
          <w:rFonts w:hint="eastAsia" w:ascii="宋体" w:hAnsi="宋体" w:eastAsia="宋体"/>
          <w:bCs/>
          <w:color w:val="000000" w:themeColor="text1"/>
          <w:szCs w:val="21"/>
          <w14:textFill>
            <w14:solidFill>
              <w14:schemeClr w14:val="tx1"/>
            </w14:solidFill>
          </w14:textFill>
        </w:rPr>
        <w:t>用超纯水稀释浓度标准品，按照使用说明进行纳米流式仪的质控，将纳米流式仪调试到最佳检测状态后（散射和荧光通道的信号均达到最强且均一），在浓度标准品的测量参数下对稀释后的标准品采集数据。</w:t>
      </w:r>
    </w:p>
    <w:p w14:paraId="247F66E4">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 xml:space="preserve">3 </w:t>
      </w:r>
      <w:r>
        <w:rPr>
          <w:rFonts w:hint="eastAsia" w:ascii="宋体" w:hAnsi="宋体" w:eastAsia="宋体"/>
          <w:bCs/>
          <w:color w:val="000000" w:themeColor="text1"/>
          <w:szCs w:val="21"/>
          <w14:textFill>
            <w14:solidFill>
              <w14:schemeClr w14:val="tx1"/>
            </w14:solidFill>
          </w14:textFill>
        </w:rPr>
        <w:t>按照使用说明，依次用洗液和超纯水清洗进样毛细管。</w:t>
      </w:r>
    </w:p>
    <w:p w14:paraId="469AECD4">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w:t>
      </w:r>
      <w:r>
        <w:rPr>
          <w:rFonts w:ascii="宋体" w:hAnsi="宋体" w:eastAsia="宋体"/>
          <w:bCs/>
          <w:color w:val="000000" w:themeColor="text1"/>
          <w:szCs w:val="21"/>
          <w14:textFill>
            <w14:solidFill>
              <w14:schemeClr w14:val="tx1"/>
            </w14:solidFill>
          </w14:textFill>
        </w:rPr>
        <w:t>4在Labelled Exo样品测量参数下检测磷酸盐缓冲液的颗粒数，确定磷酸盐缓冲液的洁净度，颗粒数计数小于</w:t>
      </w:r>
      <w:r>
        <w:rPr>
          <w:rFonts w:hint="eastAsia" w:ascii="宋体" w:hAnsi="宋体" w:eastAsia="宋体"/>
          <w:bCs/>
          <w:color w:val="000000" w:themeColor="text1"/>
          <w:szCs w:val="21"/>
          <w14:textFill>
            <w14:solidFill>
              <w14:schemeClr w14:val="tx1"/>
            </w14:solidFill>
          </w14:textFill>
        </w:rPr>
        <w:t>300</w:t>
      </w:r>
      <w:r>
        <w:rPr>
          <w:rFonts w:ascii="宋体" w:hAnsi="宋体" w:eastAsia="宋体"/>
          <w:bCs/>
          <w:color w:val="000000" w:themeColor="text1"/>
          <w:szCs w:val="21"/>
          <w14:textFill>
            <w14:solidFill>
              <w14:schemeClr w14:val="tx1"/>
            </w14:solidFill>
          </w14:textFill>
        </w:rPr>
        <w:t>的磷酸盐缓冲液才能作为空白对照的数据采集并用于后续的样品稀释。如果颗粒数计数高于</w:t>
      </w:r>
      <w:r>
        <w:rPr>
          <w:rFonts w:hint="eastAsia" w:ascii="宋体" w:hAnsi="宋体" w:eastAsia="宋体"/>
          <w:bCs/>
          <w:color w:val="000000" w:themeColor="text1"/>
          <w:szCs w:val="21"/>
          <w14:textFill>
            <w14:solidFill>
              <w14:schemeClr w14:val="tx1"/>
            </w14:solidFill>
          </w14:textFill>
        </w:rPr>
        <w:t>300</w:t>
      </w:r>
      <w:r>
        <w:rPr>
          <w:rFonts w:ascii="宋体" w:hAnsi="宋体" w:eastAsia="宋体"/>
          <w:bCs/>
          <w:color w:val="000000" w:themeColor="text1"/>
          <w:szCs w:val="21"/>
          <w14:textFill>
            <w14:solidFill>
              <w14:schemeClr w14:val="tx1"/>
            </w14:solidFill>
          </w14:textFill>
        </w:rPr>
        <w:t>，需用0.22μ</w:t>
      </w:r>
      <w:r>
        <w:rPr>
          <w:rFonts w:hint="eastAsia" w:ascii="宋体" w:hAnsi="宋体" w:eastAsia="宋体"/>
          <w:bCs/>
          <w:color w:val="000000" w:themeColor="text1"/>
          <w:szCs w:val="21"/>
          <w14:textFill>
            <w14:solidFill>
              <w14:schemeClr w14:val="tx1"/>
            </w14:solidFill>
          </w14:textFill>
        </w:rPr>
        <w:t>m</w:t>
      </w:r>
      <w:r>
        <w:rPr>
          <w:rFonts w:ascii="宋体" w:hAnsi="宋体" w:eastAsia="宋体"/>
          <w:bCs/>
          <w:color w:val="000000" w:themeColor="text1"/>
          <w:szCs w:val="21"/>
          <w14:textFill>
            <w14:solidFill>
              <w14:schemeClr w14:val="tx1"/>
            </w14:solidFill>
          </w14:textFill>
        </w:rPr>
        <w:t>的滤膜过滤或更换新配置的磷酸盐缓冲液。</w:t>
      </w:r>
    </w:p>
    <w:p w14:paraId="407C5D1A">
      <w:pPr>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E</w:t>
      </w:r>
      <w:r>
        <w:rPr>
          <w:rFonts w:ascii="宋体" w:hAnsi="宋体" w:eastAsia="宋体"/>
          <w:bCs/>
          <w:color w:val="000000" w:themeColor="text1"/>
          <w:szCs w:val="21"/>
          <w14:textFill>
            <w14:solidFill>
              <w14:schemeClr w14:val="tx1"/>
            </w14:solidFill>
          </w14:textFill>
        </w:rPr>
        <w:t>.3.</w:t>
      </w:r>
      <w:r>
        <w:rPr>
          <w:rFonts w:hint="eastAsia" w:ascii="宋体" w:hAnsi="宋体" w:eastAsia="宋体"/>
          <w:bCs/>
          <w:color w:val="000000" w:themeColor="text1"/>
          <w:szCs w:val="21"/>
          <w14:textFill>
            <w14:solidFill>
              <w14:schemeClr w14:val="tx1"/>
            </w14:solidFill>
          </w14:textFill>
        </w:rPr>
        <w:t>2.5用洁净的磷酸盐缓冲液将小细胞外囊泡样品预稀释，在Labe</w:t>
      </w:r>
      <w:r>
        <w:rPr>
          <w:rFonts w:ascii="宋体" w:hAnsi="宋体" w:eastAsia="宋体"/>
          <w:bCs/>
          <w:color w:val="000000" w:themeColor="text1"/>
          <w:szCs w:val="21"/>
          <w14:textFill>
            <w14:solidFill>
              <w14:schemeClr w14:val="tx1"/>
            </w14:solidFill>
          </w14:textFill>
        </w:rPr>
        <w:t>l</w:t>
      </w:r>
      <w:r>
        <w:rPr>
          <w:rFonts w:hint="eastAsia" w:ascii="宋体" w:hAnsi="宋体" w:eastAsia="宋体"/>
          <w:bCs/>
          <w:color w:val="000000" w:themeColor="text1"/>
          <w:szCs w:val="21"/>
          <w14:textFill>
            <w14:solidFill>
              <w14:schemeClr w14:val="tx1"/>
            </w14:solidFill>
          </w14:textFill>
        </w:rPr>
        <w:t>led Exo</w:t>
      </w:r>
      <w:r>
        <w:rPr>
          <w:rFonts w:ascii="宋体" w:hAnsi="宋体" w:eastAsia="宋体"/>
          <w:bCs/>
          <w:color w:val="000000" w:themeColor="text1"/>
          <w:szCs w:val="21"/>
          <w14:textFill>
            <w14:solidFill>
              <w14:schemeClr w14:val="tx1"/>
            </w14:solidFill>
          </w14:textFill>
        </w:rPr>
        <w:t>样品</w:t>
      </w:r>
      <w:r>
        <w:rPr>
          <w:rFonts w:hint="eastAsia" w:ascii="宋体" w:hAnsi="宋体" w:eastAsia="宋体"/>
          <w:bCs/>
          <w:color w:val="000000" w:themeColor="text1"/>
          <w:szCs w:val="21"/>
          <w14:textFill>
            <w14:solidFill>
              <w14:schemeClr w14:val="tx1"/>
            </w14:solidFill>
          </w14:textFill>
        </w:rPr>
        <w:t>测量参数对小细胞外囊泡样本进行数据采集。纳米流式仪颗粒计数在4</w:t>
      </w:r>
      <w:r>
        <w:rPr>
          <w:rFonts w:ascii="宋体" w:hAnsi="宋体" w:eastAsia="宋体"/>
          <w:bCs/>
          <w:color w:val="000000" w:themeColor="text1"/>
          <w:szCs w:val="21"/>
          <w14:textFill>
            <w14:solidFill>
              <w14:schemeClr w14:val="tx1"/>
            </w14:solidFill>
          </w14:textFill>
        </w:rPr>
        <w:t>000</w:t>
      </w:r>
      <w:r>
        <w:rPr>
          <w:rFonts w:hint="eastAsia" w:ascii="宋体" w:hAnsi="宋体" w:eastAsia="宋体"/>
          <w:bCs/>
          <w:color w:val="000000" w:themeColor="text1"/>
          <w:szCs w:val="21"/>
          <w14:textFill>
            <w14:solidFill>
              <w14:schemeClr w14:val="tx1"/>
            </w14:solidFill>
          </w14:textFill>
        </w:rPr>
        <w:t>-</w:t>
      </w:r>
      <w:r>
        <w:rPr>
          <w:rFonts w:ascii="宋体" w:hAnsi="宋体" w:eastAsia="宋体"/>
          <w:bCs/>
          <w:color w:val="000000" w:themeColor="text1"/>
          <w:szCs w:val="21"/>
          <w14:textFill>
            <w14:solidFill>
              <w14:schemeClr w14:val="tx1"/>
            </w14:solidFill>
          </w14:textFill>
        </w:rPr>
        <w:t>8000</w:t>
      </w:r>
      <w:r>
        <w:rPr>
          <w:rFonts w:hint="eastAsia" w:ascii="宋体" w:hAnsi="宋体" w:eastAsia="宋体"/>
          <w:bCs/>
          <w:color w:val="000000" w:themeColor="text1"/>
          <w:szCs w:val="21"/>
          <w14:textFill>
            <w14:solidFill>
              <w14:schemeClr w14:val="tx1"/>
            </w14:solidFill>
          </w14:textFill>
        </w:rPr>
        <w:t>之间为</w:t>
      </w:r>
      <w:r>
        <w:rPr>
          <w:rFonts w:ascii="宋体" w:hAnsi="宋体" w:eastAsia="宋体"/>
          <w:bCs/>
          <w:color w:val="000000" w:themeColor="text1"/>
          <w:szCs w:val="21"/>
          <w14:textFill>
            <w14:solidFill>
              <w14:schemeClr w14:val="tx1"/>
            </w14:solidFill>
          </w14:textFill>
        </w:rPr>
        <w:t>最佳测量范围</w:t>
      </w:r>
      <w:r>
        <w:rPr>
          <w:rFonts w:hint="eastAsia" w:ascii="宋体" w:hAnsi="宋体" w:eastAsia="宋体"/>
          <w:bCs/>
          <w:color w:val="000000" w:themeColor="text1"/>
          <w:szCs w:val="21"/>
          <w14:textFill>
            <w14:solidFill>
              <w14:schemeClr w14:val="tx1"/>
            </w14:solidFill>
          </w14:textFill>
        </w:rPr>
        <w:t>，若样品颗粒数计数过高或过低，则需调整样品的稀释倍数，再进行测定。另外需注意样品上机检测时各通道的基线和自动阈值应与空白对照一致，</w:t>
      </w:r>
      <w:r>
        <w:rPr>
          <w:rFonts w:ascii="宋体" w:hAnsi="宋体" w:eastAsia="宋体"/>
          <w:bCs/>
          <w:color w:val="000000" w:themeColor="text1"/>
          <w:szCs w:val="21"/>
          <w14:textFill>
            <w14:solidFill>
              <w14:schemeClr w14:val="tx1"/>
            </w14:solidFill>
          </w14:textFill>
        </w:rPr>
        <w:t>若样品检测时出现散射基线抬升则需重新制备更高纯度的样品，若荧光背景基线抬升则需进一步去除未结合的荧光抗体</w:t>
      </w:r>
      <w:r>
        <w:rPr>
          <w:rFonts w:hint="eastAsia" w:ascii="宋体" w:hAnsi="宋体" w:eastAsia="宋体"/>
          <w:bCs/>
          <w:color w:val="000000" w:themeColor="text1"/>
          <w:szCs w:val="21"/>
          <w14:textFill>
            <w14:solidFill>
              <w14:schemeClr w14:val="tx1"/>
            </w14:solidFill>
          </w14:textFill>
        </w:rPr>
        <w:t>。</w:t>
      </w:r>
    </w:p>
    <w:p w14:paraId="7E0C9159">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E.4 结果分析</w:t>
      </w:r>
    </w:p>
    <w:p w14:paraId="4330FA8B">
      <w:pPr>
        <w:pStyle w:val="16"/>
        <w:rPr>
          <w:rFonts w:hint="eastAsia" w:ascii="宋体" w:hAnsi="宋体" w:eastAsia="宋体" w:cs="Times New Roman"/>
          <w:bCs/>
          <w:szCs w:val="21"/>
        </w:rPr>
      </w:pPr>
      <w:r>
        <w:rPr>
          <w:rFonts w:hint="eastAsia" w:ascii="宋体" w:hAnsi="宋体" w:eastAsia="宋体" w:cs="Times New Roman"/>
          <w:bCs/>
          <w:szCs w:val="21"/>
        </w:rPr>
        <w:t>按照</w:t>
      </w:r>
      <w:r>
        <w:rPr>
          <w:rFonts w:ascii="宋体" w:hAnsi="宋体" w:eastAsia="宋体" w:cs="Times New Roman"/>
          <w:bCs/>
          <w:szCs w:val="21"/>
        </w:rPr>
        <w:t>NF Prof</w:t>
      </w:r>
      <w:r>
        <w:rPr>
          <w:rFonts w:hint="eastAsia" w:ascii="宋体" w:hAnsi="宋体" w:eastAsia="宋体" w:cs="Times New Roman"/>
          <w:bCs/>
          <w:szCs w:val="21"/>
        </w:rPr>
        <w:t>e</w:t>
      </w:r>
      <w:r>
        <w:rPr>
          <w:rFonts w:ascii="宋体" w:hAnsi="宋体" w:eastAsia="宋体" w:cs="Times New Roman"/>
          <w:bCs/>
          <w:szCs w:val="21"/>
        </w:rPr>
        <w:t>ssion</w:t>
      </w:r>
      <w:r>
        <w:rPr>
          <w:rFonts w:hint="eastAsia" w:ascii="宋体" w:hAnsi="宋体" w:eastAsia="宋体" w:cs="Times New Roman"/>
          <w:bCs/>
          <w:szCs w:val="21"/>
        </w:rPr>
        <w:t>软件使用说明书进行分析，得到待测样品表面标志物阳性率结果。</w:t>
      </w:r>
    </w:p>
    <w:p w14:paraId="513026E2">
      <w:pPr>
        <w:widowControl/>
        <w:jc w:val="left"/>
        <w:rPr>
          <w:rFonts w:hint="eastAsia" w:ascii="黑体" w:hAnsi="黑体" w:eastAsia="黑体" w:cs="黑体"/>
          <w:bCs/>
          <w:szCs w:val="21"/>
        </w:rPr>
      </w:pPr>
      <w:r>
        <w:rPr>
          <w:rFonts w:hint="eastAsia" w:ascii="黑体" w:hAnsi="黑体" w:eastAsia="黑体" w:cs="黑体"/>
          <w:bCs/>
          <w:szCs w:val="21"/>
        </w:rPr>
        <w:br w:type="page"/>
      </w:r>
    </w:p>
    <w:p w14:paraId="6DE831F6">
      <w:pPr>
        <w:jc w:val="center"/>
        <w:rPr>
          <w:rFonts w:hint="eastAsia" w:ascii="黑体" w:hAnsi="黑体" w:eastAsia="黑体" w:cs="黑体"/>
          <w:bCs/>
          <w:szCs w:val="21"/>
        </w:rPr>
      </w:pPr>
      <w:r>
        <w:rPr>
          <w:rFonts w:hint="eastAsia" w:ascii="黑体" w:hAnsi="黑体" w:eastAsia="黑体" w:cs="黑体"/>
          <w:bCs/>
          <w:szCs w:val="21"/>
        </w:rPr>
        <w:t>附录F</w:t>
      </w:r>
    </w:p>
    <w:p w14:paraId="7FD1A087">
      <w:pPr>
        <w:jc w:val="center"/>
        <w:rPr>
          <w:rFonts w:hint="eastAsia" w:ascii="黑体" w:hAnsi="黑体" w:eastAsia="黑体" w:cs="黑体"/>
          <w:bCs/>
          <w:szCs w:val="21"/>
        </w:rPr>
      </w:pPr>
      <w:r>
        <w:rPr>
          <w:rFonts w:hint="eastAsia" w:ascii="黑体" w:hAnsi="黑体" w:eastAsia="黑体" w:cs="黑体"/>
          <w:bCs/>
          <w:szCs w:val="21"/>
        </w:rPr>
        <w:t>（规范性）</w:t>
      </w:r>
    </w:p>
    <w:p w14:paraId="2808461E">
      <w:pPr>
        <w:jc w:val="center"/>
        <w:rPr>
          <w:rFonts w:hint="eastAsia" w:ascii="黑体" w:hAnsi="黑体" w:eastAsia="黑体" w:cs="黑体"/>
          <w:bCs/>
          <w:szCs w:val="21"/>
        </w:rPr>
      </w:pPr>
      <w:r>
        <w:rPr>
          <w:rFonts w:hint="eastAsia" w:ascii="黑体" w:hAnsi="黑体" w:eastAsia="黑体" w:cs="黑体"/>
          <w:bCs/>
          <w:szCs w:val="21"/>
        </w:rPr>
        <w:t>小细胞外囊泡数量与蛋白量比值计算方法</w:t>
      </w:r>
    </w:p>
    <w:p w14:paraId="6076B61A">
      <w:pPr>
        <w:jc w:val="center"/>
        <w:rPr>
          <w:rFonts w:hint="eastAsia" w:ascii="黑体" w:hAnsi="黑体" w:eastAsia="黑体" w:cs="黑体"/>
          <w:bCs/>
          <w:szCs w:val="21"/>
        </w:rPr>
      </w:pPr>
    </w:p>
    <w:p w14:paraId="4534EF0B">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F.1 小细胞外囊泡的数量检测。</w:t>
      </w:r>
    </w:p>
    <w:p w14:paraId="1AC34C8B">
      <w:pPr>
        <w:pStyle w:val="16"/>
        <w:rPr>
          <w:rFonts w:hint="eastAsia" w:ascii="宋体" w:hAnsi="宋体" w:eastAsia="宋体" w:cs="Times New Roman"/>
          <w:bCs/>
          <w:szCs w:val="21"/>
        </w:rPr>
      </w:pPr>
      <w:r>
        <w:rPr>
          <w:rFonts w:hint="eastAsia" w:ascii="宋体" w:hAnsi="宋体" w:eastAsia="宋体" w:cs="Times New Roman"/>
          <w:bCs/>
          <w:szCs w:val="21"/>
        </w:rPr>
        <w:t>按照附录B的方法测定样品中小细胞外囊泡的数量</w:t>
      </w:r>
      <w:r>
        <w:rPr>
          <w:rFonts w:ascii="宋体" w:hAnsi="宋体" w:eastAsia="宋体" w:cs="Times New Roman"/>
          <w:bCs/>
          <w:szCs w:val="21"/>
        </w:rPr>
        <w:t>X</w:t>
      </w:r>
      <w:r>
        <w:rPr>
          <w:rFonts w:hint="eastAsia" w:ascii="宋体" w:hAnsi="宋体" w:eastAsia="宋体" w:cs="Times New Roman"/>
          <w:bCs/>
          <w:szCs w:val="21"/>
        </w:rPr>
        <w:t>。</w:t>
      </w:r>
    </w:p>
    <w:p w14:paraId="515C3847">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F.2 小细胞外囊泡的蛋白量检测</w:t>
      </w:r>
    </w:p>
    <w:p w14:paraId="59E7D615">
      <w:pPr>
        <w:pStyle w:val="16"/>
        <w:rPr>
          <w:rFonts w:hint="eastAsia" w:ascii="宋体" w:hAnsi="宋体" w:eastAsia="宋体" w:cs="Times New Roman"/>
          <w:bCs/>
          <w:szCs w:val="21"/>
        </w:rPr>
      </w:pPr>
      <w:r>
        <w:rPr>
          <w:rFonts w:hint="eastAsia" w:ascii="宋体" w:hAnsi="宋体" w:eastAsia="宋体" w:cs="Times New Roman"/>
          <w:bCs/>
          <w:szCs w:val="21"/>
        </w:rPr>
        <w:t>用BCA试剂盒按照说明书测定样品的蛋白量</w:t>
      </w:r>
      <w:r>
        <w:rPr>
          <w:rFonts w:ascii="宋体" w:hAnsi="宋体" w:eastAsia="宋体" w:cs="Times New Roman"/>
          <w:bCs/>
          <w:szCs w:val="21"/>
        </w:rPr>
        <w:t>P</w:t>
      </w:r>
      <w:r>
        <w:rPr>
          <w:rFonts w:hint="eastAsia" w:ascii="宋体" w:hAnsi="宋体" w:eastAsia="宋体" w:cs="Times New Roman"/>
          <w:bCs/>
          <w:szCs w:val="21"/>
        </w:rPr>
        <w:t>。</w:t>
      </w:r>
    </w:p>
    <w:p w14:paraId="2E0CB8C0">
      <w:pPr>
        <w:pStyle w:val="16"/>
        <w:spacing w:before="156" w:beforeLines="50" w:after="156" w:afterLines="50"/>
        <w:ind w:firstLine="0" w:firstLineChars="0"/>
        <w:rPr>
          <w:rFonts w:hint="eastAsia"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F.3 小细胞外囊泡的数量与蛋白量比值计算</w:t>
      </w:r>
    </w:p>
    <w:p w14:paraId="39185E6A">
      <w:pPr>
        <w:pStyle w:val="16"/>
        <w:rPr>
          <w:rFonts w:hint="eastAsia" w:ascii="宋体" w:hAnsi="宋体" w:eastAsia="宋体" w:cs="Times New Roman"/>
          <w:bCs/>
          <w:szCs w:val="21"/>
        </w:rPr>
      </w:pPr>
      <w:r>
        <w:rPr>
          <w:rFonts w:hint="eastAsia" w:ascii="宋体" w:hAnsi="宋体" w:eastAsia="宋体" w:cs="Times New Roman"/>
          <w:bCs/>
          <w:szCs w:val="21"/>
        </w:rPr>
        <w:t>按照公式（F.1）计算小细胞外囊泡数量与蛋白量比值</w:t>
      </w:r>
      <w:r>
        <w:rPr>
          <w:rFonts w:ascii="宋体" w:hAnsi="宋体" w:eastAsia="宋体" w:cs="Times New Roman"/>
          <w:bCs/>
          <w:szCs w:val="21"/>
        </w:rPr>
        <w:t>T</w:t>
      </w:r>
      <w:r>
        <w:rPr>
          <w:rFonts w:hint="eastAsia" w:ascii="宋体" w:hAnsi="宋体" w:eastAsia="宋体" w:cs="Times New Roman"/>
          <w:bCs/>
          <w:szCs w:val="21"/>
        </w:rPr>
        <w:t>：</w:t>
      </w:r>
    </w:p>
    <w:p w14:paraId="76EAD8FA">
      <w:pPr>
        <w:widowControl/>
        <w:jc w:val="left"/>
        <w:rPr>
          <w:rFonts w:hint="eastAsia" w:ascii="宋体" w:hAnsi="宋体" w:eastAsia="宋体" w:cs="Times New Roman"/>
          <w:bCs/>
          <w:szCs w:val="21"/>
        </w:rPr>
      </w:pPr>
    </w:p>
    <w:p w14:paraId="2A92F22C">
      <w:pPr>
        <w:widowControl/>
        <w:ind w:firstLine="2730" w:firstLineChars="1300"/>
        <w:jc w:val="left"/>
        <w:rPr>
          <w:rFonts w:hint="eastAsia" w:ascii="宋体" w:hAnsi="宋体" w:eastAsia="宋体" w:cs="Times New Roman"/>
          <w:bCs/>
          <w:szCs w:val="21"/>
        </w:rPr>
      </w:pPr>
      <w:r>
        <w:rPr>
          <w:rFonts w:ascii="宋体" w:hAnsi="宋体" w:eastAsia="宋体" w:cs="Times New Roman"/>
          <w:bCs/>
          <w:i/>
          <w:szCs w:val="21"/>
        </w:rPr>
        <w:t>T=X/P</w:t>
      </w:r>
      <w:r>
        <w:rPr>
          <w:rFonts w:hint="eastAsia" w:ascii="宋体" w:hAnsi="宋体" w:eastAsia="宋体" w:cs="Times New Roman"/>
          <w:bCs/>
          <w:szCs w:val="21"/>
        </w:rPr>
        <w:t xml:space="preserve">            …………………………公式（F.1</w:t>
      </w:r>
      <w:r>
        <w:rPr>
          <w:rFonts w:ascii="宋体" w:hAnsi="宋体" w:eastAsia="宋体" w:cs="Times New Roman"/>
          <w:bCs/>
          <w:szCs w:val="21"/>
        </w:rPr>
        <w:t>）</w:t>
      </w:r>
    </w:p>
    <w:p w14:paraId="6261457E">
      <w:pPr>
        <w:widowControl/>
        <w:ind w:firstLine="2730" w:firstLineChars="1300"/>
        <w:jc w:val="left"/>
        <w:rPr>
          <w:rFonts w:hint="eastAsia" w:ascii="宋体" w:hAnsi="宋体" w:eastAsia="宋体" w:cs="Times New Roman"/>
          <w:bCs/>
          <w:i/>
          <w:szCs w:val="21"/>
        </w:rPr>
      </w:pPr>
    </w:p>
    <w:p w14:paraId="48B3E5DD">
      <w:pPr>
        <w:widowControl/>
        <w:jc w:val="left"/>
        <w:rPr>
          <w:rFonts w:hint="eastAsia" w:ascii="宋体" w:hAnsi="宋体" w:eastAsia="宋体" w:cs="Times New Roman"/>
          <w:b/>
          <w:szCs w:val="21"/>
        </w:rPr>
      </w:pPr>
      <w:r>
        <w:rPr>
          <w:rFonts w:ascii="宋体" w:hAnsi="宋体" w:eastAsia="宋体" w:cs="Times New Roman"/>
          <w:b/>
          <w:szCs w:val="21"/>
        </w:rPr>
        <w:t>式中</w:t>
      </w:r>
      <w:r>
        <w:rPr>
          <w:rFonts w:hint="eastAsia" w:ascii="宋体" w:hAnsi="宋体" w:eastAsia="宋体" w:cs="Times New Roman"/>
          <w:b/>
          <w:szCs w:val="21"/>
        </w:rPr>
        <w:t>：</w:t>
      </w:r>
    </w:p>
    <w:p w14:paraId="38862920">
      <w:pPr>
        <w:pStyle w:val="16"/>
        <w:rPr>
          <w:rFonts w:hint="eastAsia" w:ascii="宋体" w:hAnsi="宋体" w:eastAsia="宋体" w:cs="Times New Roman"/>
          <w:bCs/>
          <w:szCs w:val="21"/>
        </w:rPr>
      </w:pPr>
      <w:r>
        <w:rPr>
          <w:rFonts w:ascii="宋体" w:hAnsi="宋体" w:eastAsia="宋体" w:cs="Times New Roman"/>
          <w:bCs/>
          <w:i/>
          <w:szCs w:val="21"/>
        </w:rPr>
        <w:t>T</w:t>
      </w:r>
      <w:r>
        <w:rPr>
          <w:rFonts w:ascii="宋体" w:hAnsi="宋体" w:eastAsia="宋体" w:cs="Times New Roman"/>
          <w:bCs/>
          <w:szCs w:val="21"/>
        </w:rPr>
        <w:t>——</w:t>
      </w:r>
      <w:r>
        <w:rPr>
          <w:rFonts w:hint="eastAsia" w:ascii="宋体" w:hAnsi="宋体" w:eastAsia="宋体" w:cs="Times New Roman"/>
          <w:bCs/>
          <w:szCs w:val="21"/>
        </w:rPr>
        <w:t>小细胞外囊泡数量与蛋白量比值；</w:t>
      </w:r>
    </w:p>
    <w:p w14:paraId="0DE4824D">
      <w:pPr>
        <w:pStyle w:val="16"/>
        <w:rPr>
          <w:rFonts w:hint="eastAsia" w:ascii="宋体" w:hAnsi="宋体" w:eastAsia="宋体" w:cs="Times New Roman"/>
          <w:bCs/>
          <w:szCs w:val="21"/>
        </w:rPr>
      </w:pPr>
      <w:r>
        <w:rPr>
          <w:rFonts w:ascii="宋体" w:hAnsi="宋体" w:eastAsia="宋体" w:cs="Times New Roman"/>
          <w:bCs/>
          <w:i/>
          <w:szCs w:val="21"/>
        </w:rPr>
        <w:t>X</w:t>
      </w:r>
      <w:r>
        <w:rPr>
          <w:rFonts w:ascii="宋体" w:hAnsi="宋体" w:eastAsia="宋体" w:cs="Times New Roman"/>
          <w:bCs/>
          <w:szCs w:val="21"/>
        </w:rPr>
        <w:t>——</w:t>
      </w:r>
      <w:r>
        <w:rPr>
          <w:rFonts w:hint="eastAsia" w:ascii="宋体" w:hAnsi="宋体" w:eastAsia="宋体" w:cs="Times New Roman"/>
          <w:bCs/>
          <w:szCs w:val="21"/>
        </w:rPr>
        <w:t>小细胞外囊泡的数量；</w:t>
      </w:r>
    </w:p>
    <w:p w14:paraId="12677700">
      <w:pPr>
        <w:pStyle w:val="16"/>
        <w:rPr>
          <w:rFonts w:hint="eastAsia" w:ascii="宋体" w:hAnsi="宋体" w:eastAsia="宋体" w:cs="Times New Roman"/>
          <w:bCs/>
          <w:szCs w:val="21"/>
        </w:rPr>
      </w:pPr>
      <w:r>
        <w:rPr>
          <w:rFonts w:ascii="宋体" w:hAnsi="宋体" w:eastAsia="宋体" w:cs="Times New Roman"/>
          <w:bCs/>
          <w:i/>
          <w:szCs w:val="21"/>
        </w:rPr>
        <w:t>P</w:t>
      </w:r>
      <w:r>
        <w:rPr>
          <w:rFonts w:ascii="宋体" w:hAnsi="宋体" w:eastAsia="宋体" w:cs="Times New Roman"/>
          <w:bCs/>
          <w:szCs w:val="21"/>
        </w:rPr>
        <w:t>——</w:t>
      </w:r>
      <w:r>
        <w:rPr>
          <w:rFonts w:hint="eastAsia" w:ascii="宋体" w:hAnsi="宋体" w:eastAsia="宋体" w:cs="Times New Roman"/>
          <w:bCs/>
          <w:szCs w:val="21"/>
        </w:rPr>
        <w:t>小细胞外囊泡的蛋白量。</w:t>
      </w:r>
    </w:p>
    <w:p w14:paraId="022B9DB3">
      <w:pPr>
        <w:widowControl/>
        <w:jc w:val="left"/>
        <w:rPr>
          <w:rFonts w:hint="eastAsia" w:ascii="宋体" w:hAnsi="宋体" w:eastAsia="宋体" w:cs="Times New Roman"/>
          <w:b/>
          <w:szCs w:val="21"/>
        </w:rPr>
      </w:pPr>
    </w:p>
    <w:p w14:paraId="5E4D9D70">
      <w:pPr>
        <w:widowControl/>
        <w:jc w:val="left"/>
        <w:rPr>
          <w:rFonts w:hint="eastAsia" w:ascii="宋体" w:hAnsi="宋体" w:eastAsia="宋体" w:cs="Times New Roman"/>
          <w:b/>
          <w:szCs w:val="21"/>
        </w:rPr>
      </w:pPr>
      <w:r>
        <w:rPr>
          <w:rFonts w:ascii="宋体" w:hAnsi="宋体" w:eastAsia="宋体" w:cs="Times New Roman"/>
          <w:b/>
          <w:szCs w:val="21"/>
        </w:rPr>
        <w:br w:type="page"/>
      </w:r>
    </w:p>
    <w:p w14:paraId="629DC17B">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附录G</w:t>
      </w:r>
    </w:p>
    <w:p w14:paraId="59147CD3">
      <w:pPr>
        <w:pStyle w:val="16"/>
        <w:ind w:firstLine="0" w:firstLineChars="0"/>
        <w:jc w:val="center"/>
        <w:rPr>
          <w:rFonts w:hint="eastAsia" w:ascii="黑体" w:hAnsi="黑体" w:eastAsia="黑体" w:cs="黑体"/>
          <w:bCs/>
          <w:szCs w:val="21"/>
        </w:rPr>
      </w:pPr>
      <w:r>
        <w:rPr>
          <w:rFonts w:hint="eastAsia" w:ascii="黑体" w:hAnsi="黑体" w:eastAsia="黑体" w:cs="黑体"/>
          <w:bCs/>
          <w:szCs w:val="21"/>
        </w:rPr>
        <w:t>（规范性）</w:t>
      </w:r>
    </w:p>
    <w:p w14:paraId="02058F23">
      <w:pPr>
        <w:jc w:val="center"/>
        <w:rPr>
          <w:rFonts w:hint="eastAsia" w:ascii="宋体" w:hAnsi="宋体" w:eastAsia="宋体"/>
          <w:b/>
          <w:szCs w:val="21"/>
        </w:rPr>
      </w:pPr>
      <w:bookmarkStart w:id="20" w:name="_Hlk81256525"/>
      <w:r>
        <w:rPr>
          <w:rFonts w:hint="eastAsia" w:ascii="黑体" w:hAnsi="黑体" w:eastAsia="黑体" w:cs="黑体"/>
          <w:bCs/>
          <w:szCs w:val="21"/>
        </w:rPr>
        <w:t>抑制淋巴细胞增殖检测方法（CFSE标记法）</w:t>
      </w:r>
    </w:p>
    <w:p w14:paraId="2A50D515">
      <w:pPr>
        <w:spacing w:before="156" w:beforeLines="50" w:after="156" w:afterLines="50"/>
        <w:rPr>
          <w:rFonts w:hint="eastAsia" w:ascii="宋体" w:hAnsi="宋体" w:eastAsia="宋体" w:cs="Times New Roman"/>
          <w:b/>
          <w:szCs w:val="21"/>
        </w:rPr>
      </w:pPr>
      <w:r>
        <w:rPr>
          <w:rFonts w:hint="eastAsia" w:ascii="黑体" w:hAnsi="黑体" w:eastAsia="黑体" w:cs="黑体"/>
          <w:bCs/>
          <w:szCs w:val="21"/>
        </w:rPr>
        <w:t>G.1 仪器和设备</w:t>
      </w:r>
    </w:p>
    <w:p w14:paraId="7A0B5647">
      <w:pPr>
        <w:rPr>
          <w:rFonts w:hint="eastAsia" w:ascii="宋体" w:hAnsi="宋体" w:eastAsia="宋体"/>
          <w:szCs w:val="21"/>
        </w:rPr>
      </w:pPr>
      <w:r>
        <w:rPr>
          <w:rFonts w:hint="eastAsia" w:ascii="宋体" w:hAnsi="宋体" w:eastAsia="宋体" w:cs="Times New Roman"/>
          <w:bCs/>
          <w:szCs w:val="21"/>
        </w:rPr>
        <w:t>G</w:t>
      </w:r>
      <w:r>
        <w:rPr>
          <w:rFonts w:ascii="宋体" w:hAnsi="宋体" w:eastAsia="宋体" w:cs="Times New Roman"/>
          <w:bCs/>
          <w:szCs w:val="21"/>
        </w:rPr>
        <w:t>.1.1</w:t>
      </w:r>
      <w:r>
        <w:rPr>
          <w:rFonts w:hint="eastAsia" w:ascii="宋体" w:hAnsi="宋体" w:eastAsia="宋体" w:cs="Times New Roman"/>
          <w:bCs/>
          <w:szCs w:val="21"/>
        </w:rPr>
        <w:t xml:space="preserve"> </w:t>
      </w:r>
      <w:r>
        <w:rPr>
          <w:rFonts w:hint="eastAsia" w:ascii="宋体" w:hAnsi="宋体" w:eastAsia="宋体"/>
          <w:szCs w:val="21"/>
        </w:rPr>
        <w:t>血球计数板。</w:t>
      </w:r>
    </w:p>
    <w:p w14:paraId="1FF9D5DC">
      <w:pPr>
        <w:rPr>
          <w:rFonts w:hint="eastAsia" w:ascii="宋体" w:hAnsi="宋体" w:eastAsia="宋体" w:cs="Times New Roman"/>
          <w:bCs/>
          <w:szCs w:val="21"/>
        </w:rPr>
      </w:pPr>
      <w:r>
        <w:rPr>
          <w:rFonts w:hint="eastAsia" w:ascii="宋体" w:hAnsi="宋体" w:eastAsia="宋体" w:cs="Times New Roman"/>
          <w:bCs/>
          <w:szCs w:val="21"/>
        </w:rPr>
        <w:t>G</w:t>
      </w:r>
      <w:r>
        <w:rPr>
          <w:rFonts w:ascii="宋体" w:hAnsi="宋体" w:eastAsia="宋体" w:cs="Times New Roman"/>
          <w:bCs/>
          <w:szCs w:val="21"/>
        </w:rPr>
        <w:t>.1.2</w:t>
      </w:r>
      <w:r>
        <w:rPr>
          <w:rFonts w:hint="eastAsia" w:ascii="宋体" w:hAnsi="宋体" w:eastAsia="宋体" w:cs="Times New Roman"/>
          <w:bCs/>
          <w:szCs w:val="21"/>
        </w:rPr>
        <w:t xml:space="preserve"> 离心机。</w:t>
      </w:r>
    </w:p>
    <w:p w14:paraId="4E8E1A55">
      <w:pPr>
        <w:rPr>
          <w:rFonts w:hint="eastAsia" w:ascii="宋体" w:hAnsi="宋体" w:eastAsia="宋体" w:cs="Times New Roman"/>
          <w:bCs/>
          <w:szCs w:val="21"/>
        </w:rPr>
      </w:pPr>
      <w:r>
        <w:rPr>
          <w:rFonts w:hint="eastAsia" w:ascii="宋体" w:hAnsi="宋体" w:eastAsia="宋体" w:cs="Times New Roman"/>
          <w:bCs/>
          <w:szCs w:val="21"/>
        </w:rPr>
        <w:t>G</w:t>
      </w:r>
      <w:r>
        <w:rPr>
          <w:rFonts w:ascii="宋体" w:hAnsi="宋体" w:eastAsia="宋体" w:cs="Times New Roman"/>
          <w:bCs/>
          <w:szCs w:val="21"/>
        </w:rPr>
        <w:t>.1.3</w:t>
      </w:r>
      <w:r>
        <w:rPr>
          <w:rFonts w:hint="eastAsia" w:ascii="宋体" w:hAnsi="宋体" w:eastAsia="宋体" w:cs="Times New Roman"/>
          <w:bCs/>
          <w:szCs w:val="21"/>
        </w:rPr>
        <w:t xml:space="preserve"> 显微镜。</w:t>
      </w:r>
    </w:p>
    <w:p w14:paraId="3C951EAC">
      <w:pPr>
        <w:rPr>
          <w:rFonts w:hint="eastAsia" w:ascii="宋体" w:hAnsi="宋体" w:eastAsia="宋体" w:cs="Times New Roman"/>
          <w:bCs/>
          <w:szCs w:val="21"/>
        </w:rPr>
      </w:pPr>
      <w:r>
        <w:rPr>
          <w:rFonts w:hint="eastAsia" w:ascii="宋体" w:hAnsi="宋体" w:eastAsia="宋体" w:cs="Times New Roman"/>
          <w:bCs/>
          <w:szCs w:val="21"/>
        </w:rPr>
        <w:t>G</w:t>
      </w:r>
      <w:r>
        <w:rPr>
          <w:rFonts w:ascii="宋体" w:hAnsi="宋体" w:eastAsia="宋体" w:cs="Times New Roman"/>
          <w:bCs/>
          <w:szCs w:val="21"/>
        </w:rPr>
        <w:t>.1.4</w:t>
      </w:r>
      <w:r>
        <w:rPr>
          <w:rFonts w:hint="eastAsia" w:ascii="宋体" w:hAnsi="宋体" w:eastAsia="宋体" w:cs="Times New Roman"/>
          <w:bCs/>
          <w:szCs w:val="21"/>
        </w:rPr>
        <w:t xml:space="preserve"> 流式细胞仪。</w:t>
      </w:r>
    </w:p>
    <w:p w14:paraId="3FC686A0">
      <w:pPr>
        <w:rPr>
          <w:rFonts w:hint="eastAsia" w:ascii="宋体" w:hAnsi="宋体" w:eastAsia="宋体"/>
          <w:szCs w:val="21"/>
        </w:rPr>
      </w:pPr>
      <w:r>
        <w:rPr>
          <w:rFonts w:hint="eastAsia" w:ascii="宋体" w:hAnsi="宋体" w:eastAsia="宋体" w:cs="Times New Roman"/>
          <w:bCs/>
          <w:szCs w:val="21"/>
        </w:rPr>
        <w:t>G</w:t>
      </w:r>
      <w:r>
        <w:rPr>
          <w:rFonts w:ascii="宋体" w:hAnsi="宋体" w:eastAsia="宋体" w:cs="Times New Roman"/>
          <w:bCs/>
          <w:szCs w:val="21"/>
        </w:rPr>
        <w:t>.1.5</w:t>
      </w:r>
      <w:r>
        <w:rPr>
          <w:rFonts w:ascii="宋体" w:hAnsi="宋体" w:eastAsia="宋体"/>
          <w:szCs w:val="21"/>
        </w:rPr>
        <w:t xml:space="preserve"> CO</w:t>
      </w:r>
      <w:r>
        <w:rPr>
          <w:rFonts w:ascii="宋体" w:hAnsi="宋体" w:eastAsia="宋体"/>
          <w:szCs w:val="21"/>
          <w:vertAlign w:val="subscript"/>
        </w:rPr>
        <w:t>2</w:t>
      </w:r>
      <w:r>
        <w:rPr>
          <w:rFonts w:ascii="宋体" w:hAnsi="宋体" w:eastAsia="宋体"/>
          <w:szCs w:val="21"/>
        </w:rPr>
        <w:t>细胞培养箱。</w:t>
      </w:r>
    </w:p>
    <w:p w14:paraId="3E276F4F">
      <w:pPr>
        <w:spacing w:before="156" w:beforeLines="50" w:after="156" w:afterLines="50"/>
        <w:rPr>
          <w:rFonts w:hint="eastAsia" w:ascii="宋体" w:hAnsi="宋体" w:eastAsia="宋体" w:cs="Times New Roman"/>
          <w:b/>
          <w:szCs w:val="21"/>
        </w:rPr>
      </w:pPr>
      <w:r>
        <w:rPr>
          <w:rFonts w:hint="eastAsia" w:ascii="黑体" w:hAnsi="黑体" w:eastAsia="黑体" w:cs="黑体"/>
          <w:bCs/>
          <w:szCs w:val="21"/>
        </w:rPr>
        <w:t>G.2 试剂</w:t>
      </w:r>
    </w:p>
    <w:p w14:paraId="09E5F29C">
      <w:pPr>
        <w:ind w:firstLine="420" w:firstLineChars="200"/>
        <w:rPr>
          <w:rFonts w:hint="eastAsia" w:ascii="宋体" w:hAnsi="宋体" w:eastAsia="宋体"/>
          <w:szCs w:val="21"/>
        </w:rPr>
      </w:pPr>
      <w:r>
        <w:rPr>
          <w:rFonts w:hint="eastAsia" w:ascii="宋体" w:hAnsi="宋体" w:eastAsia="宋体"/>
          <w:szCs w:val="21"/>
        </w:rPr>
        <w:t>本方法所用试剂均为分析纯，除特别说明外，实验用水均为</w:t>
      </w:r>
      <w:r>
        <w:rPr>
          <w:rFonts w:ascii="宋体" w:hAnsi="宋体" w:eastAsia="宋体"/>
          <w:szCs w:val="21"/>
        </w:rPr>
        <w:t xml:space="preserve"> GB/T 6682 规定</w:t>
      </w:r>
      <w:r>
        <w:rPr>
          <w:rFonts w:hint="eastAsia" w:ascii="宋体" w:hAnsi="宋体" w:eastAsia="宋体"/>
          <w:szCs w:val="21"/>
        </w:rPr>
        <w:t>的一级水。</w:t>
      </w:r>
    </w:p>
    <w:p w14:paraId="5598F408">
      <w:pPr>
        <w:rPr>
          <w:rFonts w:hint="eastAsia" w:ascii="宋体" w:hAnsi="宋体" w:eastAsia="宋体"/>
          <w:szCs w:val="21"/>
        </w:rPr>
      </w:pPr>
      <w:r>
        <w:rPr>
          <w:rFonts w:hint="eastAsia" w:ascii="宋体" w:hAnsi="宋体" w:eastAsia="宋体"/>
          <w:szCs w:val="21"/>
        </w:rPr>
        <w:t xml:space="preserve">G.2.1 </w:t>
      </w:r>
      <w:r>
        <w:rPr>
          <w:rFonts w:ascii="宋体" w:hAnsi="宋体" w:eastAsia="宋体"/>
          <w:szCs w:val="21"/>
        </w:rPr>
        <w:t>磷酸盐缓冲液</w:t>
      </w:r>
      <w:r>
        <w:rPr>
          <w:rFonts w:hint="eastAsia" w:ascii="宋体" w:hAnsi="宋体" w:eastAsia="宋体"/>
          <w:szCs w:val="21"/>
        </w:rPr>
        <w:t>（P</w:t>
      </w:r>
      <w:r>
        <w:rPr>
          <w:rFonts w:ascii="宋体" w:hAnsi="宋体" w:eastAsia="宋体"/>
          <w:szCs w:val="21"/>
        </w:rPr>
        <w:t>BS）：pH为7.4。</w:t>
      </w:r>
    </w:p>
    <w:p w14:paraId="67D6BAEF">
      <w:pPr>
        <w:rPr>
          <w:rFonts w:hint="eastAsia" w:ascii="宋体" w:hAnsi="宋体" w:eastAsia="宋体"/>
          <w:szCs w:val="21"/>
        </w:rPr>
      </w:pPr>
      <w:r>
        <w:rPr>
          <w:rFonts w:hint="eastAsia" w:ascii="宋体" w:hAnsi="宋体" w:eastAsia="宋体"/>
          <w:szCs w:val="21"/>
        </w:rPr>
        <w:t>G.2.2 淋巴细胞分离液。</w:t>
      </w:r>
    </w:p>
    <w:p w14:paraId="33CE4F79">
      <w:pPr>
        <w:rPr>
          <w:rFonts w:hint="eastAsia" w:ascii="宋体" w:hAnsi="宋体" w:eastAsia="宋体"/>
          <w:szCs w:val="21"/>
        </w:rPr>
      </w:pPr>
      <w:r>
        <w:rPr>
          <w:rFonts w:hint="eastAsia" w:ascii="宋体" w:hAnsi="宋体" w:eastAsia="宋体"/>
          <w:szCs w:val="21"/>
        </w:rPr>
        <w:t>G.2.3 植物凝集素(</w:t>
      </w:r>
      <w:r>
        <w:rPr>
          <w:rFonts w:ascii="宋体" w:hAnsi="宋体" w:eastAsia="宋体"/>
          <w:szCs w:val="21"/>
        </w:rPr>
        <w:t>PHA)。</w:t>
      </w:r>
    </w:p>
    <w:p w14:paraId="0CCB96F9">
      <w:pPr>
        <w:rPr>
          <w:rFonts w:hint="eastAsia" w:ascii="宋体" w:hAnsi="宋体" w:eastAsia="宋体"/>
          <w:szCs w:val="21"/>
        </w:rPr>
      </w:pPr>
      <w:r>
        <w:rPr>
          <w:rFonts w:hint="eastAsia" w:ascii="宋体" w:hAnsi="宋体" w:eastAsia="宋体"/>
          <w:szCs w:val="21"/>
        </w:rPr>
        <w:t>G.2.4 羟基荧光素二醋酸盐琥珀酰亚胺脂(C</w:t>
      </w:r>
      <w:r>
        <w:rPr>
          <w:rFonts w:ascii="宋体" w:hAnsi="宋体" w:eastAsia="宋体"/>
          <w:szCs w:val="21"/>
        </w:rPr>
        <w:t>FSE)</w:t>
      </w:r>
      <w:r>
        <w:rPr>
          <w:rFonts w:hint="eastAsia" w:ascii="宋体" w:hAnsi="宋体" w:eastAsia="宋体"/>
          <w:szCs w:val="21"/>
        </w:rPr>
        <w:t>染料。</w:t>
      </w:r>
    </w:p>
    <w:p w14:paraId="796B82E7">
      <w:pPr>
        <w:spacing w:before="156" w:beforeLines="50" w:after="156" w:afterLines="50"/>
        <w:rPr>
          <w:rFonts w:hint="eastAsia" w:ascii="宋体" w:hAnsi="宋体" w:eastAsia="宋体" w:cs="Times New Roman"/>
          <w:b/>
          <w:szCs w:val="21"/>
        </w:rPr>
      </w:pPr>
      <w:r>
        <w:rPr>
          <w:rFonts w:hint="eastAsia" w:ascii="黑体" w:hAnsi="黑体" w:eastAsia="黑体" w:cs="黑体"/>
          <w:bCs/>
          <w:szCs w:val="21"/>
        </w:rPr>
        <w:t>G.3检测步骤</w:t>
      </w:r>
    </w:p>
    <w:p w14:paraId="2C89DDD1">
      <w:pPr>
        <w:rPr>
          <w:rFonts w:hint="eastAsia" w:ascii="宋体" w:hAnsi="宋体" w:eastAsia="宋体" w:cs="Times New Roman"/>
          <w:bCs/>
          <w:szCs w:val="21"/>
        </w:rPr>
      </w:pPr>
      <w:r>
        <w:rPr>
          <w:rFonts w:hint="eastAsia" w:ascii="宋体" w:hAnsi="宋体" w:eastAsia="宋体" w:cs="Times New Roman"/>
          <w:bCs/>
          <w:szCs w:val="21"/>
        </w:rPr>
        <w:t>G.3.1 利用淋巴细胞分离液，分离外周血单个核细胞(</w:t>
      </w:r>
      <w:r>
        <w:rPr>
          <w:rFonts w:ascii="宋体" w:hAnsi="宋体" w:eastAsia="宋体" w:cs="Times New Roman"/>
          <w:bCs/>
          <w:szCs w:val="21"/>
        </w:rPr>
        <w:t>PBMC)</w:t>
      </w:r>
      <w:r>
        <w:rPr>
          <w:rFonts w:hint="eastAsia" w:ascii="宋体" w:hAnsi="宋体" w:eastAsia="宋体" w:cs="Times New Roman"/>
          <w:bCs/>
          <w:szCs w:val="21"/>
        </w:rPr>
        <w:t>。</w:t>
      </w:r>
    </w:p>
    <w:p w14:paraId="400F652E">
      <w:pPr>
        <w:rPr>
          <w:rFonts w:hint="eastAsia" w:ascii="宋体" w:hAnsi="宋体" w:eastAsia="宋体" w:cs="Times New Roman"/>
          <w:bCs/>
          <w:szCs w:val="21"/>
        </w:rPr>
      </w:pPr>
      <w:r>
        <w:rPr>
          <w:rFonts w:hint="eastAsia" w:ascii="宋体" w:hAnsi="宋体" w:eastAsia="宋体" w:cs="Times New Roman"/>
          <w:bCs/>
          <w:szCs w:val="21"/>
        </w:rPr>
        <w:t>G.3.2 使用血球计数板及显微镜计算细胞浓度，然后进行C</w:t>
      </w:r>
      <w:r>
        <w:rPr>
          <w:rFonts w:ascii="宋体" w:hAnsi="宋体" w:eastAsia="宋体" w:cs="Times New Roman"/>
          <w:bCs/>
          <w:szCs w:val="21"/>
        </w:rPr>
        <w:t>FSE</w:t>
      </w:r>
      <w:r>
        <w:rPr>
          <w:rFonts w:hint="eastAsia" w:ascii="宋体" w:hAnsi="宋体" w:eastAsia="宋体" w:cs="Times New Roman"/>
          <w:bCs/>
          <w:szCs w:val="21"/>
        </w:rPr>
        <w:t>标记，根据C</w:t>
      </w:r>
      <w:r>
        <w:rPr>
          <w:rFonts w:ascii="宋体" w:hAnsi="宋体" w:eastAsia="宋体" w:cs="Times New Roman"/>
          <w:bCs/>
          <w:szCs w:val="21"/>
        </w:rPr>
        <w:t>FSE</w:t>
      </w:r>
      <w:r>
        <w:rPr>
          <w:rFonts w:hint="eastAsia" w:ascii="宋体" w:hAnsi="宋体" w:eastAsia="宋体" w:cs="Times New Roman"/>
          <w:bCs/>
          <w:szCs w:val="21"/>
        </w:rPr>
        <w:t>产品说明书进行。</w:t>
      </w:r>
    </w:p>
    <w:p w14:paraId="29A96FC7">
      <w:pPr>
        <w:rPr>
          <w:rFonts w:hint="eastAsia" w:ascii="宋体" w:hAnsi="宋体" w:eastAsia="宋体" w:cs="Times New Roman"/>
          <w:bCs/>
          <w:szCs w:val="21"/>
        </w:rPr>
      </w:pPr>
      <w:r>
        <w:rPr>
          <w:rFonts w:hint="eastAsia" w:ascii="宋体" w:hAnsi="宋体" w:eastAsia="宋体" w:cs="Times New Roman"/>
          <w:bCs/>
          <w:szCs w:val="21"/>
        </w:rPr>
        <w:t>G.3.3 使用血球计数板及显微镜计算</w:t>
      </w:r>
      <w:r>
        <w:rPr>
          <w:rFonts w:ascii="宋体" w:hAnsi="宋体" w:eastAsia="宋体" w:cs="Times New Roman"/>
          <w:bCs/>
          <w:szCs w:val="21"/>
        </w:rPr>
        <w:t>CFSE标记细胞浓度，将PBMC以5×10</w:t>
      </w:r>
      <w:r>
        <w:rPr>
          <w:rFonts w:ascii="宋体" w:hAnsi="宋体" w:eastAsia="宋体" w:cs="Times New Roman"/>
          <w:bCs/>
          <w:szCs w:val="21"/>
          <w:vertAlign w:val="superscript"/>
        </w:rPr>
        <w:t>5</w:t>
      </w:r>
      <w:r>
        <w:rPr>
          <w:rFonts w:ascii="宋体" w:hAnsi="宋体" w:eastAsia="宋体" w:cs="Times New Roman"/>
          <w:bCs/>
          <w:szCs w:val="21"/>
        </w:rPr>
        <w:t>个细胞/</w:t>
      </w:r>
      <w:r>
        <w:rPr>
          <w:rFonts w:hint="eastAsia" w:ascii="宋体" w:hAnsi="宋体" w:eastAsia="宋体" w:cs="Times New Roman"/>
          <w:bCs/>
          <w:szCs w:val="21"/>
        </w:rPr>
        <w:t>mL</w:t>
      </w:r>
      <w:r>
        <w:rPr>
          <w:rFonts w:ascii="宋体" w:hAnsi="宋体" w:eastAsia="宋体" w:cs="Times New Roman"/>
          <w:bCs/>
          <w:szCs w:val="21"/>
        </w:rPr>
        <w:t>接种于12孔培养板中，体系1</w:t>
      </w:r>
      <w:r>
        <w:rPr>
          <w:rFonts w:hint="eastAsia" w:ascii="宋体" w:hAnsi="宋体" w:eastAsia="宋体" w:cs="Times New Roman"/>
          <w:bCs/>
          <w:szCs w:val="21"/>
        </w:rPr>
        <w:t>mL</w:t>
      </w:r>
      <w:r>
        <w:rPr>
          <w:rFonts w:ascii="宋体" w:hAnsi="宋体" w:eastAsia="宋体" w:cs="Times New Roman"/>
          <w:bCs/>
          <w:szCs w:val="21"/>
        </w:rPr>
        <w:t>，用PHA（10</w:t>
      </w:r>
      <w:r>
        <w:rPr>
          <w:rFonts w:hint="eastAsia" w:ascii="宋体" w:hAnsi="宋体" w:eastAsia="宋体" w:cs="Times New Roman"/>
          <w:bCs/>
          <w:szCs w:val="21"/>
        </w:rPr>
        <w:t>ng</w:t>
      </w:r>
      <w:r>
        <w:rPr>
          <w:rFonts w:ascii="宋体" w:hAnsi="宋体" w:eastAsia="宋体" w:cs="Times New Roman"/>
          <w:bCs/>
          <w:szCs w:val="21"/>
        </w:rPr>
        <w:t>/</w:t>
      </w:r>
      <w:r>
        <w:rPr>
          <w:rFonts w:hint="eastAsia" w:ascii="宋体" w:hAnsi="宋体" w:eastAsia="宋体" w:cs="Times New Roman"/>
          <w:bCs/>
          <w:szCs w:val="21"/>
        </w:rPr>
        <w:t>mL</w:t>
      </w:r>
      <w:r>
        <w:rPr>
          <w:rFonts w:ascii="宋体" w:hAnsi="宋体" w:eastAsia="宋体" w:cs="Times New Roman"/>
          <w:bCs/>
          <w:szCs w:val="21"/>
        </w:rPr>
        <w:t>）刺激淋巴细胞增殖</w:t>
      </w:r>
      <w:r>
        <w:rPr>
          <w:rFonts w:hint="eastAsia" w:ascii="宋体" w:hAnsi="宋体" w:eastAsia="宋体" w:cs="Times New Roman"/>
          <w:bCs/>
          <w:szCs w:val="21"/>
        </w:rPr>
        <w:t>。</w:t>
      </w:r>
    </w:p>
    <w:p w14:paraId="6431E581">
      <w:pPr>
        <w:rPr>
          <w:rFonts w:hint="eastAsia" w:ascii="宋体" w:hAnsi="宋体" w:eastAsia="宋体" w:cs="Times New Roman"/>
          <w:bCs/>
          <w:szCs w:val="21"/>
        </w:rPr>
      </w:pPr>
      <w:r>
        <w:rPr>
          <w:rFonts w:hint="eastAsia" w:ascii="宋体" w:hAnsi="宋体" w:eastAsia="宋体" w:cs="Times New Roman"/>
          <w:bCs/>
          <w:szCs w:val="21"/>
        </w:rPr>
        <w:t>G.3.4 实验组将小细胞外囊泡样本</w:t>
      </w:r>
      <w:r>
        <w:rPr>
          <w:rFonts w:ascii="宋体" w:hAnsi="宋体" w:eastAsia="宋体" w:cs="Times New Roman"/>
          <w:bCs/>
          <w:szCs w:val="21"/>
        </w:rPr>
        <w:t>加入细胞培养基中，</w:t>
      </w:r>
      <w:r>
        <w:rPr>
          <w:rFonts w:hint="eastAsia" w:ascii="宋体" w:hAnsi="宋体" w:eastAsia="宋体" w:cs="Times New Roman"/>
          <w:bCs/>
          <w:szCs w:val="21"/>
        </w:rPr>
        <w:t>终浓度为5</w:t>
      </w:r>
      <w:bookmarkStart w:id="21" w:name="_Hlk99311484"/>
      <w:r>
        <w:rPr>
          <w:rFonts w:hint="eastAsia" w:ascii="宋体" w:hAnsi="宋体" w:eastAsia="宋体" w:cs="Times New Roman"/>
          <w:bCs/>
          <w:szCs w:val="21"/>
        </w:rPr>
        <w:t>×10</w:t>
      </w:r>
      <w:r>
        <w:rPr>
          <w:rFonts w:hint="eastAsia" w:ascii="宋体" w:hAnsi="宋体" w:eastAsia="宋体" w:cs="Times New Roman"/>
          <w:bCs/>
          <w:szCs w:val="21"/>
          <w:vertAlign w:val="superscript"/>
        </w:rPr>
        <w:t>9</w:t>
      </w:r>
      <w:bookmarkEnd w:id="21"/>
      <w:r>
        <w:rPr>
          <w:rFonts w:hint="eastAsia" w:ascii="宋体" w:hAnsi="宋体" w:eastAsia="宋体" w:cs="Times New Roman"/>
          <w:bCs/>
          <w:szCs w:val="21"/>
        </w:rPr>
        <w:t>个颗粒/mL。</w:t>
      </w:r>
      <w:r>
        <w:rPr>
          <w:rFonts w:ascii="宋体" w:hAnsi="宋体" w:eastAsia="宋体" w:cs="Times New Roman"/>
          <w:bCs/>
          <w:szCs w:val="21"/>
        </w:rPr>
        <w:t>对照组加入相同体积无菌</w:t>
      </w:r>
      <w:r>
        <w:rPr>
          <w:rFonts w:ascii="宋体" w:hAnsi="宋体" w:eastAsia="宋体"/>
          <w:szCs w:val="21"/>
        </w:rPr>
        <w:t>磷酸盐缓冲液</w:t>
      </w:r>
      <w:r>
        <w:rPr>
          <w:rFonts w:hint="eastAsia" w:ascii="宋体" w:hAnsi="宋体" w:eastAsia="宋体" w:cs="Times New Roman"/>
          <w:bCs/>
          <w:szCs w:val="21"/>
        </w:rPr>
        <w:t>。</w:t>
      </w:r>
    </w:p>
    <w:p w14:paraId="693E7940">
      <w:pPr>
        <w:rPr>
          <w:rFonts w:hint="eastAsia" w:ascii="宋体" w:hAnsi="宋体" w:eastAsia="宋体" w:cs="Times New Roman"/>
          <w:bCs/>
          <w:szCs w:val="21"/>
        </w:rPr>
      </w:pPr>
      <w:r>
        <w:rPr>
          <w:rFonts w:hint="eastAsia" w:ascii="宋体" w:hAnsi="宋体" w:eastAsia="宋体" w:cs="Times New Roman"/>
          <w:bCs/>
          <w:szCs w:val="21"/>
        </w:rPr>
        <w:t>G.3.5 培养</w:t>
      </w:r>
      <w:r>
        <w:rPr>
          <w:rFonts w:ascii="宋体" w:hAnsi="宋体" w:eastAsia="宋体" w:cs="Times New Roman"/>
          <w:bCs/>
          <w:szCs w:val="21"/>
        </w:rPr>
        <w:t>96</w:t>
      </w:r>
      <w:r>
        <w:rPr>
          <w:rFonts w:hint="eastAsia" w:ascii="宋体" w:hAnsi="宋体" w:eastAsia="宋体" w:cs="Times New Roman"/>
          <w:bCs/>
          <w:szCs w:val="21"/>
        </w:rPr>
        <w:t>h</w:t>
      </w:r>
      <w:r>
        <w:rPr>
          <w:rFonts w:ascii="宋体" w:hAnsi="宋体" w:eastAsia="宋体" w:cs="Times New Roman"/>
          <w:bCs/>
          <w:szCs w:val="21"/>
        </w:rPr>
        <w:t>后</w:t>
      </w:r>
      <w:r>
        <w:rPr>
          <w:rFonts w:hint="eastAsia" w:ascii="宋体" w:hAnsi="宋体" w:eastAsia="宋体" w:cs="Times New Roman"/>
          <w:bCs/>
          <w:szCs w:val="21"/>
        </w:rPr>
        <w:t>，收集P</w:t>
      </w:r>
      <w:r>
        <w:rPr>
          <w:rFonts w:ascii="宋体" w:hAnsi="宋体" w:eastAsia="宋体" w:cs="Times New Roman"/>
          <w:bCs/>
          <w:szCs w:val="21"/>
        </w:rPr>
        <w:t>BMC</w:t>
      </w:r>
      <w:r>
        <w:rPr>
          <w:rFonts w:hint="eastAsia" w:ascii="宋体" w:hAnsi="宋体" w:eastAsia="宋体" w:cs="Times New Roman"/>
          <w:bCs/>
          <w:szCs w:val="21"/>
        </w:rPr>
        <w:t>，用适量</w:t>
      </w:r>
      <w:r>
        <w:rPr>
          <w:rFonts w:ascii="宋体" w:hAnsi="宋体" w:eastAsia="宋体"/>
          <w:szCs w:val="21"/>
        </w:rPr>
        <w:t>磷酸盐缓冲液</w:t>
      </w:r>
      <w:r>
        <w:rPr>
          <w:rFonts w:hint="eastAsia" w:ascii="宋体" w:hAnsi="宋体" w:eastAsia="宋体" w:cs="Times New Roman"/>
          <w:bCs/>
          <w:szCs w:val="21"/>
        </w:rPr>
        <w:t>洗涤2次，转移到流式管中，按流式细胞仪应用手册上机检测。</w:t>
      </w:r>
    </w:p>
    <w:p w14:paraId="1CBE81F7">
      <w:pPr>
        <w:rPr>
          <w:rFonts w:hint="eastAsia" w:ascii="宋体" w:hAnsi="宋体" w:eastAsia="宋体" w:cs="Times New Roman"/>
          <w:bCs/>
          <w:szCs w:val="21"/>
        </w:rPr>
      </w:pPr>
      <w:r>
        <w:rPr>
          <w:rFonts w:hint="eastAsia" w:ascii="宋体" w:hAnsi="宋体" w:eastAsia="宋体" w:cs="Times New Roman"/>
          <w:bCs/>
          <w:szCs w:val="21"/>
        </w:rPr>
        <w:t>G.3.6 比较实验组和对照组的淋巴细胞增殖率。</w:t>
      </w:r>
      <w:bookmarkEnd w:id="20"/>
    </w:p>
    <w:p w14:paraId="538CA1EB">
      <w:pPr>
        <w:jc w:val="center"/>
        <w:rPr>
          <w:rFonts w:hint="eastAsia" w:ascii="黑体" w:hAnsi="黑体" w:eastAsia="黑体" w:cs="黑体"/>
          <w:bCs/>
          <w:szCs w:val="21"/>
        </w:rPr>
      </w:pPr>
      <w:r>
        <w:rPr>
          <w:rFonts w:ascii="宋体" w:hAnsi="宋体" w:eastAsia="宋体" w:cs="Times New Roman"/>
          <w:bCs/>
          <w:szCs w:val="21"/>
        </w:rPr>
        <w:br w:type="page"/>
      </w:r>
      <w:r>
        <w:rPr>
          <w:rFonts w:hint="eastAsia" w:ascii="黑体" w:hAnsi="黑体" w:eastAsia="黑体" w:cs="黑体"/>
          <w:bCs/>
          <w:szCs w:val="21"/>
        </w:rPr>
        <w:t>附录H</w:t>
      </w:r>
    </w:p>
    <w:p w14:paraId="552C8F42">
      <w:pPr>
        <w:jc w:val="center"/>
        <w:rPr>
          <w:rFonts w:hint="eastAsia" w:ascii="黑体" w:hAnsi="黑体" w:eastAsia="黑体" w:cs="黑体"/>
          <w:bCs/>
          <w:szCs w:val="21"/>
        </w:rPr>
      </w:pPr>
      <w:r>
        <w:rPr>
          <w:rFonts w:hint="eastAsia" w:ascii="黑体" w:hAnsi="黑体" w:eastAsia="黑体" w:cs="黑体"/>
          <w:bCs/>
          <w:szCs w:val="21"/>
        </w:rPr>
        <w:t>（规范性）</w:t>
      </w:r>
    </w:p>
    <w:p w14:paraId="2980BD7B">
      <w:pPr>
        <w:widowControl/>
        <w:jc w:val="center"/>
        <w:rPr>
          <w:rFonts w:hint="eastAsia" w:ascii="宋体" w:hAnsi="宋体" w:eastAsia="宋体" w:cs="Times New Roman"/>
          <w:b/>
          <w:bCs/>
          <w:szCs w:val="21"/>
        </w:rPr>
      </w:pPr>
      <w:r>
        <w:rPr>
          <w:rFonts w:hint="eastAsia" w:ascii="黑体" w:hAnsi="黑体" w:eastAsia="黑体" w:cs="黑体"/>
          <w:bCs/>
          <w:szCs w:val="21"/>
        </w:rPr>
        <w:t>抑制Th1功能检测方法（胞内因子染色法）</w:t>
      </w:r>
    </w:p>
    <w:p w14:paraId="4AF1DDBE">
      <w:pPr>
        <w:widowControl/>
        <w:spacing w:before="156" w:beforeLines="50" w:after="156" w:afterLines="50"/>
        <w:jc w:val="left"/>
        <w:rPr>
          <w:rFonts w:hint="eastAsia" w:ascii="宋体" w:hAnsi="宋体" w:eastAsia="宋体" w:cs="Times New Roman"/>
          <w:b/>
          <w:szCs w:val="21"/>
        </w:rPr>
      </w:pPr>
      <w:r>
        <w:rPr>
          <w:rFonts w:hint="eastAsia" w:ascii="黑体" w:hAnsi="黑体" w:eastAsia="黑体" w:cs="黑体"/>
          <w:bCs/>
          <w:szCs w:val="21"/>
        </w:rPr>
        <w:t>H.1 仪器和设备</w:t>
      </w:r>
    </w:p>
    <w:p w14:paraId="3BD4957E">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1.1</w:t>
      </w:r>
      <w:r>
        <w:rPr>
          <w:rFonts w:hint="eastAsia" w:ascii="宋体" w:hAnsi="宋体" w:eastAsia="宋体" w:cs="Times New Roman"/>
          <w:bCs/>
          <w:szCs w:val="21"/>
        </w:rPr>
        <w:t xml:space="preserve"> </w:t>
      </w:r>
      <w:r>
        <w:rPr>
          <w:rFonts w:ascii="宋体" w:hAnsi="宋体" w:eastAsia="宋体" w:cs="Times New Roman"/>
          <w:bCs/>
          <w:szCs w:val="21"/>
        </w:rPr>
        <w:t>血球计数板</w:t>
      </w:r>
      <w:r>
        <w:rPr>
          <w:rFonts w:hint="eastAsia" w:ascii="宋体" w:hAnsi="宋体" w:eastAsia="宋体" w:cs="Times New Roman"/>
          <w:bCs/>
          <w:szCs w:val="21"/>
        </w:rPr>
        <w:t>。</w:t>
      </w:r>
    </w:p>
    <w:p w14:paraId="6577E9F3">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.1.2</w:t>
      </w:r>
      <w:r>
        <w:rPr>
          <w:rFonts w:hint="eastAsia" w:ascii="宋体" w:hAnsi="宋体" w:eastAsia="宋体" w:cs="Times New Roman"/>
          <w:bCs/>
          <w:szCs w:val="21"/>
        </w:rPr>
        <w:t xml:space="preserve"> 离心机。</w:t>
      </w:r>
    </w:p>
    <w:p w14:paraId="4456EDB0">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.1.3</w:t>
      </w:r>
      <w:r>
        <w:rPr>
          <w:rFonts w:hint="eastAsia" w:ascii="宋体" w:hAnsi="宋体" w:eastAsia="宋体" w:cs="Times New Roman"/>
          <w:bCs/>
          <w:szCs w:val="21"/>
        </w:rPr>
        <w:t xml:space="preserve"> 显微镜。</w:t>
      </w:r>
    </w:p>
    <w:p w14:paraId="55E94DAE">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.1.4</w:t>
      </w:r>
      <w:r>
        <w:rPr>
          <w:rFonts w:hint="eastAsia" w:ascii="宋体" w:hAnsi="宋体" w:eastAsia="宋体" w:cs="Times New Roman"/>
          <w:bCs/>
          <w:szCs w:val="21"/>
        </w:rPr>
        <w:t xml:space="preserve"> 流式细胞仪。</w:t>
      </w:r>
    </w:p>
    <w:p w14:paraId="7255F6C2">
      <w:pPr>
        <w:rPr>
          <w:rFonts w:hint="eastAsia" w:ascii="宋体" w:hAnsi="宋体" w:eastAsia="宋体"/>
          <w:szCs w:val="21"/>
        </w:rPr>
      </w:pPr>
      <w:r>
        <w:rPr>
          <w:rFonts w:hint="eastAsia" w:ascii="宋体" w:hAnsi="宋体" w:eastAsia="宋体" w:cs="Times New Roman"/>
          <w:bCs/>
          <w:szCs w:val="21"/>
        </w:rPr>
        <w:t>H</w:t>
      </w:r>
      <w:r>
        <w:rPr>
          <w:rFonts w:ascii="宋体" w:hAnsi="宋体" w:eastAsia="宋体" w:cs="Times New Roman"/>
          <w:bCs/>
          <w:szCs w:val="21"/>
        </w:rPr>
        <w:t>.1.5</w:t>
      </w:r>
      <w:r>
        <w:rPr>
          <w:rFonts w:ascii="宋体" w:hAnsi="宋体" w:eastAsia="宋体"/>
          <w:szCs w:val="21"/>
        </w:rPr>
        <w:t xml:space="preserve"> CO</w:t>
      </w:r>
      <w:r>
        <w:rPr>
          <w:rFonts w:ascii="宋体" w:hAnsi="宋体" w:eastAsia="宋体"/>
          <w:szCs w:val="21"/>
          <w:vertAlign w:val="subscript"/>
        </w:rPr>
        <w:t>2</w:t>
      </w:r>
      <w:r>
        <w:rPr>
          <w:rFonts w:ascii="宋体" w:hAnsi="宋体" w:eastAsia="宋体"/>
          <w:szCs w:val="21"/>
        </w:rPr>
        <w:t>细胞培养箱。</w:t>
      </w:r>
    </w:p>
    <w:p w14:paraId="66E8558E">
      <w:pPr>
        <w:widowControl/>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H.2 试剂</w:t>
      </w:r>
    </w:p>
    <w:p w14:paraId="7A2703C5">
      <w:pPr>
        <w:widowControl/>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本方法所用试剂均为分析纯，除特别说明外，实验用水均为</w:t>
      </w:r>
      <w:r>
        <w:rPr>
          <w:rFonts w:ascii="宋体" w:hAnsi="宋体" w:eastAsia="宋体" w:cs="Times New Roman"/>
          <w:bCs/>
          <w:szCs w:val="21"/>
        </w:rPr>
        <w:t xml:space="preserve"> GB/T 6682 规定的一级水。</w:t>
      </w:r>
    </w:p>
    <w:p w14:paraId="45C89EF1">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2.1</w:t>
      </w:r>
      <w:r>
        <w:rPr>
          <w:rFonts w:hint="eastAsia" w:ascii="宋体" w:hAnsi="宋体" w:eastAsia="宋体" w:cs="Times New Roman"/>
          <w:bCs/>
          <w:szCs w:val="21"/>
        </w:rPr>
        <w:t xml:space="preserve"> </w:t>
      </w:r>
      <w:r>
        <w:rPr>
          <w:rFonts w:ascii="宋体" w:hAnsi="宋体" w:eastAsia="宋体" w:cs="Times New Roman"/>
          <w:bCs/>
          <w:szCs w:val="21"/>
        </w:rPr>
        <w:t>磷酸盐缓冲液（PBS）：pH为7.4。</w:t>
      </w:r>
    </w:p>
    <w:p w14:paraId="3C865F7D">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2.2</w:t>
      </w:r>
      <w:r>
        <w:rPr>
          <w:rFonts w:hint="eastAsia" w:ascii="宋体" w:hAnsi="宋体" w:eastAsia="宋体" w:cs="Times New Roman"/>
          <w:bCs/>
          <w:szCs w:val="21"/>
        </w:rPr>
        <w:t xml:space="preserve"> </w:t>
      </w:r>
      <w:r>
        <w:rPr>
          <w:rFonts w:ascii="宋体" w:hAnsi="宋体" w:eastAsia="宋体" w:cs="Times New Roman"/>
          <w:bCs/>
          <w:szCs w:val="21"/>
        </w:rPr>
        <w:t>淋巴细胞分离液。</w:t>
      </w:r>
    </w:p>
    <w:p w14:paraId="0A0A1362">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2.3</w:t>
      </w:r>
      <w:r>
        <w:rPr>
          <w:rFonts w:hint="eastAsia" w:ascii="宋体" w:hAnsi="宋体" w:eastAsia="宋体" w:cs="Times New Roman"/>
          <w:bCs/>
          <w:szCs w:val="21"/>
        </w:rPr>
        <w:t xml:space="preserve"> a</w:t>
      </w:r>
      <w:r>
        <w:rPr>
          <w:rFonts w:ascii="宋体" w:hAnsi="宋体" w:eastAsia="宋体" w:cs="Times New Roman"/>
          <w:bCs/>
          <w:szCs w:val="21"/>
        </w:rPr>
        <w:t>nti-CD3/CD28或植物血凝素（PHA）。</w:t>
      </w:r>
    </w:p>
    <w:p w14:paraId="3F964954">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2.4</w:t>
      </w:r>
      <w:r>
        <w:rPr>
          <w:rFonts w:hint="eastAsia" w:ascii="宋体" w:hAnsi="宋体" w:eastAsia="宋体" w:cs="Times New Roman"/>
          <w:bCs/>
          <w:szCs w:val="21"/>
        </w:rPr>
        <w:t xml:space="preserve"> </w:t>
      </w:r>
      <w:r>
        <w:rPr>
          <w:rFonts w:ascii="宋体" w:hAnsi="宋体" w:eastAsia="宋体" w:cs="Times New Roman"/>
          <w:bCs/>
          <w:szCs w:val="21"/>
        </w:rPr>
        <w:t>流式抗体。</w:t>
      </w:r>
    </w:p>
    <w:p w14:paraId="0387F43C">
      <w:pPr>
        <w:widowControl/>
        <w:jc w:val="left"/>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2.5</w:t>
      </w:r>
      <w:r>
        <w:rPr>
          <w:rFonts w:hint="eastAsia" w:ascii="宋体" w:hAnsi="宋体" w:eastAsia="宋体" w:cs="Times New Roman"/>
          <w:bCs/>
          <w:szCs w:val="21"/>
        </w:rPr>
        <w:t xml:space="preserve"> </w:t>
      </w:r>
      <w:r>
        <w:rPr>
          <w:rFonts w:ascii="宋体" w:hAnsi="宋体" w:eastAsia="宋体" w:cs="Times New Roman"/>
          <w:bCs/>
          <w:szCs w:val="21"/>
        </w:rPr>
        <w:t>佛波酯(PMA)、离子霉素（Ionomycin）、布雷非德菌素A（BFA）。</w:t>
      </w:r>
    </w:p>
    <w:p w14:paraId="11B157AC">
      <w:pPr>
        <w:widowControl/>
        <w:spacing w:before="156" w:beforeLines="50" w:after="156" w:afterLines="50"/>
        <w:jc w:val="left"/>
        <w:rPr>
          <w:rFonts w:hint="eastAsia" w:ascii="黑体" w:hAnsi="黑体" w:eastAsia="黑体" w:cs="黑体"/>
          <w:bCs/>
          <w:szCs w:val="21"/>
        </w:rPr>
      </w:pPr>
      <w:r>
        <w:rPr>
          <w:rFonts w:hint="eastAsia" w:ascii="黑体" w:hAnsi="黑体" w:eastAsia="黑体" w:cs="黑体"/>
          <w:bCs/>
          <w:szCs w:val="21"/>
        </w:rPr>
        <w:t>H.3检测步骤</w:t>
      </w:r>
    </w:p>
    <w:p w14:paraId="5B7D2BF6">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3.1</w:t>
      </w:r>
      <w:r>
        <w:rPr>
          <w:rFonts w:hint="eastAsia" w:ascii="宋体" w:hAnsi="宋体" w:eastAsia="宋体" w:cs="Times New Roman"/>
          <w:bCs/>
          <w:szCs w:val="21"/>
        </w:rPr>
        <w:t xml:space="preserve"> </w:t>
      </w:r>
      <w:r>
        <w:rPr>
          <w:rFonts w:ascii="宋体" w:hAnsi="宋体" w:eastAsia="宋体" w:cs="Times New Roman"/>
          <w:bCs/>
          <w:szCs w:val="21"/>
        </w:rPr>
        <w:t>利用淋巴细胞分离液，分离外周血单个核细胞(PBMC)。</w:t>
      </w:r>
    </w:p>
    <w:p w14:paraId="6C0C6B55">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3.2</w:t>
      </w:r>
      <w:r>
        <w:rPr>
          <w:rFonts w:hint="eastAsia" w:ascii="宋体" w:hAnsi="宋体" w:eastAsia="宋体" w:cs="Times New Roman"/>
          <w:bCs/>
          <w:szCs w:val="21"/>
        </w:rPr>
        <w:t xml:space="preserve"> 使用血球计数板及显微镜计算细胞浓度，将</w:t>
      </w:r>
      <w:r>
        <w:rPr>
          <w:rFonts w:ascii="宋体" w:hAnsi="宋体" w:eastAsia="宋体" w:cs="Times New Roman"/>
          <w:bCs/>
          <w:szCs w:val="21"/>
        </w:rPr>
        <w:t>PBMC以1×10</w:t>
      </w:r>
      <w:r>
        <w:rPr>
          <w:rFonts w:ascii="宋体" w:hAnsi="宋体" w:eastAsia="宋体" w:cs="Times New Roman"/>
          <w:bCs/>
          <w:szCs w:val="21"/>
          <w:vertAlign w:val="superscript"/>
        </w:rPr>
        <w:t>6</w:t>
      </w:r>
      <w:r>
        <w:rPr>
          <w:rFonts w:ascii="宋体" w:hAnsi="宋体" w:eastAsia="宋体" w:cs="Times New Roman"/>
          <w:bCs/>
          <w:szCs w:val="21"/>
        </w:rPr>
        <w:t>个细胞/</w:t>
      </w:r>
      <w:r>
        <w:rPr>
          <w:rFonts w:hint="eastAsia" w:ascii="宋体" w:hAnsi="宋体" w:eastAsia="宋体" w:cs="Times New Roman"/>
          <w:bCs/>
          <w:szCs w:val="21"/>
        </w:rPr>
        <w:t>mL</w:t>
      </w:r>
      <w:r>
        <w:rPr>
          <w:rFonts w:ascii="宋体" w:hAnsi="宋体" w:eastAsia="宋体" w:cs="Times New Roman"/>
          <w:bCs/>
          <w:szCs w:val="21"/>
        </w:rPr>
        <w:t>接种于24孔培养板中，反应体系1</w:t>
      </w:r>
      <w:r>
        <w:rPr>
          <w:rFonts w:hint="eastAsia" w:ascii="宋体" w:hAnsi="宋体" w:eastAsia="宋体" w:cs="Times New Roman"/>
          <w:bCs/>
          <w:szCs w:val="21"/>
        </w:rPr>
        <w:t>mL</w:t>
      </w:r>
      <w:r>
        <w:rPr>
          <w:rFonts w:ascii="宋体" w:hAnsi="宋体" w:eastAsia="宋体" w:cs="Times New Roman"/>
          <w:bCs/>
          <w:szCs w:val="21"/>
        </w:rPr>
        <w:t>，每孔加入anti-CD3/CD28（1</w:t>
      </w:r>
      <w:r>
        <w:rPr>
          <w:rFonts w:hint="eastAsia" w:ascii="宋体" w:hAnsi="宋体" w:eastAsia="宋体" w:cs="Times New Roman"/>
          <w:bCs/>
          <w:szCs w:val="21"/>
        </w:rPr>
        <w:t>μg</w:t>
      </w:r>
      <w:r>
        <w:rPr>
          <w:rFonts w:ascii="宋体" w:hAnsi="宋体" w:eastAsia="宋体" w:cs="Times New Roman"/>
          <w:bCs/>
          <w:szCs w:val="21"/>
        </w:rPr>
        <w:t xml:space="preserve"> /</w:t>
      </w:r>
      <w:r>
        <w:rPr>
          <w:rFonts w:hint="eastAsia" w:ascii="宋体" w:hAnsi="宋体" w:eastAsia="宋体" w:cs="Times New Roman"/>
          <w:bCs/>
          <w:szCs w:val="21"/>
        </w:rPr>
        <w:t xml:space="preserve"> mL</w:t>
      </w:r>
      <w:r>
        <w:rPr>
          <w:rFonts w:ascii="宋体" w:hAnsi="宋体" w:eastAsia="宋体" w:cs="Times New Roman"/>
          <w:bCs/>
          <w:szCs w:val="21"/>
        </w:rPr>
        <w:t>）。</w:t>
      </w:r>
    </w:p>
    <w:p w14:paraId="337E9C75">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3.3</w:t>
      </w:r>
      <w:r>
        <w:rPr>
          <w:rFonts w:hint="eastAsia" w:ascii="宋体" w:hAnsi="宋体" w:eastAsia="宋体" w:cs="Times New Roman"/>
          <w:bCs/>
          <w:szCs w:val="21"/>
        </w:rPr>
        <w:t xml:space="preserve"> 实验组将小细胞外囊泡样本</w:t>
      </w:r>
      <w:r>
        <w:rPr>
          <w:rFonts w:ascii="宋体" w:hAnsi="宋体" w:eastAsia="宋体" w:cs="Times New Roman"/>
          <w:bCs/>
          <w:szCs w:val="21"/>
        </w:rPr>
        <w:t>加入细胞培养基中，</w:t>
      </w:r>
      <w:r>
        <w:rPr>
          <w:rFonts w:hint="eastAsia" w:ascii="宋体" w:hAnsi="宋体" w:eastAsia="宋体" w:cs="Times New Roman"/>
          <w:bCs/>
          <w:szCs w:val="21"/>
        </w:rPr>
        <w:t>终浓度为5</w:t>
      </w:r>
      <w:r>
        <w:rPr>
          <w:rFonts w:ascii="宋体" w:hAnsi="宋体" w:eastAsia="宋体" w:cs="Times New Roman"/>
          <w:bCs/>
          <w:szCs w:val="21"/>
        </w:rPr>
        <w:t>×</w:t>
      </w:r>
      <w:r>
        <w:rPr>
          <w:rFonts w:hint="eastAsia" w:ascii="宋体" w:hAnsi="宋体" w:eastAsia="宋体" w:cs="Times New Roman"/>
          <w:bCs/>
          <w:szCs w:val="21"/>
        </w:rPr>
        <w:t>10</w:t>
      </w:r>
      <w:r>
        <w:rPr>
          <w:rFonts w:ascii="宋体" w:hAnsi="宋体" w:eastAsia="宋体" w:cs="Times New Roman"/>
          <w:bCs/>
          <w:szCs w:val="21"/>
          <w:vertAlign w:val="superscript"/>
        </w:rPr>
        <w:t>9</w:t>
      </w:r>
      <w:r>
        <w:rPr>
          <w:rFonts w:hint="eastAsia" w:ascii="宋体" w:hAnsi="宋体" w:eastAsia="宋体" w:cs="Times New Roman"/>
          <w:bCs/>
          <w:szCs w:val="21"/>
        </w:rPr>
        <w:t>个颗粒/</w:t>
      </w:r>
      <w:bookmarkStart w:id="22" w:name="OLE_LINK6"/>
      <w:r>
        <w:rPr>
          <w:rFonts w:hint="eastAsia" w:ascii="宋体" w:hAnsi="宋体" w:eastAsia="宋体" w:cs="Times New Roman"/>
          <w:bCs/>
          <w:szCs w:val="21"/>
        </w:rPr>
        <w:t>mL</w:t>
      </w:r>
      <w:bookmarkEnd w:id="22"/>
      <w:r>
        <w:rPr>
          <w:rFonts w:hint="eastAsia" w:ascii="宋体" w:hAnsi="宋体" w:eastAsia="宋体" w:cs="Times New Roman"/>
          <w:bCs/>
          <w:szCs w:val="21"/>
        </w:rPr>
        <w:t>。</w:t>
      </w:r>
      <w:r>
        <w:rPr>
          <w:rFonts w:ascii="宋体" w:hAnsi="宋体" w:eastAsia="宋体" w:cs="Times New Roman"/>
          <w:bCs/>
          <w:szCs w:val="21"/>
        </w:rPr>
        <w:t>对照组加入相同体积无菌</w:t>
      </w:r>
      <w:r>
        <w:rPr>
          <w:rFonts w:ascii="宋体" w:hAnsi="宋体" w:eastAsia="宋体"/>
          <w:szCs w:val="21"/>
        </w:rPr>
        <w:t>磷酸盐缓冲液</w:t>
      </w:r>
      <w:r>
        <w:rPr>
          <w:rFonts w:ascii="宋体" w:hAnsi="宋体" w:eastAsia="宋体" w:cs="Times New Roman"/>
          <w:bCs/>
          <w:szCs w:val="21"/>
        </w:rPr>
        <w:t>。</w:t>
      </w:r>
    </w:p>
    <w:p w14:paraId="1B4502A8">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3.4</w:t>
      </w:r>
      <w:r>
        <w:rPr>
          <w:rFonts w:hint="eastAsia" w:ascii="宋体" w:hAnsi="宋体" w:eastAsia="宋体" w:cs="Times New Roman"/>
          <w:bCs/>
          <w:szCs w:val="21"/>
        </w:rPr>
        <w:t xml:space="preserve"> </w:t>
      </w:r>
      <w:r>
        <w:rPr>
          <w:rFonts w:ascii="宋体" w:hAnsi="宋体" w:eastAsia="宋体" w:cs="Times New Roman"/>
          <w:bCs/>
          <w:szCs w:val="21"/>
        </w:rPr>
        <w:t>于常规CO</w:t>
      </w:r>
      <w:r>
        <w:rPr>
          <w:rFonts w:ascii="宋体" w:hAnsi="宋体" w:eastAsia="宋体" w:cs="Times New Roman"/>
          <w:bCs/>
          <w:szCs w:val="21"/>
          <w:vertAlign w:val="subscript"/>
        </w:rPr>
        <w:t>2</w:t>
      </w:r>
      <w:r>
        <w:rPr>
          <w:rFonts w:ascii="宋体" w:hAnsi="宋体" w:eastAsia="宋体" w:cs="Times New Roman"/>
          <w:bCs/>
          <w:szCs w:val="21"/>
        </w:rPr>
        <w:t>孵箱中培养48</w:t>
      </w:r>
      <w:r>
        <w:rPr>
          <w:rFonts w:hint="eastAsia" w:ascii="宋体" w:hAnsi="宋体" w:eastAsia="宋体" w:cs="Times New Roman"/>
          <w:bCs/>
          <w:szCs w:val="21"/>
        </w:rPr>
        <w:t>h</w:t>
      </w:r>
      <w:r>
        <w:rPr>
          <w:rFonts w:ascii="宋体" w:hAnsi="宋体" w:eastAsia="宋体" w:cs="Times New Roman"/>
          <w:bCs/>
          <w:szCs w:val="21"/>
        </w:rPr>
        <w:t>。结束培养前4-6</w:t>
      </w:r>
      <w:r>
        <w:rPr>
          <w:rFonts w:hint="eastAsia" w:ascii="宋体" w:hAnsi="宋体" w:eastAsia="宋体" w:cs="Times New Roman"/>
          <w:bCs/>
          <w:szCs w:val="21"/>
        </w:rPr>
        <w:t>h</w:t>
      </w:r>
      <w:r>
        <w:rPr>
          <w:rFonts w:ascii="宋体" w:hAnsi="宋体" w:eastAsia="宋体" w:cs="Times New Roman"/>
          <w:bCs/>
          <w:szCs w:val="21"/>
        </w:rPr>
        <w:t>加入25</w:t>
      </w:r>
      <w:r>
        <w:rPr>
          <w:rFonts w:hint="eastAsia" w:ascii="宋体" w:hAnsi="宋体" w:eastAsia="宋体" w:cs="Times New Roman"/>
          <w:bCs/>
          <w:szCs w:val="21"/>
        </w:rPr>
        <w:t>ng</w:t>
      </w:r>
      <w:r>
        <w:rPr>
          <w:rFonts w:ascii="宋体" w:hAnsi="宋体" w:eastAsia="宋体" w:cs="Times New Roman"/>
          <w:bCs/>
          <w:szCs w:val="21"/>
        </w:rPr>
        <w:t>/</w:t>
      </w:r>
      <w:r>
        <w:rPr>
          <w:rFonts w:hint="eastAsia" w:ascii="宋体" w:hAnsi="宋体" w:eastAsia="宋体" w:cs="Times New Roman"/>
          <w:bCs/>
          <w:szCs w:val="21"/>
        </w:rPr>
        <w:t xml:space="preserve">mL </w:t>
      </w:r>
      <w:r>
        <w:rPr>
          <w:rFonts w:ascii="宋体" w:hAnsi="宋体" w:eastAsia="宋体" w:cs="Times New Roman"/>
          <w:bCs/>
          <w:szCs w:val="21"/>
        </w:rPr>
        <w:t>PMA，1</w:t>
      </w:r>
      <w:r>
        <w:rPr>
          <w:rFonts w:hint="eastAsia" w:ascii="宋体" w:hAnsi="宋体" w:eastAsia="宋体" w:cs="Times New Roman"/>
          <w:bCs/>
          <w:szCs w:val="21"/>
        </w:rPr>
        <w:t>ug</w:t>
      </w:r>
      <w:r>
        <w:rPr>
          <w:rFonts w:ascii="宋体" w:hAnsi="宋体" w:eastAsia="宋体" w:cs="Times New Roman"/>
          <w:bCs/>
          <w:szCs w:val="21"/>
        </w:rPr>
        <w:t>/</w:t>
      </w:r>
      <w:r>
        <w:rPr>
          <w:rFonts w:hint="eastAsia" w:ascii="宋体" w:hAnsi="宋体" w:eastAsia="宋体" w:cs="Times New Roman"/>
          <w:bCs/>
          <w:szCs w:val="21"/>
        </w:rPr>
        <w:t xml:space="preserve">mL </w:t>
      </w:r>
      <w:r>
        <w:rPr>
          <w:rFonts w:ascii="宋体" w:hAnsi="宋体" w:eastAsia="宋体" w:cs="Times New Roman"/>
          <w:bCs/>
          <w:szCs w:val="21"/>
        </w:rPr>
        <w:t>Ionomycin和10</w:t>
      </w:r>
      <w:bookmarkStart w:id="23" w:name="OLE_LINK8"/>
      <w:r>
        <w:rPr>
          <w:rFonts w:hint="eastAsia" w:ascii="宋体" w:hAnsi="宋体" w:eastAsia="宋体" w:cs="Times New Roman"/>
          <w:bCs/>
          <w:szCs w:val="21"/>
        </w:rPr>
        <w:t>μg</w:t>
      </w:r>
      <w:bookmarkEnd w:id="23"/>
      <w:r>
        <w:rPr>
          <w:rFonts w:ascii="宋体" w:hAnsi="宋体" w:eastAsia="宋体" w:cs="Times New Roman"/>
          <w:bCs/>
          <w:szCs w:val="21"/>
        </w:rPr>
        <w:t>/</w:t>
      </w:r>
      <w:r>
        <w:rPr>
          <w:rFonts w:hint="eastAsia" w:ascii="宋体" w:hAnsi="宋体" w:eastAsia="宋体" w:cs="Times New Roman"/>
          <w:bCs/>
          <w:szCs w:val="21"/>
        </w:rPr>
        <w:t xml:space="preserve">mL </w:t>
      </w:r>
      <w:r>
        <w:rPr>
          <w:rFonts w:ascii="宋体" w:hAnsi="宋体" w:eastAsia="宋体" w:cs="Times New Roman"/>
          <w:bCs/>
          <w:szCs w:val="21"/>
        </w:rPr>
        <w:t>BFA。</w:t>
      </w:r>
    </w:p>
    <w:p w14:paraId="4183ABD1">
      <w:pPr>
        <w:rPr>
          <w:rFonts w:hint="eastAsia" w:ascii="宋体" w:hAnsi="宋体" w:eastAsia="宋体" w:cs="Times New Roman"/>
          <w:bCs/>
          <w:szCs w:val="21"/>
        </w:rPr>
      </w:pPr>
      <w:r>
        <w:rPr>
          <w:rFonts w:hint="eastAsia" w:ascii="宋体" w:hAnsi="宋体" w:eastAsia="宋体" w:cs="Times New Roman"/>
          <w:bCs/>
          <w:szCs w:val="21"/>
        </w:rPr>
        <w:t>H.</w:t>
      </w:r>
      <w:r>
        <w:rPr>
          <w:rFonts w:ascii="宋体" w:hAnsi="宋体" w:eastAsia="宋体" w:cs="Times New Roman"/>
          <w:bCs/>
          <w:szCs w:val="21"/>
        </w:rPr>
        <w:t>3.5</w:t>
      </w:r>
      <w:r>
        <w:rPr>
          <w:rFonts w:hint="eastAsia" w:ascii="宋体" w:hAnsi="宋体" w:eastAsia="宋体" w:cs="Times New Roman"/>
          <w:bCs/>
          <w:szCs w:val="21"/>
        </w:rPr>
        <w:t xml:space="preserve"> </w:t>
      </w:r>
      <w:r>
        <w:rPr>
          <w:rFonts w:ascii="宋体" w:hAnsi="宋体" w:eastAsia="宋体" w:cs="Times New Roman"/>
          <w:bCs/>
          <w:szCs w:val="21"/>
        </w:rPr>
        <w:t>收集培养后的PBMC，用</w:t>
      </w:r>
      <w:r>
        <w:rPr>
          <w:rFonts w:ascii="宋体" w:hAnsi="宋体" w:eastAsia="宋体"/>
          <w:szCs w:val="21"/>
        </w:rPr>
        <w:t>磷酸盐缓冲液</w:t>
      </w:r>
      <w:r>
        <w:rPr>
          <w:rFonts w:ascii="宋体" w:hAnsi="宋体" w:eastAsia="宋体" w:cs="Times New Roman"/>
          <w:bCs/>
          <w:szCs w:val="21"/>
        </w:rPr>
        <w:t>洗涤离心，加入CD3和CD4抗体，避光孵育30</w:t>
      </w:r>
      <w:r>
        <w:rPr>
          <w:rFonts w:hint="eastAsia" w:ascii="宋体" w:hAnsi="宋体" w:eastAsia="宋体" w:cs="Times New Roman"/>
          <w:bCs/>
          <w:szCs w:val="21"/>
        </w:rPr>
        <w:t>min</w:t>
      </w:r>
      <w:r>
        <w:rPr>
          <w:rFonts w:ascii="宋体" w:hAnsi="宋体" w:eastAsia="宋体" w:cs="Times New Roman"/>
          <w:bCs/>
          <w:szCs w:val="21"/>
        </w:rPr>
        <w:t>后进行固定和破膜，然后加入IFN-γ抗体，避光孵育30</w:t>
      </w:r>
      <w:r>
        <w:rPr>
          <w:rFonts w:hint="eastAsia" w:ascii="宋体" w:hAnsi="宋体" w:eastAsia="宋体" w:cs="Times New Roman"/>
          <w:bCs/>
          <w:szCs w:val="21"/>
        </w:rPr>
        <w:t>min</w:t>
      </w:r>
      <w:r>
        <w:rPr>
          <w:rFonts w:ascii="宋体" w:hAnsi="宋体" w:eastAsia="宋体" w:cs="Times New Roman"/>
          <w:bCs/>
          <w:szCs w:val="21"/>
        </w:rPr>
        <w:t>后洗去未结合抗体，用流式细胞仪检测CD3</w:t>
      </w:r>
      <w:r>
        <w:rPr>
          <w:rFonts w:ascii="宋体" w:hAnsi="宋体" w:eastAsia="宋体" w:cs="Times New Roman"/>
          <w:bCs/>
          <w:szCs w:val="21"/>
          <w:vertAlign w:val="superscript"/>
        </w:rPr>
        <w:t>+</w:t>
      </w:r>
      <w:r>
        <w:rPr>
          <w:rFonts w:ascii="宋体" w:hAnsi="宋体" w:eastAsia="宋体" w:cs="Times New Roman"/>
          <w:bCs/>
          <w:szCs w:val="21"/>
        </w:rPr>
        <w:t>CD4</w:t>
      </w:r>
      <w:r>
        <w:rPr>
          <w:rFonts w:ascii="宋体" w:hAnsi="宋体" w:eastAsia="宋体" w:cs="Times New Roman"/>
          <w:bCs/>
          <w:szCs w:val="21"/>
          <w:vertAlign w:val="superscript"/>
        </w:rPr>
        <w:t>+</w:t>
      </w:r>
      <w:r>
        <w:rPr>
          <w:rFonts w:ascii="宋体" w:hAnsi="宋体" w:eastAsia="宋体" w:cs="Times New Roman"/>
          <w:bCs/>
          <w:szCs w:val="21"/>
        </w:rPr>
        <w:t>IFN-γ</w:t>
      </w:r>
      <w:r>
        <w:rPr>
          <w:rFonts w:ascii="宋体" w:hAnsi="宋体" w:eastAsia="宋体" w:cs="Times New Roman"/>
          <w:bCs/>
          <w:szCs w:val="21"/>
          <w:vertAlign w:val="superscript"/>
        </w:rPr>
        <w:t>+</w:t>
      </w:r>
      <w:r>
        <w:rPr>
          <w:rFonts w:ascii="宋体" w:hAnsi="宋体" w:eastAsia="宋体" w:cs="Times New Roman"/>
          <w:bCs/>
          <w:szCs w:val="21"/>
        </w:rPr>
        <w:t>的Th1细胞亚群。</w:t>
      </w:r>
    </w:p>
    <w:p w14:paraId="73634105">
      <w:pPr>
        <w:widowControl/>
        <w:jc w:val="left"/>
        <w:rPr>
          <w:rFonts w:hint="eastAsia" w:ascii="宋体" w:hAnsi="宋体" w:eastAsia="宋体" w:cs="Times New Roman"/>
          <w:bCs/>
          <w:sz w:val="24"/>
          <w:szCs w:val="24"/>
        </w:rPr>
      </w:pPr>
      <w:r>
        <w:rPr>
          <w:rFonts w:ascii="宋体" w:hAnsi="宋体" w:eastAsia="宋体" w:cs="Times New Roman"/>
          <w:bCs/>
          <w:sz w:val="24"/>
          <w:szCs w:val="24"/>
        </w:rPr>
        <w:br w:type="page"/>
      </w:r>
    </w:p>
    <w:p w14:paraId="41C263B0">
      <w:pPr>
        <w:widowControl/>
        <w:spacing w:before="156" w:beforeLines="50" w:after="312" w:afterLines="100"/>
        <w:jc w:val="center"/>
        <w:rPr>
          <w:rFonts w:hint="eastAsia" w:ascii="黑体" w:hAnsi="黑体" w:eastAsia="黑体" w:cs="黑体"/>
          <w:bCs/>
          <w:szCs w:val="21"/>
        </w:rPr>
      </w:pPr>
      <w:r>
        <w:rPr>
          <w:rFonts w:hint="eastAsia" w:ascii="黑体" w:hAnsi="黑体" w:eastAsia="黑体" w:cs="黑体"/>
          <w:bCs/>
          <w:szCs w:val="21"/>
        </w:rPr>
        <w:t>参  考  文  献</w:t>
      </w:r>
    </w:p>
    <w:p w14:paraId="59772EFA">
      <w:pPr>
        <w:pStyle w:val="16"/>
        <w:ind w:left="210" w:firstLine="0" w:firstLineChars="0"/>
        <w:rPr>
          <w:rFonts w:ascii="Times New Roman" w:hAnsi="Times New Roman" w:cs="Times New Roman"/>
          <w:szCs w:val="21"/>
        </w:rPr>
      </w:pPr>
      <w:r>
        <w:rPr>
          <w:rFonts w:hint="eastAsia" w:ascii="Times New Roman" w:hAnsi="Times New Roman" w:eastAsia="宋体" w:cs="Times New Roman"/>
          <w:szCs w:val="21"/>
        </w:rPr>
        <w:t xml:space="preserve">[1]  </w:t>
      </w:r>
      <w:r>
        <w:rPr>
          <w:rFonts w:ascii="Times New Roman" w:hAnsi="Times New Roman" w:cs="Times New Roman"/>
          <w:szCs w:val="21"/>
        </w:rPr>
        <w:t>Théry C., Witwer K.W., Aikawa E.</w:t>
      </w:r>
      <w:r>
        <w:rPr>
          <w:rFonts w:hint="eastAsia" w:ascii="Times New Roman" w:hAnsi="Times New Roman" w:cs="Times New Roman"/>
          <w:szCs w:val="21"/>
        </w:rPr>
        <w:t>, et al.,</w:t>
      </w:r>
      <w:r>
        <w:rPr>
          <w:rFonts w:ascii="Times New Roman" w:hAnsi="Times New Roman" w:cs="Times New Roman"/>
          <w:szCs w:val="21"/>
        </w:rPr>
        <w:t xml:space="preserve"> Minimal information for studies of extracellular vesicles 2018 (MISEV2018): a position statement of the International Society for Extracellular Vesicles and update of the MISEV2014 guidelines</w:t>
      </w:r>
      <w:r>
        <w:rPr>
          <w:rFonts w:hint="eastAsia" w:ascii="Times New Roman" w:hAnsi="Times New Roman" w:cs="Times New Roman"/>
          <w:szCs w:val="21"/>
        </w:rPr>
        <w:t xml:space="preserve">. </w:t>
      </w:r>
      <w:r>
        <w:rPr>
          <w:rFonts w:ascii="Times New Roman" w:hAnsi="Times New Roman" w:cs="Times New Roman"/>
          <w:szCs w:val="21"/>
        </w:rPr>
        <w:t>J Extracell Vesicles. 2018;7:1535750.</w:t>
      </w:r>
    </w:p>
    <w:p w14:paraId="4C521711">
      <w:pPr>
        <w:pStyle w:val="16"/>
        <w:ind w:left="210" w:firstLine="0" w:firstLineChars="0"/>
        <w:rPr>
          <w:rFonts w:ascii="Times New Roman" w:hAnsi="Times New Roman" w:cs="Times New Roman"/>
          <w:szCs w:val="21"/>
        </w:rPr>
      </w:pPr>
      <w:r>
        <w:rPr>
          <w:rFonts w:hint="eastAsia" w:ascii="Times New Roman" w:hAnsi="Times New Roman" w:eastAsia="宋体" w:cs="Times New Roman"/>
          <w:szCs w:val="21"/>
        </w:rPr>
        <w:t xml:space="preserve">[2]  </w:t>
      </w:r>
      <w:r>
        <w:rPr>
          <w:rFonts w:ascii="Times New Roman" w:hAnsi="Times New Roman" w:cs="Times New Roman"/>
          <w:szCs w:val="21"/>
        </w:rPr>
        <w:t xml:space="preserve">Webber J., Clayton A. How pure are your vesicles? J. Extracellular Vesicles </w:t>
      </w:r>
      <w:r>
        <w:rPr>
          <w:rFonts w:hint="eastAsia" w:ascii="Times New Roman" w:hAnsi="Times New Roman" w:cs="Times New Roman"/>
          <w:szCs w:val="21"/>
        </w:rPr>
        <w:t>2013;</w:t>
      </w:r>
      <w:r>
        <w:rPr>
          <w:rFonts w:ascii="Times New Roman" w:hAnsi="Times New Roman" w:cs="Times New Roman"/>
          <w:szCs w:val="21"/>
        </w:rPr>
        <w:t>2:19861.</w:t>
      </w:r>
    </w:p>
    <w:p w14:paraId="044BD6BF">
      <w:pPr>
        <w:pStyle w:val="16"/>
        <w:ind w:left="210" w:firstLine="0" w:firstLineChars="0"/>
        <w:rPr>
          <w:rFonts w:ascii="Times New Roman" w:hAnsi="Times New Roman" w:cs="Times New Roman"/>
          <w:szCs w:val="21"/>
        </w:rPr>
      </w:pPr>
      <w:r>
        <w:rPr>
          <w:rFonts w:hint="eastAsia" w:ascii="Times New Roman" w:hAnsi="Times New Roman" w:eastAsia="宋体" w:cs="Times New Roman"/>
          <w:szCs w:val="21"/>
        </w:rPr>
        <w:t xml:space="preserve">[3]  </w:t>
      </w:r>
      <w:r>
        <w:rPr>
          <w:rFonts w:ascii="Times New Roman" w:hAnsi="Times New Roman" w:cs="Times New Roman"/>
          <w:szCs w:val="21"/>
        </w:rPr>
        <w:t>Gimona M., Brizzi M.F., Choo A.B.H., et al. Critical Considerations for the Development of Potency Tests for Therapeutic Applications of Mesenchymal Stromal Cell-Derived Small Extracellular Vesicles. Cytotherapy. 2021;23:373–380.</w:t>
      </w:r>
    </w:p>
    <w:p w14:paraId="6C7A229E">
      <w:pPr>
        <w:pStyle w:val="16"/>
        <w:ind w:left="210" w:firstLine="0" w:firstLineChars="0"/>
        <w:rPr>
          <w:rFonts w:ascii="Times New Roman" w:hAnsi="Times New Roman" w:cs="Times New Roman"/>
          <w:szCs w:val="21"/>
        </w:rPr>
      </w:pPr>
      <w:r>
        <w:rPr>
          <w:rFonts w:hint="eastAsia" w:ascii="Times New Roman" w:hAnsi="Times New Roman" w:eastAsia="宋体" w:cs="Times New Roman"/>
          <w:szCs w:val="21"/>
        </w:rPr>
        <w:t xml:space="preserve">[4]  </w:t>
      </w:r>
      <w:r>
        <w:rPr>
          <w:rFonts w:ascii="Times New Roman" w:hAnsi="Times New Roman" w:cs="Times New Roman"/>
          <w:szCs w:val="21"/>
        </w:rPr>
        <w:t>Rohde E., Pachler K., Gimona M. Manufacturing and characterization of extracellular vesicles from umbilical cord–derived mesenchymal stromal cells for clinical testing. Cytotherapy. 2019;21:581–592.</w:t>
      </w:r>
    </w:p>
    <w:p w14:paraId="57CD25A0">
      <w:pPr>
        <w:pStyle w:val="16"/>
        <w:ind w:left="210" w:firstLine="0" w:firstLineChars="0"/>
        <w:rPr>
          <w:rFonts w:ascii="Times New Roman" w:hAnsi="Times New Roman" w:cs="Times New Roman"/>
          <w:szCs w:val="21"/>
        </w:rPr>
      </w:pPr>
      <w:r>
        <w:rPr>
          <w:rFonts w:hint="eastAsia" w:ascii="Times New Roman" w:hAnsi="Times New Roman" w:cs="Times New Roman"/>
          <w:szCs w:val="21"/>
        </w:rPr>
        <w:t xml:space="preserve">[5]  Luo L, Chen Zh., Yuan J., et al., Identification of a specific marker panel for human mesenchymal stem cell-derived small extracellular vesicles. 2025; </w:t>
      </w:r>
    </w:p>
    <w:p w14:paraId="4F3AAA31">
      <w:pPr>
        <w:spacing w:line="360" w:lineRule="auto"/>
        <w:rPr>
          <w:rFonts w:hint="eastAsia" w:ascii="宋体" w:hAnsi="宋体" w:eastAsia="宋体" w:cs="Times New Roman"/>
          <w:bCs/>
          <w:sz w:val="24"/>
          <w:szCs w:val="24"/>
        </w:rPr>
      </w:pPr>
    </w:p>
    <w:p w14:paraId="491E32B8">
      <w:pPr>
        <w:spacing w:line="360" w:lineRule="auto"/>
        <w:rPr>
          <w:rFonts w:hint="eastAsia" w:ascii="宋体" w:hAnsi="宋体" w:eastAsia="宋体" w:cs="Times New Roman"/>
          <w:sz w:val="24"/>
          <w:szCs w:val="24"/>
        </w:rPr>
      </w:pPr>
      <w:r>
        <mc:AlternateContent>
          <mc:Choice Requires="wps">
            <w:drawing>
              <wp:anchor distT="0" distB="0" distL="114300" distR="114300" simplePos="0" relativeHeight="251662336" behindDoc="0" locked="0" layoutInCell="1" allowOverlap="1">
                <wp:simplePos x="0" y="0"/>
                <wp:positionH relativeFrom="column">
                  <wp:posOffset>1814195</wp:posOffset>
                </wp:positionH>
                <wp:positionV relativeFrom="page">
                  <wp:posOffset>4032885</wp:posOffset>
                </wp:positionV>
                <wp:extent cx="1882775" cy="6350"/>
                <wp:effectExtent l="0" t="0" r="3175" b="12700"/>
                <wp:wrapNone/>
                <wp:docPr id="6" name="直接连接符 6"/>
                <wp:cNvGraphicFramePr/>
                <a:graphic xmlns:a="http://schemas.openxmlformats.org/drawingml/2006/main">
                  <a:graphicData uri="http://schemas.microsoft.com/office/word/2010/wordprocessingShape">
                    <wps:wsp>
                      <wps:cNvCnPr/>
                      <wps:spPr>
                        <a:xfrm flipV="1">
                          <a:off x="0" y="0"/>
                          <a:ext cx="188277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42.85pt;margin-top:317.55pt;height:0.5pt;width:148.25pt;mso-position-vertical-relative:page;z-index:251662336;mso-width-relative:page;mso-height-relative:page;" filled="f" stroked="t" coordsize="21600,21600" o:gfxdata="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TA5TZAAAACwEAAA8AAAAAAAAAAQAgAAAAIgAAAGRycy9kb3ducmV2LnhtbFBLAQIUABQAAAAI&#10;AIdO4kBX6XlN7AEAAL4DAAAOAAAAAAAAAAEAIAAAACgBAABkcnMvZTJvRG9jLnhtbFBLBQYAAAAA&#10;BgAGAFkBAACGBQAAAAA=&#10;">
                <v:fill on="f" focussize="0,0"/>
                <v:stroke weight="0.5pt" color="#000000 [3200]" miterlimit="8" joinstyle="miter"/>
                <v:imagedata o:title=""/>
                <o:lock v:ext="edit" aspectratio="f"/>
              </v:line>
            </w:pict>
          </mc:Fallback>
        </mc:AlternateContent>
      </w:r>
      <w:r>
        <w:rPr>
          <w:rFonts w:ascii="宋体" w:hAnsi="宋体" w:eastAsia="宋体" w:cs="Times New Roman"/>
          <w:sz w:val="24"/>
          <w:szCs w:val="24"/>
        </w:rPr>
        <w:tab/>
      </w: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7456">
    <w:pPr>
      <w:pStyle w:val="4"/>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7D6E6DB4">
                              <w:pPr>
                                <w:pStyle w:val="4"/>
                                <w:jc w:val="right"/>
                                <w:rPr>
                                  <w:rFonts w:hint="eastAsia"/>
                                </w:rPr>
                              </w:pPr>
                              <w:r>
                                <w:fldChar w:fldCharType="begin"/>
                              </w:r>
                              <w:r>
                                <w:instrText xml:space="preserve">PAGE   \* MERGEFORMAT</w:instrText>
                              </w:r>
                              <w:r>
                                <w:fldChar w:fldCharType="separate"/>
                              </w:r>
                              <w:r>
                                <w:rPr>
                                  <w:lang w:val="zh-CN"/>
                                </w:rPr>
                                <w:t>4</w:t>
                              </w:r>
                              <w:r>
                                <w:fldChar w:fldCharType="end"/>
                              </w:r>
                            </w:p>
                          </w:sdtContent>
                        </w:sdt>
                        <w:p w14:paraId="1073913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7D6E6DB4">
                        <w:pPr>
                          <w:pStyle w:val="4"/>
                          <w:jc w:val="right"/>
                          <w:rPr>
                            <w:rFonts w:hint="eastAsia"/>
                          </w:rPr>
                        </w:pPr>
                        <w:r>
                          <w:fldChar w:fldCharType="begin"/>
                        </w:r>
                        <w:r>
                          <w:instrText xml:space="preserve">PAGE   \* MERGEFORMAT</w:instrText>
                        </w:r>
                        <w:r>
                          <w:fldChar w:fldCharType="separate"/>
                        </w:r>
                        <w:r>
                          <w:rPr>
                            <w:lang w:val="zh-CN"/>
                          </w:rPr>
                          <w:t>4</w:t>
                        </w:r>
                        <w:r>
                          <w:fldChar w:fldCharType="end"/>
                        </w:r>
                      </w:p>
                    </w:sdtContent>
                  </w:sdt>
                  <w:p w14:paraId="1073913F">
                    <w:pPr>
                      <w:rPr>
                        <w:rFonts w:hint="eastAsia"/>
                      </w:rPr>
                    </w:pPr>
                  </w:p>
                </w:txbxContent>
              </v:textbox>
            </v:shape>
          </w:pict>
        </mc:Fallback>
      </mc:AlternateContent>
    </w:r>
  </w:p>
  <w:p w14:paraId="45A9F05E">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290F">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2EB71">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5671B">
    <w:pPr>
      <w:pStyle w:val="4"/>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3810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81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44C0F">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3pt;mso-position-horizontal:right;mso-position-horizontal-relative:margin;mso-wrap-style:none;z-index:251660288;mso-width-relative:page;mso-height-relative:page;" filled="f" stroked="f" coordsize="21600,21600" o:gfxdata="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vCo/0AAAAAIBAAAPAAAAAAAAAAEAIAAAACIAAABkcnMvZG93bnJldi54bWxQSwECFAAUAAAA&#10;CACHTuJAlJ6NFC8CAABSBAAADgAAAAAAAAABACAAAAAfAQAAZHJzL2Uyb0RvYy54bWxQSwUGAAAA&#10;AAYABgBZAQAAwAUAAAAA&#10;">
              <v:fill on="f" focussize="0,0"/>
              <v:stroke on="f" weight="0.5pt"/>
              <v:imagedata o:title=""/>
              <o:lock v:ext="edit" aspectratio="f"/>
              <v:textbox inset="0mm,0mm,0mm,0mm" style="mso-fit-shape-to-text:t;">
                <w:txbxContent>
                  <w:p w14:paraId="2A444C0F">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2EE16F38">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A4EA">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1079">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ED5F">
    <w:pPr>
      <w:pStyle w:val="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posOffset>5114925</wp:posOffset>
              </wp:positionH>
              <wp:positionV relativeFrom="paragraph">
                <wp:posOffset>-1905</wp:posOffset>
              </wp:positionV>
              <wp:extent cx="159385" cy="147955"/>
              <wp:effectExtent l="0" t="0" r="12700" b="4445"/>
              <wp:wrapNone/>
              <wp:docPr id="2" name="文本框 2"/>
              <wp:cNvGraphicFramePr/>
              <a:graphic xmlns:a="http://schemas.openxmlformats.org/drawingml/2006/main">
                <a:graphicData uri="http://schemas.microsoft.com/office/word/2010/wordprocessingShape">
                  <wps:wsp>
                    <wps:cNvSpPr txBox="1"/>
                    <wps:spPr>
                      <a:xfrm>
                        <a:off x="0" y="0"/>
                        <a:ext cx="159275" cy="147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0994B">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2.75pt;margin-top:-0.15pt;height:11.65pt;width:12.55pt;mso-position-horizontal-relative:margin;z-index:251664384;mso-width-relative:page;mso-height-relative:page;" filled="f" stroked="f" coordsize="21600,21600" o:gfxdata="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FhWr71wAAAAgBAAAPAAAAAAAAAAEAIAAAACIAAABkcnMvZG93bnJldi54bWxQ&#10;SwECFAAUAAAACACHTuJAZEjkmzECAABVBAAADgAAAAAAAAABACAAAAAmAQAAZHJzL2Uyb0RvYy54&#10;bWxQSwUGAAAAAAYABgBZAQAAyQUAAAAA&#10;">
              <v:fill on="f" focussize="0,0"/>
              <v:stroke on="f" weight="0.5pt"/>
              <v:imagedata o:title=""/>
              <o:lock v:ext="edit" aspectratio="f"/>
              <v:textbox inset="0mm,0mm,0mm,0mm">
                <w:txbxContent>
                  <w:p w14:paraId="1820994B">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13</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14935" cy="180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0247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2pt;width:9.05pt;mso-position-horizontal:inside;mso-position-horizontal-relative:margin;mso-wrap-style:none;z-index:251662336;mso-width-relative:page;mso-height-relative:page;" filled="f" stroked="f" coordsize="21600,21600" o:gfxdata="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jOxL0QAAAAMBAAAPAAAAAAAAAAEAIAAAACIAAABkcnMvZG93bnJldi54bWxQSwECFAAUAAAA&#10;CACHTuJAVOVrMS4CAABTBAAADgAAAAAAAAABACAAAAAgAQAAZHJzL2Uyb0RvYy54bWxQSwUGAAAA&#10;AAYABgBZAQAAwAUAAAAA&#10;">
              <v:fill on="f" focussize="0,0"/>
              <v:stroke on="f" weight="0.5pt"/>
              <v:imagedata o:title=""/>
              <o:lock v:ext="edit" aspectratio="f"/>
              <v:textbox inset="0mm,0mm,0mm,0mm" style="mso-fit-shape-to-text:t;">
                <w:txbxContent>
                  <w:p w14:paraId="2C102479">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5DCE">
    <w:pPr>
      <w:pStyle w:val="4"/>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32080" cy="132080"/>
              <wp:effectExtent l="0" t="0" r="1270" b="1270"/>
              <wp:wrapNone/>
              <wp:docPr id="3" name="文本框 3"/>
              <wp:cNvGraphicFramePr/>
              <a:graphic xmlns:a="http://schemas.openxmlformats.org/drawingml/2006/main">
                <a:graphicData uri="http://schemas.microsoft.com/office/word/2010/wordprocessingShape">
                  <wps:wsp>
                    <wps:cNvSpPr txBox="1"/>
                    <wps:spPr>
                      <a:xfrm>
                        <a:off x="0" y="0"/>
                        <a:ext cx="132138" cy="13213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75059">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0.4pt;width:10.4pt;mso-position-horizontal:left;mso-position-horizontal-relative:margin;z-index:251663360;mso-width-relative:page;mso-height-relative:page;" filled="f" stroked="f" coordsize="21600,21600" o:gfxdata="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j&#10;9yuwzwAAAAMBAAAPAAAAAAAAAAEAIAAAACIAAABkcnMvZG93bnJldi54bWxQSwECFAAUAAAACACH&#10;TuJAmwS/JS0CAABVBAAADgAAAAAAAAABACAAAAAeAQAAZHJzL2Uyb0RvYy54bWxQSwUGAAAAAAYA&#10;BgBZAQAAvQUAAAAA&#10;">
              <v:fill on="f" focussize="0,0"/>
              <v:stroke on="f" weight="0.5pt"/>
              <v:imagedata o:title=""/>
              <o:lock v:ext="edit" aspectratio="f"/>
              <v:textbox inset="0mm,0mm,0mm,0mm">
                <w:txbxContent>
                  <w:p w14:paraId="79A75059">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16</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E8F95">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001—</w:t>
    </w:r>
    <w:r>
      <w:rPr>
        <w:rFonts w:ascii="Times New Roman" w:hAnsi="Times New Roman" w:eastAsia="宋体" w:cs="Times New Roman"/>
      </w:rPr>
      <w:t>202</w:t>
    </w:r>
    <w:r>
      <w:rPr>
        <w:rFonts w:hint="eastAsia" w:ascii="Times New Roman" w:hAnsi="Times New Roman" w:eastAsia="宋体" w:cs="Times New Roma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CC63">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0231E">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001—</w:t>
    </w:r>
    <w:r>
      <w:rPr>
        <w:rFonts w:ascii="Times New Roman" w:hAnsi="Times New Roman" w:eastAsia="宋体" w:cs="Times New Roman"/>
      </w:rPr>
      <w:t>202</w:t>
    </w:r>
    <w:r>
      <w:rPr>
        <w:rFonts w:hint="eastAsia" w:ascii="Times New Roman" w:hAnsi="Times New Roman" w:eastAsia="宋体" w:cs="Times New Roman"/>
      </w:rPr>
      <w:t>5</w:t>
    </w:r>
  </w:p>
  <w:p w14:paraId="1FB0125D">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D7EFA">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001—</w:t>
    </w:r>
    <w:r>
      <w:rPr>
        <w:rFonts w:ascii="Times New Roman" w:hAnsi="Times New Roman" w:eastAsia="宋体" w:cs="Times New Roman"/>
      </w:rPr>
      <w:t>202</w:t>
    </w:r>
    <w:r>
      <w:rPr>
        <w:rFonts w:hint="eastAsia" w:ascii="Times New Roman" w:hAnsi="Times New Roman" w:eastAsia="宋体" w:cs="Times New Roman"/>
      </w:rPr>
      <w:t>5</w:t>
    </w:r>
  </w:p>
  <w:p w14:paraId="1B9CFFE2">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1">
    <w:nsid w:val="00F02684"/>
    <w:multiLevelType w:val="multilevel"/>
    <w:tmpl w:val="00F02684"/>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7AC2556"/>
    <w:multiLevelType w:val="multilevel"/>
    <w:tmpl w:val="27AC2556"/>
    <w:lvl w:ilvl="0" w:tentative="0">
      <w:start w:val="1"/>
      <w:numFmt w:val="low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397E"/>
    <w:rsid w:val="00005D15"/>
    <w:rsid w:val="00006072"/>
    <w:rsid w:val="00010792"/>
    <w:rsid w:val="00011E32"/>
    <w:rsid w:val="000126AC"/>
    <w:rsid w:val="00013176"/>
    <w:rsid w:val="00021587"/>
    <w:rsid w:val="0002453B"/>
    <w:rsid w:val="0002547B"/>
    <w:rsid w:val="0002663B"/>
    <w:rsid w:val="00027EDC"/>
    <w:rsid w:val="000304DE"/>
    <w:rsid w:val="00032145"/>
    <w:rsid w:val="00033458"/>
    <w:rsid w:val="000377DA"/>
    <w:rsid w:val="00041138"/>
    <w:rsid w:val="00041949"/>
    <w:rsid w:val="0005409C"/>
    <w:rsid w:val="000548DC"/>
    <w:rsid w:val="00056A60"/>
    <w:rsid w:val="0005763E"/>
    <w:rsid w:val="00057B09"/>
    <w:rsid w:val="0006275C"/>
    <w:rsid w:val="00065F2C"/>
    <w:rsid w:val="00066840"/>
    <w:rsid w:val="00072491"/>
    <w:rsid w:val="00072815"/>
    <w:rsid w:val="00073AC5"/>
    <w:rsid w:val="00075DCE"/>
    <w:rsid w:val="000771FC"/>
    <w:rsid w:val="00081E09"/>
    <w:rsid w:val="000830A8"/>
    <w:rsid w:val="0008659B"/>
    <w:rsid w:val="00086B8F"/>
    <w:rsid w:val="000870BE"/>
    <w:rsid w:val="00095271"/>
    <w:rsid w:val="000A061A"/>
    <w:rsid w:val="000A10B7"/>
    <w:rsid w:val="000A12D9"/>
    <w:rsid w:val="000A144A"/>
    <w:rsid w:val="000A2D37"/>
    <w:rsid w:val="000A3E0D"/>
    <w:rsid w:val="000A3FAE"/>
    <w:rsid w:val="000B12BE"/>
    <w:rsid w:val="000B54AC"/>
    <w:rsid w:val="000B5A07"/>
    <w:rsid w:val="000C032C"/>
    <w:rsid w:val="000C621F"/>
    <w:rsid w:val="000C73CA"/>
    <w:rsid w:val="000D38BE"/>
    <w:rsid w:val="000D3B34"/>
    <w:rsid w:val="000D4494"/>
    <w:rsid w:val="000D74F8"/>
    <w:rsid w:val="000E1B7B"/>
    <w:rsid w:val="000E1EE3"/>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5FC9"/>
    <w:rsid w:val="001270E5"/>
    <w:rsid w:val="0012776E"/>
    <w:rsid w:val="001302FE"/>
    <w:rsid w:val="001354DB"/>
    <w:rsid w:val="00135D3F"/>
    <w:rsid w:val="00135EE9"/>
    <w:rsid w:val="00136B06"/>
    <w:rsid w:val="0015254C"/>
    <w:rsid w:val="00153874"/>
    <w:rsid w:val="001545CB"/>
    <w:rsid w:val="00165E15"/>
    <w:rsid w:val="00172DF1"/>
    <w:rsid w:val="00173FC5"/>
    <w:rsid w:val="00177C9E"/>
    <w:rsid w:val="00181A6E"/>
    <w:rsid w:val="0018623D"/>
    <w:rsid w:val="00191DFD"/>
    <w:rsid w:val="00192EBC"/>
    <w:rsid w:val="00193CC8"/>
    <w:rsid w:val="00193D37"/>
    <w:rsid w:val="00193DB4"/>
    <w:rsid w:val="00194986"/>
    <w:rsid w:val="001A0393"/>
    <w:rsid w:val="001A22EE"/>
    <w:rsid w:val="001A3586"/>
    <w:rsid w:val="001A5115"/>
    <w:rsid w:val="001A56CB"/>
    <w:rsid w:val="001A7742"/>
    <w:rsid w:val="001B2C09"/>
    <w:rsid w:val="001B45AA"/>
    <w:rsid w:val="001B6FBB"/>
    <w:rsid w:val="001D215B"/>
    <w:rsid w:val="001E186D"/>
    <w:rsid w:val="001E637A"/>
    <w:rsid w:val="001E649F"/>
    <w:rsid w:val="001E64A9"/>
    <w:rsid w:val="001E6E82"/>
    <w:rsid w:val="001E74EF"/>
    <w:rsid w:val="001E781A"/>
    <w:rsid w:val="001F3A00"/>
    <w:rsid w:val="00201D5E"/>
    <w:rsid w:val="00206199"/>
    <w:rsid w:val="002100B3"/>
    <w:rsid w:val="00211CEC"/>
    <w:rsid w:val="002120B7"/>
    <w:rsid w:val="00213D20"/>
    <w:rsid w:val="00214163"/>
    <w:rsid w:val="00214910"/>
    <w:rsid w:val="0021602E"/>
    <w:rsid w:val="00217F4A"/>
    <w:rsid w:val="0022139D"/>
    <w:rsid w:val="00222A03"/>
    <w:rsid w:val="00224169"/>
    <w:rsid w:val="002257B9"/>
    <w:rsid w:val="002262E4"/>
    <w:rsid w:val="0022631D"/>
    <w:rsid w:val="00231B51"/>
    <w:rsid w:val="0024007A"/>
    <w:rsid w:val="002405D5"/>
    <w:rsid w:val="0024282C"/>
    <w:rsid w:val="00243155"/>
    <w:rsid w:val="00244993"/>
    <w:rsid w:val="00244CDC"/>
    <w:rsid w:val="00245436"/>
    <w:rsid w:val="00247092"/>
    <w:rsid w:val="00247A5D"/>
    <w:rsid w:val="0025110E"/>
    <w:rsid w:val="00251F14"/>
    <w:rsid w:val="00252505"/>
    <w:rsid w:val="00252F69"/>
    <w:rsid w:val="00256652"/>
    <w:rsid w:val="00257E6E"/>
    <w:rsid w:val="00260405"/>
    <w:rsid w:val="002618A6"/>
    <w:rsid w:val="00263092"/>
    <w:rsid w:val="00264453"/>
    <w:rsid w:val="002660E3"/>
    <w:rsid w:val="002664EC"/>
    <w:rsid w:val="002754A5"/>
    <w:rsid w:val="00276C86"/>
    <w:rsid w:val="002774C4"/>
    <w:rsid w:val="00284BE6"/>
    <w:rsid w:val="00285401"/>
    <w:rsid w:val="00287B4E"/>
    <w:rsid w:val="0029058B"/>
    <w:rsid w:val="0029365B"/>
    <w:rsid w:val="002A2EF5"/>
    <w:rsid w:val="002A747A"/>
    <w:rsid w:val="002B2A24"/>
    <w:rsid w:val="002B3A01"/>
    <w:rsid w:val="002B4433"/>
    <w:rsid w:val="002B7DDF"/>
    <w:rsid w:val="002C3577"/>
    <w:rsid w:val="002C5170"/>
    <w:rsid w:val="002D4EE4"/>
    <w:rsid w:val="002D7DD8"/>
    <w:rsid w:val="002E138D"/>
    <w:rsid w:val="002E3D25"/>
    <w:rsid w:val="002E64C1"/>
    <w:rsid w:val="002E754E"/>
    <w:rsid w:val="002F2B77"/>
    <w:rsid w:val="002F34DA"/>
    <w:rsid w:val="002F7767"/>
    <w:rsid w:val="00300CF7"/>
    <w:rsid w:val="003029FB"/>
    <w:rsid w:val="00311695"/>
    <w:rsid w:val="0031175E"/>
    <w:rsid w:val="00313627"/>
    <w:rsid w:val="00315F43"/>
    <w:rsid w:val="003256F7"/>
    <w:rsid w:val="00326DF4"/>
    <w:rsid w:val="00327512"/>
    <w:rsid w:val="00327862"/>
    <w:rsid w:val="00331CC2"/>
    <w:rsid w:val="0033219D"/>
    <w:rsid w:val="0033587F"/>
    <w:rsid w:val="003400F5"/>
    <w:rsid w:val="00343D89"/>
    <w:rsid w:val="00345620"/>
    <w:rsid w:val="00347CB2"/>
    <w:rsid w:val="00352252"/>
    <w:rsid w:val="003523E1"/>
    <w:rsid w:val="0035267F"/>
    <w:rsid w:val="003527C8"/>
    <w:rsid w:val="00355227"/>
    <w:rsid w:val="00356C7D"/>
    <w:rsid w:val="00360423"/>
    <w:rsid w:val="00361449"/>
    <w:rsid w:val="003639D4"/>
    <w:rsid w:val="003668B4"/>
    <w:rsid w:val="00370221"/>
    <w:rsid w:val="003703BE"/>
    <w:rsid w:val="00373ED5"/>
    <w:rsid w:val="0038279A"/>
    <w:rsid w:val="00387294"/>
    <w:rsid w:val="00390258"/>
    <w:rsid w:val="003906E6"/>
    <w:rsid w:val="00390962"/>
    <w:rsid w:val="00392044"/>
    <w:rsid w:val="003933D8"/>
    <w:rsid w:val="00393573"/>
    <w:rsid w:val="00393AE0"/>
    <w:rsid w:val="003979DD"/>
    <w:rsid w:val="003A00D3"/>
    <w:rsid w:val="003A3B44"/>
    <w:rsid w:val="003A4197"/>
    <w:rsid w:val="003A4C7C"/>
    <w:rsid w:val="003A4FB7"/>
    <w:rsid w:val="003B055C"/>
    <w:rsid w:val="003B1F60"/>
    <w:rsid w:val="003B7750"/>
    <w:rsid w:val="003C036C"/>
    <w:rsid w:val="003C0938"/>
    <w:rsid w:val="003C1481"/>
    <w:rsid w:val="003C2FC9"/>
    <w:rsid w:val="003C5D0E"/>
    <w:rsid w:val="003C5E4C"/>
    <w:rsid w:val="003C76BA"/>
    <w:rsid w:val="003C7AE8"/>
    <w:rsid w:val="003D05AD"/>
    <w:rsid w:val="003D3BDD"/>
    <w:rsid w:val="003D5F18"/>
    <w:rsid w:val="003D705C"/>
    <w:rsid w:val="003D7F21"/>
    <w:rsid w:val="003E37B5"/>
    <w:rsid w:val="003E424B"/>
    <w:rsid w:val="003E61AA"/>
    <w:rsid w:val="003E71CC"/>
    <w:rsid w:val="003F1381"/>
    <w:rsid w:val="003F2AD8"/>
    <w:rsid w:val="00406389"/>
    <w:rsid w:val="004065F6"/>
    <w:rsid w:val="0040710E"/>
    <w:rsid w:val="0041083D"/>
    <w:rsid w:val="004165A5"/>
    <w:rsid w:val="00417131"/>
    <w:rsid w:val="0042069E"/>
    <w:rsid w:val="004218BD"/>
    <w:rsid w:val="00422DA8"/>
    <w:rsid w:val="00425509"/>
    <w:rsid w:val="0043018A"/>
    <w:rsid w:val="0043034C"/>
    <w:rsid w:val="00433002"/>
    <w:rsid w:val="00434575"/>
    <w:rsid w:val="00436831"/>
    <w:rsid w:val="00437D1F"/>
    <w:rsid w:val="0044366C"/>
    <w:rsid w:val="00444200"/>
    <w:rsid w:val="004447DF"/>
    <w:rsid w:val="0045238F"/>
    <w:rsid w:val="00453FDA"/>
    <w:rsid w:val="004552E8"/>
    <w:rsid w:val="004564E4"/>
    <w:rsid w:val="004620AA"/>
    <w:rsid w:val="00463CEE"/>
    <w:rsid w:val="00463F57"/>
    <w:rsid w:val="004678FD"/>
    <w:rsid w:val="00470E81"/>
    <w:rsid w:val="00472C4F"/>
    <w:rsid w:val="00474290"/>
    <w:rsid w:val="00475912"/>
    <w:rsid w:val="00475E70"/>
    <w:rsid w:val="0048130D"/>
    <w:rsid w:val="004827C7"/>
    <w:rsid w:val="004833E2"/>
    <w:rsid w:val="0049165F"/>
    <w:rsid w:val="00493599"/>
    <w:rsid w:val="004A48C8"/>
    <w:rsid w:val="004A5FED"/>
    <w:rsid w:val="004A6F6F"/>
    <w:rsid w:val="004B0A2A"/>
    <w:rsid w:val="004B3892"/>
    <w:rsid w:val="004C25FD"/>
    <w:rsid w:val="004C52AF"/>
    <w:rsid w:val="004C57D2"/>
    <w:rsid w:val="004C7695"/>
    <w:rsid w:val="004D1A69"/>
    <w:rsid w:val="004D3B8F"/>
    <w:rsid w:val="004E1256"/>
    <w:rsid w:val="004E2B74"/>
    <w:rsid w:val="004E4111"/>
    <w:rsid w:val="004F11F6"/>
    <w:rsid w:val="004F2091"/>
    <w:rsid w:val="004F2362"/>
    <w:rsid w:val="004F4E50"/>
    <w:rsid w:val="004F5102"/>
    <w:rsid w:val="004F78EB"/>
    <w:rsid w:val="005002C5"/>
    <w:rsid w:val="0050659A"/>
    <w:rsid w:val="00506993"/>
    <w:rsid w:val="00506E46"/>
    <w:rsid w:val="00512B61"/>
    <w:rsid w:val="00514D4E"/>
    <w:rsid w:val="00516FA2"/>
    <w:rsid w:val="005243A4"/>
    <w:rsid w:val="00524D29"/>
    <w:rsid w:val="00525095"/>
    <w:rsid w:val="00525AD4"/>
    <w:rsid w:val="0053058A"/>
    <w:rsid w:val="00536034"/>
    <w:rsid w:val="00537219"/>
    <w:rsid w:val="005400EA"/>
    <w:rsid w:val="005419C0"/>
    <w:rsid w:val="0054235F"/>
    <w:rsid w:val="00546117"/>
    <w:rsid w:val="00546C16"/>
    <w:rsid w:val="00554243"/>
    <w:rsid w:val="00562781"/>
    <w:rsid w:val="005641B7"/>
    <w:rsid w:val="00565154"/>
    <w:rsid w:val="005702B0"/>
    <w:rsid w:val="0057249C"/>
    <w:rsid w:val="0057395C"/>
    <w:rsid w:val="00573B86"/>
    <w:rsid w:val="00575A68"/>
    <w:rsid w:val="005824EC"/>
    <w:rsid w:val="0058363A"/>
    <w:rsid w:val="0058407E"/>
    <w:rsid w:val="00585107"/>
    <w:rsid w:val="0059091B"/>
    <w:rsid w:val="00592122"/>
    <w:rsid w:val="0059283F"/>
    <w:rsid w:val="005943A5"/>
    <w:rsid w:val="00595694"/>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E7F8C"/>
    <w:rsid w:val="005F0F3A"/>
    <w:rsid w:val="005F178D"/>
    <w:rsid w:val="005F43C8"/>
    <w:rsid w:val="005F46DC"/>
    <w:rsid w:val="005F7559"/>
    <w:rsid w:val="00600DDD"/>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01EA"/>
    <w:rsid w:val="00651535"/>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0043"/>
    <w:rsid w:val="006A0237"/>
    <w:rsid w:val="006A1A8C"/>
    <w:rsid w:val="006A4933"/>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201D"/>
    <w:rsid w:val="006F41C4"/>
    <w:rsid w:val="006F6546"/>
    <w:rsid w:val="006F6C5D"/>
    <w:rsid w:val="0070033D"/>
    <w:rsid w:val="00700491"/>
    <w:rsid w:val="0070163A"/>
    <w:rsid w:val="007070BE"/>
    <w:rsid w:val="00710046"/>
    <w:rsid w:val="00711ED9"/>
    <w:rsid w:val="00711FCA"/>
    <w:rsid w:val="0071225A"/>
    <w:rsid w:val="007176F3"/>
    <w:rsid w:val="0072244C"/>
    <w:rsid w:val="00725D22"/>
    <w:rsid w:val="00730FDB"/>
    <w:rsid w:val="00731871"/>
    <w:rsid w:val="00732AEA"/>
    <w:rsid w:val="0073579A"/>
    <w:rsid w:val="00742B1E"/>
    <w:rsid w:val="007463C7"/>
    <w:rsid w:val="00747B05"/>
    <w:rsid w:val="007535CD"/>
    <w:rsid w:val="00754C92"/>
    <w:rsid w:val="0075609C"/>
    <w:rsid w:val="00756885"/>
    <w:rsid w:val="00760557"/>
    <w:rsid w:val="00766877"/>
    <w:rsid w:val="0076787C"/>
    <w:rsid w:val="00770073"/>
    <w:rsid w:val="00773291"/>
    <w:rsid w:val="00774E1D"/>
    <w:rsid w:val="00784BAD"/>
    <w:rsid w:val="00786659"/>
    <w:rsid w:val="00786BDC"/>
    <w:rsid w:val="00787609"/>
    <w:rsid w:val="00792A02"/>
    <w:rsid w:val="007964BB"/>
    <w:rsid w:val="00797BF9"/>
    <w:rsid w:val="007A4113"/>
    <w:rsid w:val="007A6239"/>
    <w:rsid w:val="007A6EDE"/>
    <w:rsid w:val="007A7289"/>
    <w:rsid w:val="007B236A"/>
    <w:rsid w:val="007B238D"/>
    <w:rsid w:val="007B2DA9"/>
    <w:rsid w:val="007B582A"/>
    <w:rsid w:val="007C112A"/>
    <w:rsid w:val="007C29C5"/>
    <w:rsid w:val="007C2EA9"/>
    <w:rsid w:val="007C7309"/>
    <w:rsid w:val="007D0F89"/>
    <w:rsid w:val="007D3DBE"/>
    <w:rsid w:val="007D4F08"/>
    <w:rsid w:val="007D78C7"/>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80"/>
    <w:rsid w:val="008219FA"/>
    <w:rsid w:val="00821AFB"/>
    <w:rsid w:val="00822479"/>
    <w:rsid w:val="00822B1E"/>
    <w:rsid w:val="00822FBC"/>
    <w:rsid w:val="008232A0"/>
    <w:rsid w:val="0082597C"/>
    <w:rsid w:val="00825E6F"/>
    <w:rsid w:val="0082758F"/>
    <w:rsid w:val="00831B95"/>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6A0E"/>
    <w:rsid w:val="00887AA4"/>
    <w:rsid w:val="00891494"/>
    <w:rsid w:val="00891CB1"/>
    <w:rsid w:val="008920B2"/>
    <w:rsid w:val="00895010"/>
    <w:rsid w:val="00896950"/>
    <w:rsid w:val="008A07AC"/>
    <w:rsid w:val="008A0A97"/>
    <w:rsid w:val="008A1CC1"/>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6B85"/>
    <w:rsid w:val="008E5ED9"/>
    <w:rsid w:val="008F004E"/>
    <w:rsid w:val="008F02E4"/>
    <w:rsid w:val="008F5495"/>
    <w:rsid w:val="008F5578"/>
    <w:rsid w:val="008F71CB"/>
    <w:rsid w:val="00902A9C"/>
    <w:rsid w:val="009047DF"/>
    <w:rsid w:val="0090541E"/>
    <w:rsid w:val="00905491"/>
    <w:rsid w:val="00905D20"/>
    <w:rsid w:val="009131B7"/>
    <w:rsid w:val="00913C5D"/>
    <w:rsid w:val="00914112"/>
    <w:rsid w:val="00914A77"/>
    <w:rsid w:val="00916B4A"/>
    <w:rsid w:val="00925F87"/>
    <w:rsid w:val="00926CE4"/>
    <w:rsid w:val="00931582"/>
    <w:rsid w:val="009319AF"/>
    <w:rsid w:val="009351CC"/>
    <w:rsid w:val="009353C3"/>
    <w:rsid w:val="0093620A"/>
    <w:rsid w:val="009417FB"/>
    <w:rsid w:val="0094196E"/>
    <w:rsid w:val="00941E08"/>
    <w:rsid w:val="00953BEB"/>
    <w:rsid w:val="009559BA"/>
    <w:rsid w:val="00956AF5"/>
    <w:rsid w:val="0096348D"/>
    <w:rsid w:val="00966453"/>
    <w:rsid w:val="00966FDA"/>
    <w:rsid w:val="0097405E"/>
    <w:rsid w:val="00974E52"/>
    <w:rsid w:val="00986BAD"/>
    <w:rsid w:val="0099233B"/>
    <w:rsid w:val="00993146"/>
    <w:rsid w:val="00994BB5"/>
    <w:rsid w:val="00996E5C"/>
    <w:rsid w:val="009977E5"/>
    <w:rsid w:val="00997BBE"/>
    <w:rsid w:val="009A2352"/>
    <w:rsid w:val="009A4D49"/>
    <w:rsid w:val="009B316A"/>
    <w:rsid w:val="009B34F9"/>
    <w:rsid w:val="009B7ED1"/>
    <w:rsid w:val="009C0A1C"/>
    <w:rsid w:val="009C4D87"/>
    <w:rsid w:val="009C6404"/>
    <w:rsid w:val="009D02FA"/>
    <w:rsid w:val="009D159C"/>
    <w:rsid w:val="009D39B7"/>
    <w:rsid w:val="009D56A9"/>
    <w:rsid w:val="009D56DE"/>
    <w:rsid w:val="009D7841"/>
    <w:rsid w:val="009E2F00"/>
    <w:rsid w:val="009E40F6"/>
    <w:rsid w:val="009E57FD"/>
    <w:rsid w:val="009E6710"/>
    <w:rsid w:val="009E792A"/>
    <w:rsid w:val="009E7E3D"/>
    <w:rsid w:val="009F05EF"/>
    <w:rsid w:val="009F3A5F"/>
    <w:rsid w:val="00A02385"/>
    <w:rsid w:val="00A02D1A"/>
    <w:rsid w:val="00A05B31"/>
    <w:rsid w:val="00A1116F"/>
    <w:rsid w:val="00A1166C"/>
    <w:rsid w:val="00A142CC"/>
    <w:rsid w:val="00A15B1A"/>
    <w:rsid w:val="00A16649"/>
    <w:rsid w:val="00A16E1B"/>
    <w:rsid w:val="00A23B56"/>
    <w:rsid w:val="00A24727"/>
    <w:rsid w:val="00A328D6"/>
    <w:rsid w:val="00A349C8"/>
    <w:rsid w:val="00A36BE0"/>
    <w:rsid w:val="00A40BA7"/>
    <w:rsid w:val="00A41BFF"/>
    <w:rsid w:val="00A4287E"/>
    <w:rsid w:val="00A45393"/>
    <w:rsid w:val="00A46EE4"/>
    <w:rsid w:val="00A47318"/>
    <w:rsid w:val="00A533EE"/>
    <w:rsid w:val="00A5515E"/>
    <w:rsid w:val="00A562AD"/>
    <w:rsid w:val="00A5638E"/>
    <w:rsid w:val="00A63B7D"/>
    <w:rsid w:val="00A67DE3"/>
    <w:rsid w:val="00A7062A"/>
    <w:rsid w:val="00A72A0B"/>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4A58"/>
    <w:rsid w:val="00AB638B"/>
    <w:rsid w:val="00AB655B"/>
    <w:rsid w:val="00AB7E42"/>
    <w:rsid w:val="00AC2F03"/>
    <w:rsid w:val="00AC6A90"/>
    <w:rsid w:val="00AC6F93"/>
    <w:rsid w:val="00AD0063"/>
    <w:rsid w:val="00AD160F"/>
    <w:rsid w:val="00AD4412"/>
    <w:rsid w:val="00AD4985"/>
    <w:rsid w:val="00AD7705"/>
    <w:rsid w:val="00AE1A22"/>
    <w:rsid w:val="00AE2575"/>
    <w:rsid w:val="00AE5A09"/>
    <w:rsid w:val="00AE607B"/>
    <w:rsid w:val="00AE728D"/>
    <w:rsid w:val="00AF06BC"/>
    <w:rsid w:val="00AF1AF8"/>
    <w:rsid w:val="00AF3627"/>
    <w:rsid w:val="00AF59E8"/>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2C44"/>
    <w:rsid w:val="00B35A32"/>
    <w:rsid w:val="00B410C7"/>
    <w:rsid w:val="00B41B0F"/>
    <w:rsid w:val="00B43F6E"/>
    <w:rsid w:val="00B440A9"/>
    <w:rsid w:val="00B467F0"/>
    <w:rsid w:val="00B4734E"/>
    <w:rsid w:val="00B477D4"/>
    <w:rsid w:val="00B47917"/>
    <w:rsid w:val="00B504D0"/>
    <w:rsid w:val="00B577A8"/>
    <w:rsid w:val="00B62C00"/>
    <w:rsid w:val="00B64D06"/>
    <w:rsid w:val="00B665C0"/>
    <w:rsid w:val="00B67C87"/>
    <w:rsid w:val="00B70CD1"/>
    <w:rsid w:val="00B71CEF"/>
    <w:rsid w:val="00B74BA0"/>
    <w:rsid w:val="00B7612D"/>
    <w:rsid w:val="00B80205"/>
    <w:rsid w:val="00B82E58"/>
    <w:rsid w:val="00B85BB1"/>
    <w:rsid w:val="00B85F1A"/>
    <w:rsid w:val="00B86575"/>
    <w:rsid w:val="00B872B5"/>
    <w:rsid w:val="00B8785F"/>
    <w:rsid w:val="00B91590"/>
    <w:rsid w:val="00B92C69"/>
    <w:rsid w:val="00B931BE"/>
    <w:rsid w:val="00B959F6"/>
    <w:rsid w:val="00B9676D"/>
    <w:rsid w:val="00B96E4E"/>
    <w:rsid w:val="00B96F07"/>
    <w:rsid w:val="00B9752F"/>
    <w:rsid w:val="00B97B02"/>
    <w:rsid w:val="00BA7DB6"/>
    <w:rsid w:val="00BB0777"/>
    <w:rsid w:val="00BB0847"/>
    <w:rsid w:val="00BB4446"/>
    <w:rsid w:val="00BB57EB"/>
    <w:rsid w:val="00BB74CE"/>
    <w:rsid w:val="00BB7A0B"/>
    <w:rsid w:val="00BC09DF"/>
    <w:rsid w:val="00BC0E99"/>
    <w:rsid w:val="00BC5FDD"/>
    <w:rsid w:val="00BC70BD"/>
    <w:rsid w:val="00BC7BE5"/>
    <w:rsid w:val="00BD2124"/>
    <w:rsid w:val="00BD2127"/>
    <w:rsid w:val="00BD25F8"/>
    <w:rsid w:val="00BD2B0D"/>
    <w:rsid w:val="00BD379D"/>
    <w:rsid w:val="00BE1AB4"/>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1B"/>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08EE"/>
    <w:rsid w:val="00CB0E05"/>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574D"/>
    <w:rsid w:val="00CE613D"/>
    <w:rsid w:val="00CF0035"/>
    <w:rsid w:val="00CF16D7"/>
    <w:rsid w:val="00CF5064"/>
    <w:rsid w:val="00CF574B"/>
    <w:rsid w:val="00CF7D5C"/>
    <w:rsid w:val="00D003E4"/>
    <w:rsid w:val="00D02D09"/>
    <w:rsid w:val="00D031C9"/>
    <w:rsid w:val="00D035B0"/>
    <w:rsid w:val="00D058BD"/>
    <w:rsid w:val="00D0653F"/>
    <w:rsid w:val="00D06AE6"/>
    <w:rsid w:val="00D0775D"/>
    <w:rsid w:val="00D131CC"/>
    <w:rsid w:val="00D138F3"/>
    <w:rsid w:val="00D151E2"/>
    <w:rsid w:val="00D1550B"/>
    <w:rsid w:val="00D167E5"/>
    <w:rsid w:val="00D224CE"/>
    <w:rsid w:val="00D23475"/>
    <w:rsid w:val="00D25A1A"/>
    <w:rsid w:val="00D26334"/>
    <w:rsid w:val="00D26462"/>
    <w:rsid w:val="00D30C94"/>
    <w:rsid w:val="00D34016"/>
    <w:rsid w:val="00D34670"/>
    <w:rsid w:val="00D377F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4B3"/>
    <w:rsid w:val="00D87ADD"/>
    <w:rsid w:val="00D9218A"/>
    <w:rsid w:val="00D94F5F"/>
    <w:rsid w:val="00D95652"/>
    <w:rsid w:val="00D9567E"/>
    <w:rsid w:val="00DB7F17"/>
    <w:rsid w:val="00DC0E13"/>
    <w:rsid w:val="00DC1BFA"/>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0C82"/>
    <w:rsid w:val="00E222C0"/>
    <w:rsid w:val="00E22B4B"/>
    <w:rsid w:val="00E267F4"/>
    <w:rsid w:val="00E32E0E"/>
    <w:rsid w:val="00E33AD8"/>
    <w:rsid w:val="00E3444A"/>
    <w:rsid w:val="00E35731"/>
    <w:rsid w:val="00E35937"/>
    <w:rsid w:val="00E35CC7"/>
    <w:rsid w:val="00E3632C"/>
    <w:rsid w:val="00E36FF4"/>
    <w:rsid w:val="00E405BC"/>
    <w:rsid w:val="00E40A0F"/>
    <w:rsid w:val="00E4121E"/>
    <w:rsid w:val="00E43BB0"/>
    <w:rsid w:val="00E44751"/>
    <w:rsid w:val="00E459AF"/>
    <w:rsid w:val="00E52279"/>
    <w:rsid w:val="00E52592"/>
    <w:rsid w:val="00E5547E"/>
    <w:rsid w:val="00E623F0"/>
    <w:rsid w:val="00E62CE8"/>
    <w:rsid w:val="00E62F7E"/>
    <w:rsid w:val="00E65ACA"/>
    <w:rsid w:val="00E70BD7"/>
    <w:rsid w:val="00E77497"/>
    <w:rsid w:val="00E7799F"/>
    <w:rsid w:val="00E821F9"/>
    <w:rsid w:val="00E85332"/>
    <w:rsid w:val="00E856C8"/>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2E2E"/>
    <w:rsid w:val="00EC32D6"/>
    <w:rsid w:val="00EC4E98"/>
    <w:rsid w:val="00EC5C1D"/>
    <w:rsid w:val="00EC695D"/>
    <w:rsid w:val="00ED200E"/>
    <w:rsid w:val="00ED2EAC"/>
    <w:rsid w:val="00ED621F"/>
    <w:rsid w:val="00EE2ECE"/>
    <w:rsid w:val="00EE5689"/>
    <w:rsid w:val="00EE613A"/>
    <w:rsid w:val="00EF2A4E"/>
    <w:rsid w:val="00EF5BBF"/>
    <w:rsid w:val="00EF680F"/>
    <w:rsid w:val="00EF6FBB"/>
    <w:rsid w:val="00F0034D"/>
    <w:rsid w:val="00F01FE7"/>
    <w:rsid w:val="00F02941"/>
    <w:rsid w:val="00F22547"/>
    <w:rsid w:val="00F22E0E"/>
    <w:rsid w:val="00F23836"/>
    <w:rsid w:val="00F24572"/>
    <w:rsid w:val="00F259CE"/>
    <w:rsid w:val="00F26E97"/>
    <w:rsid w:val="00F31C2A"/>
    <w:rsid w:val="00F34BCC"/>
    <w:rsid w:val="00F358F1"/>
    <w:rsid w:val="00F37817"/>
    <w:rsid w:val="00F40722"/>
    <w:rsid w:val="00F41668"/>
    <w:rsid w:val="00F427D8"/>
    <w:rsid w:val="00F43524"/>
    <w:rsid w:val="00F50D06"/>
    <w:rsid w:val="00F50EA8"/>
    <w:rsid w:val="00F52BCE"/>
    <w:rsid w:val="00F52ECB"/>
    <w:rsid w:val="00F532B2"/>
    <w:rsid w:val="00F63116"/>
    <w:rsid w:val="00F67FB8"/>
    <w:rsid w:val="00F723C8"/>
    <w:rsid w:val="00F83532"/>
    <w:rsid w:val="00F84A9D"/>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0CB0"/>
    <w:rsid w:val="00FD3142"/>
    <w:rsid w:val="00FD69D0"/>
    <w:rsid w:val="00FD794C"/>
    <w:rsid w:val="00FE39F2"/>
    <w:rsid w:val="00FE6472"/>
    <w:rsid w:val="00FE6B1E"/>
    <w:rsid w:val="00FF1E6D"/>
    <w:rsid w:val="00FF46F9"/>
    <w:rsid w:val="00FF7904"/>
    <w:rsid w:val="01041951"/>
    <w:rsid w:val="05E40C54"/>
    <w:rsid w:val="06A42377"/>
    <w:rsid w:val="07587E1D"/>
    <w:rsid w:val="0AF9CB7F"/>
    <w:rsid w:val="13836007"/>
    <w:rsid w:val="13A14AC4"/>
    <w:rsid w:val="150C03F7"/>
    <w:rsid w:val="1D5E7B70"/>
    <w:rsid w:val="1EEB7D15"/>
    <w:rsid w:val="206E0FC8"/>
    <w:rsid w:val="25FE5651"/>
    <w:rsid w:val="2ACB3B4E"/>
    <w:rsid w:val="2D5D6C5F"/>
    <w:rsid w:val="34803EC8"/>
    <w:rsid w:val="34B9379B"/>
    <w:rsid w:val="35E772E4"/>
    <w:rsid w:val="3EAE7781"/>
    <w:rsid w:val="3F779754"/>
    <w:rsid w:val="3FA78228"/>
    <w:rsid w:val="4687467B"/>
    <w:rsid w:val="4A603B63"/>
    <w:rsid w:val="5439223A"/>
    <w:rsid w:val="553F0BCB"/>
    <w:rsid w:val="60732830"/>
    <w:rsid w:val="61452CD9"/>
    <w:rsid w:val="63DE1DF7"/>
    <w:rsid w:val="650F518F"/>
    <w:rsid w:val="68964C95"/>
    <w:rsid w:val="6EBBEF1C"/>
    <w:rsid w:val="70120D53"/>
    <w:rsid w:val="701E08C7"/>
    <w:rsid w:val="70932323"/>
    <w:rsid w:val="74322378"/>
    <w:rsid w:val="754049A5"/>
    <w:rsid w:val="76FF0615"/>
    <w:rsid w:val="77AFCE9C"/>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pPr>
      <w:jc w:val="left"/>
    </w:pPr>
  </w:style>
  <w:style w:type="paragraph" w:styleId="3">
    <w:name w:val="Balloon Text"/>
    <w:basedOn w:val="1"/>
    <w:link w:val="27"/>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HTML Preformatted"/>
    <w:basedOn w:val="1"/>
    <w:link w:val="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6"/>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paragraph" w:customStyle="1" w:styleId="16">
    <w:name w:val="列出段落1"/>
    <w:basedOn w:val="1"/>
    <w:link w:val="20"/>
    <w:qFormat/>
    <w:uiPriority w:val="34"/>
    <w:pPr>
      <w:ind w:firstLine="420" w:firstLineChars="200"/>
    </w:pPr>
  </w:style>
  <w:style w:type="character" w:customStyle="1" w:styleId="17">
    <w:name w:val="页眉 字符"/>
    <w:basedOn w:val="12"/>
    <w:link w:val="5"/>
    <w:qFormat/>
    <w:uiPriority w:val="99"/>
    <w:rPr>
      <w:sz w:val="18"/>
      <w:szCs w:val="18"/>
    </w:rPr>
  </w:style>
  <w:style w:type="character" w:customStyle="1" w:styleId="18">
    <w:name w:val="页脚 字符"/>
    <w:basedOn w:val="12"/>
    <w:link w:val="4"/>
    <w:qFormat/>
    <w:uiPriority w:val="99"/>
    <w:rPr>
      <w:sz w:val="18"/>
      <w:szCs w:val="18"/>
    </w:rPr>
  </w:style>
  <w:style w:type="paragraph" w:customStyle="1" w:styleId="19">
    <w:name w:val="EndNote Bibliography Title"/>
    <w:basedOn w:val="1"/>
    <w:link w:val="21"/>
    <w:qFormat/>
    <w:uiPriority w:val="0"/>
    <w:pPr>
      <w:jc w:val="center"/>
    </w:pPr>
    <w:rPr>
      <w:rFonts w:ascii="等线" w:hAnsi="等线" w:eastAsia="等线"/>
      <w:sz w:val="20"/>
    </w:rPr>
  </w:style>
  <w:style w:type="character" w:customStyle="1" w:styleId="20">
    <w:name w:val="列出段落 Char"/>
    <w:basedOn w:val="12"/>
    <w:link w:val="16"/>
    <w:qFormat/>
    <w:uiPriority w:val="34"/>
  </w:style>
  <w:style w:type="character" w:customStyle="1" w:styleId="21">
    <w:name w:val="EndNote Bibliography Title 字符"/>
    <w:basedOn w:val="20"/>
    <w:link w:val="19"/>
    <w:qFormat/>
    <w:uiPriority w:val="0"/>
    <w:rPr>
      <w:rFonts w:ascii="等线" w:hAnsi="等线" w:eastAsia="等线"/>
      <w:sz w:val="20"/>
    </w:rPr>
  </w:style>
  <w:style w:type="paragraph" w:customStyle="1" w:styleId="22">
    <w:name w:val="EndNote Bibliography"/>
    <w:basedOn w:val="1"/>
    <w:link w:val="23"/>
    <w:qFormat/>
    <w:uiPriority w:val="0"/>
    <w:rPr>
      <w:rFonts w:ascii="等线" w:hAnsi="等线" w:eastAsia="等线"/>
      <w:sz w:val="20"/>
    </w:rPr>
  </w:style>
  <w:style w:type="character" w:customStyle="1" w:styleId="23">
    <w:name w:val="EndNote Bibliography 字符"/>
    <w:basedOn w:val="20"/>
    <w:link w:val="22"/>
    <w:qFormat/>
    <w:uiPriority w:val="0"/>
    <w:rPr>
      <w:rFonts w:ascii="等线" w:hAnsi="等线" w:eastAsia="等线"/>
      <w:sz w:val="20"/>
    </w:rPr>
  </w:style>
  <w:style w:type="character" w:customStyle="1" w:styleId="24">
    <w:name w:val="未处理的提及1"/>
    <w:basedOn w:val="12"/>
    <w:unhideWhenUsed/>
    <w:qFormat/>
    <w:uiPriority w:val="99"/>
    <w:rPr>
      <w:color w:val="605E5C"/>
      <w:shd w:val="clear" w:color="auto" w:fill="E1DFDD"/>
    </w:rPr>
  </w:style>
  <w:style w:type="character" w:customStyle="1" w:styleId="25">
    <w:name w:val="批注文字 字符"/>
    <w:basedOn w:val="12"/>
    <w:link w:val="2"/>
    <w:semiHidden/>
    <w:qFormat/>
    <w:uiPriority w:val="99"/>
  </w:style>
  <w:style w:type="character" w:customStyle="1" w:styleId="26">
    <w:name w:val="批注主题 字符"/>
    <w:basedOn w:val="25"/>
    <w:link w:val="9"/>
    <w:semiHidden/>
    <w:qFormat/>
    <w:uiPriority w:val="99"/>
    <w:rPr>
      <w:b/>
      <w:bCs/>
    </w:rPr>
  </w:style>
  <w:style w:type="character" w:customStyle="1" w:styleId="27">
    <w:name w:val="批注框文本 字符"/>
    <w:basedOn w:val="12"/>
    <w:link w:val="3"/>
    <w:semiHidden/>
    <w:qFormat/>
    <w:uiPriority w:val="99"/>
    <w:rPr>
      <w:sz w:val="18"/>
      <w:szCs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HTML 预设格式 字符"/>
    <w:basedOn w:val="12"/>
    <w:link w:val="7"/>
    <w:semiHidden/>
    <w:qFormat/>
    <w:uiPriority w:val="99"/>
    <w:rPr>
      <w:rFonts w:ascii="宋体" w:hAnsi="宋体" w:eastAsia="宋体" w:cs="宋体"/>
      <w:kern w:val="0"/>
      <w:sz w:val="24"/>
      <w:szCs w:val="24"/>
    </w:rPr>
  </w:style>
  <w:style w:type="character" w:customStyle="1" w:styleId="30">
    <w:name w:val="y2iqfc"/>
    <w:basedOn w:val="12"/>
    <w:qFormat/>
    <w:uiPriority w:val="0"/>
  </w:style>
  <w:style w:type="character" w:customStyle="1" w:styleId="31">
    <w:name w:val="inner-text-paragraph-org"/>
    <w:basedOn w:val="12"/>
    <w:qFormat/>
    <w:uiPriority w:val="0"/>
  </w:style>
  <w:style w:type="character" w:customStyle="1" w:styleId="32">
    <w:name w:val="未处理的提及2"/>
    <w:basedOn w:val="12"/>
    <w:unhideWhenUsed/>
    <w:qFormat/>
    <w:uiPriority w:val="99"/>
    <w:rPr>
      <w:color w:val="605E5C"/>
      <w:shd w:val="clear" w:color="auto" w:fill="E1DFDD"/>
    </w:rPr>
  </w:style>
  <w:style w:type="character" w:customStyle="1" w:styleId="33">
    <w:name w:val="列表段落 字符1"/>
    <w:basedOn w:val="12"/>
    <w:qFormat/>
    <w:uiPriority w:val="34"/>
  </w:style>
  <w:style w:type="paragraph" w:customStyle="1" w:styleId="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5">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3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0">
    <w:name w:val="发布部门"/>
    <w:next w:val="41"/>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2">
    <w:name w:val="其他发布日期"/>
    <w:basedOn w:val="43"/>
    <w:qFormat/>
    <w:uiPriority w:val="0"/>
    <w:pPr>
      <w:framePr w:wrap="around" w:vAnchor="page" w:hAnchor="text" w:x="1419"/>
    </w:pPr>
  </w:style>
  <w:style w:type="paragraph" w:customStyle="1" w:styleId="4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4">
    <w:name w:val="样式1"/>
    <w:basedOn w:val="1"/>
    <w:next w:val="6"/>
    <w:qFormat/>
    <w:uiPriority w:val="0"/>
  </w:style>
  <w:style w:type="paragraph" w:styleId="45">
    <w:name w:val="List Paragraph"/>
    <w:basedOn w:val="1"/>
    <w:qFormat/>
    <w:uiPriority w:val="99"/>
    <w:pPr>
      <w:ind w:firstLine="420" w:firstLineChars="200"/>
    </w:pPr>
  </w:style>
  <w:style w:type="paragraph" w:customStyle="1" w:styleId="4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70B0D-BC8A-49D8-91E3-603A19D53B9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6711</Words>
  <Characters>8752</Characters>
  <Lines>73</Lines>
  <Paragraphs>20</Paragraphs>
  <TotalTime>0</TotalTime>
  <ScaleCrop>false</ScaleCrop>
  <LinksUpToDate>false</LinksUpToDate>
  <CharactersWithSpaces>9244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2025-11-20T08:29:00Z</dcterms:created>
  <dc:creator>Family</dc:creator>
  <cp:lastModifiedBy>J</cp:lastModifiedBy>
  <cp:lastPrinted>2021-10-22T19:40:00Z</cp:lastPrinted>
  <dcterms:modified xsi:type="dcterms:W3CDTF">2025-12-18T10:43:09Z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eyJoZGlkIjoiMTFmMDJjZGU0YzYzNjgxMjg1NzBlNDNlZWZkY2IyNjMiLCJ1c2VySWQiOiIxMzc2MzQzNjk3In0=</vt:lpwstr>
  </property>
  <property fmtid="{D5CDD505-2E9C-101B-9397-08002B2CF9AE}" pid="4" name="ICV">
    <vt:lpwstr>C1418DB5B2B741B18C8FA2041D59119C_12</vt:lpwstr>
  </property>
</Properties>
</file>