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74BE">
      <w:pPr>
        <w:autoSpaceDE w:val="0"/>
        <w:autoSpaceDN w:val="0"/>
        <w:adjustRightInd w:val="0"/>
        <w:jc w:val="center"/>
        <w:rPr>
          <w:rFonts w:ascii="Times New Roman" w:hAnsi="Times New Roman" w:eastAsia="黑体"/>
          <w:b/>
          <w:bCs/>
          <w:sz w:val="30"/>
          <w:szCs w:val="30"/>
        </w:rPr>
      </w:pPr>
      <w:r>
        <w:rPr>
          <w:rFonts w:hint="eastAsia" w:ascii="Times New Roman" w:hAnsi="Times New Roman" w:eastAsia="黑体"/>
          <w:b/>
          <w:bCs/>
          <w:sz w:val="30"/>
          <w:szCs w:val="30"/>
          <w:lang w:eastAsia="zh-CN"/>
        </w:rPr>
        <w:t>《</w:t>
      </w:r>
      <w:r>
        <w:rPr>
          <w:rFonts w:hint="eastAsia" w:ascii="Times New Roman" w:hAnsi="Times New Roman" w:eastAsia="黑体"/>
          <w:b/>
          <w:bCs/>
          <w:sz w:val="30"/>
          <w:szCs w:val="30"/>
          <w:lang w:val="en-US" w:eastAsia="zh-CN"/>
        </w:rPr>
        <w:t>增材制造 定制式氧化锆陶瓷桥架</w:t>
      </w:r>
      <w:r>
        <w:rPr>
          <w:rFonts w:hint="eastAsia" w:ascii="Times New Roman" w:hAnsi="Times New Roman" w:eastAsia="黑体"/>
          <w:b/>
          <w:bCs/>
          <w:sz w:val="30"/>
          <w:szCs w:val="30"/>
          <w:lang w:eastAsia="zh-CN"/>
        </w:rPr>
        <w:t>》</w:t>
      </w:r>
      <w:r>
        <w:rPr>
          <w:rFonts w:hint="eastAsia" w:ascii="Times New Roman" w:hAnsi="Times New Roman" w:eastAsia="黑体"/>
          <w:b/>
          <w:bCs/>
          <w:sz w:val="30"/>
          <w:szCs w:val="30"/>
        </w:rPr>
        <w:t>征求意见编制说明</w:t>
      </w:r>
    </w:p>
    <w:p w14:paraId="03766934">
      <w:pPr>
        <w:autoSpaceDE w:val="0"/>
        <w:autoSpaceDN w:val="0"/>
        <w:adjustRightInd w:val="0"/>
        <w:jc w:val="left"/>
        <w:rPr>
          <w:rFonts w:ascii="Times New Roman" w:hAnsi="Times New Roman" w:eastAsia="宋体"/>
          <w:b/>
          <w:bCs/>
          <w:sz w:val="28"/>
          <w:szCs w:val="28"/>
        </w:rPr>
      </w:pPr>
      <w:r>
        <w:rPr>
          <w:rFonts w:ascii="Times New Roman" w:hAnsi="Times New Roman" w:eastAsia="宋体"/>
          <w:b/>
          <w:bCs/>
          <w:sz w:val="28"/>
          <w:szCs w:val="28"/>
        </w:rPr>
        <w:t>一、工作简况</w:t>
      </w:r>
    </w:p>
    <w:p w14:paraId="744CF99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1. 任务来源</w:t>
      </w:r>
    </w:p>
    <w:p w14:paraId="4B4A760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eastAsia="zh-CN"/>
        </w:rPr>
        <w:t>本项目是根据中国产学研合作促进会“关于征集2025年团体标准制定项目的通知”（产学研函字[2025]第05号）进行制定，项目名称为《</w:t>
      </w:r>
      <w:r>
        <w:rPr>
          <w:rFonts w:hint="eastAsia" w:ascii="Times New Roman" w:hAnsi="Times New Roman" w:eastAsia="宋体"/>
          <w:sz w:val="24"/>
          <w:szCs w:val="24"/>
          <w:lang w:val="en-US" w:eastAsia="zh-CN"/>
        </w:rPr>
        <w:t>增材制造 定制式氧化锆陶瓷桥架</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标准（以下简称为“标准”）,由四川大学华西口腔医院提出，由中国产学研合作促进会归口。</w:t>
      </w:r>
    </w:p>
    <w:p w14:paraId="199C38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标准的起草单位有：四川大学华西口腔医院、杭州泰利斯医疗科技有限公司、江南大学、西南医科大学附属口腔医院、中国医科大学附属口腔医院、西安交通大学口腔医院、福建医科大学附属口腔医院、浙江大学医学院附属口腔医院、浙江省医疗器械检验研究院、温州医科大学附属口腔医院、兰州大学口腔医院、南方医科大学口腔医院、重庆医科大学附属口腔医院、兰州市口腔医院、苏州口腔</w:t>
      </w:r>
      <w:bookmarkStart w:id="0" w:name="_GoBack"/>
      <w:bookmarkEnd w:id="0"/>
      <w:r>
        <w:rPr>
          <w:rFonts w:hint="eastAsia" w:ascii="Times New Roman" w:hAnsi="Times New Roman" w:eastAsia="宋体"/>
          <w:sz w:val="24"/>
          <w:szCs w:val="24"/>
          <w:lang w:val="en-US" w:eastAsia="zh-CN"/>
        </w:rPr>
        <w:t>医院（集团）有限公司、厦门医学院附属口腔医院、中国医科大学航空总医院、成都口口齿科技术有限公司。</w:t>
      </w:r>
    </w:p>
    <w:p w14:paraId="08F017A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标准主要起草人：于海洋、周小坚、王醴、肖金刚、阎旭、牛林、于皓、何福明、虞崇庆、刘劲松、刘斌、邵龙泉、付钢、丛龙凤、尹路、张昀、</w:t>
      </w:r>
      <w:r>
        <w:rPr>
          <w:rFonts w:hint="eastAsia" w:ascii="Times New Roman" w:hAnsi="Times New Roman" w:eastAsia="宋体"/>
          <w:sz w:val="24"/>
          <w:szCs w:val="24"/>
          <w:highlight w:val="none"/>
          <w:lang w:val="en-US" w:eastAsia="zh-CN"/>
        </w:rPr>
        <w:t>张保荣、赵强、何大庆</w:t>
      </w:r>
      <w:r>
        <w:rPr>
          <w:rFonts w:hint="eastAsia" w:ascii="Times New Roman" w:hAnsi="Times New Roman" w:eastAsia="宋体"/>
          <w:sz w:val="24"/>
          <w:szCs w:val="24"/>
          <w:lang w:val="en-US" w:eastAsia="zh-CN"/>
        </w:rPr>
        <w:t>。分工请见下表1。</w:t>
      </w:r>
    </w:p>
    <w:p w14:paraId="0BB0034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表1 各起草单位及起草人任务分工</w:t>
      </w:r>
    </w:p>
    <w:tbl>
      <w:tblPr>
        <w:tblStyle w:val="8"/>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61"/>
        <w:gridCol w:w="2856"/>
        <w:gridCol w:w="1499"/>
        <w:gridCol w:w="3507"/>
      </w:tblGrid>
      <w:tr w14:paraId="159B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trPr>
        <w:tc>
          <w:tcPr>
            <w:tcW w:w="661" w:type="dxa"/>
            <w:tcMar>
              <w:top w:w="60" w:type="dxa"/>
              <w:left w:w="120" w:type="dxa"/>
              <w:bottom w:w="30" w:type="dxa"/>
              <w:right w:w="120" w:type="dxa"/>
            </w:tcMar>
            <w:vAlign w:val="center"/>
          </w:tcPr>
          <w:p w14:paraId="747B3FA1">
            <w:pPr>
              <w:pStyle w:val="16"/>
              <w:snapToGrid w:val="0"/>
              <w:spacing w:line="240" w:lineRule="auto"/>
              <w:ind w:left="0" w:leftChars="0" w:right="0" w:rightChars="0" w:firstLine="0" w:firstLineChars="0"/>
              <w:jc w:val="center"/>
              <w:rPr>
                <w:rFonts w:ascii="Times New Roman" w:hAnsi="Times New Roman" w:eastAsia="宋体" w:cs="Times New Roman"/>
                <w:b/>
                <w:sz w:val="18"/>
                <w:szCs w:val="18"/>
              </w:rPr>
            </w:pPr>
            <w:r>
              <w:rPr>
                <w:rFonts w:ascii="Times New Roman" w:hAnsi="Times New Roman" w:eastAsia="宋体" w:cs="Times New Roman"/>
                <w:b/>
                <w:sz w:val="18"/>
                <w:szCs w:val="18"/>
              </w:rPr>
              <w:t>序号</w:t>
            </w:r>
          </w:p>
        </w:tc>
        <w:tc>
          <w:tcPr>
            <w:tcW w:w="2856" w:type="dxa"/>
            <w:tcMar>
              <w:top w:w="60" w:type="dxa"/>
              <w:left w:w="120" w:type="dxa"/>
              <w:bottom w:w="30" w:type="dxa"/>
              <w:right w:w="120" w:type="dxa"/>
            </w:tcMar>
            <w:vAlign w:val="center"/>
          </w:tcPr>
          <w:p w14:paraId="45027615">
            <w:pPr>
              <w:pStyle w:val="16"/>
              <w:snapToGrid w:val="0"/>
              <w:spacing w:line="240" w:lineRule="auto"/>
              <w:ind w:left="0" w:leftChars="0" w:right="0" w:rightChars="0" w:firstLine="0" w:firstLineChars="0"/>
              <w:jc w:val="center"/>
              <w:rPr>
                <w:rFonts w:ascii="Times New Roman" w:hAnsi="Times New Roman" w:eastAsia="宋体" w:cs="Times New Roman"/>
                <w:b/>
                <w:sz w:val="18"/>
                <w:szCs w:val="18"/>
              </w:rPr>
            </w:pPr>
            <w:r>
              <w:rPr>
                <w:rFonts w:ascii="Times New Roman" w:hAnsi="Times New Roman" w:eastAsia="宋体" w:cs="Times New Roman"/>
                <w:b/>
                <w:sz w:val="18"/>
                <w:szCs w:val="18"/>
              </w:rPr>
              <w:t>单位名称</w:t>
            </w:r>
          </w:p>
        </w:tc>
        <w:tc>
          <w:tcPr>
            <w:tcW w:w="1499" w:type="dxa"/>
            <w:tcMar>
              <w:top w:w="60" w:type="dxa"/>
              <w:left w:w="120" w:type="dxa"/>
              <w:bottom w:w="30" w:type="dxa"/>
              <w:right w:w="120" w:type="dxa"/>
            </w:tcMar>
            <w:vAlign w:val="center"/>
          </w:tcPr>
          <w:p w14:paraId="722B3BFA">
            <w:pPr>
              <w:pStyle w:val="16"/>
              <w:snapToGrid w:val="0"/>
              <w:spacing w:line="240" w:lineRule="auto"/>
              <w:ind w:left="0" w:leftChars="0" w:right="0" w:rightChars="0" w:firstLine="0" w:firstLineChars="0"/>
              <w:jc w:val="center"/>
              <w:rPr>
                <w:rFonts w:ascii="Times New Roman" w:hAnsi="Times New Roman" w:eastAsia="宋体" w:cs="Times New Roman"/>
                <w:b/>
                <w:sz w:val="18"/>
                <w:szCs w:val="18"/>
              </w:rPr>
            </w:pPr>
            <w:r>
              <w:rPr>
                <w:rFonts w:ascii="Times New Roman" w:hAnsi="Times New Roman" w:eastAsia="宋体" w:cs="Times New Roman"/>
                <w:b/>
                <w:sz w:val="18"/>
                <w:szCs w:val="18"/>
              </w:rPr>
              <w:t>参编人员</w:t>
            </w:r>
          </w:p>
        </w:tc>
        <w:tc>
          <w:tcPr>
            <w:tcW w:w="3507" w:type="dxa"/>
            <w:tcMar>
              <w:top w:w="60" w:type="dxa"/>
              <w:left w:w="120" w:type="dxa"/>
              <w:bottom w:w="30" w:type="dxa"/>
              <w:right w:w="120" w:type="dxa"/>
            </w:tcMar>
            <w:vAlign w:val="center"/>
          </w:tcPr>
          <w:p w14:paraId="51FF54E9">
            <w:pPr>
              <w:pStyle w:val="16"/>
              <w:snapToGrid w:val="0"/>
              <w:spacing w:line="240" w:lineRule="auto"/>
              <w:ind w:left="0" w:leftChars="0" w:right="0" w:rightChars="0" w:firstLine="0" w:firstLineChars="0"/>
              <w:jc w:val="center"/>
              <w:rPr>
                <w:rFonts w:ascii="Times New Roman" w:hAnsi="Times New Roman" w:eastAsia="宋体" w:cs="Times New Roman"/>
                <w:b/>
                <w:sz w:val="18"/>
                <w:szCs w:val="18"/>
              </w:rPr>
            </w:pPr>
            <w:r>
              <w:rPr>
                <w:rFonts w:ascii="Times New Roman" w:hAnsi="Times New Roman" w:eastAsia="宋体" w:cs="Times New Roman"/>
                <w:b/>
                <w:sz w:val="18"/>
                <w:szCs w:val="18"/>
              </w:rPr>
              <w:t>主要工作内容</w:t>
            </w:r>
          </w:p>
        </w:tc>
      </w:tr>
      <w:tr w14:paraId="4A4B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29789A9A">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856" w:type="dxa"/>
            <w:tcMar>
              <w:top w:w="60" w:type="dxa"/>
              <w:left w:w="120" w:type="dxa"/>
              <w:bottom w:w="30" w:type="dxa"/>
              <w:right w:w="120" w:type="dxa"/>
            </w:tcMar>
            <w:vAlign w:val="center"/>
          </w:tcPr>
          <w:p w14:paraId="00F35B72">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四川大学华西口腔医院</w:t>
            </w:r>
          </w:p>
        </w:tc>
        <w:tc>
          <w:tcPr>
            <w:tcW w:w="1499" w:type="dxa"/>
            <w:tcMar>
              <w:top w:w="60" w:type="dxa"/>
              <w:left w:w="120" w:type="dxa"/>
              <w:bottom w:w="30" w:type="dxa"/>
              <w:right w:w="120" w:type="dxa"/>
            </w:tcMar>
            <w:vAlign w:val="center"/>
          </w:tcPr>
          <w:p w14:paraId="77BB6210">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ascii="Times New Roman" w:hAnsi="Times New Roman" w:eastAsia="宋体" w:cs="Times New Roman"/>
                <w:sz w:val="18"/>
                <w:szCs w:val="18"/>
              </w:rPr>
              <w:t>于海洋</w:t>
            </w:r>
          </w:p>
        </w:tc>
        <w:tc>
          <w:tcPr>
            <w:tcW w:w="3507" w:type="dxa"/>
            <w:tcMar>
              <w:top w:w="60" w:type="dxa"/>
              <w:left w:w="120" w:type="dxa"/>
              <w:bottom w:w="30" w:type="dxa"/>
              <w:right w:w="120" w:type="dxa"/>
            </w:tcMar>
            <w:vAlign w:val="center"/>
          </w:tcPr>
          <w:p w14:paraId="60C309FC">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牵头标准框架设计、临床操作内容编制、统筹协调</w:t>
            </w:r>
          </w:p>
        </w:tc>
      </w:tr>
      <w:tr w14:paraId="54AA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59BF7896">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856" w:type="dxa"/>
            <w:tcMar>
              <w:top w:w="60" w:type="dxa"/>
              <w:left w:w="120" w:type="dxa"/>
              <w:bottom w:w="30" w:type="dxa"/>
              <w:right w:w="120" w:type="dxa"/>
            </w:tcMar>
            <w:vAlign w:val="center"/>
          </w:tcPr>
          <w:p w14:paraId="0E82D1B8">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杭州泰利斯医疗科技有限公司</w:t>
            </w:r>
          </w:p>
        </w:tc>
        <w:tc>
          <w:tcPr>
            <w:tcW w:w="1499" w:type="dxa"/>
            <w:tcMar>
              <w:top w:w="60" w:type="dxa"/>
              <w:left w:w="120" w:type="dxa"/>
              <w:bottom w:w="30" w:type="dxa"/>
              <w:right w:w="120" w:type="dxa"/>
            </w:tcMar>
            <w:vAlign w:val="center"/>
          </w:tcPr>
          <w:p w14:paraId="08C70DF0">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周小坚</w:t>
            </w:r>
          </w:p>
        </w:tc>
        <w:tc>
          <w:tcPr>
            <w:tcW w:w="3507" w:type="dxa"/>
            <w:tcMar>
              <w:top w:w="60" w:type="dxa"/>
              <w:left w:w="120" w:type="dxa"/>
              <w:bottom w:w="30" w:type="dxa"/>
              <w:right w:w="120" w:type="dxa"/>
            </w:tcMar>
            <w:vAlign w:val="center"/>
          </w:tcPr>
          <w:p w14:paraId="1900F6B0">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提供增材制造技术参数、技术合作</w:t>
            </w:r>
          </w:p>
        </w:tc>
      </w:tr>
      <w:tr w14:paraId="68B5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3DAB9C53">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856" w:type="dxa"/>
            <w:tcMar>
              <w:top w:w="60" w:type="dxa"/>
              <w:left w:w="120" w:type="dxa"/>
              <w:bottom w:w="30" w:type="dxa"/>
              <w:right w:w="120" w:type="dxa"/>
            </w:tcMar>
            <w:vAlign w:val="center"/>
          </w:tcPr>
          <w:p w14:paraId="58F3D27B">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江南大学</w:t>
            </w:r>
          </w:p>
        </w:tc>
        <w:tc>
          <w:tcPr>
            <w:tcW w:w="1499" w:type="dxa"/>
            <w:tcMar>
              <w:top w:w="60" w:type="dxa"/>
              <w:left w:w="120" w:type="dxa"/>
              <w:bottom w:w="30" w:type="dxa"/>
              <w:right w:w="120" w:type="dxa"/>
            </w:tcMar>
            <w:vAlign w:val="center"/>
          </w:tcPr>
          <w:p w14:paraId="6A9E6ECC">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王醴</w:t>
            </w:r>
          </w:p>
        </w:tc>
        <w:tc>
          <w:tcPr>
            <w:tcW w:w="3507" w:type="dxa"/>
            <w:tcMar>
              <w:top w:w="60" w:type="dxa"/>
              <w:left w:w="120" w:type="dxa"/>
              <w:bottom w:w="30" w:type="dxa"/>
              <w:right w:w="120" w:type="dxa"/>
            </w:tcMar>
            <w:vAlign w:val="center"/>
          </w:tcPr>
          <w:p w14:paraId="18ECC82A">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氧化锆材料性能验证、技术指标校准</w:t>
            </w:r>
          </w:p>
        </w:tc>
      </w:tr>
      <w:tr w14:paraId="0195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5828C4A8">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856" w:type="dxa"/>
            <w:tcMar>
              <w:top w:w="60" w:type="dxa"/>
              <w:left w:w="120" w:type="dxa"/>
              <w:bottom w:w="30" w:type="dxa"/>
              <w:right w:w="120" w:type="dxa"/>
            </w:tcMar>
            <w:vAlign w:val="center"/>
          </w:tcPr>
          <w:p w14:paraId="6C8965A6">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西南医科大学附属口腔医院</w:t>
            </w:r>
          </w:p>
        </w:tc>
        <w:tc>
          <w:tcPr>
            <w:tcW w:w="1499" w:type="dxa"/>
            <w:tcMar>
              <w:top w:w="60" w:type="dxa"/>
              <w:left w:w="120" w:type="dxa"/>
              <w:bottom w:w="30" w:type="dxa"/>
              <w:right w:w="120" w:type="dxa"/>
            </w:tcMar>
            <w:vAlign w:val="center"/>
          </w:tcPr>
          <w:p w14:paraId="4F5E73EF">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肖金刚</w:t>
            </w:r>
          </w:p>
        </w:tc>
        <w:tc>
          <w:tcPr>
            <w:tcW w:w="3507" w:type="dxa"/>
            <w:tcMar>
              <w:top w:w="60" w:type="dxa"/>
              <w:left w:w="120" w:type="dxa"/>
              <w:bottom w:w="30" w:type="dxa"/>
              <w:right w:w="120" w:type="dxa"/>
            </w:tcMar>
            <w:vAlign w:val="center"/>
          </w:tcPr>
          <w:p w14:paraId="2C60629E">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7014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45B984B9">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2856" w:type="dxa"/>
            <w:tcMar>
              <w:top w:w="60" w:type="dxa"/>
              <w:left w:w="120" w:type="dxa"/>
              <w:bottom w:w="30" w:type="dxa"/>
              <w:right w:w="120" w:type="dxa"/>
            </w:tcMar>
            <w:vAlign w:val="center"/>
          </w:tcPr>
          <w:p w14:paraId="3F26A8DE">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中国医科大学附属口腔医院</w:t>
            </w:r>
          </w:p>
        </w:tc>
        <w:tc>
          <w:tcPr>
            <w:tcW w:w="1499" w:type="dxa"/>
            <w:tcMar>
              <w:top w:w="60" w:type="dxa"/>
              <w:left w:w="120" w:type="dxa"/>
              <w:bottom w:w="30" w:type="dxa"/>
              <w:right w:w="120" w:type="dxa"/>
            </w:tcMar>
            <w:vAlign w:val="center"/>
          </w:tcPr>
          <w:p w14:paraId="290F8C90">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阎旭</w:t>
            </w:r>
          </w:p>
        </w:tc>
        <w:tc>
          <w:tcPr>
            <w:tcW w:w="3507" w:type="dxa"/>
            <w:tcMar>
              <w:top w:w="60" w:type="dxa"/>
              <w:left w:w="120" w:type="dxa"/>
              <w:bottom w:w="30" w:type="dxa"/>
              <w:right w:w="120" w:type="dxa"/>
            </w:tcMar>
            <w:vAlign w:val="center"/>
          </w:tcPr>
          <w:p w14:paraId="1A7668A7">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283A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21B3E074">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w:t>
            </w:r>
          </w:p>
        </w:tc>
        <w:tc>
          <w:tcPr>
            <w:tcW w:w="2856" w:type="dxa"/>
            <w:tcMar>
              <w:top w:w="60" w:type="dxa"/>
              <w:left w:w="120" w:type="dxa"/>
              <w:bottom w:w="30" w:type="dxa"/>
              <w:right w:w="120" w:type="dxa"/>
            </w:tcMar>
            <w:vAlign w:val="center"/>
          </w:tcPr>
          <w:p w14:paraId="0A617295">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西安交通大学口腔医院</w:t>
            </w:r>
          </w:p>
        </w:tc>
        <w:tc>
          <w:tcPr>
            <w:tcW w:w="1499" w:type="dxa"/>
            <w:tcMar>
              <w:top w:w="60" w:type="dxa"/>
              <w:left w:w="120" w:type="dxa"/>
              <w:bottom w:w="30" w:type="dxa"/>
              <w:right w:w="120" w:type="dxa"/>
            </w:tcMar>
            <w:vAlign w:val="center"/>
          </w:tcPr>
          <w:p w14:paraId="4BB85570">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牛林</w:t>
            </w:r>
          </w:p>
        </w:tc>
        <w:tc>
          <w:tcPr>
            <w:tcW w:w="3507" w:type="dxa"/>
            <w:tcMar>
              <w:top w:w="60" w:type="dxa"/>
              <w:left w:w="120" w:type="dxa"/>
              <w:bottom w:w="30" w:type="dxa"/>
              <w:right w:w="120" w:type="dxa"/>
            </w:tcMar>
            <w:vAlign w:val="center"/>
          </w:tcPr>
          <w:p w14:paraId="4356EC0A">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2FD7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61E4057F">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w:t>
            </w:r>
          </w:p>
        </w:tc>
        <w:tc>
          <w:tcPr>
            <w:tcW w:w="2856" w:type="dxa"/>
            <w:tcMar>
              <w:top w:w="60" w:type="dxa"/>
              <w:left w:w="120" w:type="dxa"/>
              <w:bottom w:w="30" w:type="dxa"/>
              <w:right w:w="120" w:type="dxa"/>
            </w:tcMar>
            <w:vAlign w:val="center"/>
          </w:tcPr>
          <w:p w14:paraId="01C1A063">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福建医科大学附属口腔医院</w:t>
            </w:r>
          </w:p>
        </w:tc>
        <w:tc>
          <w:tcPr>
            <w:tcW w:w="1499" w:type="dxa"/>
            <w:tcMar>
              <w:top w:w="60" w:type="dxa"/>
              <w:left w:w="120" w:type="dxa"/>
              <w:bottom w:w="30" w:type="dxa"/>
              <w:right w:w="120" w:type="dxa"/>
            </w:tcMar>
            <w:vAlign w:val="center"/>
          </w:tcPr>
          <w:p w14:paraId="1E0AAABE">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于皓</w:t>
            </w:r>
          </w:p>
        </w:tc>
        <w:tc>
          <w:tcPr>
            <w:tcW w:w="3507" w:type="dxa"/>
            <w:tcMar>
              <w:top w:w="60" w:type="dxa"/>
              <w:left w:w="120" w:type="dxa"/>
              <w:bottom w:w="30" w:type="dxa"/>
              <w:right w:w="120" w:type="dxa"/>
            </w:tcMar>
            <w:vAlign w:val="center"/>
          </w:tcPr>
          <w:p w14:paraId="23A87EE5">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5A4A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4CAD4F2A">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w:t>
            </w:r>
          </w:p>
        </w:tc>
        <w:tc>
          <w:tcPr>
            <w:tcW w:w="2856" w:type="dxa"/>
            <w:tcMar>
              <w:top w:w="60" w:type="dxa"/>
              <w:left w:w="120" w:type="dxa"/>
              <w:bottom w:w="30" w:type="dxa"/>
              <w:right w:w="120" w:type="dxa"/>
            </w:tcMar>
            <w:vAlign w:val="center"/>
          </w:tcPr>
          <w:p w14:paraId="290010F5">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浙江大学医学院附属口腔医院</w:t>
            </w:r>
          </w:p>
        </w:tc>
        <w:tc>
          <w:tcPr>
            <w:tcW w:w="1499" w:type="dxa"/>
            <w:tcMar>
              <w:top w:w="60" w:type="dxa"/>
              <w:left w:w="120" w:type="dxa"/>
              <w:bottom w:w="30" w:type="dxa"/>
              <w:right w:w="120" w:type="dxa"/>
            </w:tcMar>
            <w:vAlign w:val="center"/>
          </w:tcPr>
          <w:p w14:paraId="4D7BDD9D">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何福明</w:t>
            </w:r>
          </w:p>
        </w:tc>
        <w:tc>
          <w:tcPr>
            <w:tcW w:w="3507" w:type="dxa"/>
            <w:tcMar>
              <w:top w:w="60" w:type="dxa"/>
              <w:left w:w="120" w:type="dxa"/>
              <w:bottom w:w="30" w:type="dxa"/>
              <w:right w:w="120" w:type="dxa"/>
            </w:tcMar>
            <w:vAlign w:val="center"/>
          </w:tcPr>
          <w:p w14:paraId="402AA0D3">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0394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0A794512">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w:t>
            </w:r>
          </w:p>
        </w:tc>
        <w:tc>
          <w:tcPr>
            <w:tcW w:w="2856" w:type="dxa"/>
            <w:shd w:val="clear" w:color="auto" w:fill="auto"/>
            <w:tcMar>
              <w:top w:w="60" w:type="dxa"/>
              <w:left w:w="120" w:type="dxa"/>
              <w:bottom w:w="30" w:type="dxa"/>
              <w:right w:w="120" w:type="dxa"/>
            </w:tcMar>
            <w:vAlign w:val="center"/>
          </w:tcPr>
          <w:p w14:paraId="70151DE3">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lang w:val="en-US" w:eastAsia="zh-CN" w:bidi="ar-SA"/>
              </w:rPr>
            </w:pPr>
            <w:r>
              <w:rPr>
                <w:rFonts w:ascii="Times New Roman" w:hAnsi="Times New Roman" w:eastAsia="宋体" w:cs="Times New Roman"/>
                <w:sz w:val="18"/>
                <w:szCs w:val="18"/>
              </w:rPr>
              <w:t>浙江省医疗器械检验研究院</w:t>
            </w:r>
          </w:p>
        </w:tc>
        <w:tc>
          <w:tcPr>
            <w:tcW w:w="1499" w:type="dxa"/>
            <w:shd w:val="clear" w:color="auto" w:fill="auto"/>
            <w:tcMar>
              <w:top w:w="60" w:type="dxa"/>
              <w:left w:w="120" w:type="dxa"/>
              <w:bottom w:w="30" w:type="dxa"/>
              <w:right w:w="120" w:type="dxa"/>
            </w:tcMar>
            <w:vAlign w:val="center"/>
          </w:tcPr>
          <w:p w14:paraId="5F8F6266">
            <w:pPr>
              <w:pStyle w:val="16"/>
              <w:snapToGrid w:val="0"/>
              <w:spacing w:line="240" w:lineRule="auto"/>
              <w:ind w:left="0" w:leftChars="0" w:right="0" w:rightChars="0" w:firstLine="0" w:firstLineChars="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rPr>
              <w:t>虞崇庆</w:t>
            </w:r>
          </w:p>
        </w:tc>
        <w:tc>
          <w:tcPr>
            <w:tcW w:w="3507" w:type="dxa"/>
            <w:shd w:val="clear" w:color="auto" w:fill="auto"/>
            <w:tcMar>
              <w:top w:w="60" w:type="dxa"/>
              <w:left w:w="120" w:type="dxa"/>
              <w:bottom w:w="30" w:type="dxa"/>
              <w:right w:w="120" w:type="dxa"/>
            </w:tcMar>
            <w:vAlign w:val="center"/>
          </w:tcPr>
          <w:p w14:paraId="25945278">
            <w:pPr>
              <w:pStyle w:val="16"/>
              <w:snapToGrid w:val="0"/>
              <w:spacing w:line="240" w:lineRule="auto"/>
              <w:ind w:left="0" w:leftChars="0" w:right="0" w:rightChars="0" w:firstLine="0" w:firstLineChars="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rPr>
              <w:t>质量检测方法、标准兼容性审核</w:t>
            </w:r>
          </w:p>
        </w:tc>
      </w:tr>
      <w:tr w14:paraId="53FC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3C9FF59B">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w:t>
            </w:r>
          </w:p>
        </w:tc>
        <w:tc>
          <w:tcPr>
            <w:tcW w:w="2856" w:type="dxa"/>
            <w:tcMar>
              <w:top w:w="60" w:type="dxa"/>
              <w:left w:w="120" w:type="dxa"/>
              <w:bottom w:w="30" w:type="dxa"/>
              <w:right w:w="120" w:type="dxa"/>
            </w:tcMar>
            <w:vAlign w:val="center"/>
          </w:tcPr>
          <w:p w14:paraId="1F0B011E">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温州医科大学附属口腔医院</w:t>
            </w:r>
          </w:p>
        </w:tc>
        <w:tc>
          <w:tcPr>
            <w:tcW w:w="1499" w:type="dxa"/>
            <w:tcMar>
              <w:top w:w="60" w:type="dxa"/>
              <w:left w:w="120" w:type="dxa"/>
              <w:bottom w:w="30" w:type="dxa"/>
              <w:right w:w="120" w:type="dxa"/>
            </w:tcMar>
            <w:vAlign w:val="center"/>
          </w:tcPr>
          <w:p w14:paraId="11787CE0">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刘劲松</w:t>
            </w:r>
          </w:p>
        </w:tc>
        <w:tc>
          <w:tcPr>
            <w:tcW w:w="3507" w:type="dxa"/>
            <w:tcMar>
              <w:top w:w="60" w:type="dxa"/>
              <w:left w:w="120" w:type="dxa"/>
              <w:bottom w:w="30" w:type="dxa"/>
              <w:right w:w="120" w:type="dxa"/>
            </w:tcMar>
            <w:vAlign w:val="center"/>
          </w:tcPr>
          <w:p w14:paraId="1F997BFC">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29C1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3BC8C191">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11</w:t>
            </w:r>
          </w:p>
        </w:tc>
        <w:tc>
          <w:tcPr>
            <w:tcW w:w="2856" w:type="dxa"/>
            <w:tcMar>
              <w:top w:w="60" w:type="dxa"/>
              <w:left w:w="120" w:type="dxa"/>
              <w:bottom w:w="30" w:type="dxa"/>
              <w:right w:w="120" w:type="dxa"/>
            </w:tcMar>
            <w:vAlign w:val="center"/>
          </w:tcPr>
          <w:p w14:paraId="12B74B16">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兰州大学口腔医院</w:t>
            </w:r>
          </w:p>
        </w:tc>
        <w:tc>
          <w:tcPr>
            <w:tcW w:w="1499" w:type="dxa"/>
            <w:tcMar>
              <w:top w:w="60" w:type="dxa"/>
              <w:left w:w="120" w:type="dxa"/>
              <w:bottom w:w="30" w:type="dxa"/>
              <w:right w:w="120" w:type="dxa"/>
            </w:tcMar>
            <w:vAlign w:val="center"/>
          </w:tcPr>
          <w:p w14:paraId="5D2E5E9F">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刘斌</w:t>
            </w:r>
          </w:p>
        </w:tc>
        <w:tc>
          <w:tcPr>
            <w:tcW w:w="3507" w:type="dxa"/>
            <w:tcMar>
              <w:top w:w="60" w:type="dxa"/>
              <w:left w:w="120" w:type="dxa"/>
              <w:bottom w:w="30" w:type="dxa"/>
              <w:right w:w="120" w:type="dxa"/>
            </w:tcMar>
            <w:vAlign w:val="center"/>
          </w:tcPr>
          <w:p w14:paraId="21D82CB6">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31B0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02DD0A26">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12</w:t>
            </w:r>
          </w:p>
        </w:tc>
        <w:tc>
          <w:tcPr>
            <w:tcW w:w="2856" w:type="dxa"/>
            <w:tcMar>
              <w:top w:w="60" w:type="dxa"/>
              <w:left w:w="120" w:type="dxa"/>
              <w:bottom w:w="30" w:type="dxa"/>
              <w:right w:w="120" w:type="dxa"/>
            </w:tcMar>
            <w:vAlign w:val="center"/>
          </w:tcPr>
          <w:p w14:paraId="2CAEEA8C">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南方医科大学口腔医院</w:t>
            </w:r>
          </w:p>
        </w:tc>
        <w:tc>
          <w:tcPr>
            <w:tcW w:w="1499" w:type="dxa"/>
            <w:tcMar>
              <w:top w:w="60" w:type="dxa"/>
              <w:left w:w="120" w:type="dxa"/>
              <w:bottom w:w="30" w:type="dxa"/>
              <w:right w:w="120" w:type="dxa"/>
            </w:tcMar>
            <w:vAlign w:val="center"/>
          </w:tcPr>
          <w:p w14:paraId="3C52E536">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ascii="Times New Roman" w:hAnsi="Times New Roman" w:eastAsia="宋体" w:cs="Times New Roman"/>
                <w:sz w:val="18"/>
                <w:szCs w:val="18"/>
              </w:rPr>
              <w:t>邵龙泉</w:t>
            </w:r>
          </w:p>
        </w:tc>
        <w:tc>
          <w:tcPr>
            <w:tcW w:w="3507" w:type="dxa"/>
            <w:tcMar>
              <w:top w:w="60" w:type="dxa"/>
              <w:left w:w="120" w:type="dxa"/>
              <w:bottom w:w="30" w:type="dxa"/>
              <w:right w:w="120" w:type="dxa"/>
            </w:tcMar>
            <w:vAlign w:val="center"/>
          </w:tcPr>
          <w:p w14:paraId="57C8A372">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79C1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tcMar>
              <w:top w:w="60" w:type="dxa"/>
              <w:left w:w="120" w:type="dxa"/>
              <w:bottom w:w="30" w:type="dxa"/>
              <w:right w:w="120" w:type="dxa"/>
            </w:tcMar>
            <w:vAlign w:val="center"/>
          </w:tcPr>
          <w:p w14:paraId="3988FD01">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13</w:t>
            </w:r>
          </w:p>
        </w:tc>
        <w:tc>
          <w:tcPr>
            <w:tcW w:w="2856" w:type="dxa"/>
            <w:tcMar>
              <w:top w:w="60" w:type="dxa"/>
              <w:left w:w="120" w:type="dxa"/>
              <w:bottom w:w="30" w:type="dxa"/>
              <w:right w:w="120" w:type="dxa"/>
            </w:tcMar>
            <w:vAlign w:val="center"/>
          </w:tcPr>
          <w:p w14:paraId="0B476111">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重庆医科大学附属口腔医院</w:t>
            </w:r>
          </w:p>
        </w:tc>
        <w:tc>
          <w:tcPr>
            <w:tcW w:w="1499" w:type="dxa"/>
            <w:tcMar>
              <w:top w:w="60" w:type="dxa"/>
              <w:left w:w="120" w:type="dxa"/>
              <w:bottom w:w="30" w:type="dxa"/>
              <w:right w:w="120" w:type="dxa"/>
            </w:tcMar>
            <w:vAlign w:val="center"/>
          </w:tcPr>
          <w:p w14:paraId="4E4EE267">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付钢</w:t>
            </w:r>
          </w:p>
        </w:tc>
        <w:tc>
          <w:tcPr>
            <w:tcW w:w="3507" w:type="dxa"/>
            <w:tcMar>
              <w:top w:w="60" w:type="dxa"/>
              <w:left w:w="120" w:type="dxa"/>
              <w:bottom w:w="30" w:type="dxa"/>
              <w:right w:w="120" w:type="dxa"/>
            </w:tcMar>
            <w:vAlign w:val="center"/>
          </w:tcPr>
          <w:p w14:paraId="6EA5F309">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3639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shd w:val="clear" w:color="auto" w:fill="auto"/>
            <w:tcMar>
              <w:top w:w="60" w:type="dxa"/>
              <w:left w:w="120" w:type="dxa"/>
              <w:bottom w:w="30" w:type="dxa"/>
              <w:right w:w="120" w:type="dxa"/>
            </w:tcMar>
            <w:vAlign w:val="center"/>
          </w:tcPr>
          <w:p w14:paraId="19DFD087">
            <w:pPr>
              <w:pStyle w:val="16"/>
              <w:snapToGrid w:val="0"/>
              <w:spacing w:line="240" w:lineRule="auto"/>
              <w:ind w:left="0" w:leftChars="0" w:right="0" w:rightChars="0"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rPr>
              <w:t>14</w:t>
            </w:r>
          </w:p>
        </w:tc>
        <w:tc>
          <w:tcPr>
            <w:tcW w:w="2856" w:type="dxa"/>
            <w:tcMar>
              <w:top w:w="60" w:type="dxa"/>
              <w:left w:w="120" w:type="dxa"/>
              <w:bottom w:w="30" w:type="dxa"/>
              <w:right w:w="120" w:type="dxa"/>
            </w:tcMar>
            <w:vAlign w:val="center"/>
          </w:tcPr>
          <w:p w14:paraId="0E26B725">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苏州口腔医院（集团）有限公司</w:t>
            </w:r>
          </w:p>
        </w:tc>
        <w:tc>
          <w:tcPr>
            <w:tcW w:w="1499" w:type="dxa"/>
            <w:tcMar>
              <w:top w:w="60" w:type="dxa"/>
              <w:left w:w="120" w:type="dxa"/>
              <w:bottom w:w="30" w:type="dxa"/>
              <w:right w:w="120" w:type="dxa"/>
            </w:tcMar>
            <w:vAlign w:val="center"/>
          </w:tcPr>
          <w:p w14:paraId="6D81B6C4">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丛龙凤</w:t>
            </w:r>
          </w:p>
        </w:tc>
        <w:tc>
          <w:tcPr>
            <w:tcW w:w="3507" w:type="dxa"/>
            <w:tcMar>
              <w:top w:w="60" w:type="dxa"/>
              <w:left w:w="120" w:type="dxa"/>
              <w:bottom w:w="30" w:type="dxa"/>
              <w:right w:w="120" w:type="dxa"/>
            </w:tcMar>
            <w:vAlign w:val="center"/>
          </w:tcPr>
          <w:p w14:paraId="1C8395AE">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7704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shd w:val="clear" w:color="auto" w:fill="auto"/>
            <w:tcMar>
              <w:top w:w="60" w:type="dxa"/>
              <w:left w:w="120" w:type="dxa"/>
              <w:bottom w:w="30" w:type="dxa"/>
              <w:right w:w="120" w:type="dxa"/>
            </w:tcMar>
            <w:vAlign w:val="center"/>
          </w:tcPr>
          <w:p w14:paraId="35C7D519">
            <w:pPr>
              <w:pStyle w:val="16"/>
              <w:snapToGrid w:val="0"/>
              <w:spacing w:line="240" w:lineRule="auto"/>
              <w:ind w:left="0" w:leftChars="0" w:right="0" w:rightChars="0" w:firstLine="0" w:firstLineChars="0"/>
              <w:jc w:val="center"/>
              <w:rPr>
                <w:rFonts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rPr>
              <w:t>15</w:t>
            </w:r>
          </w:p>
        </w:tc>
        <w:tc>
          <w:tcPr>
            <w:tcW w:w="2856" w:type="dxa"/>
            <w:tcMar>
              <w:top w:w="60" w:type="dxa"/>
              <w:left w:w="120" w:type="dxa"/>
              <w:bottom w:w="30" w:type="dxa"/>
              <w:right w:w="120" w:type="dxa"/>
            </w:tcMar>
            <w:vAlign w:val="center"/>
          </w:tcPr>
          <w:p w14:paraId="1E313C2B">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厦门医学院附属口腔医院</w:t>
            </w:r>
          </w:p>
        </w:tc>
        <w:tc>
          <w:tcPr>
            <w:tcW w:w="1499" w:type="dxa"/>
            <w:tcMar>
              <w:top w:w="60" w:type="dxa"/>
              <w:left w:w="120" w:type="dxa"/>
              <w:bottom w:w="30" w:type="dxa"/>
              <w:right w:w="120" w:type="dxa"/>
            </w:tcMar>
            <w:vAlign w:val="center"/>
          </w:tcPr>
          <w:p w14:paraId="3B6DE229">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尹路</w:t>
            </w:r>
          </w:p>
        </w:tc>
        <w:tc>
          <w:tcPr>
            <w:tcW w:w="3507" w:type="dxa"/>
            <w:tcMar>
              <w:top w:w="60" w:type="dxa"/>
              <w:left w:w="120" w:type="dxa"/>
              <w:bottom w:w="30" w:type="dxa"/>
              <w:right w:w="120" w:type="dxa"/>
            </w:tcMar>
            <w:vAlign w:val="center"/>
          </w:tcPr>
          <w:p w14:paraId="64D70526">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7DAF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shd w:val="clear" w:color="auto" w:fill="auto"/>
            <w:tcMar>
              <w:top w:w="60" w:type="dxa"/>
              <w:left w:w="120" w:type="dxa"/>
              <w:bottom w:w="30" w:type="dxa"/>
              <w:right w:w="120" w:type="dxa"/>
            </w:tcMar>
            <w:vAlign w:val="center"/>
          </w:tcPr>
          <w:p w14:paraId="0D53501F">
            <w:pPr>
              <w:pStyle w:val="16"/>
              <w:snapToGrid w:val="0"/>
              <w:spacing w:line="240" w:lineRule="auto"/>
              <w:ind w:left="0" w:leftChars="0" w:right="0" w:rightChars="0" w:firstLine="0" w:firstLineChars="0"/>
              <w:jc w:val="center"/>
              <w:rPr>
                <w:rFonts w:hint="default"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rPr>
              <w:t>16</w:t>
            </w:r>
          </w:p>
        </w:tc>
        <w:tc>
          <w:tcPr>
            <w:tcW w:w="2856" w:type="dxa"/>
            <w:shd w:val="clear" w:color="auto" w:fill="auto"/>
            <w:tcMar>
              <w:top w:w="60" w:type="dxa"/>
              <w:left w:w="120" w:type="dxa"/>
              <w:bottom w:w="30" w:type="dxa"/>
              <w:right w:w="120" w:type="dxa"/>
            </w:tcMar>
            <w:vAlign w:val="center"/>
          </w:tcPr>
          <w:p w14:paraId="1FDAE3E1">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rPr>
              <w:t>兰州市口腔医院</w:t>
            </w:r>
          </w:p>
        </w:tc>
        <w:tc>
          <w:tcPr>
            <w:tcW w:w="1499" w:type="dxa"/>
            <w:shd w:val="clear" w:color="auto" w:fill="auto"/>
            <w:tcMar>
              <w:top w:w="60" w:type="dxa"/>
              <w:left w:w="120" w:type="dxa"/>
              <w:bottom w:w="30" w:type="dxa"/>
              <w:right w:w="120" w:type="dxa"/>
            </w:tcMar>
            <w:vAlign w:val="center"/>
          </w:tcPr>
          <w:p w14:paraId="5BED115B">
            <w:pPr>
              <w:pStyle w:val="16"/>
              <w:snapToGrid w:val="0"/>
              <w:spacing w:line="240" w:lineRule="auto"/>
              <w:ind w:left="0" w:leftChars="0" w:right="0" w:rightChars="0" w:firstLine="0" w:firstLineChars="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rPr>
              <w:t>张昀</w:t>
            </w:r>
          </w:p>
        </w:tc>
        <w:tc>
          <w:tcPr>
            <w:tcW w:w="3507" w:type="dxa"/>
            <w:shd w:val="clear" w:color="auto" w:fill="auto"/>
            <w:tcMar>
              <w:top w:w="60" w:type="dxa"/>
              <w:left w:w="120" w:type="dxa"/>
              <w:bottom w:w="30" w:type="dxa"/>
              <w:right w:w="120" w:type="dxa"/>
            </w:tcMar>
            <w:vAlign w:val="center"/>
          </w:tcPr>
          <w:p w14:paraId="1D78BC35">
            <w:pPr>
              <w:pStyle w:val="16"/>
              <w:snapToGrid w:val="0"/>
              <w:spacing w:line="240" w:lineRule="auto"/>
              <w:ind w:left="0" w:leftChars="0" w:right="0" w:rightChars="0" w:firstLine="0" w:firstLineChars="0"/>
              <w:jc w:val="center"/>
              <w:rPr>
                <w:rFonts w:ascii="Times New Roman" w:hAnsi="Times New Roman" w:eastAsia="宋体" w:cs="Times New Roman"/>
                <w:sz w:val="18"/>
                <w:szCs w:val="18"/>
                <w:lang w:val="en-US" w:eastAsia="zh-CN" w:bidi="ar-SA"/>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6129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6" w:hRule="atLeast"/>
        </w:trPr>
        <w:tc>
          <w:tcPr>
            <w:tcW w:w="661" w:type="dxa"/>
            <w:shd w:val="clear" w:color="auto" w:fill="auto"/>
            <w:tcMar>
              <w:top w:w="60" w:type="dxa"/>
              <w:left w:w="120" w:type="dxa"/>
              <w:bottom w:w="30" w:type="dxa"/>
              <w:right w:w="120" w:type="dxa"/>
            </w:tcMar>
            <w:vAlign w:val="center"/>
          </w:tcPr>
          <w:p w14:paraId="7441B3D6">
            <w:pPr>
              <w:pStyle w:val="16"/>
              <w:snapToGrid w:val="0"/>
              <w:spacing w:line="240" w:lineRule="auto"/>
              <w:ind w:left="0" w:leftChars="0" w:right="0" w:rightChars="0"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17</w:t>
            </w:r>
          </w:p>
        </w:tc>
        <w:tc>
          <w:tcPr>
            <w:tcW w:w="2856" w:type="dxa"/>
            <w:shd w:val="clear" w:color="auto" w:fill="auto"/>
            <w:tcMar>
              <w:top w:w="60" w:type="dxa"/>
              <w:left w:w="120" w:type="dxa"/>
              <w:bottom w:w="30" w:type="dxa"/>
              <w:right w:w="120" w:type="dxa"/>
            </w:tcMar>
            <w:vAlign w:val="center"/>
          </w:tcPr>
          <w:p w14:paraId="0F8BC822">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中国医科大学航空总医院</w:t>
            </w:r>
          </w:p>
        </w:tc>
        <w:tc>
          <w:tcPr>
            <w:tcW w:w="1499" w:type="dxa"/>
            <w:shd w:val="clear" w:color="auto" w:fill="auto"/>
            <w:tcMar>
              <w:top w:w="60" w:type="dxa"/>
              <w:left w:w="120" w:type="dxa"/>
              <w:bottom w:w="30" w:type="dxa"/>
              <w:right w:w="120" w:type="dxa"/>
            </w:tcMar>
            <w:vAlign w:val="center"/>
          </w:tcPr>
          <w:p w14:paraId="53B8848E">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张保荣</w:t>
            </w:r>
          </w:p>
          <w:p w14:paraId="78D13215">
            <w:pPr>
              <w:pStyle w:val="16"/>
              <w:snapToGrid w:val="0"/>
              <w:spacing w:line="240" w:lineRule="auto"/>
              <w:ind w:left="0" w:leftChars="0" w:right="0" w:rightChars="0" w:firstLine="0" w:firstLineChars="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赵强</w:t>
            </w:r>
          </w:p>
        </w:tc>
        <w:tc>
          <w:tcPr>
            <w:tcW w:w="3507" w:type="dxa"/>
            <w:shd w:val="clear" w:color="auto" w:fill="auto"/>
            <w:tcMar>
              <w:top w:w="60" w:type="dxa"/>
              <w:left w:w="120" w:type="dxa"/>
              <w:bottom w:w="30" w:type="dxa"/>
              <w:right w:w="120" w:type="dxa"/>
            </w:tcMar>
            <w:vAlign w:val="center"/>
          </w:tcPr>
          <w:p w14:paraId="4FA4FA45">
            <w:pPr>
              <w:pStyle w:val="16"/>
              <w:snapToGrid w:val="0"/>
              <w:spacing w:line="240" w:lineRule="auto"/>
              <w:ind w:left="0" w:leftChars="0" w:right="0" w:rightChars="0"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临床数据验证、</w:t>
            </w:r>
            <w:r>
              <w:rPr>
                <w:rFonts w:hint="eastAsia" w:ascii="Times New Roman" w:hAnsi="Times New Roman" w:eastAsia="宋体" w:cs="Times New Roman"/>
                <w:sz w:val="18"/>
                <w:szCs w:val="18"/>
              </w:rPr>
              <w:t>资料查询、标准修改</w:t>
            </w:r>
          </w:p>
        </w:tc>
      </w:tr>
      <w:tr w14:paraId="50B9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661" w:type="dxa"/>
            <w:shd w:val="clear" w:color="auto" w:fill="auto"/>
            <w:tcMar>
              <w:top w:w="60" w:type="dxa"/>
              <w:left w:w="120" w:type="dxa"/>
              <w:bottom w:w="30" w:type="dxa"/>
              <w:right w:w="120" w:type="dxa"/>
            </w:tcMar>
            <w:vAlign w:val="center"/>
          </w:tcPr>
          <w:p w14:paraId="2A7B078D">
            <w:pPr>
              <w:pStyle w:val="16"/>
              <w:snapToGrid w:val="0"/>
              <w:spacing w:line="240" w:lineRule="auto"/>
              <w:ind w:left="0" w:leftChars="0" w:right="0" w:rightChars="0" w:firstLine="0" w:firstLineChars="0"/>
              <w:jc w:val="center"/>
              <w:rPr>
                <w:rFonts w:hint="default"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rPr>
              <w:t>18</w:t>
            </w:r>
          </w:p>
        </w:tc>
        <w:tc>
          <w:tcPr>
            <w:tcW w:w="2856" w:type="dxa"/>
            <w:shd w:val="clear" w:color="auto" w:fill="auto"/>
            <w:tcMar>
              <w:top w:w="60" w:type="dxa"/>
              <w:left w:w="120" w:type="dxa"/>
              <w:bottom w:w="30" w:type="dxa"/>
              <w:right w:w="120" w:type="dxa"/>
            </w:tcMar>
            <w:vAlign w:val="center"/>
          </w:tcPr>
          <w:p w14:paraId="4445BE7A">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rPr>
              <w:t>成都口口齿科技术有限公司</w:t>
            </w:r>
          </w:p>
        </w:tc>
        <w:tc>
          <w:tcPr>
            <w:tcW w:w="1499" w:type="dxa"/>
            <w:shd w:val="clear" w:color="auto" w:fill="auto"/>
            <w:tcMar>
              <w:top w:w="60" w:type="dxa"/>
              <w:left w:w="120" w:type="dxa"/>
              <w:bottom w:w="30" w:type="dxa"/>
              <w:right w:w="120" w:type="dxa"/>
            </w:tcMar>
            <w:vAlign w:val="center"/>
          </w:tcPr>
          <w:p w14:paraId="5F8D3A07">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lang w:val="en-US" w:eastAsia="zh-CN"/>
              </w:rPr>
              <w:t>何大庆</w:t>
            </w:r>
          </w:p>
        </w:tc>
        <w:tc>
          <w:tcPr>
            <w:tcW w:w="3507" w:type="dxa"/>
            <w:shd w:val="clear" w:color="auto" w:fill="auto"/>
            <w:tcMar>
              <w:top w:w="60" w:type="dxa"/>
              <w:left w:w="120" w:type="dxa"/>
              <w:bottom w:w="30" w:type="dxa"/>
              <w:right w:w="120" w:type="dxa"/>
            </w:tcMar>
            <w:vAlign w:val="center"/>
          </w:tcPr>
          <w:p w14:paraId="4EFB60C8">
            <w:pPr>
              <w:pStyle w:val="16"/>
              <w:snapToGrid w:val="0"/>
              <w:spacing w:line="240" w:lineRule="auto"/>
              <w:ind w:left="0" w:leftChars="0" w:right="0" w:rightChars="0" w:firstLine="0" w:firstLineChars="0"/>
              <w:jc w:val="center"/>
              <w:rPr>
                <w:rFonts w:hint="eastAsia" w:ascii="Times New Roman" w:hAnsi="Times New Roman" w:eastAsia="宋体" w:cs="Times New Roman"/>
                <w:sz w:val="18"/>
                <w:szCs w:val="18"/>
                <w:lang w:val="en-US" w:eastAsia="zh-CN" w:bidi="ar-SA"/>
              </w:rPr>
            </w:pPr>
            <w:r>
              <w:rPr>
                <w:rFonts w:hint="eastAsia" w:ascii="Times New Roman" w:hAnsi="Times New Roman" w:eastAsia="宋体" w:cs="Times New Roman"/>
                <w:sz w:val="18"/>
                <w:szCs w:val="18"/>
              </w:rPr>
              <w:t>资料查询、标准修改</w:t>
            </w:r>
          </w:p>
        </w:tc>
      </w:tr>
    </w:tbl>
    <w:p w14:paraId="1ECC520F">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2" w:firstLineChars="200"/>
        <w:jc w:val="left"/>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2. 立项背景与意义</w:t>
      </w:r>
    </w:p>
    <w:p w14:paraId="681274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种植桥架用于恢复缺失牙齿的形态和功能，其跨度可从两颗牙到十四颗牙不等，目前常用的材质为钛金属材料，美观性差。氧化锆兼具优异美学性能、生物相容性和机械强度，是金属材料的替代方案。种植桥架的多尺度特征和空间结构复杂性凸显，兼具数微米级的咬合接触面、几十微米级的精细接口以及毫米级的承力主体；其多维表面沟窝和异形内部通孔特征对制造工艺提出了很高的要求。</w:t>
      </w:r>
    </w:p>
    <w:p w14:paraId="06F4EE8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当前氧化锆的主流制造技术——数控切削（computer numerical control milling，CNC）因“构型补偿”常常导致其整体精度欠佳且内部适合性的误差较大，会影响在口内服役的长期稳定性。增材制造（additive manufacturing，AM）技术，无需“构型补偿”，能够轻松胜任复杂几何形状和微小结构的高精成型，而且浪费材料更少，一次可以成型多个种植桥架。为了保证AM定制式氧化锆陶瓷桥架的质量，规范从数据采集、设计到制造全流程至关重要。</w:t>
      </w:r>
    </w:p>
    <w:p w14:paraId="0D1F601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sz w:val="28"/>
          <w:szCs w:val="28"/>
          <w:lang w:val="en-US" w:eastAsia="zh-CN"/>
        </w:rPr>
      </w:pPr>
      <w:r>
        <w:rPr>
          <w:rFonts w:hint="eastAsia" w:ascii="Times New Roman" w:hAnsi="Times New Roman" w:eastAsia="宋体"/>
          <w:sz w:val="24"/>
          <w:szCs w:val="24"/>
          <w:lang w:val="en-US" w:eastAsia="zh-CN"/>
        </w:rPr>
        <w:t>本标准的制定旨在建立一套科学、统一的技术规范，指导义齿加工企业以及相关从业人员，推动AM定制式氧化锆陶瓷桥架的规范化设计制造。</w:t>
      </w:r>
    </w:p>
    <w:p w14:paraId="30BC99C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3. 主要工作过程</w:t>
      </w:r>
    </w:p>
    <w:p w14:paraId="6B114D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起草阶段：2025年3月24日，中国产学研合作促进会下发“关于征集2025年团体标准制定项目的通知”（产学研函字[2025]第5号），四川大学华西口腔医院积极响应，面向增材制造新质生产力持续发展并突破的时代背景下口腔常见病与多发病——大范围牙列缺损及牙列缺失患者对兼具美观与强韧性能的氧化锆桥架的迫切需求，以“增材制造定制氧化锆陶瓷桥架的设计与临床使用规范”提出标准立项申请。并同时成立以四川大学华西口腔医院为牵头单位、联合其他17家包括国家高新技术企业、高校、检验院和医院等机构的标准起草组（以下简称为“起草组”），各单位代表参加了第一次全体会议，讨论了标准的内容与分工。</w:t>
      </w:r>
    </w:p>
    <w:p w14:paraId="658279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4月9月，起草组系统调研了定制式氧化锆陶瓷桥架的发展与应用现状，通过收集权威期刊文献、检索国内外义齿加工企业官网等方式，发现其已在国内外有较多应用，但是均采用了减材制造的加工方式。减材制造成型自由度相对较低，受车针直径和运动路径影响，设计及加工阶段会引入“构型补偿”，容易导致桥架转角，尤其是在接口区处产生“过切区”、在连接体处形成“欠切区”，另外加工时的切削颤振会导致“崩边”、“裂纹”等加工缺陷。而上述加工缺陷可以通过增材制造来解决。起草组进一步检索了增材制造定制式氧化锆陶瓷桥架的应用及发展现状，发现目前国内外尚无相关的应用报道，这更突显了本标准制定的前瞻性与必要性。基于临床端对增材制造定制式氧化锆陶瓷桥架的功能需求，起草组重点分析了GB 30367、GB 15982等5项国家标准、T/CAMDI 108-2023、T/CHSA 050-2023、T/CHSA 024-2023、T/CAMDI 088-2022、T/CAMDI 094-2022与无牙颌修复、增材制造氧化锆医疗器械等相关的5项团体标准。针对GB 30367中对桥架机械性能等核心指标的测试方法，起草组中部分单位（四川大学华西口腔医院、江南大学、杭州泰利斯医疗科技有限公司、浙江大学医学院附属口腔医院、浙江省医疗器械检验研究院）针对增材制造氧化锆开展了三点弯曲强度和断裂韧性测试，累积获得有效数据50组，为该方法的确立进一步提供了实证基础。另外牵头单位四川大学华西口腔医院参考T/CAMDI 108-2023，建立了含4个种植体及复合基台的标准试验模型，基于一体式全解剖形态桥架，开展了精度分析，验证了“最佳拟合法”评价精度的有效性。</w:t>
      </w:r>
    </w:p>
    <w:p w14:paraId="6C742EF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9月26日，中国产学研合作促进会在四川大学华西口腔医院华西厅组织召开了对《增材制造定制氧化锆陶瓷桥架的设计与临床使用规范》团体标准的立项评审会议。由强毅、龚忠诚、房宏志、包幸福和张珂组成的专家组听取了牵头单位的汇报，并进行了质询和讨论，形成的意见如下：</w:t>
      </w:r>
    </w:p>
    <w:p w14:paraId="68DBB1B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（1）该标准立项材料齐全，符合立项要求；</w:t>
      </w:r>
    </w:p>
    <w:p w14:paraId="119D978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（2）该标准立项草案规定了增材制造技术定制氧化锆陶瓷种植桥架在操作流程、技术要求、操作追溯、试验方法等内容，在使用增材制造技术，定制氧化锆陶瓷种植桥架的临床使用方面具有实用性；</w:t>
      </w:r>
    </w:p>
    <w:p w14:paraId="63592FF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（3）专家组专家建议标准名称由《增材制造定制氧化锆陶瓷桥架的设计与临床使用规范》变更为《增材制造 定制式氧化锆陶瓷桥架》和《增材制造 定制式氧化锆陶瓷桥架 临床操作规程》；</w:t>
      </w:r>
    </w:p>
    <w:p w14:paraId="3886978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（4）专家组专家建议起草组：遵守相关法律法规和强制性标准要求；落实国家产业规划；组织相关方参与标准制定；广泛征求意见；按照GB/T 1.1、GB/T 20001.10和GB/T 20001.6规范起草（包括标准草案稿、征求意见稿、送审稿、报批稿；标准编制说明、标准征求意见汇总处理表等）；</w:t>
      </w:r>
    </w:p>
    <w:p w14:paraId="04152BF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（5）专家组专家对标准草案分别提出了更具体的修改意见：</w:t>
      </w:r>
    </w:p>
    <w:p w14:paraId="2BF2FE1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强毅专家提出：①明确是“设计规范”还是“使用规范”；②建议分为产品标准（参考20001.10）和临床操作规程（参考20001.6）两个进行撰写；③标题里添加操作流程，给流程图，每一步要达到什么要求才能到第二步，以及测试这些要求的方法；④两个标准要注意衔接，分别都应该有评价指标。</w:t>
      </w:r>
    </w:p>
    <w:p w14:paraId="0A80856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龚忠诚专家提出：①在临床效果评估部分从PPT添加到word里；②拆除的流程和应用后的回收应补充；</w:t>
      </w:r>
    </w:p>
    <w:p w14:paraId="7E57298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房宏志专家提出：①氧化锆陶瓷本身有无标准，写上标准后可能限制该团标的推广应用；②正文6.3的轻微间隙有无详细标准，建议写明参照标准；③增加配图。</w:t>
      </w:r>
    </w:p>
    <w:p w14:paraId="2C2B893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包幸福专家提出：①设计里面进一步细化流程；②补充一些图。</w:t>
      </w:r>
    </w:p>
    <w:p w14:paraId="3FADB11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张珂专家提出：①word内的内容不完整，PPT上内容需要进一步补充进word；②语言的规范用语，比如AM的制造。</w:t>
      </w:r>
    </w:p>
    <w:p w14:paraId="4324BBB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专家组认为该标准立项具有必要性和可行性，同意通过该团体标准的立项。</w:t>
      </w:r>
    </w:p>
    <w:p w14:paraId="1A83FA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评审会结束后，起草组立即召开线上会，按照专家组评审意见，明确将原立项标准“增材制造定制氧化锆陶瓷桥架的设计与临床使用规范”拆分为产品标准《增材制造 定制式氧化锆陶瓷桥架》与操作规程《增材制造 定制式氧化锆陶瓷桥架 临床操作规程》。</w:t>
      </w:r>
    </w:p>
    <w:p w14:paraId="7D74D80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2025年10月至12月，起草组根据专家组意见逐条修改了标准内容，使产品标准《增材制造 定制式氧化锆陶瓷桥架》符合 GB/T 20001.10的要求。由起草单位之一的杭州泰利斯医疗科技有限公司，根据标准规定的设计和制作流程，开展了小批量的生产测试，第一批次生产12个一体式全解剖形态桥架；由牵头单位四川大学华西口腔医院于海洋教授团队开展了对外观和精度的分析，验证了标准方法的有效性。期间起草组先后开展了3次线上和线下讨论，重点围绕增材制造氧化锆陶瓷桥架的设计制作流程及要求进行了深入讨论。经充分考虑技术可行性、产业水平和安全要求，最终就技术条款达成一致。于2025年12月形成《增材制造 定制式氧化锆陶瓷桥架（征求意见稿）》。</w:t>
      </w:r>
    </w:p>
    <w:p w14:paraId="1DD23F8D">
      <w:pPr>
        <w:autoSpaceDE w:val="0"/>
        <w:autoSpaceDN w:val="0"/>
        <w:adjustRightInd w:val="0"/>
        <w:spacing w:line="360" w:lineRule="auto"/>
        <w:ind w:firstLine="480" w:firstLineChars="200"/>
        <w:jc w:val="both"/>
        <w:rPr>
          <w:rFonts w:hint="eastAsia" w:eastAsia="宋体"/>
          <w:kern w:val="2"/>
          <w:sz w:val="24"/>
          <w:szCs w:val="24"/>
          <w:lang w:val="en-US" w:eastAsia="zh-CN"/>
        </w:rPr>
      </w:pPr>
      <w:r>
        <w:rPr>
          <w:rFonts w:hint="eastAsia" w:eastAsia="宋体"/>
          <w:kern w:val="2"/>
          <w:sz w:val="24"/>
          <w:szCs w:val="24"/>
          <w:lang w:val="en-US" w:eastAsia="zh-CN"/>
        </w:rPr>
        <w:t>征求意见阶段：</w:t>
      </w:r>
    </w:p>
    <w:p w14:paraId="6D85BA88">
      <w:pPr>
        <w:autoSpaceDE w:val="0"/>
        <w:autoSpaceDN w:val="0"/>
        <w:adjustRightInd w:val="0"/>
        <w:spacing w:line="360" w:lineRule="auto"/>
        <w:ind w:firstLine="480" w:firstLineChars="200"/>
        <w:jc w:val="both"/>
        <w:rPr>
          <w:rFonts w:hint="eastAsia" w:eastAsia="宋体"/>
          <w:kern w:val="2"/>
          <w:sz w:val="24"/>
          <w:szCs w:val="24"/>
          <w:lang w:val="en-US" w:eastAsia="zh-CN"/>
        </w:rPr>
      </w:pPr>
      <w:r>
        <w:rPr>
          <w:rFonts w:hint="eastAsia" w:eastAsia="宋体"/>
          <w:kern w:val="2"/>
          <w:sz w:val="24"/>
          <w:szCs w:val="24"/>
          <w:lang w:val="en-US" w:eastAsia="zh-CN"/>
        </w:rPr>
        <w:t>审查阶段：</w:t>
      </w:r>
    </w:p>
    <w:p w14:paraId="13E7B4F3">
      <w:pPr>
        <w:autoSpaceDE w:val="0"/>
        <w:autoSpaceDN w:val="0"/>
        <w:adjustRightInd w:val="0"/>
        <w:spacing w:line="360" w:lineRule="auto"/>
        <w:ind w:firstLine="480" w:firstLineChars="200"/>
        <w:jc w:val="both"/>
        <w:rPr>
          <w:rFonts w:hint="default" w:ascii="Times New Roman" w:hAnsi="Times New Roman" w:eastAsia="宋体"/>
          <w:sz w:val="24"/>
          <w:szCs w:val="24"/>
          <w:lang w:val="en-US" w:eastAsia="zh-CN"/>
        </w:rPr>
      </w:pPr>
      <w:r>
        <w:rPr>
          <w:rFonts w:hint="eastAsia" w:eastAsia="宋体"/>
          <w:kern w:val="2"/>
          <w:sz w:val="24"/>
          <w:szCs w:val="24"/>
          <w:lang w:val="en-US" w:eastAsia="zh-CN"/>
        </w:rPr>
        <w:t>报批阶段：</w:t>
      </w:r>
    </w:p>
    <w:p w14:paraId="1B60CD09">
      <w:pPr>
        <w:autoSpaceDE w:val="0"/>
        <w:autoSpaceDN w:val="0"/>
        <w:adjustRightInd w:val="0"/>
        <w:jc w:val="left"/>
        <w:rPr>
          <w:rFonts w:hint="default" w:ascii="Times New Roman" w:hAnsi="Times New Roman" w:eastAsia="宋体"/>
          <w:b/>
          <w:bCs/>
          <w:sz w:val="28"/>
          <w:szCs w:val="28"/>
          <w:lang w:val="en-US" w:eastAsia="zh-CN"/>
        </w:rPr>
      </w:pPr>
      <w:r>
        <w:rPr>
          <w:rFonts w:ascii="Times New Roman" w:hAnsi="Times New Roman" w:eastAsia="宋体"/>
          <w:b/>
          <w:bCs/>
          <w:sz w:val="28"/>
          <w:szCs w:val="28"/>
        </w:rPr>
        <w:t>二、</w:t>
      </w:r>
      <w:r>
        <w:rPr>
          <w:rFonts w:hint="eastAsia" w:ascii="Times New Roman" w:hAnsi="Times New Roman" w:eastAsia="宋体"/>
          <w:b/>
          <w:bCs/>
          <w:sz w:val="28"/>
          <w:szCs w:val="28"/>
          <w:lang w:val="en-US" w:eastAsia="zh-CN"/>
        </w:rPr>
        <w:t>标准编制原则、标准主要内容及论据、解决的主要问题</w:t>
      </w:r>
    </w:p>
    <w:p w14:paraId="3894FE0B">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1. 标准编制原则</w:t>
      </w:r>
    </w:p>
    <w:p w14:paraId="43FF10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本标准编写过程中严格遵循GB/T1.1-2020《标准化工作导则第1部分：标准化文件的结构和起草规则》和GB/T 20001.10 《标准编写规则 第10部分：产品标准》，确保标准的结构、格式、术语表述统一规范，符合行业标准化文件编写惯例。</w:t>
      </w:r>
    </w:p>
    <w:p w14:paraId="7F859101">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2. 标准主要内容及要求指标论据</w:t>
      </w:r>
    </w:p>
    <w:p w14:paraId="51DC1D7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2.1 标准主要内容</w:t>
      </w:r>
    </w:p>
    <w:p w14:paraId="1A9996C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（1）术语和定义：明确了增材制造、氧化锆陶瓷桥架和精度3项关键术语，为技术的规范应用提供统一的概念基础。</w:t>
      </w:r>
    </w:p>
    <w:p w14:paraId="4C3A532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（2）分类与结构：明确桥架类型与主要结构，有利于为桥架数字化设计流程和精度指标提供规范化描述。</w:t>
      </w:r>
    </w:p>
    <w:p w14:paraId="7D6DF04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（3）数据采集与设计制作：明确桥架通用的数字化设计与制作流程。</w:t>
      </w:r>
    </w:p>
    <w:p w14:paraId="661EA7B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4）要求及试验方法：从外观、表面粗糙度、精度、机械性能、化学溶解性、放射性和微生物限度这7个方面规定了桥架应满足的基本要求，以保障其在临床应用的安全性；并且针对每个指标列出了试验方法，有利于检测机构开展相应测试。</w:t>
      </w:r>
    </w:p>
    <w:p w14:paraId="6F944A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（5）标识、包装、运输、贮存：明确具体要求。</w:t>
      </w:r>
    </w:p>
    <w:p w14:paraId="2884BA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（6）产品说明书：明确产品说明书至少应提供的信息。</w:t>
      </w:r>
    </w:p>
    <w:p w14:paraId="5DEBE05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2.2 标准要求指标的论据</w:t>
      </w:r>
    </w:p>
    <w:p w14:paraId="324E477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（1）外观评价依据来源于起草组内所有在口腔种植和修复专业领域拥有丰富经验的医生团队，同时参考了《T/CAMDI 094-2022 增材制造氧化锆牙种植体》标准中的评价指标，该参考标准中的医疗器械与本标准不同，但是均属于口腔种植修复的部件，并且都采用增材制造氧化锆完成制造，制造工艺具有相通性；</w:t>
      </w:r>
    </w:p>
    <w:p w14:paraId="1216A4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（2）组织面表面粗糙度和精度指标及评价方法沿用了《T/CAMDI 108-2023 增材制造 口腔修复体纯钛支（桥）架》中的相关规定，尽管参考标准所用材料与本标准不同，各自能达到的表面粗糙度极小值有差异，但用在桥架组织面时，所能实现的表面粗糙度应统一；</w:t>
      </w:r>
    </w:p>
    <w:p w14:paraId="472338A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（3）机械性能（挠曲强度与断裂韧性）、化学溶解性以及放射性指标沿用了《GB 30367-2013 牙科学 陶瓷材料》中的相关规定，本团体标准的相关指标应能满足国家标准的强制性规定；</w:t>
      </w:r>
    </w:p>
    <w:p w14:paraId="57B2CAA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（4）微生物限度指标评价方法沿用了《GB 15982 医院消毒卫生标准》中的相关规定，本团体标准的相关指标应能满足国家标准的强制性规定；另外，这一指标也出现在《T/CAMDI 牙科学 增材制造（光固化）氧化锆陶瓷材料要求》中。</w:t>
      </w:r>
    </w:p>
    <w:p w14:paraId="230FF8F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3. 解决的主要问题</w:t>
      </w:r>
    </w:p>
    <w:p w14:paraId="169187D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（1）解决桥架分类不清、结构说法不统一的问题；</w:t>
      </w:r>
    </w:p>
    <w:p w14:paraId="3CD853A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（2）提供可参考的设计与制造流程；</w:t>
      </w:r>
    </w:p>
    <w:p w14:paraId="64750D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（3）填补定制式氧化锆陶瓷桥架产品要求的空白。</w:t>
      </w:r>
    </w:p>
    <w:p w14:paraId="33BBDAE4">
      <w:pPr>
        <w:autoSpaceDE w:val="0"/>
        <w:autoSpaceDN w:val="0"/>
        <w:adjustRightInd w:val="0"/>
        <w:jc w:val="left"/>
        <w:rPr>
          <w:rFonts w:ascii="Times New Roman" w:hAnsi="Times New Roman" w:eastAsia="宋体"/>
          <w:b/>
          <w:bCs/>
          <w:sz w:val="28"/>
          <w:szCs w:val="28"/>
        </w:rPr>
      </w:pPr>
      <w:r>
        <w:rPr>
          <w:rFonts w:ascii="Times New Roman" w:hAnsi="Times New Roman" w:eastAsia="宋体"/>
          <w:b/>
          <w:bCs/>
          <w:sz w:val="28"/>
          <w:szCs w:val="28"/>
        </w:rPr>
        <w:t>三、主要试验（验证）的分析</w:t>
      </w:r>
      <w:r>
        <w:rPr>
          <w:rFonts w:hint="eastAsia" w:ascii="Times New Roman" w:hAnsi="Times New Roman" w:eastAsia="宋体"/>
          <w:b/>
          <w:bCs/>
          <w:sz w:val="28"/>
          <w:szCs w:val="28"/>
          <w:lang w:eastAsia="zh-CN"/>
        </w:rPr>
        <w:t>、</w:t>
      </w:r>
      <w:r>
        <w:rPr>
          <w:rFonts w:ascii="Times New Roman" w:hAnsi="Times New Roman" w:eastAsia="宋体"/>
          <w:b/>
          <w:bCs/>
          <w:sz w:val="28"/>
          <w:szCs w:val="28"/>
        </w:rPr>
        <w:t>技术经济论证</w:t>
      </w:r>
      <w:r>
        <w:rPr>
          <w:rFonts w:hint="eastAsia" w:ascii="Times New Roman" w:hAnsi="Times New Roman" w:eastAsia="宋体"/>
          <w:b/>
          <w:bCs/>
          <w:sz w:val="28"/>
          <w:szCs w:val="28"/>
          <w:lang w:eastAsia="zh-CN"/>
        </w:rPr>
        <w:t>、</w:t>
      </w:r>
      <w:r>
        <w:rPr>
          <w:rFonts w:ascii="Times New Roman" w:hAnsi="Times New Roman" w:eastAsia="宋体"/>
          <w:b/>
          <w:bCs/>
          <w:sz w:val="28"/>
          <w:szCs w:val="28"/>
        </w:rPr>
        <w:t>预期的经济效果</w:t>
      </w:r>
    </w:p>
    <w:p w14:paraId="53CE134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1. 主要试验分析与报告</w:t>
      </w:r>
    </w:p>
    <w:p w14:paraId="1CC121D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（1）精度分析与报告：根据T/CAMDI 108-2023，准备了含有4个种植体及符合基台的标准模型（图1），在此基础上扫描获得种植体位置并依据标准规定的设计流程完成一体式全解剖形态桥架的设计，输出数字模型（图2），采用增材制造技术完成桥架制作。使用桌面扫描仪（DS-EX-Pro，先临三维）或口内扫描仪（Aoralscan 3，先临三维）获取实体桥架的数字模型（图3）。将两数字模型导入逆向工程软件Geomagic Wrap中，采用最佳拟合对齐后，计算两数字模型之间的三维偏差（图4）。</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F1B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725453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sz w:val="24"/>
                <w:szCs w:val="24"/>
                <w:vertAlign w:val="baseline"/>
                <w:lang w:val="en-US" w:eastAsia="zh-CN"/>
              </w:rPr>
            </w:pPr>
            <w:r>
              <w:rPr>
                <w:rFonts w:hint="default" w:ascii="Times New Roman" w:hAnsi="Times New Roman" w:eastAsia="宋体"/>
                <w:sz w:val="24"/>
                <w:szCs w:val="24"/>
                <w:vertAlign w:val="baseline"/>
                <w:lang w:val="en-US" w:eastAsia="zh-CN"/>
              </w:rPr>
              <w:drawing>
                <wp:inline distT="0" distB="0" distL="114300" distR="114300">
                  <wp:extent cx="2563495" cy="1708785"/>
                  <wp:effectExtent l="0" t="0" r="8255" b="5715"/>
                  <wp:docPr id="1" name="图片 1" descr="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5"/>
                          <pic:cNvPicPr>
                            <a:picLocks noChangeAspect="1"/>
                          </pic:cNvPicPr>
                        </pic:nvPicPr>
                        <pic:blipFill>
                          <a:blip r:embed="rId5"/>
                          <a:stretch>
                            <a:fillRect/>
                          </a:stretch>
                        </pic:blipFill>
                        <pic:spPr>
                          <a:xfrm>
                            <a:off x="0" y="0"/>
                            <a:ext cx="2563495" cy="1708785"/>
                          </a:xfrm>
                          <a:prstGeom prst="rect">
                            <a:avLst/>
                          </a:prstGeom>
                        </pic:spPr>
                      </pic:pic>
                    </a:graphicData>
                  </a:graphic>
                </wp:inline>
              </w:drawing>
            </w:r>
          </w:p>
        </w:tc>
        <w:tc>
          <w:tcPr>
            <w:tcW w:w="4261" w:type="dxa"/>
          </w:tcPr>
          <w:p w14:paraId="610E2D6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eastAsia="宋体"/>
                <w:sz w:val="24"/>
                <w:szCs w:val="24"/>
                <w:vertAlign w:val="baseline"/>
                <w:lang w:val="en-US" w:eastAsia="zh-CN"/>
              </w:rPr>
            </w:pPr>
            <w:r>
              <w:rPr>
                <w:rFonts w:hint="default" w:ascii="Times New Roman" w:hAnsi="Times New Roman" w:eastAsia="宋体"/>
                <w:sz w:val="24"/>
                <w:szCs w:val="24"/>
                <w:vertAlign w:val="baseline"/>
                <w:lang w:val="en-US" w:eastAsia="zh-CN"/>
              </w:rPr>
              <w:drawing>
                <wp:inline distT="0" distB="0" distL="114300" distR="114300">
                  <wp:extent cx="2557780" cy="1760855"/>
                  <wp:effectExtent l="0" t="0" r="13970" b="10795"/>
                  <wp:docPr id="2" name="图片 2"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6"/>
                          <pic:cNvPicPr>
                            <a:picLocks noChangeAspect="1"/>
                          </pic:cNvPicPr>
                        </pic:nvPicPr>
                        <pic:blipFill>
                          <a:blip r:embed="rId6"/>
                          <a:stretch>
                            <a:fillRect/>
                          </a:stretch>
                        </pic:blipFill>
                        <pic:spPr>
                          <a:xfrm>
                            <a:off x="0" y="0"/>
                            <a:ext cx="2557780" cy="1760855"/>
                          </a:xfrm>
                          <a:prstGeom prst="rect">
                            <a:avLst/>
                          </a:prstGeom>
                        </pic:spPr>
                      </pic:pic>
                    </a:graphicData>
                  </a:graphic>
                </wp:inline>
              </w:drawing>
            </w:r>
          </w:p>
        </w:tc>
      </w:tr>
      <w:tr w14:paraId="0A90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261" w:type="dxa"/>
          </w:tcPr>
          <w:p w14:paraId="22A0F27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图1 标准模型</w:t>
            </w:r>
          </w:p>
        </w:tc>
        <w:tc>
          <w:tcPr>
            <w:tcW w:w="4261" w:type="dxa"/>
          </w:tcPr>
          <w:p w14:paraId="46F8AE9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图2 设计数据数字模型</w:t>
            </w:r>
          </w:p>
        </w:tc>
      </w:tr>
      <w:tr w14:paraId="1805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61" w:type="dxa"/>
          </w:tcPr>
          <w:p w14:paraId="1AB67D6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sz w:val="24"/>
                <w:szCs w:val="24"/>
                <w:vertAlign w:val="baseline"/>
                <w:lang w:val="en-US" w:eastAsia="zh-CN"/>
              </w:rPr>
            </w:pPr>
            <w:r>
              <w:rPr>
                <w:rFonts w:hint="default" w:ascii="Times New Roman" w:hAnsi="Times New Roman" w:eastAsia="宋体"/>
                <w:sz w:val="24"/>
                <w:szCs w:val="24"/>
                <w:vertAlign w:val="baseline"/>
                <w:lang w:val="en-US" w:eastAsia="zh-CN"/>
              </w:rPr>
              <w:drawing>
                <wp:inline distT="0" distB="0" distL="114300" distR="114300">
                  <wp:extent cx="2209165" cy="1221740"/>
                  <wp:effectExtent l="0" t="0" r="0" b="0"/>
                  <wp:docPr id="3" name="图片 3"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7"/>
                          <pic:cNvPicPr>
                            <a:picLocks noChangeAspect="1"/>
                          </pic:cNvPicPr>
                        </pic:nvPicPr>
                        <pic:blipFill>
                          <a:blip r:embed="rId7"/>
                          <a:srcRect t="5842" r="13630" b="24775"/>
                          <a:stretch>
                            <a:fillRect/>
                          </a:stretch>
                        </pic:blipFill>
                        <pic:spPr>
                          <a:xfrm>
                            <a:off x="0" y="0"/>
                            <a:ext cx="2209165" cy="1221740"/>
                          </a:xfrm>
                          <a:prstGeom prst="rect">
                            <a:avLst/>
                          </a:prstGeom>
                        </pic:spPr>
                      </pic:pic>
                    </a:graphicData>
                  </a:graphic>
                </wp:inline>
              </w:drawing>
            </w:r>
          </w:p>
        </w:tc>
        <w:tc>
          <w:tcPr>
            <w:tcW w:w="4261" w:type="dxa"/>
          </w:tcPr>
          <w:p w14:paraId="7F94461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sz w:val="24"/>
                <w:szCs w:val="24"/>
                <w:vertAlign w:val="baseline"/>
                <w:lang w:val="en-US" w:eastAsia="zh-CN"/>
              </w:rPr>
            </w:pPr>
            <w:r>
              <w:rPr>
                <w:rFonts w:hint="default" w:ascii="Times New Roman" w:hAnsi="Times New Roman" w:eastAsia="宋体"/>
                <w:sz w:val="24"/>
                <w:szCs w:val="24"/>
                <w:vertAlign w:val="baseline"/>
                <w:lang w:val="en-US" w:eastAsia="zh-CN"/>
              </w:rPr>
              <w:drawing>
                <wp:inline distT="0" distB="0" distL="114300" distR="114300">
                  <wp:extent cx="2087880" cy="1146175"/>
                  <wp:effectExtent l="0" t="0" r="7620" b="15875"/>
                  <wp:docPr id="4" name="图片 4" descr="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
                          <pic:cNvPicPr>
                            <a:picLocks noChangeAspect="1"/>
                          </pic:cNvPicPr>
                        </pic:nvPicPr>
                        <pic:blipFill>
                          <a:blip r:embed="rId8"/>
                          <a:srcRect l="18614"/>
                          <a:stretch>
                            <a:fillRect/>
                          </a:stretch>
                        </pic:blipFill>
                        <pic:spPr>
                          <a:xfrm>
                            <a:off x="0" y="0"/>
                            <a:ext cx="2087880" cy="1146175"/>
                          </a:xfrm>
                          <a:prstGeom prst="rect">
                            <a:avLst/>
                          </a:prstGeom>
                        </pic:spPr>
                      </pic:pic>
                    </a:graphicData>
                  </a:graphic>
                </wp:inline>
              </w:drawing>
            </w:r>
          </w:p>
        </w:tc>
      </w:tr>
      <w:tr w14:paraId="5B6A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18455A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图3 实体桥架扫描数字模型</w:t>
            </w:r>
          </w:p>
        </w:tc>
        <w:tc>
          <w:tcPr>
            <w:tcW w:w="4261" w:type="dxa"/>
          </w:tcPr>
          <w:p w14:paraId="0BAE035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图4 偏差对比</w:t>
            </w:r>
          </w:p>
        </w:tc>
      </w:tr>
    </w:tbl>
    <w:p w14:paraId="6B2BD005">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图4中，以50 </w:t>
      </w:r>
      <w:r>
        <w:rPr>
          <w:rFonts w:hint="default" w:ascii="Times New Roman" w:hAnsi="Times New Roman" w:eastAsia="微软雅黑" w:cs="Times New Roman"/>
          <w:sz w:val="24"/>
          <w:szCs w:val="24"/>
          <w:lang w:val="en-US" w:eastAsia="zh-CN"/>
        </w:rPr>
        <w:t>μm</w:t>
      </w:r>
      <w:r>
        <w:rPr>
          <w:rFonts w:hint="eastAsia" w:ascii="Times New Roman" w:hAnsi="Times New Roman" w:eastAsia="宋体"/>
          <w:sz w:val="24"/>
          <w:szCs w:val="24"/>
          <w:lang w:val="en-US" w:eastAsia="zh-CN"/>
        </w:rPr>
        <w:t xml:space="preserve">为显示阈值，绿色表明正负向偏差在50 </w:t>
      </w:r>
      <w:r>
        <w:rPr>
          <w:rFonts w:hint="default" w:ascii="Times New Roman" w:hAnsi="Times New Roman" w:eastAsia="微软雅黑" w:cs="Times New Roman"/>
          <w:sz w:val="24"/>
          <w:szCs w:val="24"/>
          <w:lang w:val="en-US" w:eastAsia="zh-CN"/>
        </w:rPr>
        <w:t>μ</w:t>
      </w:r>
      <w:r>
        <w:rPr>
          <w:rFonts w:hint="default" w:ascii="Times New Roman" w:hAnsi="Times New Roman" w:eastAsia="宋体"/>
          <w:sz w:val="24"/>
          <w:szCs w:val="24"/>
          <w:lang w:val="en-US" w:eastAsia="zh-CN"/>
        </w:rPr>
        <w:t>m</w:t>
      </w:r>
      <w:r>
        <w:rPr>
          <w:rFonts w:hint="eastAsia" w:ascii="Times New Roman" w:hAnsi="Times New Roman" w:eastAsia="宋体"/>
          <w:sz w:val="24"/>
          <w:szCs w:val="24"/>
          <w:lang w:val="en-US" w:eastAsia="zh-CN"/>
        </w:rPr>
        <w:t xml:space="preserve">以内，黄色表示偏差超出50 </w:t>
      </w:r>
      <w:r>
        <w:rPr>
          <w:rFonts w:hint="default" w:ascii="Times New Roman" w:hAnsi="Times New Roman" w:eastAsia="宋体"/>
          <w:sz w:val="24"/>
          <w:szCs w:val="24"/>
          <w:lang w:val="en-US" w:eastAsia="zh-CN"/>
        </w:rPr>
        <w:t>μm</w:t>
      </w:r>
      <w:r>
        <w:rPr>
          <w:rFonts w:hint="eastAsia" w:ascii="Times New Roman" w:hAnsi="Times New Roman" w:eastAsia="宋体"/>
          <w:sz w:val="24"/>
          <w:szCs w:val="24"/>
          <w:lang w:val="en-US" w:eastAsia="zh-CN"/>
        </w:rPr>
        <w:t xml:space="preserve">，但小于100 </w:t>
      </w:r>
      <w:r>
        <w:rPr>
          <w:rFonts w:hint="default" w:ascii="Times New Roman" w:hAnsi="Times New Roman" w:eastAsia="宋体"/>
          <w:sz w:val="24"/>
          <w:szCs w:val="24"/>
          <w:lang w:val="en-US" w:eastAsia="zh-CN"/>
        </w:rPr>
        <w:t>μm</w:t>
      </w:r>
      <w:r>
        <w:rPr>
          <w:rFonts w:hint="eastAsia" w:ascii="Times New Roman" w:hAnsi="Times New Roman" w:eastAsia="宋体"/>
          <w:sz w:val="24"/>
          <w:szCs w:val="24"/>
          <w:lang w:val="en-US" w:eastAsia="zh-CN"/>
        </w:rPr>
        <w:t>。此方法灵敏度较高，可以按照标准要求的阈值来评估接口精度。</w:t>
      </w:r>
    </w:p>
    <w:p w14:paraId="7BE323D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（2）机械性能分析与报告：根据GB 30367要求，制备增材制造氧化锆标准试样（分别沿x轴——试样生长方向垂直于测试方向和z轴——试样生长平行于测试方向打印），如图5和图6所示，两种打印方向各10个，按照GB 30367要求开展三点弯曲强度测试：测量每个试样的横截面尺寸，精确至±0.01 mm。将一个试样置于试验机（岛津 AG-X plus，日本）的支撑点中心，使载荷沿垂直于试样长轴的方向施加于 4 mm宽的试样表面上，如图7所示。以0.5 mm/min的恒定速率对试样施加压力，直至氧化锆试样断裂停止，测定试样断裂所需的载荷，数据精确至0. 1N，从而计算出氧化锆试样的挠曲强度（表2）。</w:t>
      </w:r>
    </w:p>
    <w:p w14:paraId="4A0BF0CC">
      <w:pP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br w:type="page"/>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6DE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04752AF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imes New Roman" w:hAnsi="Times New Roman" w:eastAsia="宋体"/>
                <w:sz w:val="24"/>
                <w:szCs w:val="24"/>
                <w:vertAlign w:val="baseline"/>
                <w:lang w:val="en-US" w:eastAsia="zh-CN"/>
              </w:rPr>
            </w:pPr>
            <w:r>
              <w:rPr>
                <w:position w:val="-48"/>
                <w:sz w:val="24"/>
                <w:szCs w:val="24"/>
              </w:rPr>
              <w:drawing>
                <wp:inline distT="0" distB="0" distL="0" distR="0">
                  <wp:extent cx="3323590" cy="1526540"/>
                  <wp:effectExtent l="0" t="0" r="10160" b="1651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
                          <a:stretch>
                            <a:fillRect/>
                          </a:stretch>
                        </pic:blipFill>
                        <pic:spPr>
                          <a:xfrm>
                            <a:off x="0" y="0"/>
                            <a:ext cx="3323843" cy="1527047"/>
                          </a:xfrm>
                          <a:prstGeom prst="rect">
                            <a:avLst/>
                          </a:prstGeom>
                        </pic:spPr>
                      </pic:pic>
                    </a:graphicData>
                  </a:graphic>
                </wp:inline>
              </w:drawing>
            </w:r>
          </w:p>
        </w:tc>
      </w:tr>
      <w:tr w14:paraId="530D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2B1B1E4C">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lang w:val="en-US" w:eastAsia="zh-CN"/>
              </w:rPr>
              <w:t>图5 沿x轴方向打印的试样</w:t>
            </w:r>
          </w:p>
        </w:tc>
      </w:tr>
      <w:tr w14:paraId="0890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0E280D8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imes New Roman" w:hAnsi="Times New Roman" w:eastAsia="宋体"/>
                <w:sz w:val="24"/>
                <w:szCs w:val="24"/>
                <w:vertAlign w:val="baseline"/>
                <w:lang w:val="en-US" w:eastAsia="zh-CN"/>
              </w:rPr>
            </w:pPr>
            <w:r>
              <w:rPr>
                <w:position w:val="-42"/>
                <w:sz w:val="24"/>
                <w:szCs w:val="24"/>
              </w:rPr>
              <w:drawing>
                <wp:inline distT="0" distB="0" distL="0" distR="0">
                  <wp:extent cx="3228975" cy="1350010"/>
                  <wp:effectExtent l="0" t="0" r="9525" b="254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
                          <a:stretch>
                            <a:fillRect/>
                          </a:stretch>
                        </pic:blipFill>
                        <pic:spPr>
                          <a:xfrm>
                            <a:off x="0" y="0"/>
                            <a:ext cx="3229355" cy="1350264"/>
                          </a:xfrm>
                          <a:prstGeom prst="rect">
                            <a:avLst/>
                          </a:prstGeom>
                        </pic:spPr>
                      </pic:pic>
                    </a:graphicData>
                  </a:graphic>
                </wp:inline>
              </w:drawing>
            </w:r>
          </w:p>
        </w:tc>
      </w:tr>
      <w:tr w14:paraId="4B6E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14:paraId="5EDC0CBE">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lang w:val="en-US" w:eastAsia="zh-CN"/>
              </w:rPr>
              <w:t>图6 沿z轴方向打印的试样</w:t>
            </w:r>
          </w:p>
        </w:tc>
      </w:tr>
    </w:tbl>
    <w:p w14:paraId="5548503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用以下公式计算挠曲强度</w:t>
      </w:r>
      <w:r>
        <w:rPr>
          <w:rFonts w:hint="default" w:ascii="Times New Roman" w:hAnsi="Times New Roman" w:eastAsia="宋体" w:cs="Times New Roman"/>
          <w:sz w:val="24"/>
          <w:szCs w:val="24"/>
          <w:lang w:val="en-US" w:eastAsia="zh-CN"/>
        </w:rPr>
        <w:t>σ</w:t>
      </w:r>
      <w:r>
        <w:rPr>
          <w:rFonts w:hint="eastAsia" w:ascii="Times New Roman" w:hAnsi="Times New Roman" w:eastAsia="宋体"/>
          <w:sz w:val="24"/>
          <w:szCs w:val="24"/>
          <w:lang w:val="en-US" w:eastAsia="zh-CN"/>
        </w:rPr>
        <w:t>，单位为兆帕(MPa) 。记录挠曲强度数值，试验中可以将公式直接输入到与万能试验机相连的电脑从而直接得出挠曲强度（表1）。</w:t>
      </w:r>
    </w:p>
    <w:p w14:paraId="6FCF2B2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imes New Roman" w:hAnsi="Times New Roman" w:eastAsia="宋体"/>
          <w:sz w:val="24"/>
          <w:szCs w:val="24"/>
          <w:lang w:val="en-US" w:eastAsia="zh-CN"/>
        </w:rPr>
      </w:pPr>
      <w:r>
        <w:rPr>
          <w:position w:val="-12"/>
          <w:sz w:val="24"/>
          <w:szCs w:val="24"/>
        </w:rPr>
        <w:drawing>
          <wp:inline distT="0" distB="0" distL="0" distR="0">
            <wp:extent cx="537210" cy="307340"/>
            <wp:effectExtent l="0" t="0" r="15240" b="1651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1">
                      <a:lum bright="-6000"/>
                    </a:blip>
                    <a:stretch>
                      <a:fillRect/>
                    </a:stretch>
                  </pic:blipFill>
                  <pic:spPr>
                    <a:xfrm>
                      <a:off x="0" y="0"/>
                      <a:ext cx="537210" cy="307340"/>
                    </a:xfrm>
                    <a:prstGeom prst="rect">
                      <a:avLst/>
                    </a:prstGeom>
                  </pic:spPr>
                </pic:pic>
              </a:graphicData>
            </a:graphic>
          </wp:inline>
        </w:drawing>
      </w:r>
    </w:p>
    <w:p w14:paraId="77969C3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式中：</w:t>
      </w:r>
    </w:p>
    <w:p w14:paraId="6F78E73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P—断裂载荷，单位为牛顿（N）；</w:t>
      </w:r>
    </w:p>
    <w:p w14:paraId="78C0D12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L—跨距（两支撑圆柱中心的距离），单位为毫米（mm）；</w:t>
      </w:r>
    </w:p>
    <w:p w14:paraId="273EBCA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w—试样的宽度，垂直于载荷方向的边的尺寸，单位为毫米（mm）；</w:t>
      </w:r>
    </w:p>
    <w:p w14:paraId="7C81D5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B—试样的厚度，平行于载荷方向的边的尺寸，单位为毫米（mm）。</w:t>
      </w:r>
    </w:p>
    <w:p w14:paraId="317F05B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Times New Roman" w:hAnsi="Times New Roman" w:eastAsia="宋体"/>
          <w:sz w:val="24"/>
          <w:szCs w:val="24"/>
          <w:lang w:val="en-US" w:eastAsia="zh-CN"/>
        </w:rPr>
      </w:pPr>
      <w:r>
        <w:rPr>
          <w:position w:val="-126"/>
          <w:sz w:val="24"/>
          <w:szCs w:val="24"/>
        </w:rPr>
        <w:drawing>
          <wp:inline distT="0" distB="0" distL="0" distR="0">
            <wp:extent cx="1800225" cy="1957070"/>
            <wp:effectExtent l="0" t="0" r="9525" b="5080"/>
            <wp:docPr id="92" name="I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 92"/>
                    <pic:cNvPicPr>
                      <a:picLocks noChangeAspect="1"/>
                    </pic:cNvPicPr>
                  </pic:nvPicPr>
                  <pic:blipFill>
                    <a:blip r:embed="rId12"/>
                    <a:stretch>
                      <a:fillRect/>
                    </a:stretch>
                  </pic:blipFill>
                  <pic:spPr>
                    <a:xfrm>
                      <a:off x="0" y="0"/>
                      <a:ext cx="1800225" cy="1957070"/>
                    </a:xfrm>
                    <a:prstGeom prst="rect">
                      <a:avLst/>
                    </a:prstGeom>
                  </pic:spPr>
                </pic:pic>
              </a:graphicData>
            </a:graphic>
          </wp:inline>
        </w:drawing>
      </w:r>
    </w:p>
    <w:p w14:paraId="59C5BE00">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图7 基于万能试验机测试氧化锆挠曲强度</w:t>
      </w:r>
    </w:p>
    <w:p w14:paraId="1096504D">
      <w:pPr>
        <w:keepNext w:val="0"/>
        <w:keepLines w:val="0"/>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br w:type="page"/>
      </w:r>
      <w:r>
        <w:rPr>
          <w:rFonts w:hint="eastAsia" w:ascii="Times New Roman" w:hAnsi="Times New Roman" w:eastAsia="宋体"/>
          <w:sz w:val="24"/>
          <w:szCs w:val="24"/>
          <w:lang w:val="en-US" w:eastAsia="zh-CN"/>
        </w:rPr>
        <w:t>表2 增材制造氧化锆挠曲强度</w:t>
      </w:r>
    </w:p>
    <w:tbl>
      <w:tblPr>
        <w:tblStyle w:val="15"/>
        <w:tblW w:w="81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7"/>
        <w:gridCol w:w="1444"/>
        <w:gridCol w:w="1500"/>
        <w:gridCol w:w="2184"/>
        <w:gridCol w:w="2043"/>
      </w:tblGrid>
      <w:tr w14:paraId="4D6B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1" w:hRule="atLeast"/>
        </w:trPr>
        <w:tc>
          <w:tcPr>
            <w:tcW w:w="967" w:type="dxa"/>
            <w:vAlign w:val="center"/>
          </w:tcPr>
          <w:p w14:paraId="235575E4">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b/>
                <w:bCs/>
                <w:spacing w:val="-9"/>
                <w:sz w:val="24"/>
                <w:szCs w:val="24"/>
              </w:rPr>
              <w:t>组号</w:t>
            </w:r>
          </w:p>
        </w:tc>
        <w:tc>
          <w:tcPr>
            <w:tcW w:w="1444" w:type="dxa"/>
            <w:vAlign w:val="center"/>
          </w:tcPr>
          <w:p w14:paraId="34EA7D98">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b/>
                <w:bCs/>
                <w:spacing w:val="-7"/>
                <w:sz w:val="24"/>
                <w:szCs w:val="24"/>
              </w:rPr>
              <w:t>序号</w:t>
            </w:r>
          </w:p>
        </w:tc>
        <w:tc>
          <w:tcPr>
            <w:tcW w:w="1500" w:type="dxa"/>
            <w:vAlign w:val="center"/>
          </w:tcPr>
          <w:p w14:paraId="23F0653F">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pacing w:val="-7"/>
                <w:sz w:val="24"/>
                <w:szCs w:val="24"/>
                <w:lang w:val="en-US" w:eastAsia="zh-CN"/>
              </w:rPr>
              <w:t>打印方向</w:t>
            </w:r>
          </w:p>
        </w:tc>
        <w:tc>
          <w:tcPr>
            <w:tcW w:w="2184" w:type="dxa"/>
            <w:vAlign w:val="center"/>
          </w:tcPr>
          <w:p w14:paraId="74A2F2A3">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b/>
                <w:bCs/>
                <w:spacing w:val="-3"/>
                <w:sz w:val="24"/>
                <w:szCs w:val="24"/>
              </w:rPr>
              <w:t>挠曲强度（</w:t>
            </w:r>
            <w:r>
              <w:rPr>
                <w:rFonts w:ascii="Times New Roman" w:hAnsi="Times New Roman" w:eastAsia="Times New Roman" w:cs="Times New Roman"/>
                <w:b/>
                <w:bCs/>
                <w:spacing w:val="-3"/>
                <w:sz w:val="24"/>
                <w:szCs w:val="24"/>
              </w:rPr>
              <w:t>M</w:t>
            </w:r>
            <w:r>
              <w:rPr>
                <w:rFonts w:hint="eastAsia" w:ascii="Times New Roman" w:hAnsi="Times New Roman" w:cs="Times New Roman"/>
                <w:b/>
                <w:bCs/>
                <w:spacing w:val="-3"/>
                <w:sz w:val="24"/>
                <w:szCs w:val="24"/>
                <w:lang w:val="en-US" w:eastAsia="zh-CN"/>
              </w:rPr>
              <w:t>P</w:t>
            </w:r>
            <w:r>
              <w:rPr>
                <w:rFonts w:ascii="Times New Roman" w:hAnsi="Times New Roman" w:eastAsia="Times New Roman" w:cs="Times New Roman"/>
                <w:b/>
                <w:bCs/>
                <w:spacing w:val="-3"/>
                <w:sz w:val="24"/>
                <w:szCs w:val="24"/>
              </w:rPr>
              <w:t>a</w:t>
            </w:r>
            <w:r>
              <w:rPr>
                <w:rFonts w:ascii="Times New Roman" w:hAnsi="Times New Roman" w:cs="Times New Roman"/>
                <w:b/>
                <w:bCs/>
                <w:spacing w:val="-3"/>
                <w:sz w:val="24"/>
                <w:szCs w:val="24"/>
              </w:rPr>
              <w:t>）</w:t>
            </w:r>
          </w:p>
        </w:tc>
        <w:tc>
          <w:tcPr>
            <w:tcW w:w="2043" w:type="dxa"/>
            <w:vAlign w:val="center"/>
          </w:tcPr>
          <w:p w14:paraId="73935EBC">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b/>
                <w:bCs/>
                <w:spacing w:val="-3"/>
                <w:sz w:val="24"/>
                <w:szCs w:val="24"/>
              </w:rPr>
              <w:t>平均值（</w:t>
            </w:r>
            <w:r>
              <w:rPr>
                <w:rFonts w:ascii="Times New Roman" w:hAnsi="Times New Roman" w:eastAsia="Times New Roman" w:cs="Times New Roman"/>
                <w:b/>
                <w:bCs/>
                <w:spacing w:val="-3"/>
                <w:sz w:val="24"/>
                <w:szCs w:val="24"/>
              </w:rPr>
              <w:t>M</w:t>
            </w:r>
            <w:r>
              <w:rPr>
                <w:rFonts w:hint="eastAsia" w:ascii="Times New Roman" w:hAnsi="Times New Roman" w:cs="Times New Roman"/>
                <w:b/>
                <w:bCs/>
                <w:spacing w:val="-3"/>
                <w:sz w:val="24"/>
                <w:szCs w:val="24"/>
                <w:lang w:val="en-US" w:eastAsia="zh-CN"/>
              </w:rPr>
              <w:t>P</w:t>
            </w:r>
            <w:r>
              <w:rPr>
                <w:rFonts w:ascii="Times New Roman" w:hAnsi="Times New Roman" w:eastAsia="Times New Roman" w:cs="Times New Roman"/>
                <w:b/>
                <w:bCs/>
                <w:spacing w:val="-3"/>
                <w:sz w:val="24"/>
                <w:szCs w:val="24"/>
              </w:rPr>
              <w:t>a</w:t>
            </w:r>
            <w:r>
              <w:rPr>
                <w:rFonts w:ascii="Times New Roman" w:hAnsi="Times New Roman" w:cs="Times New Roman"/>
                <w:b/>
                <w:bCs/>
                <w:spacing w:val="-3"/>
                <w:sz w:val="24"/>
                <w:szCs w:val="24"/>
              </w:rPr>
              <w:t>）</w:t>
            </w:r>
          </w:p>
        </w:tc>
      </w:tr>
      <w:tr w14:paraId="2479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restart"/>
            <w:tcBorders>
              <w:bottom w:val="nil"/>
            </w:tcBorders>
            <w:vAlign w:val="center"/>
          </w:tcPr>
          <w:p w14:paraId="4E92C88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444" w:type="dxa"/>
            <w:vAlign w:val="center"/>
          </w:tcPr>
          <w:p w14:paraId="6E1BBCA0">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1-1</w:t>
            </w:r>
          </w:p>
        </w:tc>
        <w:tc>
          <w:tcPr>
            <w:tcW w:w="1500" w:type="dxa"/>
            <w:vMerge w:val="restart"/>
            <w:tcBorders>
              <w:bottom w:val="nil"/>
            </w:tcBorders>
            <w:vAlign w:val="center"/>
          </w:tcPr>
          <w:p w14:paraId="5DE6D7E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Times New Roman" w:hAnsi="Times New Roman" w:cs="Times New Roman"/>
                <w:sz w:val="21"/>
              </w:rPr>
            </w:pPr>
          </w:p>
          <w:p w14:paraId="04346438">
            <w:pPr>
              <w:pStyle w:val="14"/>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Times New Roman" w:hAnsi="Times New Roman" w:cs="Times New Roman"/>
                <w:sz w:val="24"/>
                <w:szCs w:val="24"/>
              </w:rPr>
            </w:pPr>
            <w:r>
              <w:rPr>
                <w:rFonts w:ascii="Times New Roman" w:hAnsi="Times New Roman" w:eastAsia="Times New Roman" w:cs="Times New Roman"/>
                <w:spacing w:val="-1"/>
                <w:sz w:val="24"/>
                <w:szCs w:val="24"/>
              </w:rPr>
              <w:t xml:space="preserve">X </w:t>
            </w:r>
            <w:r>
              <w:rPr>
                <w:rFonts w:ascii="Times New Roman" w:hAnsi="Times New Roman" w:cs="Times New Roman"/>
                <w:spacing w:val="-1"/>
                <w:sz w:val="24"/>
                <w:szCs w:val="24"/>
              </w:rPr>
              <w:t>轴</w:t>
            </w:r>
          </w:p>
        </w:tc>
        <w:tc>
          <w:tcPr>
            <w:tcW w:w="2184" w:type="dxa"/>
            <w:tcBorders>
              <w:bottom w:val="single" w:color="000000" w:sz="2" w:space="0"/>
            </w:tcBorders>
            <w:vAlign w:val="center"/>
          </w:tcPr>
          <w:p w14:paraId="5F0C19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971.80</w:t>
            </w:r>
          </w:p>
        </w:tc>
        <w:tc>
          <w:tcPr>
            <w:tcW w:w="2043" w:type="dxa"/>
            <w:vMerge w:val="restart"/>
            <w:tcBorders>
              <w:bottom w:val="nil"/>
            </w:tcBorders>
            <w:vAlign w:val="center"/>
          </w:tcPr>
          <w:p w14:paraId="432ADBE0">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Times New Roman" w:hAnsi="Times New Roman" w:cs="Times New Roman"/>
                <w:sz w:val="21"/>
              </w:rPr>
            </w:pPr>
          </w:p>
          <w:p w14:paraId="6211FE4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904.35</w:t>
            </w:r>
          </w:p>
        </w:tc>
      </w:tr>
      <w:tr w14:paraId="225DA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061F091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1D07CC17">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1-2</w:t>
            </w:r>
          </w:p>
        </w:tc>
        <w:tc>
          <w:tcPr>
            <w:tcW w:w="1500" w:type="dxa"/>
            <w:vMerge w:val="continue"/>
            <w:tcBorders>
              <w:top w:val="nil"/>
              <w:bottom w:val="nil"/>
            </w:tcBorders>
            <w:vAlign w:val="center"/>
          </w:tcPr>
          <w:p w14:paraId="03712B0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32FDA9E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969.60</w:t>
            </w:r>
          </w:p>
        </w:tc>
        <w:tc>
          <w:tcPr>
            <w:tcW w:w="2043" w:type="dxa"/>
            <w:vMerge w:val="continue"/>
            <w:tcBorders>
              <w:top w:val="nil"/>
              <w:bottom w:val="nil"/>
            </w:tcBorders>
            <w:vAlign w:val="center"/>
          </w:tcPr>
          <w:p w14:paraId="12EEFEB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7AC14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4F3F44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5C2943CD">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1-3</w:t>
            </w:r>
          </w:p>
        </w:tc>
        <w:tc>
          <w:tcPr>
            <w:tcW w:w="1500" w:type="dxa"/>
            <w:vMerge w:val="continue"/>
            <w:tcBorders>
              <w:top w:val="nil"/>
              <w:bottom w:val="nil"/>
            </w:tcBorders>
            <w:vAlign w:val="center"/>
          </w:tcPr>
          <w:p w14:paraId="77494468">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438011B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935.30</w:t>
            </w:r>
          </w:p>
        </w:tc>
        <w:tc>
          <w:tcPr>
            <w:tcW w:w="2043" w:type="dxa"/>
            <w:vMerge w:val="continue"/>
            <w:tcBorders>
              <w:top w:val="nil"/>
              <w:bottom w:val="nil"/>
            </w:tcBorders>
            <w:vAlign w:val="center"/>
          </w:tcPr>
          <w:p w14:paraId="5204B9D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0CD1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50F2A0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0487E93C">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1-4</w:t>
            </w:r>
          </w:p>
        </w:tc>
        <w:tc>
          <w:tcPr>
            <w:tcW w:w="1500" w:type="dxa"/>
            <w:vMerge w:val="continue"/>
            <w:tcBorders>
              <w:top w:val="nil"/>
              <w:bottom w:val="nil"/>
            </w:tcBorders>
            <w:vAlign w:val="center"/>
          </w:tcPr>
          <w:p w14:paraId="1B468AC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0D094A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884.125</w:t>
            </w:r>
          </w:p>
        </w:tc>
        <w:tc>
          <w:tcPr>
            <w:tcW w:w="2043" w:type="dxa"/>
            <w:vMerge w:val="continue"/>
            <w:tcBorders>
              <w:top w:val="nil"/>
              <w:bottom w:val="nil"/>
            </w:tcBorders>
            <w:vAlign w:val="center"/>
          </w:tcPr>
          <w:p w14:paraId="72DD9B4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38ECB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4CA7B9B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629F716D">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1-5</w:t>
            </w:r>
          </w:p>
        </w:tc>
        <w:tc>
          <w:tcPr>
            <w:tcW w:w="1500" w:type="dxa"/>
            <w:vMerge w:val="continue"/>
            <w:tcBorders>
              <w:top w:val="nil"/>
              <w:bottom w:val="nil"/>
            </w:tcBorders>
            <w:vAlign w:val="center"/>
          </w:tcPr>
          <w:p w14:paraId="0919D24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0EC095C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911.834</w:t>
            </w:r>
          </w:p>
        </w:tc>
        <w:tc>
          <w:tcPr>
            <w:tcW w:w="2043" w:type="dxa"/>
            <w:vMerge w:val="continue"/>
            <w:tcBorders>
              <w:top w:val="nil"/>
              <w:bottom w:val="nil"/>
            </w:tcBorders>
            <w:vAlign w:val="center"/>
          </w:tcPr>
          <w:p w14:paraId="02C075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72B6B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45662A0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5CE35B87">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1-6</w:t>
            </w:r>
          </w:p>
        </w:tc>
        <w:tc>
          <w:tcPr>
            <w:tcW w:w="1500" w:type="dxa"/>
            <w:vMerge w:val="continue"/>
            <w:tcBorders>
              <w:top w:val="nil"/>
              <w:bottom w:val="nil"/>
            </w:tcBorders>
            <w:vAlign w:val="center"/>
          </w:tcPr>
          <w:p w14:paraId="46D7D851">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6E575EE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832.726</w:t>
            </w:r>
          </w:p>
        </w:tc>
        <w:tc>
          <w:tcPr>
            <w:tcW w:w="2043" w:type="dxa"/>
            <w:vMerge w:val="continue"/>
            <w:tcBorders>
              <w:top w:val="nil"/>
              <w:bottom w:val="nil"/>
            </w:tcBorders>
            <w:vAlign w:val="center"/>
          </w:tcPr>
          <w:p w14:paraId="71DE1EA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32A2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2DCE39B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36A4215E">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1-7</w:t>
            </w:r>
          </w:p>
        </w:tc>
        <w:tc>
          <w:tcPr>
            <w:tcW w:w="1500" w:type="dxa"/>
            <w:vMerge w:val="continue"/>
            <w:tcBorders>
              <w:top w:val="nil"/>
              <w:bottom w:val="nil"/>
            </w:tcBorders>
            <w:vAlign w:val="center"/>
          </w:tcPr>
          <w:p w14:paraId="6CEA648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3B3C23D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884.804</w:t>
            </w:r>
          </w:p>
        </w:tc>
        <w:tc>
          <w:tcPr>
            <w:tcW w:w="2043" w:type="dxa"/>
            <w:vMerge w:val="continue"/>
            <w:tcBorders>
              <w:top w:val="nil"/>
              <w:bottom w:val="nil"/>
            </w:tcBorders>
            <w:vAlign w:val="center"/>
          </w:tcPr>
          <w:p w14:paraId="749B66F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5924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4BBAE6C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5C45AC06">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1-8</w:t>
            </w:r>
          </w:p>
        </w:tc>
        <w:tc>
          <w:tcPr>
            <w:tcW w:w="1500" w:type="dxa"/>
            <w:vMerge w:val="continue"/>
            <w:tcBorders>
              <w:top w:val="nil"/>
              <w:bottom w:val="nil"/>
            </w:tcBorders>
            <w:vAlign w:val="center"/>
          </w:tcPr>
          <w:p w14:paraId="064A4CB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15C3648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947.543</w:t>
            </w:r>
          </w:p>
        </w:tc>
        <w:tc>
          <w:tcPr>
            <w:tcW w:w="2043" w:type="dxa"/>
            <w:vMerge w:val="continue"/>
            <w:tcBorders>
              <w:top w:val="nil"/>
              <w:bottom w:val="nil"/>
            </w:tcBorders>
            <w:vAlign w:val="center"/>
          </w:tcPr>
          <w:p w14:paraId="5EE99EF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51218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1297957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0CAA330D">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10"/>
                <w:sz w:val="24"/>
                <w:szCs w:val="24"/>
              </w:rPr>
              <w:t>1-9</w:t>
            </w:r>
          </w:p>
        </w:tc>
        <w:tc>
          <w:tcPr>
            <w:tcW w:w="1500" w:type="dxa"/>
            <w:vMerge w:val="continue"/>
            <w:tcBorders>
              <w:top w:val="nil"/>
              <w:bottom w:val="nil"/>
            </w:tcBorders>
            <w:vAlign w:val="center"/>
          </w:tcPr>
          <w:p w14:paraId="09484B8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bottom w:val="single" w:color="000000" w:sz="2" w:space="0"/>
            </w:tcBorders>
            <w:vAlign w:val="center"/>
          </w:tcPr>
          <w:p w14:paraId="2E653D1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854.655</w:t>
            </w:r>
          </w:p>
        </w:tc>
        <w:tc>
          <w:tcPr>
            <w:tcW w:w="2043" w:type="dxa"/>
            <w:vMerge w:val="continue"/>
            <w:tcBorders>
              <w:top w:val="nil"/>
              <w:bottom w:val="nil"/>
            </w:tcBorders>
            <w:vAlign w:val="center"/>
          </w:tcPr>
          <w:p w14:paraId="3C9558F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2109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tcBorders>
            <w:vAlign w:val="center"/>
          </w:tcPr>
          <w:p w14:paraId="18B20F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c>
          <w:tcPr>
            <w:tcW w:w="1444" w:type="dxa"/>
            <w:vAlign w:val="center"/>
          </w:tcPr>
          <w:p w14:paraId="3DCEB63F">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7"/>
                <w:sz w:val="24"/>
                <w:szCs w:val="24"/>
              </w:rPr>
              <w:t>1-10</w:t>
            </w:r>
          </w:p>
        </w:tc>
        <w:tc>
          <w:tcPr>
            <w:tcW w:w="1500" w:type="dxa"/>
            <w:vMerge w:val="continue"/>
            <w:tcBorders>
              <w:top w:val="nil"/>
            </w:tcBorders>
            <w:vAlign w:val="center"/>
          </w:tcPr>
          <w:p w14:paraId="7FA0FE59">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cs="Times New Roman"/>
                <w:sz w:val="21"/>
              </w:rPr>
            </w:pPr>
          </w:p>
        </w:tc>
        <w:tc>
          <w:tcPr>
            <w:tcW w:w="2184" w:type="dxa"/>
            <w:tcBorders>
              <w:top w:val="single" w:color="000000" w:sz="2" w:space="0"/>
            </w:tcBorders>
            <w:vAlign w:val="center"/>
          </w:tcPr>
          <w:p w14:paraId="353C2FC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851.20</w:t>
            </w:r>
          </w:p>
        </w:tc>
        <w:tc>
          <w:tcPr>
            <w:tcW w:w="2043" w:type="dxa"/>
            <w:vMerge w:val="continue"/>
            <w:tcBorders>
              <w:top w:val="nil"/>
              <w:bottom w:val="single" w:color="auto" w:sz="4" w:space="0"/>
            </w:tcBorders>
            <w:vAlign w:val="center"/>
          </w:tcPr>
          <w:p w14:paraId="4B7B7D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1"/>
              </w:rPr>
            </w:pPr>
          </w:p>
        </w:tc>
      </w:tr>
      <w:tr w14:paraId="6D54C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restart"/>
            <w:tcBorders>
              <w:bottom w:val="nil"/>
            </w:tcBorders>
            <w:vAlign w:val="center"/>
          </w:tcPr>
          <w:p w14:paraId="12B494D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444" w:type="dxa"/>
            <w:vAlign w:val="center"/>
          </w:tcPr>
          <w:p w14:paraId="1F40BA5A">
            <w:pPr>
              <w:pStyle w:val="1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2-1</w:t>
            </w:r>
          </w:p>
        </w:tc>
        <w:tc>
          <w:tcPr>
            <w:tcW w:w="1500" w:type="dxa"/>
            <w:vMerge w:val="restart"/>
            <w:tcBorders>
              <w:bottom w:val="nil"/>
            </w:tcBorders>
            <w:vAlign w:val="center"/>
          </w:tcPr>
          <w:p w14:paraId="5EF33B2C">
            <w:pPr>
              <w:pStyle w:val="14"/>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hAnsi="Times New Roman" w:cs="Times New Roman"/>
                <w:sz w:val="24"/>
                <w:szCs w:val="24"/>
              </w:rPr>
            </w:pPr>
            <w:r>
              <w:rPr>
                <w:rFonts w:ascii="Times New Roman" w:hAnsi="Times New Roman" w:eastAsia="Times New Roman" w:cs="Times New Roman"/>
                <w:spacing w:val="-2"/>
                <w:sz w:val="24"/>
                <w:szCs w:val="24"/>
              </w:rPr>
              <w:t>Z</w:t>
            </w:r>
            <w:r>
              <w:rPr>
                <w:rFonts w:ascii="Times New Roman" w:hAnsi="Times New Roman" w:eastAsia="Times New Roman" w:cs="Times New Roman"/>
                <w:spacing w:val="-6"/>
                <w:sz w:val="24"/>
                <w:szCs w:val="24"/>
              </w:rPr>
              <w:t xml:space="preserve"> </w:t>
            </w:r>
            <w:r>
              <w:rPr>
                <w:rFonts w:ascii="Times New Roman" w:hAnsi="Times New Roman" w:cs="Times New Roman"/>
                <w:spacing w:val="-2"/>
                <w:sz w:val="24"/>
                <w:szCs w:val="24"/>
              </w:rPr>
              <w:t>轴</w:t>
            </w:r>
          </w:p>
        </w:tc>
        <w:tc>
          <w:tcPr>
            <w:tcW w:w="2184" w:type="dxa"/>
            <w:tcBorders>
              <w:bottom w:val="single" w:color="000000" w:sz="2" w:space="0"/>
              <w:right w:val="single" w:color="auto" w:sz="4" w:space="0"/>
            </w:tcBorders>
            <w:vAlign w:val="center"/>
          </w:tcPr>
          <w:p w14:paraId="4D662DB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882.124</w:t>
            </w:r>
          </w:p>
        </w:tc>
        <w:tc>
          <w:tcPr>
            <w:tcW w:w="2043" w:type="dxa"/>
            <w:vMerge w:val="restart"/>
            <w:tcBorders>
              <w:top w:val="single" w:color="auto" w:sz="4" w:space="0"/>
              <w:left w:val="single" w:color="auto" w:sz="4" w:space="0"/>
              <w:bottom w:val="single" w:color="auto" w:sz="4" w:space="0"/>
              <w:right w:val="single" w:color="auto" w:sz="4" w:space="0"/>
            </w:tcBorders>
            <w:vAlign w:val="center"/>
          </w:tcPr>
          <w:p w14:paraId="452B603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Times New Roman" w:hAnsi="Times New Roman" w:cs="Times New Roman"/>
                <w:sz w:val="21"/>
              </w:rPr>
            </w:pPr>
          </w:p>
          <w:p w14:paraId="199B259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872.53</w:t>
            </w:r>
          </w:p>
        </w:tc>
      </w:tr>
      <w:tr w14:paraId="7AB66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0F6035C2">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661F8309">
            <w:pPr>
              <w:pStyle w:val="14"/>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2-2</w:t>
            </w:r>
          </w:p>
        </w:tc>
        <w:tc>
          <w:tcPr>
            <w:tcW w:w="1500" w:type="dxa"/>
            <w:vMerge w:val="continue"/>
            <w:tcBorders>
              <w:top w:val="nil"/>
              <w:bottom w:val="nil"/>
            </w:tcBorders>
            <w:vAlign w:val="center"/>
          </w:tcPr>
          <w:p w14:paraId="168B39AB">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6C7846E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852.663</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4D5720AB">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28C6B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5F7FCFA2">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6202A09E">
            <w:pPr>
              <w:pStyle w:val="14"/>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2-3</w:t>
            </w:r>
          </w:p>
        </w:tc>
        <w:tc>
          <w:tcPr>
            <w:tcW w:w="1500" w:type="dxa"/>
            <w:vMerge w:val="continue"/>
            <w:tcBorders>
              <w:top w:val="nil"/>
              <w:bottom w:val="nil"/>
            </w:tcBorders>
            <w:vAlign w:val="center"/>
          </w:tcPr>
          <w:p w14:paraId="354DA640">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5A4F483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921.478</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5286F3BC">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0637B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305FEFCF">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1674DFA7">
            <w:pPr>
              <w:pStyle w:val="14"/>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2-4</w:t>
            </w:r>
          </w:p>
        </w:tc>
        <w:tc>
          <w:tcPr>
            <w:tcW w:w="1500" w:type="dxa"/>
            <w:vMerge w:val="continue"/>
            <w:tcBorders>
              <w:top w:val="nil"/>
              <w:bottom w:val="nil"/>
            </w:tcBorders>
            <w:vAlign w:val="center"/>
          </w:tcPr>
          <w:p w14:paraId="58E71E47">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5F8F35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810.25</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6AC2B657">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1B1B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2E9F531B">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5AC4B9FF">
            <w:pPr>
              <w:pStyle w:val="14"/>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2-5</w:t>
            </w:r>
          </w:p>
        </w:tc>
        <w:tc>
          <w:tcPr>
            <w:tcW w:w="1500" w:type="dxa"/>
            <w:vMerge w:val="continue"/>
            <w:tcBorders>
              <w:top w:val="nil"/>
              <w:bottom w:val="nil"/>
            </w:tcBorders>
            <w:vAlign w:val="center"/>
          </w:tcPr>
          <w:p w14:paraId="2E7A2AF8">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68B1CD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833.561</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251EA348">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6C7E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2FDE8823">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3FCA817B">
            <w:pPr>
              <w:pStyle w:val="14"/>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2-6</w:t>
            </w:r>
          </w:p>
        </w:tc>
        <w:tc>
          <w:tcPr>
            <w:tcW w:w="1500" w:type="dxa"/>
            <w:vMerge w:val="continue"/>
            <w:tcBorders>
              <w:top w:val="nil"/>
              <w:bottom w:val="nil"/>
            </w:tcBorders>
            <w:vAlign w:val="center"/>
          </w:tcPr>
          <w:p w14:paraId="0C019779">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774D79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852.96</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4B65320B">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55867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01DA8109">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2D8C7DFE">
            <w:pPr>
              <w:pStyle w:val="14"/>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2-7</w:t>
            </w:r>
          </w:p>
        </w:tc>
        <w:tc>
          <w:tcPr>
            <w:tcW w:w="1500" w:type="dxa"/>
            <w:vMerge w:val="continue"/>
            <w:tcBorders>
              <w:top w:val="nil"/>
              <w:bottom w:val="nil"/>
            </w:tcBorders>
            <w:vAlign w:val="center"/>
          </w:tcPr>
          <w:p w14:paraId="6342F638">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6EAE3B4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933.145</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0DA6840D">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4F7A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66ED8ACA">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1E738C38">
            <w:pPr>
              <w:pStyle w:val="14"/>
              <w:keepNext w:val="0"/>
              <w:keepLines w:val="0"/>
              <w:pageBreakBefore w:val="0"/>
              <w:widowControl w:val="0"/>
              <w:kinsoku/>
              <w:wordWrap/>
              <w:overflowPunct/>
              <w:topLinePunct w:val="0"/>
              <w:autoSpaceDE/>
              <w:autoSpaceDN/>
              <w:bidi w:val="0"/>
              <w:adjustRightInd/>
              <w:snapToGrid/>
              <w:spacing w:line="200"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2-8</w:t>
            </w:r>
          </w:p>
        </w:tc>
        <w:tc>
          <w:tcPr>
            <w:tcW w:w="1500" w:type="dxa"/>
            <w:vMerge w:val="continue"/>
            <w:tcBorders>
              <w:top w:val="nil"/>
              <w:bottom w:val="nil"/>
            </w:tcBorders>
            <w:vAlign w:val="center"/>
          </w:tcPr>
          <w:p w14:paraId="55680E09">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4B0D0D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859.25</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735D8C94">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3C5B9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967" w:type="dxa"/>
            <w:vMerge w:val="continue"/>
            <w:tcBorders>
              <w:top w:val="nil"/>
              <w:bottom w:val="nil"/>
            </w:tcBorders>
            <w:vAlign w:val="center"/>
          </w:tcPr>
          <w:p w14:paraId="21326BE0">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2F2D5D27">
            <w:pPr>
              <w:pStyle w:val="14"/>
              <w:keepNext w:val="0"/>
              <w:keepLines w:val="0"/>
              <w:pageBreakBefore w:val="0"/>
              <w:widowControl w:val="0"/>
              <w:kinsoku/>
              <w:wordWrap/>
              <w:overflowPunct/>
              <w:topLinePunct w:val="0"/>
              <w:autoSpaceDE/>
              <w:autoSpaceDN/>
              <w:bidi w:val="0"/>
              <w:adjustRightInd/>
              <w:snapToGrid/>
              <w:spacing w:line="200" w:lineRule="auto"/>
              <w:ind w:left="0"/>
              <w:jc w:val="center"/>
              <w:textAlignment w:val="auto"/>
              <w:rPr>
                <w:rFonts w:ascii="Times New Roman" w:hAnsi="Times New Roman" w:cs="Times New Roman"/>
                <w:sz w:val="24"/>
                <w:szCs w:val="24"/>
              </w:rPr>
            </w:pPr>
            <w:r>
              <w:rPr>
                <w:rFonts w:ascii="Times New Roman" w:hAnsi="Times New Roman" w:cs="Times New Roman"/>
                <w:spacing w:val="-5"/>
                <w:sz w:val="24"/>
                <w:szCs w:val="24"/>
              </w:rPr>
              <w:t>2-9</w:t>
            </w:r>
          </w:p>
        </w:tc>
        <w:tc>
          <w:tcPr>
            <w:tcW w:w="1500" w:type="dxa"/>
            <w:vMerge w:val="continue"/>
            <w:tcBorders>
              <w:top w:val="nil"/>
              <w:bottom w:val="nil"/>
            </w:tcBorders>
            <w:vAlign w:val="center"/>
          </w:tcPr>
          <w:p w14:paraId="5A7FD424">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bottom w:val="single" w:color="000000" w:sz="2" w:space="0"/>
              <w:right w:val="single" w:color="auto" w:sz="4" w:space="0"/>
            </w:tcBorders>
            <w:vAlign w:val="center"/>
          </w:tcPr>
          <w:p w14:paraId="796BF79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836.699</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65B668F7">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r w14:paraId="67662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967" w:type="dxa"/>
            <w:vMerge w:val="continue"/>
            <w:tcBorders>
              <w:top w:val="nil"/>
            </w:tcBorders>
            <w:vAlign w:val="center"/>
          </w:tcPr>
          <w:p w14:paraId="299D574A">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1444" w:type="dxa"/>
            <w:vAlign w:val="center"/>
          </w:tcPr>
          <w:p w14:paraId="6AC2D736">
            <w:pPr>
              <w:pStyle w:val="14"/>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Times New Roman" w:hAnsi="Times New Roman" w:cs="Times New Roman"/>
                <w:sz w:val="24"/>
                <w:szCs w:val="24"/>
              </w:rPr>
            </w:pPr>
            <w:r>
              <w:rPr>
                <w:rFonts w:ascii="Times New Roman" w:hAnsi="Times New Roman" w:cs="Times New Roman"/>
                <w:spacing w:val="-4"/>
                <w:sz w:val="24"/>
                <w:szCs w:val="24"/>
              </w:rPr>
              <w:t>2-10</w:t>
            </w:r>
          </w:p>
        </w:tc>
        <w:tc>
          <w:tcPr>
            <w:tcW w:w="1500" w:type="dxa"/>
            <w:vMerge w:val="continue"/>
            <w:tcBorders>
              <w:top w:val="nil"/>
            </w:tcBorders>
            <w:vAlign w:val="center"/>
          </w:tcPr>
          <w:p w14:paraId="0B6870A2">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c>
          <w:tcPr>
            <w:tcW w:w="2184" w:type="dxa"/>
            <w:tcBorders>
              <w:top w:val="single" w:color="000000" w:sz="2" w:space="0"/>
              <w:right w:val="single" w:color="auto" w:sz="4" w:space="0"/>
            </w:tcBorders>
            <w:vAlign w:val="center"/>
          </w:tcPr>
          <w:p w14:paraId="19D54BF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Times New Roman" w:hAnsi="Times New Roman" w:eastAsia="Calibri" w:cs="Times New Roman"/>
                <w:sz w:val="24"/>
                <w:szCs w:val="24"/>
              </w:rPr>
            </w:pPr>
            <w:r>
              <w:rPr>
                <w:rFonts w:ascii="Times New Roman" w:hAnsi="Times New Roman" w:eastAsia="Calibri" w:cs="Times New Roman"/>
                <w:spacing w:val="-2"/>
                <w:sz w:val="24"/>
                <w:szCs w:val="24"/>
              </w:rPr>
              <w:t>943.251</w:t>
            </w:r>
          </w:p>
        </w:tc>
        <w:tc>
          <w:tcPr>
            <w:tcW w:w="2043" w:type="dxa"/>
            <w:vMerge w:val="continue"/>
            <w:tcBorders>
              <w:top w:val="single" w:color="auto" w:sz="4" w:space="0"/>
              <w:left w:val="single" w:color="auto" w:sz="4" w:space="0"/>
              <w:bottom w:val="single" w:color="auto" w:sz="4" w:space="0"/>
              <w:right w:val="single" w:color="auto" w:sz="4" w:space="0"/>
            </w:tcBorders>
            <w:vAlign w:val="center"/>
          </w:tcPr>
          <w:p w14:paraId="17F2B152">
            <w:pPr>
              <w:keepNext w:val="0"/>
              <w:keepLines w:val="0"/>
              <w:pageBreakBefore w:val="0"/>
              <w:widowControl w:val="0"/>
              <w:kinsoku/>
              <w:wordWrap/>
              <w:overflowPunct/>
              <w:topLinePunct w:val="0"/>
              <w:bidi w:val="0"/>
              <w:snapToGrid/>
              <w:jc w:val="center"/>
              <w:textAlignment w:val="auto"/>
              <w:rPr>
                <w:rFonts w:ascii="Times New Roman" w:hAnsi="Times New Roman" w:cs="Times New Roman"/>
                <w:sz w:val="21"/>
              </w:rPr>
            </w:pPr>
          </w:p>
        </w:tc>
      </w:tr>
    </w:tbl>
    <w:p w14:paraId="031492F9">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由测试结果可知，不同打印方向的增材制造氧化锆平均挠曲强度均</w:t>
      </w:r>
      <w:r>
        <w:rPr>
          <w:rFonts w:hint="eastAsia" w:ascii="Times New Roman" w:hAnsi="Times New Roman" w:eastAsia="宋体"/>
          <w:sz w:val="24"/>
          <w:szCs w:val="24"/>
          <w:vertAlign w:val="baseline"/>
          <w:lang w:val="en-US" w:eastAsia="zh-CN"/>
        </w:rPr>
        <w:t>满足</w:t>
      </w:r>
      <w:r>
        <w:rPr>
          <w:rFonts w:hint="eastAsia" w:ascii="Times New Roman" w:hAnsi="Times New Roman" w:eastAsia="宋体"/>
          <w:sz w:val="24"/>
          <w:szCs w:val="24"/>
          <w:lang w:val="en-US" w:eastAsia="zh-CN"/>
        </w:rPr>
        <w:t>GB 30367表1固定修复陶瓷按临床用途分类中的“包含四单位及四单位以上修复体的基底陶瓷最小挠曲强度（平均值）800 MPa”的要求。</w:t>
      </w:r>
    </w:p>
    <w:p w14:paraId="252D541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根据GB 30367附录A，采用单边V槽横梁法，测量增材制造试样断裂韧性为9.36 MPa·m</w:t>
      </w:r>
      <w:r>
        <w:rPr>
          <w:rFonts w:hint="eastAsia" w:ascii="Times New Roman" w:hAnsi="Times New Roman" w:eastAsia="宋体"/>
          <w:sz w:val="24"/>
          <w:szCs w:val="24"/>
          <w:vertAlign w:val="superscript"/>
          <w:lang w:val="en-US" w:eastAsia="zh-CN"/>
        </w:rPr>
        <w:t>-1/2</w:t>
      </w:r>
      <w:r>
        <w:rPr>
          <w:rFonts w:hint="eastAsia" w:ascii="Times New Roman" w:hAnsi="Times New Roman" w:eastAsia="宋体"/>
          <w:sz w:val="24"/>
          <w:szCs w:val="24"/>
          <w:vertAlign w:val="baseline"/>
          <w:lang w:val="en-US" w:eastAsia="zh-CN"/>
        </w:rPr>
        <w:t>，满足</w:t>
      </w:r>
      <w:r>
        <w:rPr>
          <w:rFonts w:hint="eastAsia" w:ascii="Times New Roman" w:hAnsi="Times New Roman" w:eastAsia="宋体"/>
          <w:sz w:val="24"/>
          <w:szCs w:val="24"/>
          <w:lang w:val="en-US" w:eastAsia="zh-CN"/>
        </w:rPr>
        <w:t>GB 30367附录A表A.1固定修复陶瓷按临床用途的分类及断裂韧性推荐值中</w:t>
      </w:r>
      <w:r>
        <w:rPr>
          <w:rFonts w:hint="eastAsia" w:ascii="Times New Roman" w:hAnsi="Times New Roman" w:eastAsia="宋体"/>
          <w:sz w:val="24"/>
          <w:szCs w:val="24"/>
          <w:vertAlign w:val="baseline"/>
          <w:lang w:val="en-US" w:eastAsia="zh-CN"/>
        </w:rPr>
        <w:t>“</w:t>
      </w:r>
      <w:r>
        <w:rPr>
          <w:rFonts w:hint="eastAsia" w:ascii="Times New Roman" w:hAnsi="Times New Roman" w:eastAsia="宋体"/>
          <w:sz w:val="24"/>
          <w:szCs w:val="24"/>
          <w:lang w:val="en-US" w:eastAsia="zh-CN"/>
        </w:rPr>
        <w:t>包含四单位及四单位以上修复体的基底陶瓷最小断裂韧性5.0 MPa·m</w:t>
      </w:r>
      <w:r>
        <w:rPr>
          <w:rFonts w:hint="eastAsia" w:ascii="Times New Roman" w:hAnsi="Times New Roman" w:eastAsia="宋体"/>
          <w:sz w:val="24"/>
          <w:szCs w:val="24"/>
          <w:vertAlign w:val="superscript"/>
          <w:lang w:val="en-US" w:eastAsia="zh-CN"/>
        </w:rPr>
        <w:t>-1/2</w:t>
      </w:r>
      <w:r>
        <w:rPr>
          <w:rFonts w:hint="eastAsia" w:ascii="Times New Roman" w:hAnsi="Times New Roman" w:eastAsia="宋体"/>
          <w:sz w:val="24"/>
          <w:szCs w:val="24"/>
          <w:vertAlign w:val="baseline"/>
          <w:lang w:val="en-US" w:eastAsia="zh-CN"/>
        </w:rPr>
        <w:t>”的要求。</w:t>
      </w:r>
    </w:p>
    <w:p w14:paraId="6A1E3E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（3）化学溶解性分析报告：根据GB 30367中7.6款规定，采用规定试剂和器具测得增材制造氧化锆试样的化学溶解性为</w:t>
      </w:r>
      <w:r>
        <w:rPr>
          <w:rFonts w:hint="default" w:ascii="Times New Roman" w:hAnsi="Times New Roman" w:eastAsia="宋体" w:cs="Times New Roman"/>
          <w:sz w:val="24"/>
          <w:szCs w:val="24"/>
          <w:lang w:val="en-US" w:eastAsia="zh-CN"/>
        </w:rPr>
        <w:t>27.3</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μg·cm</w:t>
      </w:r>
      <w:r>
        <w:rPr>
          <w:rFonts w:hint="default" w:ascii="Times New Roman" w:hAnsi="Times New Roman" w:eastAsia="宋体" w:cs="Times New Roman"/>
          <w:sz w:val="24"/>
          <w:szCs w:val="24"/>
          <w:vertAlign w:val="superscript"/>
          <w:lang w:val="en-US" w:eastAsia="zh-CN"/>
        </w:rPr>
        <w:t>-2</w:t>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sz w:val="24"/>
          <w:szCs w:val="24"/>
          <w:vertAlign w:val="baseline"/>
          <w:lang w:val="en-US" w:eastAsia="zh-CN"/>
        </w:rPr>
        <w:t>满足</w:t>
      </w:r>
      <w:r>
        <w:rPr>
          <w:rFonts w:hint="eastAsia" w:ascii="Times New Roman" w:hAnsi="Times New Roman" w:eastAsia="宋体"/>
          <w:sz w:val="24"/>
          <w:szCs w:val="24"/>
          <w:lang w:val="en-US" w:eastAsia="zh-CN"/>
        </w:rPr>
        <w:t>GB 30367表1固定修复陶瓷按临床用途分类中</w:t>
      </w:r>
      <w:r>
        <w:rPr>
          <w:rFonts w:hint="eastAsia" w:ascii="Times New Roman" w:hAnsi="Times New Roman" w:eastAsia="宋体"/>
          <w:sz w:val="24"/>
          <w:szCs w:val="24"/>
          <w:vertAlign w:val="baseline"/>
          <w:lang w:val="en-US" w:eastAsia="zh-CN"/>
        </w:rPr>
        <w:t>“</w:t>
      </w:r>
      <w:r>
        <w:rPr>
          <w:rFonts w:hint="eastAsia" w:ascii="Times New Roman" w:hAnsi="Times New Roman" w:eastAsia="宋体"/>
          <w:sz w:val="24"/>
          <w:szCs w:val="24"/>
          <w:lang w:val="en-US" w:eastAsia="zh-CN"/>
        </w:rPr>
        <w:t xml:space="preserve">包含四单位及四单位以上修复体的基底陶瓷最大化学溶解性100 </w:t>
      </w:r>
      <w:r>
        <w:rPr>
          <w:rFonts w:hint="default" w:ascii="Times New Roman" w:hAnsi="Times New Roman" w:eastAsia="宋体" w:cs="Times New Roman"/>
          <w:sz w:val="24"/>
          <w:szCs w:val="24"/>
          <w:lang w:val="en-US" w:eastAsia="zh-CN"/>
        </w:rPr>
        <w:t>μg·cm</w:t>
      </w:r>
      <w:r>
        <w:rPr>
          <w:rFonts w:hint="default" w:ascii="Times New Roman" w:hAnsi="Times New Roman" w:eastAsia="宋体" w:cs="Times New Roman"/>
          <w:sz w:val="24"/>
          <w:szCs w:val="24"/>
          <w:vertAlign w:val="superscript"/>
          <w:lang w:val="en-US" w:eastAsia="zh-CN"/>
        </w:rPr>
        <w:t>-2</w:t>
      </w:r>
      <w:r>
        <w:rPr>
          <w:rFonts w:hint="eastAsia" w:ascii="Times New Roman" w:hAnsi="Times New Roman" w:eastAsia="宋体"/>
          <w:sz w:val="24"/>
          <w:szCs w:val="24"/>
          <w:vertAlign w:val="baseline"/>
          <w:lang w:val="en-US" w:eastAsia="zh-CN"/>
        </w:rPr>
        <w:t>”的要求。</w:t>
      </w:r>
    </w:p>
    <w:p w14:paraId="5C85FFD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（4）放射性分析报告：根据GB 30367中7.2款规定方法测得增材制造氧化锆粉末试样的化学溶解性为</w:t>
      </w:r>
      <w:r>
        <w:rPr>
          <w:rFonts w:hint="eastAsia" w:ascii="Times New Roman" w:hAnsi="Times New Roman" w:eastAsia="宋体" w:cs="Times New Roman"/>
          <w:sz w:val="24"/>
          <w:szCs w:val="24"/>
          <w:lang w:val="en-US" w:eastAsia="zh-CN"/>
        </w:rPr>
        <w:t>0.00598 Bq</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g</w:t>
      </w:r>
      <w:r>
        <w:rPr>
          <w:rFonts w:hint="default" w:ascii="Times New Roman" w:hAnsi="Times New Roman" w:eastAsia="宋体" w:cs="Times New Roman"/>
          <w:sz w:val="24"/>
          <w:szCs w:val="24"/>
          <w:vertAlign w:val="superscript"/>
          <w:lang w:val="en-US" w:eastAsia="zh-CN"/>
        </w:rPr>
        <w:t>-</w:t>
      </w:r>
      <w:r>
        <w:rPr>
          <w:rFonts w:hint="eastAsia" w:ascii="Times New Roman" w:hAnsi="Times New Roman" w:eastAsia="宋体" w:cs="Times New Roman"/>
          <w:sz w:val="24"/>
          <w:szCs w:val="24"/>
          <w:vertAlign w:val="superscript"/>
          <w:lang w:val="en-US" w:eastAsia="zh-CN"/>
        </w:rPr>
        <w:t>1</w:t>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sz w:val="24"/>
          <w:szCs w:val="24"/>
          <w:vertAlign w:val="baseline"/>
          <w:lang w:val="en-US" w:eastAsia="zh-CN"/>
        </w:rPr>
        <w:t>满足</w:t>
      </w:r>
      <w:r>
        <w:rPr>
          <w:rFonts w:hint="eastAsia" w:ascii="Times New Roman" w:hAnsi="Times New Roman" w:eastAsia="宋体"/>
          <w:sz w:val="24"/>
          <w:szCs w:val="24"/>
          <w:lang w:val="en-US" w:eastAsia="zh-CN"/>
        </w:rPr>
        <w:t>GB 30367中5.2.2款规定</w:t>
      </w:r>
      <w:r>
        <w:rPr>
          <w:rFonts w:hint="eastAsia" w:ascii="Times New Roman" w:hAnsi="Times New Roman" w:eastAsia="宋体"/>
          <w:sz w:val="24"/>
          <w:szCs w:val="24"/>
          <w:vertAlign w:val="baseline"/>
          <w:lang w:val="en-US" w:eastAsia="zh-CN"/>
        </w:rPr>
        <w:t>“牙科陶瓷材料中铀238的浓度不大于</w:t>
      </w:r>
      <w:r>
        <w:rPr>
          <w:rFonts w:hint="eastAsia" w:ascii="Times New Roman" w:hAnsi="Times New Roman" w:eastAsia="宋体"/>
          <w:sz w:val="24"/>
          <w:szCs w:val="24"/>
          <w:lang w:val="en-US" w:eastAsia="zh-CN"/>
        </w:rPr>
        <w:t xml:space="preserve">1 </w:t>
      </w:r>
      <w:r>
        <w:rPr>
          <w:rFonts w:hint="eastAsia" w:ascii="Times New Roman" w:hAnsi="Times New Roman" w:eastAsia="宋体" w:cs="Times New Roman"/>
          <w:sz w:val="24"/>
          <w:szCs w:val="24"/>
          <w:lang w:val="en-US" w:eastAsia="zh-CN"/>
        </w:rPr>
        <w:t>Bq</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g</w:t>
      </w:r>
      <w:r>
        <w:rPr>
          <w:rFonts w:hint="default" w:ascii="Times New Roman" w:hAnsi="Times New Roman" w:eastAsia="宋体" w:cs="Times New Roman"/>
          <w:sz w:val="24"/>
          <w:szCs w:val="24"/>
          <w:vertAlign w:val="superscript"/>
          <w:lang w:val="en-US" w:eastAsia="zh-CN"/>
        </w:rPr>
        <w:t>-</w:t>
      </w:r>
      <w:r>
        <w:rPr>
          <w:rFonts w:hint="eastAsia" w:ascii="Times New Roman" w:hAnsi="Times New Roman" w:eastAsia="宋体" w:cs="Times New Roman"/>
          <w:sz w:val="24"/>
          <w:szCs w:val="24"/>
          <w:vertAlign w:val="superscript"/>
          <w:lang w:val="en-US" w:eastAsia="zh-CN"/>
        </w:rPr>
        <w:t>1</w:t>
      </w:r>
      <w:r>
        <w:rPr>
          <w:rFonts w:hint="eastAsia" w:ascii="Times New Roman" w:hAnsi="Times New Roman" w:eastAsia="宋体"/>
          <w:sz w:val="24"/>
          <w:szCs w:val="24"/>
          <w:vertAlign w:val="baseline"/>
          <w:lang w:val="en-US" w:eastAsia="zh-CN"/>
        </w:rPr>
        <w:t>”的要求。</w:t>
      </w:r>
    </w:p>
    <w:p w14:paraId="7B643D4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2. 技术经济论证</w:t>
      </w:r>
    </w:p>
    <w:p w14:paraId="1F6C6A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1）技术必要性论证：当前，采用增材制造技术生产定制式氧化锆陶瓷桥架已成为现实，但统一技术规范的缺失将导致产品质量参差不齐，不能很好地服务于临床端，还可能引发一系列问题：桥架精度不足导致就位困难，进而导致修复体过早失效；力学性能不稳定，尤其是长桥存在断裂风险；如果不同厂商产品性能差异过大，将影响医生使用预期。因此，制定本标准是规范市场、保障患者安全、促进行业从“能做”到“做好”转型升级的迫切技术需要。</w:t>
      </w:r>
    </w:p>
    <w:p w14:paraId="2FF12E8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（2）技术指标的经济性平衡：标准指标的设定遵循了“适度领先，兼顾普适”的原则，进行了审慎的经济性平衡：</w:t>
      </w:r>
    </w:p>
    <w:p w14:paraId="6C9792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对生产企业的影响：标准并未要求必须使用最顶级的设备或材料，而是强调对现有主流工艺的“优化与稳定控制”。企业为达标所需投入的成本主要体现在：①工艺参数的精细化调试（软性成本）；②加强过程检验与最终检验（增加少量检测成本）。这两项投入能显著降低因产品不合格导致的返工、报废和未来可能发生的临床纠纷，长期来看，总成本将会降低。初步测算，规模化生产条件下，因达标带来的质量成本节约可覆盖新增管理成本。</w:t>
      </w:r>
    </w:p>
    <w:p w14:paraId="0E5BA1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对产业链的影响：标准将倒逼上游材料供应商提供性能更稳定、匹配不同打印工艺的更好的浆料，促使设备厂商优化打印算法与烧结程序。虽然可能小幅增加上游研发成本，但将推动整个产业链价值提升。</w:t>
      </w:r>
    </w:p>
    <w:p w14:paraId="0BF61B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总体平衡：标准通过设定合理的性能门槛，避免了因追求极高指标而导致的成本急剧上升。它鼓励企业通过“管理优化”和“工艺Know-how”提升竞争力，而非简单的“设备军备竞赛”，符合大多数企业的经济利益。</w:t>
      </w:r>
    </w:p>
    <w:p w14:paraId="372A8D7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（3）与现有标准体系的协调性：</w:t>
      </w:r>
    </w:p>
    <w:p w14:paraId="6A7599A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本标准在技术内容上与GB 30367、GB 15982、GB/T 35351和GB/T 9937等基础通用标准协调一致。本标准是对现有标准体系在“增材制造 定制式氧化锆陶瓷桥架”这一特定产品领域的细化和补充，而非另起炉灶，确保了标准体系的完整性和企业执行的连贯性。</w:t>
      </w:r>
    </w:p>
    <w:p w14:paraId="0E05F5CF">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default"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3. 预期的经济效果</w:t>
      </w:r>
    </w:p>
    <w:p w14:paraId="4A90BE8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r>
        <w:rPr>
          <w:rFonts w:hint="default" w:ascii="Times New Roman" w:hAnsi="Times New Roman" w:eastAsia="宋体"/>
          <w:sz w:val="24"/>
          <w:szCs w:val="24"/>
          <w:lang w:val="en-US" w:eastAsia="zh-CN"/>
        </w:rPr>
        <w:t>降低行业总质量成本：通过统一的质量标尺，预计可减少因</w:t>
      </w:r>
      <w:r>
        <w:rPr>
          <w:rFonts w:hint="eastAsia" w:ascii="Times New Roman" w:hAnsi="Times New Roman" w:eastAsia="宋体"/>
          <w:sz w:val="24"/>
          <w:szCs w:val="24"/>
          <w:lang w:val="en-US" w:eastAsia="zh-CN"/>
        </w:rPr>
        <w:t>精度</w:t>
      </w:r>
      <w:r>
        <w:rPr>
          <w:rFonts w:hint="default" w:ascii="Times New Roman" w:hAnsi="Times New Roman" w:eastAsia="宋体"/>
          <w:sz w:val="24"/>
          <w:szCs w:val="24"/>
          <w:lang w:val="en-US" w:eastAsia="zh-CN"/>
        </w:rPr>
        <w:t>不符、强度不足导致的临床返工</w:t>
      </w:r>
      <w:r>
        <w:rPr>
          <w:rFonts w:hint="eastAsia" w:ascii="Times New Roman" w:hAnsi="Times New Roman" w:eastAsia="宋体"/>
          <w:sz w:val="24"/>
          <w:szCs w:val="24"/>
          <w:lang w:val="en-US" w:eastAsia="zh-CN"/>
        </w:rPr>
        <w:t>率</w:t>
      </w:r>
      <w:r>
        <w:rPr>
          <w:rFonts w:hint="default" w:ascii="Times New Roman" w:hAnsi="Times New Roman" w:eastAsia="宋体"/>
          <w:sz w:val="24"/>
          <w:szCs w:val="24"/>
          <w:lang w:val="en-US" w:eastAsia="zh-CN"/>
        </w:rPr>
        <w:t>和修复体</w:t>
      </w:r>
      <w:r>
        <w:rPr>
          <w:rFonts w:hint="eastAsia" w:ascii="Times New Roman" w:hAnsi="Times New Roman" w:eastAsia="宋体"/>
          <w:sz w:val="24"/>
          <w:szCs w:val="24"/>
          <w:lang w:val="en-US" w:eastAsia="zh-CN"/>
        </w:rPr>
        <w:t>重做率</w:t>
      </w:r>
      <w:r>
        <w:rPr>
          <w:rFonts w:hint="default" w:ascii="Times New Roman" w:hAnsi="Times New Roman" w:eastAsia="宋体"/>
          <w:sz w:val="24"/>
          <w:szCs w:val="24"/>
          <w:lang w:val="en-US" w:eastAsia="zh-CN"/>
        </w:rPr>
        <w:t>，为整个产业链（加工厂、</w:t>
      </w:r>
      <w:r>
        <w:rPr>
          <w:rFonts w:hint="eastAsia" w:ascii="Times New Roman" w:hAnsi="Times New Roman" w:eastAsia="宋体"/>
          <w:sz w:val="24"/>
          <w:szCs w:val="24"/>
          <w:lang w:val="en-US" w:eastAsia="zh-CN"/>
        </w:rPr>
        <w:t>医院或</w:t>
      </w:r>
      <w:r>
        <w:rPr>
          <w:rFonts w:hint="default" w:ascii="Times New Roman" w:hAnsi="Times New Roman" w:eastAsia="宋体"/>
          <w:sz w:val="24"/>
          <w:szCs w:val="24"/>
          <w:lang w:val="en-US" w:eastAsia="zh-CN"/>
        </w:rPr>
        <w:t>诊所</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患者）节约直接经济损失。</w:t>
      </w:r>
    </w:p>
    <w:p w14:paraId="705110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r>
        <w:rPr>
          <w:rFonts w:hint="default" w:ascii="Times New Roman" w:hAnsi="Times New Roman" w:eastAsia="宋体"/>
          <w:sz w:val="24"/>
          <w:szCs w:val="24"/>
          <w:lang w:val="en-US" w:eastAsia="zh-CN"/>
        </w:rPr>
        <w:t>提升优质产品附加值与市场认可度： 符合标准的产品可获得更高的市场定价能力和客户信任度，有助于优质企业扩大市场份额，形成“良币驱逐劣币”的效应，提升行业平均利润率。</w:t>
      </w:r>
    </w:p>
    <w:p w14:paraId="1C5F60C5">
      <w:pPr>
        <w:autoSpaceDE w:val="0"/>
        <w:autoSpaceDN w:val="0"/>
        <w:adjustRightInd w:val="0"/>
        <w:jc w:val="left"/>
        <w:rPr>
          <w:rFonts w:ascii="Times New Roman" w:hAnsi="Times New Roman" w:eastAsia="宋体"/>
          <w:b/>
          <w:bCs/>
          <w:sz w:val="28"/>
          <w:szCs w:val="28"/>
        </w:rPr>
      </w:pPr>
      <w:r>
        <w:rPr>
          <w:rFonts w:ascii="Times New Roman" w:hAnsi="Times New Roman" w:eastAsia="宋体"/>
          <w:b/>
          <w:bCs/>
          <w:sz w:val="28"/>
          <w:szCs w:val="28"/>
        </w:rPr>
        <w:t>四、采用国际标准</w:t>
      </w:r>
      <w:r>
        <w:rPr>
          <w:rFonts w:hint="eastAsia" w:ascii="Times New Roman" w:hAnsi="Times New Roman" w:eastAsia="宋体"/>
          <w:b/>
          <w:bCs/>
          <w:sz w:val="28"/>
          <w:szCs w:val="28"/>
        </w:rPr>
        <w:t>或</w:t>
      </w:r>
      <w:r>
        <w:rPr>
          <w:rFonts w:ascii="Times New Roman" w:hAnsi="Times New Roman" w:eastAsia="宋体"/>
          <w:b/>
          <w:bCs/>
          <w:sz w:val="28"/>
          <w:szCs w:val="28"/>
        </w:rPr>
        <w:t>国外文件的程度及水平的简要说明</w:t>
      </w:r>
    </w:p>
    <w:p w14:paraId="04BBC8A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本标准在起草阶段，未检索到国内外同类的标准。标准在桥架机械性能（挠曲强度和断裂韧性）、化学溶解性、放射性这三个指标上沿用了ISO 6872:2024（对应国内现行标准GB 30367-2013）中的对应描述，已在标准征求意见稿中标注来源。</w:t>
      </w:r>
    </w:p>
    <w:p w14:paraId="636692B4">
      <w:pPr>
        <w:autoSpaceDE w:val="0"/>
        <w:autoSpaceDN w:val="0"/>
        <w:adjustRightInd w:val="0"/>
        <w:jc w:val="left"/>
        <w:rPr>
          <w:rFonts w:ascii="Times New Roman" w:hAnsi="Times New Roman" w:eastAsia="宋体"/>
          <w:b/>
          <w:bCs/>
          <w:sz w:val="28"/>
          <w:szCs w:val="28"/>
        </w:rPr>
      </w:pPr>
      <w:r>
        <w:rPr>
          <w:rFonts w:ascii="Times New Roman" w:hAnsi="Times New Roman" w:eastAsia="宋体"/>
          <w:b/>
          <w:bCs/>
          <w:sz w:val="28"/>
          <w:szCs w:val="28"/>
        </w:rPr>
        <w:t>五、重大分歧意见的处理经过和依据</w:t>
      </w:r>
    </w:p>
    <w:p w14:paraId="4F10ADD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重大分歧意见：2025年9月26日在四川大学华西口腔医院召开的团体标准评审会中，专家组专家听取起草组汇报后，指出原标准题目“增材制造定制氧化锆陶瓷桥架的设计与临床使用规范”囊括范围太大，标准不清楚是“设计规范”还是“使用规范”。</w:t>
      </w:r>
    </w:p>
    <w:p w14:paraId="3404079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起草组在立项评审会上回复：增材制造定制式氧化锆陶瓷桥架，目前还没有取得医疗器械注册证的相关产品，但是增材制造氧化锆的发展，使得利用此技术制造桥架成为可能，并且未来取证后会在临床使用。因此，标准需要涵盖这两部分内容。</w:t>
      </w:r>
    </w:p>
    <w:p w14:paraId="145F17B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专家组建议起草组：标准中关于增材制造定制式氧化锆陶瓷桥架产品本身的内容具有前瞻性，对后续医疗器械注册申报具有指导作用，因此建议起草组从原计划标准中拆分出单独的“产品标准”；另外，产品取证后的标准化临床操作同样重要，建议再补充“临床操作规程”。上述两个标准分别按照“GB/T 20001.10”和“GB/T 20001.6”起草。</w:t>
      </w:r>
    </w:p>
    <w:p w14:paraId="3BC59623">
      <w:pPr>
        <w:autoSpaceDE w:val="0"/>
        <w:autoSpaceDN w:val="0"/>
        <w:adjustRightInd w:val="0"/>
        <w:jc w:val="left"/>
        <w:rPr>
          <w:rFonts w:ascii="Times New Roman" w:hAnsi="Times New Roman" w:eastAsia="宋体"/>
          <w:b/>
          <w:bCs/>
          <w:sz w:val="28"/>
          <w:szCs w:val="28"/>
        </w:rPr>
      </w:pPr>
      <w:r>
        <w:rPr>
          <w:rFonts w:ascii="Times New Roman" w:hAnsi="Times New Roman" w:eastAsia="宋体"/>
          <w:b/>
          <w:bCs/>
          <w:sz w:val="28"/>
          <w:szCs w:val="28"/>
        </w:rPr>
        <w:t>六、贯彻</w:t>
      </w:r>
      <w:r>
        <w:rPr>
          <w:rFonts w:hint="eastAsia" w:ascii="Times New Roman" w:hAnsi="Times New Roman" w:eastAsia="宋体"/>
          <w:b/>
          <w:bCs/>
          <w:sz w:val="28"/>
          <w:szCs w:val="28"/>
        </w:rPr>
        <w:t>促进会团体标准</w:t>
      </w:r>
      <w:r>
        <w:rPr>
          <w:rFonts w:ascii="Times New Roman" w:hAnsi="Times New Roman" w:eastAsia="宋体"/>
          <w:b/>
          <w:bCs/>
          <w:sz w:val="28"/>
          <w:szCs w:val="28"/>
        </w:rPr>
        <w:t>的要求和措施建议</w:t>
      </w:r>
    </w:p>
    <w:p w14:paraId="563D3AB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1. 组织实施</w:t>
      </w:r>
    </w:p>
    <w:p w14:paraId="134F6DC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1.1 成立标准贯彻推进工作组：由标准归口单位（中国产学研合作促进会）牵头，联合主要起草单位四川大学华西口腔医院、行业龙头企业杭州泰利斯医疗科技有限公司、检测认证机构以及临床专家代表等，成立专门的“标准贯彻推进工作组”；统筹协调各方资源，共同监督标准推进实施工作的进展；评估标准实施效果，负责研讨并处理标准实施中的重大共性问题。</w:t>
      </w:r>
    </w:p>
    <w:p w14:paraId="4451B49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1.2 构建多层次宣贯培训体系：①官方发布与解读：由中国产学研合作促进会牵头主办、参与起草单位共同承办举行标准的线上或线下发布会，由主要起草专家对标准条款（特别是术语、技术要求、试验方法、检验规则）进行权威解读；②开展专题培训课程：针对不同对象开发定制化课程：对于企业技术与管理人员：重点培训材料性能、工艺流程控制、质量检验等；对于临床医生与技师：重点培训标准对设计、制作要点以及临床操作规程等；对于检测人员：重点培训标准的试验方法与判定规则；③制作并分发配套资料：可以请专家团队组织编写《标准实施指南》、《常见问题解答（FAQ）》等，通过中国产学研合作促进会官网、公众号或行业会议等多渠道传播。</w:t>
      </w:r>
    </w:p>
    <w:p w14:paraId="18FA8D4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1.3 建立试点示范与经验推广机制：遴选若干家具备条件的义齿加工企业或医疗机构作为“贯标示范单位”，指导其建立和完善符合标准的质量管理体系；并总结示范单位的成功经验和典型案例，组织观摩交流活动，形成“以点带面”的辐射效应。</w:t>
      </w:r>
    </w:p>
    <w:p w14:paraId="07627C3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1.4 信息反馈与持续改进：通过标准公开平台收集各方在实施标准过程中遇到的技术难题、标准理解歧义及修订建议；并反馈至起草组定期对反馈信息进行汇总分析，为标准的后续修订和完善提供依据，形成动态管理闭环。</w:t>
      </w:r>
    </w:p>
    <w:p w14:paraId="27769B2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2. 技术措施</w:t>
      </w:r>
    </w:p>
    <w:p w14:paraId="5D5E058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2.1 编制关键技术实施指南：针对标准中的核心性能指标（如：外观、表面粗糙度、精度、挠曲强度、断裂韧性、化学溶解性、微生物限度等），组织专家编制具体的《工艺控制与检测操作指南》，明确关键控制点、推荐工艺参数范围和检测注意事项。</w:t>
      </w:r>
    </w:p>
    <w:p w14:paraId="27B3E4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2.2 推动检测能力建设与互认：鼓励和支持有资质的第三方检测机构依据本标准建立相应的检测能力，并对外提供检测服务。组织实施不同检测机构之间检测能力的活动，确保不同机构对标准理解和执行的一致性，促进检测结果互认。</w:t>
      </w:r>
    </w:p>
    <w:p w14:paraId="1B69CB6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2.3 促进产业链协同适配：组织增材制造定制式氧化锆陶瓷桥架相关材料（氧化锆陶瓷浆料）、设备（氧化锆陶瓷打印机、烧结炉）、打磨抛光工具、扫描与设计软件企业，依据本标准的要求，优化其产品性能和技术参数，确保其产品能帮助下游用户生产出符合标准要求的桥架产品；并且可以举办“产业链对接会”，促进上下游技术对话与协作。</w:t>
      </w:r>
    </w:p>
    <w:p w14:paraId="6B86303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2.4 开展符合性评价与标识工作：研究并建立基于本标准的自愿性产品符合性评价程序。企业可自愿申请评价，评价通过后获准使用统一的“符合T/XXX标准”标识。该标识可作为产品质量和合规性的市场证明，增强客户信心，助力优质产品推广。</w:t>
      </w:r>
    </w:p>
    <w:p w14:paraId="3D738E29">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3. 过渡办法</w:t>
      </w:r>
    </w:p>
    <w:p w14:paraId="7DB8B4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3.1 </w:t>
      </w:r>
      <w:r>
        <w:rPr>
          <w:rFonts w:hint="default" w:ascii="Times New Roman" w:hAnsi="Times New Roman" w:eastAsia="宋体"/>
          <w:sz w:val="24"/>
          <w:szCs w:val="24"/>
          <w:lang w:val="en-US" w:eastAsia="zh-CN"/>
        </w:rPr>
        <w:t>设置合理的过渡期：建议自标准正式发布之日起，</w:t>
      </w:r>
      <w:r>
        <w:rPr>
          <w:rFonts w:hint="eastAsia" w:ascii="Times New Roman" w:hAnsi="Times New Roman" w:eastAsia="宋体"/>
          <w:sz w:val="24"/>
          <w:szCs w:val="24"/>
          <w:lang w:val="en-US" w:eastAsia="zh-CN"/>
        </w:rPr>
        <w:t>对计划开展增材制造定制式氧化锆陶瓷桥架制造业务的企业，</w:t>
      </w:r>
      <w:r>
        <w:rPr>
          <w:rFonts w:hint="default" w:ascii="Times New Roman" w:hAnsi="Times New Roman" w:eastAsia="宋体"/>
          <w:sz w:val="24"/>
          <w:szCs w:val="24"/>
          <w:lang w:val="en-US" w:eastAsia="zh-CN"/>
        </w:rPr>
        <w:t>设置6-12个月的过渡期。过渡期内，鼓励企业积极进行技术升级、工艺调整和质量体系适配，逐步向新标准要求靠拢。</w:t>
      </w:r>
    </w:p>
    <w:p w14:paraId="604AA82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3.2 </w:t>
      </w:r>
      <w:r>
        <w:rPr>
          <w:rFonts w:hint="default" w:ascii="Times New Roman" w:hAnsi="Times New Roman" w:eastAsia="宋体"/>
          <w:sz w:val="24"/>
          <w:szCs w:val="24"/>
          <w:lang w:val="en-US" w:eastAsia="zh-CN"/>
        </w:rPr>
        <w:t>实施“新旧区分”管理：过渡期内，允许企业同时按原企业标准</w:t>
      </w:r>
      <w:r>
        <w:rPr>
          <w:rFonts w:hint="eastAsia" w:ascii="Times New Roman" w:hAnsi="Times New Roman" w:eastAsia="宋体"/>
          <w:sz w:val="24"/>
          <w:szCs w:val="24"/>
          <w:lang w:val="en-US" w:eastAsia="zh-CN"/>
        </w:rPr>
        <w:t>或技术</w:t>
      </w:r>
      <w:r>
        <w:rPr>
          <w:rFonts w:hint="default" w:ascii="Times New Roman" w:hAnsi="Times New Roman" w:eastAsia="宋体"/>
          <w:sz w:val="24"/>
          <w:szCs w:val="24"/>
          <w:lang w:val="en-US" w:eastAsia="zh-CN"/>
        </w:rPr>
        <w:t>规范和新团体标准组织生产。但在产品标识、说明书或合同文件中，必须明确注明所依据的标准代号</w:t>
      </w:r>
      <w:r>
        <w:rPr>
          <w:rFonts w:hint="eastAsia" w:ascii="Times New Roman" w:hAnsi="Times New Roman" w:eastAsia="宋体"/>
          <w:sz w:val="24"/>
          <w:szCs w:val="24"/>
          <w:lang w:val="en-US" w:eastAsia="zh-CN"/>
        </w:rPr>
        <w:t>；并</w:t>
      </w:r>
      <w:r>
        <w:rPr>
          <w:rFonts w:hint="default" w:ascii="Times New Roman" w:hAnsi="Times New Roman" w:eastAsia="宋体"/>
          <w:sz w:val="24"/>
          <w:szCs w:val="24"/>
          <w:lang w:val="en-US" w:eastAsia="zh-CN"/>
        </w:rPr>
        <w:t>鼓励企业在过渡期内，对新标准产品进行送检和自我符合性声明。</w:t>
      </w:r>
    </w:p>
    <w:p w14:paraId="15924D4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3.3 </w:t>
      </w:r>
      <w:r>
        <w:rPr>
          <w:rFonts w:hint="default" w:ascii="Times New Roman" w:hAnsi="Times New Roman" w:eastAsia="宋体"/>
          <w:sz w:val="24"/>
          <w:szCs w:val="24"/>
          <w:lang w:val="en-US" w:eastAsia="zh-CN"/>
        </w:rPr>
        <w:t>强化</w:t>
      </w:r>
      <w:r>
        <w:rPr>
          <w:rFonts w:hint="eastAsia" w:ascii="Times New Roman" w:hAnsi="Times New Roman" w:eastAsia="宋体"/>
          <w:sz w:val="24"/>
          <w:szCs w:val="24"/>
          <w:lang w:val="en-US" w:eastAsia="zh-CN"/>
        </w:rPr>
        <w:t>标准</w:t>
      </w:r>
      <w:r>
        <w:rPr>
          <w:rFonts w:hint="default" w:ascii="Times New Roman" w:hAnsi="Times New Roman" w:eastAsia="宋体"/>
          <w:sz w:val="24"/>
          <w:szCs w:val="24"/>
          <w:lang w:val="en-US" w:eastAsia="zh-CN"/>
        </w:rPr>
        <w:t>引导：</w:t>
      </w:r>
      <w:r>
        <w:rPr>
          <w:rFonts w:hint="eastAsia" w:ascii="Times New Roman" w:hAnsi="Times New Roman" w:eastAsia="宋体"/>
          <w:sz w:val="24"/>
          <w:szCs w:val="24"/>
          <w:lang w:val="en-US" w:eastAsia="zh-CN"/>
        </w:rPr>
        <w:t>基于各方对标准的实施反馈情况，逐步建立完善的标准，获得更大范围的共识</w:t>
      </w:r>
      <w:r>
        <w:rPr>
          <w:rFonts w:hint="default" w:ascii="Times New Roman" w:hAnsi="Times New Roman" w:eastAsia="宋体"/>
          <w:sz w:val="24"/>
          <w:szCs w:val="24"/>
          <w:lang w:val="en-US" w:eastAsia="zh-CN"/>
        </w:rPr>
        <w:t>。</w:t>
      </w:r>
      <w:r>
        <w:rPr>
          <w:rFonts w:hint="eastAsia" w:ascii="Times New Roman" w:hAnsi="Times New Roman" w:eastAsia="宋体"/>
          <w:sz w:val="24"/>
          <w:szCs w:val="24"/>
          <w:lang w:val="en-US" w:eastAsia="zh-CN"/>
        </w:rPr>
        <w:t>争取</w:t>
      </w:r>
      <w:r>
        <w:rPr>
          <w:rFonts w:hint="default" w:ascii="Times New Roman" w:hAnsi="Times New Roman" w:eastAsia="宋体"/>
          <w:sz w:val="24"/>
          <w:szCs w:val="24"/>
          <w:lang w:val="en-US" w:eastAsia="zh-CN"/>
        </w:rPr>
        <w:t>将本标准作为相关产品认证</w:t>
      </w:r>
      <w:r>
        <w:rPr>
          <w:rFonts w:hint="eastAsia" w:ascii="Times New Roman" w:hAnsi="Times New Roman" w:eastAsia="宋体"/>
          <w:sz w:val="24"/>
          <w:szCs w:val="24"/>
          <w:lang w:val="en-US" w:eastAsia="zh-CN"/>
        </w:rPr>
        <w:t>医疗器械、材料等注册审查</w:t>
      </w:r>
      <w:r>
        <w:rPr>
          <w:rFonts w:hint="default" w:ascii="Times New Roman" w:hAnsi="Times New Roman" w:eastAsia="宋体"/>
          <w:sz w:val="24"/>
          <w:szCs w:val="24"/>
          <w:lang w:val="en-US" w:eastAsia="zh-CN"/>
        </w:rPr>
        <w:t>的重要技术依据，形成市场化的驱动力量。</w:t>
      </w:r>
    </w:p>
    <w:p w14:paraId="0401E5DC">
      <w:pPr>
        <w:autoSpaceDE w:val="0"/>
        <w:autoSpaceDN w:val="0"/>
        <w:adjustRightInd w:val="0"/>
        <w:jc w:val="left"/>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七、其他应予说明的事项</w:t>
      </w:r>
    </w:p>
    <w:p w14:paraId="5EC3E2A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sz w:val="28"/>
          <w:szCs w:val="28"/>
          <w:lang w:val="en-US" w:eastAsia="zh-CN"/>
        </w:rPr>
      </w:pPr>
      <w:r>
        <w:rPr>
          <w:rFonts w:hint="eastAsia" w:ascii="Times New Roman" w:hAnsi="Times New Roman" w:eastAsia="宋体"/>
          <w:sz w:val="24"/>
          <w:szCs w:val="24"/>
          <w:lang w:val="en-US" w:eastAsia="zh-CN"/>
        </w:rPr>
        <w:t>无其他应予说明的事项。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altName w:val="宋体"/>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76FF">
    <w:pPr>
      <w:pStyle w:val="2"/>
      <w:spacing w:line="230" w:lineRule="auto"/>
      <w:ind w:left="4503"/>
      <w:rPr>
        <w:sz w:val="21"/>
        <w:szCs w:val="21"/>
      </w:rPr>
    </w:pPr>
    <w:r>
      <w:rPr>
        <w:spacing w:val="-3"/>
        <w:sz w:val="21"/>
        <w:szCs w:val="21"/>
      </w:rPr>
      <w:t>87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43"/>
    <w:rsid w:val="004C602C"/>
    <w:rsid w:val="006B0C69"/>
    <w:rsid w:val="006F045A"/>
    <w:rsid w:val="009F2B8E"/>
    <w:rsid w:val="00DC3043"/>
    <w:rsid w:val="04B43C9E"/>
    <w:rsid w:val="08144E14"/>
    <w:rsid w:val="0B1A016E"/>
    <w:rsid w:val="101F4237"/>
    <w:rsid w:val="10260EB5"/>
    <w:rsid w:val="127D296B"/>
    <w:rsid w:val="1454426D"/>
    <w:rsid w:val="16BF3B55"/>
    <w:rsid w:val="1BFD7F81"/>
    <w:rsid w:val="1C947F5B"/>
    <w:rsid w:val="1D862F93"/>
    <w:rsid w:val="1E412CB1"/>
    <w:rsid w:val="201B1485"/>
    <w:rsid w:val="20D2222D"/>
    <w:rsid w:val="21567C43"/>
    <w:rsid w:val="23A9192D"/>
    <w:rsid w:val="23F24EDE"/>
    <w:rsid w:val="2436670C"/>
    <w:rsid w:val="269D165A"/>
    <w:rsid w:val="27D27C0A"/>
    <w:rsid w:val="29F46C44"/>
    <w:rsid w:val="2C201FCD"/>
    <w:rsid w:val="2E14229F"/>
    <w:rsid w:val="2F985BB1"/>
    <w:rsid w:val="34C673AF"/>
    <w:rsid w:val="34F36E83"/>
    <w:rsid w:val="36E9393A"/>
    <w:rsid w:val="38E06DDC"/>
    <w:rsid w:val="391F2F62"/>
    <w:rsid w:val="39671A73"/>
    <w:rsid w:val="396C52DB"/>
    <w:rsid w:val="3D3A37EA"/>
    <w:rsid w:val="3F4E3196"/>
    <w:rsid w:val="413976E1"/>
    <w:rsid w:val="43284021"/>
    <w:rsid w:val="439F3309"/>
    <w:rsid w:val="458B34E3"/>
    <w:rsid w:val="46DB567A"/>
    <w:rsid w:val="4A492A84"/>
    <w:rsid w:val="4FAE1113"/>
    <w:rsid w:val="4FBC446F"/>
    <w:rsid w:val="4FF21274"/>
    <w:rsid w:val="5037385F"/>
    <w:rsid w:val="516C7F97"/>
    <w:rsid w:val="56CF0F2B"/>
    <w:rsid w:val="570A1AEA"/>
    <w:rsid w:val="587C71BE"/>
    <w:rsid w:val="5A0C5FF2"/>
    <w:rsid w:val="5CC3703D"/>
    <w:rsid w:val="5CC42BB4"/>
    <w:rsid w:val="5CD31049"/>
    <w:rsid w:val="5D6650A3"/>
    <w:rsid w:val="5E8C7702"/>
    <w:rsid w:val="64E27BCA"/>
    <w:rsid w:val="64F40CD8"/>
    <w:rsid w:val="64F80A6A"/>
    <w:rsid w:val="6AA162E3"/>
    <w:rsid w:val="6F37637E"/>
    <w:rsid w:val="7480164F"/>
    <w:rsid w:val="752710EF"/>
    <w:rsid w:val="75C64E50"/>
    <w:rsid w:val="76501FDC"/>
    <w:rsid w:val="782B24D0"/>
    <w:rsid w:val="7B307FE0"/>
    <w:rsid w:val="7C234CCC"/>
    <w:rsid w:val="7DF90F29"/>
    <w:rsid w:val="7E0859F9"/>
    <w:rsid w:val="931F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28"/>
      <w:szCs w:val="28"/>
      <w:lang w:val="en-US" w:eastAsia="en-US" w:bidi="ar-SA"/>
    </w:rPr>
  </w:style>
  <w:style w:type="paragraph" w:styleId="3">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Body Text First Indent"/>
    <w:basedOn w:val="2"/>
    <w:qFormat/>
    <w:uiPriority w:val="0"/>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13</Pages>
  <Words>1389</Words>
  <Characters>1459</Characters>
  <Lines>1</Lines>
  <Paragraphs>1</Paragraphs>
  <TotalTime>0</TotalTime>
  <ScaleCrop>false</ScaleCrop>
  <LinksUpToDate>false</LinksUpToDate>
  <CharactersWithSpaces>1468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2021-07-27T11:38:00Z</dcterms:created>
  <dc:creator>China</dc:creator>
  <cp:lastModifiedBy>解晨阳</cp:lastModifiedBy>
  <dcterms:modified xsi:type="dcterms:W3CDTF">2025-12-12T10:00:37Z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eyJoZGlkIjoiMGEyMWI3MWQzYzZkYjQ3M2U1NzdlY2FkN2Y3YWMyMzQiLCJ1c2VySWQiOiIzNTEyNjAwNzcifQ==</vt:lpwstr>
  </property>
  <property fmtid="{D5CDD505-2E9C-101B-9397-08002B2CF9AE}" pid="3" name="KSOProductBuildVer">
    <vt:lpwstr>2052-12.1.0.24034</vt:lpwstr>
  </property>
  <property fmtid="{D5CDD505-2E9C-101B-9397-08002B2CF9AE}" pid="4" name="ICV">
    <vt:lpwstr>F8F0EC186C2621B0EAB43B69B22A55C8_43</vt:lpwstr>
  </property>
</Properties>
</file>