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ind w:firstLine="880" w:firstLineChars="200"/>
        <w:jc w:val="center"/>
        <w:rPr>
          <w:rFonts w:ascii="Times New Roman" w:hAnsi="Times New Roman" w:eastAsia="方正小标宋简体"/>
          <w:sz w:val="44"/>
          <w:szCs w:val="44"/>
        </w:rPr>
      </w:pPr>
      <w:r>
        <w:rPr>
          <w:rFonts w:ascii="Times New Roman" w:hAnsi="Times New Roman" w:eastAsia="方正小标宋简体"/>
          <w:sz w:val="44"/>
          <w:szCs w:val="44"/>
        </w:rPr>
        <w:t>《公路近零碳服务区建设技术指南》</w:t>
      </w:r>
    </w:p>
    <w:p>
      <w:pPr>
        <w:spacing w:line="660" w:lineRule="exact"/>
        <w:ind w:firstLine="880" w:firstLineChars="200"/>
        <w:jc w:val="center"/>
        <w:rPr>
          <w:rFonts w:ascii="Times New Roman" w:hAnsi="Times New Roman" w:eastAsia="方正小标宋简体"/>
          <w:sz w:val="44"/>
          <w:szCs w:val="44"/>
        </w:rPr>
      </w:pPr>
      <w:r>
        <w:rPr>
          <w:rFonts w:ascii="Times New Roman" w:hAnsi="Times New Roman" w:eastAsia="方正小标宋简体"/>
          <w:sz w:val="44"/>
          <w:szCs w:val="44"/>
        </w:rPr>
        <w:t>编制说明</w:t>
      </w:r>
    </w:p>
    <w:p>
      <w:pPr>
        <w:spacing w:line="660" w:lineRule="exact"/>
        <w:ind w:firstLine="880" w:firstLineChars="200"/>
        <w:jc w:val="center"/>
        <w:rPr>
          <w:rFonts w:ascii="Times New Roman" w:hAnsi="Times New Roman" w:eastAsia="方正小标宋简体"/>
          <w:sz w:val="44"/>
          <w:szCs w:val="44"/>
        </w:rPr>
      </w:pP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一、工作简况</w:t>
      </w:r>
    </w:p>
    <w:p>
      <w:pPr>
        <w:pStyle w:val="11"/>
        <w:rPr>
          <w:rFonts w:ascii="Times New Roman" w:cs="Times New Roman"/>
        </w:rPr>
      </w:pPr>
      <w:r>
        <w:rPr>
          <w:rFonts w:ascii="Times New Roman" w:cs="Times New Roman"/>
        </w:rPr>
        <w:t>由新疆交投生态有限责任公司牵头，联合新疆交投建设管理有限责任公司、新疆交通投资（集团）有限责任公司</w:t>
      </w:r>
      <w:r>
        <w:rPr>
          <w:rFonts w:hint="eastAsia" w:ascii="Times New Roman" w:cs="Times New Roman"/>
          <w:lang w:eastAsia="zh-CN"/>
        </w:rPr>
        <w:t>、</w:t>
      </w:r>
      <w:r>
        <w:rPr>
          <w:rFonts w:ascii="Times New Roman" w:cs="Times New Roman"/>
        </w:rPr>
        <w:t>新疆交通科学研究院有限责任公司申请制定《公路近零碳服务区建设技术指南》，填补疆内近零碳服务区建设规范领域空白，解决新疆公路近零碳服务区建设无技术标准指导问题。</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二、制定的必要性和意义</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（一）制定的必要性</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公路交通是能源消耗与碳排放的大户，公路服务区作为公路交通的重要服务节点，承载了旅游、休闲、服务等多种业态和功能，同时也伴随着大量的能源消耗和二氧化碳排放。面对这一现状，服务区需要积极推进绿色可持续发展，探索高标准低碳设计、施工及运营，构建绿色可持续出行新模式。“近零碳”和“零碳”也逐渐成为公路服务区改造升级的新抓手。</w:t>
      </w:r>
    </w:p>
    <w:p>
      <w:pPr>
        <w:spacing w:line="560" w:lineRule="exact"/>
        <w:ind w:firstLine="640" w:firstLineChars="200"/>
        <w:rPr>
          <w:rFonts w:hint="eastAsia" w:ascii="Times New Roman" w:hAnsi="Times New Roman" w:eastAsia="方正仿宋_GBK"/>
          <w:sz w:val="32"/>
          <w:szCs w:val="32"/>
          <w:lang w:val="en-US" w:eastAsia="zh-CN"/>
        </w:rPr>
      </w:pPr>
      <w:r>
        <w:rPr>
          <w:rFonts w:ascii="Times New Roman" w:hAnsi="Times New Roman" w:eastAsia="方正仿宋_GBK"/>
          <w:sz w:val="32"/>
          <w:szCs w:val="32"/>
        </w:rPr>
        <w:t>“十四五”时期，我国生态文明建设进入以降碳为重点战略方向、推动减污降碳协同增效、促进经济社会发展全面绿色转型，实现生态环境质量改善由量变到质变的关键时期。2021年10月中共中央、国务院先后发布了《关于完整准确全面贯彻新发展理念做好碳达峰碳中和工作的意见》《2030年前碳达峰行动方案》，提出要加快绿色交通基础设施建设，降低全生命周期能耗和碳排放。在“双碳”背景下，积极探索近零碳服务区建设技术路径对于统筹推进新时代绿色低碳公路发展具有重要意义和示范作用。交通运输部2014年印发的《关于进一步提升高速公路服务区服务质量的意见》提出了加强绿色服务区建设的要求，《关于实施绿色公路建设的指导意见》将“推进绿色服务区建设”列为五大专项行动之一，要求推行服务区污水处理、建筑节能、清洁能源、垃圾处理等新技术应用。自治区交通运输厅2022年印发《新疆维吾尔自治区绿色交通“十四五”发展实施方案》，将“近零碳交通示范区建设”列为七个重点工程之一，明确提出在</w:t>
      </w:r>
      <w:r>
        <w:rPr>
          <w:rFonts w:hint="eastAsia" w:ascii="Times New Roman" w:hAnsi="Times New Roman" w:eastAsia="方正仿宋_GBK"/>
          <w:sz w:val="32"/>
          <w:szCs w:val="32"/>
          <w:lang w:eastAsia="zh-CN"/>
        </w:rPr>
        <w:t>“十四五”期间</w:t>
      </w:r>
      <w:r>
        <w:rPr>
          <w:rFonts w:ascii="Times New Roman" w:hAnsi="Times New Roman" w:eastAsia="方正仿宋_GBK"/>
          <w:sz w:val="32"/>
          <w:szCs w:val="32"/>
        </w:rPr>
        <w:t>要选择条件成熟的公路服务区、交通枢纽场站等，开展近零碳交通示范区创建工作。</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（一）制定的意义</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截至2022年9月，我国已建成的高速公路服务区超过3300对，每对服务区年均二氧化碳排放量约为1000吨。截至2023年10月，新疆高速（一级）公路里程已超过1.1万公里，服务区111处，助力实现碳达峰碳中和潜力巨大。由于服务区具有分布广、站点多、区域相对集中、管理相对独立的特点，成为公路低碳建设的重要环节，易于开展碳减排工作；同时，其涉及社会公众人员多，示范效应强。目前新疆在服务区光伏建设方面已取得了显著进展，包括台兰河服务区零碳供能项目、羊塔克库都克服务区分布式光伏项目等多个项目已投入使用或正在建设中。这些项目的实施不仅为服务区提供了清洁能源，还以点带面推进碳减排工作，推动新疆绿色低碳交通发展，助力实现“双碳”目标。</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本标准在现有研究基础上，依托已有服务区的升级改造和未来新建的服务区项目，开展近零碳服务区建设技术研究，制定《公路近零碳服务区建设技术指南》，为科学建设新疆公路近零碳服务区提供标准支撑，是落实交通行业“双碳”目标的实际举措。</w:t>
      </w:r>
    </w:p>
    <w:p>
      <w:pPr>
        <w:pStyle w:val="33"/>
        <w:spacing w:line="560" w:lineRule="exact"/>
        <w:ind w:left="640"/>
        <w:rPr>
          <w:rFonts w:ascii="Times New Roman" w:hAnsi="Times New Roman" w:eastAsia="方正黑体_GBK"/>
          <w:sz w:val="32"/>
          <w:szCs w:val="32"/>
          <w:highlight w:val="none"/>
        </w:rPr>
      </w:pPr>
      <w:r>
        <w:rPr>
          <w:rFonts w:ascii="Times New Roman" w:hAnsi="Times New Roman" w:eastAsia="方正黑体_GBK"/>
          <w:sz w:val="32"/>
          <w:szCs w:val="32"/>
          <w:highlight w:val="none"/>
        </w:rPr>
        <w:t>三、主要起草过程</w:t>
      </w:r>
    </w:p>
    <w:p>
      <w:pPr>
        <w:pStyle w:val="33"/>
        <w:spacing w:line="560" w:lineRule="exact"/>
        <w:ind w:left="640"/>
        <w:rPr>
          <w:rFonts w:ascii="Times New Roman" w:hAnsi="Times New Roman" w:eastAsia="方正仿宋_GBK"/>
          <w:sz w:val="32"/>
          <w:szCs w:val="32"/>
        </w:rPr>
      </w:pPr>
      <w:r>
        <w:rPr>
          <w:rFonts w:ascii="Times New Roman" w:hAnsi="Times New Roman" w:eastAsia="方正仿宋_GBK"/>
          <w:sz w:val="32"/>
          <w:szCs w:val="32"/>
        </w:rPr>
        <w:t>（一）成立编制组</w:t>
      </w:r>
    </w:p>
    <w:p>
      <w:pPr>
        <w:pStyle w:val="11"/>
        <w:rPr>
          <w:rFonts w:ascii="Times New Roman" w:cs="Times New Roman"/>
          <w:color w:val="000000"/>
        </w:rPr>
      </w:pPr>
      <w:r>
        <w:rPr>
          <w:rFonts w:ascii="Times New Roman" w:cs="Times New Roman"/>
          <w:color w:val="000000"/>
        </w:rPr>
        <w:t>1. 2024年9-12月，编制组成立，开展资料收集、文献调研与分析等工作。</w:t>
      </w:r>
    </w:p>
    <w:p>
      <w:pPr>
        <w:pStyle w:val="11"/>
        <w:rPr>
          <w:rFonts w:ascii="Times New Roman" w:cs="Times New Roman"/>
          <w:color w:val="000000"/>
        </w:rPr>
      </w:pPr>
      <w:r>
        <w:rPr>
          <w:rFonts w:ascii="Times New Roman" w:cs="Times New Roman"/>
          <w:color w:val="000000"/>
        </w:rPr>
        <w:t>2. 2025年1-2月，初步确定了《公路近零碳服务区建设技术指南》主要技术思路和主要内容框架。</w:t>
      </w:r>
    </w:p>
    <w:p>
      <w:pPr>
        <w:pStyle w:val="11"/>
        <w:rPr>
          <w:rFonts w:ascii="Times New Roman" w:cs="Times New Roman"/>
          <w:color w:val="000000"/>
        </w:rPr>
      </w:pPr>
      <w:r>
        <w:rPr>
          <w:rFonts w:ascii="Times New Roman" w:cs="Times New Roman"/>
          <w:color w:val="000000"/>
        </w:rPr>
        <w:t>（二）指南起草</w:t>
      </w:r>
    </w:p>
    <w:p>
      <w:pPr>
        <w:pStyle w:val="11"/>
        <w:rPr>
          <w:rFonts w:hint="eastAsia" w:ascii="Times New Roman" w:cs="Times New Roman"/>
          <w:color w:val="000000"/>
          <w:lang w:val="en-US" w:eastAsia="zh-CN"/>
        </w:rPr>
      </w:pPr>
      <w:r>
        <w:rPr>
          <w:rFonts w:ascii="Times New Roman" w:cs="Times New Roman"/>
          <w:color w:val="000000"/>
        </w:rPr>
        <w:t xml:space="preserve">3. </w:t>
      </w:r>
      <w:r>
        <w:rPr>
          <w:rFonts w:hint="eastAsia" w:ascii="Times New Roman" w:cs="Times New Roman"/>
          <w:color w:val="000000"/>
        </w:rPr>
        <w:t>2025年3</w:t>
      </w:r>
      <w:r>
        <w:rPr>
          <w:rFonts w:hint="eastAsia" w:ascii="Times New Roman" w:cs="Times New Roman"/>
          <w:color w:val="000000"/>
          <w:lang w:val="en-US" w:eastAsia="zh-CN"/>
        </w:rPr>
        <w:t>-7</w:t>
      </w:r>
      <w:r>
        <w:rPr>
          <w:rFonts w:hint="eastAsia" w:ascii="Times New Roman" w:cs="Times New Roman"/>
          <w:color w:val="000000"/>
        </w:rPr>
        <w:t>月，</w:t>
      </w:r>
      <w:r>
        <w:rPr>
          <w:rFonts w:hint="eastAsia" w:ascii="Times New Roman" w:cs="Times New Roman"/>
          <w:color w:val="000000"/>
          <w:lang w:val="en-US" w:eastAsia="zh-CN"/>
        </w:rPr>
        <w:t>我单位</w:t>
      </w:r>
      <w:r>
        <w:rPr>
          <w:rFonts w:hint="eastAsia" w:ascii="Times New Roman" w:cs="Times New Roman"/>
          <w:color w:val="000000"/>
        </w:rPr>
        <w:t>依托G30科技示范工程，在哈密服务区开展了荒漠区水资源循环利用与能源自洽的近零碳智慧服务区建设技术研究，</w:t>
      </w:r>
      <w:r>
        <w:rPr>
          <w:rFonts w:hint="eastAsia" w:ascii="Times New Roman" w:cs="Times New Roman"/>
          <w:color w:val="000000"/>
          <w:lang w:val="en-US" w:eastAsia="zh-CN"/>
        </w:rPr>
        <w:t>重点针对污水治理与资源化利用技术、服务区能源高效利用技术及基于物联网的水资源与能源智能化监控技术开展系统攻关。</w:t>
      </w:r>
    </w:p>
    <w:p>
      <w:pPr>
        <w:pStyle w:val="11"/>
        <w:rPr>
          <w:rFonts w:hint="eastAsia" w:ascii="Times New Roman" w:cs="Times New Roman"/>
          <w:color w:val="000000"/>
          <w:lang w:val="en-US" w:eastAsia="zh-CN"/>
        </w:rPr>
      </w:pPr>
      <w:r>
        <w:rPr>
          <w:rFonts w:hint="eastAsia" w:ascii="Times New Roman" w:cs="Times New Roman"/>
          <w:color w:val="000000"/>
          <w:lang w:val="en-US" w:eastAsia="zh-CN"/>
        </w:rPr>
        <w:t>开展污水治理与资源化利用技术研究，集成多元催化复合载体生化耦合工艺与自动化设备，对哈密服务区实施供水、污水及中水回用系统的一体化改造，构建高效节水型产业体系。通过将再生水回用于绿化灌溉、道路降尘及冲厕，有效促进节能减排，实现降本增效。哈密服务区北区污水设计处理量250m</w:t>
      </w:r>
      <w:r>
        <w:rPr>
          <w:rFonts w:hint="eastAsia" w:ascii="Times New Roman" w:cs="Times New Roman"/>
          <w:color w:val="000000"/>
          <w:vertAlign w:val="superscript"/>
          <w:lang w:val="en-US" w:eastAsia="zh-CN"/>
        </w:rPr>
        <w:t>3</w:t>
      </w:r>
      <w:r>
        <w:rPr>
          <w:rFonts w:hint="eastAsia" w:ascii="Times New Roman" w:cs="Times New Roman"/>
          <w:color w:val="000000"/>
          <w:lang w:val="en-US" w:eastAsia="zh-CN"/>
        </w:rPr>
        <w:t>/d，南区200m</w:t>
      </w:r>
      <w:r>
        <w:rPr>
          <w:rFonts w:hint="eastAsia" w:ascii="Times New Roman" w:cs="Times New Roman"/>
          <w:color w:val="000000"/>
          <w:vertAlign w:val="superscript"/>
          <w:lang w:val="en-US" w:eastAsia="zh-CN"/>
        </w:rPr>
        <w:t>3</w:t>
      </w:r>
      <w:r>
        <w:rPr>
          <w:rFonts w:hint="eastAsia" w:ascii="Times New Roman" w:cs="Times New Roman"/>
          <w:color w:val="000000"/>
          <w:lang w:val="en-US" w:eastAsia="zh-CN"/>
        </w:rPr>
        <w:t>/d，</w:t>
      </w:r>
      <w:r>
        <w:rPr>
          <w:rFonts w:hint="eastAsia" w:ascii="Times New Roman" w:hAnsi="Times New Roman" w:cs="Times New Roman"/>
          <w:sz w:val="32"/>
          <w:szCs w:val="32"/>
          <w:lang w:val="en-US" w:eastAsia="zh-CN"/>
        </w:rPr>
        <w:t>系统可实现</w:t>
      </w:r>
      <w:r>
        <w:rPr>
          <w:rFonts w:hint="eastAsia" w:ascii="Times New Roman" w:cs="Times New Roman"/>
          <w:sz w:val="32"/>
          <w:szCs w:val="32"/>
          <w:lang w:val="en-US" w:eastAsia="zh-CN"/>
        </w:rPr>
        <w:t>服务区</w:t>
      </w:r>
      <w:r>
        <w:rPr>
          <w:rFonts w:hint="eastAsia" w:ascii="Times New Roman" w:hAnsi="Times New Roman" w:cs="Times New Roman"/>
          <w:sz w:val="32"/>
          <w:szCs w:val="32"/>
          <w:lang w:val="en-US" w:eastAsia="zh-CN"/>
        </w:rPr>
        <w:t>污水处理率100%，循环利用率80%，年节水700吨。</w:t>
      </w:r>
    </w:p>
    <w:p>
      <w:pPr>
        <w:pStyle w:val="11"/>
        <w:rPr>
          <w:rFonts w:hint="default" w:ascii="Times New Roman" w:cs="Times New Roman"/>
          <w:color w:val="000000"/>
          <w:lang w:val="en-US" w:eastAsia="zh-CN"/>
        </w:rPr>
      </w:pPr>
      <w:r>
        <w:rPr>
          <w:rFonts w:hint="eastAsia" w:ascii="Times New Roman" w:cs="Times New Roman"/>
          <w:color w:val="000000"/>
          <w:lang w:val="en-US" w:eastAsia="zh-CN"/>
        </w:rPr>
        <w:t>依托哈密服务区光伏设备开展服务区能源高效利用技术研究，提出基于源荷匹配的光储一体化供能体系，采用分布式能源柔性互济、综合利用与荒漠区超低能耗建筑技术，构建涵盖围护结构和设备系统的能源韧性保障方案，实现服务区能源高效平衡与超低能耗建筑运维。经测算，哈密服务区北区年耗电量258.07万kWh，南区286.81万kWh，服务区光伏发电设备分别设置于北区、南区光伏车棚及南区预留的73.34亩光伏用地，总装机容量约2589.12kWp，年理论发电量约394.98万kWh，年利用小时数1533.99h。通过光储一体化供能体系的实施，哈密服务区可实现绿电自给率65%，年节约用电200万kWh。</w:t>
      </w:r>
    </w:p>
    <w:p>
      <w:pPr>
        <w:pStyle w:val="11"/>
        <w:rPr>
          <w:rFonts w:hint="eastAsia" w:ascii="Times New Roman" w:cs="Times New Roman"/>
          <w:color w:val="000000"/>
          <w:lang w:val="en-US" w:eastAsia="zh-CN"/>
        </w:rPr>
      </w:pPr>
      <w:r>
        <w:rPr>
          <w:rFonts w:hint="eastAsia" w:ascii="Times New Roman" w:cs="Times New Roman"/>
          <w:color w:val="000000"/>
          <w:lang w:val="en-US" w:eastAsia="zh-CN"/>
        </w:rPr>
        <w:t>在哈密服务区开展基于物联网的水资源与能源智能化监控技术研究，开发并部署了哈密近零碳服务区自洽能源管控系统，该系统集成水、能、碳核心管理模块，在服务区能源监控平台上全景展示水质水量、光伏发电、储能微网、照明等关键环节的实时运行状态与碳排放数据。系统依托1000+物联网节点实时采集多源数据，并结合AI算法动态生成最优调度方案，实现了数据的可视化呈现与系统精细化管理，有效降低人力成本约60%，为近零碳服务区的建设与可持续运营提供了核心技术支持。</w:t>
      </w:r>
    </w:p>
    <w:p>
      <w:pPr>
        <w:pStyle w:val="11"/>
        <w:rPr>
          <w:rFonts w:hint="default" w:ascii="Times New Roman" w:cs="Times New Roman"/>
          <w:color w:val="000000"/>
          <w:lang w:val="en-US" w:eastAsia="zh-CN"/>
        </w:rPr>
      </w:pPr>
      <w:r>
        <w:rPr>
          <w:rFonts w:hint="eastAsia" w:ascii="Times New Roman" w:cs="Times New Roman"/>
          <w:color w:val="000000"/>
          <w:lang w:val="en-US" w:eastAsia="zh-CN"/>
        </w:rPr>
        <w:t>2025年9月16日-17日，G30科技示范工程技术交流会暨观摩会在新疆哈密市举行，我单位研发的污水治理与资源化利用技术、服务区能源高效利用技术及基于物联网的水资源与能源智能化监控技术3项核心技术也在骆驼圈子服务区成果展进行展示，与全国的行业专家学习交流。</w:t>
      </w:r>
    </w:p>
    <w:p>
      <w:pPr>
        <w:pStyle w:val="11"/>
        <w:rPr>
          <w:rFonts w:hint="default" w:ascii="Times New Roman" w:cs="Times New Roman"/>
          <w:color w:val="000000"/>
        </w:rPr>
      </w:pPr>
      <w:r>
        <w:rPr>
          <w:rFonts w:hint="eastAsia" w:ascii="Times New Roman" w:cs="Times New Roman"/>
          <w:color w:val="000000"/>
          <w:lang w:val="en-US" w:eastAsia="zh-CN"/>
        </w:rPr>
        <w:t>目前，</w:t>
      </w:r>
      <w:r>
        <w:rPr>
          <w:rFonts w:hint="eastAsia" w:ascii="Times New Roman" w:cs="Times New Roman"/>
          <w:color w:val="000000"/>
        </w:rPr>
        <w:t>研究成果</w:t>
      </w:r>
      <w:r>
        <w:rPr>
          <w:rFonts w:hint="eastAsia" w:ascii="Times New Roman" w:cs="Times New Roman"/>
          <w:color w:val="000000"/>
          <w:lang w:val="en-US" w:eastAsia="zh-CN"/>
        </w:rPr>
        <w:t>均已</w:t>
      </w:r>
      <w:r>
        <w:rPr>
          <w:rFonts w:hint="eastAsia" w:ascii="Times New Roman" w:cs="Times New Roman"/>
          <w:color w:val="000000"/>
        </w:rPr>
        <w:t>应用于</w:t>
      </w:r>
      <w:r>
        <w:rPr>
          <w:rFonts w:hint="eastAsia" w:ascii="Times New Roman" w:cs="Times New Roman"/>
          <w:color w:val="000000"/>
          <w:lang w:val="en-US" w:eastAsia="zh-CN"/>
        </w:rPr>
        <w:t>哈密服务区</w:t>
      </w:r>
      <w:r>
        <w:rPr>
          <w:rFonts w:hint="eastAsia" w:ascii="Times New Roman" w:cs="Times New Roman"/>
          <w:color w:val="000000"/>
        </w:rPr>
        <w:t>的实际建设中，有力</w:t>
      </w:r>
      <w:r>
        <w:rPr>
          <w:rFonts w:hint="eastAsia" w:ascii="Times New Roman" w:cs="Times New Roman"/>
          <w:color w:val="000000"/>
          <w:lang w:val="en-US" w:eastAsia="zh-CN"/>
        </w:rPr>
        <w:t>推动</w:t>
      </w:r>
      <w:r>
        <w:rPr>
          <w:rFonts w:hint="eastAsia" w:ascii="Times New Roman" w:cs="Times New Roman"/>
          <w:color w:val="000000"/>
        </w:rPr>
        <w:t>了</w:t>
      </w:r>
      <w:r>
        <w:rPr>
          <w:rFonts w:hint="eastAsia" w:ascii="Times New Roman" w:cs="Times New Roman"/>
          <w:color w:val="000000"/>
          <w:lang w:val="en-US" w:eastAsia="zh-CN"/>
        </w:rPr>
        <w:t>哈密近零碳智慧服务区从规划到落地的实施进程。对哈密服务区运营期碳排放进行核算，公务车辆、应急发电设备、除雪除沙设备等化石燃料消耗产生的直接碳排放量约18.94tCO</w:t>
      </w:r>
      <w:r>
        <w:rPr>
          <w:rFonts w:hint="eastAsia" w:ascii="Times New Roman" w:cs="Times New Roman"/>
          <w:color w:val="000000"/>
          <w:vertAlign w:val="subscript"/>
          <w:lang w:val="en-US" w:eastAsia="zh-CN"/>
        </w:rPr>
        <w:t>2</w:t>
      </w:r>
      <w:r>
        <w:rPr>
          <w:rFonts w:hint="eastAsia" w:ascii="Times New Roman" w:cs="Times New Roman"/>
          <w:color w:val="000000"/>
          <w:lang w:val="en-US" w:eastAsia="zh-CN"/>
        </w:rPr>
        <w:t>e，设备电力消耗产生的间接碳排放量约3394.63tCO</w:t>
      </w:r>
      <w:r>
        <w:rPr>
          <w:rFonts w:hint="eastAsia" w:ascii="Times New Roman" w:cs="Times New Roman"/>
          <w:color w:val="000000"/>
          <w:vertAlign w:val="subscript"/>
          <w:lang w:val="en-US" w:eastAsia="zh-CN"/>
        </w:rPr>
        <w:t>2</w:t>
      </w:r>
      <w:r>
        <w:rPr>
          <w:rFonts w:hint="eastAsia" w:ascii="Times New Roman" w:cs="Times New Roman"/>
          <w:color w:val="000000"/>
          <w:lang w:val="en-US" w:eastAsia="zh-CN"/>
        </w:rPr>
        <w:t>e，植物碳汇减碳量约160.18tCO</w:t>
      </w:r>
      <w:r>
        <w:rPr>
          <w:rFonts w:hint="eastAsia" w:ascii="Times New Roman" w:cs="Times New Roman"/>
          <w:color w:val="000000"/>
          <w:vertAlign w:val="subscript"/>
          <w:lang w:val="en-US" w:eastAsia="zh-CN"/>
        </w:rPr>
        <w:t>2</w:t>
      </w:r>
      <w:r>
        <w:rPr>
          <w:rFonts w:hint="eastAsia" w:ascii="Times New Roman" w:cs="Times New Roman"/>
          <w:color w:val="000000"/>
          <w:lang w:val="en-US" w:eastAsia="zh-CN"/>
        </w:rPr>
        <w:t>e，光伏发电减碳量约2460.73tCO</w:t>
      </w:r>
      <w:r>
        <w:rPr>
          <w:rFonts w:hint="eastAsia" w:ascii="Times New Roman" w:cs="Times New Roman"/>
          <w:color w:val="000000"/>
          <w:vertAlign w:val="subscript"/>
          <w:lang w:val="en-US" w:eastAsia="zh-CN"/>
        </w:rPr>
        <w:t>2</w:t>
      </w:r>
      <w:r>
        <w:rPr>
          <w:rFonts w:hint="eastAsia" w:ascii="Times New Roman" w:cs="Times New Roman"/>
          <w:color w:val="000000"/>
          <w:lang w:val="en-US" w:eastAsia="zh-CN"/>
        </w:rPr>
        <w:t>e，</w:t>
      </w:r>
      <w:r>
        <w:rPr>
          <w:rFonts w:hint="default" w:ascii="Times New Roman" w:cs="Times New Roman"/>
          <w:color w:val="000000"/>
          <w:lang w:eastAsia="zh-CN"/>
        </w:rPr>
        <w:t>因此，哈密服务区运营期年净碳排放量为792.66</w:t>
      </w:r>
      <w:r>
        <w:rPr>
          <w:rFonts w:hint="eastAsia" w:ascii="Times New Roman" w:cs="Times New Roman"/>
          <w:color w:val="000000"/>
          <w:lang w:val="en-US" w:eastAsia="zh-CN"/>
        </w:rPr>
        <w:t>tCO</w:t>
      </w:r>
      <w:r>
        <w:rPr>
          <w:rFonts w:hint="eastAsia" w:ascii="Times New Roman" w:cs="Times New Roman"/>
          <w:color w:val="000000"/>
          <w:vertAlign w:val="subscript"/>
          <w:lang w:val="en-US" w:eastAsia="zh-CN"/>
        </w:rPr>
        <w:t>2</w:t>
      </w:r>
      <w:r>
        <w:rPr>
          <w:rFonts w:hint="eastAsia" w:ascii="Times New Roman" w:cs="Times New Roman"/>
          <w:color w:val="000000"/>
          <w:lang w:val="en-US" w:eastAsia="zh-CN"/>
        </w:rPr>
        <w:t>e</w:t>
      </w:r>
      <w:r>
        <w:rPr>
          <w:rFonts w:hint="default" w:ascii="Times New Roman" w:cs="Times New Roman"/>
          <w:color w:val="000000"/>
          <w:lang w:eastAsia="zh-CN"/>
        </w:rPr>
        <w:t>，服务区全年利用可再生能源和碳汇的碳减排量占服务区</w:t>
      </w:r>
      <w:r>
        <w:rPr>
          <w:rFonts w:hint="eastAsia" w:ascii="Times New Roman" w:cs="Times New Roman"/>
          <w:color w:val="000000"/>
          <w:lang w:val="en-US" w:eastAsia="zh-CN"/>
        </w:rPr>
        <w:t>CO</w:t>
      </w:r>
      <w:r>
        <w:rPr>
          <w:rFonts w:hint="eastAsia" w:ascii="Times New Roman" w:cs="Times New Roman"/>
          <w:color w:val="000000"/>
          <w:vertAlign w:val="subscript"/>
          <w:lang w:val="en-US" w:eastAsia="zh-CN"/>
        </w:rPr>
        <w:t>2</w:t>
      </w:r>
      <w:r>
        <w:rPr>
          <w:rFonts w:hint="default" w:ascii="Times New Roman" w:cs="Times New Roman"/>
          <w:color w:val="000000"/>
          <w:lang w:eastAsia="zh-CN"/>
        </w:rPr>
        <w:t>排放量基准值比例</w:t>
      </w:r>
      <w:r>
        <w:rPr>
          <w:rFonts w:hint="eastAsia" w:ascii="Times New Roman" w:cs="Times New Roman"/>
          <w:color w:val="000000"/>
          <w:lang w:eastAsia="zh-CN"/>
        </w:rPr>
        <w:t>达到7</w:t>
      </w:r>
      <w:r>
        <w:rPr>
          <w:rFonts w:hint="eastAsia" w:ascii="Times New Roman" w:cs="Times New Roman"/>
          <w:color w:val="000000"/>
          <w:lang w:val="en-US" w:eastAsia="zh-CN"/>
        </w:rPr>
        <w:t>6.78</w:t>
      </w:r>
      <w:r>
        <w:rPr>
          <w:rFonts w:hint="eastAsia" w:ascii="Times New Roman" w:cs="Times New Roman"/>
          <w:color w:val="000000"/>
          <w:lang w:eastAsia="zh-CN"/>
        </w:rPr>
        <w:t>%，</w:t>
      </w:r>
      <w:r>
        <w:rPr>
          <w:rFonts w:hint="eastAsia" w:ascii="Times New Roman" w:cs="Times New Roman"/>
          <w:color w:val="000000"/>
          <w:lang w:val="en-US" w:eastAsia="zh-CN"/>
        </w:rPr>
        <w:t>基本符合</w:t>
      </w:r>
      <w:r>
        <w:rPr>
          <w:rFonts w:hint="eastAsia" w:ascii="Times New Roman" w:cs="Times New Roman"/>
          <w:color w:val="000000"/>
          <w:lang w:eastAsia="zh-CN"/>
        </w:rPr>
        <w:t>近零碳试点建设目标。</w:t>
      </w:r>
    </w:p>
    <w:p>
      <w:pPr>
        <w:pStyle w:val="11"/>
        <w:rPr>
          <w:rFonts w:ascii="Times New Roman" w:cs="Times New Roman"/>
          <w:color w:val="000000"/>
        </w:rPr>
      </w:pPr>
      <w:r>
        <w:rPr>
          <w:rFonts w:hint="eastAsia" w:ascii="Times New Roman" w:cs="Times New Roman"/>
          <w:color w:val="000000"/>
        </w:rPr>
        <w:t>结合在哈密服务区开展节能降碳技术示范工程经验基础及新疆干旱荒漠区特殊地域特点，经编制组讨论，本标准应从技术性减排、结构性减排和管理性减排3个方面进行考虑</w:t>
      </w:r>
      <w:r>
        <w:rPr>
          <w:rFonts w:hint="eastAsia" w:ascii="Times New Roman" w:cs="Times New Roman"/>
          <w:color w:val="000000"/>
          <w:lang w:eastAsia="zh-CN"/>
        </w:rPr>
        <w:t>。技术性减排可涵盖场地规划、房屋建筑节能以及设施设备节能等方面；结构性减排重点包括可再生能源的规模化应用与植物固碳；应推动建立数智化管理系统，以实现管理性减排，全面提升整体减排效能。</w:t>
      </w:r>
      <w:r>
        <w:rPr>
          <w:rFonts w:hint="eastAsia" w:ascii="Times New Roman" w:cs="Times New Roman"/>
          <w:color w:val="000000"/>
        </w:rPr>
        <w:t>基于上述研究与实践经验，</w:t>
      </w:r>
      <w:r>
        <w:rPr>
          <w:rFonts w:hint="eastAsia" w:ascii="Times New Roman" w:cs="Times New Roman"/>
          <w:color w:val="000000"/>
          <w:lang w:val="en-US" w:eastAsia="zh-CN"/>
        </w:rPr>
        <w:t>编制组编制了</w:t>
      </w:r>
      <w:r>
        <w:rPr>
          <w:rFonts w:hint="eastAsia" w:ascii="Times New Roman" w:cs="Times New Roman"/>
          <w:color w:val="000000"/>
        </w:rPr>
        <w:t>《公路近零碳服务区建设技术指南》（工作组讨论稿）。</w:t>
      </w:r>
    </w:p>
    <w:p>
      <w:pPr>
        <w:pStyle w:val="11"/>
        <w:numPr>
          <w:ilvl w:val="0"/>
          <w:numId w:val="0"/>
        </w:numPr>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kern w:val="0"/>
          <w:sz w:val="32"/>
          <w:szCs w:val="32"/>
          <w:lang w:val="en-US" w:eastAsia="zh-CN" w:bidi="ar-SA"/>
          <w14:ligatures w14:val="none"/>
        </w:rPr>
        <w:t>4.</w:t>
      </w:r>
      <w:r>
        <w:rPr>
          <w:rFonts w:hint="eastAsia" w:ascii="Times New Roman" w:cs="Times New Roman"/>
          <w:color w:val="000000"/>
          <w:lang w:val="en-US" w:eastAsia="zh-CN"/>
        </w:rPr>
        <w:t>2025年8月，</w:t>
      </w:r>
      <w:r>
        <w:rPr>
          <w:rFonts w:hint="eastAsia" w:ascii="Times New Roman" w:hAnsi="Times New Roman" w:eastAsia="方正仿宋_GBK" w:cs="Times New Roman"/>
          <w:color w:val="000000"/>
          <w:sz w:val="32"/>
          <w:szCs w:val="32"/>
          <w:lang w:val="en-US" w:eastAsia="zh-CN"/>
        </w:rPr>
        <w:t>标准编制组在工作组讨论稿的基础上，根据修改意见，先后多次逐字反复修改，形成</w:t>
      </w:r>
      <w:r>
        <w:rPr>
          <w:rFonts w:ascii="Times New Roman" w:cs="Times New Roman"/>
          <w:color w:val="000000"/>
        </w:rPr>
        <w:t>《公路近零碳服务区建设技术指南》（</w:t>
      </w:r>
      <w:r>
        <w:rPr>
          <w:rFonts w:hint="eastAsia" w:ascii="Times New Roman" w:hAnsi="Times New Roman" w:eastAsia="方正仿宋_GBK" w:cs="Times New Roman"/>
          <w:color w:val="000000"/>
          <w:sz w:val="32"/>
          <w:szCs w:val="32"/>
          <w:lang w:val="en-US" w:eastAsia="zh-CN"/>
        </w:rPr>
        <w:t>征求意见稿</w:t>
      </w:r>
      <w:r>
        <w:rPr>
          <w:rFonts w:ascii="Times New Roman" w:cs="Times New Roman"/>
          <w:color w:val="000000"/>
        </w:rPr>
        <w:t>）</w:t>
      </w:r>
      <w:r>
        <w:rPr>
          <w:rFonts w:hint="eastAsia" w:ascii="Times New Roman" w:hAnsi="Times New Roman" w:eastAsia="方正仿宋_GBK" w:cs="Times New Roman"/>
          <w:color w:val="000000"/>
          <w:sz w:val="32"/>
          <w:szCs w:val="32"/>
          <w:lang w:val="en-US" w:eastAsia="zh-CN"/>
        </w:rPr>
        <w:t>。</w:t>
      </w:r>
    </w:p>
    <w:p>
      <w:pPr>
        <w:pStyle w:val="11"/>
        <w:rPr>
          <w:rFonts w:hint="default" w:ascii="Times New Roman" w:eastAsia="方正仿宋_GBK" w:cs="Times New Roman"/>
          <w:color w:val="000000"/>
          <w:lang w:val="en-US" w:eastAsia="zh-CN"/>
        </w:rPr>
      </w:pPr>
      <w:r>
        <w:rPr>
          <w:rFonts w:ascii="Times New Roman" w:cs="Times New Roman"/>
          <w:color w:val="000000"/>
        </w:rPr>
        <w:t>（</w:t>
      </w:r>
      <w:r>
        <w:rPr>
          <w:rFonts w:hint="eastAsia" w:ascii="Times New Roman" w:cs="Times New Roman"/>
          <w:color w:val="000000"/>
          <w:lang w:val="en-US" w:eastAsia="zh-CN"/>
        </w:rPr>
        <w:t>三</w:t>
      </w:r>
      <w:r>
        <w:rPr>
          <w:rFonts w:ascii="Times New Roman" w:cs="Times New Roman"/>
          <w:color w:val="000000"/>
        </w:rPr>
        <w:t>）</w:t>
      </w:r>
      <w:r>
        <w:rPr>
          <w:rFonts w:hint="eastAsia" w:ascii="Times New Roman" w:cs="Times New Roman"/>
          <w:color w:val="000000"/>
          <w:lang w:val="en-US" w:eastAsia="zh-CN"/>
        </w:rPr>
        <w:t>征求意见情况</w:t>
      </w:r>
    </w:p>
    <w:p>
      <w:pPr>
        <w:pStyle w:val="11"/>
        <w:numPr>
          <w:ilvl w:val="0"/>
          <w:numId w:val="0"/>
        </w:numPr>
        <w:ind w:firstLine="640" w:firstLineChars="200"/>
        <w:rPr>
          <w:rFonts w:hint="default" w:ascii="Times New Roman" w:hAnsi="Times New Roman" w:eastAsia="方正仿宋_GBK" w:cs="Times New Roman"/>
          <w:color w:val="000000"/>
          <w:sz w:val="32"/>
          <w:szCs w:val="32"/>
          <w:lang w:val="en-US" w:eastAsia="zh-CN"/>
        </w:rPr>
      </w:pPr>
      <w:r>
        <w:rPr>
          <w:rFonts w:hint="eastAsia" w:ascii="Times New Roman" w:hAnsi="Times New Roman" w:cs="Times New Roman"/>
          <w:color w:val="000000"/>
          <w:lang w:val="en-US" w:eastAsia="zh-CN"/>
        </w:rPr>
        <w:t>5.2025年</w:t>
      </w:r>
      <w:r>
        <w:rPr>
          <w:rFonts w:hint="eastAsia" w:ascii="Times New Roman" w:cs="Times New Roman"/>
          <w:color w:val="000000"/>
          <w:lang w:val="en-US" w:eastAsia="zh-CN"/>
        </w:rPr>
        <w:t>8</w:t>
      </w:r>
      <w:r>
        <w:rPr>
          <w:rFonts w:hint="eastAsia" w:ascii="Times New Roman" w:hAnsi="Times New Roman" w:cs="Times New Roman"/>
          <w:color w:val="000000"/>
          <w:lang w:val="en-US" w:eastAsia="zh-CN"/>
        </w:rPr>
        <w:t>月-2025年11月，</w:t>
      </w:r>
      <w:r>
        <w:rPr>
          <w:rFonts w:hint="default" w:ascii="Times New Roman" w:hAnsi="Times New Roman" w:cs="Times New Roman"/>
          <w:color w:val="000000"/>
          <w:lang w:val="en-US" w:eastAsia="zh-CN"/>
        </w:rPr>
        <w:t>标准（征求意见稿）征求了</w:t>
      </w:r>
      <w:r>
        <w:rPr>
          <w:rFonts w:hint="default" w:ascii="Times New Roman" w:hAnsi="Times New Roman" w:cs="Times New Roman"/>
          <w:color w:val="000000"/>
          <w:u w:val="none"/>
          <w:lang w:val="en-US" w:eastAsia="zh-CN"/>
        </w:rPr>
        <w:t>哈密市天星交通投资有限责任公司、哈密中建建设投资有限公司</w:t>
      </w:r>
      <w:r>
        <w:rPr>
          <w:rFonts w:hint="eastAsia" w:ascii="Times New Roman" w:cs="Times New Roman"/>
          <w:color w:val="000000"/>
          <w:u w:val="none"/>
          <w:lang w:val="en-US" w:eastAsia="zh-CN"/>
        </w:rPr>
        <w:t>、</w:t>
      </w:r>
      <w:r>
        <w:rPr>
          <w:rFonts w:hint="default" w:ascii="Times New Roman" w:hAnsi="Times New Roman" w:cs="Times New Roman"/>
          <w:color w:val="000000"/>
          <w:u w:val="none"/>
          <w:lang w:val="en-US" w:eastAsia="zh-CN"/>
        </w:rPr>
        <w:t>哈密市交通基础设施投资有限公司、乌鲁木齐葛洲坝电建路桥绕城高速有限公司、伊犁畅越联投建设工程有限公司、阿勒泰布喀公路建设开发有限公司、伊犁广通交通建设项目管理有限公司、中铁塔城城市开发项目管理有限公司、博运建设工程有限公司</w:t>
      </w:r>
      <w:r>
        <w:rPr>
          <w:rFonts w:hint="default" w:ascii="Times New Roman" w:hAnsi="Times New Roman" w:cs="Times New Roman"/>
          <w:color w:val="000000"/>
          <w:lang w:val="en-US" w:eastAsia="zh-CN"/>
        </w:rPr>
        <w:t>9家单位意见</w:t>
      </w:r>
      <w:r>
        <w:rPr>
          <w:rFonts w:hint="eastAsia" w:ascii="Times New Roman" w:hAnsi="Times New Roman" w:eastAsia="方正仿宋_GBK" w:cs="Times New Roman"/>
          <w:color w:val="000000"/>
          <w:sz w:val="32"/>
          <w:szCs w:val="32"/>
          <w:lang w:val="en-US" w:eastAsia="zh-CN"/>
        </w:rPr>
        <w:t>，</w:t>
      </w:r>
      <w:r>
        <w:rPr>
          <w:rFonts w:hint="eastAsia" w:ascii="Times New Roman" w:cs="Times New Roman"/>
          <w:color w:val="000000"/>
          <w:sz w:val="32"/>
          <w:szCs w:val="32"/>
          <w:lang w:val="en-US" w:eastAsia="zh-CN"/>
        </w:rPr>
        <w:t>其中收到6家单位回函</w:t>
      </w:r>
      <w:r>
        <w:rPr>
          <w:rFonts w:hint="default" w:ascii="Times New Roman" w:hAnsi="Times New Roman" w:eastAsia="方正仿宋_GBK" w:cs="Times New Roman"/>
          <w:color w:val="000000"/>
          <w:sz w:val="32"/>
          <w:szCs w:val="32"/>
          <w:lang w:val="en-US" w:eastAsia="zh-CN"/>
        </w:rPr>
        <w:t>。</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四、制定标准的原则和依据、与现行法律、法规、标准的关系</w:t>
      </w:r>
    </w:p>
    <w:p>
      <w:pPr>
        <w:pStyle w:val="11"/>
        <w:rPr>
          <w:rFonts w:ascii="Times New Roman" w:cs="Times New Roman"/>
        </w:rPr>
      </w:pPr>
      <w:r>
        <w:rPr>
          <w:rFonts w:ascii="Times New Roman" w:cs="Times New Roman"/>
        </w:rPr>
        <w:t>（一）制定原则</w:t>
      </w:r>
    </w:p>
    <w:p>
      <w:pPr>
        <w:pStyle w:val="11"/>
        <w:rPr>
          <w:rFonts w:ascii="Times New Roman" w:eastAsia="仿宋" w:cs="Times New Roman"/>
          <w:color w:val="000000"/>
        </w:rPr>
      </w:pPr>
      <w:r>
        <w:rPr>
          <w:rFonts w:ascii="Times New Roman" w:eastAsia="仿宋" w:cs="Times New Roman"/>
          <w:color w:val="000000"/>
        </w:rPr>
        <w:t>本标准的编制工作遵循“合法性、科学性、规范性和实用性”的原则。合法性是指起草标准条文应全面符合国家有关法律法规和规范性文件要求。科学性主要是指编制标准提出的</w:t>
      </w:r>
      <w:r>
        <w:rPr>
          <w:rFonts w:hint="eastAsia" w:ascii="Times New Roman" w:eastAsia="仿宋" w:cs="Times New Roman"/>
          <w:color w:val="000000"/>
          <w:lang w:val="en-US" w:eastAsia="zh-CN"/>
        </w:rPr>
        <w:t>技术方法</w:t>
      </w:r>
      <w:r>
        <w:rPr>
          <w:rFonts w:ascii="Times New Roman" w:eastAsia="仿宋" w:cs="Times New Roman"/>
          <w:color w:val="000000"/>
        </w:rPr>
        <w:t>应科学有效。规范性主要是指标准内容严格按照标准化工作导则的规定进行编写和表述。实用性主要是指编制标准具备可操作性。</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（二）制定依据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1.国家标准：《电磁兼容 限值 第1部分：谐波电流发射限值（设备每相输入电流≤16A）》（GB 17625.1-2022）、《热泵和冷水机组能效限定值及能效等级》（GB 19577-2024）、《供配电系统设计规范》（GB 50052-2009）、《20kV及以下变电所设计规范》（GB 50053-2013）、《低压配电设计规范》（GB 50054-2011）、《地源热泵系统工程技术规范》（GB 50366-2005）、《建筑节能与可再生能源利用通用规范》（GB 55015-2021）、《设备及管道绝热技术通则》（GB/T 4272-2024）、《电能质量 公用电网谐波》（GB/T 14549-1993）、《小型风力发电机组》（GB/T 17646-2017）、《信息安全技术 网络安全等级保护基本要求》（GB/T 22239-2019）、《低环境温度空气源热泵（冷水）机组 第1部分：工业或商业用及类似用途的热泵（冷水）机组》（GB/T 25127.1-2020）、《电动汽车电池更换站通用技术要求》（GB/T 29772-2024）、《电动汽车充电站通用要求》（GB/T 29781-2013）、《LED室内照明应用技术要求》（GB/T 31831-2015）、《LED城市道路照明应用技术要求》（GB/T 31832-2015）、《电力储能用电池管理系统》（GB/T 34131-2023）、《微电网能量管理系统技术规范》（GB/T 36274-2018）、《电力系统电化学储能系统通用技术条件》（GB/T 36558-2023）、《建筑照明设计标准》（GB/T 50034-2024）、《电动汽车充电站设计标准》（GB/T 50966-2024）、《近零能耗建筑技术标准》（GB/T 51350-2019）、《建筑光伏系统应用技术标准》（GB/T 51368-2019）。</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2.行业标准：《被动式太阳能建筑技术规范》（JGJ/T 267-2012）、《公路服务区污水再生利用 第1部分：水质》（JT/T 645.1-2016）、《近零碳交通设施技术要求</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第2部分：高速公路服务区》（JT/T 1537.2-2025）、《小型风力发电系统安装规范》（NY/T 1137-2006）。</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3.团体标准：《港口源网荷储一体化系统建设技术指南》（T/CIN 079-2025）。</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4.法律法规：《中华人民共和国可再生能源法》。</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（三）与现行法律、法规、标准的关系</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本标准的</w:t>
      </w:r>
      <w:r>
        <w:rPr>
          <w:rFonts w:ascii="Times New Roman" w:hAnsi="Times New Roman" w:eastAsia="方正仿宋_GBK"/>
          <w:color w:val="000000"/>
          <w:sz w:val="32"/>
          <w:szCs w:val="32"/>
        </w:rPr>
        <w:t>制定遵循相关的法律法规，</w:t>
      </w:r>
      <w:r>
        <w:rPr>
          <w:rFonts w:ascii="Times New Roman" w:hAnsi="Times New Roman" w:eastAsia="方正仿宋_GBK"/>
          <w:sz w:val="32"/>
          <w:szCs w:val="32"/>
        </w:rPr>
        <w:t>与现行法律、法规和强制性标准没有冲突。</w:t>
      </w:r>
    </w:p>
    <w:p>
      <w:pPr>
        <w:pStyle w:val="11"/>
        <w:autoSpaceDE/>
        <w:autoSpaceDN/>
        <w:adjustRightInd/>
        <w:rPr>
          <w:rFonts w:hint="eastAsia" w:ascii="Times New Roman" w:cs="Times New Roman"/>
          <w:color w:val="000000"/>
        </w:rPr>
      </w:pPr>
      <w:r>
        <w:rPr>
          <w:rFonts w:ascii="Times New Roman" w:cs="Times New Roman"/>
          <w:color w:val="000000"/>
        </w:rPr>
        <w:t>本标准条款的制定严格按照国家、交通运输部等发布的国家标准、行业标准、技术指南等技术文件，标准的制定未与现行有关标准条款发生冲突。</w:t>
      </w:r>
      <w:r>
        <w:rPr>
          <w:rFonts w:ascii="Times New Roman" w:cs="Times New Roman"/>
          <w:color w:val="000000"/>
        </w:rPr>
        <w:tab/>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五、主要条款的说明</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（一）范围</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本</w:t>
      </w:r>
      <w:r>
        <w:rPr>
          <w:rFonts w:hint="eastAsia" w:ascii="Times New Roman" w:hAnsi="Times New Roman" w:eastAsia="方正仿宋_GBK"/>
          <w:sz w:val="32"/>
          <w:szCs w:val="32"/>
        </w:rPr>
        <w:t>标准</w:t>
      </w:r>
      <w:r>
        <w:rPr>
          <w:rFonts w:ascii="Times New Roman" w:hAnsi="Times New Roman" w:eastAsia="方正仿宋_GBK"/>
          <w:sz w:val="32"/>
          <w:szCs w:val="32"/>
        </w:rPr>
        <w:t>明确了公路近零碳服务区建设的</w:t>
      </w:r>
      <w:r>
        <w:rPr>
          <w:rFonts w:hint="eastAsia" w:ascii="Times New Roman" w:hAnsi="Times New Roman" w:eastAsia="方正仿宋_GBK"/>
          <w:sz w:val="32"/>
          <w:szCs w:val="32"/>
        </w:rPr>
        <w:t>总体</w:t>
      </w:r>
      <w:r>
        <w:rPr>
          <w:rFonts w:ascii="Times New Roman" w:hAnsi="Times New Roman" w:eastAsia="方正仿宋_GBK"/>
          <w:sz w:val="32"/>
          <w:szCs w:val="32"/>
        </w:rPr>
        <w:t>要求，</w:t>
      </w:r>
      <w:r>
        <w:rPr>
          <w:rFonts w:hint="eastAsia" w:ascii="Times New Roman" w:hAnsi="Times New Roman" w:eastAsia="方正仿宋_GBK"/>
          <w:sz w:val="32"/>
          <w:szCs w:val="32"/>
        </w:rPr>
        <w:t>包括</w:t>
      </w:r>
      <w:r>
        <w:rPr>
          <w:rFonts w:ascii="Times New Roman" w:hAnsi="Times New Roman" w:eastAsia="方正仿宋_GBK"/>
          <w:sz w:val="32"/>
          <w:szCs w:val="32"/>
        </w:rPr>
        <w:t>场地、房屋建筑、设施设备系统、可再生能源利用、植物固碳、数智化管理系统及碳排放管理。适用于新建、改建公路服务区的近零碳化建设，旨在通过系统性、技术性措施实现服务区运营阶段的碳减排。</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（二）场地</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强调土地集约利用与功能分区合理布局，要求结合地域气候特点优化可再生能源利用条件，预留新能源车辆充换电设施空间，并提升绿化覆盖率以增强碳汇能力。</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（三）设施设备系统</w:t>
      </w:r>
    </w:p>
    <w:p>
      <w:pPr>
        <w:spacing w:line="560"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对服务区各核心用能系统提出全面且协同的节能与智能化要求</w:t>
      </w:r>
      <w:r>
        <w:rPr>
          <w:rFonts w:hint="eastAsia" w:ascii="Times New Roman" w:hAnsi="Times New Roman" w:eastAsia="方正仿宋_GBK"/>
          <w:sz w:val="32"/>
          <w:szCs w:val="32"/>
        </w:rPr>
        <w:t>，</w:t>
      </w:r>
      <w:r>
        <w:rPr>
          <w:rFonts w:ascii="Times New Roman" w:hAnsi="Times New Roman" w:eastAsia="方正仿宋_GBK"/>
          <w:sz w:val="32"/>
          <w:szCs w:val="32"/>
        </w:rPr>
        <w:t>内容聚焦于照明、暖通空调等能耗关键系统，要求采用高效节能设备与智能控制策略，从源头杜绝能源浪费。在供配电层面，涵盖了从变压器优化选型、经济运行负载率到谐波治理的全过程能效管控，旨在提升整体输配电效率</w:t>
      </w:r>
      <w:r>
        <w:rPr>
          <w:rFonts w:hint="eastAsia" w:ascii="Times New Roman" w:hAnsi="Times New Roman" w:eastAsia="方正仿宋_GBK"/>
          <w:sz w:val="32"/>
          <w:szCs w:val="32"/>
        </w:rPr>
        <w:t>；</w:t>
      </w:r>
      <w:r>
        <w:rPr>
          <w:rFonts w:ascii="Times New Roman" w:hAnsi="Times New Roman" w:eastAsia="方正仿宋_GBK"/>
          <w:sz w:val="32"/>
          <w:szCs w:val="32"/>
        </w:rPr>
        <w:t>同时为电动汽车充换电设施提供了建设依据，并要求将其与本地可再生能源发电整合，纳入“源网荷储”一体化系统进行协同调度，以实现光伏发电的最大化就地消纳与能源转换效率的提升</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此外，污废资源化处理系统的技术要求也体现了从末端治理向资源循环利用的转变，通过减少外部能源依赖和处理过程碳排放，贡献于整体的间接减排。</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（四）可再生能源利用</w:t>
      </w:r>
    </w:p>
    <w:p>
      <w:pPr>
        <w:spacing w:line="560" w:lineRule="exact"/>
        <w:ind w:firstLine="640" w:firstLineChars="200"/>
        <w:rPr>
          <w:rFonts w:hint="eastAsia" w:ascii="Times New Roman" w:hAnsi="Times New Roman" w:eastAsia="方正仿宋_GBK"/>
          <w:sz w:val="32"/>
          <w:szCs w:val="32"/>
          <w:lang w:val="en-US" w:eastAsia="zh-CN"/>
        </w:rPr>
      </w:pPr>
      <w:r>
        <w:rPr>
          <w:rFonts w:ascii="Times New Roman" w:hAnsi="Times New Roman" w:eastAsia="方正仿宋_GBK"/>
          <w:sz w:val="32"/>
          <w:szCs w:val="32"/>
        </w:rPr>
        <w:t>服务区运营期的碳排放绝大部分来源于外购电力与化石能源消耗。要实现“近零碳”，最根本的措施是改变能源供给结构，通过本地化、清洁化的可再生能源替代传统能源，从源头减少碳排放</w:t>
      </w:r>
      <w:r>
        <w:rPr>
          <w:rFonts w:hint="eastAsia" w:ascii="Times New Roman" w:hAnsi="Times New Roman" w:eastAsia="方正仿宋_GBK"/>
          <w:sz w:val="32"/>
          <w:szCs w:val="32"/>
        </w:rPr>
        <w:t>。</w:t>
      </w:r>
      <w:r>
        <w:rPr>
          <w:rFonts w:ascii="Times New Roman" w:hAnsi="Times New Roman" w:eastAsia="方正仿宋_GBK"/>
          <w:sz w:val="32"/>
          <w:szCs w:val="32"/>
        </w:rPr>
        <w:t>通过“源网荷储”一体化</w:t>
      </w:r>
      <w:r>
        <w:rPr>
          <w:rFonts w:hint="eastAsia" w:ascii="Times New Roman" w:hAnsi="Times New Roman" w:eastAsia="方正仿宋_GBK"/>
          <w:sz w:val="32"/>
          <w:szCs w:val="32"/>
          <w:lang w:eastAsia="zh-CN"/>
        </w:rPr>
        <w:t>系统</w:t>
      </w:r>
      <w:r>
        <w:rPr>
          <w:rFonts w:ascii="Times New Roman" w:hAnsi="Times New Roman" w:eastAsia="方正仿宋_GBK"/>
          <w:sz w:val="32"/>
          <w:szCs w:val="32"/>
        </w:rPr>
        <w:t>的建设，服务区微电网可以在极端天气或外部电网故障时进入离网运行模式，保障关键负荷的电力供应，提升服务区的应急能力和能源安全性。同时，随着可再生能源设备成本的持续下降和电价机制的完善，自发自用模式可显著降低服务区长期运营的用电成本，产生良好的经济效益</w:t>
      </w:r>
      <w:r>
        <w:rPr>
          <w:rFonts w:hint="eastAsia" w:ascii="Times New Roman" w:hAnsi="Times New Roman" w:eastAsia="方正仿宋_GBK"/>
          <w:sz w:val="32"/>
          <w:szCs w:val="32"/>
          <w:lang w:eastAsia="zh-CN"/>
        </w:rPr>
        <w:t>。</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本</w:t>
      </w:r>
      <w:r>
        <w:rPr>
          <w:rFonts w:hint="eastAsia" w:ascii="Times New Roman" w:hAnsi="Times New Roman" w:eastAsia="方正仿宋_GBK"/>
          <w:sz w:val="32"/>
          <w:szCs w:val="32"/>
        </w:rPr>
        <w:t>条款旨在系统性地指导和规范公路近零碳服务区在规划、设计、建设与运营过程中对可再生能源的综合利用，</w:t>
      </w:r>
      <w:r>
        <w:rPr>
          <w:rFonts w:hint="eastAsia" w:ascii="Times New Roman" w:hAnsi="Times New Roman" w:eastAsia="方正仿宋_GBK"/>
          <w:sz w:val="32"/>
          <w:szCs w:val="32"/>
          <w:lang w:val="en-US" w:eastAsia="zh-CN"/>
        </w:rPr>
        <w:t>包括</w:t>
      </w:r>
      <w:r>
        <w:rPr>
          <w:rFonts w:hint="eastAsia" w:ascii="Times New Roman" w:hAnsi="Times New Roman" w:eastAsia="方正仿宋_GBK"/>
          <w:sz w:val="32"/>
          <w:szCs w:val="32"/>
        </w:rPr>
        <w:t>太阳能、空气能、风能、地源热</w:t>
      </w:r>
      <w:r>
        <w:rPr>
          <w:rFonts w:hint="eastAsia" w:ascii="Times New Roman" w:hAnsi="Times New Roman" w:eastAsia="方正仿宋_GBK"/>
          <w:sz w:val="32"/>
          <w:szCs w:val="32"/>
          <w:lang w:val="en-US" w:eastAsia="zh-CN"/>
        </w:rPr>
        <w:t>等</w:t>
      </w:r>
      <w:r>
        <w:rPr>
          <w:rFonts w:hint="eastAsia" w:ascii="Times New Roman" w:hAnsi="Times New Roman" w:eastAsia="方正仿宋_GBK"/>
          <w:sz w:val="32"/>
          <w:szCs w:val="32"/>
        </w:rPr>
        <w:t>可再生能源形式的利用技术，并对配套的储能设备提出了具体要求，构成“多能互补、源储协同”的技术体系，为公路近零碳服务区实现能源自给、降低碳排放提供根本路径。</w:t>
      </w:r>
    </w:p>
    <w:p>
      <w:pPr>
        <w:spacing w:line="56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（五）植物固碳</w:t>
      </w:r>
    </w:p>
    <w:p>
      <w:pPr>
        <w:spacing w:line="56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强调</w:t>
      </w:r>
      <w:r>
        <w:rPr>
          <w:rFonts w:hint="eastAsia" w:ascii="Times New Roman" w:hAnsi="Times New Roman" w:eastAsia="方正仿宋_GBK"/>
          <w:sz w:val="32"/>
          <w:szCs w:val="32"/>
        </w:rPr>
        <w:t>通过科学选育与配置适生乡土植物，构建多层次、高固碳的植被群落，有效提升生态系统碳汇能力。在实现碳吸收与储存的同时，应统筹考虑景观美感与生态服务功能，形成兼具观赏性、生物多样性保护及生态调节功能的绿色空间，从而系统增强服务区的碳中和能力与生态韧性。</w:t>
      </w:r>
    </w:p>
    <w:p>
      <w:pPr>
        <w:spacing w:line="56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（六）数智化管理系统</w:t>
      </w:r>
    </w:p>
    <w:p>
      <w:pPr>
        <w:spacing w:line="56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cs="Times New Roman"/>
          <w:sz w:val="32"/>
          <w:szCs w:val="32"/>
        </w:rPr>
        <w:t>基于物联网感知与多源传感融合技术，结合大数据分析及机器学习算法，构建集数据集成、智能调控与碳排管理于一体的智慧服务区综合管控系统。系统</w:t>
      </w:r>
      <w:r>
        <w:rPr>
          <w:rFonts w:hint="eastAsia" w:ascii="Times New Roman" w:hAnsi="Times New Roman" w:eastAsia="方正仿宋_GBK" w:cs="Times New Roman"/>
          <w:sz w:val="32"/>
          <w:szCs w:val="32"/>
          <w:lang w:val="en-US" w:eastAsia="zh-CN"/>
        </w:rPr>
        <w:t>可</w:t>
      </w:r>
      <w:r>
        <w:rPr>
          <w:rFonts w:hint="eastAsia" w:ascii="Times New Roman" w:hAnsi="Times New Roman" w:eastAsia="方正仿宋_GBK" w:cs="Times New Roman"/>
          <w:sz w:val="32"/>
          <w:szCs w:val="32"/>
        </w:rPr>
        <w:t>实现对光伏发电、储能微网、暖通空调、污水处理等系统的运行状态实时监测与策略化智能调控，有效提升能源与水资源的集约利用水平和多能协同效率，显著增强服务区精细化运营管理能力与碳排精准管控水平</w:t>
      </w:r>
      <w:r>
        <w:rPr>
          <w:rFonts w:hint="eastAsia" w:ascii="Times New Roman" w:hAnsi="Times New Roman" w:eastAsia="方正仿宋_GBK"/>
          <w:sz w:val="32"/>
          <w:szCs w:val="32"/>
        </w:rPr>
        <w:t>。</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六、与重大分歧意见的处理经过和依据</w:t>
      </w:r>
    </w:p>
    <w:p>
      <w:pPr>
        <w:pStyle w:val="11"/>
        <w:autoSpaceDE/>
        <w:autoSpaceDN/>
        <w:adjustRightInd/>
        <w:rPr>
          <w:rFonts w:ascii="Times New Roman" w:cs="Times New Roman"/>
          <w:color w:val="000000"/>
        </w:rPr>
      </w:pPr>
      <w:r>
        <w:rPr>
          <w:rFonts w:ascii="Times New Roman" w:cs="Times New Roman"/>
          <w:color w:val="000000"/>
        </w:rPr>
        <w:t>无。</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七、采用国际标准或国外先进标准的情况</w:t>
      </w:r>
    </w:p>
    <w:p>
      <w:pPr>
        <w:pStyle w:val="11"/>
        <w:autoSpaceDE/>
        <w:autoSpaceDN/>
        <w:adjustRightInd/>
        <w:rPr>
          <w:rFonts w:ascii="Times New Roman" w:cs="Times New Roman"/>
          <w:color w:val="000000"/>
        </w:rPr>
      </w:pPr>
      <w:r>
        <w:rPr>
          <w:rFonts w:ascii="Times New Roman" w:cs="Times New Roman"/>
          <w:color w:val="000000"/>
        </w:rPr>
        <w:t>无。</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八、作为推荐性或强制性标准的建议及其理由</w:t>
      </w:r>
    </w:p>
    <w:p>
      <w:pPr>
        <w:pStyle w:val="11"/>
        <w:autoSpaceDE/>
        <w:autoSpaceDN/>
        <w:adjustRightInd/>
        <w:rPr>
          <w:rFonts w:ascii="Times New Roman" w:cs="Times New Roman"/>
          <w:color w:val="000000"/>
        </w:rPr>
      </w:pPr>
      <w:r>
        <w:rPr>
          <w:rFonts w:ascii="Times New Roman" w:cs="Times New Roman"/>
          <w:color w:val="000000"/>
        </w:rPr>
        <w:t>建议《公路近零碳服务区建设技术指南》作为推荐性标准发布实施。</w:t>
      </w:r>
    </w:p>
    <w:p>
      <w:pPr>
        <w:numPr>
          <w:ilvl w:val="0"/>
          <w:numId w:val="0"/>
        </w:numPr>
        <w:spacing w:line="560" w:lineRule="exact"/>
        <w:ind w:firstLine="640" w:firstLineChars="200"/>
        <w:rPr>
          <w:rFonts w:ascii="Times New Roman" w:hAnsi="Times New Roman" w:eastAsia="方正黑体_GBK"/>
          <w:sz w:val="32"/>
          <w:szCs w:val="32"/>
        </w:rPr>
      </w:pPr>
      <w:r>
        <w:rPr>
          <w:rFonts w:hint="eastAsia" w:ascii="Times New Roman" w:hAnsi="Times New Roman" w:eastAsia="方正黑体_GBK" w:cs="Times New Roman"/>
          <w:kern w:val="2"/>
          <w:sz w:val="32"/>
          <w:szCs w:val="32"/>
          <w:lang w:val="en-US" w:eastAsia="zh-CN" w:bidi="ar-SA"/>
          <w14:ligatures w14:val="none"/>
        </w:rPr>
        <w:t>九、</w:t>
      </w:r>
      <w:r>
        <w:rPr>
          <w:rFonts w:ascii="Times New Roman" w:hAnsi="Times New Roman" w:eastAsia="方正黑体_GBK"/>
          <w:sz w:val="32"/>
          <w:szCs w:val="32"/>
        </w:rPr>
        <w:t>贯彻标准的要求和措施建议</w:t>
      </w:r>
    </w:p>
    <w:p>
      <w:pPr>
        <w:pStyle w:val="11"/>
        <w:autoSpaceDE/>
        <w:autoSpaceDN/>
        <w:adjustRightInd/>
        <w:rPr>
          <w:rFonts w:hint="eastAsia" w:ascii="Times New Roman" w:cs="Times New Roman"/>
          <w:color w:val="000000"/>
        </w:rPr>
      </w:pPr>
      <w:r>
        <w:rPr>
          <w:rFonts w:hint="eastAsia" w:ascii="Times New Roman" w:cs="Times New Roman"/>
          <w:color w:val="000000"/>
        </w:rPr>
        <w:t>建议交通运输主管部门积极推广该标准应用，引导各地（州、市）交通运输部门参照执行，鼓励各地（州、市）成立近零碳服务区建设专项工作组，</w:t>
      </w:r>
      <w:r>
        <w:rPr>
          <w:rFonts w:hint="eastAsia" w:ascii="Times New Roman" w:cs="Times New Roman"/>
          <w:color w:val="000000"/>
          <w:lang w:val="en-US" w:eastAsia="zh-CN"/>
        </w:rPr>
        <w:t>积极</w:t>
      </w:r>
      <w:r>
        <w:rPr>
          <w:rFonts w:hint="eastAsia" w:ascii="Times New Roman" w:cs="Times New Roman"/>
          <w:color w:val="000000"/>
        </w:rPr>
        <w:t>推进近零碳服务区建设，推动行业绿色低碳转型。</w:t>
      </w:r>
    </w:p>
    <w:p>
      <w:pPr>
        <w:rPr>
          <w:rFonts w:hint="eastAsia" w:ascii="Times New Roman" w:cs="Times New Roman"/>
          <w:color w:val="000000"/>
          <w:sz w:val="32"/>
          <w:szCs w:val="32"/>
        </w:rPr>
      </w:pPr>
    </w:p>
    <w:p>
      <w:pPr>
        <w:pStyle w:val="11"/>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righ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本标准起草小组</w:t>
      </w:r>
    </w:p>
    <w:p>
      <w:pPr>
        <w:pStyle w:val="11"/>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right"/>
        <w:textAlignment w:val="auto"/>
        <w:rPr>
          <w:rFonts w:hint="eastAsia" w:ascii="Times New Roman" w:cs="Times New Roman"/>
          <w:color w:val="000000"/>
        </w:rPr>
      </w:pPr>
      <w:r>
        <w:rPr>
          <w:rFonts w:hint="default" w:ascii="Times New Roman" w:hAnsi="Times New Roman" w:eastAsia="方正仿宋_GBK" w:cs="Times New Roman"/>
          <w:color w:val="000000"/>
          <w:sz w:val="32"/>
          <w:szCs w:val="32"/>
          <w:lang w:val="en-US" w:eastAsia="zh-CN"/>
        </w:rPr>
        <w:t>202</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val="en-US" w:eastAsia="zh-CN"/>
        </w:rPr>
        <w:t>年</w:t>
      </w:r>
      <w:r>
        <w:rPr>
          <w:rFonts w:hint="eastAsia" w:ascii="Times New Roman" w:cs="Times New Roman"/>
          <w:color w:val="000000"/>
          <w:sz w:val="32"/>
          <w:szCs w:val="32"/>
          <w:lang w:val="en-US" w:eastAsia="zh-CN"/>
        </w:rPr>
        <w:t>11</w:t>
      </w:r>
      <w:r>
        <w:rPr>
          <w:rFonts w:hint="default" w:ascii="Times New Roman" w:hAnsi="Times New Roman" w:eastAsia="方正仿宋_GBK" w:cs="Times New Roman"/>
          <w:color w:val="000000"/>
          <w:sz w:val="32"/>
          <w:szCs w:val="32"/>
          <w:lang w:val="en-US" w:eastAsia="zh-CN"/>
        </w:rPr>
        <w:t>月</w:t>
      </w:r>
      <w:r>
        <w:rPr>
          <w:rFonts w:hint="eastAsia" w:ascii="Times New Roman" w:cs="Times New Roman"/>
          <w:color w:val="000000"/>
          <w:sz w:val="32"/>
          <w:szCs w:val="32"/>
          <w:lang w:val="en-US" w:eastAsia="zh-CN"/>
        </w:rPr>
        <w:t>28</w:t>
      </w:r>
      <w:r>
        <w:rPr>
          <w:rFonts w:hint="default" w:ascii="Times New Roman" w:hAnsi="Times New Roman" w:eastAsia="方正仿宋_GBK" w:cs="Times New Roman"/>
          <w:color w:val="000000"/>
          <w:sz w:val="32"/>
          <w:szCs w:val="32"/>
          <w:lang w:val="en-US" w:eastAsia="zh-CN"/>
        </w:rPr>
        <w:t>日</w:t>
      </w:r>
      <w:bookmarkStart w:id="0" w:name="_GoBack"/>
      <w:bookmarkEnd w:id="0"/>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E4D736-2791-4D50-B3F3-4A1E3A838A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2" w:fontKey="{9D1F2CE6-09E1-48B0-B783-06299A7EC2F4}"/>
  </w:font>
  <w:font w:name="Microsoft JhengHei">
    <w:panose1 w:val="020B0604030504040204"/>
    <w:charset w:val="88"/>
    <w:family w:val="swiss"/>
    <w:pitch w:val="default"/>
    <w:sig w:usb0="000002A7" w:usb1="28CF4400" w:usb2="00000016" w:usb3="00000000" w:csb0="00100009" w:csb1="00000000"/>
  </w:font>
  <w:font w:name="方正小标宋简体">
    <w:panose1 w:val="03000509000000000000"/>
    <w:charset w:val="86"/>
    <w:family w:val="auto"/>
    <w:pitch w:val="default"/>
    <w:sig w:usb0="00000001" w:usb1="080E0000" w:usb2="00000000" w:usb3="00000000" w:csb0="00040000" w:csb1="00000000"/>
    <w:embedRegular r:id="rId3" w:fontKey="{EDD50C94-54BE-4BE9-A3F8-CBBB746EB774}"/>
  </w:font>
  <w:font w:name="方正黑体_GBK">
    <w:panose1 w:val="03000509000000000000"/>
    <w:charset w:val="86"/>
    <w:family w:val="script"/>
    <w:pitch w:val="default"/>
    <w:sig w:usb0="00000001" w:usb1="080E0000" w:usb2="00000000" w:usb3="00000000" w:csb0="00040000" w:csb1="00000000"/>
    <w:embedRegular r:id="rId4" w:fontKey="{21AA534C-EF08-434A-A7C1-25914CC8600E}"/>
  </w:font>
  <w:font w:name="仿宋">
    <w:panose1 w:val="02010609060101010101"/>
    <w:charset w:val="86"/>
    <w:family w:val="modern"/>
    <w:pitch w:val="default"/>
    <w:sig w:usb0="800002BF" w:usb1="38CF7CFA" w:usb2="00000016" w:usb3="00000000" w:csb0="00040001" w:csb1="00000000"/>
    <w:embedRegular r:id="rId5" w:fontKey="{F6695ED7-1F4F-4DC5-8D1A-F89E0AE064C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3Y2I3OTRlNTA1NjUwZGY1NGI3NTM4NWZhMGI4N2IifQ=="/>
  </w:docVars>
  <w:rsids>
    <w:rsidRoot w:val="00664184"/>
    <w:rsid w:val="0000752B"/>
    <w:rsid w:val="00071149"/>
    <w:rsid w:val="001A05D7"/>
    <w:rsid w:val="001F6717"/>
    <w:rsid w:val="00242B1F"/>
    <w:rsid w:val="00285E77"/>
    <w:rsid w:val="00376F94"/>
    <w:rsid w:val="003D5A71"/>
    <w:rsid w:val="00535670"/>
    <w:rsid w:val="00635A50"/>
    <w:rsid w:val="00664184"/>
    <w:rsid w:val="006C1F88"/>
    <w:rsid w:val="006D0CE9"/>
    <w:rsid w:val="007040B5"/>
    <w:rsid w:val="007C2591"/>
    <w:rsid w:val="0083708B"/>
    <w:rsid w:val="009534E5"/>
    <w:rsid w:val="00A16BE5"/>
    <w:rsid w:val="00A41F8E"/>
    <w:rsid w:val="00A44F37"/>
    <w:rsid w:val="00AD698A"/>
    <w:rsid w:val="00B40C50"/>
    <w:rsid w:val="00B50E10"/>
    <w:rsid w:val="00BC7353"/>
    <w:rsid w:val="00BD67E5"/>
    <w:rsid w:val="00BD7538"/>
    <w:rsid w:val="00BF1137"/>
    <w:rsid w:val="00C20FB2"/>
    <w:rsid w:val="00C33308"/>
    <w:rsid w:val="00CC3068"/>
    <w:rsid w:val="00FC3E1B"/>
    <w:rsid w:val="01610122"/>
    <w:rsid w:val="0233386D"/>
    <w:rsid w:val="033C2BF5"/>
    <w:rsid w:val="03B8573A"/>
    <w:rsid w:val="03BD5AE4"/>
    <w:rsid w:val="04F82D11"/>
    <w:rsid w:val="05290F57"/>
    <w:rsid w:val="055F2BCB"/>
    <w:rsid w:val="05FD2B10"/>
    <w:rsid w:val="07047ECE"/>
    <w:rsid w:val="071F0864"/>
    <w:rsid w:val="07896B1D"/>
    <w:rsid w:val="07B03E8A"/>
    <w:rsid w:val="07D17DB0"/>
    <w:rsid w:val="07FB4E2D"/>
    <w:rsid w:val="088A7F5F"/>
    <w:rsid w:val="0895702F"/>
    <w:rsid w:val="08F875BE"/>
    <w:rsid w:val="099F1469"/>
    <w:rsid w:val="09D516AE"/>
    <w:rsid w:val="09DB3168"/>
    <w:rsid w:val="09F9539C"/>
    <w:rsid w:val="0A9867C9"/>
    <w:rsid w:val="0C37664F"/>
    <w:rsid w:val="0C3E178C"/>
    <w:rsid w:val="0C694CA7"/>
    <w:rsid w:val="0C937D2A"/>
    <w:rsid w:val="0CCF6888"/>
    <w:rsid w:val="0DB00467"/>
    <w:rsid w:val="0E8B67DF"/>
    <w:rsid w:val="0ECA5559"/>
    <w:rsid w:val="0EEC3721"/>
    <w:rsid w:val="0FC85F3C"/>
    <w:rsid w:val="10FD39C4"/>
    <w:rsid w:val="114E2471"/>
    <w:rsid w:val="11517EC3"/>
    <w:rsid w:val="1182036D"/>
    <w:rsid w:val="11E93F48"/>
    <w:rsid w:val="121F3E0E"/>
    <w:rsid w:val="138A175B"/>
    <w:rsid w:val="140212F1"/>
    <w:rsid w:val="14B20F69"/>
    <w:rsid w:val="14BE16BC"/>
    <w:rsid w:val="151E03AD"/>
    <w:rsid w:val="156D4E90"/>
    <w:rsid w:val="158C3568"/>
    <w:rsid w:val="162437A1"/>
    <w:rsid w:val="1638549E"/>
    <w:rsid w:val="16734728"/>
    <w:rsid w:val="16DC051F"/>
    <w:rsid w:val="17255A22"/>
    <w:rsid w:val="1780534F"/>
    <w:rsid w:val="17C90AA4"/>
    <w:rsid w:val="18610CDC"/>
    <w:rsid w:val="18D70F9E"/>
    <w:rsid w:val="18FC6C57"/>
    <w:rsid w:val="19AE61A3"/>
    <w:rsid w:val="19E4064E"/>
    <w:rsid w:val="1A22449B"/>
    <w:rsid w:val="1A6525DA"/>
    <w:rsid w:val="1AFC4CEC"/>
    <w:rsid w:val="1B177D78"/>
    <w:rsid w:val="1BD47A17"/>
    <w:rsid w:val="1C0320AA"/>
    <w:rsid w:val="1C3861F8"/>
    <w:rsid w:val="1C542906"/>
    <w:rsid w:val="1C766D20"/>
    <w:rsid w:val="1CA613B3"/>
    <w:rsid w:val="1D187DD7"/>
    <w:rsid w:val="1D594678"/>
    <w:rsid w:val="1EA96F39"/>
    <w:rsid w:val="1F3F789D"/>
    <w:rsid w:val="1FF16DE9"/>
    <w:rsid w:val="205253AE"/>
    <w:rsid w:val="20E34258"/>
    <w:rsid w:val="217A4BBD"/>
    <w:rsid w:val="217F0425"/>
    <w:rsid w:val="21C83B7A"/>
    <w:rsid w:val="220B1CB9"/>
    <w:rsid w:val="222F1E4B"/>
    <w:rsid w:val="22A939AB"/>
    <w:rsid w:val="2318468D"/>
    <w:rsid w:val="23DA7B95"/>
    <w:rsid w:val="24013373"/>
    <w:rsid w:val="2432177F"/>
    <w:rsid w:val="24374FE7"/>
    <w:rsid w:val="24A26904"/>
    <w:rsid w:val="24AF7273"/>
    <w:rsid w:val="2564005E"/>
    <w:rsid w:val="269404CF"/>
    <w:rsid w:val="270218DC"/>
    <w:rsid w:val="27337CE7"/>
    <w:rsid w:val="27BF77CD"/>
    <w:rsid w:val="280E42B1"/>
    <w:rsid w:val="2900512A"/>
    <w:rsid w:val="2A570191"/>
    <w:rsid w:val="2B9D7E25"/>
    <w:rsid w:val="2C5A5D16"/>
    <w:rsid w:val="2CA376BD"/>
    <w:rsid w:val="2CB01DDA"/>
    <w:rsid w:val="2DA3549B"/>
    <w:rsid w:val="2DD66F63"/>
    <w:rsid w:val="2E8157DC"/>
    <w:rsid w:val="2EA339A5"/>
    <w:rsid w:val="2F2A5E74"/>
    <w:rsid w:val="2FAA0D63"/>
    <w:rsid w:val="30030473"/>
    <w:rsid w:val="30607673"/>
    <w:rsid w:val="30DF2C8E"/>
    <w:rsid w:val="318B6972"/>
    <w:rsid w:val="31A31F0E"/>
    <w:rsid w:val="32035418"/>
    <w:rsid w:val="325377F5"/>
    <w:rsid w:val="3293788C"/>
    <w:rsid w:val="33D939C5"/>
    <w:rsid w:val="3445105A"/>
    <w:rsid w:val="34A07BE8"/>
    <w:rsid w:val="34A67DE5"/>
    <w:rsid w:val="34E32F57"/>
    <w:rsid w:val="350C7DCA"/>
    <w:rsid w:val="358F6C5C"/>
    <w:rsid w:val="35EB4569"/>
    <w:rsid w:val="35FB2318"/>
    <w:rsid w:val="36F62AE0"/>
    <w:rsid w:val="370E7E29"/>
    <w:rsid w:val="3825367C"/>
    <w:rsid w:val="38CC7F9C"/>
    <w:rsid w:val="391536F1"/>
    <w:rsid w:val="39316051"/>
    <w:rsid w:val="397C551E"/>
    <w:rsid w:val="3B351E28"/>
    <w:rsid w:val="3B451940"/>
    <w:rsid w:val="3BD01B51"/>
    <w:rsid w:val="3D110A5D"/>
    <w:rsid w:val="3DD5344F"/>
    <w:rsid w:val="3DDE57BB"/>
    <w:rsid w:val="3E0B50C2"/>
    <w:rsid w:val="3E155F41"/>
    <w:rsid w:val="3F275F2C"/>
    <w:rsid w:val="4047615A"/>
    <w:rsid w:val="40B3559D"/>
    <w:rsid w:val="419D0727"/>
    <w:rsid w:val="41AE46E3"/>
    <w:rsid w:val="41E55C2A"/>
    <w:rsid w:val="42FD7186"/>
    <w:rsid w:val="439E60B3"/>
    <w:rsid w:val="44240C8C"/>
    <w:rsid w:val="442B201A"/>
    <w:rsid w:val="442F13DF"/>
    <w:rsid w:val="4467501D"/>
    <w:rsid w:val="451900C5"/>
    <w:rsid w:val="4582210E"/>
    <w:rsid w:val="459534C4"/>
    <w:rsid w:val="47555600"/>
    <w:rsid w:val="48FA645F"/>
    <w:rsid w:val="4A7144FF"/>
    <w:rsid w:val="4B182BCD"/>
    <w:rsid w:val="4BA44460"/>
    <w:rsid w:val="4BCF5981"/>
    <w:rsid w:val="4D5A3970"/>
    <w:rsid w:val="4D88228C"/>
    <w:rsid w:val="4D9A5B1B"/>
    <w:rsid w:val="4E1B3100"/>
    <w:rsid w:val="4F4F0B87"/>
    <w:rsid w:val="4FCC21D8"/>
    <w:rsid w:val="500E2419"/>
    <w:rsid w:val="50913E98"/>
    <w:rsid w:val="50CC06E1"/>
    <w:rsid w:val="51271DBC"/>
    <w:rsid w:val="51730B5D"/>
    <w:rsid w:val="51EE28D9"/>
    <w:rsid w:val="52742DDF"/>
    <w:rsid w:val="533D7674"/>
    <w:rsid w:val="53F02939"/>
    <w:rsid w:val="53F51CFD"/>
    <w:rsid w:val="545F13F9"/>
    <w:rsid w:val="54694499"/>
    <w:rsid w:val="54C94F38"/>
    <w:rsid w:val="54D67D81"/>
    <w:rsid w:val="54DD2D7F"/>
    <w:rsid w:val="570575B2"/>
    <w:rsid w:val="570606C5"/>
    <w:rsid w:val="573661ED"/>
    <w:rsid w:val="576C677A"/>
    <w:rsid w:val="57CC546B"/>
    <w:rsid w:val="58D345D7"/>
    <w:rsid w:val="5AE40D1D"/>
    <w:rsid w:val="5B345801"/>
    <w:rsid w:val="5B37709F"/>
    <w:rsid w:val="5B5A2D8E"/>
    <w:rsid w:val="5C657C3C"/>
    <w:rsid w:val="5C7659A5"/>
    <w:rsid w:val="5CBF734C"/>
    <w:rsid w:val="5DAB5B22"/>
    <w:rsid w:val="5E47584B"/>
    <w:rsid w:val="5EA70098"/>
    <w:rsid w:val="5EC96260"/>
    <w:rsid w:val="5F3A53B0"/>
    <w:rsid w:val="6065020A"/>
    <w:rsid w:val="618A19B8"/>
    <w:rsid w:val="618E3791"/>
    <w:rsid w:val="61A84853"/>
    <w:rsid w:val="62061579"/>
    <w:rsid w:val="63100901"/>
    <w:rsid w:val="63223C68"/>
    <w:rsid w:val="63C4349A"/>
    <w:rsid w:val="648275DD"/>
    <w:rsid w:val="66AF389D"/>
    <w:rsid w:val="67FD341E"/>
    <w:rsid w:val="68294213"/>
    <w:rsid w:val="693469CC"/>
    <w:rsid w:val="69DB153D"/>
    <w:rsid w:val="69E91EAC"/>
    <w:rsid w:val="6A9A4F55"/>
    <w:rsid w:val="6ABC311D"/>
    <w:rsid w:val="6B572E46"/>
    <w:rsid w:val="6B5C045C"/>
    <w:rsid w:val="6B686E01"/>
    <w:rsid w:val="6C692E30"/>
    <w:rsid w:val="6CA4030D"/>
    <w:rsid w:val="6D0B038C"/>
    <w:rsid w:val="6DA46816"/>
    <w:rsid w:val="6E05302D"/>
    <w:rsid w:val="6E25722B"/>
    <w:rsid w:val="6E366386"/>
    <w:rsid w:val="6E4C47B8"/>
    <w:rsid w:val="6EC30F1E"/>
    <w:rsid w:val="6F7E3097"/>
    <w:rsid w:val="6FE70C3C"/>
    <w:rsid w:val="6FEC6252"/>
    <w:rsid w:val="70005B22"/>
    <w:rsid w:val="7023514D"/>
    <w:rsid w:val="709D754D"/>
    <w:rsid w:val="70DF7B65"/>
    <w:rsid w:val="70FA499F"/>
    <w:rsid w:val="710870BC"/>
    <w:rsid w:val="71866233"/>
    <w:rsid w:val="72712A3F"/>
    <w:rsid w:val="72CE60E3"/>
    <w:rsid w:val="73727D47"/>
    <w:rsid w:val="737F73DD"/>
    <w:rsid w:val="73C51294"/>
    <w:rsid w:val="74365CEE"/>
    <w:rsid w:val="74A7099A"/>
    <w:rsid w:val="74F31E31"/>
    <w:rsid w:val="75412B9C"/>
    <w:rsid w:val="758000A0"/>
    <w:rsid w:val="75EB26F0"/>
    <w:rsid w:val="7614205F"/>
    <w:rsid w:val="76650B0D"/>
    <w:rsid w:val="76865F3A"/>
    <w:rsid w:val="76D96E05"/>
    <w:rsid w:val="7746449A"/>
    <w:rsid w:val="77DD6159"/>
    <w:rsid w:val="783B7D77"/>
    <w:rsid w:val="787E7C64"/>
    <w:rsid w:val="78AC47D1"/>
    <w:rsid w:val="791D747D"/>
    <w:rsid w:val="79771625"/>
    <w:rsid w:val="79BA2F1D"/>
    <w:rsid w:val="7B9B0B2D"/>
    <w:rsid w:val="7BCD518A"/>
    <w:rsid w:val="7BF70459"/>
    <w:rsid w:val="7C72188D"/>
    <w:rsid w:val="7D133070"/>
    <w:rsid w:val="7DAA32A9"/>
    <w:rsid w:val="7E461224"/>
    <w:rsid w:val="7E865AC4"/>
    <w:rsid w:val="7EB02B41"/>
    <w:rsid w:val="7EE97D42"/>
    <w:rsid w:val="7F596D35"/>
    <w:rsid w:val="7F8738A2"/>
    <w:rsid w:val="7F8B2110"/>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14:ligatures w14:val="none"/>
    </w:rPr>
  </w:style>
  <w:style w:type="paragraph" w:styleId="2">
    <w:name w:val="heading 1"/>
    <w:basedOn w:val="1"/>
    <w:next w:val="1"/>
    <w:link w:val="20"/>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autoRedefine/>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5"/>
    <w:autoRedefine/>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autoRedefine/>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11">
    <w:name w:val="Body Text"/>
    <w:basedOn w:val="1"/>
    <w:link w:val="40"/>
    <w:autoRedefine/>
    <w:qFormat/>
    <w:uiPriority w:val="1"/>
    <w:pPr>
      <w:autoSpaceDE w:val="0"/>
      <w:autoSpaceDN w:val="0"/>
      <w:adjustRightInd w:val="0"/>
      <w:spacing w:line="560" w:lineRule="exact"/>
      <w:ind w:firstLine="640" w:firstLineChars="200"/>
    </w:pPr>
    <w:rPr>
      <w:rFonts w:ascii="方正仿宋_GBK" w:hAnsi="Times New Roman" w:eastAsia="方正仿宋_GBK" w:cs="Microsoft JhengHei"/>
      <w:kern w:val="0"/>
      <w:sz w:val="32"/>
      <w:szCs w:val="32"/>
    </w:rPr>
  </w:style>
  <w:style w:type="paragraph" w:styleId="12">
    <w:name w:val="footer"/>
    <w:basedOn w:val="1"/>
    <w:link w:val="39"/>
    <w:autoRedefine/>
    <w:unhideWhenUsed/>
    <w:qFormat/>
    <w:uiPriority w:val="99"/>
    <w:pPr>
      <w:tabs>
        <w:tab w:val="center" w:pos="4153"/>
        <w:tab w:val="right" w:pos="8306"/>
      </w:tabs>
      <w:snapToGrid w:val="0"/>
      <w:jc w:val="left"/>
    </w:pPr>
    <w:rPr>
      <w:sz w:val="18"/>
      <w:szCs w:val="18"/>
    </w:rPr>
  </w:style>
  <w:style w:type="paragraph" w:styleId="13">
    <w:name w:val="header"/>
    <w:basedOn w:val="1"/>
    <w:link w:val="38"/>
    <w:autoRedefine/>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autoRedefine/>
    <w:semiHidden/>
    <w:unhideWhenUsed/>
    <w:qFormat/>
    <w:uiPriority w:val="99"/>
    <w:rPr>
      <w:sz w:val="24"/>
    </w:rPr>
  </w:style>
  <w:style w:type="paragraph" w:styleId="16">
    <w:name w:val="Title"/>
    <w:basedOn w:val="1"/>
    <w:next w:val="1"/>
    <w:link w:val="29"/>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Body Text First Indent 2"/>
    <w:autoRedefine/>
    <w:qFormat/>
    <w:uiPriority w:val="0"/>
    <w:pPr>
      <w:widowControl w:val="0"/>
      <w:spacing w:after="0" w:line="240" w:lineRule="auto"/>
      <w:ind w:left="0" w:firstLine="420"/>
      <w:jc w:val="both"/>
    </w:pPr>
    <w:rPr>
      <w:rFonts w:ascii="Times New Roman" w:hAnsi="Times New Roman" w:eastAsia="宋体" w:cs="Times New Roman"/>
      <w:kern w:val="2"/>
      <w:sz w:val="21"/>
      <w:szCs w:val="24"/>
      <w:lang w:val="en-US" w:eastAsia="zh-CN" w:bidi="ar-SA"/>
    </w:rPr>
  </w:style>
  <w:style w:type="character" w:customStyle="1" w:styleId="20">
    <w:name w:val="标题 1 字符"/>
    <w:basedOn w:val="19"/>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9"/>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9"/>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9"/>
    <w:link w:val="5"/>
    <w:autoRedefine/>
    <w:semiHidden/>
    <w:qFormat/>
    <w:uiPriority w:val="9"/>
    <w:rPr>
      <w:rFonts w:cstheme="majorBidi"/>
      <w:color w:val="104862" w:themeColor="accent1" w:themeShade="BF"/>
      <w:sz w:val="28"/>
      <w:szCs w:val="28"/>
    </w:rPr>
  </w:style>
  <w:style w:type="character" w:customStyle="1" w:styleId="24">
    <w:name w:val="标题 5 字符"/>
    <w:basedOn w:val="19"/>
    <w:link w:val="6"/>
    <w:autoRedefine/>
    <w:semiHidden/>
    <w:qFormat/>
    <w:uiPriority w:val="9"/>
    <w:rPr>
      <w:rFonts w:cstheme="majorBidi"/>
      <w:color w:val="104862" w:themeColor="accent1" w:themeShade="BF"/>
      <w:sz w:val="24"/>
      <w:szCs w:val="24"/>
    </w:rPr>
  </w:style>
  <w:style w:type="character" w:customStyle="1" w:styleId="25">
    <w:name w:val="标题 6 字符"/>
    <w:basedOn w:val="19"/>
    <w:link w:val="7"/>
    <w:autoRedefine/>
    <w:semiHidden/>
    <w:qFormat/>
    <w:uiPriority w:val="9"/>
    <w:rPr>
      <w:rFonts w:cstheme="majorBidi"/>
      <w:b/>
      <w:bCs/>
      <w:color w:val="104862" w:themeColor="accent1" w:themeShade="BF"/>
    </w:rPr>
  </w:style>
  <w:style w:type="character" w:customStyle="1" w:styleId="26">
    <w:name w:val="标题 7 字符"/>
    <w:basedOn w:val="19"/>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6"/>
    <w:autoRedefine/>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4"/>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autoRedefine/>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autoRedefine/>
    <w:qFormat/>
    <w:uiPriority w:val="34"/>
    <w:pPr>
      <w:ind w:left="720"/>
      <w:contextualSpacing/>
    </w:pPr>
  </w:style>
  <w:style w:type="character" w:customStyle="1" w:styleId="34">
    <w:name w:val="Intense Emphasis"/>
    <w:basedOn w:val="19"/>
    <w:autoRedefine/>
    <w:qFormat/>
    <w:uiPriority w:val="21"/>
    <w:rPr>
      <w:i/>
      <w:iCs/>
      <w:color w:val="104862" w:themeColor="accent1" w:themeShade="BF"/>
    </w:rPr>
  </w:style>
  <w:style w:type="paragraph" w:styleId="35">
    <w:name w:val="Intense Quote"/>
    <w:basedOn w:val="1"/>
    <w:next w:val="1"/>
    <w:link w:val="36"/>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9"/>
    <w:link w:val="35"/>
    <w:autoRedefine/>
    <w:qFormat/>
    <w:uiPriority w:val="30"/>
    <w:rPr>
      <w:i/>
      <w:iCs/>
      <w:color w:val="104862" w:themeColor="accent1" w:themeShade="BF"/>
    </w:rPr>
  </w:style>
  <w:style w:type="character" w:customStyle="1" w:styleId="37">
    <w:name w:val="Intense Reference"/>
    <w:basedOn w:val="19"/>
    <w:autoRedefine/>
    <w:qFormat/>
    <w:uiPriority w:val="32"/>
    <w:rPr>
      <w:b/>
      <w:bCs/>
      <w:smallCaps/>
      <w:color w:val="104862" w:themeColor="accent1" w:themeShade="BF"/>
      <w:spacing w:val="5"/>
    </w:rPr>
  </w:style>
  <w:style w:type="character" w:customStyle="1" w:styleId="38">
    <w:name w:val="页眉 字符"/>
    <w:basedOn w:val="19"/>
    <w:link w:val="13"/>
    <w:autoRedefine/>
    <w:qFormat/>
    <w:uiPriority w:val="99"/>
    <w:rPr>
      <w:sz w:val="18"/>
      <w:szCs w:val="18"/>
    </w:rPr>
  </w:style>
  <w:style w:type="character" w:customStyle="1" w:styleId="39">
    <w:name w:val="页脚 字符"/>
    <w:basedOn w:val="19"/>
    <w:link w:val="12"/>
    <w:autoRedefine/>
    <w:qFormat/>
    <w:uiPriority w:val="99"/>
    <w:rPr>
      <w:sz w:val="18"/>
      <w:szCs w:val="18"/>
    </w:rPr>
  </w:style>
  <w:style w:type="character" w:customStyle="1" w:styleId="40">
    <w:name w:val="正文文本 字符"/>
    <w:basedOn w:val="19"/>
    <w:link w:val="11"/>
    <w:autoRedefine/>
    <w:qFormat/>
    <w:uiPriority w:val="1"/>
    <w:rPr>
      <w:rFonts w:ascii="方正仿宋_GBK" w:hAnsi="Times New Roman" w:eastAsia="方正仿宋_GBK" w:cs="Microsoft JhengHei"/>
      <w:kern w:val="0"/>
      <w:sz w:val="32"/>
      <w:szCs w:val="32"/>
      <w14:ligatures w14:val="none"/>
    </w:rPr>
  </w:style>
  <w:style w:type="paragraph" w:customStyle="1" w:styleId="41">
    <w:name w:val="Default"/>
    <w:basedOn w:val="1"/>
    <w:autoRedefine/>
    <w:qFormat/>
    <w:uiPriority w:val="0"/>
    <w:pPr>
      <w:autoSpaceDE w:val="0"/>
      <w:autoSpaceDN w:val="0"/>
      <w:adjustRightInd w:val="0"/>
      <w:spacing w:line="440" w:lineRule="exact"/>
      <w:ind w:firstLine="0" w:firstLineChars="0"/>
      <w:jc w:val="left"/>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4708</Words>
  <Characters>5235</Characters>
  <Lines>402</Lines>
  <Paragraphs>111</Paragraphs>
  <TotalTime>6</TotalTime>
  <ScaleCrop>false</ScaleCrop>
  <LinksUpToDate>false</LinksUpToDate>
  <CharactersWithSpaces>5275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2025-09-02T08:54:00Z</dcterms:created>
  <dc:creator>正杰 高</dc:creator>
  <cp:lastModifiedBy>Wenyan</cp:lastModifiedBy>
  <dcterms:modified xsi:type="dcterms:W3CDTF">2025-12-01T02:27:18Z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F5663AE994A94C1786857260903E1072_12</vt:lpwstr>
  </property>
  <property fmtid="{D5CDD505-2E9C-101B-9397-08002B2CF9AE}" pid="4" name="KSOTemplateDocerSaveRecord">
    <vt:lpwstr>eyJoZGlkIjoiYjkyZmNhZmMwYTRkMzdjNDc0ZDBiODA4ZTNmNjg2YzYiLCJ1c2VySWQiOiIyNTAxNDQ2ODUifQ==</vt:lpwstr>
  </property>
</Properties>
</file>