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BF08C">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迷你简小标宋" w:hAnsi="宋体" w:eastAsia="迷你简小标宋"/>
          <w:w w:val="90"/>
          <w:sz w:val="44"/>
          <w:szCs w:val="44"/>
        </w:rPr>
      </w:pPr>
    </w:p>
    <w:p w14:paraId="393FF3BF">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迷你简小标宋" w:hAnsi="宋体" w:eastAsia="迷你简小标宋"/>
          <w:w w:val="90"/>
          <w:sz w:val="44"/>
          <w:szCs w:val="44"/>
        </w:rPr>
      </w:pPr>
    </w:p>
    <w:p w14:paraId="0895CAE9">
      <w:pPr>
        <w:keepNext w:val="0"/>
        <w:keepLines w:val="0"/>
        <w:pageBreakBefore w:val="0"/>
        <w:widowControl w:val="0"/>
        <w:kinsoku/>
        <w:wordWrap/>
        <w:overflowPunct/>
        <w:autoSpaceDE/>
        <w:autoSpaceDN/>
        <w:bidi w:val="0"/>
        <w:adjustRightInd/>
        <w:snapToGrid/>
        <w:spacing w:line="360" w:lineRule="auto"/>
        <w:jc w:val="center"/>
        <w:textAlignment w:val="auto"/>
        <w:rPr>
          <w:rFonts w:hint="eastAsia" w:ascii="迷你简小标宋" w:hAnsi="宋体" w:eastAsia="迷你简小标宋"/>
          <w:b w:val="0"/>
          <w:bCs w:val="0"/>
          <w:w w:val="90"/>
          <w:sz w:val="40"/>
          <w:szCs w:val="40"/>
        </w:rPr>
      </w:pPr>
    </w:p>
    <w:p w14:paraId="0A5258AF">
      <w:pPr>
        <w:keepNext w:val="0"/>
        <w:keepLines w:val="0"/>
        <w:pageBreakBefore w:val="0"/>
        <w:widowControl w:val="0"/>
        <w:kinsoku/>
        <w:wordWrap/>
        <w:overflowPunct/>
        <w:autoSpaceDE/>
        <w:autoSpaceDN/>
        <w:bidi w:val="0"/>
        <w:adjustRightInd/>
        <w:snapToGrid/>
        <w:spacing w:line="360" w:lineRule="auto"/>
        <w:jc w:val="center"/>
        <w:textAlignment w:val="auto"/>
        <w:rPr>
          <w:rFonts w:hint="eastAsia" w:ascii="迷你简小标宋" w:hAnsi="宋体" w:eastAsia="迷你简小标宋"/>
          <w:b w:val="0"/>
          <w:bCs w:val="0"/>
          <w:w w:val="90"/>
          <w:sz w:val="40"/>
          <w:szCs w:val="40"/>
        </w:rPr>
      </w:pPr>
    </w:p>
    <w:p w14:paraId="42CCF6EC">
      <w:pPr>
        <w:keepNext w:val="0"/>
        <w:keepLines w:val="0"/>
        <w:pageBreakBefore w:val="0"/>
        <w:widowControl w:val="0"/>
        <w:kinsoku/>
        <w:wordWrap/>
        <w:overflowPunct/>
        <w:autoSpaceDE/>
        <w:autoSpaceDN/>
        <w:bidi w:val="0"/>
        <w:adjustRightInd/>
        <w:snapToGrid/>
        <w:spacing w:line="360" w:lineRule="auto"/>
        <w:jc w:val="center"/>
        <w:textAlignment w:val="auto"/>
        <w:rPr>
          <w:rFonts w:ascii="迷你简小标宋" w:hAnsi="宋体" w:eastAsia="迷你简小标宋"/>
          <w:b w:val="0"/>
          <w:bCs w:val="0"/>
          <w:w w:val="90"/>
          <w:sz w:val="40"/>
          <w:szCs w:val="40"/>
        </w:rPr>
      </w:pPr>
      <w:r>
        <w:rPr>
          <w:rFonts w:hint="eastAsia" w:ascii="迷你简小标宋" w:hAnsi="宋体" w:eastAsia="迷你简小标宋"/>
          <w:b w:val="0"/>
          <w:bCs w:val="0"/>
          <w:w w:val="90"/>
          <w:sz w:val="40"/>
          <w:szCs w:val="40"/>
        </w:rPr>
        <w:t>《</w:t>
      </w:r>
      <w:r>
        <w:rPr>
          <w:rFonts w:hint="eastAsia" w:ascii="迷你简小标宋" w:hAnsi="宋体" w:eastAsia="迷你简小标宋"/>
          <w:b w:val="0"/>
          <w:bCs w:val="0"/>
          <w:w w:val="90"/>
          <w:sz w:val="40"/>
          <w:szCs w:val="40"/>
          <w:lang w:val="en-US" w:eastAsia="zh-CN"/>
        </w:rPr>
        <w:t>储能高压连接器复合环境耐受性评价规范</w:t>
      </w:r>
      <w:r>
        <w:rPr>
          <w:rFonts w:hint="eastAsia" w:ascii="迷你简小标宋" w:hAnsi="宋体" w:eastAsia="迷你简小标宋"/>
          <w:b w:val="0"/>
          <w:bCs w:val="0"/>
          <w:w w:val="90"/>
          <w:sz w:val="40"/>
          <w:szCs w:val="40"/>
        </w:rPr>
        <w:t>》</w:t>
      </w:r>
    </w:p>
    <w:p w14:paraId="082E09F9">
      <w:pPr>
        <w:keepNext w:val="0"/>
        <w:keepLines w:val="0"/>
        <w:pageBreakBefore w:val="0"/>
        <w:widowControl w:val="0"/>
        <w:kinsoku/>
        <w:wordWrap/>
        <w:overflowPunct/>
        <w:autoSpaceDE/>
        <w:autoSpaceDN/>
        <w:bidi w:val="0"/>
        <w:adjustRightInd/>
        <w:snapToGrid/>
        <w:spacing w:line="360" w:lineRule="auto"/>
        <w:ind w:firstLine="3600" w:firstLineChars="900"/>
        <w:jc w:val="both"/>
        <w:textAlignment w:val="auto"/>
        <w:rPr>
          <w:rFonts w:hint="eastAsia" w:ascii="迷你简小标宋" w:hAnsi="宋体" w:eastAsia="迷你简小标宋"/>
          <w:sz w:val="40"/>
          <w:szCs w:val="40"/>
        </w:rPr>
      </w:pPr>
      <w:r>
        <w:rPr>
          <w:rFonts w:hint="eastAsia" w:ascii="迷你简小标宋" w:hAnsi="宋体" w:eastAsia="迷你简小标宋"/>
          <w:sz w:val="40"/>
          <w:szCs w:val="40"/>
        </w:rPr>
        <w:t>编制说明</w:t>
      </w:r>
    </w:p>
    <w:p w14:paraId="7F8DD994">
      <w:pPr>
        <w:keepNext w:val="0"/>
        <w:keepLines w:val="0"/>
        <w:pageBreakBefore w:val="0"/>
        <w:widowControl w:val="0"/>
        <w:kinsoku/>
        <w:wordWrap/>
        <w:overflowPunct/>
        <w:autoSpaceDE/>
        <w:autoSpaceDN/>
        <w:bidi w:val="0"/>
        <w:adjustRightInd/>
        <w:snapToGrid/>
        <w:spacing w:line="360" w:lineRule="auto"/>
        <w:ind w:firstLine="880" w:firstLineChars="200"/>
        <w:jc w:val="center"/>
        <w:textAlignment w:val="auto"/>
        <w:rPr>
          <w:rFonts w:hint="eastAsia" w:ascii="迷你简小标宋" w:hAnsi="宋体" w:eastAsia="迷你简小标宋"/>
          <w:sz w:val="44"/>
          <w:szCs w:val="44"/>
        </w:rPr>
      </w:pPr>
    </w:p>
    <w:p w14:paraId="323AD7BF">
      <w:pPr>
        <w:keepNext w:val="0"/>
        <w:keepLines w:val="0"/>
        <w:pageBreakBefore w:val="0"/>
        <w:widowControl w:val="0"/>
        <w:kinsoku/>
        <w:wordWrap/>
        <w:overflowPunct/>
        <w:autoSpaceDE/>
        <w:autoSpaceDN/>
        <w:bidi w:val="0"/>
        <w:adjustRightInd/>
        <w:snapToGrid/>
        <w:spacing w:line="360" w:lineRule="auto"/>
        <w:ind w:firstLine="880" w:firstLineChars="200"/>
        <w:jc w:val="center"/>
        <w:textAlignment w:val="auto"/>
        <w:rPr>
          <w:rFonts w:hint="eastAsia" w:ascii="迷你简小标宋" w:hAnsi="宋体" w:eastAsia="迷你简小标宋"/>
          <w:sz w:val="44"/>
          <w:szCs w:val="44"/>
        </w:rPr>
      </w:pPr>
    </w:p>
    <w:p w14:paraId="7A1A2119">
      <w:pPr>
        <w:keepNext w:val="0"/>
        <w:keepLines w:val="0"/>
        <w:pageBreakBefore w:val="0"/>
        <w:widowControl w:val="0"/>
        <w:kinsoku/>
        <w:wordWrap/>
        <w:overflowPunct/>
        <w:autoSpaceDE/>
        <w:autoSpaceDN/>
        <w:bidi w:val="0"/>
        <w:adjustRightInd/>
        <w:snapToGrid/>
        <w:spacing w:line="360" w:lineRule="auto"/>
        <w:ind w:firstLine="880" w:firstLineChars="200"/>
        <w:jc w:val="center"/>
        <w:textAlignment w:val="auto"/>
        <w:rPr>
          <w:rFonts w:hint="eastAsia" w:ascii="迷你简小标宋" w:hAnsi="宋体" w:eastAsia="迷你简小标宋"/>
          <w:sz w:val="44"/>
          <w:szCs w:val="44"/>
        </w:rPr>
      </w:pPr>
    </w:p>
    <w:p w14:paraId="7A39B2CB">
      <w:pPr>
        <w:keepNext w:val="0"/>
        <w:keepLines w:val="0"/>
        <w:pageBreakBefore w:val="0"/>
        <w:widowControl w:val="0"/>
        <w:kinsoku/>
        <w:wordWrap/>
        <w:overflowPunct/>
        <w:autoSpaceDE/>
        <w:autoSpaceDN/>
        <w:bidi w:val="0"/>
        <w:adjustRightInd/>
        <w:snapToGrid/>
        <w:spacing w:line="360" w:lineRule="auto"/>
        <w:ind w:firstLine="880" w:firstLineChars="200"/>
        <w:jc w:val="center"/>
        <w:textAlignment w:val="auto"/>
        <w:rPr>
          <w:rFonts w:hint="eastAsia" w:ascii="迷你简小标宋" w:hAnsi="宋体" w:eastAsia="迷你简小标宋"/>
          <w:sz w:val="44"/>
          <w:szCs w:val="44"/>
        </w:rPr>
      </w:pPr>
    </w:p>
    <w:p w14:paraId="5EA20834">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438680B6">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4781231E">
      <w:pPr>
        <w:keepNext w:val="0"/>
        <w:keepLines w:val="0"/>
        <w:pageBreakBefore w:val="0"/>
        <w:widowControl w:val="0"/>
        <w:kinsoku/>
        <w:wordWrap/>
        <w:overflowPunct/>
        <w:autoSpaceDE/>
        <w:autoSpaceDN/>
        <w:bidi w:val="0"/>
        <w:adjustRightInd/>
        <w:snapToGrid/>
        <w:spacing w:line="360" w:lineRule="auto"/>
        <w:jc w:val="center"/>
        <w:textAlignment w:val="auto"/>
        <w:rPr>
          <w:rFonts w:ascii="宋体" w:hAnsi="宋体" w:eastAsia="宋体"/>
          <w:sz w:val="28"/>
          <w:szCs w:val="28"/>
        </w:rPr>
      </w:pPr>
      <w:r>
        <w:rPr>
          <w:rFonts w:hint="eastAsia" w:ascii="宋体" w:hAnsi="宋体" w:eastAsia="宋体"/>
          <w:sz w:val="28"/>
          <w:szCs w:val="28"/>
        </w:rPr>
        <w:t>团标制定工作组</w:t>
      </w:r>
    </w:p>
    <w:p w14:paraId="2D4283DA">
      <w:pPr>
        <w:keepNext w:val="0"/>
        <w:keepLines w:val="0"/>
        <w:pageBreakBefore w:val="0"/>
        <w:widowControl w:val="0"/>
        <w:kinsoku/>
        <w:wordWrap/>
        <w:overflowPunct/>
        <w:autoSpaceDE/>
        <w:autoSpaceDN/>
        <w:bidi w:val="0"/>
        <w:adjustRightInd/>
        <w:snapToGrid/>
        <w:spacing w:line="360" w:lineRule="auto"/>
        <w:jc w:val="center"/>
        <w:textAlignment w:val="auto"/>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w:t>
      </w:r>
      <w:r>
        <w:rPr>
          <w:rFonts w:hint="eastAsia" w:ascii="宋体" w:hAnsi="宋体" w:eastAsia="宋体"/>
          <w:sz w:val="28"/>
          <w:szCs w:val="28"/>
        </w:rPr>
        <w:t>月</w:t>
      </w:r>
    </w:p>
    <w:p w14:paraId="46BF3101">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71032009">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285C546C">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2FD069DA">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59992593">
      <w:pPr>
        <w:keepNext w:val="0"/>
        <w:keepLines w:val="0"/>
        <w:pageBreakBefore w:val="0"/>
        <w:widowControl w:val="0"/>
        <w:kinsoku/>
        <w:wordWrap/>
        <w:overflowPunct/>
        <w:autoSpaceDE/>
        <w:autoSpaceDN/>
        <w:bidi w:val="0"/>
        <w:adjustRightInd/>
        <w:snapToGrid/>
        <w:spacing w:line="360" w:lineRule="auto"/>
        <w:ind w:firstLine="560" w:firstLineChars="200"/>
        <w:jc w:val="center"/>
        <w:textAlignment w:val="auto"/>
        <w:rPr>
          <w:rFonts w:hint="eastAsia" w:ascii="宋体" w:hAnsi="宋体" w:eastAsia="宋体"/>
          <w:sz w:val="28"/>
          <w:szCs w:val="28"/>
        </w:rPr>
      </w:pPr>
    </w:p>
    <w:p w14:paraId="2D92BFA9">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sz w:val="28"/>
          <w:szCs w:val="28"/>
        </w:rPr>
      </w:pPr>
    </w:p>
    <w:p w14:paraId="7A0C1641">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一、工作简况</w:t>
      </w:r>
    </w:p>
    <w:p w14:paraId="5C4CDA76">
      <w:pPr>
        <w:keepNext w:val="0"/>
        <w:keepLines w:val="0"/>
        <w:pageBreakBefore w:val="0"/>
        <w:widowControl w:val="0"/>
        <w:tabs>
          <w:tab w:val="left" w:pos="2781"/>
        </w:tabs>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lang w:eastAsia="zh-CN"/>
        </w:rPr>
      </w:pPr>
      <w:r>
        <w:rPr>
          <w:rFonts w:hint="eastAsia" w:ascii="宋体" w:hAnsi="宋体" w:eastAsia="宋体"/>
          <w:b/>
          <w:bCs/>
          <w:sz w:val="28"/>
          <w:szCs w:val="28"/>
        </w:rPr>
        <w:t>（一）任务来源</w:t>
      </w:r>
      <w:r>
        <w:rPr>
          <w:rFonts w:hint="eastAsia" w:ascii="宋体" w:hAnsi="宋体" w:eastAsia="宋体"/>
          <w:b/>
          <w:bCs/>
          <w:sz w:val="28"/>
          <w:szCs w:val="28"/>
          <w:lang w:eastAsia="zh-CN"/>
        </w:rPr>
        <w:tab/>
      </w:r>
    </w:p>
    <w:p w14:paraId="0F61142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随着储能产业快速发展，高压连接器作为储能系统的关键电气接口，需在温度、湿度、振动、盐雾等复合环境下长期可靠运行。当前国内缺乏针对储能高压连接器复合环境耐受性的专项标准，导致产品在极端工况下故障频发，制约储能系统安全性与寿命。本标准旨在建立复合环境下的耐受性评价体系，规范测试方法与指标，推动行业技术升级。</w:t>
      </w:r>
    </w:p>
    <w:p w14:paraId="72640D0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经中国中小企业协会及相关专家技术审核，批准《储能高压连接器复合环境耐受性评价规范》团体标准制定计划，由中国中小企业协会归口。</w:t>
      </w:r>
    </w:p>
    <w:p w14:paraId="13C51FC8">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cstheme="minorBidi"/>
          <w:b/>
          <w:bCs/>
          <w:kern w:val="2"/>
          <w:sz w:val="28"/>
          <w:szCs w:val="28"/>
          <w:lang w:val="en-US" w:eastAsia="zh-CN" w:bidi="ar-SA"/>
        </w:rPr>
        <w:t>（二）</w:t>
      </w:r>
      <w:r>
        <w:rPr>
          <w:rFonts w:hint="eastAsia" w:ascii="宋体" w:hAnsi="宋体" w:eastAsia="宋体"/>
          <w:b/>
          <w:bCs/>
          <w:sz w:val="28"/>
          <w:szCs w:val="28"/>
        </w:rPr>
        <w:t>编制</w:t>
      </w:r>
      <w:r>
        <w:rPr>
          <w:rFonts w:ascii="宋体" w:hAnsi="宋体" w:eastAsia="宋体"/>
          <w:b/>
          <w:bCs/>
          <w:sz w:val="28"/>
          <w:szCs w:val="28"/>
        </w:rPr>
        <w:t xml:space="preserve">背景及目的 </w:t>
      </w:r>
    </w:p>
    <w:p w14:paraId="3D17C1C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解决行业痛点问题</w:t>
      </w:r>
    </w:p>
    <w:p w14:paraId="4A3CF53F">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能高压连接器作为储能系统电气连接的核心组件，长期在高压(DC1500V)、高温(&gt;85℃)、高腐蚀(盐雾、化学气体)和大电流(500A以上)的复合恶劣环境下运行。然而，当前国内外标准体系存在显著缺失:国际标准如UL4128主要关注单一环境下的电气安全而国内标准GB/T34131-2017仅聚焦“接触电阻”等基础电气性能测试，对复合环境耦合作用下的耐受性评估缺乏系统规范。这种标准缺失导致行业出现两大痛点:</w:t>
      </w:r>
    </w:p>
    <w:p w14:paraId="11940F2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测试盲区:连接器厂商多采用单因素测试(如单独盐雾或单独振动)，无法模拟实际运行中“高温+振动+腐蚀”的多应力耦合场景造成安全隐患漏检。据统计，储能系统故障中约34%源于连接器在复合环境下的性能劣化。</w:t>
      </w:r>
    </w:p>
    <w:p w14:paraId="21C0D04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标准碎片化:现有团体标准如T/LJQ 0016-2024虽规定了高压线束环境适应性要求,但未明确多应力叠加的试验方法;而T/QGCML1927-2023则侧重机械性能，测试覆盖度等。</w:t>
      </w:r>
    </w:p>
    <w:p w14:paraId="5413138C">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8A973CF">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能高压连接器复合环境耐受性评价规范》标准的编制过程是一个系统而严谨的工作，它涉及到多个阶段和关键步骤，以确保最终的标准能够满足行业的需求并具备高度的实用性和前瞻性。以下是该标准编制过程的主要步骤和说明：</w:t>
      </w:r>
    </w:p>
    <w:p w14:paraId="507522A9">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1.项目启动与前期准备</w:t>
      </w:r>
    </w:p>
    <w:p w14:paraId="3EF5E026">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成立标准编制工作组：组建由行业专家、技术人员、标准编写人员等构成的工作组，明确各成员的职责和任务。</w:t>
      </w:r>
    </w:p>
    <w:p w14:paraId="39CFD8F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制定编制计划：根据项目需求和时间安排，制定详细的编制计划，包括各阶段的工作内容、时间节点和预期成果。</w:t>
      </w:r>
    </w:p>
    <w:p w14:paraId="7E88500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收集资料与调研：收集国内外关于储能连接器技术的文献资料。对相关企业进行实地调研，了解实际情况和需求。</w:t>
      </w:r>
    </w:p>
    <w:p w14:paraId="17E4D97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2.需求分析与标准草案撰写</w:t>
      </w:r>
    </w:p>
    <w:p w14:paraId="119D037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明确标准范围：根据前期调研和分析结果，明确标准的适用范围、涵盖的内容和技术要求等。</w:t>
      </w:r>
    </w:p>
    <w:p w14:paraId="4A5FADD1">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需求分析：结合行业实际需求和用户反馈，识别当前储能高压连接器方面存在的问题和挑战。</w:t>
      </w:r>
    </w:p>
    <w:p w14:paraId="0C414C76">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撰写标准草案：基于需求分析结果，按照标准编写的规范和要求，撰写标准草案。草案应包含标准的引言、范围、规范性引用文件、术语和定义、材料要求、工艺要求等内容。</w:t>
      </w:r>
    </w:p>
    <w:p w14:paraId="72628F6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3.征求意见与修改完善</w:t>
      </w:r>
    </w:p>
    <w:p w14:paraId="781B949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征求意见：将标准草案分发给行业内外的专家、企业和技术人员征求意见和建议，确保标准的广泛适用性和行业认可度。</w:t>
      </w:r>
    </w:p>
    <w:p w14:paraId="5D12BE5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修改完善：根据收集到的意见和建议，对标准草案进行修改和完善，确保标准的科学性和合理性。</w:t>
      </w:r>
    </w:p>
    <w:p w14:paraId="5B648C8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多次迭代：根据反馈和讨论结果，进行多次迭代和修改，直至形成较为成熟和完善的标准草案。</w:t>
      </w:r>
    </w:p>
    <w:p w14:paraId="5B4C7156">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4.评审与批准</w:t>
      </w:r>
    </w:p>
    <w:p w14:paraId="6029DC48">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专家评审：组织专家对标准草案进行评审，评估其技术可行性、实用性和行业认可度等方面的情况。</w:t>
      </w:r>
    </w:p>
    <w:p w14:paraId="185822E7">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修订与定稿：根据专家评审意见对标准草案进行修订和完善，形成最终的标准文本。</w:t>
      </w:r>
    </w:p>
    <w:p w14:paraId="1A84239A">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批准发布：将最终的标准文本提交给相关机构进行审批和发布，以确保其具备法律效力和行业认可度。</w:t>
      </w:r>
    </w:p>
    <w:p w14:paraId="739688C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5.宣贯与实施</w:t>
      </w:r>
    </w:p>
    <w:p w14:paraId="53B8B9C1">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宣贯培训：组织宣贯培训活动，向行业内外的企业和技术人员介绍标准的内容和要求，提高其认知度和应用水平。</w:t>
      </w:r>
    </w:p>
    <w:p w14:paraId="61E7F37F">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实施监督：建立标准的实施监督机制，对标准的执行情况进行监督和检查，确保其得到有效实施和遵守。</w:t>
      </w:r>
    </w:p>
    <w:p w14:paraId="19C6188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持续改进：根据实际应用情况和行业反馈，对标准进行持续改进和优化，以适应行业发展和技术进步的需求。</w:t>
      </w:r>
    </w:p>
    <w:p w14:paraId="7347B92E">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1EC31A0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1.起草单位的工作内容：</w:t>
      </w:r>
    </w:p>
    <w:p w14:paraId="03C9A97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组织协调：牵头起草单位由顺科智连技术股份有限公司变更为广东顺科连接技术有限公司，因在储能高压连接器方向广东顺科连接公司属于主营业务，起草单位负责组建标准编制工作组，并确定工作组的组织架构、成员职责和分工。同时，起草单位负责整个编制过程的组织协调，确保各项任务能够按计划顺利进行。</w:t>
      </w:r>
    </w:p>
    <w:p w14:paraId="78E29679">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资金保障：起草单位为标准的编制工作提供必要的资金支持，包括调研费用、专家评审费用、会议费用等。</w:t>
      </w:r>
    </w:p>
    <w:p w14:paraId="41EAE7B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资源整合：起草单位整合行业内外的资源，包括收集相关资料、邀请行业专家参与编制工作等，确保了标准能够充分反映行业的实际需求和技术水平。</w:t>
      </w:r>
    </w:p>
    <w:p w14:paraId="690BC83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审核把关：起草单位对标准草案进行初步审核，确保其符合标准编写的规范和要求，并对不符合要求的内容提出修改意见。</w:t>
      </w:r>
    </w:p>
    <w:p w14:paraId="4A52624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宣贯推广：在标准正式发布后，起草单位负责标准的宣贯推广工作，包括组织培训、发放宣传资料等，以提高标准的认知度和应用水平。</w:t>
      </w:r>
    </w:p>
    <w:p w14:paraId="049D2CB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2.起草人的工作内容</w:t>
      </w:r>
    </w:p>
    <w:p w14:paraId="714ACC2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需求调研：起草人进行深入的需求调研，了解连接器现状、存在的问题以及市场需求，分析制定该导则的必要性，为标准的制定提供有力的依据。</w:t>
      </w:r>
    </w:p>
    <w:p w14:paraId="7F9C364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草案撰写：基于需求调研结果，起草人按照标准编写的规范和要求，撰写标准草案。这包括标准的引言、范围、规范性引用文件、术语和定义、防风评估的原则及方法、加固技术及改造方法、实施与验收等内容。</w:t>
      </w:r>
    </w:p>
    <w:p w14:paraId="0879633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征求意见：起草人将标准草案分发给行业内外的专家、企业和技术人员征求意见和建议，并根据反馈意见对草案进行修改和完善。</w:t>
      </w:r>
    </w:p>
    <w:p w14:paraId="2F2E637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参与评审：起草人参与专家评审会议，对专家提出的意见和建议进行认真分析和处理，并对标准草案进行必要的修改和完善。</w:t>
      </w:r>
    </w:p>
    <w:p w14:paraId="49522DE1">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持续改进：在标准正式发布后，起草人持续关注标准的实际应用情况和行业反馈，对标准进行持续改进和优化，以适应行业发展和技术进步的需求。</w:t>
      </w:r>
    </w:p>
    <w:p w14:paraId="4DFE8903">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3ACF428">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0F8AFEE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按照 GB/T 1.1－2020《标准化工作导则 第 1 部分：标准化文件的结构和起草规则》要求进行编写。 </w:t>
      </w:r>
    </w:p>
    <w:p w14:paraId="46FFC0B7">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参照相关法律、法规和规定，在编制过程中着重考虑了科学性、适用性和可操作性。</w:t>
      </w:r>
    </w:p>
    <w:p w14:paraId="494FCAB9">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ascii="宋体" w:hAnsi="宋体" w:eastAsia="宋体"/>
          <w:color w:val="auto"/>
          <w:sz w:val="28"/>
          <w:szCs w:val="28"/>
        </w:rPr>
      </w:pPr>
      <w:r>
        <w:rPr>
          <w:rFonts w:hint="eastAsia" w:ascii="宋体" w:hAnsi="宋体" w:eastAsia="宋体" w:cstheme="minorBidi"/>
          <w:b/>
          <w:bCs/>
          <w:color w:val="auto"/>
          <w:kern w:val="2"/>
          <w:sz w:val="28"/>
          <w:szCs w:val="28"/>
          <w:lang w:val="en-US" w:eastAsia="zh-CN" w:bidi="ar-SA"/>
        </w:rPr>
        <w:t>（二）</w:t>
      </w:r>
      <w:r>
        <w:rPr>
          <w:rFonts w:ascii="宋体" w:hAnsi="宋体" w:eastAsia="宋体"/>
          <w:b/>
          <w:bCs/>
          <w:color w:val="auto"/>
          <w:sz w:val="28"/>
          <w:szCs w:val="28"/>
        </w:rPr>
        <w:t xml:space="preserve">标准主要技术内容 </w:t>
      </w:r>
      <w:r>
        <w:rPr>
          <w:rFonts w:ascii="宋体" w:hAnsi="宋体" w:eastAsia="宋体"/>
          <w:color w:val="auto"/>
          <w:sz w:val="28"/>
          <w:szCs w:val="28"/>
        </w:rPr>
        <w:t xml:space="preserve"> </w:t>
      </w:r>
    </w:p>
    <w:p w14:paraId="2F3CB88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主要技术内容</w:t>
      </w:r>
    </w:p>
    <w:p w14:paraId="1438A4B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1.复合环境模拟技术</w:t>
      </w:r>
    </w:p>
    <w:p w14:paraId="169E034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本部分将定义多应力耦合试验箱的技术要求与测试方法，确保真实模拟储能场景下的环境条件:</w:t>
      </w:r>
    </w:p>
    <w:p w14:paraId="20CAA50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试验设备规范:</w:t>
      </w:r>
    </w:p>
    <w:p w14:paraId="53D77AF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温湿度控制精度:士1℃(温度)，士3%RH(湿度)，支持交变速率&gt;5℃/min。</w:t>
      </w:r>
    </w:p>
    <w:p w14:paraId="120E862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振动系统:六自由度液压台，频率范围0.1~2000Hz，支持与温湿度箱集成实现同步加载。</w:t>
      </w:r>
    </w:p>
    <w:p w14:paraId="1434DA3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腐蚀气体发生器:S0:浓度(25士5)ppm，H2S浓度(102)ppm，流量误差≤5%。</w:t>
      </w:r>
    </w:p>
    <w:p w14:paraId="5F237511">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2.典型耦合场景设计</w:t>
      </w:r>
    </w:p>
    <w:p w14:paraId="0B2871D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试验参数设置:</w:t>
      </w:r>
    </w:p>
    <w:p w14:paraId="62B5392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循环剖面:采用梯形温变曲线(-40℃→85℃→125℃→-40℃)每循环120分钟，其中高温段叠加振动(RMS2.0g)。</w:t>
      </w:r>
    </w:p>
    <w:p w14:paraId="550374E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应力加载顺序:遵循“温度上升一振动一腐蚀”的失效物理模型避免试验失真。</w:t>
      </w:r>
    </w:p>
    <w:p w14:paraId="17A2E93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3.性能评价指标体系</w:t>
      </w:r>
    </w:p>
    <w:p w14:paraId="6810C326">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本部分建立三级评价指标，覆盖电气、机械、密封三大核心性能:</w:t>
      </w:r>
    </w:p>
    <w:p w14:paraId="7C462D67">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电气性能指标:</w:t>
      </w:r>
    </w:p>
    <w:p w14:paraId="648DCEE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接触电阻稳定性:采用四线制微欧姆法(测试电流10A)，要求循环后阻值变化≤5%初始值，且绝对值≤3m2(额定电流200A以上)绝缘劣化度:在DC1500V下测量绝缘电阻，湿热试验后&gt;100M耐压测试(AC 5000V/60s)无击穿。</w:t>
      </w:r>
    </w:p>
    <w:p w14:paraId="12A1476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温升限值:额定电流下端子温度≤环境温度+55K(EN60512-5-2)</w:t>
      </w:r>
    </w:p>
    <w:p w14:paraId="2895B50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机械性能指标:</w:t>
      </w:r>
    </w:p>
    <w:p w14:paraId="2DA99FD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插拔力衰减率:经500次插拔后，保持力变化≤15%(参照IEC60512-13-5)。</w:t>
      </w:r>
    </w:p>
    <w:p w14:paraId="253CDA50">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振动后位移量:随机振动试验中，接触对相对位移≤50um(高频相机监测)。</w:t>
      </w:r>
    </w:p>
    <w:p w14:paraId="45BE95C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密封性能指标:</w:t>
      </w:r>
    </w:p>
    <w:p w14:paraId="76AADF2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IP等级验证:复合环境试验后仍满足IP67(1米水深浸泡30分</w:t>
      </w:r>
    </w:p>
    <w:p w14:paraId="21115565">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钟无渗漏)</w:t>
      </w:r>
    </w:p>
    <w:p w14:paraId="3C0F3B70">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气密性测试:氨检漏率≤1x10-。mbar·L/s(等效空气漏率)</w:t>
      </w:r>
    </w:p>
    <w:p w14:paraId="5D7AD61D">
      <w:pPr>
        <w:keepNext w:val="0"/>
        <w:keepLines w:val="0"/>
        <w:pageBreakBefore w:val="0"/>
        <w:widowControl w:val="0"/>
        <w:tabs>
          <w:tab w:val="left" w:pos="4875"/>
        </w:tabs>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三</w:t>
      </w: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2A91F098">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无</w:t>
      </w:r>
      <w:r>
        <w:rPr>
          <w:rFonts w:hint="eastAsia" w:ascii="宋体" w:hAnsi="宋体" w:eastAsia="宋体" w:cs="宋体"/>
          <w:b w:val="0"/>
          <w:bCs w:val="0"/>
          <w:sz w:val="24"/>
          <w:szCs w:val="24"/>
        </w:rPr>
        <w:t xml:space="preserve"> </w:t>
      </w:r>
    </w:p>
    <w:p w14:paraId="1DBB3284">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D8E8244">
      <w:pPr>
        <w:keepNext w:val="0"/>
        <w:keepLines w:val="0"/>
        <w:pageBreakBefore w:val="0"/>
        <w:widowControl w:val="0"/>
        <w:tabs>
          <w:tab w:val="left" w:pos="4875"/>
        </w:tabs>
        <w:kinsoku/>
        <w:wordWrap/>
        <w:overflowPunct/>
        <w:autoSpaceDE/>
        <w:autoSpaceDN/>
        <w:bidi w:val="0"/>
        <w:adjustRightInd/>
        <w:snapToGrid/>
        <w:spacing w:line="480" w:lineRule="auto"/>
        <w:ind w:firstLine="562" w:firstLineChars="200"/>
        <w:jc w:val="left"/>
        <w:textAlignment w:val="auto"/>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一</w:t>
      </w:r>
      <w:r>
        <w:rPr>
          <w:rFonts w:hint="eastAsia" w:ascii="宋体" w:hAnsi="宋体" w:eastAsia="宋体"/>
          <w:b/>
          <w:bCs/>
          <w:sz w:val="28"/>
          <w:szCs w:val="28"/>
        </w:rPr>
        <w:t>）</w:t>
      </w:r>
      <w:r>
        <w:rPr>
          <w:rFonts w:hint="eastAsia" w:ascii="宋体" w:hAnsi="宋体" w:eastAsia="宋体" w:cs="宋体"/>
          <w:b/>
          <w:bCs/>
          <w:sz w:val="28"/>
          <w:szCs w:val="28"/>
          <w:lang w:val="en-US" w:eastAsia="zh-CN"/>
        </w:rPr>
        <w:t>经济效益</w:t>
      </w:r>
      <w:r>
        <w:rPr>
          <w:rFonts w:ascii="宋体" w:hAnsi="宋体" w:eastAsia="宋体"/>
          <w:b/>
          <w:bCs/>
          <w:sz w:val="28"/>
          <w:szCs w:val="28"/>
        </w:rPr>
        <w:t xml:space="preserve"> </w:t>
      </w:r>
    </w:p>
    <w:p w14:paraId="6BC0DA31">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经济效益  </w:t>
      </w:r>
    </w:p>
    <w:p w14:paraId="3761B5DA">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1.降本增效与产业升级  </w:t>
      </w:r>
    </w:p>
    <w:p w14:paraId="6156D95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降低定制化成本：统一技术参数（如导电率≥98% IACS、疲劳寿命≥20万次）可减少企业重复研发投入，预计降低30%非标产品定制成本。  </w:t>
      </w:r>
    </w:p>
    <w:p w14:paraId="4E24D387">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提升良品率：规范挤塑工艺（如高分子扩散焊温度控制±5℃），解决因层间融合不充分导致的剥离力问题，使产品不良率下降15%以上。  </w:t>
      </w:r>
    </w:p>
    <w:p w14:paraId="6E7F949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拓展市场份额：对标欧盟CBAM碳关税要求，标准兼容性助力企业进入国际供应链，如金桥铜业依托专利技术打开海外市场。  </w:t>
      </w:r>
    </w:p>
    <w:p w14:paraId="3A0167D9">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2.驱动产业链协同创新  </w:t>
      </w:r>
    </w:p>
    <w:p w14:paraId="5563D24F">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促进材料（T2紫铜）、工艺（镀镍亮锡防腐）与设备（中频电阻焊机）的标准化协作，缩短新产品开发周期40%。  </w:t>
      </w:r>
    </w:p>
    <w:p w14:paraId="327DD99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参考新钢股份制定电工钢标准的经验，挤塑铜排标准可催生细分领域头部企业，拉动配套产业年产值增长超10亿元。  </w:t>
      </w:r>
    </w:p>
    <w:p w14:paraId="79987C6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二、生态效益  </w:t>
      </w:r>
    </w:p>
    <w:p w14:paraId="3441F5F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1.资源节约与低碳制造  </w:t>
      </w:r>
    </w:p>
    <w:p w14:paraId="461C29A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再生铜应用：明确再生铜比例要求（如≥30%），减少矿产开采能耗。按年产50万吨测算，年节电约1.2亿千瓦时，减碳7.5万吨。  </w:t>
      </w:r>
    </w:p>
    <w:p w14:paraId="1B1CD2C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2.绿色工艺强制：规定无氰镀锡、钝化液循环利用等条款，降低重金属废水排放量60%。</w:t>
      </w:r>
    </w:p>
    <w:p w14:paraId="32262471">
      <w:pPr>
        <w:keepNext w:val="0"/>
        <w:keepLines w:val="0"/>
        <w:pageBreakBefore w:val="0"/>
        <w:widowControl w:val="0"/>
        <w:kinsoku/>
        <w:wordWrap/>
        <w:overflowPunct/>
        <w:autoSpaceDE/>
        <w:autoSpaceDN/>
        <w:bidi w:val="0"/>
        <w:adjustRightInd/>
        <w:snapToGrid/>
        <w:spacing w:line="480" w:lineRule="auto"/>
        <w:ind w:firstLine="56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b/>
          <w:bCs/>
          <w:sz w:val="28"/>
          <w:szCs w:val="28"/>
        </w:rPr>
        <w:t>在标准体系中的位置，与现行相关法律、法规、规章及相关标准</w:t>
      </w:r>
      <w:r>
        <w:rPr>
          <w:rFonts w:hint="eastAsia" w:ascii="宋体" w:hAnsi="宋体" w:eastAsia="宋体"/>
          <w:b/>
          <w:bCs/>
          <w:sz w:val="28"/>
          <w:szCs w:val="28"/>
          <w:lang w:val="en-US" w:eastAsia="zh-CN"/>
        </w:rPr>
        <w:t>的</w:t>
      </w:r>
      <w:r>
        <w:rPr>
          <w:rFonts w:hint="eastAsia" w:ascii="宋体" w:hAnsi="宋体" w:eastAsia="宋体" w:cs="宋体"/>
          <w:b/>
          <w:bCs/>
          <w:sz w:val="24"/>
          <w:szCs w:val="24"/>
          <w:lang w:val="en-US" w:eastAsia="zh-CN"/>
        </w:rPr>
        <w:t>协调性</w:t>
      </w:r>
      <w:bookmarkStart w:id="0" w:name="_GoBack"/>
      <w:bookmarkEnd w:id="0"/>
    </w:p>
    <w:p w14:paraId="5E9224BA">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1.UL 4128(美国):</w:t>
      </w:r>
    </w:p>
    <w:p w14:paraId="717CA987">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优势:系统规范了电气安全测试(耐压、绝缘电阻)和材料性能测试(阻燃、耐老化)。</w:t>
      </w:r>
    </w:p>
    <w:p w14:paraId="010DC98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局限:仅要求“温度循环+湿度”双因素试验，未纳入机械振动与化学腐蚀耦合场景。</w:t>
      </w:r>
    </w:p>
    <w:p w14:paraId="1682039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IECTS63118(草案):</w:t>
      </w:r>
    </w:p>
    <w:p w14:paraId="117FC7B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动态测试创新:引入温度-振动同步加载(-40℃~85℃与5Hz~200Hz振动同步)，但腐蚀测试独立进行。</w:t>
      </w:r>
    </w:p>
    <w:p w14:paraId="0D24253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中国贡献:中国电器科学研究院牵头制定的《用于固定式能量存储单元的直流连接器》IEC标准(2025年立项)将填补国际空白。</w:t>
      </w:r>
    </w:p>
    <w:p w14:paraId="3767C4FB">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南德PPP 51090A:2018:</w:t>
      </w:r>
    </w:p>
    <w:p w14:paraId="32ABDAF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全面性领先:覆盖机械性能(振动、冲击)、寿命测试(插拔次环境耐受(热冲击、湿热循环)三大维度。数)</w:t>
      </w:r>
    </w:p>
    <w:p w14:paraId="18170D9F">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2.国内标准现状</w:t>
      </w:r>
    </w:p>
    <w:p w14:paraId="6E7249D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国内标准在系统性和复合环境模拟方面有待提升:</w:t>
      </w:r>
    </w:p>
    <w:p w14:paraId="1856D355">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GB/T 34131-2017:</w:t>
      </w:r>
    </w:p>
    <w:p w14:paraId="176E2812">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单一性局限:仅规定“接触电阻”测试方法(微欧姆法)，未涉及环境应力下的性能变化评价。</w:t>
      </w:r>
    </w:p>
    <w:p w14:paraId="791A2E8A">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升级方向:需补充温度循环后的电阻稳定性要求(如AR≤5%)</w:t>
      </w:r>
    </w:p>
    <w:p w14:paraId="308BCE3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团体标准T/LJQ 0016-2024:</w:t>
      </w:r>
    </w:p>
    <w:p w14:paraId="4D6DC65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进步性:首次明确高压连接器“耐盐雾96小时”和“耐高低温(-40℃~125℃)”指标，但未定义多应力叠加测试方法。</w:t>
      </w:r>
    </w:p>
    <w:p w14:paraId="1D14859E">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五、</w:t>
      </w:r>
      <w:r>
        <w:rPr>
          <w:rFonts w:hint="eastAsia" w:ascii="宋体" w:hAnsi="宋体" w:eastAsia="宋体"/>
          <w:b/>
          <w:bCs/>
          <w:sz w:val="28"/>
          <w:szCs w:val="28"/>
        </w:rPr>
        <w:t>重大分歧意见的处理经过和依据</w:t>
      </w:r>
    </w:p>
    <w:p w14:paraId="2A0E1860">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07A9036B">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标准性质的建议说明</w:t>
      </w:r>
    </w:p>
    <w:p w14:paraId="053C2282">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储能高压连接器复合环境耐受性评价规范》性质的建议，认为其定义为推荐性团体标准。推荐性团体标准是由具备相应能力和条件的社会团体，在特定领域内协调相关市场主体共同制定的，满足市场和创新需要的标准。</w:t>
      </w:r>
    </w:p>
    <w:p w14:paraId="0C7FA45D">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储能高压连接器复合环境耐受性评价规范》作为推荐性团体标准，目前连接器行业在挤塑连接器领域尚缺乏专门的标准指导，推荐性团体标准可以完善现行标准，为连接器行业的安全发展提供有力支持。推荐性团体标准鼓励企业在遵循基本规范的前提下进行技术创新，提高产品的竞争力。通过制定推荐性团体标准，可以激发连接器技术领域的创新活力，推动新技术的研发和应用。同时，标准的制定还可以促进不同企业之间的技术交流和合作，推动整个行业的技术进步。</w:t>
      </w:r>
    </w:p>
    <w:p w14:paraId="1240506E">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综上所述，《储能高压连接器复合环境耐受性评价规范》作为推荐性团体标准具有较大的优势，能够满足市场需求、鼓励创新并促进产业发展。因此，我们建议将其性质定义为推荐性团体标准，并采取相应措施加以实施和推广。</w:t>
      </w:r>
    </w:p>
    <w:p w14:paraId="11415F0F">
      <w:pPr>
        <w:keepNext w:val="0"/>
        <w:keepLines w:val="0"/>
        <w:pageBreakBefore w:val="0"/>
        <w:widowControl w:val="0"/>
        <w:numPr>
          <w:ilvl w:val="0"/>
          <w:numId w:val="0"/>
        </w:numPr>
        <w:kinsoku/>
        <w:wordWrap/>
        <w:overflowPunct/>
        <w:autoSpaceDE/>
        <w:autoSpaceDN/>
        <w:bidi w:val="0"/>
        <w:adjustRightInd/>
        <w:snapToGrid/>
        <w:spacing w:line="480" w:lineRule="auto"/>
        <w:ind w:left="0" w:leftChars="0"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贯彻标准的要求和措施建议</w:t>
      </w:r>
    </w:p>
    <w:p w14:paraId="4A49B1C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1.贯彻要求</w:t>
      </w:r>
    </w:p>
    <w:p w14:paraId="783FB883">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编写时应确保技术要求的规范性，遵循连接器行业的基础标准，如连接器行业标准编写规定，并与现行法律、法规、规章和其他相关标准相协调。连接器应符合连接器行业中的强制性标准，确保评估结果的准确性和可靠性。</w:t>
      </w:r>
    </w:p>
    <w:p w14:paraId="6FAABBA4">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2.贯彻措施</w:t>
      </w:r>
    </w:p>
    <w:p w14:paraId="009C49BC">
      <w:pPr>
        <w:keepNext w:val="0"/>
        <w:keepLines w:val="0"/>
        <w:pageBreakBefore w:val="0"/>
        <w:widowControl w:val="0"/>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标准的内容和要求，制定详细的实施计划，明确每个阶段的目标、任务、时间表和责任人，确保标准得到有序、有效地贯彻。组织针对标准的培训和教育活动，提高相关人员对标准的认知和理解程度，使他们能够熟练掌握标准的内容和要求，并在实际工作中加以应用。鼓励科研机构和企业加大在连接器领域的研发投入，推动技术创新和进步。及时修订和更新规范中的技术要求和操作方法，以适应连接器行业的发展和技术进步。同时，加强与国际先进技术的交流与合作，引进和消化吸收国际先进经验和技术成果。</w:t>
      </w:r>
    </w:p>
    <w:p w14:paraId="58B3F26B">
      <w:pPr>
        <w:keepNext w:val="0"/>
        <w:keepLines w:val="0"/>
        <w:pageBreakBefore w:val="0"/>
        <w:widowControl w:val="0"/>
        <w:numPr>
          <w:ilvl w:val="0"/>
          <w:numId w:val="0"/>
        </w:numPr>
        <w:kinsoku/>
        <w:wordWrap/>
        <w:overflowPunct/>
        <w:autoSpaceDE/>
        <w:autoSpaceDN/>
        <w:bidi w:val="0"/>
        <w:adjustRightInd/>
        <w:snapToGrid/>
        <w:spacing w:line="480" w:lineRule="auto"/>
        <w:ind w:firstLine="562" w:firstLineChars="200"/>
        <w:jc w:val="left"/>
        <w:textAlignment w:val="auto"/>
        <w:rPr>
          <w:rFonts w:hint="eastAsia" w:ascii="宋体" w:hAnsi="宋体" w:eastAsia="宋体"/>
          <w:b/>
          <w:bCs/>
          <w:sz w:val="28"/>
          <w:szCs w:val="28"/>
        </w:rPr>
      </w:pPr>
      <w:r>
        <w:rPr>
          <w:rFonts w:hint="eastAsia" w:ascii="宋体" w:hAnsi="宋体" w:eastAsia="宋体" w:cstheme="minorBidi"/>
          <w:b/>
          <w:bCs/>
          <w:kern w:val="2"/>
          <w:sz w:val="28"/>
          <w:szCs w:val="28"/>
          <w:lang w:val="en-US" w:eastAsia="zh-CN" w:bidi="ar-SA"/>
        </w:rPr>
        <w:t>八、</w:t>
      </w:r>
      <w:r>
        <w:rPr>
          <w:rFonts w:hint="eastAsia" w:ascii="宋体" w:hAnsi="宋体" w:eastAsia="宋体"/>
          <w:b/>
          <w:bCs/>
          <w:sz w:val="28"/>
          <w:szCs w:val="28"/>
        </w:rPr>
        <w:t>其他应予说明的事项</w:t>
      </w:r>
    </w:p>
    <w:p w14:paraId="5AAD6591">
      <w:pPr>
        <w:keepNext w:val="0"/>
        <w:keepLines w:val="0"/>
        <w:pageBreakBefore w:val="0"/>
        <w:widowControl w:val="0"/>
        <w:tabs>
          <w:tab w:val="left" w:pos="4875"/>
        </w:tabs>
        <w:kinsoku/>
        <w:wordWrap/>
        <w:overflowPunct/>
        <w:autoSpaceDE/>
        <w:autoSpaceDN/>
        <w:bidi w:val="0"/>
        <w:adjustRightInd/>
        <w:snapToGrid/>
        <w:spacing w:line="48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3FB589E1">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储能高压连接器复合环境耐受性评价规范</w:t>
      </w:r>
      <w:r>
        <w:rPr>
          <w:rFonts w:hint="eastAsia" w:ascii="宋体" w:hAnsi="宋体" w:eastAsia="宋体"/>
          <w:sz w:val="28"/>
          <w:szCs w:val="28"/>
        </w:rPr>
        <w:t xml:space="preserve">》起草组 </w:t>
      </w:r>
    </w:p>
    <w:p w14:paraId="7E247E73">
      <w:pPr>
        <w:keepNext w:val="0"/>
        <w:keepLines w:val="0"/>
        <w:pageBreakBefore w:val="0"/>
        <w:widowControl w:val="0"/>
        <w:kinsoku/>
        <w:wordWrap/>
        <w:overflowPunct/>
        <w:topLinePunct/>
        <w:autoSpaceDE/>
        <w:autoSpaceDN/>
        <w:bidi w:val="0"/>
        <w:adjustRightInd/>
        <w:snapToGrid/>
        <w:spacing w:line="480" w:lineRule="auto"/>
        <w:ind w:firstLine="560" w:firstLineChars="200"/>
        <w:jc w:val="right"/>
        <w:textAlignment w:val="auto"/>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10</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0YWNjNjc4NTZmYWQ0YjJhZTAxNWViNDY0ZGYyNjc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D0ABF"/>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4022245"/>
    <w:rsid w:val="04CD033F"/>
    <w:rsid w:val="0A5F4993"/>
    <w:rsid w:val="0B67720A"/>
    <w:rsid w:val="0BC37D86"/>
    <w:rsid w:val="0D6C5F7F"/>
    <w:rsid w:val="123E1E82"/>
    <w:rsid w:val="149A07A8"/>
    <w:rsid w:val="177712D1"/>
    <w:rsid w:val="212037AA"/>
    <w:rsid w:val="21253C2A"/>
    <w:rsid w:val="35F96C34"/>
    <w:rsid w:val="3929656A"/>
    <w:rsid w:val="3CD320CE"/>
    <w:rsid w:val="413768FB"/>
    <w:rsid w:val="53D5311A"/>
    <w:rsid w:val="5B78308A"/>
    <w:rsid w:val="6EC46A44"/>
    <w:rsid w:val="728C52FF"/>
    <w:rsid w:val="73472ECC"/>
    <w:rsid w:val="74AC1BE0"/>
    <w:rsid w:val="75FB0F9D"/>
    <w:rsid w:val="7CC30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autoRedefine/>
    <w:semiHidden/>
    <w:qFormat/>
    <w:uiPriority w:val="99"/>
  </w:style>
  <w:style w:type="character" w:customStyle="1" w:styleId="12">
    <w:name w:val="未处理的提及1"/>
    <w:basedOn w:val="8"/>
    <w:autoRedefine/>
    <w:semiHidden/>
    <w:unhideWhenUsed/>
    <w:qFormat/>
    <w:uiPriority w:val="99"/>
    <w:rPr>
      <w:color w:val="605E5C"/>
      <w:shd w:val="clear" w:color="auto" w:fill="E1DFDD"/>
    </w:rPr>
  </w:style>
  <w:style w:type="character" w:customStyle="1" w:styleId="13">
    <w:name w:val="页眉 字符"/>
    <w:basedOn w:val="8"/>
    <w:link w:val="5"/>
    <w:autoRedefine/>
    <w:qFormat/>
    <w:uiPriority w:val="99"/>
    <w:rPr>
      <w:sz w:val="18"/>
      <w:szCs w:val="18"/>
    </w:rPr>
  </w:style>
  <w:style w:type="character" w:customStyle="1" w:styleId="14">
    <w:name w:val="页脚 字符"/>
    <w:basedOn w:val="8"/>
    <w:link w:val="4"/>
    <w:autoRedefine/>
    <w:qFormat/>
    <w:uiPriority w:val="99"/>
    <w:rPr>
      <w:sz w:val="18"/>
      <w:szCs w:val="18"/>
    </w:rPr>
  </w:style>
  <w:style w:type="character" w:customStyle="1" w:styleId="15">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11</Pages>
  <Words>4561</Words>
  <Characters>4906</Characters>
  <Lines>2</Lines>
  <Paragraphs>1</Paragraphs>
  <TotalTime>20</TotalTime>
  <ScaleCrop>false</ScaleCrop>
  <LinksUpToDate>false</LinksUpToDate>
  <CharactersWithSpaces>4955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WPS_1559640550</cp:lastModifiedBy>
  <cp:lastPrinted>2022-05-11T05:51:00Z</cp:lastPrinted>
  <dcterms:modified xsi:type="dcterms:W3CDTF">2025-12-04T09:38:06Z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AA2E198EE58B44E08600AA78465BD684_13</vt:lpwstr>
  </property>
  <property fmtid="{D5CDD505-2E9C-101B-9397-08002B2CF9AE}" pid="4" name="KSOTemplateDocerSaveRecord">
    <vt:lpwstr>eyJoZGlkIjoiZjQ1NDE1MGYzNTMyOWI1NWU1MTllZDA5MTA4Mjk5YzMiLCJ1c2VySWQiOiI1NzEzMjY0NjEifQ==</vt:lpwstr>
  </property>
</Properties>
</file>