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7BAA0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C332983">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1CC74C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29.060.10</w:t>
            </w:r>
            <w:r>
              <w:rPr>
                <w:rFonts w:ascii="黑体" w:hAnsi="黑体" w:eastAsia="黑体"/>
                <w:sz w:val="21"/>
                <w:szCs w:val="21"/>
              </w:rPr>
              <w:fldChar w:fldCharType="end"/>
            </w:r>
            <w:bookmarkEnd w:id="0"/>
          </w:p>
        </w:tc>
      </w:tr>
      <w:tr w14:paraId="51A04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455FFB80">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52A2FEB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0E4044FB">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bookmarkStart w:id="1" w:name="c1"/>
                  <w:r>
                    <w:rPr>
                      <w:rFonts w:hint="eastAsia" w:ascii="Times New Roman" w:hAnsi="Times New Roman" w:eastAsia="宋体" w:cs="Times New Roman"/>
                      <w:b/>
                      <w:w w:val="130"/>
                      <w:sz w:val="96"/>
                      <w:lang w:val="en-US" w:eastAsia="zh-CN" w:bidi="ar-SA"/>
                    </w:rPr>
                    <w:fldChar w:fldCharType="begin">
                      <w:ffData>
                        <w:name w:val="c1"/>
                        <w:enabled/>
                        <w:calcOnExit w:val="0"/>
                        <w:textInput>
                          <w:default w:val="CASMES"/>
                          <w:maxLength w:val="7"/>
                        </w:textInput>
                      </w:ffData>
                    </w:fldChar>
                  </w:r>
                  <w:r>
                    <w:rPr>
                      <w:rFonts w:hint="eastAsia" w:ascii="Times New Roman" w:hAnsi="Times New Roman" w:eastAsia="宋体" w:cs="Times New Roman"/>
                      <w:b/>
                      <w:w w:val="130"/>
                      <w:sz w:val="96"/>
                      <w:lang w:val="en-US" w:eastAsia="zh-CN" w:bidi="ar-SA"/>
                    </w:rPr>
                    <w:instrText xml:space="preserve">FORMTEXT</w:instrText>
                  </w:r>
                  <w:r>
                    <w:rPr>
                      <w:rFonts w:hint="eastAsia" w:ascii="Times New Roman" w:hAnsi="Times New Roman" w:eastAsia="宋体" w:cs="Times New Roman"/>
                      <w:b/>
                      <w:w w:val="130"/>
                      <w:sz w:val="96"/>
                      <w:lang w:val="en-US" w:eastAsia="zh-CN" w:bidi="ar-SA"/>
                    </w:rPr>
                    <w:fldChar w:fldCharType="separate"/>
                  </w:r>
                  <w:r>
                    <w:rPr>
                      <w:rFonts w:hint="eastAsia" w:ascii="Times New Roman" w:hAnsi="Times New Roman" w:eastAsia="宋体" w:cs="Times New Roman"/>
                      <w:b/>
                      <w:w w:val="130"/>
                      <w:sz w:val="96"/>
                      <w:lang w:val="en-US" w:eastAsia="zh-CN" w:bidi="ar-SA"/>
                    </w:rPr>
                    <w:t>CASMES</w:t>
                  </w:r>
                  <w:r>
                    <w:rPr>
                      <w:rFonts w:hint="eastAsia" w:ascii="Times New Roman" w:hAnsi="Times New Roman" w:eastAsia="宋体" w:cs="Times New Roman"/>
                      <w:b/>
                      <w:w w:val="130"/>
                      <w:sz w:val="96"/>
                      <w:lang w:val="en-US" w:eastAsia="zh-CN" w:bidi="ar-SA"/>
                    </w:rPr>
                    <w:fldChar w:fldCharType="end"/>
                  </w:r>
                  <w:bookmarkEnd w:id="1"/>
                </w:p>
              </w:tc>
            </w:tr>
          </w:tbl>
          <w:p w14:paraId="52138348">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2"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K1</w:t>
            </w:r>
            <w:r>
              <w:rPr>
                <w:rFonts w:ascii="黑体" w:hAnsi="黑体" w:eastAsia="黑体"/>
                <w:sz w:val="21"/>
                <w:szCs w:val="21"/>
              </w:rPr>
              <w:t>2</w:t>
            </w:r>
            <w:r>
              <w:rPr>
                <w:rFonts w:ascii="黑体" w:hAnsi="黑体" w:eastAsia="黑体"/>
                <w:sz w:val="21"/>
                <w:szCs w:val="21"/>
              </w:rPr>
              <w:fldChar w:fldCharType="end"/>
            </w:r>
            <w:bookmarkEnd w:id="2"/>
          </w:p>
        </w:tc>
      </w:tr>
    </w:tbl>
    <w:p w14:paraId="0DBE9AE3">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6448A585">
      <w:pPr>
        <w:pStyle w:val="195"/>
      </w:pPr>
      <w:r>
        <w:t>T/</w:t>
      </w:r>
      <w:bookmarkStart w:id="4" w:name="文字1"/>
      <w:r>
        <w:rPr>
          <w:rFonts w:hint="eastAsia" w:ascii="黑体" w:hAnsi="Times New Roman" w:eastAsia="黑体" w:cs="Times New Roman"/>
          <w:bCs/>
          <w:sz w:val="28"/>
          <w:szCs w:val="28"/>
          <w:lang w:val="en-US" w:eastAsia="zh-CN" w:bidi="ar-SA"/>
        </w:rPr>
        <w:fldChar w:fldCharType="begin">
          <w:ffData>
            <w:name w:val="文字1"/>
            <w:enabled/>
            <w:calcOnExit w:val="0"/>
            <w:textInput>
              <w:default w:val="CASMES"/>
            </w:textInput>
          </w:ffData>
        </w:fldChar>
      </w:r>
      <w:r>
        <w:rPr>
          <w:rFonts w:hint="eastAsia" w:ascii="黑体" w:hAnsi="Times New Roman" w:eastAsia="黑体" w:cs="Times New Roman"/>
          <w:bCs/>
          <w:sz w:val="28"/>
          <w:szCs w:val="28"/>
          <w:lang w:val="en-US" w:eastAsia="zh-CN" w:bidi="ar-SA"/>
        </w:rPr>
        <w:instrText xml:space="preserve">FORMTEXT</w:instrText>
      </w:r>
      <w:r>
        <w:rPr>
          <w:rFonts w:hint="eastAsia" w:ascii="黑体" w:hAnsi="Times New Roman" w:eastAsia="黑体" w:cs="Times New Roman"/>
          <w:bCs/>
          <w:sz w:val="28"/>
          <w:szCs w:val="28"/>
          <w:lang w:val="en-US" w:eastAsia="zh-CN" w:bidi="ar-SA"/>
        </w:rPr>
        <w:fldChar w:fldCharType="separate"/>
      </w:r>
      <w:r>
        <w:rPr>
          <w:rFonts w:hint="eastAsia" w:ascii="黑体" w:hAnsi="Times New Roman" w:eastAsia="黑体" w:cs="Times New Roman"/>
          <w:bCs/>
          <w:sz w:val="28"/>
          <w:szCs w:val="28"/>
          <w:lang w:val="en-US" w:eastAsia="zh-CN" w:bidi="ar-SA"/>
        </w:rPr>
        <w:t>CASMES</w:t>
      </w:r>
      <w:r>
        <w:rPr>
          <w:rFonts w:hint="eastAsia" w:ascii="黑体" w:hAnsi="Times New Roman" w:eastAsia="黑体" w:cs="Times New Roman"/>
          <w:bCs/>
          <w:sz w:val="28"/>
          <w:szCs w:val="28"/>
          <w:lang w:val="en-US" w:eastAsia="zh-CN" w:bidi="ar-SA"/>
        </w:rPr>
        <w:fldChar w:fldCharType="end"/>
      </w:r>
      <w:bookmarkEnd w:id="4"/>
      <w:r>
        <w:t xml:space="preserve"> </w:t>
      </w:r>
      <w:r>
        <w:fldChar w:fldCharType="begin">
          <w:ffData>
            <w:name w:val="NSTD_CODE_F"/>
            <w:enabled/>
            <w:calcOnExit w:val="0"/>
            <w:textInput>
              <w:default w:val="XXXX"/>
            </w:textInput>
          </w:ffData>
        </w:fldChar>
      </w:r>
      <w:bookmarkStart w:id="5" w:name="NSTD_CODE_F"/>
      <w:r>
        <w:instrText xml:space="preserve"> FORMTEXT </w:instrText>
      </w:r>
      <w:r>
        <w:fldChar w:fldCharType="separate"/>
      </w:r>
      <w:r>
        <w:t>XXXX</w:t>
      </w:r>
      <w:r>
        <w:fldChar w:fldCharType="end"/>
      </w:r>
      <w:bookmarkEnd w:id="5"/>
      <w:r>
        <w:rPr>
          <w:rFonts w:hAnsi="黑体"/>
        </w:rPr>
        <w:t>—</w:t>
      </w:r>
      <w:r>
        <w:fldChar w:fldCharType="begin">
          <w:ffData>
            <w:name w:val="NSTD_CODE_B"/>
            <w:enabled/>
            <w:calcOnExit w:val="0"/>
            <w:textInput>
              <w:default w:val="XXXX"/>
            </w:textInput>
          </w:ffData>
        </w:fldChar>
      </w:r>
      <w:bookmarkStart w:id="6" w:name="NSTD_CODE_B"/>
      <w:r>
        <w:instrText xml:space="preserve"> FORMTEXT </w:instrText>
      </w:r>
      <w:r>
        <w:fldChar w:fldCharType="separate"/>
      </w:r>
      <w:r>
        <w:t>XXXX</w:t>
      </w:r>
      <w:r>
        <w:fldChar w:fldCharType="end"/>
      </w:r>
      <w:bookmarkEnd w:id="6"/>
    </w:p>
    <w:p w14:paraId="4DED808C">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60288"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60288;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2B695958">
      <w:pPr>
        <w:pStyle w:val="50"/>
        <w:framePr w:w="9639" w:h="6976" w:hRule="exact" w:hSpace="0" w:vSpace="0" w:wrap="around" w:hAnchor="page" w:y="6408"/>
        <w:jc w:val="center"/>
        <w:rPr>
          <w:rFonts w:ascii="黑体" w:hAnsi="黑体" w:eastAsia="黑体"/>
          <w:b w:val="0"/>
          <w:bCs w:val="0"/>
          <w:w w:val="100"/>
        </w:rPr>
      </w:pPr>
    </w:p>
    <w:p w14:paraId="039560AF">
      <w:pPr>
        <w:pStyle w:val="197"/>
        <w:framePr w:h="6974" w:hRule="exact" w:wrap="around" w:x="1419" w:anchorLock="1"/>
      </w:pPr>
      <w:bookmarkStart w:id="7" w:name="CSTD_NAME"/>
      <w:r>
        <w:rPr>
          <w:rFonts w:hint="eastAsia" w:ascii="黑体" w:hAnsi="黑体" w:eastAsia="黑体" w:cs="Times New Roman"/>
          <w:bCs/>
          <w:sz w:val="52"/>
          <w:lang w:val="en-US" w:eastAsia="zh-CN" w:bidi="ar-SA"/>
        </w:rPr>
        <w:fldChar w:fldCharType="begin">
          <w:ffData>
            <w:name w:val="CSTD_NAME"/>
            <w:enabled/>
            <w:calcOnExit w:val="0"/>
            <w:textInput>
              <w:default w:val="新能源汽车注塑母排技术规范"/>
            </w:textInput>
          </w:ffData>
        </w:fldChar>
      </w:r>
      <w:r>
        <w:rPr>
          <w:rFonts w:hint="eastAsia" w:ascii="黑体" w:hAnsi="黑体" w:eastAsia="黑体" w:cs="Times New Roman"/>
          <w:bCs/>
          <w:sz w:val="52"/>
          <w:lang w:val="en-US" w:eastAsia="zh-CN" w:bidi="ar-SA"/>
        </w:rPr>
        <w:instrText xml:space="preserve">FORMTEXT</w:instrText>
      </w:r>
      <w:r>
        <w:rPr>
          <w:rFonts w:hint="eastAsia" w:ascii="黑体" w:hAnsi="黑体" w:eastAsia="黑体" w:cs="Times New Roman"/>
          <w:bCs/>
          <w:sz w:val="52"/>
          <w:lang w:val="en-US" w:eastAsia="zh-CN" w:bidi="ar-SA"/>
        </w:rPr>
        <w:fldChar w:fldCharType="separate"/>
      </w:r>
      <w:r>
        <w:rPr>
          <w:rFonts w:hint="eastAsia" w:ascii="黑体" w:hAnsi="黑体" w:eastAsia="黑体" w:cs="Times New Roman"/>
          <w:bCs/>
          <w:sz w:val="52"/>
          <w:lang w:val="en-US" w:eastAsia="zh-CN" w:bidi="ar-SA"/>
        </w:rPr>
        <w:t>新能源汽车注塑母排技术规范</w:t>
      </w:r>
      <w:r>
        <w:rPr>
          <w:rFonts w:hint="eastAsia" w:ascii="黑体" w:hAnsi="黑体" w:eastAsia="黑体" w:cs="Times New Roman"/>
          <w:bCs/>
          <w:sz w:val="52"/>
          <w:lang w:val="en-US" w:eastAsia="zh-CN" w:bidi="ar-SA"/>
        </w:rPr>
        <w:fldChar w:fldCharType="end"/>
      </w:r>
      <w:bookmarkEnd w:id="7"/>
    </w:p>
    <w:p w14:paraId="14AAD9A4">
      <w:pPr>
        <w:framePr w:w="9639" w:h="6974" w:hRule="exact" w:wrap="around" w:vAnchor="page" w:hAnchor="page" w:x="1419" w:y="6408" w:anchorLock="1"/>
        <w:ind w:left="-1418"/>
      </w:pPr>
    </w:p>
    <w:p w14:paraId="796C27AA">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injection molding busbars in new energy vehicles</w:t>
      </w:r>
      <w:r>
        <w:rPr>
          <w:rFonts w:eastAsia="黑体"/>
          <w:szCs w:val="28"/>
        </w:rPr>
        <w:fldChar w:fldCharType="end"/>
      </w:r>
      <w:bookmarkEnd w:id="8"/>
    </w:p>
    <w:p w14:paraId="453AA2B6">
      <w:pPr>
        <w:framePr w:w="9639" w:h="6974" w:hRule="exact" w:wrap="around" w:vAnchor="page" w:hAnchor="page" w:x="1419" w:y="6408" w:anchorLock="1"/>
        <w:spacing w:line="760" w:lineRule="exact"/>
        <w:ind w:left="-1418"/>
      </w:pPr>
    </w:p>
    <w:p w14:paraId="758106FE">
      <w:pPr>
        <w:pStyle w:val="125"/>
        <w:framePr w:w="9639" w:h="6974" w:hRule="exact" w:wrap="around" w:vAnchor="page" w:hAnchor="page" w:x="1419" w:y="6408" w:anchorLock="1"/>
        <w:textAlignment w:val="bottom"/>
        <w:rPr>
          <w:rFonts w:eastAsia="黑体"/>
          <w:szCs w:val="28"/>
        </w:rPr>
      </w:pPr>
    </w:p>
    <w:p w14:paraId="71F6272C">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25A734CC">
      <w:pPr>
        <w:pStyle w:val="193"/>
        <w:framePr w:wrap="around" w:y="14176"/>
      </w:pPr>
      <w:r>
        <w:rPr>
          <w:rFonts w:ascii="黑体"/>
        </w:rPr>
        <w:fldChar w:fldCharType="begin">
          <w:ffData>
            <w:name w:val="PLSH_DATE_Y"/>
            <w:enabled/>
            <w:calcOnExit w:val="0"/>
            <w:textInput>
              <w:default w:val="XXXX"/>
              <w:maxLength w:val="4"/>
            </w:textInput>
          </w:ffData>
        </w:fldChar>
      </w:r>
      <w:bookmarkStart w:id="10" w:name="PLSH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0"/>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1"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1"/>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2"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2"/>
      <w:r>
        <w:rPr>
          <w:rFonts w:hint="eastAsia"/>
        </w:rPr>
        <w:t>发布</w:t>
      </w:r>
    </w:p>
    <w:p w14:paraId="1AA12C6F">
      <w:pPr>
        <w:pStyle w:val="194"/>
        <w:framePr w:wrap="around" w:y="14176"/>
      </w:pPr>
      <w:r>
        <w:rPr>
          <w:rFonts w:ascii="黑体"/>
        </w:rPr>
        <w:fldChar w:fldCharType="begin">
          <w:ffData>
            <w:name w:val="CROT_DATE_Y"/>
            <w:enabled/>
            <w:calcOnExit w:val="0"/>
            <w:textInput>
              <w:default w:val="XXXX"/>
              <w:maxLength w:val="4"/>
            </w:textInput>
          </w:ffData>
        </w:fldChar>
      </w:r>
      <w:bookmarkStart w:id="13" w:name="CROT_DATE_Y"/>
      <w:r>
        <w:rPr>
          <w:rFonts w:ascii="黑体"/>
        </w:rPr>
        <w:instrText xml:space="preserve"> FORMTEXT </w:instrText>
      </w:r>
      <w:r>
        <w:rPr>
          <w:rFonts w:ascii="黑体"/>
        </w:rPr>
        <w:fldChar w:fldCharType="separate"/>
      </w:r>
      <w:r>
        <w:rPr>
          <w:rFonts w:hint="eastAsia" w:ascii="黑体"/>
        </w:rPr>
        <w:t>2025</w:t>
      </w:r>
      <w:r>
        <w:rPr>
          <w:rFonts w:ascii="黑体"/>
        </w:rPr>
        <w:fldChar w:fldCharType="end"/>
      </w:r>
      <w:bookmarkEnd w:id="13"/>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4"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5"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rPr>
          <w:rFonts w:hint="eastAsia"/>
        </w:rPr>
        <w:t>实施</w:t>
      </w:r>
    </w:p>
    <w:p w14:paraId="34326C40">
      <w:pPr>
        <w:pStyle w:val="151"/>
        <w:framePr w:h="584" w:hRule="exact" w:hSpace="181" w:vSpace="181" w:wrap="around" w:y="14800"/>
        <w:rPr>
          <w:rFonts w:hAnsi="黑体"/>
        </w:rPr>
      </w:pPr>
      <w:r>
        <w:rPr>
          <w:rFonts w:hAnsi="黑体"/>
          <w:w w:val="100"/>
          <w:sz w:val="28"/>
        </w:rPr>
        <w:fldChar w:fldCharType="begin">
          <w:ffData>
            <w:name w:val="fm"/>
            <w:enabled/>
            <w:calcOnExit w:val="0"/>
            <w:textInput/>
          </w:ffData>
        </w:fldChar>
      </w:r>
      <w:bookmarkStart w:id="16" w:name="fm"/>
      <w:r>
        <w:rPr>
          <w:rFonts w:hAnsi="黑体"/>
          <w:w w:val="100"/>
          <w:sz w:val="28"/>
        </w:rPr>
        <w:instrText xml:space="preserve"> FORMTEXT </w:instrText>
      </w:r>
      <w:r>
        <w:rPr>
          <w:rFonts w:hAnsi="黑体"/>
          <w:w w:val="100"/>
          <w:sz w:val="28"/>
        </w:rPr>
        <w:fldChar w:fldCharType="separate"/>
      </w:r>
      <w:r>
        <w:rPr>
          <w:rFonts w:hint="eastAsia" w:hAnsi="黑体"/>
          <w:w w:val="100"/>
          <w:sz w:val="28"/>
          <w:lang w:eastAsia="zh-CN"/>
        </w:rPr>
        <w:t>中国中小企业协会</w:t>
      </w:r>
      <w:r>
        <w:rPr>
          <w:rFonts w:hAnsi="黑体"/>
          <w:w w:val="100"/>
          <w:sz w:val="28"/>
        </w:rPr>
        <w:fldChar w:fldCharType="end"/>
      </w:r>
      <w:bookmarkEnd w:id="16"/>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0D6FA97F">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59264"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59264;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497BBE20">
      <w:pPr>
        <w:pStyle w:val="91"/>
        <w:spacing w:after="360"/>
        <w:rPr>
          <w:rFonts w:hint="eastAsia"/>
        </w:rPr>
      </w:pPr>
      <w:bookmarkStart w:id="17" w:name="BookMark1"/>
      <w:r>
        <w:rPr>
          <w:rFonts w:hint="eastAsia"/>
          <w:spacing w:val="320"/>
        </w:rPr>
        <w:t>目</w:t>
      </w:r>
      <w:r>
        <w:rPr>
          <w:rFonts w:hint="eastAsia"/>
        </w:rPr>
        <w:t>次</w:t>
      </w:r>
    </w:p>
    <w:p w14:paraId="20774E51">
      <w:pPr>
        <w:pStyle w:val="19"/>
        <w:tabs>
          <w:tab w:val="right" w:leader="dot" w:pos="9344"/>
        </w:tabs>
        <w:rPr>
          <w:rFonts w:asciiTheme="minorHAnsi" w:hAnsiTheme="minorHAnsi" w:eastAsiaTheme="minorEastAsia" w:cstheme="minorBidi"/>
          <w:szCs w:val="22"/>
        </w:rPr>
      </w:pPr>
      <w:r>
        <w:fldChar w:fldCharType="begin"/>
      </w:r>
      <w:r>
        <w:instrText xml:space="preserve"> TOC \o "1-1" \h \t "标准文件_一级条标题,2,标准文件_二级条标题,3,标准文件_附录一级条标题,2,标准文件_附录二级条标题,3," </w:instrText>
      </w:r>
      <w:r>
        <w:fldChar w:fldCharType="separate"/>
      </w:r>
      <w:r>
        <w:fldChar w:fldCharType="begin"/>
      </w:r>
      <w:r>
        <w:instrText xml:space="preserve"> HYPERLINK \l "_Toc210890909" </w:instrText>
      </w:r>
      <w:r>
        <w:fldChar w:fldCharType="separate"/>
      </w:r>
      <w:r>
        <w:rPr>
          <w:rStyle w:val="32"/>
        </w:rPr>
        <w:t>前言</w:t>
      </w:r>
      <w:r>
        <w:tab/>
      </w:r>
      <w:r>
        <w:fldChar w:fldCharType="begin"/>
      </w:r>
      <w:r>
        <w:instrText xml:space="preserve"> PAGEREF _Toc210890909 \h </w:instrText>
      </w:r>
      <w:r>
        <w:fldChar w:fldCharType="separate"/>
      </w:r>
      <w:r>
        <w:t>II</w:t>
      </w:r>
      <w:r>
        <w:fldChar w:fldCharType="end"/>
      </w:r>
      <w:r>
        <w:fldChar w:fldCharType="end"/>
      </w:r>
    </w:p>
    <w:p w14:paraId="1C043632">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"_Toc210890910" </w:instrText>
      </w:r>
      <w:r>
        <w:fldChar w:fldCharType="separate"/>
      </w:r>
      <w:r>
        <w:rPr>
          <w:rStyle w:val="32"/>
        </w:rPr>
        <w:t>1  范围</w:t>
      </w:r>
      <w:r>
        <w:tab/>
      </w:r>
      <w:r>
        <w:fldChar w:fldCharType="begin"/>
      </w:r>
      <w:r>
        <w:instrText xml:space="preserve"> PAGEREF _Toc210890910 \h </w:instrText>
      </w:r>
      <w:r>
        <w:fldChar w:fldCharType="separate"/>
      </w:r>
      <w:r>
        <w:t>1</w:t>
      </w:r>
      <w:r>
        <w:fldChar w:fldCharType="end"/>
      </w:r>
      <w:r>
        <w:fldChar w:fldCharType="end"/>
      </w:r>
    </w:p>
    <w:p w14:paraId="689FDB8D">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"_Toc210890911" </w:instrText>
      </w:r>
      <w:r>
        <w:fldChar w:fldCharType="separate"/>
      </w:r>
      <w:r>
        <w:rPr>
          <w:rStyle w:val="32"/>
        </w:rPr>
        <w:t>2  规范性引用文件</w:t>
      </w:r>
      <w:r>
        <w:tab/>
      </w:r>
      <w:r>
        <w:fldChar w:fldCharType="begin"/>
      </w:r>
      <w:r>
        <w:instrText xml:space="preserve"> PAGEREF _Toc210890911 \h </w:instrText>
      </w:r>
      <w:r>
        <w:fldChar w:fldCharType="separate"/>
      </w:r>
      <w:r>
        <w:t>1</w:t>
      </w:r>
      <w:r>
        <w:fldChar w:fldCharType="end"/>
      </w:r>
      <w:r>
        <w:fldChar w:fldCharType="end"/>
      </w:r>
    </w:p>
    <w:p w14:paraId="57B6A3B0">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"_Toc210890912" </w:instrText>
      </w:r>
      <w:r>
        <w:fldChar w:fldCharType="separate"/>
      </w:r>
      <w:r>
        <w:rPr>
          <w:rStyle w:val="32"/>
        </w:rPr>
        <w:t>3  术语和定义</w:t>
      </w:r>
      <w:r>
        <w:tab/>
      </w:r>
      <w:r>
        <w:fldChar w:fldCharType="begin"/>
      </w:r>
      <w:r>
        <w:instrText xml:space="preserve"> PAGEREF _Toc210890912 \h </w:instrText>
      </w:r>
      <w:r>
        <w:fldChar w:fldCharType="separate"/>
      </w:r>
      <w:r>
        <w:t>1</w:t>
      </w:r>
      <w:r>
        <w:fldChar w:fldCharType="end"/>
      </w:r>
      <w:r>
        <w:fldChar w:fldCharType="end"/>
      </w:r>
    </w:p>
    <w:p w14:paraId="14B26D42">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"_Toc210890913" </w:instrText>
      </w:r>
      <w:r>
        <w:fldChar w:fldCharType="separate"/>
      </w:r>
      <w:r>
        <w:rPr>
          <w:rStyle w:val="32"/>
        </w:rPr>
        <w:t>4  材料要求</w:t>
      </w:r>
      <w:r>
        <w:tab/>
      </w:r>
      <w:r>
        <w:fldChar w:fldCharType="begin"/>
      </w:r>
      <w:r>
        <w:instrText xml:space="preserve"> PAGEREF _Toc210890913 \h </w:instrText>
      </w:r>
      <w:r>
        <w:fldChar w:fldCharType="separate"/>
      </w:r>
      <w:r>
        <w:t>1</w:t>
      </w:r>
      <w:r>
        <w:fldChar w:fldCharType="end"/>
      </w:r>
      <w:r>
        <w:fldChar w:fldCharType="end"/>
      </w:r>
    </w:p>
    <w:p w14:paraId="1C163A0C">
      <w:pPr>
        <w:pStyle w:val="24"/>
        <w:rPr>
          <w:rFonts w:asciiTheme="minorHAnsi" w:hAnsiTheme="minorHAnsi" w:eastAsiaTheme="minorEastAsia" w:cstheme="minorBidi"/>
          <w:szCs w:val="22"/>
        </w:rPr>
      </w:pPr>
      <w:r>
        <w:fldChar w:fldCharType="begin"/>
      </w:r>
      <w:r>
        <w:instrText xml:space="preserve"> HYPERLINK \l "_Toc210890914" </w:instrText>
      </w:r>
      <w:r>
        <w:fldChar w:fldCharType="separate"/>
      </w:r>
      <w:r>
        <w:rPr>
          <w:rStyle w:val="32"/>
          <w14:scene3d>
            <w14:lightRig w14:rig="threePt" w14:dir="t">
              <w14:rot w14:lat="0" w14:lon="0" w14:rev="0"/>
            </w14:lightRig>
          </w14:scene3d>
        </w:rPr>
        <w:t xml:space="preserve">4.1 </w:t>
      </w:r>
      <w:r>
        <w:rPr>
          <w:rStyle w:val="32"/>
        </w:rPr>
        <w:t xml:space="preserve"> 铜材</w:t>
      </w:r>
      <w:r>
        <w:tab/>
      </w:r>
      <w:r>
        <w:fldChar w:fldCharType="begin"/>
      </w:r>
      <w:r>
        <w:instrText xml:space="preserve"> PAGEREF _Toc210890914 \h </w:instrText>
      </w:r>
      <w:r>
        <w:fldChar w:fldCharType="separate"/>
      </w:r>
      <w:r>
        <w:t>1</w:t>
      </w:r>
      <w:r>
        <w:fldChar w:fldCharType="end"/>
      </w:r>
      <w:r>
        <w:fldChar w:fldCharType="end"/>
      </w:r>
    </w:p>
    <w:p w14:paraId="1BBD9343">
      <w:pPr>
        <w:pStyle w:val="24"/>
        <w:rPr>
          <w:rFonts w:asciiTheme="minorHAnsi" w:hAnsiTheme="minorHAnsi" w:eastAsiaTheme="minorEastAsia" w:cstheme="minorBidi"/>
          <w:szCs w:val="22"/>
        </w:rPr>
      </w:pPr>
      <w:r>
        <w:fldChar w:fldCharType="begin"/>
      </w:r>
      <w:r>
        <w:instrText xml:space="preserve"> HYPERLINK \l "_Toc210890915" </w:instrText>
      </w:r>
      <w:r>
        <w:fldChar w:fldCharType="separate"/>
      </w:r>
      <w:r>
        <w:rPr>
          <w:rStyle w:val="32"/>
          <w14:scene3d>
            <w14:lightRig w14:rig="threePt" w14:dir="t">
              <w14:rot w14:lat="0" w14:lon="0" w14:rev="0"/>
            </w14:lightRig>
          </w14:scene3d>
        </w:rPr>
        <w:t xml:space="preserve">4.2 </w:t>
      </w:r>
      <w:r>
        <w:rPr>
          <w:rStyle w:val="32"/>
        </w:rPr>
        <w:t xml:space="preserve"> 注塑材料</w:t>
      </w:r>
      <w:r>
        <w:tab/>
      </w:r>
      <w:r>
        <w:fldChar w:fldCharType="begin"/>
      </w:r>
      <w:r>
        <w:instrText xml:space="preserve"> PAGEREF _Toc210890915 \h </w:instrText>
      </w:r>
      <w:r>
        <w:fldChar w:fldCharType="separate"/>
      </w:r>
      <w:r>
        <w:t>2</w:t>
      </w:r>
      <w:r>
        <w:fldChar w:fldCharType="end"/>
      </w:r>
      <w:r>
        <w:fldChar w:fldCharType="end"/>
      </w:r>
    </w:p>
    <w:p w14:paraId="52C72DF5">
      <w:pPr>
        <w:pStyle w:val="24"/>
        <w:rPr>
          <w:rFonts w:asciiTheme="minorHAnsi" w:hAnsiTheme="minorHAnsi" w:eastAsiaTheme="minorEastAsia" w:cstheme="minorBidi"/>
          <w:szCs w:val="22"/>
        </w:rPr>
      </w:pPr>
      <w:r>
        <w:fldChar w:fldCharType="begin"/>
      </w:r>
      <w:r>
        <w:instrText xml:space="preserve"> HYPERLINK \l "_Toc210890916" </w:instrText>
      </w:r>
      <w:r>
        <w:fldChar w:fldCharType="separate"/>
      </w:r>
      <w:r>
        <w:rPr>
          <w:rStyle w:val="32"/>
          <w14:scene3d>
            <w14:lightRig w14:rig="threePt" w14:dir="t">
              <w14:rot w14:lat="0" w14:lon="0" w14:rev="0"/>
            </w14:lightRig>
          </w14:scene3d>
        </w:rPr>
        <w:t xml:space="preserve">4.3 </w:t>
      </w:r>
      <w:r>
        <w:rPr>
          <w:rStyle w:val="32"/>
        </w:rPr>
        <w:t xml:space="preserve"> 结构</w:t>
      </w:r>
      <w:r>
        <w:tab/>
      </w:r>
      <w:r>
        <w:fldChar w:fldCharType="begin"/>
      </w:r>
      <w:r>
        <w:instrText xml:space="preserve"> PAGEREF _Toc210890916 \h </w:instrText>
      </w:r>
      <w:r>
        <w:fldChar w:fldCharType="separate"/>
      </w:r>
      <w:r>
        <w:t>2</w:t>
      </w:r>
      <w:r>
        <w:fldChar w:fldCharType="end"/>
      </w:r>
      <w:r>
        <w:fldChar w:fldCharType="end"/>
      </w:r>
    </w:p>
    <w:p w14:paraId="3E3AE7D2">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"_Toc210890917" </w:instrText>
      </w:r>
      <w:r>
        <w:fldChar w:fldCharType="separate"/>
      </w:r>
      <w:r>
        <w:rPr>
          <w:rStyle w:val="32"/>
        </w:rPr>
        <w:t>5  生产工艺要求</w:t>
      </w:r>
      <w:r>
        <w:tab/>
      </w:r>
      <w:r>
        <w:fldChar w:fldCharType="begin"/>
      </w:r>
      <w:r>
        <w:instrText xml:space="preserve"> PAGEREF _Toc210890917 \h </w:instrText>
      </w:r>
      <w:r>
        <w:fldChar w:fldCharType="separate"/>
      </w:r>
      <w:r>
        <w:t>2</w:t>
      </w:r>
      <w:r>
        <w:fldChar w:fldCharType="end"/>
      </w:r>
      <w:r>
        <w:fldChar w:fldCharType="end"/>
      </w:r>
    </w:p>
    <w:p w14:paraId="74DC38A1">
      <w:pPr>
        <w:pStyle w:val="24"/>
        <w:rPr>
          <w:rFonts w:asciiTheme="minorHAnsi" w:hAnsiTheme="minorHAnsi" w:eastAsiaTheme="minorEastAsia" w:cstheme="minorBidi"/>
          <w:szCs w:val="22"/>
        </w:rPr>
      </w:pPr>
      <w:r>
        <w:fldChar w:fldCharType="begin"/>
      </w:r>
      <w:r>
        <w:instrText xml:space="preserve"> HYPERLINK \l "_Toc210890918" </w:instrText>
      </w:r>
      <w:r>
        <w:fldChar w:fldCharType="separate"/>
      </w:r>
      <w:r>
        <w:rPr>
          <w:rStyle w:val="32"/>
          <w14:scene3d>
            <w14:lightRig w14:rig="threePt" w14:dir="t">
              <w14:rot w14:lat="0" w14:lon="0" w14:rev="0"/>
            </w14:lightRig>
          </w14:scene3d>
        </w:rPr>
        <w:t xml:space="preserve">5.1 </w:t>
      </w:r>
      <w:r>
        <w:rPr>
          <w:rStyle w:val="32"/>
        </w:rPr>
        <w:t xml:space="preserve"> 成型工艺技术要求</w:t>
      </w:r>
      <w:r>
        <w:tab/>
      </w:r>
      <w:r>
        <w:fldChar w:fldCharType="begin"/>
      </w:r>
      <w:r>
        <w:instrText xml:space="preserve"> PAGEREF _Toc210890918 \h </w:instrText>
      </w:r>
      <w:r>
        <w:fldChar w:fldCharType="separate"/>
      </w:r>
      <w:r>
        <w:t>2</w:t>
      </w:r>
      <w:r>
        <w:fldChar w:fldCharType="end"/>
      </w:r>
      <w:r>
        <w:fldChar w:fldCharType="end"/>
      </w:r>
    </w:p>
    <w:p w14:paraId="3F75746C">
      <w:pPr>
        <w:pStyle w:val="24"/>
        <w:rPr>
          <w:rFonts w:asciiTheme="minorHAnsi" w:hAnsiTheme="minorHAnsi" w:eastAsiaTheme="minorEastAsia" w:cstheme="minorBidi"/>
          <w:szCs w:val="22"/>
        </w:rPr>
      </w:pPr>
      <w:r>
        <w:fldChar w:fldCharType="begin"/>
      </w:r>
      <w:r>
        <w:instrText xml:space="preserve"> HYPERLINK \l "_Toc210890919" </w:instrText>
      </w:r>
      <w:r>
        <w:fldChar w:fldCharType="separate"/>
      </w:r>
      <w:r>
        <w:rPr>
          <w:rStyle w:val="32"/>
          <w14:scene3d>
            <w14:lightRig w14:rig="threePt" w14:dir="t">
              <w14:rot w14:lat="0" w14:lon="0" w14:rev="0"/>
            </w14:lightRig>
          </w14:scene3d>
        </w:rPr>
        <w:t xml:space="preserve">5.2 </w:t>
      </w:r>
      <w:r>
        <w:rPr>
          <w:rStyle w:val="32"/>
        </w:rPr>
        <w:t xml:space="preserve"> 在线检测</w:t>
      </w:r>
      <w:r>
        <w:tab/>
      </w:r>
      <w:r>
        <w:fldChar w:fldCharType="begin"/>
      </w:r>
      <w:r>
        <w:instrText xml:space="preserve"> PAGEREF _Toc210890919 \h </w:instrText>
      </w:r>
      <w:r>
        <w:fldChar w:fldCharType="separate"/>
      </w:r>
      <w:r>
        <w:t>2</w:t>
      </w:r>
      <w:r>
        <w:fldChar w:fldCharType="end"/>
      </w:r>
      <w:r>
        <w:fldChar w:fldCharType="end"/>
      </w:r>
    </w:p>
    <w:p w14:paraId="1800177F">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"_Toc210890920" </w:instrText>
      </w:r>
      <w:r>
        <w:fldChar w:fldCharType="separate"/>
      </w:r>
      <w:r>
        <w:rPr>
          <w:rStyle w:val="32"/>
        </w:rPr>
        <w:t>6  技术要求</w:t>
      </w:r>
      <w:r>
        <w:tab/>
      </w:r>
      <w:r>
        <w:fldChar w:fldCharType="begin"/>
      </w:r>
      <w:r>
        <w:instrText xml:space="preserve"> PAGEREF _Toc210890920 \h </w:instrText>
      </w:r>
      <w:r>
        <w:fldChar w:fldCharType="separate"/>
      </w:r>
      <w:r>
        <w:t>3</w:t>
      </w:r>
      <w:r>
        <w:fldChar w:fldCharType="end"/>
      </w:r>
      <w:r>
        <w:fldChar w:fldCharType="end"/>
      </w:r>
    </w:p>
    <w:p w14:paraId="569228D2">
      <w:pPr>
        <w:pStyle w:val="24"/>
        <w:rPr>
          <w:rFonts w:asciiTheme="minorHAnsi" w:hAnsiTheme="minorHAnsi" w:eastAsiaTheme="minorEastAsia" w:cstheme="minorBidi"/>
          <w:szCs w:val="22"/>
        </w:rPr>
      </w:pPr>
      <w:r>
        <w:fldChar w:fldCharType="begin"/>
      </w:r>
      <w:r>
        <w:instrText xml:space="preserve"> HYPERLINK \l "_Toc210890921" </w:instrText>
      </w:r>
      <w:r>
        <w:fldChar w:fldCharType="separate"/>
      </w:r>
      <w:r>
        <w:rPr>
          <w:rStyle w:val="32"/>
          <w14:scene3d>
            <w14:lightRig w14:rig="threePt" w14:dir="t">
              <w14:rot w14:lat="0" w14:lon="0" w14:rev="0"/>
            </w14:lightRig>
          </w14:scene3d>
        </w:rPr>
        <w:t xml:space="preserve">6.1 </w:t>
      </w:r>
      <w:r>
        <w:rPr>
          <w:rStyle w:val="32"/>
        </w:rPr>
        <w:t xml:space="preserve"> 绝缘性能</w:t>
      </w:r>
      <w:r>
        <w:tab/>
      </w:r>
      <w:r>
        <w:fldChar w:fldCharType="begin"/>
      </w:r>
      <w:r>
        <w:instrText xml:space="preserve"> PAGEREF _Toc210890921 \h </w:instrText>
      </w:r>
      <w:r>
        <w:fldChar w:fldCharType="separate"/>
      </w:r>
      <w:r>
        <w:t>3</w:t>
      </w:r>
      <w:r>
        <w:fldChar w:fldCharType="end"/>
      </w:r>
      <w:r>
        <w:fldChar w:fldCharType="end"/>
      </w:r>
    </w:p>
    <w:p w14:paraId="4034D748">
      <w:pPr>
        <w:pStyle w:val="24"/>
        <w:rPr>
          <w:rFonts w:asciiTheme="minorHAnsi" w:hAnsiTheme="minorHAnsi" w:eastAsiaTheme="minorEastAsia" w:cstheme="minorBidi"/>
          <w:szCs w:val="22"/>
        </w:rPr>
      </w:pPr>
      <w:r>
        <w:fldChar w:fldCharType="begin"/>
      </w:r>
      <w:r>
        <w:instrText xml:space="preserve"> HYPERLINK \l "_Toc210890922" </w:instrText>
      </w:r>
      <w:r>
        <w:fldChar w:fldCharType="separate"/>
      </w:r>
      <w:r>
        <w:rPr>
          <w:rStyle w:val="32"/>
          <w14:scene3d>
            <w14:lightRig w14:rig="threePt" w14:dir="t">
              <w14:rot w14:lat="0" w14:lon="0" w14:rev="0"/>
            </w14:lightRig>
          </w14:scene3d>
        </w:rPr>
        <w:t xml:space="preserve">6.2 </w:t>
      </w:r>
      <w:r>
        <w:rPr>
          <w:rStyle w:val="32"/>
        </w:rPr>
        <w:t xml:space="preserve"> 温升</w:t>
      </w:r>
      <w:r>
        <w:tab/>
      </w:r>
      <w:r>
        <w:fldChar w:fldCharType="begin"/>
      </w:r>
      <w:r>
        <w:instrText xml:space="preserve"> PAGEREF _Toc210890922 \h </w:instrText>
      </w:r>
      <w:r>
        <w:fldChar w:fldCharType="separate"/>
      </w:r>
      <w:r>
        <w:t>3</w:t>
      </w:r>
      <w:r>
        <w:fldChar w:fldCharType="end"/>
      </w:r>
      <w:r>
        <w:fldChar w:fldCharType="end"/>
      </w:r>
    </w:p>
    <w:p w14:paraId="4633BA93">
      <w:pPr>
        <w:pStyle w:val="24"/>
        <w:rPr>
          <w:rFonts w:asciiTheme="minorHAnsi" w:hAnsiTheme="minorHAnsi" w:eastAsiaTheme="minorEastAsia" w:cstheme="minorBidi"/>
          <w:szCs w:val="22"/>
        </w:rPr>
      </w:pPr>
      <w:r>
        <w:fldChar w:fldCharType="begin"/>
      </w:r>
      <w:r>
        <w:instrText xml:space="preserve"> HYPERLINK \l "_Toc210890923" </w:instrText>
      </w:r>
      <w:r>
        <w:fldChar w:fldCharType="separate"/>
      </w:r>
      <w:r>
        <w:rPr>
          <w:rStyle w:val="32"/>
          <w14:scene3d>
            <w14:lightRig w14:rig="threePt" w14:dir="t">
              <w14:rot w14:lat="0" w14:lon="0" w14:rev="0"/>
            </w14:lightRig>
          </w14:scene3d>
        </w:rPr>
        <w:t xml:space="preserve">6.3 </w:t>
      </w:r>
      <w:r>
        <w:rPr>
          <w:rStyle w:val="32"/>
        </w:rPr>
        <w:t xml:space="preserve"> 短时低倍电流过载</w:t>
      </w:r>
      <w:r>
        <w:tab/>
      </w:r>
      <w:r>
        <w:fldChar w:fldCharType="begin"/>
      </w:r>
      <w:r>
        <w:instrText xml:space="preserve"> PAGEREF _Toc210890923 \h </w:instrText>
      </w:r>
      <w:r>
        <w:fldChar w:fldCharType="separate"/>
      </w:r>
      <w:r>
        <w:t>3</w:t>
      </w:r>
      <w:r>
        <w:fldChar w:fldCharType="end"/>
      </w:r>
      <w:r>
        <w:fldChar w:fldCharType="end"/>
      </w:r>
    </w:p>
    <w:p w14:paraId="498975F0">
      <w:pPr>
        <w:pStyle w:val="24"/>
        <w:rPr>
          <w:rFonts w:asciiTheme="minorHAnsi" w:hAnsiTheme="minorHAnsi" w:eastAsiaTheme="minorEastAsia" w:cstheme="minorBidi"/>
          <w:szCs w:val="22"/>
        </w:rPr>
      </w:pPr>
      <w:r>
        <w:fldChar w:fldCharType="begin"/>
      </w:r>
      <w:r>
        <w:instrText xml:space="preserve"> HYPERLINK \l "_Toc210890924" </w:instrText>
      </w:r>
      <w:r>
        <w:fldChar w:fldCharType="separate"/>
      </w:r>
      <w:r>
        <w:rPr>
          <w:rStyle w:val="32"/>
          <w14:scene3d>
            <w14:lightRig w14:rig="threePt" w14:dir="t">
              <w14:rot w14:lat="0" w14:lon="0" w14:rev="0"/>
            </w14:lightRig>
          </w14:scene3d>
        </w:rPr>
        <w:t xml:space="preserve">6.4 </w:t>
      </w:r>
      <w:r>
        <w:rPr>
          <w:rStyle w:val="32"/>
        </w:rPr>
        <w:t xml:space="preserve"> 瞬时高倍电流过载</w:t>
      </w:r>
      <w:r>
        <w:tab/>
      </w:r>
      <w:r>
        <w:fldChar w:fldCharType="begin"/>
      </w:r>
      <w:r>
        <w:instrText xml:space="preserve"> PAGEREF _Toc210890924 \h </w:instrText>
      </w:r>
      <w:r>
        <w:fldChar w:fldCharType="separate"/>
      </w:r>
      <w:r>
        <w:t>3</w:t>
      </w:r>
      <w:r>
        <w:fldChar w:fldCharType="end"/>
      </w:r>
      <w:r>
        <w:fldChar w:fldCharType="end"/>
      </w:r>
    </w:p>
    <w:p w14:paraId="397E5E8A">
      <w:pPr>
        <w:pStyle w:val="24"/>
        <w:rPr>
          <w:rFonts w:asciiTheme="minorHAnsi" w:hAnsiTheme="minorHAnsi" w:eastAsiaTheme="minorEastAsia" w:cstheme="minorBidi"/>
          <w:szCs w:val="22"/>
        </w:rPr>
      </w:pPr>
      <w:r>
        <w:fldChar w:fldCharType="begin"/>
      </w:r>
      <w:r>
        <w:instrText xml:space="preserve"> HYPERLINK \l "_Toc210890925" </w:instrText>
      </w:r>
      <w:r>
        <w:fldChar w:fldCharType="separate"/>
      </w:r>
      <w:r>
        <w:rPr>
          <w:rStyle w:val="32"/>
          <w14:scene3d>
            <w14:lightRig w14:rig="threePt" w14:dir="t">
              <w14:rot w14:lat="0" w14:lon="0" w14:rev="0"/>
            </w14:lightRig>
          </w14:scene3d>
        </w:rPr>
        <w:t xml:space="preserve">6.5 </w:t>
      </w:r>
      <w:r>
        <w:rPr>
          <w:rStyle w:val="32"/>
        </w:rPr>
        <w:t xml:space="preserve"> 耐盐雾</w:t>
      </w:r>
      <w:r>
        <w:tab/>
      </w:r>
      <w:r>
        <w:fldChar w:fldCharType="begin"/>
      </w:r>
      <w:r>
        <w:instrText xml:space="preserve"> PAGEREF _Toc210890925 \h </w:instrText>
      </w:r>
      <w:r>
        <w:fldChar w:fldCharType="separate"/>
      </w:r>
      <w:r>
        <w:t>3</w:t>
      </w:r>
      <w:r>
        <w:fldChar w:fldCharType="end"/>
      </w:r>
      <w:r>
        <w:fldChar w:fldCharType="end"/>
      </w:r>
    </w:p>
    <w:p w14:paraId="3FFDB29E">
      <w:pPr>
        <w:pStyle w:val="24"/>
        <w:rPr>
          <w:rFonts w:asciiTheme="minorHAnsi" w:hAnsiTheme="minorHAnsi" w:eastAsiaTheme="minorEastAsia" w:cstheme="minorBidi"/>
          <w:szCs w:val="22"/>
        </w:rPr>
      </w:pPr>
      <w:r>
        <w:fldChar w:fldCharType="begin"/>
      </w:r>
      <w:r>
        <w:instrText xml:space="preserve"> HYPERLINK \l "_Toc210890926" </w:instrText>
      </w:r>
      <w:r>
        <w:fldChar w:fldCharType="separate"/>
      </w:r>
      <w:r>
        <w:rPr>
          <w:rStyle w:val="32"/>
          <w14:scene3d>
            <w14:lightRig w14:rig="threePt" w14:dir="t">
              <w14:rot w14:lat="0" w14:lon="0" w14:rev="0"/>
            </w14:lightRig>
          </w14:scene3d>
        </w:rPr>
        <w:t xml:space="preserve">6.6 </w:t>
      </w:r>
      <w:r>
        <w:rPr>
          <w:rStyle w:val="32"/>
        </w:rPr>
        <w:t xml:space="preserve"> 耐化学腐蚀</w:t>
      </w:r>
      <w:r>
        <w:tab/>
      </w:r>
      <w:r>
        <w:fldChar w:fldCharType="begin"/>
      </w:r>
      <w:r>
        <w:instrText xml:space="preserve"> PAGEREF _Toc210890926 \h </w:instrText>
      </w:r>
      <w:r>
        <w:fldChar w:fldCharType="separate"/>
      </w:r>
      <w:r>
        <w:t>3</w:t>
      </w:r>
      <w:r>
        <w:fldChar w:fldCharType="end"/>
      </w:r>
      <w:r>
        <w:fldChar w:fldCharType="end"/>
      </w:r>
    </w:p>
    <w:p w14:paraId="02BA331D">
      <w:pPr>
        <w:pStyle w:val="24"/>
        <w:rPr>
          <w:rFonts w:asciiTheme="minorHAnsi" w:hAnsiTheme="minorHAnsi" w:eastAsiaTheme="minorEastAsia" w:cstheme="minorBidi"/>
          <w:szCs w:val="22"/>
        </w:rPr>
      </w:pPr>
      <w:r>
        <w:fldChar w:fldCharType="begin"/>
      </w:r>
      <w:r>
        <w:instrText xml:space="preserve"> HYPERLINK \l "_Toc210890927" </w:instrText>
      </w:r>
      <w:r>
        <w:fldChar w:fldCharType="separate"/>
      </w:r>
      <w:r>
        <w:rPr>
          <w:rStyle w:val="32"/>
          <w14:scene3d>
            <w14:lightRig w14:rig="threePt" w14:dir="t">
              <w14:rot w14:lat="0" w14:lon="0" w14:rev="0"/>
            </w14:lightRig>
          </w14:scene3d>
        </w:rPr>
        <w:t xml:space="preserve">6.7 </w:t>
      </w:r>
      <w:r>
        <w:rPr>
          <w:rStyle w:val="32"/>
        </w:rPr>
        <w:t xml:space="preserve"> 机械可靠性</w:t>
      </w:r>
      <w:r>
        <w:tab/>
      </w:r>
      <w:r>
        <w:fldChar w:fldCharType="begin"/>
      </w:r>
      <w:r>
        <w:instrText xml:space="preserve"> PAGEREF _Toc210890927 \h </w:instrText>
      </w:r>
      <w:r>
        <w:fldChar w:fldCharType="separate"/>
      </w:r>
      <w:r>
        <w:t>3</w:t>
      </w:r>
      <w:r>
        <w:fldChar w:fldCharType="end"/>
      </w:r>
      <w:r>
        <w:fldChar w:fldCharType="end"/>
      </w:r>
    </w:p>
    <w:p w14:paraId="3C479F99">
      <w:pPr>
        <w:pStyle w:val="24"/>
        <w:rPr>
          <w:rFonts w:asciiTheme="minorHAnsi" w:hAnsiTheme="minorHAnsi" w:eastAsiaTheme="minorEastAsia" w:cstheme="minorBidi"/>
          <w:szCs w:val="22"/>
        </w:rPr>
      </w:pPr>
      <w:r>
        <w:fldChar w:fldCharType="begin"/>
      </w:r>
      <w:r>
        <w:instrText xml:space="preserve"> HYPERLINK \l "_Toc210890928" </w:instrText>
      </w:r>
      <w:r>
        <w:fldChar w:fldCharType="separate"/>
      </w:r>
      <w:r>
        <w:rPr>
          <w:rStyle w:val="32"/>
          <w14:scene3d>
            <w14:lightRig w14:rig="threePt" w14:dir="t">
              <w14:rot w14:lat="0" w14:lon="0" w14:rev="0"/>
            </w14:lightRig>
          </w14:scene3d>
        </w:rPr>
        <w:t xml:space="preserve">6.8 </w:t>
      </w:r>
      <w:r>
        <w:rPr>
          <w:rStyle w:val="32"/>
        </w:rPr>
        <w:t xml:space="preserve"> 耐火安全性</w:t>
      </w:r>
      <w:r>
        <w:tab/>
      </w:r>
      <w:r>
        <w:fldChar w:fldCharType="begin"/>
      </w:r>
      <w:r>
        <w:instrText xml:space="preserve"> PAGEREF _Toc210890928 \h </w:instrText>
      </w:r>
      <w:r>
        <w:fldChar w:fldCharType="separate"/>
      </w:r>
      <w:r>
        <w:t>3</w:t>
      </w:r>
      <w:r>
        <w:fldChar w:fldCharType="end"/>
      </w:r>
      <w:r>
        <w:fldChar w:fldCharType="end"/>
      </w:r>
    </w:p>
    <w:p w14:paraId="22C2960A">
      <w:pPr>
        <w:pStyle w:val="24"/>
        <w:rPr>
          <w:rFonts w:asciiTheme="minorHAnsi" w:hAnsiTheme="minorHAnsi" w:eastAsiaTheme="minorEastAsia" w:cstheme="minorBidi"/>
          <w:szCs w:val="22"/>
        </w:rPr>
      </w:pPr>
      <w:r>
        <w:fldChar w:fldCharType="begin"/>
      </w:r>
      <w:r>
        <w:instrText xml:space="preserve"> HYPERLINK \l "_Toc210890929" </w:instrText>
      </w:r>
      <w:r>
        <w:fldChar w:fldCharType="separate"/>
      </w:r>
      <w:r>
        <w:rPr>
          <w:rStyle w:val="32"/>
          <w14:scene3d>
            <w14:lightRig w14:rig="threePt" w14:dir="t">
              <w14:rot w14:lat="0" w14:lon="0" w14:rev="0"/>
            </w14:lightRig>
          </w14:scene3d>
        </w:rPr>
        <w:t xml:space="preserve">6.9 </w:t>
      </w:r>
      <w:r>
        <w:rPr>
          <w:rStyle w:val="32"/>
        </w:rPr>
        <w:t xml:space="preserve"> 复合环境耐受性</w:t>
      </w:r>
      <w:r>
        <w:tab/>
      </w:r>
      <w:r>
        <w:fldChar w:fldCharType="begin"/>
      </w:r>
      <w:r>
        <w:instrText xml:space="preserve"> PAGEREF _Toc210890929 \h </w:instrText>
      </w:r>
      <w:r>
        <w:fldChar w:fldCharType="separate"/>
      </w:r>
      <w:r>
        <w:t>3</w:t>
      </w:r>
      <w:r>
        <w:fldChar w:fldCharType="end"/>
      </w:r>
      <w:r>
        <w:fldChar w:fldCharType="end"/>
      </w:r>
    </w:p>
    <w:p w14:paraId="1E02C5DE">
      <w:pPr>
        <w:pStyle w:val="24"/>
        <w:rPr>
          <w:rFonts w:asciiTheme="minorHAnsi" w:hAnsiTheme="minorHAnsi" w:eastAsiaTheme="minorEastAsia" w:cstheme="minorBidi"/>
          <w:szCs w:val="22"/>
        </w:rPr>
      </w:pPr>
      <w:r>
        <w:fldChar w:fldCharType="begin"/>
      </w:r>
      <w:r>
        <w:instrText xml:space="preserve"> HYPERLINK \l "_Toc210890930" </w:instrText>
      </w:r>
      <w:r>
        <w:fldChar w:fldCharType="separate"/>
      </w:r>
      <w:r>
        <w:rPr>
          <w:rStyle w:val="32"/>
          <w14:scene3d>
            <w14:lightRig w14:rig="threePt" w14:dir="t">
              <w14:rot w14:lat="0" w14:lon="0" w14:rev="0"/>
            </w14:lightRig>
          </w14:scene3d>
        </w:rPr>
        <w:t xml:space="preserve">6.10 </w:t>
      </w:r>
      <w:r>
        <w:rPr>
          <w:rStyle w:val="32"/>
        </w:rPr>
        <w:t xml:space="preserve"> 禁用物质限量</w:t>
      </w:r>
      <w:r>
        <w:tab/>
      </w:r>
      <w:r>
        <w:fldChar w:fldCharType="begin"/>
      </w:r>
      <w:r>
        <w:instrText xml:space="preserve"> PAGEREF _Toc210890930 \h </w:instrText>
      </w:r>
      <w:r>
        <w:fldChar w:fldCharType="separate"/>
      </w:r>
      <w:r>
        <w:t>3</w:t>
      </w:r>
      <w:r>
        <w:fldChar w:fldCharType="end"/>
      </w:r>
      <w:r>
        <w:fldChar w:fldCharType="end"/>
      </w:r>
    </w:p>
    <w:p w14:paraId="6B6D8D05">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"_Toc210890931" </w:instrText>
      </w:r>
      <w:r>
        <w:fldChar w:fldCharType="separate"/>
      </w:r>
      <w:r>
        <w:rPr>
          <w:rStyle w:val="32"/>
        </w:rPr>
        <w:t>7  试验方法</w:t>
      </w:r>
      <w:r>
        <w:tab/>
      </w:r>
      <w:r>
        <w:fldChar w:fldCharType="begin"/>
      </w:r>
      <w:r>
        <w:instrText xml:space="preserve"> PAGEREF _Toc210890931 \h </w:instrText>
      </w:r>
      <w:r>
        <w:fldChar w:fldCharType="separate"/>
      </w:r>
      <w:r>
        <w:t>3</w:t>
      </w:r>
      <w:r>
        <w:fldChar w:fldCharType="end"/>
      </w:r>
      <w:r>
        <w:fldChar w:fldCharType="end"/>
      </w:r>
    </w:p>
    <w:p w14:paraId="64C7DB92">
      <w:pPr>
        <w:pStyle w:val="24"/>
        <w:rPr>
          <w:rFonts w:asciiTheme="minorHAnsi" w:hAnsiTheme="minorHAnsi" w:eastAsiaTheme="minorEastAsia" w:cstheme="minorBidi"/>
          <w:szCs w:val="22"/>
        </w:rPr>
      </w:pPr>
      <w:r>
        <w:fldChar w:fldCharType="begin"/>
      </w:r>
      <w:r>
        <w:instrText xml:space="preserve"> HYPERLINK \l "_Toc210890932" </w:instrText>
      </w:r>
      <w:r>
        <w:fldChar w:fldCharType="separate"/>
      </w:r>
      <w:r>
        <w:rPr>
          <w:rStyle w:val="32"/>
          <w14:scene3d>
            <w14:lightRig w14:rig="threePt" w14:dir="t">
              <w14:rot w14:lat="0" w14:lon="0" w14:rev="0"/>
            </w14:lightRig>
          </w14:scene3d>
        </w:rPr>
        <w:t xml:space="preserve">7.1 </w:t>
      </w:r>
      <w:r>
        <w:rPr>
          <w:rStyle w:val="32"/>
        </w:rPr>
        <w:t xml:space="preserve"> 绝缘性能</w:t>
      </w:r>
      <w:r>
        <w:tab/>
      </w:r>
      <w:r>
        <w:fldChar w:fldCharType="begin"/>
      </w:r>
      <w:r>
        <w:instrText xml:space="preserve"> PAGEREF _Toc210890932 \h </w:instrText>
      </w:r>
      <w:r>
        <w:fldChar w:fldCharType="separate"/>
      </w:r>
      <w:r>
        <w:t>3</w:t>
      </w:r>
      <w:r>
        <w:fldChar w:fldCharType="end"/>
      </w:r>
      <w:r>
        <w:fldChar w:fldCharType="end"/>
      </w:r>
    </w:p>
    <w:p w14:paraId="623F5976">
      <w:pPr>
        <w:pStyle w:val="24"/>
        <w:rPr>
          <w:rFonts w:asciiTheme="minorHAnsi" w:hAnsiTheme="minorHAnsi" w:eastAsiaTheme="minorEastAsia" w:cstheme="minorBidi"/>
          <w:szCs w:val="22"/>
        </w:rPr>
      </w:pPr>
      <w:r>
        <w:fldChar w:fldCharType="begin"/>
      </w:r>
      <w:r>
        <w:instrText xml:space="preserve"> HYPERLINK \l "_Toc210890933" </w:instrText>
      </w:r>
      <w:r>
        <w:fldChar w:fldCharType="separate"/>
      </w:r>
      <w:r>
        <w:rPr>
          <w:rStyle w:val="32"/>
          <w14:scene3d>
            <w14:lightRig w14:rig="threePt" w14:dir="t">
              <w14:rot w14:lat="0" w14:lon="0" w14:rev="0"/>
            </w14:lightRig>
          </w14:scene3d>
        </w:rPr>
        <w:t xml:space="preserve">7.2 </w:t>
      </w:r>
      <w:r>
        <w:rPr>
          <w:rStyle w:val="32"/>
        </w:rPr>
        <w:t xml:space="preserve"> 温升</w:t>
      </w:r>
      <w:r>
        <w:tab/>
      </w:r>
      <w:r>
        <w:fldChar w:fldCharType="begin"/>
      </w:r>
      <w:r>
        <w:instrText xml:space="preserve"> PAGEREF _Toc210890933 \h </w:instrText>
      </w:r>
      <w:r>
        <w:fldChar w:fldCharType="separate"/>
      </w:r>
      <w:r>
        <w:t>3</w:t>
      </w:r>
      <w:r>
        <w:fldChar w:fldCharType="end"/>
      </w:r>
      <w:r>
        <w:fldChar w:fldCharType="end"/>
      </w:r>
    </w:p>
    <w:p w14:paraId="3357F383">
      <w:pPr>
        <w:pStyle w:val="24"/>
        <w:rPr>
          <w:rFonts w:asciiTheme="minorHAnsi" w:hAnsiTheme="minorHAnsi" w:eastAsiaTheme="minorEastAsia" w:cstheme="minorBidi"/>
          <w:szCs w:val="22"/>
        </w:rPr>
      </w:pPr>
      <w:r>
        <w:fldChar w:fldCharType="begin"/>
      </w:r>
      <w:r>
        <w:instrText xml:space="preserve"> HYPERLINK \l "_Toc210890934" </w:instrText>
      </w:r>
      <w:r>
        <w:fldChar w:fldCharType="separate"/>
      </w:r>
      <w:r>
        <w:rPr>
          <w:rStyle w:val="32"/>
          <w14:scene3d>
            <w14:lightRig w14:rig="threePt" w14:dir="t">
              <w14:rot w14:lat="0" w14:lon="0" w14:rev="0"/>
            </w14:lightRig>
          </w14:scene3d>
        </w:rPr>
        <w:t xml:space="preserve">7.3 </w:t>
      </w:r>
      <w:r>
        <w:rPr>
          <w:rStyle w:val="32"/>
        </w:rPr>
        <w:t xml:space="preserve"> 短时低倍电流过载</w:t>
      </w:r>
      <w:r>
        <w:tab/>
      </w:r>
      <w:r>
        <w:fldChar w:fldCharType="begin"/>
      </w:r>
      <w:r>
        <w:instrText xml:space="preserve"> PAGEREF _Toc210890934 \h </w:instrText>
      </w:r>
      <w:r>
        <w:fldChar w:fldCharType="separate"/>
      </w:r>
      <w:r>
        <w:t>3</w:t>
      </w:r>
      <w:r>
        <w:fldChar w:fldCharType="end"/>
      </w:r>
      <w:r>
        <w:fldChar w:fldCharType="end"/>
      </w:r>
    </w:p>
    <w:p w14:paraId="5025B4CB">
      <w:pPr>
        <w:pStyle w:val="24"/>
        <w:rPr>
          <w:rFonts w:asciiTheme="minorHAnsi" w:hAnsiTheme="minorHAnsi" w:eastAsiaTheme="minorEastAsia" w:cstheme="minorBidi"/>
          <w:szCs w:val="22"/>
        </w:rPr>
      </w:pPr>
      <w:r>
        <w:fldChar w:fldCharType="begin"/>
      </w:r>
      <w:r>
        <w:instrText xml:space="preserve"> HYPERLINK \l "_Toc210890935" </w:instrText>
      </w:r>
      <w:r>
        <w:fldChar w:fldCharType="separate"/>
      </w:r>
      <w:r>
        <w:rPr>
          <w:rStyle w:val="32"/>
          <w14:scene3d>
            <w14:lightRig w14:rig="threePt" w14:dir="t">
              <w14:rot w14:lat="0" w14:lon="0" w14:rev="0"/>
            </w14:lightRig>
          </w14:scene3d>
        </w:rPr>
        <w:t xml:space="preserve">7.4 </w:t>
      </w:r>
      <w:r>
        <w:rPr>
          <w:rStyle w:val="32"/>
        </w:rPr>
        <w:t xml:space="preserve"> 瞬时高倍电流过载</w:t>
      </w:r>
      <w:r>
        <w:tab/>
      </w:r>
      <w:r>
        <w:fldChar w:fldCharType="begin"/>
      </w:r>
      <w:r>
        <w:instrText xml:space="preserve"> PAGEREF _Toc210890935 \h </w:instrText>
      </w:r>
      <w:r>
        <w:fldChar w:fldCharType="separate"/>
      </w:r>
      <w:r>
        <w:t>4</w:t>
      </w:r>
      <w:r>
        <w:fldChar w:fldCharType="end"/>
      </w:r>
      <w:r>
        <w:fldChar w:fldCharType="end"/>
      </w:r>
    </w:p>
    <w:p w14:paraId="51959F2B">
      <w:pPr>
        <w:pStyle w:val="24"/>
        <w:rPr>
          <w:rFonts w:asciiTheme="minorHAnsi" w:hAnsiTheme="minorHAnsi" w:eastAsiaTheme="minorEastAsia" w:cstheme="minorBidi"/>
          <w:szCs w:val="22"/>
        </w:rPr>
      </w:pPr>
      <w:r>
        <w:fldChar w:fldCharType="begin"/>
      </w:r>
      <w:r>
        <w:instrText xml:space="preserve"> HYPERLINK \l "_Toc210890936" </w:instrText>
      </w:r>
      <w:r>
        <w:fldChar w:fldCharType="separate"/>
      </w:r>
      <w:r>
        <w:rPr>
          <w:rStyle w:val="32"/>
          <w14:scene3d>
            <w14:lightRig w14:rig="threePt" w14:dir="t">
              <w14:rot w14:lat="0" w14:lon="0" w14:rev="0"/>
            </w14:lightRig>
          </w14:scene3d>
        </w:rPr>
        <w:t xml:space="preserve">7.5 </w:t>
      </w:r>
      <w:r>
        <w:rPr>
          <w:rStyle w:val="32"/>
        </w:rPr>
        <w:t xml:space="preserve"> 耐盐雾</w:t>
      </w:r>
      <w:r>
        <w:tab/>
      </w:r>
      <w:r>
        <w:fldChar w:fldCharType="begin"/>
      </w:r>
      <w:r>
        <w:instrText xml:space="preserve"> PAGEREF _Toc210890936 \h </w:instrText>
      </w:r>
      <w:r>
        <w:fldChar w:fldCharType="separate"/>
      </w:r>
      <w:r>
        <w:t>4</w:t>
      </w:r>
      <w:r>
        <w:fldChar w:fldCharType="end"/>
      </w:r>
      <w:r>
        <w:fldChar w:fldCharType="end"/>
      </w:r>
    </w:p>
    <w:p w14:paraId="74082323">
      <w:pPr>
        <w:pStyle w:val="24"/>
        <w:rPr>
          <w:rFonts w:asciiTheme="minorHAnsi" w:hAnsiTheme="minorHAnsi" w:eastAsiaTheme="minorEastAsia" w:cstheme="minorBidi"/>
          <w:szCs w:val="22"/>
        </w:rPr>
      </w:pPr>
      <w:r>
        <w:fldChar w:fldCharType="begin"/>
      </w:r>
      <w:r>
        <w:instrText xml:space="preserve"> HYPERLINK \l "_Toc210890937" </w:instrText>
      </w:r>
      <w:r>
        <w:fldChar w:fldCharType="separate"/>
      </w:r>
      <w:r>
        <w:rPr>
          <w:rStyle w:val="32"/>
          <w14:scene3d>
            <w14:lightRig w14:rig="threePt" w14:dir="t">
              <w14:rot w14:lat="0" w14:lon="0" w14:rev="0"/>
            </w14:lightRig>
          </w14:scene3d>
        </w:rPr>
        <w:t xml:space="preserve">7.6 </w:t>
      </w:r>
      <w:r>
        <w:rPr>
          <w:rStyle w:val="32"/>
        </w:rPr>
        <w:t xml:space="preserve"> 耐化学腐蚀</w:t>
      </w:r>
      <w:r>
        <w:tab/>
      </w:r>
      <w:r>
        <w:fldChar w:fldCharType="begin"/>
      </w:r>
      <w:r>
        <w:instrText xml:space="preserve"> PAGEREF _Toc210890937 \h </w:instrText>
      </w:r>
      <w:r>
        <w:fldChar w:fldCharType="separate"/>
      </w:r>
      <w:r>
        <w:t>4</w:t>
      </w:r>
      <w:r>
        <w:fldChar w:fldCharType="end"/>
      </w:r>
      <w:r>
        <w:fldChar w:fldCharType="end"/>
      </w:r>
    </w:p>
    <w:p w14:paraId="7738F2D8">
      <w:pPr>
        <w:pStyle w:val="24"/>
        <w:rPr>
          <w:rFonts w:asciiTheme="minorHAnsi" w:hAnsiTheme="minorHAnsi" w:eastAsiaTheme="minorEastAsia" w:cstheme="minorBidi"/>
          <w:szCs w:val="22"/>
        </w:rPr>
      </w:pPr>
      <w:r>
        <w:fldChar w:fldCharType="begin"/>
      </w:r>
      <w:r>
        <w:instrText xml:space="preserve"> HYPERLINK \l "_Toc210890938" </w:instrText>
      </w:r>
      <w:r>
        <w:fldChar w:fldCharType="separate"/>
      </w:r>
      <w:r>
        <w:rPr>
          <w:rStyle w:val="32"/>
          <w14:scene3d>
            <w14:lightRig w14:rig="threePt" w14:dir="t">
              <w14:rot w14:lat="0" w14:lon="0" w14:rev="0"/>
            </w14:lightRig>
          </w14:scene3d>
        </w:rPr>
        <w:t xml:space="preserve">7.7 </w:t>
      </w:r>
      <w:r>
        <w:rPr>
          <w:rStyle w:val="32"/>
        </w:rPr>
        <w:t xml:space="preserve"> 机械可靠性</w:t>
      </w:r>
      <w:r>
        <w:tab/>
      </w:r>
      <w:r>
        <w:fldChar w:fldCharType="begin"/>
      </w:r>
      <w:r>
        <w:instrText xml:space="preserve"> PAGEREF _Toc210890938 \h </w:instrText>
      </w:r>
      <w:r>
        <w:fldChar w:fldCharType="separate"/>
      </w:r>
      <w:r>
        <w:t>4</w:t>
      </w:r>
      <w:r>
        <w:fldChar w:fldCharType="end"/>
      </w:r>
      <w:r>
        <w:fldChar w:fldCharType="end"/>
      </w:r>
    </w:p>
    <w:p w14:paraId="5EC92F7E">
      <w:pPr>
        <w:pStyle w:val="24"/>
        <w:rPr>
          <w:rFonts w:asciiTheme="minorHAnsi" w:hAnsiTheme="minorHAnsi" w:eastAsiaTheme="minorEastAsia" w:cstheme="minorBidi"/>
          <w:szCs w:val="22"/>
        </w:rPr>
      </w:pPr>
      <w:r>
        <w:fldChar w:fldCharType="begin"/>
      </w:r>
      <w:r>
        <w:instrText xml:space="preserve"> HYPERLINK \l "_Toc210890939" </w:instrText>
      </w:r>
      <w:r>
        <w:fldChar w:fldCharType="separate"/>
      </w:r>
      <w:r>
        <w:rPr>
          <w:rStyle w:val="32"/>
          <w14:scene3d>
            <w14:lightRig w14:rig="threePt" w14:dir="t">
              <w14:rot w14:lat="0" w14:lon="0" w14:rev="0"/>
            </w14:lightRig>
          </w14:scene3d>
        </w:rPr>
        <w:t xml:space="preserve">7.8 </w:t>
      </w:r>
      <w:r>
        <w:rPr>
          <w:rStyle w:val="32"/>
        </w:rPr>
        <w:t xml:space="preserve"> 耐火安全性</w:t>
      </w:r>
      <w:r>
        <w:tab/>
      </w:r>
      <w:r>
        <w:fldChar w:fldCharType="begin"/>
      </w:r>
      <w:r>
        <w:instrText xml:space="preserve"> PAGEREF _Toc210890939 \h </w:instrText>
      </w:r>
      <w:r>
        <w:fldChar w:fldCharType="separate"/>
      </w:r>
      <w:r>
        <w:t>4</w:t>
      </w:r>
      <w:r>
        <w:fldChar w:fldCharType="end"/>
      </w:r>
      <w:r>
        <w:fldChar w:fldCharType="end"/>
      </w:r>
    </w:p>
    <w:p w14:paraId="672FEBAF">
      <w:pPr>
        <w:pStyle w:val="24"/>
        <w:rPr>
          <w:rFonts w:asciiTheme="minorHAnsi" w:hAnsiTheme="minorHAnsi" w:eastAsiaTheme="minorEastAsia" w:cstheme="minorBidi"/>
          <w:szCs w:val="22"/>
        </w:rPr>
      </w:pPr>
      <w:r>
        <w:fldChar w:fldCharType="begin"/>
      </w:r>
      <w:r>
        <w:instrText xml:space="preserve"> HYPERLINK \l "_Toc210890940" </w:instrText>
      </w:r>
      <w:r>
        <w:fldChar w:fldCharType="separate"/>
      </w:r>
      <w:r>
        <w:rPr>
          <w:rStyle w:val="32"/>
          <w14:scene3d>
            <w14:lightRig w14:rig="threePt" w14:dir="t">
              <w14:rot w14:lat="0" w14:lon="0" w14:rev="0"/>
            </w14:lightRig>
          </w14:scene3d>
        </w:rPr>
        <w:t xml:space="preserve">7.9 </w:t>
      </w:r>
      <w:r>
        <w:rPr>
          <w:rStyle w:val="32"/>
        </w:rPr>
        <w:t xml:space="preserve"> 复合环境耐受性</w:t>
      </w:r>
      <w:r>
        <w:tab/>
      </w:r>
      <w:r>
        <w:fldChar w:fldCharType="begin"/>
      </w:r>
      <w:r>
        <w:instrText xml:space="preserve"> PAGEREF _Toc210890940 \h </w:instrText>
      </w:r>
      <w:r>
        <w:fldChar w:fldCharType="separate"/>
      </w:r>
      <w:r>
        <w:t>4</w:t>
      </w:r>
      <w:r>
        <w:fldChar w:fldCharType="end"/>
      </w:r>
      <w:r>
        <w:fldChar w:fldCharType="end"/>
      </w:r>
    </w:p>
    <w:p w14:paraId="34717C88">
      <w:pPr>
        <w:pStyle w:val="24"/>
        <w:rPr>
          <w:rFonts w:asciiTheme="minorHAnsi" w:hAnsiTheme="minorHAnsi" w:eastAsiaTheme="minorEastAsia" w:cstheme="minorBidi"/>
          <w:szCs w:val="22"/>
        </w:rPr>
      </w:pPr>
      <w:r>
        <w:fldChar w:fldCharType="begin"/>
      </w:r>
      <w:r>
        <w:instrText xml:space="preserve"> HYPERLINK \l "_Toc210890941" </w:instrText>
      </w:r>
      <w:r>
        <w:fldChar w:fldCharType="separate"/>
      </w:r>
      <w:r>
        <w:rPr>
          <w:rStyle w:val="32"/>
          <w14:scene3d>
            <w14:lightRig w14:rig="threePt" w14:dir="t">
              <w14:rot w14:lat="0" w14:lon="0" w14:rev="0"/>
            </w14:lightRig>
          </w14:scene3d>
        </w:rPr>
        <w:t xml:space="preserve">7.10 </w:t>
      </w:r>
      <w:r>
        <w:rPr>
          <w:rStyle w:val="32"/>
        </w:rPr>
        <w:t xml:space="preserve"> 禁用物质限量</w:t>
      </w:r>
      <w:r>
        <w:tab/>
      </w:r>
      <w:r>
        <w:fldChar w:fldCharType="begin"/>
      </w:r>
      <w:r>
        <w:instrText xml:space="preserve"> PAGEREF _Toc210890941 \h </w:instrText>
      </w:r>
      <w:r>
        <w:fldChar w:fldCharType="separate"/>
      </w:r>
      <w:r>
        <w:t>4</w:t>
      </w:r>
      <w:r>
        <w:fldChar w:fldCharType="end"/>
      </w:r>
      <w:r>
        <w:fldChar w:fldCharType="end"/>
      </w:r>
    </w:p>
    <w:p w14:paraId="00C32CBA">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"_Toc210890942" </w:instrText>
      </w:r>
      <w:r>
        <w:fldChar w:fldCharType="separate"/>
      </w:r>
      <w:r>
        <w:rPr>
          <w:rStyle w:val="32"/>
        </w:rPr>
        <w:t>8  检验规则</w:t>
      </w:r>
      <w:r>
        <w:tab/>
      </w:r>
      <w:r>
        <w:fldChar w:fldCharType="begin"/>
      </w:r>
      <w:r>
        <w:instrText xml:space="preserve"> PAGEREF _Toc210890942 \h </w:instrText>
      </w:r>
      <w:r>
        <w:fldChar w:fldCharType="separate"/>
      </w:r>
      <w:r>
        <w:t>4</w:t>
      </w:r>
      <w:r>
        <w:fldChar w:fldCharType="end"/>
      </w:r>
      <w:r>
        <w:fldChar w:fldCharType="end"/>
      </w:r>
    </w:p>
    <w:p w14:paraId="5A977B57">
      <w:pPr>
        <w:pStyle w:val="19"/>
        <w:tabs>
          <w:tab w:val="right" w:leader="dot" w:pos="9344"/>
        </w:tabs>
        <w:rPr>
          <w:rFonts w:asciiTheme="minorHAnsi" w:hAnsiTheme="minorHAnsi" w:eastAsiaTheme="minorEastAsia" w:cstheme="minorBidi"/>
          <w:szCs w:val="22"/>
        </w:rPr>
      </w:pPr>
      <w:r>
        <w:fldChar w:fldCharType="begin"/>
      </w:r>
      <w:r>
        <w:instrText xml:space="preserve"> HYPERLINK \l "_Toc210890943" </w:instrText>
      </w:r>
      <w:r>
        <w:fldChar w:fldCharType="separate"/>
      </w:r>
      <w:r>
        <w:rPr>
          <w:rStyle w:val="32"/>
        </w:rPr>
        <w:t>9  包装和运输</w:t>
      </w:r>
      <w:r>
        <w:tab/>
      </w:r>
      <w:r>
        <w:fldChar w:fldCharType="begin"/>
      </w:r>
      <w:r>
        <w:instrText xml:space="preserve"> PAGEREF _Toc210890943 \h </w:instrText>
      </w:r>
      <w:r>
        <w:fldChar w:fldCharType="separate"/>
      </w:r>
      <w:r>
        <w:t>5</w:t>
      </w:r>
      <w:r>
        <w:fldChar w:fldCharType="end"/>
      </w:r>
      <w:r>
        <w:fldChar w:fldCharType="end"/>
      </w:r>
    </w:p>
    <w:p w14:paraId="1E424CFC">
      <w:pPr>
        <w:pStyle w:val="91"/>
        <w:spacing w:after="360"/>
        <w:sectPr>
          <w:headerReference r:id="rId11" w:type="default"/>
          <w:footerReference r:id="rId13" w:type="default"/>
          <w:headerReference r:id="rId12" w:type="even"/>
          <w:footerReference r:id="rId14"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7"/>
    <w:p w14:paraId="0FC6233D">
      <w:pPr>
        <w:pStyle w:val="89"/>
        <w:spacing w:before="900" w:after="360"/>
      </w:pPr>
      <w:bookmarkStart w:id="18" w:name="_Toc210890909"/>
      <w:bookmarkStart w:id="19" w:name="BookMark2"/>
      <w:r>
        <w:rPr>
          <w:spacing w:val="320"/>
        </w:rPr>
        <w:t>前</w:t>
      </w:r>
      <w:r>
        <w:t>言</w:t>
      </w:r>
      <w:bookmarkEnd w:id="18"/>
    </w:p>
    <w:p w14:paraId="3F42942E">
      <w:pPr>
        <w:pStyle w:val="56"/>
        <w:ind w:firstLine="420"/>
      </w:pPr>
      <w:r>
        <w:rPr>
          <w:rFonts w:hint="eastAsia"/>
        </w:rPr>
        <w:t>本文件按照GB/T 1.1—2020《标准化工作导则  第1部分：标准化文件的结构和起草规则》的规定起草。</w:t>
      </w:r>
    </w:p>
    <w:p w14:paraId="034BC209">
      <w:pPr>
        <w:pStyle w:val="56"/>
        <w:ind w:firstLine="420"/>
      </w:pPr>
      <w:bookmarkStart w:id="20" w:name="_Hlk190935488"/>
      <w:r>
        <w:rPr>
          <w:rFonts w:hint="eastAsia"/>
        </w:rPr>
        <w:t>请注意本文件的某些内容可能涉及专利。本文件的发布机构不承担识别专利的责任。</w:t>
      </w:r>
    </w:p>
    <w:p w14:paraId="0C5F8B3F">
      <w:pPr>
        <w:pStyle w:val="56"/>
        <w:ind w:firstLine="420"/>
      </w:pPr>
      <w:r>
        <w:rPr>
          <w:rFonts w:hint="eastAsia"/>
        </w:rPr>
        <w:t>本文件由江苏顺科新能源技术有限公司提出。</w:t>
      </w:r>
    </w:p>
    <w:p w14:paraId="486D974D">
      <w:pPr>
        <w:pStyle w:val="56"/>
        <w:ind w:firstLine="420"/>
      </w:pPr>
      <w:r>
        <w:rPr>
          <w:rFonts w:hint="eastAsia"/>
        </w:rPr>
        <w:t>本文件由</w:t>
      </w:r>
      <w:r>
        <w:rPr>
          <w:rFonts w:hint="eastAsia"/>
          <w:lang w:eastAsia="zh-CN"/>
        </w:rPr>
        <w:t>中国中小企业协会</w:t>
      </w:r>
      <w:r>
        <w:rPr>
          <w:rFonts w:hint="eastAsia"/>
        </w:rPr>
        <w:t>归口。</w:t>
      </w:r>
    </w:p>
    <w:p w14:paraId="2F524446">
      <w:pPr>
        <w:pStyle w:val="56"/>
        <w:ind w:firstLine="420"/>
        <w:rPr>
          <w:rFonts w:hint="eastAsia" w:eastAsia="宋体"/>
          <w:lang w:val="en-US" w:eastAsia="zh-CN"/>
        </w:rPr>
      </w:pPr>
      <w:r>
        <w:rPr>
          <w:rFonts w:hint="eastAsia"/>
        </w:rPr>
        <w:t>本文件起草单位：</w:t>
      </w:r>
      <w:bookmarkStart w:id="21" w:name="_Hlk190935481"/>
      <w:r>
        <w:rPr>
          <w:rFonts w:hint="eastAsia"/>
        </w:rPr>
        <w:t>江苏顺科新能源技术有限公司、东莞市硅翔绝缘材料有限公司</w:t>
      </w:r>
      <w:r>
        <w:rPr>
          <w:rFonts w:hint="eastAsia"/>
          <w:lang w:eastAsia="zh-CN"/>
        </w:rPr>
        <w:t>、</w:t>
      </w:r>
      <w:r>
        <w:rPr>
          <w:rFonts w:hint="eastAsia"/>
        </w:rPr>
        <w:t>顺科智连技术股份有限公司、广东顺科连接技术有限公司、</w:t>
      </w:r>
      <w:r>
        <w:rPr>
          <w:rFonts w:hint="eastAsia"/>
          <w:lang w:val="en-US" w:eastAsia="zh-CN"/>
        </w:rPr>
        <w:t>北京理工大学、浙江工业大学、</w:t>
      </w:r>
      <w:r>
        <w:rPr>
          <w:rFonts w:hint="eastAsia"/>
        </w:rPr>
        <w:t>北京国标东方标准技术院</w:t>
      </w:r>
      <w:r>
        <w:rPr>
          <w:rFonts w:hint="eastAsia"/>
          <w:lang w:eastAsia="zh-CN"/>
        </w:rPr>
        <w:t>、</w:t>
      </w:r>
      <w:r>
        <w:rPr>
          <w:rFonts w:hint="eastAsia"/>
        </w:rPr>
        <w:t>兴泰中研（北京）标准技术研究有限公司</w:t>
      </w:r>
      <w:bookmarkEnd w:id="21"/>
      <w:r>
        <w:rPr>
          <w:rFonts w:hint="eastAsia"/>
          <w:lang w:val="en-US" w:eastAsia="zh-CN"/>
        </w:rPr>
        <w:t>等</w:t>
      </w:r>
    </w:p>
    <w:p w14:paraId="75D0AACF">
      <w:pPr>
        <w:pStyle w:val="56"/>
        <w:ind w:firstLine="420"/>
      </w:pPr>
      <w:r>
        <w:rPr>
          <w:rFonts w:hint="eastAsia"/>
        </w:rPr>
        <w:t>本文件主要起草人：黄延鸿</w:t>
      </w:r>
      <w:r>
        <w:rPr>
          <w:rFonts w:hint="eastAsia"/>
          <w:lang w:eastAsia="zh-CN"/>
        </w:rPr>
        <w:t>、</w:t>
      </w:r>
      <w:r>
        <w:rPr>
          <w:rFonts w:hint="eastAsia"/>
        </w:rPr>
        <w:t>吴国标</w:t>
      </w:r>
      <w:r>
        <w:rPr>
          <w:rFonts w:hint="eastAsia"/>
          <w:lang w:eastAsia="zh-CN"/>
        </w:rPr>
        <w:t>、</w:t>
      </w:r>
      <w:bookmarkStart w:id="79" w:name="_GoBack"/>
      <w:bookmarkEnd w:id="79"/>
      <w:r>
        <w:rPr>
          <w:rFonts w:hint="eastAsia"/>
        </w:rPr>
        <w:t>张威浩</w:t>
      </w:r>
      <w:r>
        <w:rPr>
          <w:rFonts w:hint="eastAsia"/>
          <w:lang w:eastAsia="zh-CN"/>
        </w:rPr>
        <w:t>、王晓勇、张成、袁宽、文玉</w:t>
      </w:r>
      <w:r>
        <w:rPr>
          <w:rFonts w:hint="eastAsia"/>
          <w:lang w:val="en-US" w:eastAsia="zh-CN"/>
        </w:rPr>
        <w:t>良、</w:t>
      </w:r>
      <w:r>
        <w:rPr>
          <w:rFonts w:hint="eastAsia"/>
        </w:rPr>
        <w:t>邓钢</w:t>
      </w:r>
      <w:r>
        <w:rPr>
          <w:rFonts w:hint="eastAsia"/>
          <w:lang w:eastAsia="zh-CN"/>
        </w:rPr>
        <w:t>、</w:t>
      </w:r>
      <w:r>
        <w:rPr>
          <w:rFonts w:hint="eastAsia"/>
        </w:rPr>
        <w:t>邓超</w:t>
      </w:r>
      <w:r>
        <w:rPr>
          <w:rFonts w:hint="eastAsia"/>
          <w:lang w:eastAsia="zh-CN"/>
        </w:rPr>
        <w:t>、</w:t>
      </w:r>
      <w:r>
        <w:rPr>
          <w:rFonts w:hint="eastAsia"/>
        </w:rPr>
        <w:t>郑欢庆</w:t>
      </w:r>
      <w:r>
        <w:rPr>
          <w:rFonts w:hint="eastAsia"/>
          <w:lang w:eastAsia="zh-CN"/>
        </w:rPr>
        <w:t>、</w:t>
      </w:r>
      <w:r>
        <w:rPr>
          <w:rFonts w:hint="eastAsia"/>
          <w:lang w:val="en-US" w:eastAsia="zh-CN"/>
        </w:rPr>
        <w:t>孙立清、王秋成、朱铁峰、宋雨</w:t>
      </w:r>
      <w:r>
        <w:rPr>
          <w:rFonts w:hint="eastAsia"/>
        </w:rPr>
        <w:t>。</w:t>
      </w:r>
    </w:p>
    <w:bookmarkEnd w:id="20"/>
    <w:p w14:paraId="656F77F2">
      <w:pPr>
        <w:pStyle w:val="56"/>
      </w:pPr>
    </w:p>
    <w:p w14:paraId="005976E1">
      <w:pPr>
        <w:pStyle w:val="56"/>
        <w:ind w:firstLine="420"/>
      </w:pPr>
    </w:p>
    <w:p w14:paraId="033241CD">
      <w:pPr>
        <w:pStyle w:val="56"/>
        <w:ind w:firstLine="420"/>
        <w:sectPr>
          <w:headerReference r:id="rId15" w:type="default"/>
          <w:footerReference r:id="rId17" w:type="default"/>
          <w:headerReference r:id="rId16" w:type="even"/>
          <w:footerReference r:id="rId18" w:type="even"/>
          <w:pgSz w:w="11906" w:h="16838"/>
          <w:pgMar w:top="1928" w:right="1134" w:bottom="1134" w:left="1134" w:header="1418" w:footer="1134" w:gutter="284"/>
          <w:pgNumType w:fmt="upperRoman"/>
          <w:cols w:space="425" w:num="1"/>
          <w:formProt w:val="0"/>
          <w:docGrid w:linePitch="312" w:charSpace="0"/>
        </w:sectPr>
      </w:pPr>
    </w:p>
    <w:bookmarkEnd w:id="19"/>
    <w:p w14:paraId="3A130175">
      <w:pPr>
        <w:spacing w:line="20" w:lineRule="exact"/>
        <w:jc w:val="center"/>
        <w:rPr>
          <w:rFonts w:ascii="黑体" w:hAnsi="黑体" w:eastAsia="黑体"/>
          <w:sz w:val="32"/>
          <w:szCs w:val="32"/>
        </w:rPr>
      </w:pPr>
      <w:bookmarkStart w:id="22" w:name="BookMark4"/>
    </w:p>
    <w:p w14:paraId="062BBF43">
      <w:pPr>
        <w:spacing w:line="20" w:lineRule="exact"/>
        <w:jc w:val="center"/>
        <w:rPr>
          <w:rFonts w:ascii="黑体" w:hAnsi="黑体" w:eastAsia="黑体"/>
          <w:sz w:val="32"/>
          <w:szCs w:val="32"/>
        </w:rPr>
      </w:pPr>
    </w:p>
    <w:sdt>
      <w:sdtPr>
        <w:tag w:val="NEW_STAND_NAME"/>
        <w:id w:val="595910757"/>
        <w:lock w:val="sdtLocked"/>
        <w:placeholder>
          <w:docPart w:val="E3B0DCD5032845089BC283149F35BE2A"/>
        </w:placeholder>
      </w:sdtPr>
      <w:sdtContent>
        <w:p w14:paraId="575511C1">
          <w:pPr>
            <w:pStyle w:val="177"/>
            <w:spacing w:before="240" w:beforeLines="100" w:after="528" w:afterLines="220"/>
          </w:pPr>
          <w:bookmarkStart w:id="23" w:name="NEW_STAND_NAME"/>
          <w:r>
            <w:rPr>
              <w:rFonts w:hint="eastAsia"/>
            </w:rPr>
            <w:t>新能源汽车注塑母排技术规范</w:t>
          </w:r>
        </w:p>
      </w:sdtContent>
    </w:sdt>
    <w:bookmarkEnd w:id="23"/>
    <w:p w14:paraId="7596FD97">
      <w:pPr>
        <w:pStyle w:val="104"/>
        <w:spacing w:before="240" w:after="240"/>
      </w:pPr>
      <w:bookmarkStart w:id="24" w:name="_Toc17233325"/>
      <w:bookmarkStart w:id="25" w:name="_Toc97192964"/>
      <w:bookmarkStart w:id="26" w:name="_Toc17233333"/>
      <w:bookmarkStart w:id="27" w:name="_Toc24884211"/>
      <w:bookmarkStart w:id="28" w:name="_Toc24884218"/>
      <w:bookmarkStart w:id="29" w:name="_Toc26718930"/>
      <w:bookmarkStart w:id="30" w:name="_Toc26986530"/>
      <w:bookmarkStart w:id="31" w:name="_Toc210890910"/>
      <w:bookmarkStart w:id="32" w:name="_Toc26986771"/>
      <w:bookmarkStart w:id="33" w:name="_Toc26648465"/>
      <w:r>
        <w:rPr>
          <w:rFonts w:hint="eastAsia"/>
        </w:rPr>
        <w:t>范围</w:t>
      </w:r>
      <w:bookmarkEnd w:id="24"/>
      <w:bookmarkEnd w:id="25"/>
      <w:bookmarkEnd w:id="26"/>
      <w:bookmarkEnd w:id="27"/>
      <w:bookmarkEnd w:id="28"/>
      <w:bookmarkEnd w:id="29"/>
      <w:bookmarkEnd w:id="30"/>
      <w:bookmarkEnd w:id="31"/>
      <w:bookmarkEnd w:id="32"/>
      <w:bookmarkEnd w:id="33"/>
    </w:p>
    <w:p w14:paraId="17BF627F">
      <w:pPr>
        <w:pStyle w:val="56"/>
        <w:ind w:firstLine="420"/>
      </w:pPr>
      <w:bookmarkStart w:id="34" w:name="_Toc17233326"/>
      <w:bookmarkStart w:id="35" w:name="_Toc26648466"/>
      <w:bookmarkStart w:id="36" w:name="_Toc17233334"/>
      <w:bookmarkStart w:id="37" w:name="_Toc24884219"/>
      <w:bookmarkStart w:id="38" w:name="_Toc24884212"/>
      <w:r>
        <w:rPr>
          <w:rFonts w:hint="eastAsia"/>
        </w:rPr>
        <w:t>本文件规定了新能源汽车用注塑母排的材料要求、生产工艺要求、技术要求、试验方法、检验规则以及包装和运输的内容。</w:t>
      </w:r>
    </w:p>
    <w:p w14:paraId="3C8B79F3">
      <w:pPr>
        <w:pStyle w:val="56"/>
        <w:ind w:firstLine="420"/>
      </w:pPr>
      <w:r>
        <w:rPr>
          <w:rFonts w:hint="eastAsia"/>
        </w:rPr>
        <w:t>本文件适用于新能源汽车高压电气部件中使用的导电注塑母排。</w:t>
      </w:r>
    </w:p>
    <w:p w14:paraId="4DD22EED">
      <w:pPr>
        <w:pStyle w:val="104"/>
        <w:spacing w:before="240" w:after="240"/>
      </w:pPr>
      <w:bookmarkStart w:id="39" w:name="_Toc26718931"/>
      <w:bookmarkStart w:id="40" w:name="_Toc26986772"/>
      <w:bookmarkStart w:id="41" w:name="_Toc26986531"/>
      <w:bookmarkStart w:id="42" w:name="_Toc210890911"/>
      <w:bookmarkStart w:id="43" w:name="_Toc97192965"/>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56EC0AA4041C4070A96D5D1EA78BF5F3"/>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135F1729">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3576E1F">
      <w:pPr>
        <w:pStyle w:val="56"/>
        <w:ind w:firstLine="420"/>
      </w:pPr>
      <w:r>
        <w:rPr>
          <w:rFonts w:hint="eastAsia"/>
        </w:rPr>
        <w:t>GB/T 2423.17  电工电子产品环境试验 第2部分: 试验方法 试验Ka：盐雾</w:t>
      </w:r>
    </w:p>
    <w:p w14:paraId="723B53F5">
      <w:pPr>
        <w:pStyle w:val="56"/>
        <w:ind w:firstLine="420"/>
      </w:pPr>
      <w:r>
        <w:rPr>
          <w:rFonts w:hint="eastAsia"/>
        </w:rPr>
        <w:t>GB/T 2423.35  环境试验 第2部分：试验和导则 气候(温度、湿度)和动力学(振动、冲击)综合试验</w:t>
      </w:r>
    </w:p>
    <w:p w14:paraId="0C7DCC45">
      <w:pPr>
        <w:pStyle w:val="56"/>
        <w:ind w:firstLine="420"/>
      </w:pPr>
      <w:r>
        <w:rPr>
          <w:rFonts w:hint="eastAsia"/>
        </w:rPr>
        <w:t>GB/T 2900.10-2013  电工术语 电缆</w:t>
      </w:r>
    </w:p>
    <w:p w14:paraId="57F2B300">
      <w:pPr>
        <w:pStyle w:val="56"/>
        <w:ind w:firstLine="420"/>
      </w:pPr>
      <w:r>
        <w:rPr>
          <w:rFonts w:hint="eastAsia"/>
        </w:rPr>
        <w:t>GB/T 3956-2008  电缆的导体</w:t>
      </w:r>
    </w:p>
    <w:p w14:paraId="007E345E">
      <w:pPr>
        <w:pStyle w:val="56"/>
        <w:ind w:firstLine="420"/>
      </w:pPr>
      <w:r>
        <w:rPr>
          <w:rFonts w:hint="eastAsia"/>
        </w:rPr>
        <w:t>GB/T 5095.2-1997  电子设备用机电元件 基本试验规程及测量方法 第2部分:一般检查、电连续性和接触电阻测试、绝缘试验和电压应力试验</w:t>
      </w:r>
    </w:p>
    <w:p w14:paraId="568106B0">
      <w:pPr>
        <w:pStyle w:val="56"/>
        <w:ind w:firstLine="420"/>
      </w:pPr>
      <w:r>
        <w:rPr>
          <w:rFonts w:hint="eastAsia"/>
        </w:rPr>
        <w:t>GB/T 5095.3-1997  电子设备用机电元件 基本试验规程及测量方法 第3部分:载流容量试验</w:t>
      </w:r>
    </w:p>
    <w:p w14:paraId="325491D6">
      <w:pPr>
        <w:pStyle w:val="56"/>
        <w:ind w:firstLine="420"/>
      </w:pPr>
      <w:r>
        <w:rPr>
          <w:rFonts w:hint="eastAsia"/>
        </w:rPr>
        <w:t>GB/T 5095.5-1997  电子设备用机电元件 基本试验规程及测量方法 第5部分:撞击试验（自由元件）、静负荷试验（固定元件）、寿命试验和过负荷试验</w:t>
      </w:r>
    </w:p>
    <w:p w14:paraId="76801371">
      <w:pPr>
        <w:pStyle w:val="56"/>
        <w:ind w:firstLine="420"/>
      </w:pPr>
      <w:r>
        <w:rPr>
          <w:rFonts w:hint="eastAsia"/>
        </w:rPr>
        <w:t>GB/T 5231-2022  加工铜及铜合金牌号和化学成分</w:t>
      </w:r>
    </w:p>
    <w:p w14:paraId="762CF8DE">
      <w:pPr>
        <w:pStyle w:val="56"/>
        <w:ind w:firstLine="420"/>
      </w:pPr>
      <w:r>
        <w:rPr>
          <w:rFonts w:hint="eastAsia"/>
        </w:rPr>
        <w:t>GB/T 5585.1  电工用铜、铝及其合金母线 第1部分:铜和铜合金母线</w:t>
      </w:r>
    </w:p>
    <w:p w14:paraId="7E737636">
      <w:pPr>
        <w:pStyle w:val="56"/>
        <w:ind w:firstLine="420"/>
      </w:pPr>
      <w:r>
        <w:rPr>
          <w:rFonts w:hint="eastAsia"/>
        </w:rPr>
        <w:t>GB/T 28046.3  道路车辆 电气及电子设备的环境条件和试验 第3部分：机械负荷</w:t>
      </w:r>
    </w:p>
    <w:p w14:paraId="1A652648">
      <w:pPr>
        <w:pStyle w:val="56"/>
        <w:ind w:firstLine="420"/>
      </w:pPr>
      <w:r>
        <w:rPr>
          <w:rFonts w:hint="eastAsia"/>
        </w:rPr>
        <w:t>GB/T 28046.5  道路车辆 电气及电子设备的环境条件和试验 第5部分：化学负荷</w:t>
      </w:r>
    </w:p>
    <w:p w14:paraId="468AAA0A">
      <w:pPr>
        <w:pStyle w:val="56"/>
        <w:ind w:firstLine="420"/>
      </w:pPr>
      <w:r>
        <w:rPr>
          <w:rFonts w:hint="eastAsia"/>
        </w:rPr>
        <w:t>GB 38031-2020  电动汽车用动力蓄电池安全要求</w:t>
      </w:r>
    </w:p>
    <w:p w14:paraId="53172D9C">
      <w:pPr>
        <w:pStyle w:val="104"/>
        <w:spacing w:before="240" w:after="240"/>
      </w:pPr>
      <w:bookmarkStart w:id="44" w:name="_Toc97192966"/>
      <w:bookmarkStart w:id="45" w:name="_Toc210890912"/>
      <w:r>
        <w:rPr>
          <w:rFonts w:hint="eastAsia"/>
          <w:szCs w:val="21"/>
        </w:rPr>
        <w:t>术语和定义</w:t>
      </w:r>
      <w:bookmarkEnd w:id="44"/>
      <w:bookmarkEnd w:id="45"/>
    </w:p>
    <w:sdt>
      <w:sdtPr>
        <w:id w:val="-1909835108"/>
        <w:placeholder>
          <w:docPart w:val="EAF844F5239044378963083767721F4F"/>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3B3D9802">
          <w:pPr>
            <w:pStyle w:val="56"/>
            <w:ind w:firstLine="420"/>
          </w:pPr>
          <w:bookmarkStart w:id="46" w:name="_Toc26986532"/>
          <w:bookmarkEnd w:id="46"/>
          <w:r>
            <w:t>GB/T 2900.10-2013界定的以及下列术语和定义适用于本文件。</w:t>
          </w:r>
        </w:p>
      </w:sdtContent>
    </w:sdt>
    <w:p w14:paraId="44FD5281">
      <w:pPr>
        <w:pStyle w:val="223"/>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注塑母排 </w:t>
      </w:r>
      <w:r>
        <w:rPr>
          <w:rFonts w:ascii="黑体" w:hAnsi="黑体" w:eastAsia="黑体"/>
        </w:rPr>
        <w:t>injection molding busbars</w:t>
      </w:r>
    </w:p>
    <w:p w14:paraId="78B1F04B">
      <w:pPr>
        <w:pStyle w:val="56"/>
        <w:ind w:firstLine="420"/>
      </w:pPr>
      <w:r>
        <w:rPr>
          <w:rFonts w:hint="eastAsia"/>
        </w:rPr>
        <w:t>将铜排放入注塑模具，再将熔融的绝缘树脂高压注入模具，一次性包裹铜排，形成定制化绝缘外壳，用于传输电能的电气连接部件，适合高功率、高可靠性、紧凑布局的核心高压部件。</w:t>
      </w:r>
    </w:p>
    <w:p w14:paraId="0E8D2EB2">
      <w:pPr>
        <w:pStyle w:val="104"/>
        <w:spacing w:before="240" w:after="240"/>
      </w:pPr>
      <w:bookmarkStart w:id="47" w:name="_Toc210890913"/>
      <w:r>
        <w:rPr>
          <w:rFonts w:hint="eastAsia"/>
        </w:rPr>
        <w:t>材料要求</w:t>
      </w:r>
      <w:bookmarkEnd w:id="47"/>
    </w:p>
    <w:p w14:paraId="59451BFC">
      <w:pPr>
        <w:pStyle w:val="105"/>
        <w:spacing w:before="120" w:after="120"/>
      </w:pPr>
      <w:bookmarkStart w:id="48" w:name="_Toc210890914"/>
      <w:r>
        <w:rPr>
          <w:rFonts w:hint="eastAsia"/>
        </w:rPr>
        <w:t>铜材</w:t>
      </w:r>
      <w:bookmarkEnd w:id="48"/>
    </w:p>
    <w:p w14:paraId="3C55F740">
      <w:pPr>
        <w:pStyle w:val="165"/>
      </w:pPr>
      <w:r>
        <w:rPr>
          <w:rFonts w:hint="eastAsia"/>
        </w:rPr>
        <w:t>注塑母排用铜材应采用符合GB/T 5585.1以及GB/T</w:t>
      </w:r>
      <w:r>
        <w:t xml:space="preserve"> 5231-2022</w:t>
      </w:r>
      <w:r>
        <w:rPr>
          <w:rFonts w:hint="eastAsia"/>
        </w:rPr>
        <w:t>中T</w:t>
      </w:r>
      <w:r>
        <w:t>2</w:t>
      </w:r>
      <w:r>
        <w:rPr>
          <w:rFonts w:hint="eastAsia"/>
        </w:rPr>
        <w:t>号加工铜以及表1的规定。</w:t>
      </w:r>
    </w:p>
    <w:p w14:paraId="36A7215F">
      <w:pPr>
        <w:pStyle w:val="165"/>
      </w:pPr>
      <w:r>
        <w:rPr>
          <w:rFonts w:hint="eastAsia"/>
        </w:rPr>
        <w:t>电缆的导体应符合GB/T</w:t>
      </w:r>
      <w:r>
        <w:t xml:space="preserve"> 3956-2008</w:t>
      </w:r>
      <w:r>
        <w:rPr>
          <w:rFonts w:hint="eastAsia"/>
        </w:rPr>
        <w:t>规定的第1种、第2种导体的规定。</w:t>
      </w:r>
    </w:p>
    <w:p w14:paraId="39F412CD">
      <w:pPr>
        <w:pStyle w:val="112"/>
        <w:spacing w:before="120" w:after="120"/>
      </w:pPr>
      <w:r>
        <w:rPr>
          <w:rFonts w:hint="eastAsia"/>
        </w:rPr>
        <w:t>材料要求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4673"/>
        <w:gridCol w:w="4661"/>
      </w:tblGrid>
      <w:tr w14:paraId="5BA3D8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73" w:type="dxa"/>
            <w:tcBorders>
              <w:top w:val="single" w:color="auto" w:sz="8" w:space="0"/>
              <w:bottom w:val="single" w:color="auto" w:sz="4" w:space="0"/>
            </w:tcBorders>
            <w:shd w:val="clear" w:color="auto" w:fill="auto"/>
            <w:vAlign w:val="center"/>
          </w:tcPr>
          <w:p w14:paraId="5C370A43">
            <w:pPr>
              <w:pStyle w:val="178"/>
            </w:pPr>
            <w:r>
              <w:rPr>
                <w:rFonts w:hint="eastAsia"/>
              </w:rPr>
              <w:t>项目</w:t>
            </w:r>
          </w:p>
        </w:tc>
        <w:tc>
          <w:tcPr>
            <w:tcW w:w="4661" w:type="dxa"/>
            <w:tcBorders>
              <w:top w:val="single" w:color="auto" w:sz="8" w:space="0"/>
              <w:bottom w:val="single" w:color="auto" w:sz="4" w:space="0"/>
            </w:tcBorders>
            <w:shd w:val="clear" w:color="auto" w:fill="auto"/>
            <w:vAlign w:val="center"/>
          </w:tcPr>
          <w:p w14:paraId="46919F94">
            <w:pPr>
              <w:pStyle w:val="178"/>
            </w:pPr>
            <w:r>
              <w:rPr>
                <w:rFonts w:hint="eastAsia"/>
              </w:rPr>
              <w:t>指标</w:t>
            </w:r>
          </w:p>
        </w:tc>
      </w:tr>
    </w:tbl>
    <w:p w14:paraId="377D4162">
      <w:r>
        <w:br w:type="page"/>
      </w:r>
    </w:p>
    <w:p w14:paraId="112A070C">
      <w:pPr>
        <w:pStyle w:val="56"/>
        <w:pageBreakBefore/>
        <w:spacing w:before="120" w:beforeLines="50" w:after="120" w:afterLines="50"/>
        <w:ind w:firstLine="0" w:firstLineChars="0"/>
        <w:jc w:val="center"/>
        <w:rPr>
          <w:rFonts w:hint="eastAsia" w:hAnsi="宋体"/>
        </w:rPr>
      </w:pPr>
      <w:r>
        <w:rPr>
          <w:rFonts w:hint="eastAsia" w:ascii="黑体" w:hAnsi="黑体" w:eastAsia="黑体"/>
        </w:rPr>
        <w:t>表1  材料要求</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2336"/>
        <w:gridCol w:w="2337"/>
        <w:gridCol w:w="4661"/>
      </w:tblGrid>
      <w:tr w14:paraId="0DD6A7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73" w:type="dxa"/>
            <w:gridSpan w:val="2"/>
            <w:tcBorders>
              <w:top w:val="single" w:color="auto" w:sz="8" w:space="0"/>
              <w:bottom w:val="single" w:color="auto" w:sz="8" w:space="0"/>
            </w:tcBorders>
            <w:shd w:val="clear" w:color="auto" w:fill="auto"/>
            <w:vAlign w:val="center"/>
          </w:tcPr>
          <w:p w14:paraId="24031786">
            <w:pPr>
              <w:pStyle w:val="178"/>
            </w:pPr>
            <w:r>
              <w:rPr>
                <w:rFonts w:hint="eastAsia"/>
              </w:rPr>
              <w:t>项目</w:t>
            </w:r>
          </w:p>
        </w:tc>
        <w:tc>
          <w:tcPr>
            <w:tcW w:w="4661" w:type="dxa"/>
            <w:tcBorders>
              <w:top w:val="single" w:color="auto" w:sz="8" w:space="0"/>
              <w:bottom w:val="single" w:color="auto" w:sz="8" w:space="0"/>
            </w:tcBorders>
            <w:shd w:val="clear" w:color="auto" w:fill="auto"/>
            <w:vAlign w:val="center"/>
          </w:tcPr>
          <w:p w14:paraId="25AA3597">
            <w:pPr>
              <w:pStyle w:val="178"/>
            </w:pPr>
            <w:r>
              <w:rPr>
                <w:rFonts w:hint="eastAsia"/>
              </w:rPr>
              <w:t>指标</w:t>
            </w:r>
          </w:p>
        </w:tc>
      </w:tr>
      <w:tr w14:paraId="3DDC8E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2336" w:type="dxa"/>
            <w:vMerge w:val="restart"/>
            <w:tcBorders>
              <w:top w:val="single" w:color="auto" w:sz="4" w:space="0"/>
            </w:tcBorders>
            <w:shd w:val="clear" w:color="auto" w:fill="auto"/>
            <w:vAlign w:val="center"/>
          </w:tcPr>
          <w:p w14:paraId="6CA60A34">
            <w:pPr>
              <w:pStyle w:val="178"/>
            </w:pPr>
            <w:r>
              <w:rPr>
                <w:rFonts w:hint="eastAsia"/>
              </w:rPr>
              <w:t>导电率,</w:t>
            </w:r>
            <w:r>
              <w:t> </w:t>
            </w:r>
            <w:r>
              <w:rPr>
                <w:rFonts w:hint="eastAsia"/>
              </w:rPr>
              <w:t>%</w:t>
            </w:r>
            <w:r>
              <w:t xml:space="preserve"> </w:t>
            </w:r>
            <w:r>
              <w:rPr>
                <w:rFonts w:hint="eastAsia"/>
              </w:rPr>
              <w:t>IACS</w:t>
            </w:r>
          </w:p>
        </w:tc>
        <w:tc>
          <w:tcPr>
            <w:tcW w:w="2337" w:type="dxa"/>
            <w:tcBorders>
              <w:top w:val="single" w:color="auto" w:sz="4" w:space="0"/>
            </w:tcBorders>
            <w:shd w:val="clear" w:color="auto" w:fill="auto"/>
            <w:vAlign w:val="center"/>
          </w:tcPr>
          <w:p w14:paraId="37B715ED">
            <w:pPr>
              <w:pStyle w:val="178"/>
            </w:pPr>
            <w:r>
              <w:rPr>
                <w:rFonts w:hint="eastAsia"/>
              </w:rPr>
              <w:t>铜排</w:t>
            </w:r>
          </w:p>
        </w:tc>
        <w:tc>
          <w:tcPr>
            <w:tcW w:w="4661" w:type="dxa"/>
            <w:tcBorders>
              <w:top w:val="single" w:color="auto" w:sz="4" w:space="0"/>
            </w:tcBorders>
            <w:shd w:val="clear" w:color="auto" w:fill="auto"/>
            <w:vAlign w:val="center"/>
          </w:tcPr>
          <w:p w14:paraId="05D0FF3E">
            <w:pPr>
              <w:pStyle w:val="178"/>
            </w:pPr>
            <w:r>
              <w:rPr>
                <w:rFonts w:hint="eastAsia"/>
              </w:rPr>
              <w:t>≥9</w:t>
            </w:r>
            <w:r>
              <w:t>8</w:t>
            </w:r>
          </w:p>
        </w:tc>
      </w:tr>
      <w:tr w14:paraId="1FF08D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2336" w:type="dxa"/>
            <w:vMerge w:val="continue"/>
            <w:shd w:val="clear" w:color="auto" w:fill="auto"/>
            <w:vAlign w:val="center"/>
          </w:tcPr>
          <w:p w14:paraId="1D22A0EB">
            <w:pPr>
              <w:pStyle w:val="178"/>
            </w:pPr>
          </w:p>
        </w:tc>
        <w:tc>
          <w:tcPr>
            <w:tcW w:w="2337" w:type="dxa"/>
            <w:tcBorders>
              <w:top w:val="single" w:color="auto" w:sz="8" w:space="0"/>
            </w:tcBorders>
            <w:shd w:val="clear" w:color="auto" w:fill="auto"/>
            <w:vAlign w:val="center"/>
          </w:tcPr>
          <w:p w14:paraId="1FAE7A1A">
            <w:pPr>
              <w:pStyle w:val="178"/>
            </w:pPr>
            <w:r>
              <w:rPr>
                <w:rFonts w:hint="eastAsia"/>
              </w:rPr>
              <w:t>铝排</w:t>
            </w:r>
          </w:p>
        </w:tc>
        <w:tc>
          <w:tcPr>
            <w:tcW w:w="4661" w:type="dxa"/>
            <w:shd w:val="clear" w:color="auto" w:fill="auto"/>
            <w:vAlign w:val="center"/>
          </w:tcPr>
          <w:p w14:paraId="038EFF9B">
            <w:pPr>
              <w:pStyle w:val="178"/>
            </w:pPr>
            <w:r>
              <w:rPr>
                <w:rFonts w:hint="eastAsia"/>
              </w:rPr>
              <w:t>≥5</w:t>
            </w:r>
            <w:r>
              <w:t>9</w:t>
            </w:r>
          </w:p>
        </w:tc>
      </w:tr>
      <w:tr w14:paraId="66FFDA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2336" w:type="dxa"/>
            <w:vMerge w:val="restart"/>
            <w:shd w:val="clear" w:color="auto" w:fill="auto"/>
            <w:vAlign w:val="center"/>
          </w:tcPr>
          <w:p w14:paraId="341C3610">
            <w:pPr>
              <w:pStyle w:val="178"/>
            </w:pPr>
            <w:r>
              <w:rPr>
                <w:rFonts w:hint="eastAsia"/>
              </w:rPr>
              <w:t>镀镍层</w:t>
            </w:r>
          </w:p>
        </w:tc>
        <w:tc>
          <w:tcPr>
            <w:tcW w:w="2337" w:type="dxa"/>
            <w:shd w:val="clear" w:color="auto" w:fill="auto"/>
            <w:vAlign w:val="center"/>
          </w:tcPr>
          <w:p w14:paraId="13C944D2">
            <w:pPr>
              <w:pStyle w:val="178"/>
            </w:pPr>
            <w:r>
              <w:rPr>
                <w:rFonts w:hint="eastAsia"/>
              </w:rPr>
              <w:t>盐雾试验</w:t>
            </w:r>
          </w:p>
        </w:tc>
        <w:tc>
          <w:tcPr>
            <w:tcW w:w="4661" w:type="dxa"/>
            <w:shd w:val="clear" w:color="auto" w:fill="auto"/>
            <w:vAlign w:val="center"/>
          </w:tcPr>
          <w:p w14:paraId="2B61EE4D">
            <w:pPr>
              <w:pStyle w:val="178"/>
            </w:pPr>
            <w:r>
              <w:rPr>
                <w:rFonts w:hint="eastAsia"/>
              </w:rPr>
              <w:t>9</w:t>
            </w:r>
            <w:r>
              <w:t>6 h</w:t>
            </w:r>
            <w:r>
              <w:rPr>
                <w:rFonts w:hint="eastAsia"/>
              </w:rPr>
              <w:t>后无红锈</w:t>
            </w:r>
          </w:p>
        </w:tc>
      </w:tr>
      <w:tr w14:paraId="3F6644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2336" w:type="dxa"/>
            <w:vMerge w:val="continue"/>
            <w:shd w:val="clear" w:color="auto" w:fill="auto"/>
            <w:vAlign w:val="center"/>
          </w:tcPr>
          <w:p w14:paraId="7C0E572A">
            <w:pPr>
              <w:pStyle w:val="178"/>
              <w:rPr>
                <w:color w:val="FF0000"/>
              </w:rPr>
            </w:pPr>
          </w:p>
        </w:tc>
        <w:tc>
          <w:tcPr>
            <w:tcW w:w="2337" w:type="dxa"/>
            <w:shd w:val="clear" w:color="auto" w:fill="auto"/>
            <w:vAlign w:val="center"/>
          </w:tcPr>
          <w:p w14:paraId="46C38270">
            <w:pPr>
              <w:pStyle w:val="178"/>
            </w:pPr>
            <w:r>
              <w:rPr>
                <w:rFonts w:hint="eastAsia"/>
              </w:rPr>
              <w:t>厚度，μ</w:t>
            </w:r>
            <w:r>
              <w:t>m</w:t>
            </w:r>
          </w:p>
        </w:tc>
        <w:tc>
          <w:tcPr>
            <w:tcW w:w="4661" w:type="dxa"/>
            <w:shd w:val="clear" w:color="auto" w:fill="auto"/>
            <w:vAlign w:val="center"/>
          </w:tcPr>
          <w:p w14:paraId="556FDC60">
            <w:pPr>
              <w:pStyle w:val="178"/>
            </w:pPr>
            <w:r>
              <w:rPr>
                <w:rFonts w:hint="eastAsia"/>
              </w:rPr>
              <w:t>3</w:t>
            </w:r>
            <w:r>
              <w:t>5</w:t>
            </w:r>
          </w:p>
        </w:tc>
      </w:tr>
      <w:tr w14:paraId="2CA70F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2336" w:type="dxa"/>
            <w:vMerge w:val="restart"/>
            <w:shd w:val="clear" w:color="auto" w:fill="auto"/>
            <w:vAlign w:val="center"/>
          </w:tcPr>
          <w:p w14:paraId="130EDF24">
            <w:pPr>
              <w:pStyle w:val="178"/>
              <w:rPr>
                <w:color w:val="FF0000"/>
              </w:rPr>
            </w:pPr>
            <w:r>
              <w:rPr>
                <w:rFonts w:hint="eastAsia"/>
              </w:rPr>
              <w:t>抗拉强度</w:t>
            </w:r>
            <w:r>
              <w:t> ,MPa</w:t>
            </w:r>
          </w:p>
        </w:tc>
        <w:tc>
          <w:tcPr>
            <w:tcW w:w="2337" w:type="dxa"/>
            <w:shd w:val="clear" w:color="auto" w:fill="auto"/>
            <w:vAlign w:val="center"/>
          </w:tcPr>
          <w:p w14:paraId="0079308F">
            <w:pPr>
              <w:pStyle w:val="178"/>
            </w:pPr>
            <w:r>
              <w:rPr>
                <w:rFonts w:hint="eastAsia"/>
              </w:rPr>
              <w:t>铜排</w:t>
            </w:r>
          </w:p>
        </w:tc>
        <w:tc>
          <w:tcPr>
            <w:tcW w:w="4661" w:type="dxa"/>
            <w:shd w:val="clear" w:color="auto" w:fill="auto"/>
            <w:vAlign w:val="center"/>
          </w:tcPr>
          <w:p w14:paraId="444881C4">
            <w:pPr>
              <w:pStyle w:val="178"/>
            </w:pPr>
            <w:r>
              <w:rPr>
                <w:rFonts w:hint="eastAsia"/>
              </w:rPr>
              <w:t>≥2</w:t>
            </w:r>
            <w:r>
              <w:t>00</w:t>
            </w:r>
          </w:p>
        </w:tc>
      </w:tr>
      <w:tr w14:paraId="7274C9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2336" w:type="dxa"/>
            <w:vMerge w:val="continue"/>
            <w:shd w:val="clear" w:color="auto" w:fill="auto"/>
            <w:vAlign w:val="center"/>
          </w:tcPr>
          <w:p w14:paraId="4A341CCD">
            <w:pPr>
              <w:pStyle w:val="178"/>
              <w:rPr>
                <w:color w:val="FF0000"/>
              </w:rPr>
            </w:pPr>
          </w:p>
        </w:tc>
        <w:tc>
          <w:tcPr>
            <w:tcW w:w="2337" w:type="dxa"/>
            <w:shd w:val="clear" w:color="auto" w:fill="auto"/>
            <w:vAlign w:val="center"/>
          </w:tcPr>
          <w:p w14:paraId="28D7851F">
            <w:pPr>
              <w:pStyle w:val="178"/>
            </w:pPr>
            <w:r>
              <w:rPr>
                <w:rFonts w:hint="eastAsia"/>
              </w:rPr>
              <w:t>铝排</w:t>
            </w:r>
          </w:p>
        </w:tc>
        <w:tc>
          <w:tcPr>
            <w:tcW w:w="4661" w:type="dxa"/>
            <w:shd w:val="clear" w:color="auto" w:fill="auto"/>
            <w:vAlign w:val="center"/>
          </w:tcPr>
          <w:p w14:paraId="6F1ACE9A">
            <w:pPr>
              <w:pStyle w:val="178"/>
            </w:pPr>
            <w:r>
              <w:rPr>
                <w:rFonts w:hint="eastAsia"/>
              </w:rPr>
              <w:t>≥1</w:t>
            </w:r>
            <w:r>
              <w:t>10</w:t>
            </w:r>
          </w:p>
        </w:tc>
      </w:tr>
      <w:tr w14:paraId="2CFB58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4673" w:type="dxa"/>
            <w:gridSpan w:val="2"/>
            <w:shd w:val="clear" w:color="auto" w:fill="auto"/>
            <w:vAlign w:val="center"/>
          </w:tcPr>
          <w:p w14:paraId="2002CCC6">
            <w:pPr>
              <w:pStyle w:val="178"/>
            </w:pPr>
            <w:r>
              <w:rPr>
                <w:rFonts w:hint="eastAsia"/>
              </w:rPr>
              <w:t>折弯半径</w:t>
            </w:r>
          </w:p>
        </w:tc>
        <w:tc>
          <w:tcPr>
            <w:tcW w:w="4661" w:type="dxa"/>
            <w:shd w:val="clear" w:color="auto" w:fill="auto"/>
            <w:vAlign w:val="center"/>
          </w:tcPr>
          <w:p w14:paraId="26768C91">
            <w:pPr>
              <w:pStyle w:val="178"/>
            </w:pPr>
            <w:r>
              <w:rPr>
                <w:rFonts w:hint="eastAsia"/>
              </w:rPr>
              <w:t>≥2倍厚度（R角无裂纹）</w:t>
            </w:r>
          </w:p>
        </w:tc>
      </w:tr>
    </w:tbl>
    <w:p w14:paraId="68FE7786">
      <w:pPr>
        <w:pStyle w:val="105"/>
        <w:spacing w:before="120" w:after="120"/>
      </w:pPr>
      <w:bookmarkStart w:id="49" w:name="_Toc210890915"/>
      <w:r>
        <w:rPr>
          <w:rFonts w:hint="eastAsia"/>
        </w:rPr>
        <w:t>注塑材料</w:t>
      </w:r>
      <w:bookmarkEnd w:id="49"/>
    </w:p>
    <w:p w14:paraId="470EF6F6">
      <w:pPr>
        <w:pStyle w:val="56"/>
        <w:ind w:firstLine="420"/>
      </w:pPr>
      <w:r>
        <w:rPr>
          <w:rFonts w:hint="eastAsia"/>
        </w:rPr>
        <w:t>注塑材料要求应符合表2的规定。</w:t>
      </w:r>
    </w:p>
    <w:p w14:paraId="2719A688">
      <w:pPr>
        <w:pStyle w:val="112"/>
        <w:spacing w:before="120" w:after="120"/>
      </w:pPr>
      <w:r>
        <w:rPr>
          <w:rFonts w:hint="eastAsia"/>
        </w:rPr>
        <w:t>注塑材料要求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5360"/>
        <w:gridCol w:w="3974"/>
      </w:tblGrid>
      <w:tr w14:paraId="44DC84F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5360" w:type="dxa"/>
            <w:tcBorders>
              <w:top w:val="single" w:color="auto" w:sz="8" w:space="0"/>
              <w:bottom w:val="single" w:color="auto" w:sz="8" w:space="0"/>
            </w:tcBorders>
            <w:shd w:val="clear" w:color="auto" w:fill="auto"/>
            <w:vAlign w:val="center"/>
          </w:tcPr>
          <w:p w14:paraId="4DB7DAF6">
            <w:pPr>
              <w:pStyle w:val="178"/>
            </w:pPr>
            <w:r>
              <w:rPr>
                <w:rFonts w:hint="eastAsia"/>
              </w:rPr>
              <w:t>项目</w:t>
            </w:r>
          </w:p>
        </w:tc>
        <w:tc>
          <w:tcPr>
            <w:tcW w:w="3974" w:type="dxa"/>
            <w:tcBorders>
              <w:top w:val="single" w:color="auto" w:sz="8" w:space="0"/>
              <w:bottom w:val="single" w:color="auto" w:sz="8" w:space="0"/>
            </w:tcBorders>
            <w:shd w:val="clear" w:color="auto" w:fill="auto"/>
            <w:vAlign w:val="center"/>
          </w:tcPr>
          <w:p w14:paraId="2157EAEF">
            <w:pPr>
              <w:pStyle w:val="178"/>
            </w:pPr>
            <w:r>
              <w:rPr>
                <w:rFonts w:hint="eastAsia"/>
              </w:rPr>
              <w:t>指标</w:t>
            </w:r>
          </w:p>
        </w:tc>
      </w:tr>
      <w:tr w14:paraId="09815F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360" w:type="dxa"/>
            <w:tcBorders>
              <w:top w:val="single" w:color="auto" w:sz="8" w:space="0"/>
            </w:tcBorders>
            <w:shd w:val="clear" w:color="auto" w:fill="auto"/>
            <w:vAlign w:val="center"/>
          </w:tcPr>
          <w:p w14:paraId="5AE54BF9">
            <w:pPr>
              <w:pStyle w:val="178"/>
            </w:pPr>
            <w:r>
              <w:rPr>
                <w:rFonts w:hint="eastAsia"/>
              </w:rPr>
              <w:t>绝缘电阻，</w:t>
            </w:r>
            <w:r>
              <w:t>MΩ</w:t>
            </w:r>
          </w:p>
        </w:tc>
        <w:tc>
          <w:tcPr>
            <w:tcW w:w="3974" w:type="dxa"/>
            <w:tcBorders>
              <w:top w:val="single" w:color="auto" w:sz="8" w:space="0"/>
            </w:tcBorders>
            <w:shd w:val="clear" w:color="auto" w:fill="auto"/>
            <w:vAlign w:val="center"/>
          </w:tcPr>
          <w:p w14:paraId="29A0664D">
            <w:pPr>
              <w:pStyle w:val="178"/>
            </w:pPr>
            <w:r>
              <w:rPr>
                <w:rFonts w:hint="eastAsia"/>
              </w:rPr>
              <w:t>≥1</w:t>
            </w:r>
            <w:r>
              <w:t>00</w:t>
            </w:r>
          </w:p>
        </w:tc>
      </w:tr>
      <w:tr w14:paraId="5C243FB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360" w:type="dxa"/>
            <w:shd w:val="clear" w:color="auto" w:fill="auto"/>
            <w:vAlign w:val="center"/>
          </w:tcPr>
          <w:p w14:paraId="41DECC1B">
            <w:pPr>
              <w:pStyle w:val="178"/>
            </w:pPr>
            <w:r>
              <w:rPr>
                <w:rFonts w:hint="eastAsia"/>
              </w:rPr>
              <w:t>绝缘层耐压等级</w:t>
            </w:r>
          </w:p>
        </w:tc>
        <w:tc>
          <w:tcPr>
            <w:tcW w:w="3974" w:type="dxa"/>
            <w:shd w:val="clear" w:color="auto" w:fill="auto"/>
            <w:vAlign w:val="center"/>
          </w:tcPr>
          <w:p w14:paraId="1B490A7E">
            <w:pPr>
              <w:pStyle w:val="178"/>
            </w:pPr>
            <w:r>
              <w:rPr>
                <w:rFonts w:hint="eastAsia"/>
              </w:rPr>
              <w:t>AC</w:t>
            </w:r>
            <w:r>
              <w:t xml:space="preserve"> 5000 </w:t>
            </w:r>
            <w:r>
              <w:rPr>
                <w:rFonts w:hint="eastAsia"/>
              </w:rPr>
              <w:t>V</w:t>
            </w:r>
            <w:r>
              <w:t>/60 s</w:t>
            </w:r>
          </w:p>
        </w:tc>
      </w:tr>
      <w:tr w14:paraId="6C7BB6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360" w:type="dxa"/>
            <w:shd w:val="clear" w:color="auto" w:fill="auto"/>
            <w:vAlign w:val="center"/>
          </w:tcPr>
          <w:p w14:paraId="75AD354E">
            <w:pPr>
              <w:pStyle w:val="178"/>
            </w:pPr>
            <w:r>
              <w:rPr>
                <w:rFonts w:hint="eastAsia"/>
              </w:rPr>
              <w:t>阻燃等级</w:t>
            </w:r>
          </w:p>
        </w:tc>
        <w:tc>
          <w:tcPr>
            <w:tcW w:w="3974" w:type="dxa"/>
            <w:shd w:val="clear" w:color="auto" w:fill="auto"/>
            <w:vAlign w:val="center"/>
          </w:tcPr>
          <w:p w14:paraId="10E2EBC6">
            <w:pPr>
              <w:pStyle w:val="178"/>
            </w:pPr>
            <w:r>
              <w:rPr>
                <w:rFonts w:hint="eastAsia"/>
              </w:rPr>
              <w:t>V0（1</w:t>
            </w:r>
            <w:r>
              <w:t>.5mm</w:t>
            </w:r>
            <w:r>
              <w:rPr>
                <w:rFonts w:hint="eastAsia"/>
              </w:rPr>
              <w:t>）</w:t>
            </w:r>
          </w:p>
        </w:tc>
      </w:tr>
      <w:tr w14:paraId="27479F1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360" w:type="dxa"/>
            <w:shd w:val="clear" w:color="auto" w:fill="auto"/>
            <w:vAlign w:val="center"/>
          </w:tcPr>
          <w:p w14:paraId="6124FA62">
            <w:pPr>
              <w:pStyle w:val="178"/>
            </w:pPr>
            <w:r>
              <w:rPr>
                <w:rFonts w:hint="eastAsia"/>
              </w:rPr>
              <w:t>热变形温度（HDT）</w:t>
            </w:r>
            <w:r>
              <w:t> ,</w:t>
            </w:r>
            <w:r>
              <w:rPr>
                <w:rFonts w:hint="eastAsia"/>
              </w:rPr>
              <w:t>℃（1.</w:t>
            </w:r>
            <w:r>
              <w:t>82 MPa</w:t>
            </w:r>
            <w:r>
              <w:rPr>
                <w:rFonts w:hint="eastAsia"/>
              </w:rPr>
              <w:t>载荷）</w:t>
            </w:r>
          </w:p>
        </w:tc>
        <w:tc>
          <w:tcPr>
            <w:tcW w:w="3974" w:type="dxa"/>
            <w:shd w:val="clear" w:color="auto" w:fill="auto"/>
            <w:vAlign w:val="center"/>
          </w:tcPr>
          <w:p w14:paraId="62A6779D">
            <w:pPr>
              <w:pStyle w:val="178"/>
            </w:pPr>
            <w:r>
              <w:rPr>
                <w:rFonts w:hint="eastAsia"/>
              </w:rPr>
              <w:t>≥1</w:t>
            </w:r>
            <w:r>
              <w:t>50</w:t>
            </w:r>
          </w:p>
        </w:tc>
      </w:tr>
      <w:tr w14:paraId="0A88E1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360" w:type="dxa"/>
            <w:shd w:val="clear" w:color="auto" w:fill="auto"/>
            <w:vAlign w:val="center"/>
          </w:tcPr>
          <w:p w14:paraId="1A0E4921">
            <w:pPr>
              <w:pStyle w:val="178"/>
            </w:pPr>
            <w:r>
              <w:rPr>
                <w:rFonts w:hint="eastAsia"/>
              </w:rPr>
              <w:t>相对漏电起痕指数，V</w:t>
            </w:r>
          </w:p>
        </w:tc>
        <w:tc>
          <w:tcPr>
            <w:tcW w:w="3974" w:type="dxa"/>
            <w:shd w:val="clear" w:color="auto" w:fill="auto"/>
            <w:vAlign w:val="center"/>
          </w:tcPr>
          <w:p w14:paraId="3118412B">
            <w:pPr>
              <w:pStyle w:val="178"/>
            </w:pPr>
            <w:r>
              <w:rPr>
                <w:rFonts w:hint="eastAsia"/>
              </w:rPr>
              <w:t>≥6</w:t>
            </w:r>
            <w:r>
              <w:t>00</w:t>
            </w:r>
          </w:p>
        </w:tc>
      </w:tr>
      <w:tr w14:paraId="13CBBFB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360" w:type="dxa"/>
            <w:shd w:val="clear" w:color="auto" w:fill="auto"/>
            <w:vAlign w:val="center"/>
          </w:tcPr>
          <w:p w14:paraId="01AF4C7D">
            <w:pPr>
              <w:pStyle w:val="178"/>
            </w:pPr>
            <w:r>
              <w:rPr>
                <w:rFonts w:hint="eastAsia"/>
              </w:rPr>
              <w:t>耐电解液后拉伸强度保留率（EC:DMC=</w:t>
            </w:r>
            <w:r>
              <w:t>1</w:t>
            </w:r>
            <w:r>
              <w:rPr>
                <w:rFonts w:hint="eastAsia"/>
              </w:rPr>
              <w:t>：1，混合液7</w:t>
            </w:r>
            <w:r>
              <w:t>0 </w:t>
            </w:r>
            <w:r>
              <w:rPr>
                <w:rFonts w:hint="eastAsia"/>
              </w:rPr>
              <w:t>℃×7</w:t>
            </w:r>
            <w:r>
              <w:t>20 h</w:t>
            </w:r>
            <w:r>
              <w:rPr>
                <w:rFonts w:hint="eastAsia"/>
              </w:rPr>
              <w:t>）,</w:t>
            </w:r>
            <w:r>
              <w:t>%</w:t>
            </w:r>
          </w:p>
        </w:tc>
        <w:tc>
          <w:tcPr>
            <w:tcW w:w="3974" w:type="dxa"/>
            <w:shd w:val="clear" w:color="auto" w:fill="auto"/>
            <w:vAlign w:val="center"/>
          </w:tcPr>
          <w:p w14:paraId="3D16190C">
            <w:pPr>
              <w:pStyle w:val="178"/>
            </w:pPr>
            <w:r>
              <w:rPr>
                <w:rFonts w:hint="eastAsia"/>
              </w:rPr>
              <w:t>≥8</w:t>
            </w:r>
            <w:r>
              <w:t>5</w:t>
            </w:r>
          </w:p>
        </w:tc>
      </w:tr>
      <w:tr w14:paraId="7DEEA5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5360" w:type="dxa"/>
            <w:shd w:val="clear" w:color="auto" w:fill="auto"/>
            <w:vAlign w:val="center"/>
          </w:tcPr>
          <w:p w14:paraId="3B0E60B4">
            <w:pPr>
              <w:pStyle w:val="178"/>
            </w:pPr>
            <w:r>
              <w:rPr>
                <w:rFonts w:hint="eastAsia"/>
              </w:rPr>
              <w:t>湿热老化后CTI下降</w:t>
            </w:r>
            <w:r>
              <w:t> </w:t>
            </w:r>
            <w:r>
              <w:rPr>
                <w:rFonts w:hint="eastAsia"/>
              </w:rPr>
              <w:t>（8</w:t>
            </w:r>
            <w:r>
              <w:t>5 </w:t>
            </w:r>
            <w:r>
              <w:rPr>
                <w:rFonts w:hint="eastAsia"/>
              </w:rPr>
              <w:t>℃/</w:t>
            </w:r>
            <w:r>
              <w:t>85 %RH</w:t>
            </w:r>
            <w:r>
              <w:rPr>
                <w:rFonts w:hint="eastAsia"/>
              </w:rPr>
              <w:t>×1</w:t>
            </w:r>
            <w:r>
              <w:t>000 h</w:t>
            </w:r>
            <w:r>
              <w:rPr>
                <w:rFonts w:hint="eastAsia"/>
              </w:rPr>
              <w:t>）,%</w:t>
            </w:r>
          </w:p>
        </w:tc>
        <w:tc>
          <w:tcPr>
            <w:tcW w:w="3974" w:type="dxa"/>
            <w:shd w:val="clear" w:color="auto" w:fill="auto"/>
            <w:vAlign w:val="center"/>
          </w:tcPr>
          <w:p w14:paraId="31A0B93A">
            <w:pPr>
              <w:pStyle w:val="178"/>
            </w:pPr>
            <w:r>
              <w:rPr>
                <w:rFonts w:hint="eastAsia"/>
              </w:rPr>
              <w:t>≤1</w:t>
            </w:r>
            <w:r>
              <w:t>0</w:t>
            </w:r>
          </w:p>
        </w:tc>
      </w:tr>
    </w:tbl>
    <w:p w14:paraId="6C6A07CD">
      <w:pPr>
        <w:pStyle w:val="105"/>
        <w:spacing w:before="120" w:after="120"/>
      </w:pPr>
      <w:bookmarkStart w:id="50" w:name="_Toc210890916"/>
      <w:r>
        <w:rPr>
          <w:rFonts w:hint="eastAsia"/>
        </w:rPr>
        <w:t>结构</w:t>
      </w:r>
      <w:bookmarkEnd w:id="50"/>
    </w:p>
    <w:p w14:paraId="508186DA">
      <w:pPr>
        <w:pStyle w:val="165"/>
      </w:pPr>
      <w:r>
        <w:rPr>
          <w:rFonts w:hint="eastAsia"/>
        </w:rPr>
        <w:t>固定孔（≥φ2</w:t>
      </w:r>
      <w:r>
        <w:t>mm</w:t>
      </w:r>
      <w:r>
        <w:rPr>
          <w:rFonts w:hint="eastAsia"/>
        </w:rPr>
        <w:t>）与弧凸部应增强设计，支架导体结合材料剥离力≥5</w:t>
      </w:r>
      <w:r>
        <w:t>0</w:t>
      </w:r>
      <w:r>
        <w:rPr>
          <w:rFonts w:hint="eastAsia"/>
        </w:rPr>
        <w:t>N/cm。</w:t>
      </w:r>
    </w:p>
    <w:p w14:paraId="5BB4BBBB">
      <w:pPr>
        <w:pStyle w:val="165"/>
      </w:pPr>
      <w:r>
        <w:rPr>
          <w:rFonts w:hint="eastAsia"/>
        </w:rPr>
        <w:t>注塑母排与电池接触面应预设导热通道，导热硅脂填充率应不小于9</w:t>
      </w:r>
      <w:r>
        <w:t>0</w:t>
      </w:r>
      <w:r>
        <w:rPr>
          <w:rFonts w:hint="eastAsia"/>
        </w:rPr>
        <w:t>%，热阻≤1</w:t>
      </w:r>
      <w:r>
        <w:t>.5</w:t>
      </w:r>
      <w:r>
        <w:rPr>
          <w:rFonts w:hint="eastAsia"/>
        </w:rPr>
        <w:t>℃/W。</w:t>
      </w:r>
    </w:p>
    <w:p w14:paraId="572D1317">
      <w:pPr>
        <w:pStyle w:val="165"/>
      </w:pPr>
      <w:r>
        <w:rPr>
          <w:rFonts w:hint="eastAsia"/>
        </w:rPr>
        <w:t>云母带绕包角度4</w:t>
      </w:r>
      <w:r>
        <w:t>5</w:t>
      </w:r>
      <w:r>
        <w:rPr>
          <w:rFonts w:hint="eastAsia"/>
        </w:rPr>
        <w:t>°，云母防火带9</w:t>
      </w:r>
      <w:r>
        <w:t>50 </w:t>
      </w:r>
      <w:r>
        <w:rPr>
          <w:rFonts w:hint="eastAsia"/>
        </w:rPr>
        <w:t>℃，火焰耐受≥3</w:t>
      </w:r>
      <w:r>
        <w:t>0 min</w:t>
      </w:r>
      <w:r>
        <w:rPr>
          <w:rFonts w:hint="eastAsia"/>
        </w:rPr>
        <w:t>。</w:t>
      </w:r>
    </w:p>
    <w:p w14:paraId="48BC2FC7">
      <w:pPr>
        <w:pStyle w:val="165"/>
      </w:pPr>
      <w:r>
        <w:rPr>
          <w:rFonts w:hint="eastAsia"/>
        </w:rPr>
        <w:t>搭接长度3</w:t>
      </w:r>
      <w:r>
        <w:t>5mm</w:t>
      </w:r>
      <w:r>
        <w:rPr>
          <w:rFonts w:hint="eastAsia"/>
        </w:rPr>
        <w:t>。</w:t>
      </w:r>
    </w:p>
    <w:p w14:paraId="23255F5C">
      <w:pPr>
        <w:pStyle w:val="104"/>
        <w:spacing w:before="240" w:after="240"/>
      </w:pPr>
      <w:bookmarkStart w:id="51" w:name="_Toc210890917"/>
      <w:r>
        <w:rPr>
          <w:rFonts w:hint="eastAsia"/>
        </w:rPr>
        <w:t>生产工艺要求</w:t>
      </w:r>
      <w:bookmarkEnd w:id="51"/>
    </w:p>
    <w:p w14:paraId="4F3F27BB">
      <w:pPr>
        <w:pStyle w:val="105"/>
        <w:spacing w:before="120" w:after="120"/>
      </w:pPr>
      <w:bookmarkStart w:id="52" w:name="_Toc210890918"/>
      <w:r>
        <w:rPr>
          <w:rFonts w:hint="eastAsia"/>
        </w:rPr>
        <w:t>成型工艺技术要求</w:t>
      </w:r>
      <w:bookmarkEnd w:id="52"/>
    </w:p>
    <w:p w14:paraId="422C8437">
      <w:pPr>
        <w:pStyle w:val="56"/>
        <w:ind w:firstLine="420"/>
      </w:pPr>
      <w:r>
        <w:rPr>
          <w:rFonts w:hint="eastAsia"/>
        </w:rPr>
        <w:t>成型工艺参数应符合表3的规定。</w:t>
      </w:r>
    </w:p>
    <w:p w14:paraId="5CD70A79">
      <w:pPr>
        <w:pStyle w:val="112"/>
        <w:spacing w:before="120" w:after="120"/>
      </w:pPr>
      <w:r>
        <w:rPr>
          <w:rFonts w:hint="eastAsia"/>
        </w:rPr>
        <w:t>成型工艺参数要求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347"/>
        <w:gridCol w:w="1803"/>
        <w:gridCol w:w="1803"/>
        <w:gridCol w:w="4381"/>
      </w:tblGrid>
      <w:tr w14:paraId="24A521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953" w:type="dxa"/>
            <w:gridSpan w:val="3"/>
            <w:tcBorders>
              <w:top w:val="single" w:color="auto" w:sz="8" w:space="0"/>
              <w:bottom w:val="single" w:color="auto" w:sz="8" w:space="0"/>
            </w:tcBorders>
            <w:shd w:val="clear" w:color="auto" w:fill="auto"/>
            <w:vAlign w:val="center"/>
          </w:tcPr>
          <w:p w14:paraId="2F578C5B">
            <w:pPr>
              <w:pStyle w:val="178"/>
            </w:pPr>
            <w:r>
              <w:rPr>
                <w:rFonts w:hint="eastAsia"/>
              </w:rPr>
              <w:t>项目</w:t>
            </w:r>
          </w:p>
        </w:tc>
        <w:tc>
          <w:tcPr>
            <w:tcW w:w="4381" w:type="dxa"/>
            <w:tcBorders>
              <w:top w:val="single" w:color="auto" w:sz="8" w:space="0"/>
              <w:bottom w:val="single" w:color="auto" w:sz="8" w:space="0"/>
            </w:tcBorders>
            <w:shd w:val="clear" w:color="auto" w:fill="auto"/>
            <w:vAlign w:val="center"/>
          </w:tcPr>
          <w:p w14:paraId="4CB05B23">
            <w:pPr>
              <w:pStyle w:val="178"/>
            </w:pPr>
            <w:r>
              <w:rPr>
                <w:rFonts w:hint="eastAsia"/>
              </w:rPr>
              <w:t>参数</w:t>
            </w:r>
          </w:p>
        </w:tc>
      </w:tr>
      <w:tr w14:paraId="3D634D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9" w:hRule="atLeast"/>
          <w:jc w:val="center"/>
        </w:trPr>
        <w:tc>
          <w:tcPr>
            <w:tcW w:w="1347" w:type="dxa"/>
            <w:vMerge w:val="restart"/>
            <w:tcBorders>
              <w:top w:val="single" w:color="auto" w:sz="8" w:space="0"/>
            </w:tcBorders>
            <w:shd w:val="clear" w:color="auto" w:fill="auto"/>
            <w:vAlign w:val="center"/>
          </w:tcPr>
          <w:p w14:paraId="126AE3F1">
            <w:pPr>
              <w:pStyle w:val="178"/>
            </w:pPr>
            <w:r>
              <w:rPr>
                <w:rFonts w:hint="eastAsia"/>
              </w:rPr>
              <w:t>注塑工艺参数</w:t>
            </w:r>
          </w:p>
        </w:tc>
        <w:tc>
          <w:tcPr>
            <w:tcW w:w="1803" w:type="dxa"/>
            <w:vMerge w:val="restart"/>
            <w:tcBorders>
              <w:top w:val="single" w:color="auto" w:sz="8" w:space="0"/>
            </w:tcBorders>
            <w:shd w:val="clear" w:color="auto" w:fill="auto"/>
            <w:vAlign w:val="center"/>
          </w:tcPr>
          <w:p w14:paraId="38172FF7">
            <w:pPr>
              <w:pStyle w:val="178"/>
            </w:pPr>
            <w:r>
              <w:rPr>
                <w:rFonts w:hint="eastAsia"/>
              </w:rPr>
              <w:t>熔体温度，℃</w:t>
            </w:r>
          </w:p>
        </w:tc>
        <w:tc>
          <w:tcPr>
            <w:tcW w:w="1803" w:type="dxa"/>
            <w:tcBorders>
              <w:top w:val="single" w:color="auto" w:sz="8" w:space="0"/>
            </w:tcBorders>
            <w:shd w:val="clear" w:color="auto" w:fill="auto"/>
            <w:vAlign w:val="center"/>
          </w:tcPr>
          <w:p w14:paraId="6DFE1EF6">
            <w:pPr>
              <w:pStyle w:val="178"/>
            </w:pPr>
            <w:r>
              <w:rPr>
                <w:rFonts w:hint="eastAsia"/>
              </w:rPr>
              <w:t>PA</w:t>
            </w:r>
            <w:r>
              <w:t>66</w:t>
            </w:r>
          </w:p>
        </w:tc>
        <w:tc>
          <w:tcPr>
            <w:tcW w:w="4381" w:type="dxa"/>
            <w:tcBorders>
              <w:top w:val="single" w:color="auto" w:sz="8" w:space="0"/>
            </w:tcBorders>
            <w:shd w:val="clear" w:color="auto" w:fill="auto"/>
            <w:vAlign w:val="center"/>
          </w:tcPr>
          <w:p w14:paraId="48F6C152">
            <w:pPr>
              <w:pStyle w:val="178"/>
            </w:pPr>
            <w:r>
              <w:rPr>
                <w:rFonts w:hint="eastAsia"/>
              </w:rPr>
              <w:t>2</w:t>
            </w:r>
            <w:r>
              <w:t>80</w:t>
            </w:r>
            <w:r>
              <w:rPr>
                <w:rFonts w:hint="eastAsia"/>
              </w:rPr>
              <w:t>±5</w:t>
            </w:r>
          </w:p>
        </w:tc>
      </w:tr>
      <w:tr w14:paraId="598BE89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79" w:hRule="atLeast"/>
          <w:jc w:val="center"/>
        </w:trPr>
        <w:tc>
          <w:tcPr>
            <w:tcW w:w="1347" w:type="dxa"/>
            <w:vMerge w:val="continue"/>
            <w:shd w:val="clear" w:color="auto" w:fill="auto"/>
            <w:vAlign w:val="center"/>
          </w:tcPr>
          <w:p w14:paraId="096BEB39">
            <w:pPr>
              <w:pStyle w:val="178"/>
            </w:pPr>
          </w:p>
        </w:tc>
        <w:tc>
          <w:tcPr>
            <w:tcW w:w="1803" w:type="dxa"/>
            <w:vMerge w:val="continue"/>
            <w:shd w:val="clear" w:color="auto" w:fill="auto"/>
            <w:vAlign w:val="center"/>
          </w:tcPr>
          <w:p w14:paraId="50594460">
            <w:pPr>
              <w:pStyle w:val="178"/>
            </w:pPr>
          </w:p>
        </w:tc>
        <w:tc>
          <w:tcPr>
            <w:tcW w:w="1803" w:type="dxa"/>
            <w:tcBorders>
              <w:top w:val="single" w:color="auto" w:sz="8" w:space="0"/>
            </w:tcBorders>
            <w:shd w:val="clear" w:color="auto" w:fill="auto"/>
            <w:vAlign w:val="center"/>
          </w:tcPr>
          <w:p w14:paraId="0C2BABB9">
            <w:pPr>
              <w:pStyle w:val="178"/>
            </w:pPr>
            <w:r>
              <w:rPr>
                <w:rFonts w:hint="eastAsia"/>
              </w:rPr>
              <w:t>PBT</w:t>
            </w:r>
          </w:p>
        </w:tc>
        <w:tc>
          <w:tcPr>
            <w:tcW w:w="4381" w:type="dxa"/>
            <w:shd w:val="clear" w:color="auto" w:fill="auto"/>
            <w:vAlign w:val="center"/>
          </w:tcPr>
          <w:p w14:paraId="02678CA9">
            <w:pPr>
              <w:pStyle w:val="178"/>
            </w:pPr>
            <w:r>
              <w:rPr>
                <w:rFonts w:hint="eastAsia"/>
              </w:rPr>
              <w:t>2</w:t>
            </w:r>
            <w:r>
              <w:t>50</w:t>
            </w:r>
            <w:r>
              <w:rPr>
                <w:rFonts w:hint="eastAsia"/>
              </w:rPr>
              <w:t>±5</w:t>
            </w:r>
          </w:p>
        </w:tc>
      </w:tr>
      <w:tr w14:paraId="222CCA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47" w:type="dxa"/>
            <w:vMerge w:val="continue"/>
            <w:shd w:val="clear" w:color="auto" w:fill="auto"/>
            <w:vAlign w:val="center"/>
          </w:tcPr>
          <w:p w14:paraId="76C57B4F">
            <w:pPr>
              <w:pStyle w:val="178"/>
            </w:pPr>
          </w:p>
        </w:tc>
        <w:tc>
          <w:tcPr>
            <w:tcW w:w="3606" w:type="dxa"/>
            <w:gridSpan w:val="2"/>
            <w:shd w:val="clear" w:color="auto" w:fill="auto"/>
            <w:vAlign w:val="center"/>
          </w:tcPr>
          <w:p w14:paraId="25A75BA9">
            <w:pPr>
              <w:pStyle w:val="178"/>
            </w:pPr>
            <w:r>
              <w:rPr>
                <w:rFonts w:hint="eastAsia"/>
              </w:rPr>
              <w:t>保压压力，M</w:t>
            </w:r>
            <w:r>
              <w:t>Pa</w:t>
            </w:r>
          </w:p>
        </w:tc>
        <w:tc>
          <w:tcPr>
            <w:tcW w:w="4381" w:type="dxa"/>
            <w:shd w:val="clear" w:color="auto" w:fill="auto"/>
            <w:vAlign w:val="center"/>
          </w:tcPr>
          <w:p w14:paraId="20742143">
            <w:pPr>
              <w:pStyle w:val="178"/>
            </w:pPr>
            <w:r>
              <w:rPr>
                <w:rFonts w:hint="eastAsia"/>
              </w:rPr>
              <w:t>8</w:t>
            </w:r>
            <w:r>
              <w:t>0</w:t>
            </w:r>
            <w:r>
              <w:rPr>
                <w:rFonts w:hint="eastAsia"/>
              </w:rPr>
              <w:t>±5</w:t>
            </w:r>
          </w:p>
        </w:tc>
      </w:tr>
      <w:tr w14:paraId="56C6C2D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347" w:type="dxa"/>
            <w:vMerge w:val="continue"/>
            <w:shd w:val="clear" w:color="auto" w:fill="auto"/>
            <w:vAlign w:val="center"/>
          </w:tcPr>
          <w:p w14:paraId="48D39043">
            <w:pPr>
              <w:pStyle w:val="178"/>
            </w:pPr>
          </w:p>
        </w:tc>
        <w:tc>
          <w:tcPr>
            <w:tcW w:w="3606" w:type="dxa"/>
            <w:gridSpan w:val="2"/>
            <w:shd w:val="clear" w:color="auto" w:fill="auto"/>
            <w:vAlign w:val="center"/>
          </w:tcPr>
          <w:p w14:paraId="2B4F3B59">
            <w:pPr>
              <w:pStyle w:val="178"/>
            </w:pPr>
            <w:r>
              <w:rPr>
                <w:rFonts w:hint="eastAsia"/>
              </w:rPr>
              <w:t>尺寸公差，m</w:t>
            </w:r>
            <w:r>
              <w:t>m</w:t>
            </w:r>
          </w:p>
        </w:tc>
        <w:tc>
          <w:tcPr>
            <w:tcW w:w="4381" w:type="dxa"/>
            <w:shd w:val="clear" w:color="auto" w:fill="auto"/>
            <w:vAlign w:val="center"/>
          </w:tcPr>
          <w:p w14:paraId="19A47FC7">
            <w:pPr>
              <w:pStyle w:val="178"/>
            </w:pPr>
            <w:r>
              <w:rPr>
                <w:rFonts w:hint="eastAsia"/>
              </w:rPr>
              <w:t>±0</w:t>
            </w:r>
            <w:r>
              <w:t>.15</w:t>
            </w:r>
          </w:p>
        </w:tc>
      </w:tr>
      <w:tr w14:paraId="2B8D94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1347" w:type="dxa"/>
            <w:vMerge w:val="continue"/>
            <w:shd w:val="clear" w:color="auto" w:fill="auto"/>
            <w:vAlign w:val="center"/>
          </w:tcPr>
          <w:p w14:paraId="4B410E6D">
            <w:pPr>
              <w:pStyle w:val="178"/>
            </w:pPr>
          </w:p>
        </w:tc>
        <w:tc>
          <w:tcPr>
            <w:tcW w:w="3606" w:type="dxa"/>
            <w:gridSpan w:val="2"/>
            <w:shd w:val="clear" w:color="auto" w:fill="auto"/>
            <w:vAlign w:val="center"/>
          </w:tcPr>
          <w:p w14:paraId="19D33747">
            <w:pPr>
              <w:pStyle w:val="178"/>
            </w:pPr>
            <w:r>
              <w:rPr>
                <w:rFonts w:hint="eastAsia"/>
              </w:rPr>
              <w:t>冷却速率，℃/</w:t>
            </w:r>
            <w:r>
              <w:t>min</w:t>
            </w:r>
          </w:p>
        </w:tc>
        <w:tc>
          <w:tcPr>
            <w:tcW w:w="4381" w:type="dxa"/>
            <w:shd w:val="clear" w:color="auto" w:fill="auto"/>
            <w:vAlign w:val="center"/>
          </w:tcPr>
          <w:p w14:paraId="56FC63CD">
            <w:pPr>
              <w:pStyle w:val="178"/>
            </w:pPr>
            <w:r>
              <w:rPr>
                <w:rFonts w:hint="eastAsia"/>
              </w:rPr>
              <w:t>≤</w:t>
            </w:r>
            <w:r>
              <w:t>15</w:t>
            </w:r>
          </w:p>
        </w:tc>
      </w:tr>
      <w:tr w14:paraId="0E0476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40" w:hRule="atLeast"/>
          <w:jc w:val="center"/>
        </w:trPr>
        <w:tc>
          <w:tcPr>
            <w:tcW w:w="1347" w:type="dxa"/>
            <w:vMerge w:val="restart"/>
            <w:shd w:val="clear" w:color="auto" w:fill="auto"/>
            <w:vAlign w:val="center"/>
          </w:tcPr>
          <w:p w14:paraId="2F91D85C">
            <w:pPr>
              <w:pStyle w:val="178"/>
            </w:pPr>
            <w:r>
              <w:rPr>
                <w:rFonts w:hint="eastAsia"/>
              </w:rPr>
              <w:t>缺陷控制</w:t>
            </w:r>
          </w:p>
        </w:tc>
        <w:tc>
          <w:tcPr>
            <w:tcW w:w="3606" w:type="dxa"/>
            <w:gridSpan w:val="2"/>
            <w:shd w:val="clear" w:color="auto" w:fill="auto"/>
            <w:vAlign w:val="center"/>
          </w:tcPr>
          <w:p w14:paraId="222DB23C">
            <w:pPr>
              <w:pStyle w:val="178"/>
            </w:pPr>
            <w:r>
              <w:rPr>
                <w:rFonts w:hint="eastAsia"/>
              </w:rPr>
              <w:t>熔接线强度，%</w:t>
            </w:r>
          </w:p>
        </w:tc>
        <w:tc>
          <w:tcPr>
            <w:tcW w:w="4381" w:type="dxa"/>
            <w:shd w:val="clear" w:color="auto" w:fill="auto"/>
            <w:vAlign w:val="center"/>
          </w:tcPr>
          <w:p w14:paraId="4E1B7280">
            <w:pPr>
              <w:pStyle w:val="178"/>
            </w:pPr>
            <w:r>
              <w:rPr>
                <w:rFonts w:hint="eastAsia"/>
              </w:rPr>
              <w:t>≥8</w:t>
            </w:r>
            <w:r>
              <w:t>0</w:t>
            </w:r>
            <w:r>
              <w:rPr>
                <w:rFonts w:hint="eastAsia"/>
              </w:rPr>
              <w:t>（基材）</w:t>
            </w:r>
          </w:p>
        </w:tc>
      </w:tr>
      <w:tr w14:paraId="5D4F2E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rHeight w:val="60" w:hRule="atLeast"/>
          <w:jc w:val="center"/>
        </w:trPr>
        <w:tc>
          <w:tcPr>
            <w:tcW w:w="1347" w:type="dxa"/>
            <w:vMerge w:val="continue"/>
            <w:shd w:val="clear" w:color="auto" w:fill="auto"/>
            <w:vAlign w:val="center"/>
          </w:tcPr>
          <w:p w14:paraId="18EE2D11">
            <w:pPr>
              <w:pStyle w:val="178"/>
            </w:pPr>
          </w:p>
        </w:tc>
        <w:tc>
          <w:tcPr>
            <w:tcW w:w="3606" w:type="dxa"/>
            <w:gridSpan w:val="2"/>
            <w:shd w:val="clear" w:color="auto" w:fill="auto"/>
            <w:vAlign w:val="center"/>
          </w:tcPr>
          <w:p w14:paraId="4EA8DEC6">
            <w:pPr>
              <w:pStyle w:val="178"/>
            </w:pPr>
            <w:r>
              <w:rPr>
                <w:rFonts w:hint="eastAsia"/>
              </w:rPr>
              <w:t>平面度公差，m</w:t>
            </w:r>
            <w:r>
              <w:t>m/100mm</w:t>
            </w:r>
          </w:p>
        </w:tc>
        <w:tc>
          <w:tcPr>
            <w:tcW w:w="4381" w:type="dxa"/>
            <w:shd w:val="clear" w:color="auto" w:fill="auto"/>
            <w:vAlign w:val="center"/>
          </w:tcPr>
          <w:p w14:paraId="3F7742EC">
            <w:pPr>
              <w:pStyle w:val="178"/>
            </w:pPr>
            <w:r>
              <w:rPr>
                <w:rFonts w:hint="eastAsia"/>
              </w:rPr>
              <w:t>≤0</w:t>
            </w:r>
            <w:r>
              <w:t>.15</w:t>
            </w:r>
          </w:p>
        </w:tc>
      </w:tr>
    </w:tbl>
    <w:p w14:paraId="4684F2A2">
      <w:pPr>
        <w:pStyle w:val="105"/>
        <w:spacing w:before="120" w:after="120"/>
      </w:pPr>
      <w:bookmarkStart w:id="53" w:name="_Toc210890919"/>
      <w:r>
        <w:rPr>
          <w:rFonts w:hint="eastAsia"/>
        </w:rPr>
        <w:t>在线检测</w:t>
      </w:r>
      <w:bookmarkEnd w:id="53"/>
    </w:p>
    <w:p w14:paraId="337098AF">
      <w:pPr>
        <w:pStyle w:val="56"/>
        <w:ind w:firstLine="420"/>
      </w:pPr>
      <w:r>
        <w:rPr>
          <w:rFonts w:hint="eastAsia"/>
        </w:rPr>
        <w:t>在线检测应符合表4的规定。</w:t>
      </w:r>
    </w:p>
    <w:p w14:paraId="7381E040">
      <w:pPr>
        <w:pStyle w:val="112"/>
        <w:spacing w:before="120" w:after="120"/>
      </w:pPr>
      <w:r>
        <w:rPr>
          <w:rFonts w:hint="eastAsia"/>
        </w:rPr>
        <w:t>在线检测</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20"/>
        <w:gridCol w:w="3069"/>
        <w:gridCol w:w="4645"/>
      </w:tblGrid>
      <w:tr w14:paraId="62DFCE3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tblHeader/>
          <w:jc w:val="center"/>
        </w:trPr>
        <w:tc>
          <w:tcPr>
            <w:tcW w:w="4689" w:type="dxa"/>
            <w:gridSpan w:val="2"/>
            <w:tcBorders>
              <w:top w:val="single" w:color="auto" w:sz="8" w:space="0"/>
              <w:bottom w:val="single" w:color="auto" w:sz="8" w:space="0"/>
            </w:tcBorders>
            <w:shd w:val="clear" w:color="auto" w:fill="auto"/>
            <w:vAlign w:val="center"/>
          </w:tcPr>
          <w:p w14:paraId="0A4AD603">
            <w:pPr>
              <w:pStyle w:val="178"/>
            </w:pPr>
            <w:r>
              <w:rPr>
                <w:rFonts w:hint="eastAsia"/>
              </w:rPr>
              <w:t>项目</w:t>
            </w:r>
          </w:p>
        </w:tc>
        <w:tc>
          <w:tcPr>
            <w:tcW w:w="4645" w:type="dxa"/>
            <w:tcBorders>
              <w:top w:val="single" w:color="auto" w:sz="8" w:space="0"/>
              <w:bottom w:val="single" w:color="auto" w:sz="8" w:space="0"/>
            </w:tcBorders>
            <w:shd w:val="clear" w:color="auto" w:fill="auto"/>
            <w:vAlign w:val="center"/>
          </w:tcPr>
          <w:p w14:paraId="7400EF0D">
            <w:pPr>
              <w:pStyle w:val="178"/>
            </w:pPr>
            <w:r>
              <w:rPr>
                <w:rFonts w:hint="eastAsia"/>
              </w:rPr>
              <w:t>指标</w:t>
            </w:r>
          </w:p>
        </w:tc>
      </w:tr>
      <w:tr w14:paraId="2027DB8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20" w:type="dxa"/>
            <w:tcBorders>
              <w:top w:val="single" w:color="auto" w:sz="8" w:space="0"/>
              <w:bottom w:val="single" w:color="auto" w:sz="4" w:space="0"/>
            </w:tcBorders>
            <w:shd w:val="clear" w:color="auto" w:fill="auto"/>
            <w:vAlign w:val="center"/>
          </w:tcPr>
          <w:p w14:paraId="7F80F75F">
            <w:pPr>
              <w:pStyle w:val="178"/>
            </w:pPr>
            <w:r>
              <w:rPr>
                <w:rFonts w:hint="eastAsia"/>
              </w:rPr>
              <w:t>机器视觉</w:t>
            </w:r>
          </w:p>
        </w:tc>
        <w:tc>
          <w:tcPr>
            <w:tcW w:w="3069" w:type="dxa"/>
            <w:tcBorders>
              <w:top w:val="single" w:color="auto" w:sz="8" w:space="0"/>
              <w:bottom w:val="single" w:color="auto" w:sz="4" w:space="0"/>
            </w:tcBorders>
            <w:shd w:val="clear" w:color="auto" w:fill="auto"/>
            <w:vAlign w:val="center"/>
          </w:tcPr>
          <w:p w14:paraId="3EF7F891">
            <w:pPr>
              <w:pStyle w:val="178"/>
            </w:pPr>
            <w:r>
              <w:rPr>
                <w:rFonts w:hint="eastAsia"/>
              </w:rPr>
              <w:t>固定柱完整性(</w:t>
            </w:r>
            <w:r>
              <w:t>100%</w:t>
            </w:r>
            <w:r>
              <w:rPr>
                <w:rFonts w:hint="eastAsia"/>
              </w:rPr>
              <w:t>检测</w:t>
            </w:r>
            <w:r>
              <w:t>)</w:t>
            </w:r>
          </w:p>
        </w:tc>
        <w:tc>
          <w:tcPr>
            <w:tcW w:w="4645" w:type="dxa"/>
            <w:tcBorders>
              <w:top w:val="single" w:color="auto" w:sz="8" w:space="0"/>
              <w:bottom w:val="single" w:color="auto" w:sz="4" w:space="0"/>
            </w:tcBorders>
            <w:shd w:val="clear" w:color="auto" w:fill="auto"/>
            <w:vAlign w:val="center"/>
          </w:tcPr>
          <w:p w14:paraId="4A07968F">
            <w:pPr>
              <w:pStyle w:val="178"/>
            </w:pPr>
            <w:r>
              <w:rPr>
                <w:rFonts w:hint="eastAsia"/>
              </w:rPr>
              <w:t>无短射</w:t>
            </w:r>
          </w:p>
        </w:tc>
      </w:tr>
    </w:tbl>
    <w:p w14:paraId="46E866AD">
      <w:pPr>
        <w:jc w:val="center"/>
        <w:rPr>
          <w:rFonts w:ascii="黑体" w:hAnsi="黑体" w:eastAsia="黑体"/>
        </w:rPr>
      </w:pPr>
      <w:r>
        <w:br w:type="page"/>
      </w:r>
      <w:r>
        <w:rPr>
          <w:rFonts w:hint="eastAsia" w:ascii="黑体" w:hAnsi="黑体" w:eastAsia="黑体"/>
        </w:rPr>
        <w:t>表4  在线检测</w:t>
      </w:r>
      <w:r>
        <w:rPr>
          <w:rFonts w:hint="eastAsia" w:ascii="宋体"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0" w:type="dxa"/>
          <w:bottom w:w="0" w:type="dxa"/>
          <w:right w:w="100" w:type="dxa"/>
        </w:tblCellMar>
      </w:tblPr>
      <w:tblGrid>
        <w:gridCol w:w="1620"/>
        <w:gridCol w:w="3069"/>
        <w:gridCol w:w="4645"/>
      </w:tblGrid>
      <w:tr w14:paraId="436AC3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20" w:type="dxa"/>
            <w:tcBorders>
              <w:top w:val="single" w:color="auto" w:sz="4" w:space="0"/>
              <w:bottom w:val="single" w:color="auto" w:sz="4" w:space="0"/>
            </w:tcBorders>
            <w:shd w:val="clear" w:color="auto" w:fill="auto"/>
            <w:vAlign w:val="center"/>
          </w:tcPr>
          <w:p w14:paraId="7F651EE2">
            <w:pPr>
              <w:pStyle w:val="178"/>
            </w:pPr>
          </w:p>
        </w:tc>
        <w:tc>
          <w:tcPr>
            <w:tcW w:w="3069" w:type="dxa"/>
            <w:tcBorders>
              <w:top w:val="single" w:color="auto" w:sz="4" w:space="0"/>
              <w:bottom w:val="single" w:color="auto" w:sz="4" w:space="0"/>
            </w:tcBorders>
            <w:shd w:val="clear" w:color="auto" w:fill="auto"/>
            <w:vAlign w:val="center"/>
          </w:tcPr>
          <w:p w14:paraId="341D428D">
            <w:pPr>
              <w:pStyle w:val="178"/>
            </w:pPr>
            <w:r>
              <w:rPr>
                <w:rFonts w:hint="eastAsia"/>
              </w:rPr>
              <w:t>导体位置偏移，m</w:t>
            </w:r>
            <w:r>
              <w:t>m</w:t>
            </w:r>
          </w:p>
        </w:tc>
        <w:tc>
          <w:tcPr>
            <w:tcW w:w="4645" w:type="dxa"/>
            <w:tcBorders>
              <w:top w:val="single" w:color="auto" w:sz="4" w:space="0"/>
              <w:bottom w:val="single" w:color="auto" w:sz="4" w:space="0"/>
            </w:tcBorders>
            <w:shd w:val="clear" w:color="auto" w:fill="auto"/>
            <w:vAlign w:val="center"/>
          </w:tcPr>
          <w:p w14:paraId="618EEEC4">
            <w:pPr>
              <w:pStyle w:val="178"/>
            </w:pPr>
            <w:r>
              <w:rPr>
                <w:rFonts w:hint="eastAsia"/>
              </w:rPr>
              <w:t>≤0</w:t>
            </w:r>
            <w:r>
              <w:t>.1</w:t>
            </w:r>
          </w:p>
        </w:tc>
      </w:tr>
      <w:tr w14:paraId="47DD25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20" w:type="dxa"/>
            <w:vMerge w:val="restart"/>
            <w:tcBorders>
              <w:top w:val="single" w:color="auto" w:sz="4" w:space="0"/>
            </w:tcBorders>
            <w:shd w:val="clear" w:color="auto" w:fill="auto"/>
            <w:vAlign w:val="center"/>
          </w:tcPr>
          <w:p w14:paraId="5C009F53">
            <w:pPr>
              <w:pStyle w:val="178"/>
            </w:pPr>
            <w:r>
              <w:rPr>
                <w:rFonts w:hint="eastAsia"/>
              </w:rPr>
              <w:t>电性能测试</w:t>
            </w:r>
          </w:p>
        </w:tc>
        <w:tc>
          <w:tcPr>
            <w:tcW w:w="3069" w:type="dxa"/>
            <w:tcBorders>
              <w:top w:val="single" w:color="auto" w:sz="4" w:space="0"/>
            </w:tcBorders>
            <w:shd w:val="clear" w:color="auto" w:fill="auto"/>
            <w:vAlign w:val="center"/>
          </w:tcPr>
          <w:p w14:paraId="71D5079E">
            <w:pPr>
              <w:pStyle w:val="178"/>
            </w:pPr>
            <w:r>
              <w:rPr>
                <w:rFonts w:hint="eastAsia"/>
              </w:rPr>
              <w:t>漏电流（在线耐压AC</w:t>
            </w:r>
            <w:r>
              <w:t>3000</w:t>
            </w:r>
            <w:r>
              <w:rPr>
                <w:rFonts w:hint="eastAsia"/>
              </w:rPr>
              <w:t>V/</w:t>
            </w:r>
            <w:r>
              <w:t>2s</w:t>
            </w:r>
            <w:r>
              <w:rPr>
                <w:rFonts w:hint="eastAsia"/>
              </w:rPr>
              <w:t>）,m</w:t>
            </w:r>
            <w:r>
              <w:t>A</w:t>
            </w:r>
          </w:p>
        </w:tc>
        <w:tc>
          <w:tcPr>
            <w:tcW w:w="4645" w:type="dxa"/>
            <w:tcBorders>
              <w:top w:val="single" w:color="auto" w:sz="4" w:space="0"/>
            </w:tcBorders>
            <w:shd w:val="clear" w:color="auto" w:fill="auto"/>
            <w:vAlign w:val="center"/>
          </w:tcPr>
          <w:p w14:paraId="149233E2">
            <w:pPr>
              <w:pStyle w:val="178"/>
            </w:pPr>
            <w:r>
              <w:rPr>
                <w:rFonts w:hint="eastAsia"/>
              </w:rPr>
              <w:t>≤5</w:t>
            </w:r>
          </w:p>
        </w:tc>
      </w:tr>
      <w:tr w14:paraId="6F257A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0" w:type="dxa"/>
            <w:bottom w:w="0" w:type="dxa"/>
            <w:right w:w="100" w:type="dxa"/>
          </w:tblCellMar>
        </w:tblPrEx>
        <w:trPr>
          <w:jc w:val="center"/>
        </w:trPr>
        <w:tc>
          <w:tcPr>
            <w:tcW w:w="1620" w:type="dxa"/>
            <w:vMerge w:val="continue"/>
            <w:shd w:val="clear" w:color="auto" w:fill="auto"/>
            <w:vAlign w:val="center"/>
          </w:tcPr>
          <w:p w14:paraId="7EBECBE6">
            <w:pPr>
              <w:pStyle w:val="178"/>
            </w:pPr>
          </w:p>
        </w:tc>
        <w:tc>
          <w:tcPr>
            <w:tcW w:w="3069" w:type="dxa"/>
            <w:shd w:val="clear" w:color="auto" w:fill="auto"/>
            <w:vAlign w:val="center"/>
          </w:tcPr>
          <w:p w14:paraId="09FEA0AE">
            <w:pPr>
              <w:pStyle w:val="178"/>
            </w:pPr>
            <w:r>
              <w:rPr>
                <w:rFonts w:hint="eastAsia"/>
              </w:rPr>
              <w:t>绝缘电阻（DC</w:t>
            </w:r>
            <w:r>
              <w:t xml:space="preserve"> 1000</w:t>
            </w:r>
            <w:r>
              <w:rPr>
                <w:rFonts w:hint="eastAsia"/>
              </w:rPr>
              <w:t>V），M</w:t>
            </w:r>
            <w:r>
              <w:t>Ω</w:t>
            </w:r>
          </w:p>
        </w:tc>
        <w:tc>
          <w:tcPr>
            <w:tcW w:w="4645" w:type="dxa"/>
            <w:shd w:val="clear" w:color="auto" w:fill="auto"/>
            <w:vAlign w:val="center"/>
          </w:tcPr>
          <w:p w14:paraId="0866E9D6">
            <w:pPr>
              <w:pStyle w:val="178"/>
            </w:pPr>
            <w:r>
              <w:rPr>
                <w:rFonts w:hint="eastAsia"/>
              </w:rPr>
              <w:t>≥5</w:t>
            </w:r>
            <w:r>
              <w:t>00</w:t>
            </w:r>
          </w:p>
        </w:tc>
      </w:tr>
    </w:tbl>
    <w:p w14:paraId="5E503ED1">
      <w:pPr>
        <w:pStyle w:val="104"/>
        <w:spacing w:before="240" w:after="240"/>
      </w:pPr>
      <w:bookmarkStart w:id="54" w:name="_Toc210890920"/>
      <w:r>
        <w:rPr>
          <w:rFonts w:hint="eastAsia"/>
        </w:rPr>
        <w:t>技术要求</w:t>
      </w:r>
      <w:bookmarkEnd w:id="54"/>
    </w:p>
    <w:p w14:paraId="189CFEDE">
      <w:pPr>
        <w:pStyle w:val="105"/>
        <w:spacing w:before="120" w:after="120"/>
      </w:pPr>
      <w:bookmarkStart w:id="55" w:name="_Toc210890921"/>
      <w:r>
        <w:rPr>
          <w:rFonts w:hint="eastAsia"/>
        </w:rPr>
        <w:t>绝缘性能</w:t>
      </w:r>
      <w:bookmarkEnd w:id="55"/>
    </w:p>
    <w:p w14:paraId="2773901A">
      <w:pPr>
        <w:pStyle w:val="56"/>
        <w:ind w:firstLine="420"/>
      </w:pPr>
      <w:r>
        <w:rPr>
          <w:rFonts w:hint="eastAsia"/>
        </w:rPr>
        <w:t>湿热试验后绝缘电阻≥5</w:t>
      </w:r>
      <w:r>
        <w:t>0 </w:t>
      </w:r>
      <w:r>
        <w:rPr>
          <w:rFonts w:hint="eastAsia"/>
        </w:rPr>
        <w:t>M</w:t>
      </w:r>
      <w:r>
        <w:t>Ω</w:t>
      </w:r>
      <w:r>
        <w:rPr>
          <w:rFonts w:hint="eastAsia"/>
        </w:rPr>
        <w:t>，耐压AC</w:t>
      </w:r>
      <w:r>
        <w:t>2500 </w:t>
      </w:r>
      <w:r>
        <w:rPr>
          <w:rFonts w:hint="eastAsia"/>
        </w:rPr>
        <w:t>V/</w:t>
      </w:r>
      <w:r>
        <w:t>60s</w:t>
      </w:r>
      <w:r>
        <w:rPr>
          <w:rFonts w:hint="eastAsia"/>
        </w:rPr>
        <w:t>后应无击穿。</w:t>
      </w:r>
    </w:p>
    <w:p w14:paraId="56CA1B39">
      <w:pPr>
        <w:pStyle w:val="105"/>
        <w:spacing w:before="120" w:after="120"/>
      </w:pPr>
      <w:bookmarkStart w:id="56" w:name="_Toc210890922"/>
      <w:r>
        <w:rPr>
          <w:rFonts w:hint="eastAsia"/>
        </w:rPr>
        <w:t>温升</w:t>
      </w:r>
      <w:bookmarkEnd w:id="56"/>
    </w:p>
    <w:p w14:paraId="4DE86990">
      <w:pPr>
        <w:pStyle w:val="56"/>
        <w:ind w:firstLine="420"/>
      </w:pPr>
      <w:r>
        <w:rPr>
          <w:rFonts w:hint="eastAsia"/>
        </w:rPr>
        <w:t>1</w:t>
      </w:r>
      <w:r>
        <w:t>50</w:t>
      </w:r>
      <w:r>
        <w:rPr>
          <w:rFonts w:hint="eastAsia"/>
        </w:rPr>
        <w:t>%额定电流持续2</w:t>
      </w:r>
      <w:r>
        <w:t>h</w:t>
      </w:r>
      <w:r>
        <w:rPr>
          <w:rFonts w:hint="eastAsia"/>
        </w:rPr>
        <w:t>，各点温升不应大于</w:t>
      </w:r>
      <w:r>
        <w:t>70 K</w:t>
      </w:r>
      <w:r>
        <w:rPr>
          <w:rFonts w:hint="eastAsia"/>
        </w:rPr>
        <w:t>。</w:t>
      </w:r>
    </w:p>
    <w:p w14:paraId="49709DB8">
      <w:pPr>
        <w:pStyle w:val="105"/>
        <w:spacing w:before="120" w:after="120"/>
      </w:pPr>
      <w:bookmarkStart w:id="57" w:name="_Toc210890923"/>
      <w:r>
        <w:rPr>
          <w:rFonts w:hint="eastAsia"/>
        </w:rPr>
        <w:t>短时低倍电流过载</w:t>
      </w:r>
      <w:bookmarkEnd w:id="57"/>
    </w:p>
    <w:p w14:paraId="64214833">
      <w:pPr>
        <w:pStyle w:val="56"/>
        <w:ind w:firstLine="420"/>
      </w:pPr>
      <w:r>
        <w:rPr>
          <w:rFonts w:hint="eastAsia"/>
        </w:rPr>
        <w:t>承受2倍额定电流3</w:t>
      </w:r>
      <w:r>
        <w:t>0 s</w:t>
      </w:r>
      <w:r>
        <w:rPr>
          <w:rFonts w:hint="eastAsia"/>
        </w:rPr>
        <w:t>试验后，应满足6.</w:t>
      </w:r>
      <w:r>
        <w:t>1</w:t>
      </w:r>
      <w:r>
        <w:rPr>
          <w:rFonts w:hint="eastAsia"/>
        </w:rPr>
        <w:t>条的要求。</w:t>
      </w:r>
    </w:p>
    <w:p w14:paraId="77E35AF8">
      <w:pPr>
        <w:pStyle w:val="105"/>
        <w:spacing w:before="120" w:after="120"/>
      </w:pPr>
      <w:bookmarkStart w:id="58" w:name="_Toc210890924"/>
      <w:r>
        <w:rPr>
          <w:rFonts w:hint="eastAsia"/>
        </w:rPr>
        <w:t>瞬时高倍电流过载</w:t>
      </w:r>
      <w:bookmarkEnd w:id="58"/>
    </w:p>
    <w:p w14:paraId="0978C74B">
      <w:pPr>
        <w:pStyle w:val="56"/>
        <w:ind w:firstLine="420"/>
      </w:pPr>
      <w:r>
        <w:rPr>
          <w:rFonts w:hint="eastAsia"/>
        </w:rPr>
        <w:t>承受</w:t>
      </w:r>
      <w:r>
        <w:t>10</w:t>
      </w:r>
      <w:r>
        <w:rPr>
          <w:rFonts w:hint="eastAsia"/>
        </w:rPr>
        <w:t>倍额定电流</w:t>
      </w:r>
      <w:r>
        <w:t>1 s</w:t>
      </w:r>
      <w:r>
        <w:rPr>
          <w:rFonts w:hint="eastAsia"/>
        </w:rPr>
        <w:t>试验后，应满足6.</w:t>
      </w:r>
      <w:r>
        <w:t>1</w:t>
      </w:r>
      <w:r>
        <w:rPr>
          <w:rFonts w:hint="eastAsia"/>
        </w:rPr>
        <w:t>条的要求。</w:t>
      </w:r>
    </w:p>
    <w:p w14:paraId="09E844B8">
      <w:pPr>
        <w:pStyle w:val="105"/>
        <w:spacing w:before="120" w:after="120"/>
      </w:pPr>
      <w:bookmarkStart w:id="59" w:name="_Toc210890925"/>
      <w:r>
        <w:rPr>
          <w:rFonts w:hint="eastAsia"/>
        </w:rPr>
        <w:t>耐盐雾</w:t>
      </w:r>
      <w:bookmarkEnd w:id="59"/>
    </w:p>
    <w:p w14:paraId="2D3EA9D6">
      <w:pPr>
        <w:pStyle w:val="56"/>
        <w:ind w:firstLine="420"/>
      </w:pPr>
      <w:r>
        <w:rPr>
          <w:rFonts w:hint="eastAsia"/>
        </w:rPr>
        <w:t>耐盐雾试验后，应满足6.</w:t>
      </w:r>
      <w:r>
        <w:t>1</w:t>
      </w:r>
      <w:r>
        <w:rPr>
          <w:rFonts w:hint="eastAsia"/>
        </w:rPr>
        <w:t>条的要求。</w:t>
      </w:r>
    </w:p>
    <w:p w14:paraId="3D5C5C3E">
      <w:pPr>
        <w:pStyle w:val="105"/>
        <w:spacing w:before="120" w:after="120"/>
      </w:pPr>
      <w:bookmarkStart w:id="60" w:name="_Toc210890926"/>
      <w:r>
        <w:rPr>
          <w:rFonts w:hint="eastAsia"/>
        </w:rPr>
        <w:t>耐化学腐蚀</w:t>
      </w:r>
      <w:bookmarkEnd w:id="60"/>
    </w:p>
    <w:p w14:paraId="4584AB0C">
      <w:pPr>
        <w:pStyle w:val="56"/>
        <w:ind w:firstLine="420"/>
      </w:pPr>
      <w:r>
        <w:rPr>
          <w:rFonts w:hint="eastAsia"/>
        </w:rPr>
        <w:t>耐化学腐蚀试验后，无溶胀，无开裂。</w:t>
      </w:r>
    </w:p>
    <w:p w14:paraId="4E0E27C6">
      <w:pPr>
        <w:pStyle w:val="105"/>
        <w:spacing w:before="120" w:after="120"/>
      </w:pPr>
      <w:bookmarkStart w:id="61" w:name="_Toc210890927"/>
      <w:r>
        <w:rPr>
          <w:rFonts w:hint="eastAsia"/>
        </w:rPr>
        <w:t>机械可靠性</w:t>
      </w:r>
      <w:bookmarkEnd w:id="61"/>
    </w:p>
    <w:p w14:paraId="1B8CC425">
      <w:pPr>
        <w:pStyle w:val="56"/>
        <w:ind w:firstLine="420"/>
      </w:pPr>
      <w:r>
        <w:rPr>
          <w:rFonts w:hint="eastAsia"/>
        </w:rPr>
        <w:t>振动疲劳试验后，结构无断裂、无失效。</w:t>
      </w:r>
    </w:p>
    <w:p w14:paraId="48FB2622">
      <w:pPr>
        <w:pStyle w:val="105"/>
        <w:spacing w:before="120" w:after="120"/>
      </w:pPr>
      <w:bookmarkStart w:id="62" w:name="_Toc210890928"/>
      <w:r>
        <w:rPr>
          <w:rFonts w:hint="eastAsia"/>
        </w:rPr>
        <w:t>耐火安全性</w:t>
      </w:r>
      <w:bookmarkEnd w:id="62"/>
    </w:p>
    <w:p w14:paraId="6C28CCF1">
      <w:pPr>
        <w:pStyle w:val="56"/>
        <w:ind w:firstLine="420"/>
      </w:pPr>
      <w:r>
        <w:rPr>
          <w:rFonts w:hint="eastAsia"/>
        </w:rPr>
        <w:t>试验后，注塑母排应无熔滴、无击穿。</w:t>
      </w:r>
    </w:p>
    <w:p w14:paraId="15F54997">
      <w:pPr>
        <w:pStyle w:val="105"/>
        <w:spacing w:before="120" w:after="120"/>
      </w:pPr>
      <w:bookmarkStart w:id="63" w:name="_Toc210890929"/>
      <w:r>
        <w:rPr>
          <w:rFonts w:hint="eastAsia"/>
        </w:rPr>
        <w:t>复合环境耐受性</w:t>
      </w:r>
      <w:bookmarkEnd w:id="63"/>
    </w:p>
    <w:p w14:paraId="6A0C964C">
      <w:pPr>
        <w:pStyle w:val="56"/>
        <w:ind w:firstLine="420"/>
      </w:pPr>
      <w:r>
        <w:rPr>
          <w:rFonts w:hint="eastAsia"/>
        </w:rPr>
        <w:t>试验后，接触电阻变化≤5</w:t>
      </w:r>
      <w:r>
        <w:t> </w:t>
      </w:r>
      <w:r>
        <w:rPr>
          <w:rFonts w:hint="eastAsia"/>
        </w:rPr>
        <w:t>%。</w:t>
      </w:r>
    </w:p>
    <w:p w14:paraId="6F1324E8">
      <w:pPr>
        <w:pStyle w:val="105"/>
        <w:spacing w:before="120" w:after="120"/>
      </w:pPr>
      <w:bookmarkStart w:id="64" w:name="_Toc210890930"/>
      <w:r>
        <w:rPr>
          <w:rFonts w:hint="eastAsia"/>
        </w:rPr>
        <w:t>禁用物质限量</w:t>
      </w:r>
      <w:bookmarkEnd w:id="64"/>
    </w:p>
    <w:p w14:paraId="32B6217A">
      <w:pPr>
        <w:pStyle w:val="56"/>
        <w:ind w:firstLine="420"/>
      </w:pPr>
      <w:r>
        <w:rPr>
          <w:rFonts w:hint="eastAsia"/>
        </w:rPr>
        <w:t>按GB/T 30512-2014第4章的规定执行。</w:t>
      </w:r>
    </w:p>
    <w:p w14:paraId="58A32C0B">
      <w:pPr>
        <w:pStyle w:val="104"/>
        <w:spacing w:before="240" w:after="240"/>
      </w:pPr>
      <w:bookmarkStart w:id="65" w:name="_Toc210890931"/>
      <w:r>
        <w:rPr>
          <w:rFonts w:hint="eastAsia"/>
        </w:rPr>
        <w:t>试验方法</w:t>
      </w:r>
      <w:bookmarkEnd w:id="65"/>
    </w:p>
    <w:p w14:paraId="2948FEF5">
      <w:pPr>
        <w:pStyle w:val="105"/>
        <w:spacing w:before="120" w:after="120"/>
      </w:pPr>
      <w:bookmarkStart w:id="66" w:name="_Toc210890932"/>
      <w:r>
        <w:rPr>
          <w:rFonts w:hint="eastAsia"/>
        </w:rPr>
        <w:t>绝缘性能</w:t>
      </w:r>
      <w:bookmarkEnd w:id="66"/>
    </w:p>
    <w:p w14:paraId="5CFB956A">
      <w:pPr>
        <w:pStyle w:val="165"/>
      </w:pPr>
      <w:r>
        <w:rPr>
          <w:rFonts w:hint="eastAsia"/>
        </w:rPr>
        <w:t>湿热试验按</w:t>
      </w:r>
      <w:r>
        <w:t>GB/T 2423.3</w:t>
      </w:r>
      <w:r>
        <w:rPr>
          <w:rFonts w:hint="eastAsia"/>
        </w:rPr>
        <w:t>规定的方法检验，试验条件如下：</w:t>
      </w:r>
    </w:p>
    <w:p w14:paraId="347F66C8">
      <w:pPr>
        <w:pStyle w:val="132"/>
      </w:pPr>
      <w:r>
        <w:rPr>
          <w:rFonts w:hint="eastAsia"/>
        </w:rPr>
        <w:t>试验温度：8</w:t>
      </w:r>
      <w:r>
        <w:t>5 </w:t>
      </w:r>
      <w:r>
        <w:rPr>
          <w:rFonts w:hint="eastAsia"/>
        </w:rPr>
        <w:t>℃；</w:t>
      </w:r>
    </w:p>
    <w:p w14:paraId="5433D3EF">
      <w:pPr>
        <w:pStyle w:val="132"/>
      </w:pPr>
      <w:r>
        <w:rPr>
          <w:rFonts w:hint="eastAsia"/>
        </w:rPr>
        <w:t>试验相对湿度：8</w:t>
      </w:r>
      <w:r>
        <w:t>5 </w:t>
      </w:r>
      <w:r>
        <w:rPr>
          <w:rFonts w:hint="eastAsia"/>
        </w:rPr>
        <w:t>%；</w:t>
      </w:r>
    </w:p>
    <w:p w14:paraId="40763708">
      <w:pPr>
        <w:pStyle w:val="132"/>
      </w:pPr>
      <w:r>
        <w:rPr>
          <w:rFonts w:hint="eastAsia"/>
        </w:rPr>
        <w:t>试验时间：1</w:t>
      </w:r>
      <w:r>
        <w:t>68 h</w:t>
      </w:r>
      <w:r>
        <w:rPr>
          <w:rFonts w:hint="eastAsia"/>
        </w:rPr>
        <w:t>。</w:t>
      </w:r>
    </w:p>
    <w:p w14:paraId="419B8A4B">
      <w:pPr>
        <w:pStyle w:val="165"/>
      </w:pPr>
      <w:r>
        <w:rPr>
          <w:rFonts w:hint="eastAsia"/>
        </w:rPr>
        <w:t>绝缘电阻按GB/T 5095.2-1997中1</w:t>
      </w:r>
      <w:r>
        <w:t>1.4.3</w:t>
      </w:r>
      <w:r>
        <w:rPr>
          <w:rFonts w:hint="eastAsia"/>
        </w:rPr>
        <w:t>条规定的方法检验。</w:t>
      </w:r>
    </w:p>
    <w:p w14:paraId="222615E0">
      <w:pPr>
        <w:pStyle w:val="165"/>
      </w:pPr>
      <w:r>
        <w:rPr>
          <w:rFonts w:hint="eastAsia"/>
        </w:rPr>
        <w:t>耐电压按GB/T 5095.2-1997中1</w:t>
      </w:r>
      <w:r>
        <w:t>2.3.3</w:t>
      </w:r>
      <w:r>
        <w:rPr>
          <w:rFonts w:hint="eastAsia"/>
        </w:rPr>
        <w:t>条规定的方法检验，试验电压为交流电压</w:t>
      </w:r>
      <w:r>
        <w:t>2500 </w:t>
      </w:r>
      <w:r>
        <w:rPr>
          <w:rFonts w:hint="eastAsia"/>
        </w:rPr>
        <w:t>V，试验电压经受时间为6</w:t>
      </w:r>
      <w:r>
        <w:t>0 s</w:t>
      </w:r>
      <w:r>
        <w:rPr>
          <w:rFonts w:hint="eastAsia"/>
        </w:rPr>
        <w:t>。</w:t>
      </w:r>
    </w:p>
    <w:p w14:paraId="2EAFAFF6">
      <w:pPr>
        <w:pStyle w:val="105"/>
        <w:spacing w:before="120" w:after="120"/>
      </w:pPr>
      <w:bookmarkStart w:id="67" w:name="_Toc210890933"/>
      <w:r>
        <w:rPr>
          <w:rFonts w:hint="eastAsia"/>
        </w:rPr>
        <w:t>温升</w:t>
      </w:r>
      <w:bookmarkEnd w:id="67"/>
    </w:p>
    <w:p w14:paraId="3DCD9717">
      <w:pPr>
        <w:pStyle w:val="56"/>
        <w:ind w:firstLine="420"/>
      </w:pPr>
      <w:r>
        <w:rPr>
          <w:rFonts w:hint="eastAsia"/>
        </w:rPr>
        <w:t>施加</w:t>
      </w:r>
      <w:r>
        <w:t>150 </w:t>
      </w:r>
      <w:r>
        <w:rPr>
          <w:rFonts w:hint="eastAsia"/>
        </w:rPr>
        <w:t>%额定电流持续2</w:t>
      </w:r>
      <w:r>
        <w:t> h</w:t>
      </w:r>
      <w:r>
        <w:rPr>
          <w:rFonts w:hint="eastAsia"/>
        </w:rPr>
        <w:t>后，按GB/T</w:t>
      </w:r>
      <w:r>
        <w:t xml:space="preserve"> 11918.1-2014</w:t>
      </w:r>
      <w:r>
        <w:rPr>
          <w:rFonts w:hint="eastAsia"/>
        </w:rPr>
        <w:t>中第2</w:t>
      </w:r>
      <w:r>
        <w:t>2</w:t>
      </w:r>
      <w:r>
        <w:rPr>
          <w:rFonts w:hint="eastAsia"/>
        </w:rPr>
        <w:t>章规定的方法检验。</w:t>
      </w:r>
    </w:p>
    <w:p w14:paraId="539B3909">
      <w:pPr>
        <w:pStyle w:val="105"/>
        <w:spacing w:before="120" w:after="120"/>
      </w:pPr>
      <w:bookmarkStart w:id="68" w:name="_Toc210890934"/>
      <w:r>
        <w:rPr>
          <w:rFonts w:hint="eastAsia"/>
        </w:rPr>
        <w:t>短时低倍电流过载</w:t>
      </w:r>
      <w:bookmarkEnd w:id="68"/>
    </w:p>
    <w:p w14:paraId="0D929383">
      <w:pPr>
        <w:pStyle w:val="56"/>
        <w:ind w:firstLine="420"/>
      </w:pPr>
      <w:r>
        <w:rPr>
          <w:rFonts w:hint="eastAsia"/>
        </w:rPr>
        <w:t>按GB/T 5095.3-1997中试验方法5</w:t>
      </w:r>
      <w:r>
        <w:t>a</w:t>
      </w:r>
      <w:r>
        <w:rPr>
          <w:rFonts w:hint="eastAsia"/>
        </w:rPr>
        <w:t>进行试验，并按照下列步骤执行：</w:t>
      </w:r>
    </w:p>
    <w:p w14:paraId="05B3327B">
      <w:pPr>
        <w:pStyle w:val="132"/>
      </w:pPr>
      <w:r>
        <w:rPr>
          <w:rFonts w:hint="eastAsia"/>
        </w:rPr>
        <w:t>注塑母排能额定电流至温度稳定；</w:t>
      </w:r>
    </w:p>
    <w:p w14:paraId="334F4A6F">
      <w:pPr>
        <w:pStyle w:val="132"/>
      </w:pPr>
      <w:r>
        <w:rPr>
          <w:rFonts w:hint="eastAsia"/>
        </w:rPr>
        <w:t>将电流提升至2倍额定电流，除非另有规定，通流时间3</w:t>
      </w:r>
      <w:r>
        <w:t>0 s</w:t>
      </w:r>
      <w:r>
        <w:rPr>
          <w:rFonts w:hint="eastAsia"/>
        </w:rPr>
        <w:t>。</w:t>
      </w:r>
    </w:p>
    <w:p w14:paraId="33652E7C">
      <w:pPr>
        <w:pStyle w:val="105"/>
        <w:spacing w:before="120" w:after="120"/>
      </w:pPr>
      <w:bookmarkStart w:id="69" w:name="_Toc210890935"/>
      <w:r>
        <w:rPr>
          <w:rFonts w:hint="eastAsia"/>
        </w:rPr>
        <w:t>瞬时高倍电流过载</w:t>
      </w:r>
      <w:bookmarkEnd w:id="69"/>
    </w:p>
    <w:p w14:paraId="64716C1E">
      <w:pPr>
        <w:pStyle w:val="56"/>
        <w:ind w:firstLine="420"/>
      </w:pPr>
      <w:r>
        <w:rPr>
          <w:rFonts w:hint="eastAsia"/>
        </w:rPr>
        <w:t>按GB/T 5095.5-1997中试验方法</w:t>
      </w:r>
      <w:r>
        <w:t>10d</w:t>
      </w:r>
      <w:r>
        <w:rPr>
          <w:rFonts w:hint="eastAsia"/>
        </w:rPr>
        <w:t>进行试验，过载电流为1</w:t>
      </w:r>
      <w:r>
        <w:t>0 </w:t>
      </w:r>
      <w:r>
        <w:rPr>
          <w:rFonts w:hint="eastAsia"/>
        </w:rPr>
        <w:t>倍额定电流，持续时间1</w:t>
      </w:r>
      <w:r>
        <w:t> s</w:t>
      </w:r>
      <w:r>
        <w:rPr>
          <w:rFonts w:hint="eastAsia"/>
        </w:rPr>
        <w:t>。</w:t>
      </w:r>
    </w:p>
    <w:p w14:paraId="57C03358">
      <w:pPr>
        <w:pStyle w:val="105"/>
        <w:spacing w:before="120" w:after="120"/>
      </w:pPr>
      <w:bookmarkStart w:id="70" w:name="_Toc210890936"/>
      <w:r>
        <w:rPr>
          <w:rFonts w:hint="eastAsia"/>
        </w:rPr>
        <w:t>耐盐雾</w:t>
      </w:r>
      <w:bookmarkEnd w:id="70"/>
    </w:p>
    <w:p w14:paraId="3C9F621A">
      <w:pPr>
        <w:pStyle w:val="56"/>
        <w:ind w:firstLine="420"/>
      </w:pPr>
      <w:r>
        <w:rPr>
          <w:rFonts w:hint="eastAsia"/>
        </w:rPr>
        <w:t>按GB/T</w:t>
      </w:r>
      <w:r>
        <w:t xml:space="preserve"> 2423.17</w:t>
      </w:r>
      <w:r>
        <w:rPr>
          <w:rFonts w:hint="eastAsia"/>
        </w:rPr>
        <w:t>规定的方法检验，试验时间为9</w:t>
      </w:r>
      <w:r>
        <w:t>6 h</w:t>
      </w:r>
      <w:r>
        <w:rPr>
          <w:rFonts w:hint="eastAsia"/>
        </w:rPr>
        <w:t>。</w:t>
      </w:r>
    </w:p>
    <w:p w14:paraId="7395AAD7">
      <w:pPr>
        <w:pStyle w:val="105"/>
        <w:spacing w:before="120" w:after="120"/>
      </w:pPr>
      <w:bookmarkStart w:id="71" w:name="_Toc210890937"/>
      <w:r>
        <w:rPr>
          <w:rFonts w:hint="eastAsia"/>
        </w:rPr>
        <w:t>耐化学腐蚀</w:t>
      </w:r>
      <w:bookmarkEnd w:id="71"/>
    </w:p>
    <w:p w14:paraId="431013B1">
      <w:pPr>
        <w:pStyle w:val="56"/>
        <w:ind w:firstLine="420"/>
      </w:pPr>
      <w:r>
        <w:rPr>
          <w:rFonts w:hint="eastAsia"/>
        </w:rPr>
        <w:t>按GB/T</w:t>
      </w:r>
      <w:r>
        <w:t xml:space="preserve"> 28046.5</w:t>
      </w:r>
      <w:r>
        <w:rPr>
          <w:rFonts w:hint="eastAsia"/>
        </w:rPr>
        <w:t>规定的方法检验，试验化学试剂为冷却液（5</w:t>
      </w:r>
      <w:r>
        <w:t>0 </w:t>
      </w:r>
      <w:r>
        <w:rPr>
          <w:rFonts w:hint="eastAsia"/>
        </w:rPr>
        <w:t>%乙二醇）和电解液L</w:t>
      </w:r>
      <w:r>
        <w:t>iPF</w:t>
      </w:r>
      <w:r>
        <w:rPr>
          <w:vertAlign w:val="subscript"/>
        </w:rPr>
        <w:t>6</w:t>
      </w:r>
      <w:r>
        <w:rPr>
          <w:rFonts w:hint="eastAsia"/>
        </w:rPr>
        <w:t>，试验时间7</w:t>
      </w:r>
      <w:r>
        <w:t>20 h</w:t>
      </w:r>
      <w:r>
        <w:rPr>
          <w:rFonts w:hint="eastAsia"/>
        </w:rPr>
        <w:t>。</w:t>
      </w:r>
    </w:p>
    <w:p w14:paraId="7085CE08">
      <w:pPr>
        <w:pStyle w:val="105"/>
        <w:spacing w:before="120" w:after="120"/>
      </w:pPr>
      <w:bookmarkStart w:id="72" w:name="_Toc210890938"/>
      <w:r>
        <w:rPr>
          <w:rFonts w:hint="eastAsia"/>
        </w:rPr>
        <w:t>机械可靠性</w:t>
      </w:r>
      <w:bookmarkEnd w:id="72"/>
    </w:p>
    <w:p w14:paraId="62DC0AE5">
      <w:pPr>
        <w:pStyle w:val="56"/>
        <w:ind w:firstLine="420"/>
      </w:pPr>
      <w:r>
        <w:rPr>
          <w:rFonts w:hint="eastAsia"/>
        </w:rPr>
        <w:t>按GB/T 28046.3规定的方法试验，试验条件如下：</w:t>
      </w:r>
    </w:p>
    <w:p w14:paraId="2417EB20">
      <w:pPr>
        <w:pStyle w:val="132"/>
      </w:pPr>
      <w:r>
        <w:rPr>
          <w:rFonts w:hint="eastAsia"/>
        </w:rPr>
        <w:t>振动疲劳：</w:t>
      </w:r>
    </w:p>
    <w:p w14:paraId="20C32F9D">
      <w:pPr>
        <w:pStyle w:val="187"/>
      </w:pPr>
      <w:r>
        <w:rPr>
          <w:rFonts w:hint="eastAsia"/>
        </w:rPr>
        <w:t>振动频率：1</w:t>
      </w:r>
      <w:r>
        <w:t>0 </w:t>
      </w:r>
      <w:r>
        <w:rPr>
          <w:rFonts w:hint="eastAsia"/>
        </w:rPr>
        <w:t>Hz～1</w:t>
      </w:r>
      <w:r>
        <w:t>000 </w:t>
      </w:r>
      <w:r>
        <w:rPr>
          <w:rFonts w:hint="eastAsia"/>
        </w:rPr>
        <w:t>Hz（RMS</w:t>
      </w:r>
      <w:r>
        <w:t xml:space="preserve"> 27.8 m/s</w:t>
      </w:r>
      <w:r>
        <w:rPr>
          <w:vertAlign w:val="superscript"/>
        </w:rPr>
        <w:t>2</w:t>
      </w:r>
      <w:r>
        <w:rPr>
          <w:rFonts w:hint="eastAsia"/>
        </w:rPr>
        <w:t>）；</w:t>
      </w:r>
    </w:p>
    <w:p w14:paraId="3409240D">
      <w:pPr>
        <w:pStyle w:val="187"/>
      </w:pPr>
      <w:r>
        <w:rPr>
          <w:rFonts w:hint="eastAsia"/>
        </w:rPr>
        <w:t>循环次数：4</w:t>
      </w:r>
      <w:r>
        <w:t>200 </w:t>
      </w:r>
      <w:r>
        <w:rPr>
          <w:rFonts w:hint="eastAsia"/>
        </w:rPr>
        <w:t>次。</w:t>
      </w:r>
    </w:p>
    <w:p w14:paraId="5D1D8EBA">
      <w:pPr>
        <w:pStyle w:val="132"/>
      </w:pPr>
      <w:r>
        <w:rPr>
          <w:rFonts w:hint="eastAsia"/>
        </w:rPr>
        <w:t>冲击耐久：</w:t>
      </w:r>
    </w:p>
    <w:p w14:paraId="25CD860F">
      <w:pPr>
        <w:pStyle w:val="187"/>
      </w:pPr>
      <w:r>
        <w:rPr>
          <w:rFonts w:hint="eastAsia"/>
        </w:rPr>
        <w:t>半正弦波2</w:t>
      </w:r>
      <w:r>
        <w:t>5 g/15ms</w:t>
      </w:r>
      <w:r>
        <w:rPr>
          <w:rFonts w:hint="eastAsia"/>
        </w:rPr>
        <w:t>冲击；</w:t>
      </w:r>
    </w:p>
    <w:p w14:paraId="54C71EC6">
      <w:pPr>
        <w:pStyle w:val="187"/>
      </w:pPr>
      <w:r>
        <w:rPr>
          <w:rFonts w:hint="eastAsia"/>
        </w:rPr>
        <w:t>3个方向；</w:t>
      </w:r>
    </w:p>
    <w:p w14:paraId="7A4FFEBA">
      <w:pPr>
        <w:pStyle w:val="187"/>
      </w:pPr>
      <w:r>
        <w:rPr>
          <w:rFonts w:hint="eastAsia"/>
        </w:rPr>
        <w:t>冲击</w:t>
      </w:r>
      <w:r>
        <w:t>100 </w:t>
      </w:r>
      <w:r>
        <w:rPr>
          <w:rFonts w:hint="eastAsia"/>
        </w:rPr>
        <w:t>次。</w:t>
      </w:r>
    </w:p>
    <w:p w14:paraId="29268F32">
      <w:pPr>
        <w:pStyle w:val="105"/>
        <w:spacing w:before="120" w:after="120"/>
      </w:pPr>
      <w:bookmarkStart w:id="73" w:name="_Toc210890939"/>
      <w:r>
        <w:rPr>
          <w:rFonts w:hint="eastAsia"/>
        </w:rPr>
        <w:t>耐火安全性</w:t>
      </w:r>
      <w:bookmarkEnd w:id="73"/>
    </w:p>
    <w:p w14:paraId="51114630">
      <w:pPr>
        <w:pStyle w:val="56"/>
        <w:ind w:firstLine="420"/>
      </w:pPr>
      <w:r>
        <w:rPr>
          <w:rFonts w:hint="eastAsia"/>
        </w:rPr>
        <w:t>按</w:t>
      </w:r>
      <w:r>
        <w:t>GB 38031-2020</w:t>
      </w:r>
      <w:r>
        <w:rPr>
          <w:rFonts w:hint="eastAsia"/>
        </w:rPr>
        <w:t>中8.</w:t>
      </w:r>
      <w:r>
        <w:t>2</w:t>
      </w:r>
      <w:r>
        <w:rPr>
          <w:rFonts w:hint="eastAsia"/>
        </w:rPr>
        <w:t>.</w:t>
      </w:r>
      <w:r>
        <w:t>7.1</w:t>
      </w:r>
      <w:r>
        <w:rPr>
          <w:rFonts w:hint="eastAsia"/>
        </w:rPr>
        <w:t>进行试验，试验条件如下：</w:t>
      </w:r>
    </w:p>
    <w:p w14:paraId="0B811C33">
      <w:pPr>
        <w:pStyle w:val="132"/>
      </w:pPr>
      <w:r>
        <w:rPr>
          <w:rFonts w:hint="eastAsia"/>
        </w:rPr>
        <w:t>火焰温度：9</w:t>
      </w:r>
      <w:r>
        <w:t>50 </w:t>
      </w:r>
      <w:r>
        <w:rPr>
          <w:rFonts w:hint="eastAsia"/>
        </w:rPr>
        <w:t>℃；</w:t>
      </w:r>
    </w:p>
    <w:p w14:paraId="12DBC5F7">
      <w:pPr>
        <w:pStyle w:val="132"/>
      </w:pPr>
      <w:r>
        <w:rPr>
          <w:rFonts w:hint="eastAsia"/>
        </w:rPr>
        <w:t>灼烧时间≥5</w:t>
      </w:r>
      <w:r>
        <w:t> min</w:t>
      </w:r>
      <w:r>
        <w:rPr>
          <w:rFonts w:hint="eastAsia"/>
        </w:rPr>
        <w:t>；</w:t>
      </w:r>
      <w:r>
        <w:t xml:space="preserve"> </w:t>
      </w:r>
    </w:p>
    <w:p w14:paraId="37C5BA47">
      <w:pPr>
        <w:pStyle w:val="132"/>
      </w:pPr>
      <w:r>
        <w:rPr>
          <w:rFonts w:hint="eastAsia"/>
        </w:rPr>
        <w:t>灼烧位置：非金属部分。</w:t>
      </w:r>
    </w:p>
    <w:p w14:paraId="449F0644">
      <w:pPr>
        <w:pStyle w:val="105"/>
        <w:spacing w:before="120" w:after="120"/>
      </w:pPr>
      <w:bookmarkStart w:id="74" w:name="_Toc210890940"/>
      <w:r>
        <w:rPr>
          <w:rFonts w:hint="eastAsia"/>
        </w:rPr>
        <w:t>复合环境耐受性</w:t>
      </w:r>
      <w:bookmarkEnd w:id="74"/>
    </w:p>
    <w:p w14:paraId="7FD444F3">
      <w:pPr>
        <w:pStyle w:val="165"/>
      </w:pPr>
      <w:r>
        <w:rPr>
          <w:rFonts w:hint="eastAsia"/>
        </w:rPr>
        <w:t>按GB/T 2423.35规定的方法检验，试验条件如下：</w:t>
      </w:r>
    </w:p>
    <w:p w14:paraId="335CBDCD">
      <w:pPr>
        <w:pStyle w:val="132"/>
      </w:pPr>
      <w:r>
        <w:rPr>
          <w:rFonts w:hint="eastAsia"/>
        </w:rPr>
        <w:t>试验温度范围：4</w:t>
      </w:r>
      <w:r>
        <w:t>0 </w:t>
      </w:r>
      <w:r>
        <w:rPr>
          <w:rFonts w:hint="eastAsia"/>
        </w:rPr>
        <w:t>℃～1</w:t>
      </w:r>
      <w:r>
        <w:t>25 </w:t>
      </w:r>
      <w:r>
        <w:rPr>
          <w:rFonts w:hint="eastAsia"/>
        </w:rPr>
        <w:t>℃；</w:t>
      </w:r>
    </w:p>
    <w:p w14:paraId="0EB5795E">
      <w:pPr>
        <w:pStyle w:val="132"/>
      </w:pPr>
      <w:r>
        <w:rPr>
          <w:rFonts w:hint="eastAsia"/>
        </w:rPr>
        <w:t>循环次数：1</w:t>
      </w:r>
      <w:r>
        <w:t>000 </w:t>
      </w:r>
      <w:r>
        <w:rPr>
          <w:rFonts w:hint="eastAsia"/>
        </w:rPr>
        <w:t>次；</w:t>
      </w:r>
    </w:p>
    <w:p w14:paraId="3F4C3E1E">
      <w:pPr>
        <w:pStyle w:val="132"/>
      </w:pPr>
      <w:r>
        <w:rPr>
          <w:rFonts w:hint="eastAsia"/>
        </w:rPr>
        <w:t>振动频率：1</w:t>
      </w:r>
      <w:r>
        <w:t>0 </w:t>
      </w:r>
      <w:r>
        <w:rPr>
          <w:rFonts w:hint="eastAsia"/>
        </w:rPr>
        <w:t>Hz～</w:t>
      </w:r>
      <w:r>
        <w:t>500 </w:t>
      </w:r>
      <w:r>
        <w:rPr>
          <w:rFonts w:hint="eastAsia"/>
        </w:rPr>
        <w:t>Hz，P</w:t>
      </w:r>
      <w:r>
        <w:t>SD 0.04 g</w:t>
      </w:r>
      <w:r>
        <w:rPr>
          <w:vertAlign w:val="superscript"/>
        </w:rPr>
        <w:t>2</w:t>
      </w:r>
      <w:r>
        <w:t>/Hz</w:t>
      </w:r>
      <w:r>
        <w:rPr>
          <w:rFonts w:hint="eastAsia"/>
        </w:rPr>
        <w:t>。</w:t>
      </w:r>
    </w:p>
    <w:p w14:paraId="6D1871FD">
      <w:pPr>
        <w:pStyle w:val="165"/>
      </w:pPr>
      <w:r>
        <w:rPr>
          <w:rFonts w:hint="eastAsia"/>
        </w:rPr>
        <w:t>绝缘电阻按GB/T 5095.2-1997中1</w:t>
      </w:r>
      <w:r>
        <w:t>1.4.3</w:t>
      </w:r>
      <w:r>
        <w:rPr>
          <w:rFonts w:hint="eastAsia"/>
        </w:rPr>
        <w:t>条规定的方法检验，电阻变化率按公式（1）计算。</w:t>
      </w:r>
    </w:p>
    <w:p w14:paraId="7BDDA4A0">
      <w:pPr>
        <w:pStyle w:val="113"/>
      </w:pPr>
      <w:r>
        <w:tab/>
      </w:r>
      <m:oMath>
        <m:r>
          <m:rPr/>
          <w:rPr>
            <w:rFonts w:ascii="Cambria Math" w:hAnsi="Cambria Math"/>
          </w:rPr>
          <m:t>∆R=</m:t>
        </m:r>
        <m:f>
          <m:fPr>
            <m:ctrlPr>
              <w:rPr>
                <w:rFonts w:ascii="Cambria Math" w:hAnsi="Cambria Math"/>
                <w:i/>
              </w:rPr>
            </m:ctrlPr>
          </m:fPr>
          <m:num>
            <m:r>
              <m:rPr/>
              <w:rPr>
                <w:rFonts w:hint="eastAsia"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s</m:t>
                </m:r>
                <m:ctrlPr>
                  <w:rPr>
                    <w:rFonts w:ascii="Cambria Math" w:hAnsi="Cambria Math"/>
                    <w:i/>
                  </w:rPr>
                </m:ctrlPr>
              </m:sub>
            </m:sSub>
            <m:r>
              <m:rPr/>
              <w:rPr>
                <w:rFonts w:ascii="Cambria Math" w:hAnsi="Cambria Math"/>
              </w:rPr>
              <m:t>−</m:t>
            </m:r>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e</m:t>
                </m:r>
                <m:ctrlPr>
                  <w:rPr>
                    <w:rFonts w:ascii="Cambria Math" w:hAnsi="Cambria Math"/>
                    <w:i/>
                  </w:rPr>
                </m:ctrlPr>
              </m:sub>
            </m:sSub>
            <m:r>
              <m:rPr/>
              <w:rPr>
                <w:rFonts w:hint="eastAsia" w:ascii="Cambria Math" w:hAnsi="Cambria Math"/>
              </w:rPr>
              <m:t>|</m:t>
            </m:r>
            <m:ctrlPr>
              <w:rPr>
                <w:rFonts w:ascii="Cambria Math" w:hAnsi="Cambria Math"/>
                <w:i/>
              </w:rPr>
            </m:ctrlPr>
          </m:num>
          <m:den>
            <m:sSub>
              <m:sSubPr>
                <m:ctrlPr>
                  <w:rPr>
                    <w:rFonts w:ascii="Cambria Math" w:hAnsi="Cambria Math"/>
                    <w:i/>
                  </w:rPr>
                </m:ctrlPr>
              </m:sSubPr>
              <m:e>
                <m:r>
                  <m:rPr/>
                  <w:rPr>
                    <w:rFonts w:ascii="Cambria Math" w:hAnsi="Cambria Math"/>
                  </w:rPr>
                  <m:t>R</m:t>
                </m:r>
                <m:ctrlPr>
                  <w:rPr>
                    <w:rFonts w:ascii="Cambria Math" w:hAnsi="Cambria Math"/>
                    <w:i/>
                  </w:rPr>
                </m:ctrlPr>
              </m:e>
              <m:sub>
                <m:r>
                  <m:rPr/>
                  <w:rPr>
                    <w:rFonts w:ascii="Cambria Math" w:hAnsi="Cambria Math"/>
                  </w:rPr>
                  <m:t>s</m:t>
                </m:r>
                <m:ctrlPr>
                  <w:rPr>
                    <w:rFonts w:ascii="Cambria Math" w:hAnsi="Cambria Math"/>
                    <w:i/>
                  </w:rPr>
                </m:ctrlPr>
              </m:sub>
            </m:sSub>
            <m:ctrlPr>
              <w:rPr>
                <w:rFonts w:ascii="Cambria Math" w:hAnsi="Cambria Math"/>
                <w:i/>
              </w:rPr>
            </m:ctrlPr>
          </m:den>
        </m:f>
        <m:r>
          <m:rPr/>
          <w:rPr>
            <w:rFonts w:ascii="Cambria Math" w:hAnsi="Cambria Math"/>
          </w:rPr>
          <m:t>×100</m:t>
        </m:r>
        <m:r>
          <m:rPr/>
          <w:rPr>
            <w:rFonts w:hint="eastAsia" w:ascii="Cambria Math" w:hAnsi="Cambria Math"/>
          </w:rPr>
          <m:t>%</m:t>
        </m:r>
      </m:oMath>
      <w:r>
        <w:rPr>
          <w:rFonts w:ascii="微软雅黑" w:hAnsi="微软雅黑" w:eastAsia="微软雅黑"/>
        </w:rPr>
        <w:tab/>
      </w:r>
      <w:r>
        <w:t>(</w:t>
      </w:r>
      <w:r>
        <w:fldChar w:fldCharType="begin"/>
      </w:r>
      <w:r>
        <w:instrText xml:space="preserve"> AUTONUM </w:instrText>
      </w:r>
      <w:r>
        <w:fldChar w:fldCharType="end"/>
      </w:r>
      <w:r>
        <w:t>)</w:t>
      </w:r>
    </w:p>
    <w:p w14:paraId="6E2FF2F5">
      <w:pPr>
        <w:pStyle w:val="55"/>
        <w:ind w:firstLine="420"/>
      </w:pPr>
      <w:r>
        <w:rPr>
          <w:rFonts w:hint="eastAsia"/>
        </w:rPr>
        <w:t>式中：</w:t>
      </w:r>
    </w:p>
    <w:p w14:paraId="087A5B60">
      <w:pPr>
        <w:pStyle w:val="56"/>
        <w:ind w:firstLine="420"/>
      </w:pPr>
      <w:r>
        <w:rPr>
          <w:rFonts w:hint="eastAsia"/>
        </w:rPr>
        <w:t>△R—电阻变化率，%；</w:t>
      </w:r>
    </w:p>
    <w:p w14:paraId="6ACAC3DA">
      <w:pPr>
        <w:pStyle w:val="56"/>
        <w:ind w:firstLine="420"/>
      </w:pPr>
      <w:r>
        <w:rPr>
          <w:rFonts w:hint="eastAsia"/>
        </w:rPr>
        <w:t>R</w:t>
      </w:r>
      <w:r>
        <w:rPr>
          <w:rFonts w:hint="eastAsia"/>
          <w:vertAlign w:val="subscript"/>
        </w:rPr>
        <w:t>s</w:t>
      </w:r>
      <w:r>
        <w:rPr>
          <w:rFonts w:hint="eastAsia"/>
        </w:rPr>
        <w:t>—试验开始前电阻值，Ω；</w:t>
      </w:r>
    </w:p>
    <w:p w14:paraId="73A2F403">
      <w:pPr>
        <w:pStyle w:val="56"/>
        <w:ind w:firstLine="420"/>
      </w:pPr>
      <w:r>
        <w:rPr>
          <w:rFonts w:hint="eastAsia"/>
        </w:rPr>
        <w:t>R</w:t>
      </w:r>
      <w:r>
        <w:rPr>
          <w:vertAlign w:val="subscript"/>
        </w:rPr>
        <w:t>e</w:t>
      </w:r>
      <w:r>
        <w:rPr>
          <w:rFonts w:hint="eastAsia"/>
        </w:rPr>
        <w:t>—试验结束后电阻值，Ω。</w:t>
      </w:r>
    </w:p>
    <w:p w14:paraId="4202F50D">
      <w:pPr>
        <w:pStyle w:val="105"/>
        <w:spacing w:before="120" w:after="120"/>
      </w:pPr>
      <w:bookmarkStart w:id="75" w:name="_Toc210890941"/>
      <w:r>
        <w:rPr>
          <w:rFonts w:hint="eastAsia"/>
        </w:rPr>
        <w:t>禁用物质限量</w:t>
      </w:r>
      <w:bookmarkEnd w:id="75"/>
    </w:p>
    <w:p w14:paraId="520E9E95">
      <w:pPr>
        <w:pStyle w:val="56"/>
        <w:ind w:firstLine="420"/>
      </w:pPr>
      <w:r>
        <w:rPr>
          <w:rFonts w:hint="eastAsia"/>
        </w:rPr>
        <w:t>按GB/T 30512-2014第</w:t>
      </w:r>
      <w:r>
        <w:t>5</w:t>
      </w:r>
      <w:r>
        <w:rPr>
          <w:rFonts w:hint="eastAsia"/>
        </w:rPr>
        <w:t>章规定的方法执行。</w:t>
      </w:r>
    </w:p>
    <w:p w14:paraId="53032581">
      <w:pPr>
        <w:pStyle w:val="104"/>
        <w:spacing w:before="240" w:after="240"/>
      </w:pPr>
      <w:bookmarkStart w:id="76" w:name="_Toc210890942"/>
      <w:r>
        <w:rPr>
          <w:rFonts w:hint="eastAsia"/>
        </w:rPr>
        <w:t>检验规则</w:t>
      </w:r>
      <w:bookmarkEnd w:id="76"/>
    </w:p>
    <w:p w14:paraId="08C51939">
      <w:pPr>
        <w:pStyle w:val="162"/>
      </w:pPr>
      <w:r>
        <w:rPr>
          <w:rFonts w:hint="eastAsia"/>
        </w:rPr>
        <w:t>注塑母排应由制造厂检验合格后方能出厂。出厂产品应附有制造厂的产品质量检验合格证。</w:t>
      </w:r>
    </w:p>
    <w:p w14:paraId="0C6566D1">
      <w:pPr>
        <w:pStyle w:val="162"/>
      </w:pPr>
      <w:r>
        <w:rPr>
          <w:rFonts w:hint="eastAsia"/>
        </w:rPr>
        <w:t>注塑母排检验应符合本文件第6章的规定。</w:t>
      </w:r>
    </w:p>
    <w:p w14:paraId="292621DD">
      <w:pPr>
        <w:pStyle w:val="162"/>
      </w:pPr>
      <w:r>
        <w:rPr>
          <w:rFonts w:hint="eastAsia"/>
        </w:rPr>
        <w:t>产品抽样试验时，第一次抽检不合格时，应从该批的其余包装上另取双倍数量的试样就不合格项目进行第二次试验；仍不合格时，应100</w:t>
      </w:r>
      <w:r>
        <w:t> </w:t>
      </w:r>
      <w:r>
        <w:rPr>
          <w:rFonts w:hint="eastAsia"/>
        </w:rPr>
        <w:t>%检验。如需方另有要求，则产品的抽样规则可由供需双方协商确定。</w:t>
      </w:r>
    </w:p>
    <w:p w14:paraId="51DAF501">
      <w:pPr>
        <w:pStyle w:val="104"/>
        <w:spacing w:before="240" w:after="240"/>
      </w:pPr>
      <w:bookmarkStart w:id="77" w:name="_Toc210890943"/>
      <w:r>
        <w:rPr>
          <w:rFonts w:hint="eastAsia"/>
        </w:rPr>
        <w:t>包装和运输</w:t>
      </w:r>
      <w:bookmarkEnd w:id="77"/>
    </w:p>
    <w:p w14:paraId="57F6004D">
      <w:pPr>
        <w:pStyle w:val="162"/>
      </w:pPr>
      <w:r>
        <w:rPr>
          <w:rFonts w:hint="eastAsia"/>
        </w:rPr>
        <w:t>产品应成捆、成圈或成箱包装，每个包装件应为同一型号、同一规格产品。</w:t>
      </w:r>
    </w:p>
    <w:p w14:paraId="13767B1E">
      <w:pPr>
        <w:pStyle w:val="132"/>
      </w:pPr>
      <w:r>
        <w:rPr>
          <w:rFonts w:hint="eastAsia"/>
        </w:rPr>
        <w:t>产品应妥善包装，至少捆扎三处，加垫防潮纸，并用麻布或类似材料包扎。</w:t>
      </w:r>
    </w:p>
    <w:p w14:paraId="435DEC04">
      <w:pPr>
        <w:pStyle w:val="132"/>
      </w:pPr>
      <w:r>
        <w:rPr>
          <w:rFonts w:hint="eastAsia"/>
        </w:rPr>
        <w:t>每个包装上应有标签，并标明：</w:t>
      </w:r>
    </w:p>
    <w:p w14:paraId="05341F30">
      <w:pPr>
        <w:pStyle w:val="132"/>
      </w:pPr>
      <w:r>
        <w:rPr>
          <w:rFonts w:hint="eastAsia"/>
        </w:rPr>
        <w:t>制造厂名称或商标；</w:t>
      </w:r>
    </w:p>
    <w:p w14:paraId="3B9D1DB9">
      <w:pPr>
        <w:pStyle w:val="132"/>
      </w:pPr>
      <w:r>
        <w:rPr>
          <w:rFonts w:hint="eastAsia"/>
        </w:rPr>
        <w:t>产品型号及规格；</w:t>
      </w:r>
    </w:p>
    <w:p w14:paraId="5FDE7DAC">
      <w:pPr>
        <w:pStyle w:val="132"/>
      </w:pPr>
      <w:r>
        <w:rPr>
          <w:rFonts w:hint="eastAsia"/>
        </w:rPr>
        <w:t>毛重及净重；</w:t>
      </w:r>
    </w:p>
    <w:p w14:paraId="47EFDF11">
      <w:pPr>
        <w:pStyle w:val="132"/>
      </w:pPr>
      <w:r>
        <w:rPr>
          <w:rFonts w:hint="eastAsia"/>
        </w:rPr>
        <w:t>生产日期；</w:t>
      </w:r>
    </w:p>
    <w:p w14:paraId="74E18D08">
      <w:pPr>
        <w:pStyle w:val="132"/>
      </w:pPr>
      <w:r>
        <w:rPr>
          <w:rFonts w:hint="eastAsia"/>
        </w:rPr>
        <w:t>本文件编号。</w:t>
      </w:r>
    </w:p>
    <w:p w14:paraId="384DE870">
      <w:pPr>
        <w:pStyle w:val="162"/>
      </w:pPr>
      <w:r>
        <w:rPr>
          <w:rFonts w:hint="eastAsia"/>
        </w:rPr>
        <w:t>在正常装卸、运输和保管中，应注意避免损伤产品。</w:t>
      </w:r>
    </w:p>
    <w:bookmarkEnd w:id="22"/>
    <w:p w14:paraId="5801DF55">
      <w:pPr>
        <w:pStyle w:val="56"/>
        <w:ind w:firstLine="0" w:firstLineChars="0"/>
        <w:jc w:val="center"/>
      </w:pPr>
      <w:bookmarkStart w:id="78" w:name="BookMark8"/>
      <w:r>
        <w:rPr>
          <w:rFonts w:hint="eastAsia"/>
        </w:rPr>
        <w:drawing>
          <wp:inline distT="0" distB="0" distL="0" distR="0">
            <wp:extent cx="1114425" cy="238125"/>
            <wp:effectExtent l="0" t="0" r="9525" b="952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26">
                      <a:extLst>
                        <a:ext uri="{28A0092B-C50C-407E-A947-70E740481C1C}">
                          <a14:useLocalDpi xmlns:a14="http://schemas.microsoft.com/office/drawing/2010/main" val="0"/>
                        </a:ext>
                      </a:extLst>
                    </a:blip>
                    <a:stretch>
                      <a:fillRect/>
                    </a:stretch>
                  </pic:blipFill>
                  <pic:spPr>
                    <a:xfrm>
                      <a:off x="0" y="0"/>
                      <a:ext cx="1114425" cy="238125"/>
                    </a:xfrm>
                    <a:prstGeom prst="rect">
                      <a:avLst/>
                    </a:prstGeom>
                  </pic:spPr>
                </pic:pic>
              </a:graphicData>
            </a:graphic>
          </wp:inline>
        </w:drawing>
      </w:r>
      <w:bookmarkEnd w:id="78"/>
    </w:p>
    <w:sectPr>
      <w:headerReference r:id="rId19" w:type="default"/>
      <w:footerReference r:id="rId21" w:type="default"/>
      <w:headerReference r:id="rId20" w:type="even"/>
      <w:footerReference r:id="rId22"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215A3E">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A7673">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C97267">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248FB7">
    <w:pPr>
      <w:pStyle w:val="52"/>
    </w:pPr>
    <w:r>
      <w:fldChar w:fldCharType="begin"/>
    </w:r>
    <w:r>
      <w:instrText xml:space="preserve">PAGE   \* MERGEFORMAT</w:instrText>
    </w:r>
    <w:r>
      <w:fldChar w:fldCharType="separate"/>
    </w:r>
    <w:r>
      <w:rPr>
        <w:lang w:val="zh-CN"/>
      </w:rPr>
      <w:t>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962E0E">
    <w:pPr>
      <w:pStyle w:val="51"/>
    </w:pPr>
    <w:r>
      <w:fldChar w:fldCharType="begin"/>
    </w:r>
    <w:r>
      <w:instrText xml:space="preserve"> PAGE   \* MERGEFORMAT \* MERGEFORMAT </w:instrText>
    </w:r>
    <w:r>
      <w:fldChar w:fldCharType="separate"/>
    </w:r>
    <w:r>
      <w:t>II</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4F5AEA">
    <w:pPr>
      <w:pStyle w:val="52"/>
    </w:pPr>
    <w:r>
      <w:fldChar w:fldCharType="begin"/>
    </w:r>
    <w:r>
      <w:instrText xml:space="preserve">PAGE   \* MERGEFORMAT</w:instrText>
    </w:r>
    <w:r>
      <w:fldChar w:fldCharType="separate"/>
    </w:r>
    <w:r>
      <w:rPr>
        <w:lang w:val="zh-CN"/>
      </w:rP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5792EF">
    <w:pPr>
      <w:pStyle w:val="51"/>
    </w:pPr>
    <w:r>
      <w:fldChar w:fldCharType="begin"/>
    </w:r>
    <w:r>
      <w:instrText xml:space="preserve"> PAGE   \* MERGEFORMAT \* MERGEFORMAT </w:instrText>
    </w:r>
    <w:r>
      <w:fldChar w:fldCharType="separate"/>
    </w:r>
    <w:r>
      <w:t>II</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9E022">
    <w:pPr>
      <w:pStyle w:val="52"/>
    </w:pPr>
    <w:r>
      <w:fldChar w:fldCharType="begin"/>
    </w:r>
    <w:r>
      <w:instrText xml:space="preserve">PAGE   \* MERGEFORMAT</w:instrText>
    </w:r>
    <w:r>
      <w:fldChar w:fldCharType="separate"/>
    </w:r>
    <w:r>
      <w:rPr>
        <w:lang w:val="zh-CN"/>
      </w:rP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8FD7E">
    <w:pPr>
      <w:pStyle w:val="51"/>
    </w:pPr>
    <w:r>
      <w:fldChar w:fldCharType="begin"/>
    </w:r>
    <w:r>
      <w:instrText xml:space="preserve"> PAGE   \* MERGEFORMAT \* MERGEFORMAT </w:instrText>
    </w:r>
    <w:r>
      <w:fldChar w:fldCharType="separate"/>
    </w:r>
    <w:r>
      <w:t>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4FB60B">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72BFD3">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7984C">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87C7B">
    <w:pPr>
      <w:pStyle w:val="61"/>
    </w:pPr>
    <w:r>
      <w:fldChar w:fldCharType="begin"/>
    </w:r>
    <w:r>
      <w:instrText xml:space="preserve"> STYLEREF  标准文件_文件编号  \* MERGEFORMAT </w:instrText>
    </w:r>
    <w:r>
      <w:fldChar w:fldCharType="separate"/>
    </w:r>
    <w:r>
      <w:t>T/CASMES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AD467A">
    <w:pPr>
      <w:pStyle w:val="62"/>
    </w:pPr>
    <w:r>
      <w:fldChar w:fldCharType="begin"/>
    </w:r>
    <w:r>
      <w:instrText xml:space="preserve"> STYLEREF  标准文件_文件编号 \* MERGEFORMAT </w:instrText>
    </w:r>
    <w:r>
      <w:fldChar w:fldCharType="separate"/>
    </w:r>
    <w:r>
      <w:t>T/CASMES XXXX—XXXX</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ACD06">
    <w:pPr>
      <w:pStyle w:val="61"/>
    </w:pPr>
    <w:r>
      <w:fldChar w:fldCharType="begin"/>
    </w:r>
    <w:r>
      <w:instrText xml:space="preserve"> STYLEREF  标准文件_文件编号  \* MERGEFORMAT </w:instrText>
    </w:r>
    <w:r>
      <w:fldChar w:fldCharType="separate"/>
    </w:r>
    <w:r>
      <w:t>T/CASMES XXXX—XXXX</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B9D93">
    <w:pPr>
      <w:pStyle w:val="62"/>
    </w:pPr>
    <w:r>
      <w:fldChar w:fldCharType="begin"/>
    </w:r>
    <w:r>
      <w:instrText xml:space="preserve"> STYLEREF  标准文件_文件编号 \* MERGEFORMAT </w:instrText>
    </w:r>
    <w:r>
      <w:fldChar w:fldCharType="separate"/>
    </w:r>
    <w:r>
      <w:t>T/CASMES XXXX—XXXX</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2B448">
    <w:pPr>
      <w:pStyle w:val="61"/>
    </w:pPr>
    <w:r>
      <w:fldChar w:fldCharType="begin"/>
    </w:r>
    <w:r>
      <w:instrText xml:space="preserve"> STYLEREF  标准文件_文件编号  \* MERGEFORMAT </w:instrText>
    </w:r>
    <w:r>
      <w:fldChar w:fldCharType="separate"/>
    </w:r>
    <w:r>
      <w:t>T/CASMES XXXX—XXXX</w:t>
    </w:r>
    <w: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6E2E25">
    <w:pPr>
      <w:pStyle w:val="62"/>
    </w:pPr>
    <w:r>
      <w:fldChar w:fldCharType="begin"/>
    </w:r>
    <w:r>
      <w:instrText xml:space="preserve"> STYLEREF  标准文件_文件编号 \* MERGEFORMAT </w:instrText>
    </w:r>
    <w:r>
      <w:fldChar w:fldCharType="separate"/>
    </w:r>
    <w:r>
      <w:t>T/CASMES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0D8"/>
    <w:rsid w:val="0000040A"/>
    <w:rsid w:val="00000A94"/>
    <w:rsid w:val="00001972"/>
    <w:rsid w:val="00001D9A"/>
    <w:rsid w:val="00007B3A"/>
    <w:rsid w:val="00007DB8"/>
    <w:rsid w:val="000107E0"/>
    <w:rsid w:val="00011FDE"/>
    <w:rsid w:val="00012FFD"/>
    <w:rsid w:val="00014162"/>
    <w:rsid w:val="00014340"/>
    <w:rsid w:val="00016A9C"/>
    <w:rsid w:val="000201BB"/>
    <w:rsid w:val="00022184"/>
    <w:rsid w:val="00022762"/>
    <w:rsid w:val="000238E0"/>
    <w:rsid w:val="000249DB"/>
    <w:rsid w:val="0002595E"/>
    <w:rsid w:val="000303C3"/>
    <w:rsid w:val="000331D3"/>
    <w:rsid w:val="000346A5"/>
    <w:rsid w:val="000359C3"/>
    <w:rsid w:val="00035A7D"/>
    <w:rsid w:val="00036179"/>
    <w:rsid w:val="000365ED"/>
    <w:rsid w:val="0004249A"/>
    <w:rsid w:val="00043282"/>
    <w:rsid w:val="00044286"/>
    <w:rsid w:val="00047F28"/>
    <w:rsid w:val="000503AA"/>
    <w:rsid w:val="000506A1"/>
    <w:rsid w:val="000515DD"/>
    <w:rsid w:val="0005265A"/>
    <w:rsid w:val="00052F48"/>
    <w:rsid w:val="000539DD"/>
    <w:rsid w:val="00053BD3"/>
    <w:rsid w:val="000556ED"/>
    <w:rsid w:val="00055FE2"/>
    <w:rsid w:val="0005616F"/>
    <w:rsid w:val="00060C2E"/>
    <w:rsid w:val="00061033"/>
    <w:rsid w:val="000619E9"/>
    <w:rsid w:val="000622D4"/>
    <w:rsid w:val="0006357D"/>
    <w:rsid w:val="000639BA"/>
    <w:rsid w:val="00067F1E"/>
    <w:rsid w:val="00071CC0"/>
    <w:rsid w:val="00071CFC"/>
    <w:rsid w:val="00073C8C"/>
    <w:rsid w:val="00077757"/>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5CFC"/>
    <w:rsid w:val="0011711C"/>
    <w:rsid w:val="00124E4F"/>
    <w:rsid w:val="001260B7"/>
    <w:rsid w:val="001265CB"/>
    <w:rsid w:val="001321C6"/>
    <w:rsid w:val="001325C4"/>
    <w:rsid w:val="00133010"/>
    <w:rsid w:val="001338EE"/>
    <w:rsid w:val="00133AAE"/>
    <w:rsid w:val="00135323"/>
    <w:rsid w:val="001356C4"/>
    <w:rsid w:val="00137565"/>
    <w:rsid w:val="00140688"/>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48E"/>
    <w:rsid w:val="00170804"/>
    <w:rsid w:val="001708E9"/>
    <w:rsid w:val="0017340B"/>
    <w:rsid w:val="00173FB1"/>
    <w:rsid w:val="00176DFD"/>
    <w:rsid w:val="001852C9"/>
    <w:rsid w:val="00187A0B"/>
    <w:rsid w:val="00190087"/>
    <w:rsid w:val="0019092C"/>
    <w:rsid w:val="001913C4"/>
    <w:rsid w:val="0019348F"/>
    <w:rsid w:val="00193A07"/>
    <w:rsid w:val="00194C95"/>
    <w:rsid w:val="00195C34"/>
    <w:rsid w:val="00196EF5"/>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D7479"/>
    <w:rsid w:val="001E0CD2"/>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1AFC"/>
    <w:rsid w:val="00202AA4"/>
    <w:rsid w:val="002031F7"/>
    <w:rsid w:val="002040E6"/>
    <w:rsid w:val="0020527B"/>
    <w:rsid w:val="00205F2C"/>
    <w:rsid w:val="00210B15"/>
    <w:rsid w:val="002142EA"/>
    <w:rsid w:val="00215ADD"/>
    <w:rsid w:val="002204BB"/>
    <w:rsid w:val="00220911"/>
    <w:rsid w:val="00221B79"/>
    <w:rsid w:val="00221C6B"/>
    <w:rsid w:val="002253A1"/>
    <w:rsid w:val="00225CF8"/>
    <w:rsid w:val="0022794E"/>
    <w:rsid w:val="00233D64"/>
    <w:rsid w:val="0023482A"/>
    <w:rsid w:val="002359CB"/>
    <w:rsid w:val="00243540"/>
    <w:rsid w:val="00244625"/>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143"/>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783"/>
    <w:rsid w:val="00296C66"/>
    <w:rsid w:val="00296EBE"/>
    <w:rsid w:val="002974E3"/>
    <w:rsid w:val="002A084B"/>
    <w:rsid w:val="002A1260"/>
    <w:rsid w:val="002A1589"/>
    <w:rsid w:val="002A1608"/>
    <w:rsid w:val="002A25DC"/>
    <w:rsid w:val="002A3AAB"/>
    <w:rsid w:val="002A4CEA"/>
    <w:rsid w:val="002A5843"/>
    <w:rsid w:val="002A5977"/>
    <w:rsid w:val="002A5A13"/>
    <w:rsid w:val="002A757F"/>
    <w:rsid w:val="002A7F44"/>
    <w:rsid w:val="002B0C40"/>
    <w:rsid w:val="002B1966"/>
    <w:rsid w:val="002B4508"/>
    <w:rsid w:val="002B5779"/>
    <w:rsid w:val="002B7332"/>
    <w:rsid w:val="002B7A2D"/>
    <w:rsid w:val="002B7F51"/>
    <w:rsid w:val="002C09E7"/>
    <w:rsid w:val="002C1E06"/>
    <w:rsid w:val="002C3F07"/>
    <w:rsid w:val="002C5278"/>
    <w:rsid w:val="002C7EBB"/>
    <w:rsid w:val="002D06C1"/>
    <w:rsid w:val="002D42B5"/>
    <w:rsid w:val="002D4F1A"/>
    <w:rsid w:val="002D6EC6"/>
    <w:rsid w:val="002D79AC"/>
    <w:rsid w:val="002E039D"/>
    <w:rsid w:val="002E3EA2"/>
    <w:rsid w:val="002E4D5A"/>
    <w:rsid w:val="002E6326"/>
    <w:rsid w:val="002E7E6F"/>
    <w:rsid w:val="002F30E0"/>
    <w:rsid w:val="002F35E4"/>
    <w:rsid w:val="002F3730"/>
    <w:rsid w:val="002F38E1"/>
    <w:rsid w:val="002F7AF6"/>
    <w:rsid w:val="00300E63"/>
    <w:rsid w:val="00302F5F"/>
    <w:rsid w:val="0030441D"/>
    <w:rsid w:val="00306063"/>
    <w:rsid w:val="00313A11"/>
    <w:rsid w:val="00313B85"/>
    <w:rsid w:val="00317988"/>
    <w:rsid w:val="003221B4"/>
    <w:rsid w:val="0032258D"/>
    <w:rsid w:val="00322E62"/>
    <w:rsid w:val="00324D13"/>
    <w:rsid w:val="00324EDD"/>
    <w:rsid w:val="003331E4"/>
    <w:rsid w:val="00336C64"/>
    <w:rsid w:val="00337162"/>
    <w:rsid w:val="00337498"/>
    <w:rsid w:val="0034194F"/>
    <w:rsid w:val="00344605"/>
    <w:rsid w:val="00346AE4"/>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220A"/>
    <w:rsid w:val="003C5A43"/>
    <w:rsid w:val="003D0519"/>
    <w:rsid w:val="003D0FF6"/>
    <w:rsid w:val="003D262C"/>
    <w:rsid w:val="003D3908"/>
    <w:rsid w:val="003D6D61"/>
    <w:rsid w:val="003D6DE3"/>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0C2C"/>
    <w:rsid w:val="00492F02"/>
    <w:rsid w:val="00492FA1"/>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25C9"/>
    <w:rsid w:val="00523EA4"/>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2130"/>
    <w:rsid w:val="00555044"/>
    <w:rsid w:val="00561475"/>
    <w:rsid w:val="00562308"/>
    <w:rsid w:val="0056487B"/>
    <w:rsid w:val="00564FB9"/>
    <w:rsid w:val="00573D9E"/>
    <w:rsid w:val="0058011B"/>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830"/>
    <w:rsid w:val="005A7FCE"/>
    <w:rsid w:val="005B0F3F"/>
    <w:rsid w:val="005B191C"/>
    <w:rsid w:val="005B48E9"/>
    <w:rsid w:val="005B4903"/>
    <w:rsid w:val="005B51CE"/>
    <w:rsid w:val="005B5885"/>
    <w:rsid w:val="005B5A30"/>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041F"/>
    <w:rsid w:val="006015CE"/>
    <w:rsid w:val="00602933"/>
    <w:rsid w:val="00604784"/>
    <w:rsid w:val="00606419"/>
    <w:rsid w:val="00607D29"/>
    <w:rsid w:val="00612952"/>
    <w:rsid w:val="00614CC1"/>
    <w:rsid w:val="00615A9D"/>
    <w:rsid w:val="00617387"/>
    <w:rsid w:val="006205D6"/>
    <w:rsid w:val="006252D8"/>
    <w:rsid w:val="006259BC"/>
    <w:rsid w:val="0062636B"/>
    <w:rsid w:val="00627295"/>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3756"/>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118"/>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44EE"/>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105C"/>
    <w:rsid w:val="00773C1F"/>
    <w:rsid w:val="00774DA4"/>
    <w:rsid w:val="00776599"/>
    <w:rsid w:val="0078114B"/>
    <w:rsid w:val="00781DD2"/>
    <w:rsid w:val="00783ECF"/>
    <w:rsid w:val="0078413A"/>
    <w:rsid w:val="007959E8"/>
    <w:rsid w:val="00795E9C"/>
    <w:rsid w:val="007A0521"/>
    <w:rsid w:val="007A1C5A"/>
    <w:rsid w:val="007A2E12"/>
    <w:rsid w:val="007A3475"/>
    <w:rsid w:val="007A41C8"/>
    <w:rsid w:val="007A54CE"/>
    <w:rsid w:val="007A5D3A"/>
    <w:rsid w:val="007A6FD9"/>
    <w:rsid w:val="007A7FFA"/>
    <w:rsid w:val="007B04EB"/>
    <w:rsid w:val="007B0D4F"/>
    <w:rsid w:val="007B5A3D"/>
    <w:rsid w:val="007B5B95"/>
    <w:rsid w:val="007B5DB2"/>
    <w:rsid w:val="007B6032"/>
    <w:rsid w:val="007B65DD"/>
    <w:rsid w:val="007B68EA"/>
    <w:rsid w:val="007B7453"/>
    <w:rsid w:val="007B7819"/>
    <w:rsid w:val="007C0C78"/>
    <w:rsid w:val="007C2D89"/>
    <w:rsid w:val="007C4593"/>
    <w:rsid w:val="007C5309"/>
    <w:rsid w:val="007C6069"/>
    <w:rsid w:val="007D06C4"/>
    <w:rsid w:val="007D1352"/>
    <w:rsid w:val="007D1B6A"/>
    <w:rsid w:val="007D1F39"/>
    <w:rsid w:val="007D2508"/>
    <w:rsid w:val="007D346A"/>
    <w:rsid w:val="007D4D85"/>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396A"/>
    <w:rsid w:val="00815419"/>
    <w:rsid w:val="008163C8"/>
    <w:rsid w:val="008164A1"/>
    <w:rsid w:val="00817325"/>
    <w:rsid w:val="008209E6"/>
    <w:rsid w:val="00821D19"/>
    <w:rsid w:val="00823303"/>
    <w:rsid w:val="008233B2"/>
    <w:rsid w:val="00823A9F"/>
    <w:rsid w:val="00823C85"/>
    <w:rsid w:val="00825138"/>
    <w:rsid w:val="00825E54"/>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A84"/>
    <w:rsid w:val="008E6D39"/>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7CA"/>
    <w:rsid w:val="00914CA7"/>
    <w:rsid w:val="00915C3E"/>
    <w:rsid w:val="009161A8"/>
    <w:rsid w:val="009232FB"/>
    <w:rsid w:val="009245AE"/>
    <w:rsid w:val="009245F5"/>
    <w:rsid w:val="009249EC"/>
    <w:rsid w:val="009273B3"/>
    <w:rsid w:val="009305B5"/>
    <w:rsid w:val="00936ACA"/>
    <w:rsid w:val="009378DD"/>
    <w:rsid w:val="00941B78"/>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67AC"/>
    <w:rsid w:val="009A72AD"/>
    <w:rsid w:val="009B09E0"/>
    <w:rsid w:val="009B0BC5"/>
    <w:rsid w:val="009B1247"/>
    <w:rsid w:val="009B6029"/>
    <w:rsid w:val="009B6971"/>
    <w:rsid w:val="009C27F1"/>
    <w:rsid w:val="009C3152"/>
    <w:rsid w:val="009C3257"/>
    <w:rsid w:val="009C4595"/>
    <w:rsid w:val="009C4CFA"/>
    <w:rsid w:val="009C5070"/>
    <w:rsid w:val="009D112C"/>
    <w:rsid w:val="009D1385"/>
    <w:rsid w:val="009D47FA"/>
    <w:rsid w:val="009D4C5B"/>
    <w:rsid w:val="009D50D2"/>
    <w:rsid w:val="009D6BCA"/>
    <w:rsid w:val="009E0F62"/>
    <w:rsid w:val="009E1286"/>
    <w:rsid w:val="009E4A58"/>
    <w:rsid w:val="009E5A2D"/>
    <w:rsid w:val="009E5AB2"/>
    <w:rsid w:val="009E6219"/>
    <w:rsid w:val="009F03B3"/>
    <w:rsid w:val="009F7432"/>
    <w:rsid w:val="00A0096C"/>
    <w:rsid w:val="00A01757"/>
    <w:rsid w:val="00A028C0"/>
    <w:rsid w:val="00A02BAE"/>
    <w:rsid w:val="00A06A6B"/>
    <w:rsid w:val="00A07E47"/>
    <w:rsid w:val="00A129D0"/>
    <w:rsid w:val="00A12C33"/>
    <w:rsid w:val="00A138BA"/>
    <w:rsid w:val="00A14C8E"/>
    <w:rsid w:val="00A153D9"/>
    <w:rsid w:val="00A15F09"/>
    <w:rsid w:val="00A169B6"/>
    <w:rsid w:val="00A210C6"/>
    <w:rsid w:val="00A2271D"/>
    <w:rsid w:val="00A237D5"/>
    <w:rsid w:val="00A30EFC"/>
    <w:rsid w:val="00A31984"/>
    <w:rsid w:val="00A32D73"/>
    <w:rsid w:val="00A3367B"/>
    <w:rsid w:val="00A33C67"/>
    <w:rsid w:val="00A3597D"/>
    <w:rsid w:val="00A36DD1"/>
    <w:rsid w:val="00A4006C"/>
    <w:rsid w:val="00A40091"/>
    <w:rsid w:val="00A4030F"/>
    <w:rsid w:val="00A416CD"/>
    <w:rsid w:val="00A41B49"/>
    <w:rsid w:val="00A41C79"/>
    <w:rsid w:val="00A41CB5"/>
    <w:rsid w:val="00A42CDF"/>
    <w:rsid w:val="00A4452E"/>
    <w:rsid w:val="00A4472C"/>
    <w:rsid w:val="00A44E69"/>
    <w:rsid w:val="00A4661E"/>
    <w:rsid w:val="00A55BD6"/>
    <w:rsid w:val="00A55D50"/>
    <w:rsid w:val="00A57142"/>
    <w:rsid w:val="00A60302"/>
    <w:rsid w:val="00A648CD"/>
    <w:rsid w:val="00A6537A"/>
    <w:rsid w:val="00A67866"/>
    <w:rsid w:val="00A70B07"/>
    <w:rsid w:val="00A70CF6"/>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2285"/>
    <w:rsid w:val="00AA4286"/>
    <w:rsid w:val="00AA456B"/>
    <w:rsid w:val="00AA57F5"/>
    <w:rsid w:val="00AA672E"/>
    <w:rsid w:val="00AA6EC9"/>
    <w:rsid w:val="00AB6309"/>
    <w:rsid w:val="00AB6C5F"/>
    <w:rsid w:val="00AB7129"/>
    <w:rsid w:val="00AC27A6"/>
    <w:rsid w:val="00AC30F7"/>
    <w:rsid w:val="00AC3A5A"/>
    <w:rsid w:val="00AC4D95"/>
    <w:rsid w:val="00AC5DF4"/>
    <w:rsid w:val="00AD0919"/>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0B8E"/>
    <w:rsid w:val="00B049AF"/>
    <w:rsid w:val="00B07242"/>
    <w:rsid w:val="00B10534"/>
    <w:rsid w:val="00B10FAB"/>
    <w:rsid w:val="00B113DB"/>
    <w:rsid w:val="00B11D8A"/>
    <w:rsid w:val="00B12981"/>
    <w:rsid w:val="00B147DD"/>
    <w:rsid w:val="00B156FD"/>
    <w:rsid w:val="00B21F61"/>
    <w:rsid w:val="00B23F80"/>
    <w:rsid w:val="00B261F1"/>
    <w:rsid w:val="00B265BC"/>
    <w:rsid w:val="00B307A7"/>
    <w:rsid w:val="00B31FB1"/>
    <w:rsid w:val="00B330AB"/>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741"/>
    <w:rsid w:val="00B77EC8"/>
    <w:rsid w:val="00B815D3"/>
    <w:rsid w:val="00B81E69"/>
    <w:rsid w:val="00B82212"/>
    <w:rsid w:val="00B827A6"/>
    <w:rsid w:val="00B831CE"/>
    <w:rsid w:val="00B84076"/>
    <w:rsid w:val="00B842C5"/>
    <w:rsid w:val="00B86677"/>
    <w:rsid w:val="00B87131"/>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35D54"/>
    <w:rsid w:val="00C42130"/>
    <w:rsid w:val="00C423A4"/>
    <w:rsid w:val="00C423E3"/>
    <w:rsid w:val="00C44BF5"/>
    <w:rsid w:val="00C470C6"/>
    <w:rsid w:val="00C50B6B"/>
    <w:rsid w:val="00C521D6"/>
    <w:rsid w:val="00C55232"/>
    <w:rsid w:val="00C553A4"/>
    <w:rsid w:val="00C55A06"/>
    <w:rsid w:val="00C55D03"/>
    <w:rsid w:val="00C601BC"/>
    <w:rsid w:val="00C6329F"/>
    <w:rsid w:val="00C63340"/>
    <w:rsid w:val="00C643F9"/>
    <w:rsid w:val="00C64E95"/>
    <w:rsid w:val="00C71372"/>
    <w:rsid w:val="00C71E67"/>
    <w:rsid w:val="00C72410"/>
    <w:rsid w:val="00C7287F"/>
    <w:rsid w:val="00C80CB8"/>
    <w:rsid w:val="00C819F8"/>
    <w:rsid w:val="00C8248C"/>
    <w:rsid w:val="00C84E33"/>
    <w:rsid w:val="00C86D6F"/>
    <w:rsid w:val="00C870D8"/>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E6871"/>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832"/>
    <w:rsid w:val="00D25E37"/>
    <w:rsid w:val="00D2661A"/>
    <w:rsid w:val="00D27582"/>
    <w:rsid w:val="00D27EC4"/>
    <w:rsid w:val="00D32719"/>
    <w:rsid w:val="00D33333"/>
    <w:rsid w:val="00D352A2"/>
    <w:rsid w:val="00D4162B"/>
    <w:rsid w:val="00D434E5"/>
    <w:rsid w:val="00D434ED"/>
    <w:rsid w:val="00D4514F"/>
    <w:rsid w:val="00D451E2"/>
    <w:rsid w:val="00D45E89"/>
    <w:rsid w:val="00D45E8D"/>
    <w:rsid w:val="00D466AE"/>
    <w:rsid w:val="00D4734F"/>
    <w:rsid w:val="00D51BF3"/>
    <w:rsid w:val="00D53902"/>
    <w:rsid w:val="00D5490C"/>
    <w:rsid w:val="00D66846"/>
    <w:rsid w:val="00D675FB"/>
    <w:rsid w:val="00D71F25"/>
    <w:rsid w:val="00D72A9C"/>
    <w:rsid w:val="00D77031"/>
    <w:rsid w:val="00D84941"/>
    <w:rsid w:val="00D84FA1"/>
    <w:rsid w:val="00D851F0"/>
    <w:rsid w:val="00D86DB7"/>
    <w:rsid w:val="00D87BF5"/>
    <w:rsid w:val="00D90721"/>
    <w:rsid w:val="00D90D1D"/>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2134"/>
    <w:rsid w:val="00DC3067"/>
    <w:rsid w:val="00DC370B"/>
    <w:rsid w:val="00DC5B90"/>
    <w:rsid w:val="00DD00FF"/>
    <w:rsid w:val="00DD0619"/>
    <w:rsid w:val="00DD07FB"/>
    <w:rsid w:val="00DD25C6"/>
    <w:rsid w:val="00DD4FE5"/>
    <w:rsid w:val="00DD54B0"/>
    <w:rsid w:val="00DD57EE"/>
    <w:rsid w:val="00DD6BCC"/>
    <w:rsid w:val="00DE0A4B"/>
    <w:rsid w:val="00DE0EA5"/>
    <w:rsid w:val="00DE2410"/>
    <w:rsid w:val="00DE2939"/>
    <w:rsid w:val="00DE678A"/>
    <w:rsid w:val="00DE6E81"/>
    <w:rsid w:val="00DE703F"/>
    <w:rsid w:val="00DE7595"/>
    <w:rsid w:val="00DF048F"/>
    <w:rsid w:val="00DF1961"/>
    <w:rsid w:val="00DF44DE"/>
    <w:rsid w:val="00DF73F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36A5D"/>
    <w:rsid w:val="00E44A83"/>
    <w:rsid w:val="00E502C1"/>
    <w:rsid w:val="00E502DD"/>
    <w:rsid w:val="00E50D3A"/>
    <w:rsid w:val="00E51387"/>
    <w:rsid w:val="00E51E68"/>
    <w:rsid w:val="00E52EFD"/>
    <w:rsid w:val="00E5408A"/>
    <w:rsid w:val="00E56800"/>
    <w:rsid w:val="00E57EE8"/>
    <w:rsid w:val="00E60C63"/>
    <w:rsid w:val="00E62FF9"/>
    <w:rsid w:val="00E635D6"/>
    <w:rsid w:val="00E639BC"/>
    <w:rsid w:val="00E661F1"/>
    <w:rsid w:val="00E664CC"/>
    <w:rsid w:val="00E701F1"/>
    <w:rsid w:val="00E70388"/>
    <w:rsid w:val="00E70F92"/>
    <w:rsid w:val="00E74313"/>
    <w:rsid w:val="00E74C54"/>
    <w:rsid w:val="00E77A03"/>
    <w:rsid w:val="00E822D5"/>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4835"/>
    <w:rsid w:val="00EA58D1"/>
    <w:rsid w:val="00EA61BC"/>
    <w:rsid w:val="00EA681A"/>
    <w:rsid w:val="00EA735B"/>
    <w:rsid w:val="00EB1E69"/>
    <w:rsid w:val="00EB2086"/>
    <w:rsid w:val="00EB31ED"/>
    <w:rsid w:val="00EB5EDF"/>
    <w:rsid w:val="00EB5FCC"/>
    <w:rsid w:val="00EB60FE"/>
    <w:rsid w:val="00EB74DB"/>
    <w:rsid w:val="00EC5359"/>
    <w:rsid w:val="00EC562A"/>
    <w:rsid w:val="00EC7F26"/>
    <w:rsid w:val="00ED067A"/>
    <w:rsid w:val="00ED2B50"/>
    <w:rsid w:val="00EE0350"/>
    <w:rsid w:val="00EE0719"/>
    <w:rsid w:val="00EE0E80"/>
    <w:rsid w:val="00EE613F"/>
    <w:rsid w:val="00EE7295"/>
    <w:rsid w:val="00EE7869"/>
    <w:rsid w:val="00EF054A"/>
    <w:rsid w:val="00EF3235"/>
    <w:rsid w:val="00EF7E72"/>
    <w:rsid w:val="00F06ABB"/>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3E0A"/>
    <w:rsid w:val="00F56511"/>
    <w:rsid w:val="00F6194E"/>
    <w:rsid w:val="00F623AC"/>
    <w:rsid w:val="00F6412A"/>
    <w:rsid w:val="00F65893"/>
    <w:rsid w:val="00F66A4A"/>
    <w:rsid w:val="00F66A6D"/>
    <w:rsid w:val="00F671C6"/>
    <w:rsid w:val="00F71E22"/>
    <w:rsid w:val="00F72142"/>
    <w:rsid w:val="00F72AE7"/>
    <w:rsid w:val="00F823BF"/>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2C5E"/>
    <w:rsid w:val="00FD59EB"/>
    <w:rsid w:val="00FD7299"/>
    <w:rsid w:val="00FE1FBE"/>
    <w:rsid w:val="00FE3901"/>
    <w:rsid w:val="00FE39D3"/>
    <w:rsid w:val="00FE4BCE"/>
    <w:rsid w:val="00FE54AE"/>
    <w:rsid w:val="00FE576A"/>
    <w:rsid w:val="00FE77C7"/>
    <w:rsid w:val="00FE7E79"/>
    <w:rsid w:val="00FF3E7D"/>
    <w:rsid w:val="00FF5B99"/>
    <w:rsid w:val="00FF730C"/>
    <w:rsid w:val="00FF73F4"/>
    <w:rsid w:val="00FF74D2"/>
    <w:rsid w:val="00FF7CE4"/>
    <w:rsid w:val="00FF7E39"/>
    <w:rsid w:val="104B7D41"/>
    <w:rsid w:val="23BC0492"/>
    <w:rsid w:val="2A856C38"/>
    <w:rsid w:val="31E20B3A"/>
    <w:rsid w:val="441E7D4B"/>
    <w:rsid w:val="6ED1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qFormat/>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qFormat/>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qFormat/>
    <w:uiPriority w:val="0"/>
    <w:rPr>
      <w:b/>
      <w:bCs/>
      <w:kern w:val="2"/>
      <w:sz w:val="24"/>
      <w:szCs w:val="24"/>
    </w:rPr>
  </w:style>
  <w:style w:type="character" w:customStyle="1" w:styleId="41">
    <w:name w:val="标题 8 字符"/>
    <w:link w:val="9"/>
    <w:qFormat/>
    <w:uiPriority w:val="0"/>
    <w:rPr>
      <w:rFonts w:ascii="Arial" w:hAnsi="Arial" w:eastAsia="黑体"/>
      <w:kern w:val="2"/>
      <w:sz w:val="24"/>
      <w:szCs w:val="24"/>
    </w:rPr>
  </w:style>
  <w:style w:type="character" w:customStyle="1" w:styleId="42">
    <w:name w:val="标题 9 字符"/>
    <w:link w:val="10"/>
    <w:qFormat/>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qFormat/>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2">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qFormat/>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qFormat/>
    <w:uiPriority w:val="0"/>
    <w:pPr>
      <w:adjustRightInd/>
      <w:snapToGrid/>
      <w:ind w:firstLine="0" w:firstLineChars="0"/>
    </w:pPr>
    <w:rPr>
      <w:rFonts w:ascii="宋体" w:hAnsi="宋体"/>
      <w:kern w:val="2"/>
    </w:rPr>
  </w:style>
  <w:style w:type="paragraph" w:customStyle="1" w:styleId="58">
    <w:name w:val="标准文件_标准部门"/>
    <w:basedOn w:val="1"/>
    <w:qFormat/>
    <w:uiPriority w:val="0"/>
    <w:pPr>
      <w:jc w:val="center"/>
    </w:pPr>
    <w:rPr>
      <w:rFonts w:ascii="黑体" w:eastAsia="黑体"/>
      <w:kern w:val="0"/>
      <w:sz w:val="44"/>
    </w:rPr>
  </w:style>
  <w:style w:type="paragraph" w:customStyle="1" w:styleId="59">
    <w:name w:val="标准文件_标准代替"/>
    <w:basedOn w:val="1"/>
    <w:next w:val="1"/>
    <w:qFormat/>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qFormat/>
    <w:uiPriority w:val="0"/>
    <w:pPr>
      <w:jc w:val="left"/>
    </w:pPr>
  </w:style>
  <w:style w:type="paragraph" w:customStyle="1" w:styleId="63">
    <w:name w:val="标准文件_参考文献标题"/>
    <w:basedOn w:val="1"/>
    <w:next w:val="1"/>
    <w:qFormat/>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qFormat/>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qFormat/>
    <w:uiPriority w:val="0"/>
    <w:rPr>
      <w:rFonts w:ascii="黑体" w:eastAsia="黑体"/>
      <w:spacing w:val="0"/>
      <w:w w:val="100"/>
      <w:position w:val="3"/>
      <w:sz w:val="28"/>
    </w:rPr>
  </w:style>
  <w:style w:type="paragraph" w:customStyle="1" w:styleId="67">
    <w:name w:val="标准文件_方框数字列项"/>
    <w:basedOn w:val="56"/>
    <w:qFormat/>
    <w:uiPriority w:val="0"/>
    <w:pPr>
      <w:numPr>
        <w:ilvl w:val="0"/>
        <w:numId w:val="3"/>
      </w:numPr>
      <w:ind w:firstLine="0" w:firstLineChars="0"/>
    </w:pPr>
  </w:style>
  <w:style w:type="paragraph" w:customStyle="1" w:styleId="68">
    <w:name w:val="标准文件_封面标准编号"/>
    <w:basedOn w:val="1"/>
    <w:next w:val="59"/>
    <w:qFormat/>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qFormat/>
    <w:uiPriority w:val="0"/>
    <w:rPr>
      <w:rFonts w:eastAsia="黑体"/>
      <w:sz w:val="32"/>
    </w:rPr>
  </w:style>
  <w:style w:type="paragraph" w:customStyle="1" w:styleId="74">
    <w:name w:val="标准文件_封面实施日期"/>
    <w:basedOn w:val="1"/>
    <w:qFormat/>
    <w:uiPriority w:val="0"/>
    <w:pPr>
      <w:spacing w:line="310" w:lineRule="exact"/>
      <w:jc w:val="right"/>
    </w:pPr>
    <w:rPr>
      <w:rFonts w:ascii="黑体" w:eastAsia="黑体"/>
      <w:sz w:val="28"/>
    </w:rPr>
  </w:style>
  <w:style w:type="paragraph" w:customStyle="1" w:styleId="75">
    <w:name w:val="标准文件_封面抬头"/>
    <w:basedOn w:val="56"/>
    <w:qFormat/>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qFormat/>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qFormat/>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qFormat/>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qFormat/>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qFormat/>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qFormat/>
    <w:uiPriority w:val="0"/>
    <w:pPr>
      <w:ind w:left="488" w:leftChars="200" w:hanging="289" w:hangingChars="290"/>
    </w:pPr>
  </w:style>
  <w:style w:type="paragraph" w:customStyle="1" w:styleId="89">
    <w:name w:val="标准文件_前言、引言标题"/>
    <w:next w:val="1"/>
    <w:qFormat/>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qFormat/>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qFormat/>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qFormat/>
    <w:uiPriority w:val="0"/>
    <w:rPr>
      <w:rFonts w:ascii="宋体"/>
      <w:kern w:val="2"/>
      <w:sz w:val="18"/>
      <w:szCs w:val="18"/>
    </w:rPr>
  </w:style>
  <w:style w:type="paragraph" w:customStyle="1" w:styleId="100">
    <w:name w:val="标准文件_条文脚注"/>
    <w:basedOn w:val="21"/>
    <w:qFormat/>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qFormat/>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qFormat/>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qFormat/>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qFormat/>
    <w:uiPriority w:val="0"/>
    <w:pPr>
      <w:numPr>
        <w:ilvl w:val="3"/>
        <w:numId w:val="20"/>
      </w:numPr>
      <w:adjustRightInd/>
      <w:spacing w:line="240" w:lineRule="auto"/>
    </w:pPr>
    <w:rPr>
      <w:rFonts w:ascii="宋体" w:hAnsi="宋体"/>
      <w:szCs w:val="24"/>
    </w:rPr>
  </w:style>
  <w:style w:type="paragraph" w:customStyle="1" w:styleId="119">
    <w:name w:val="发布部门"/>
    <w:next w:val="56"/>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qFormat/>
    <w:uiPriority w:val="0"/>
    <w:pPr>
      <w:outlineLvl w:val="5"/>
    </w:pPr>
  </w:style>
  <w:style w:type="paragraph" w:customStyle="1" w:styleId="131">
    <w:name w:val="附录图"/>
    <w:next w:val="56"/>
    <w:qFormat/>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qFormat/>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qFormat/>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qFormat/>
    <w:uiPriority w:val="0"/>
    <w:pPr>
      <w:spacing w:line="240" w:lineRule="auto"/>
    </w:pPr>
    <w:rPr>
      <w:rFonts w:ascii="宋体" w:hAnsi="宋体"/>
      <w:iCs/>
    </w:rPr>
  </w:style>
  <w:style w:type="paragraph" w:customStyle="1" w:styleId="144">
    <w:name w:val="目录 41"/>
    <w:basedOn w:val="1"/>
    <w:next w:val="1"/>
    <w:autoRedefine/>
    <w:semiHidden/>
    <w:qFormat/>
    <w:uiPriority w:val="0"/>
    <w:pPr>
      <w:adjustRightInd/>
      <w:spacing w:line="240" w:lineRule="auto"/>
      <w:jc w:val="left"/>
    </w:pPr>
  </w:style>
  <w:style w:type="paragraph" w:customStyle="1" w:styleId="145">
    <w:name w:val="目录 51"/>
    <w:basedOn w:val="1"/>
    <w:next w:val="1"/>
    <w:autoRedefine/>
    <w:semiHidden/>
    <w:qFormat/>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qFormat/>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qFormat/>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1" Type="http://schemas.openxmlformats.org/officeDocument/2006/relationships/glossaryDocument" Target="glossary/document.xml"/><Relationship Id="rId30" Type="http://schemas.openxmlformats.org/officeDocument/2006/relationships/fontTable" Target="fontTable.xml"/><Relationship Id="rId3" Type="http://schemas.openxmlformats.org/officeDocument/2006/relationships/footnotes" Target="footnotes.xml"/><Relationship Id="rId29" Type="http://schemas.openxmlformats.org/officeDocument/2006/relationships/customXml" Target="../customXml/item2.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3.jpeg"/><Relationship Id="rId25" Type="http://schemas.openxmlformats.org/officeDocument/2006/relationships/image" Target="media/image2.png"/><Relationship Id="rId24" Type="http://schemas.openxmlformats.org/officeDocument/2006/relationships/image" Target="media/image1.png"/><Relationship Id="rId23" Type="http://schemas.openxmlformats.org/officeDocument/2006/relationships/theme" Target="theme/theme1.xml"/><Relationship Id="rId22" Type="http://schemas.openxmlformats.org/officeDocument/2006/relationships/footer" Target="footer9.xml"/><Relationship Id="rId21" Type="http://schemas.openxmlformats.org/officeDocument/2006/relationships/footer" Target="footer8.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7.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5.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3B0DCD5032845089BC283149F35BE2A"/>
        <w:style w:val=""/>
        <w:category>
          <w:name w:val="常规"/>
          <w:gallery w:val="placeholder"/>
        </w:category>
        <w:types>
          <w:type w:val="bbPlcHdr"/>
        </w:types>
        <w:behaviors>
          <w:behavior w:val="content"/>
        </w:behaviors>
        <w:description w:val=""/>
        <w:guid w:val="{5A1EF4A1-3A20-41B6-9CB5-3B8BFC1ACFF1}"/>
      </w:docPartPr>
      <w:docPartBody>
        <w:p w14:paraId="5021BA10">
          <w:pPr>
            <w:pStyle w:val="5"/>
          </w:pPr>
          <w:r>
            <w:rPr>
              <w:rStyle w:val="4"/>
              <w:rFonts w:hint="eastAsia"/>
            </w:rPr>
            <w:t>单击或点击此处输入文字。</w:t>
          </w:r>
        </w:p>
      </w:docPartBody>
    </w:docPart>
    <w:docPart>
      <w:docPartPr>
        <w:name w:val="56EC0AA4041C4070A96D5D1EA78BF5F3"/>
        <w:style w:val=""/>
        <w:category>
          <w:name w:val="常规"/>
          <w:gallery w:val="placeholder"/>
        </w:category>
        <w:types>
          <w:type w:val="bbPlcHdr"/>
        </w:types>
        <w:behaviors>
          <w:behavior w:val="content"/>
        </w:behaviors>
        <w:description w:val=""/>
        <w:guid w:val="{3E77688C-F41E-4F10-A127-8416D50BAB31}"/>
      </w:docPartPr>
      <w:docPartBody>
        <w:p w14:paraId="671A1CFD">
          <w:pPr>
            <w:pStyle w:val="6"/>
          </w:pPr>
          <w:r>
            <w:rPr>
              <w:rStyle w:val="4"/>
              <w:rFonts w:hint="eastAsia"/>
            </w:rPr>
            <w:t>选择一项。</w:t>
          </w:r>
        </w:p>
      </w:docPartBody>
    </w:docPart>
    <w:docPart>
      <w:docPartPr>
        <w:name w:val="EAF844F5239044378963083767721F4F"/>
        <w:style w:val=""/>
        <w:category>
          <w:name w:val="常规"/>
          <w:gallery w:val="placeholder"/>
        </w:category>
        <w:types>
          <w:type w:val="bbPlcHdr"/>
        </w:types>
        <w:behaviors>
          <w:behavior w:val="content"/>
        </w:behaviors>
        <w:description w:val=""/>
        <w:guid w:val="{50264456-05F8-40CE-91B2-FEE7C0271646}"/>
      </w:docPartPr>
      <w:docPartBody>
        <w:p w14:paraId="355B5DD5">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B6D"/>
    <w:rsid w:val="000E0BEE"/>
    <w:rsid w:val="00153AB9"/>
    <w:rsid w:val="005A04F2"/>
    <w:rsid w:val="0076183F"/>
    <w:rsid w:val="00B81E69"/>
    <w:rsid w:val="00BA5EEA"/>
    <w:rsid w:val="00C04B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E3B0DCD5032845089BC283149F35BE2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6EC0AA4041C4070A96D5D1EA78BF5F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EAF844F5239044378963083767721F4F"/>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CB0D26-55A6-47F1-B93B-5AAA410E7644}">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9</Pages>
  <Words>2952</Words>
  <Characters>3819</Characters>
  <Lines>48</Lines>
  <Paragraphs>13</Paragraphs>
  <TotalTime>1</TotalTime>
  <ScaleCrop>false</ScaleCrop>
  <LinksUpToDate>false</LinksUpToDate>
  <CharactersWithSpaces>4034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2025-10-09T00:29:00Z</dcterms:created>
  <dc:creator>lenovo</dc:creator>
  <dc:description>&lt;config cover="true" show_menu="true" version="1.0.0" doctype="SDKXY"&gt;_x000d_
&lt;/config&gt;</dc:description>
  <cp:lastModifiedBy>WPS_1559640550</cp:lastModifiedBy>
  <cp:lastPrinted>2021-02-02T08:22:00Z</cp:lastPrinted>
  <dcterms:modified xsi:type="dcterms:W3CDTF">2025-12-04T08:52:35Z</dcterms:modified>
  <dc:title>团体标准</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eyJoZGlkIjoiZjQ1NDE1MGYzNTMyOWI1NWU1MTllZDA5MTA4Mjk5YzMiLCJ1c2VySWQiOiI1NzEzMjY0NjEifQ==</vt:lpwstr>
  </property>
  <property fmtid="{D5CDD505-2E9C-101B-9397-08002B2CF9AE}" pid="16" name="KSOProductBuildVer">
    <vt:lpwstr>2052-12.1.0.23542</vt:lpwstr>
  </property>
  <property fmtid="{D5CDD505-2E9C-101B-9397-08002B2CF9AE}" pid="17" name="ICV">
    <vt:lpwstr>22DE3BB4E7DB4961976A7CD2B90992AD_12</vt:lpwstr>
  </property>
</Properties>
</file>