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81C77">
      <w:pPr>
        <w:keepNext w:val="0"/>
        <w:keepLines w:val="0"/>
        <w:pageBreakBefore w:val="0"/>
        <w:widowControl w:val="0"/>
        <w:kinsoku/>
        <w:wordWrap/>
        <w:overflowPunct/>
        <w:autoSpaceDE/>
        <w:autoSpaceDN/>
        <w:bidi w:val="0"/>
        <w:adjustRightInd/>
        <w:snapToGrid/>
        <w:spacing w:line="480" w:lineRule="auto"/>
        <w:jc w:val="both"/>
        <w:textAlignment w:val="auto"/>
        <w:rPr>
          <w:rFonts w:hint="eastAsia" w:ascii="迷你简小标宋" w:hAnsi="宋体" w:eastAsia="迷你简小标宋"/>
          <w:w w:val="90"/>
          <w:sz w:val="44"/>
          <w:szCs w:val="44"/>
        </w:rPr>
      </w:pPr>
    </w:p>
    <w:p w14:paraId="74EFC005">
      <w:pPr>
        <w:keepNext w:val="0"/>
        <w:keepLines w:val="0"/>
        <w:pageBreakBefore w:val="0"/>
        <w:widowControl w:val="0"/>
        <w:kinsoku/>
        <w:wordWrap/>
        <w:overflowPunct/>
        <w:autoSpaceDE/>
        <w:autoSpaceDN/>
        <w:bidi w:val="0"/>
        <w:adjustRightInd/>
        <w:snapToGrid/>
        <w:spacing w:line="480" w:lineRule="auto"/>
        <w:ind w:firstLine="720" w:firstLineChars="200"/>
        <w:jc w:val="center"/>
        <w:textAlignment w:val="auto"/>
        <w:rPr>
          <w:rFonts w:hint="eastAsia" w:ascii="迷你简小标宋" w:hAnsi="宋体" w:eastAsia="迷你简小标宋"/>
          <w:w w:val="90"/>
          <w:sz w:val="40"/>
          <w:szCs w:val="40"/>
        </w:rPr>
      </w:pPr>
    </w:p>
    <w:p w14:paraId="42CCF6EC">
      <w:pPr>
        <w:keepNext w:val="0"/>
        <w:keepLines w:val="0"/>
        <w:pageBreakBefore w:val="0"/>
        <w:widowControl w:val="0"/>
        <w:kinsoku/>
        <w:wordWrap/>
        <w:overflowPunct/>
        <w:autoSpaceDE/>
        <w:autoSpaceDN/>
        <w:bidi w:val="0"/>
        <w:adjustRightInd/>
        <w:snapToGrid/>
        <w:spacing w:line="480" w:lineRule="auto"/>
        <w:ind w:firstLine="720" w:firstLineChars="200"/>
        <w:jc w:val="center"/>
        <w:textAlignment w:val="auto"/>
        <w:rPr>
          <w:rFonts w:ascii="迷你简小标宋" w:hAnsi="宋体" w:eastAsia="迷你简小标宋"/>
          <w:w w:val="90"/>
          <w:sz w:val="40"/>
          <w:szCs w:val="40"/>
        </w:rPr>
      </w:pPr>
      <w:r>
        <w:rPr>
          <w:rFonts w:hint="eastAsia" w:ascii="迷你简小标宋" w:hAnsi="宋体" w:eastAsia="迷你简小标宋"/>
          <w:w w:val="90"/>
          <w:sz w:val="40"/>
          <w:szCs w:val="40"/>
        </w:rPr>
        <w:t>《</w:t>
      </w:r>
      <w:r>
        <w:rPr>
          <w:rFonts w:hint="eastAsia" w:ascii="迷你简小标宋" w:hAnsi="宋体" w:eastAsia="迷你简小标宋"/>
          <w:w w:val="90"/>
          <w:sz w:val="40"/>
          <w:szCs w:val="40"/>
          <w:lang w:val="en-US" w:eastAsia="zh-CN"/>
        </w:rPr>
        <w:t>新能源汽车挤塑铜排技术规范</w:t>
      </w:r>
      <w:r>
        <w:rPr>
          <w:rFonts w:hint="eastAsia" w:ascii="迷你简小标宋" w:hAnsi="宋体" w:eastAsia="迷你简小标宋"/>
          <w:w w:val="90"/>
          <w:sz w:val="40"/>
          <w:szCs w:val="40"/>
        </w:rPr>
        <w:t>》</w:t>
      </w:r>
    </w:p>
    <w:p w14:paraId="082E09F9">
      <w:pPr>
        <w:keepNext w:val="0"/>
        <w:keepLines w:val="0"/>
        <w:pageBreakBefore w:val="0"/>
        <w:widowControl w:val="0"/>
        <w:kinsoku/>
        <w:wordWrap/>
        <w:overflowPunct/>
        <w:autoSpaceDE/>
        <w:autoSpaceDN/>
        <w:bidi w:val="0"/>
        <w:adjustRightInd/>
        <w:snapToGrid/>
        <w:spacing w:line="480" w:lineRule="auto"/>
        <w:ind w:firstLine="800" w:firstLineChars="200"/>
        <w:jc w:val="center"/>
        <w:textAlignment w:val="auto"/>
        <w:rPr>
          <w:rFonts w:ascii="迷你简小标宋" w:hAnsi="宋体" w:eastAsia="迷你简小标宋"/>
          <w:sz w:val="40"/>
          <w:szCs w:val="40"/>
        </w:rPr>
      </w:pPr>
      <w:r>
        <w:rPr>
          <w:rFonts w:hint="eastAsia" w:ascii="迷你简小标宋" w:hAnsi="宋体" w:eastAsia="迷你简小标宋"/>
          <w:sz w:val="40"/>
          <w:szCs w:val="40"/>
        </w:rPr>
        <w:t>编制说明</w:t>
      </w:r>
    </w:p>
    <w:p w14:paraId="0A83D52B">
      <w:pPr>
        <w:keepNext w:val="0"/>
        <w:keepLines w:val="0"/>
        <w:pageBreakBefore w:val="0"/>
        <w:widowControl w:val="0"/>
        <w:kinsoku/>
        <w:wordWrap/>
        <w:overflowPunct/>
        <w:autoSpaceDE/>
        <w:autoSpaceDN/>
        <w:bidi w:val="0"/>
        <w:adjustRightInd/>
        <w:snapToGrid/>
        <w:spacing w:line="480" w:lineRule="auto"/>
        <w:ind w:firstLine="560" w:firstLineChars="200"/>
        <w:jc w:val="center"/>
        <w:textAlignment w:val="auto"/>
        <w:rPr>
          <w:rFonts w:hint="eastAsia" w:ascii="宋体" w:hAnsi="宋体" w:eastAsia="宋体"/>
          <w:sz w:val="28"/>
          <w:szCs w:val="28"/>
        </w:rPr>
      </w:pPr>
    </w:p>
    <w:p w14:paraId="2B091D14">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center"/>
        <w:textAlignment w:val="auto"/>
        <w:rPr>
          <w:rFonts w:hint="eastAsia" w:ascii="宋体" w:hAnsi="宋体" w:eastAsia="宋体"/>
          <w:sz w:val="28"/>
          <w:szCs w:val="28"/>
        </w:rPr>
      </w:pPr>
    </w:p>
    <w:p w14:paraId="6E7A8BC1">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center"/>
        <w:textAlignment w:val="auto"/>
        <w:rPr>
          <w:rFonts w:hint="eastAsia" w:ascii="宋体" w:hAnsi="宋体" w:eastAsia="宋体"/>
          <w:sz w:val="28"/>
          <w:szCs w:val="28"/>
        </w:rPr>
      </w:pPr>
    </w:p>
    <w:p w14:paraId="1621AF3A">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center"/>
        <w:textAlignment w:val="auto"/>
        <w:rPr>
          <w:rFonts w:hint="eastAsia" w:ascii="宋体" w:hAnsi="宋体" w:eastAsia="宋体"/>
          <w:sz w:val="28"/>
          <w:szCs w:val="28"/>
        </w:rPr>
      </w:pPr>
    </w:p>
    <w:p w14:paraId="092DE38F">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center"/>
        <w:textAlignment w:val="auto"/>
        <w:rPr>
          <w:rFonts w:hint="eastAsia" w:ascii="宋体" w:hAnsi="宋体" w:eastAsia="宋体"/>
          <w:sz w:val="28"/>
          <w:szCs w:val="28"/>
        </w:rPr>
      </w:pPr>
    </w:p>
    <w:p w14:paraId="79898D14">
      <w:pPr>
        <w:keepNext w:val="0"/>
        <w:keepLines w:val="0"/>
        <w:pageBreakBefore w:val="0"/>
        <w:widowControl w:val="0"/>
        <w:kinsoku/>
        <w:wordWrap/>
        <w:overflowPunct/>
        <w:autoSpaceDE/>
        <w:autoSpaceDN/>
        <w:bidi w:val="0"/>
        <w:adjustRightInd/>
        <w:snapToGrid/>
        <w:spacing w:line="480" w:lineRule="auto"/>
        <w:ind w:firstLine="560" w:firstLineChars="200"/>
        <w:jc w:val="center"/>
        <w:textAlignment w:val="auto"/>
        <w:rPr>
          <w:rFonts w:hint="eastAsia" w:ascii="宋体" w:hAnsi="宋体" w:eastAsia="宋体"/>
          <w:sz w:val="28"/>
          <w:szCs w:val="28"/>
        </w:rPr>
      </w:pPr>
    </w:p>
    <w:p w14:paraId="4B7F3DC3">
      <w:pPr>
        <w:keepNext w:val="0"/>
        <w:keepLines w:val="0"/>
        <w:pageBreakBefore w:val="0"/>
        <w:widowControl w:val="0"/>
        <w:kinsoku/>
        <w:wordWrap/>
        <w:overflowPunct/>
        <w:autoSpaceDE/>
        <w:autoSpaceDN/>
        <w:bidi w:val="0"/>
        <w:adjustRightInd/>
        <w:snapToGrid/>
        <w:spacing w:line="480" w:lineRule="auto"/>
        <w:ind w:firstLine="560" w:firstLineChars="200"/>
        <w:jc w:val="center"/>
        <w:textAlignment w:val="auto"/>
        <w:rPr>
          <w:rFonts w:hint="eastAsia" w:ascii="宋体" w:hAnsi="宋体" w:eastAsia="宋体"/>
          <w:sz w:val="28"/>
          <w:szCs w:val="28"/>
        </w:rPr>
      </w:pPr>
    </w:p>
    <w:p w14:paraId="462BC3DD">
      <w:pPr>
        <w:keepNext w:val="0"/>
        <w:keepLines w:val="0"/>
        <w:pageBreakBefore w:val="0"/>
        <w:widowControl w:val="0"/>
        <w:kinsoku/>
        <w:wordWrap/>
        <w:overflowPunct/>
        <w:autoSpaceDE/>
        <w:autoSpaceDN/>
        <w:bidi w:val="0"/>
        <w:adjustRightInd/>
        <w:snapToGrid/>
        <w:spacing w:line="480" w:lineRule="auto"/>
        <w:ind w:firstLine="560" w:firstLineChars="200"/>
        <w:jc w:val="center"/>
        <w:textAlignment w:val="auto"/>
        <w:rPr>
          <w:rFonts w:hint="eastAsia" w:ascii="宋体" w:hAnsi="宋体" w:eastAsia="宋体"/>
          <w:sz w:val="28"/>
          <w:szCs w:val="28"/>
        </w:rPr>
      </w:pPr>
    </w:p>
    <w:p w14:paraId="4781231E">
      <w:pPr>
        <w:keepNext w:val="0"/>
        <w:keepLines w:val="0"/>
        <w:pageBreakBefore w:val="0"/>
        <w:widowControl w:val="0"/>
        <w:kinsoku/>
        <w:wordWrap/>
        <w:overflowPunct/>
        <w:autoSpaceDE/>
        <w:autoSpaceDN/>
        <w:bidi w:val="0"/>
        <w:adjustRightInd/>
        <w:snapToGrid/>
        <w:spacing w:line="480" w:lineRule="auto"/>
        <w:ind w:firstLine="560" w:firstLineChars="200"/>
        <w:jc w:val="center"/>
        <w:textAlignment w:val="auto"/>
        <w:rPr>
          <w:rFonts w:ascii="宋体" w:hAnsi="宋体" w:eastAsia="宋体"/>
          <w:sz w:val="28"/>
          <w:szCs w:val="28"/>
        </w:rPr>
      </w:pPr>
      <w:r>
        <w:rPr>
          <w:rFonts w:hint="eastAsia" w:ascii="宋体" w:hAnsi="宋体" w:eastAsia="宋体"/>
          <w:sz w:val="28"/>
          <w:szCs w:val="28"/>
        </w:rPr>
        <w:t xml:space="preserve">团标制定工作组 </w:t>
      </w:r>
    </w:p>
    <w:p w14:paraId="2D4283DA">
      <w:pPr>
        <w:keepNext w:val="0"/>
        <w:keepLines w:val="0"/>
        <w:pageBreakBefore w:val="0"/>
        <w:widowControl w:val="0"/>
        <w:kinsoku/>
        <w:wordWrap/>
        <w:overflowPunct/>
        <w:autoSpaceDE/>
        <w:autoSpaceDN/>
        <w:bidi w:val="0"/>
        <w:adjustRightInd/>
        <w:snapToGrid/>
        <w:spacing w:line="480" w:lineRule="auto"/>
        <w:ind w:firstLine="560" w:firstLineChars="200"/>
        <w:jc w:val="center"/>
        <w:textAlignment w:val="auto"/>
        <w:rPr>
          <w:rFonts w:hint="eastAsia" w:ascii="宋体" w:hAnsi="宋体" w:eastAsia="宋体"/>
          <w:sz w:val="28"/>
          <w:szCs w:val="28"/>
        </w:rPr>
      </w:pPr>
      <w:r>
        <w:rPr>
          <w:rFonts w:hint="eastAsia" w:ascii="宋体" w:hAnsi="宋体" w:eastAsia="宋体"/>
          <w:sz w:val="28"/>
          <w:szCs w:val="28"/>
        </w:rPr>
        <w:t>二零二</w:t>
      </w:r>
      <w:r>
        <w:rPr>
          <w:rFonts w:hint="eastAsia" w:ascii="宋体" w:hAnsi="宋体" w:eastAsia="宋体"/>
          <w:sz w:val="28"/>
          <w:szCs w:val="28"/>
          <w:lang w:val="en-US" w:eastAsia="zh-CN"/>
        </w:rPr>
        <w:t>五</w:t>
      </w:r>
      <w:r>
        <w:rPr>
          <w:rFonts w:hint="eastAsia" w:ascii="宋体" w:hAnsi="宋体" w:eastAsia="宋体"/>
          <w:sz w:val="28"/>
          <w:szCs w:val="28"/>
        </w:rPr>
        <w:t>年</w:t>
      </w:r>
      <w:r>
        <w:rPr>
          <w:rFonts w:hint="eastAsia" w:ascii="宋体" w:hAnsi="宋体" w:eastAsia="宋体"/>
          <w:sz w:val="28"/>
          <w:szCs w:val="28"/>
          <w:lang w:val="en-US" w:eastAsia="zh-CN"/>
        </w:rPr>
        <w:t>十</w:t>
      </w:r>
      <w:r>
        <w:rPr>
          <w:rFonts w:hint="eastAsia" w:ascii="宋体" w:hAnsi="宋体" w:eastAsia="宋体"/>
          <w:sz w:val="28"/>
          <w:szCs w:val="28"/>
        </w:rPr>
        <w:t>月</w:t>
      </w:r>
    </w:p>
    <w:p w14:paraId="780C51C7">
      <w:pPr>
        <w:keepNext w:val="0"/>
        <w:keepLines w:val="0"/>
        <w:pageBreakBefore w:val="0"/>
        <w:widowControl w:val="0"/>
        <w:kinsoku/>
        <w:wordWrap/>
        <w:overflowPunct/>
        <w:autoSpaceDE/>
        <w:autoSpaceDN/>
        <w:bidi w:val="0"/>
        <w:adjustRightInd/>
        <w:snapToGrid/>
        <w:spacing w:line="480" w:lineRule="auto"/>
        <w:jc w:val="left"/>
        <w:textAlignment w:val="auto"/>
        <w:rPr>
          <w:rFonts w:hint="eastAsia" w:ascii="宋体" w:hAnsi="宋体" w:eastAsia="宋体"/>
          <w:b/>
          <w:bCs/>
          <w:sz w:val="28"/>
          <w:szCs w:val="28"/>
        </w:rPr>
      </w:pPr>
    </w:p>
    <w:p w14:paraId="7A0C1641">
      <w:pPr>
        <w:keepNext w:val="0"/>
        <w:keepLines w:val="0"/>
        <w:pageBreakBefore w:val="0"/>
        <w:widowControl w:val="0"/>
        <w:kinsoku/>
        <w:wordWrap/>
        <w:overflowPunct/>
        <w:autoSpaceDE/>
        <w:autoSpaceDN/>
        <w:bidi w:val="0"/>
        <w:adjustRightInd/>
        <w:snapToGrid/>
        <w:spacing w:line="480" w:lineRule="auto"/>
        <w:jc w:val="left"/>
        <w:textAlignment w:val="auto"/>
        <w:rPr>
          <w:rFonts w:ascii="宋体" w:hAnsi="宋体" w:eastAsia="宋体"/>
          <w:b/>
          <w:bCs/>
          <w:sz w:val="28"/>
          <w:szCs w:val="28"/>
        </w:rPr>
      </w:pPr>
      <w:r>
        <w:rPr>
          <w:rFonts w:hint="eastAsia" w:ascii="宋体" w:hAnsi="宋体" w:eastAsia="宋体"/>
          <w:b/>
          <w:bCs/>
          <w:sz w:val="28"/>
          <w:szCs w:val="28"/>
        </w:rPr>
        <w:t>一、工作简况</w:t>
      </w:r>
    </w:p>
    <w:p w14:paraId="5C4CDA76">
      <w:pPr>
        <w:keepNext w:val="0"/>
        <w:keepLines w:val="0"/>
        <w:pageBreakBefore w:val="0"/>
        <w:widowControl w:val="0"/>
        <w:tabs>
          <w:tab w:val="left" w:pos="2781"/>
        </w:tabs>
        <w:kinsoku/>
        <w:wordWrap/>
        <w:overflowPunct/>
        <w:autoSpaceDE/>
        <w:autoSpaceDN/>
        <w:bidi w:val="0"/>
        <w:adjustRightInd/>
        <w:snapToGrid/>
        <w:spacing w:line="480" w:lineRule="auto"/>
        <w:ind w:firstLine="562" w:firstLineChars="200"/>
        <w:jc w:val="left"/>
        <w:textAlignment w:val="auto"/>
        <w:rPr>
          <w:rFonts w:hint="eastAsia" w:ascii="宋体" w:hAnsi="宋体" w:eastAsia="宋体"/>
          <w:b/>
          <w:bCs/>
          <w:sz w:val="28"/>
          <w:szCs w:val="28"/>
          <w:lang w:eastAsia="zh-CN"/>
        </w:rPr>
      </w:pPr>
      <w:r>
        <w:rPr>
          <w:rFonts w:hint="eastAsia" w:ascii="宋体" w:hAnsi="宋体" w:eastAsia="宋体"/>
          <w:b/>
          <w:bCs/>
          <w:sz w:val="28"/>
          <w:szCs w:val="28"/>
        </w:rPr>
        <w:t>（一）任务来源</w:t>
      </w:r>
      <w:r>
        <w:rPr>
          <w:rFonts w:hint="eastAsia" w:ascii="宋体" w:hAnsi="宋体" w:eastAsia="宋体"/>
          <w:b/>
          <w:bCs/>
          <w:sz w:val="28"/>
          <w:szCs w:val="28"/>
          <w:lang w:eastAsia="zh-CN"/>
        </w:rPr>
        <w:tab/>
      </w:r>
    </w:p>
    <w:p w14:paraId="5A8CBD60">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欧盟新电池法(EU2023/1542)要求绝缘系统通过950℃火焰灼烧测试，而国内现行标准NB/T10328-2019仅覆盖热缩管，未涉及挤塑铜排整体耐火性能。本规范通过:</w:t>
      </w:r>
    </w:p>
    <w:p w14:paraId="7D8F0DA6">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接轨国际认证:兼容UL4128电气安全要求与IS019642-2:2019明火试验，实现“一次测试，双证通行”，降低企业认证成本30%。预防热失控蔓延:要求挤塑铜排在电池热失控时耐受火焰&gt;5分钟，为乘员逃生提供关键时间窗口(符合GB38031-2020)。</w:t>
      </w:r>
    </w:p>
    <w:p w14:paraId="72640D0B">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经中国中小企业协会及相关专家技术审核，批准《新能源汽车挤塑铜排技术规范》团体标准制定计划，由中国中小企业协会归口。</w:t>
      </w:r>
    </w:p>
    <w:p w14:paraId="13C51FC8">
      <w:pPr>
        <w:keepNext w:val="0"/>
        <w:keepLines w:val="0"/>
        <w:pageBreakBefore w:val="0"/>
        <w:widowControl w:val="0"/>
        <w:numPr>
          <w:ilvl w:val="0"/>
          <w:numId w:val="1"/>
        </w:numPr>
        <w:kinsoku/>
        <w:wordWrap/>
        <w:overflowPunct/>
        <w:autoSpaceDE/>
        <w:autoSpaceDN/>
        <w:bidi w:val="0"/>
        <w:adjustRightInd/>
        <w:snapToGrid/>
        <w:spacing w:line="480" w:lineRule="auto"/>
        <w:ind w:firstLine="562" w:firstLineChars="200"/>
        <w:jc w:val="left"/>
        <w:textAlignment w:val="auto"/>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424FE4A0">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新能源汽车行业快速发展，带来了上下游零部件企业的供货量增加，</w:t>
      </w:r>
      <w:r>
        <w:rPr>
          <w:rFonts w:hint="default" w:ascii="宋体" w:hAnsi="宋体" w:eastAsia="宋体" w:cs="宋体"/>
          <w:b w:val="0"/>
          <w:bCs w:val="0"/>
          <w:sz w:val="24"/>
          <w:szCs w:val="24"/>
          <w:lang w:val="en-US" w:eastAsia="zh-CN"/>
        </w:rPr>
        <w:t>挤塑铜排作为新能源汽车高压电气系统的核心导电元件，承担着电池包内千安级电流传输与结构支撑双重功能。然而，当前行业面临三大技术痛点:</w:t>
      </w:r>
    </w:p>
    <w:p w14:paraId="7E68FF30">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绝缘失效风险:传统热缩管包覆铜排存在界面气隙，在湿热环境下易产生凝露导致绝缘电阻下降。2024年某车企电池包起火事故溯源显示,铜排85℃/85%RI环境中工作500小时后绝缘电阻降至35M2(低于安全阈值50MΩ)，引发电弧击穿。</w:t>
      </w:r>
    </w:p>
    <w:p w14:paraId="4A67C2A2">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机械可靠性</w:t>
      </w:r>
      <w:r>
        <w:rPr>
          <w:rFonts w:hint="eastAsia" w:ascii="宋体" w:hAnsi="宋体" w:eastAsia="宋体" w:cs="宋体"/>
          <w:b w:val="0"/>
          <w:bCs w:val="0"/>
          <w:sz w:val="24"/>
          <w:szCs w:val="24"/>
          <w:lang w:val="en-US" w:eastAsia="zh-CN"/>
        </w:rPr>
        <w:t>有待完善</w:t>
      </w:r>
      <w:r>
        <w:rPr>
          <w:rFonts w:hint="default" w:ascii="宋体" w:hAnsi="宋体" w:eastAsia="宋体" w:cs="宋体"/>
          <w:b w:val="0"/>
          <w:bCs w:val="0"/>
          <w:sz w:val="24"/>
          <w:szCs w:val="24"/>
          <w:lang w:val="en-US" w:eastAsia="zh-CN"/>
        </w:rPr>
        <w:t>:电池包振动环境下铜排断裂事故占比达17%主因是现有标准如GB/T34131-2017仅规定基础电气性能，未规范抗振缓冲结构设计。例如铜排折弯半径若按西方标准(R=1.0B，B为厚度)加工，国产材料裂纹率高达25%。</w:t>
      </w:r>
    </w:p>
    <w:p w14:paraId="462C0509">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工艺一致性差:挤塑工艺参数(如温度、压力)缺乏统一标准，导致产品尺寸公差波动士0.5mm，电池包装配不良率超12%。</w:t>
      </w:r>
    </w:p>
    <w:p w14:paraId="5AA56291">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通过标准化能否为解决以上行业痛点做出突出贡献，同时为保证车机系统的安全提供了标准依据。</w:t>
      </w:r>
    </w:p>
    <w:p w14:paraId="5413138C">
      <w:pPr>
        <w:keepNext w:val="0"/>
        <w:keepLines w:val="0"/>
        <w:pageBreakBefore w:val="0"/>
        <w:widowControl w:val="0"/>
        <w:kinsoku/>
        <w:wordWrap/>
        <w:overflowPunct/>
        <w:autoSpaceDE/>
        <w:autoSpaceDN/>
        <w:bidi w:val="0"/>
        <w:adjustRightInd/>
        <w:snapToGrid/>
        <w:spacing w:line="480" w:lineRule="auto"/>
        <w:ind w:firstLine="562" w:firstLineChars="200"/>
        <w:jc w:val="left"/>
        <w:textAlignment w:val="auto"/>
        <w:rPr>
          <w:rFonts w:ascii="宋体" w:hAnsi="宋体" w:eastAsia="宋体"/>
          <w:sz w:val="28"/>
          <w:szCs w:val="28"/>
        </w:rPr>
      </w:pPr>
      <w:r>
        <w:rPr>
          <w:rFonts w:hint="eastAsia" w:ascii="宋体" w:hAnsi="宋体" w:eastAsia="宋体"/>
          <w:b/>
          <w:bCs/>
          <w:sz w:val="28"/>
          <w:szCs w:val="28"/>
        </w:rPr>
        <w:t>（三）</w:t>
      </w:r>
      <w:r>
        <w:rPr>
          <w:rFonts w:ascii="宋体" w:hAnsi="宋体" w:eastAsia="宋体"/>
          <w:b/>
          <w:bCs/>
          <w:sz w:val="28"/>
          <w:szCs w:val="28"/>
        </w:rPr>
        <w:t>编制过程</w:t>
      </w:r>
      <w:r>
        <w:rPr>
          <w:rFonts w:ascii="宋体" w:hAnsi="宋体" w:eastAsia="宋体"/>
          <w:sz w:val="28"/>
          <w:szCs w:val="28"/>
        </w:rPr>
        <w:t xml:space="preserve"> </w:t>
      </w:r>
    </w:p>
    <w:p w14:paraId="38A973CF">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新能源汽车挤塑铜排技术规范</w:t>
      </w:r>
      <w:r>
        <w:rPr>
          <w:rFonts w:hint="eastAsia" w:ascii="宋体" w:hAnsi="宋体" w:eastAsia="宋体" w:cs="宋体"/>
          <w:b w:val="0"/>
          <w:bCs w:val="0"/>
          <w:sz w:val="24"/>
          <w:szCs w:val="24"/>
        </w:rPr>
        <w:t>》标准的编制过程是一个系统而严谨的工作，它涉及到多个阶段和关键步骤，以确保最终的标准能够满足行业的需求并具备高度的实用性和前瞻性。以下是该标准编制过程的主要步骤和说明：</w:t>
      </w:r>
    </w:p>
    <w:p w14:paraId="507522A9">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项目启动与前期准备</w:t>
      </w:r>
    </w:p>
    <w:p w14:paraId="3EF5E026">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成立标准编制工作组：组建由行业专家、技术人员、标准编写人员等构成的工作组，明确各成员的职责和任务。</w:t>
      </w:r>
    </w:p>
    <w:p w14:paraId="39CFD8FC">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制定编制计划：根据项目需求和时间安排，制定详细的编制计划，包括各阶段的工作内容、时间节点和预期成果。</w:t>
      </w:r>
    </w:p>
    <w:p w14:paraId="7E88500C">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收集资料与调研：收集国内外关于</w:t>
      </w:r>
      <w:r>
        <w:rPr>
          <w:rFonts w:hint="eastAsia" w:ascii="宋体" w:hAnsi="宋体" w:eastAsia="宋体" w:cs="宋体"/>
          <w:b w:val="0"/>
          <w:bCs w:val="0"/>
          <w:sz w:val="24"/>
          <w:szCs w:val="24"/>
          <w:lang w:val="en-US" w:eastAsia="zh-CN"/>
        </w:rPr>
        <w:t>新能源汽车用连接器及铜排</w:t>
      </w:r>
      <w:r>
        <w:rPr>
          <w:rFonts w:hint="eastAsia" w:ascii="宋体" w:hAnsi="宋体" w:eastAsia="宋体" w:cs="宋体"/>
          <w:b w:val="0"/>
          <w:bCs w:val="0"/>
          <w:sz w:val="24"/>
          <w:szCs w:val="24"/>
        </w:rPr>
        <w:t>技术的文献资料。对相关线路进行实地调研，了解实际情况和需求。</w:t>
      </w:r>
    </w:p>
    <w:p w14:paraId="17E4D97B">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需求分析与标准草案撰写</w:t>
      </w:r>
    </w:p>
    <w:p w14:paraId="119D0374">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明确标准范围：根据前期调研和分析结果，明确标准的适用范围、涵盖的内容和技术要求等。</w:t>
      </w:r>
    </w:p>
    <w:p w14:paraId="4A5FADD1">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需求分析：结合行业实际需求和用户反馈，识别当前</w:t>
      </w:r>
      <w:r>
        <w:rPr>
          <w:rFonts w:hint="eastAsia" w:ascii="宋体" w:hAnsi="宋体" w:eastAsia="宋体" w:cs="宋体"/>
          <w:b w:val="0"/>
          <w:bCs w:val="0"/>
          <w:sz w:val="24"/>
          <w:szCs w:val="24"/>
          <w:lang w:val="en-US" w:eastAsia="zh-CN"/>
        </w:rPr>
        <w:t>新能源汽车铜排铝排</w:t>
      </w:r>
      <w:r>
        <w:rPr>
          <w:rFonts w:hint="eastAsia" w:ascii="宋体" w:hAnsi="宋体" w:eastAsia="宋体" w:cs="宋体"/>
          <w:b w:val="0"/>
          <w:bCs w:val="0"/>
          <w:sz w:val="24"/>
          <w:szCs w:val="24"/>
        </w:rPr>
        <w:t>方面存在的问题和挑战。</w:t>
      </w:r>
    </w:p>
    <w:p w14:paraId="0C414C76">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撰写标准草案：基于需求分析结果，按照标准编写的规范和要求，撰写标准草案。草案应包含标准的引言、范围、规范性引用文件、术语和定义、</w:t>
      </w:r>
      <w:r>
        <w:rPr>
          <w:rFonts w:hint="eastAsia" w:ascii="宋体" w:hAnsi="宋体" w:eastAsia="宋体" w:cs="宋体"/>
          <w:b w:val="0"/>
          <w:bCs w:val="0"/>
          <w:sz w:val="24"/>
          <w:szCs w:val="24"/>
          <w:lang w:val="en-US" w:eastAsia="zh-CN"/>
        </w:rPr>
        <w:t>材料要求、工艺要求</w:t>
      </w:r>
      <w:r>
        <w:rPr>
          <w:rFonts w:hint="eastAsia" w:ascii="宋体" w:hAnsi="宋体" w:eastAsia="宋体" w:cs="宋体"/>
          <w:b w:val="0"/>
          <w:bCs w:val="0"/>
          <w:sz w:val="24"/>
          <w:szCs w:val="24"/>
        </w:rPr>
        <w:t>等内容。</w:t>
      </w:r>
    </w:p>
    <w:p w14:paraId="72628F60">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征求意见与修改完善</w:t>
      </w:r>
    </w:p>
    <w:p w14:paraId="781B9490">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征求意见：将标准草案分发给行业内外的专家、企业和技术人员征求意见和建议，确保标准的广泛适用性和行业认可度。</w:t>
      </w:r>
    </w:p>
    <w:p w14:paraId="5D12BE5E">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修改完善：根据收集到的意见和建议，对标准草案进行修改和完善，确保标准的科学性和合理性。</w:t>
      </w:r>
    </w:p>
    <w:p w14:paraId="5B648C8E">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多次迭代：根据反馈和讨论结果，进行多次迭代和修改，直至形成较为成熟和完善的标准草案。</w:t>
      </w:r>
    </w:p>
    <w:p w14:paraId="5B4C7156">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评审与批准</w:t>
      </w:r>
    </w:p>
    <w:p w14:paraId="6029DC48">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专家评审：组织专家对标准草案进行评审，评估其技术可行性、实用性和行业认可度等方面的情况。</w:t>
      </w:r>
    </w:p>
    <w:p w14:paraId="185822E7">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修订与定稿：根据专家评审意见对标准草案进行修订和完善，形成最终的标准文本。</w:t>
      </w:r>
    </w:p>
    <w:p w14:paraId="1A84239A">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批准发布：将最终的标准文本提交给相关机构进行审批和发布，以确保其具备法律效力和行业认可度。</w:t>
      </w:r>
    </w:p>
    <w:p w14:paraId="739688C4">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宣贯与实施</w:t>
      </w:r>
    </w:p>
    <w:p w14:paraId="53B8B9C1">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宣贯培训：组织宣贯培训活动，向行业内外的企业和技术人员介绍标准的内容和要求，提高其认知度和应用水平。</w:t>
      </w:r>
    </w:p>
    <w:p w14:paraId="61E7F37F">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实施监督：建立标准的实施监督机制，对标准的执行情况进行监督和检查，确保其得到有效实施和遵守。</w:t>
      </w:r>
    </w:p>
    <w:p w14:paraId="19C61884">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持续改进：根据实际应用情况和行业反馈，对标准进行持续改进和优化，以适应行业发展和技术进步的需求。</w:t>
      </w:r>
    </w:p>
    <w:p w14:paraId="14082941">
      <w:pPr>
        <w:keepNext w:val="0"/>
        <w:keepLines w:val="0"/>
        <w:pageBreakBefore w:val="0"/>
        <w:widowControl w:val="0"/>
        <w:numPr>
          <w:ilvl w:val="0"/>
          <w:numId w:val="1"/>
        </w:numPr>
        <w:kinsoku/>
        <w:wordWrap/>
        <w:overflowPunct/>
        <w:autoSpaceDE/>
        <w:autoSpaceDN/>
        <w:bidi w:val="0"/>
        <w:adjustRightInd/>
        <w:snapToGrid/>
        <w:spacing w:line="480" w:lineRule="auto"/>
        <w:ind w:left="0" w:leftChars="0" w:firstLine="562" w:firstLineChars="200"/>
        <w:jc w:val="left"/>
        <w:textAlignment w:val="auto"/>
        <w:rPr>
          <w:rFonts w:ascii="宋体" w:hAnsi="宋体" w:eastAsia="宋体"/>
          <w:sz w:val="28"/>
          <w:szCs w:val="28"/>
        </w:rPr>
      </w:pPr>
      <w:r>
        <w:rPr>
          <w:rFonts w:hint="eastAsia" w:ascii="宋体" w:hAnsi="宋体" w:eastAsia="宋体"/>
          <w:b/>
          <w:bCs/>
          <w:sz w:val="28"/>
          <w:szCs w:val="28"/>
        </w:rPr>
        <w:t>主要起草单位及起草人所做的工作</w:t>
      </w:r>
      <w:r>
        <w:rPr>
          <w:rFonts w:ascii="宋体" w:hAnsi="宋体" w:eastAsia="宋体"/>
          <w:sz w:val="28"/>
          <w:szCs w:val="28"/>
        </w:rPr>
        <w:t xml:space="preserve">  </w:t>
      </w:r>
    </w:p>
    <w:p w14:paraId="1EC31A0C">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起草单位的工作内容：</w:t>
      </w:r>
    </w:p>
    <w:p w14:paraId="03C9A973">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组织协调：起草单位顺科智连技术股份有限公司</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负责组建标准编制工作组，并确定工作组的组织架构、成员职责和分工。同时，起草单位负责整个编制过程的组织协调，确保各项任务能够按计划顺利进行。</w:t>
      </w:r>
    </w:p>
    <w:p w14:paraId="78E29679">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资金保障：起草单位为标准的编制工作提供必要的资金支持，包括调研费用、专家评审费用、会议费用等。</w:t>
      </w:r>
    </w:p>
    <w:p w14:paraId="41EAE7BB">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资源整合：起草单位整合行业内外的资源，包括收集相关资料、邀请行业专家参与编制工作等，确保</w:t>
      </w:r>
      <w:r>
        <w:rPr>
          <w:rFonts w:hint="eastAsia" w:ascii="宋体" w:hAnsi="宋体" w:eastAsia="宋体" w:cs="宋体"/>
          <w:b w:val="0"/>
          <w:bCs w:val="0"/>
          <w:sz w:val="24"/>
          <w:szCs w:val="24"/>
          <w:lang w:val="en-US" w:eastAsia="zh-CN"/>
        </w:rPr>
        <w:t>了</w:t>
      </w:r>
      <w:r>
        <w:rPr>
          <w:rFonts w:hint="eastAsia" w:ascii="宋体" w:hAnsi="宋体" w:eastAsia="宋体" w:cs="宋体"/>
          <w:b w:val="0"/>
          <w:bCs w:val="0"/>
          <w:sz w:val="24"/>
          <w:szCs w:val="24"/>
        </w:rPr>
        <w:t>标准能够充分反映行业的实际需求和技术水平。</w:t>
      </w:r>
    </w:p>
    <w:p w14:paraId="690BC835">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审核把关：起草单位对标准草案进行初步审核，确保其符合标准编写的规范和要求，并对不符合要求的内容提出修改意见。</w:t>
      </w:r>
    </w:p>
    <w:p w14:paraId="4A526245">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宣贯推广：在标准正式发布后，起草单位负责标准的宣贯推广工作，包括组织培训、发放宣传资料等，以提高标准的认知度和应用水平。</w:t>
      </w:r>
    </w:p>
    <w:p w14:paraId="049D2CBE">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起草人的工作内容</w:t>
      </w:r>
    </w:p>
    <w:p w14:paraId="714ACC20">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需求调研：起草人进行深入的需求调研，了解</w:t>
      </w:r>
      <w:r>
        <w:rPr>
          <w:rFonts w:hint="eastAsia" w:ascii="宋体" w:hAnsi="宋体" w:eastAsia="宋体" w:cs="宋体"/>
          <w:b w:val="0"/>
          <w:bCs w:val="0"/>
          <w:sz w:val="24"/>
          <w:szCs w:val="24"/>
          <w:lang w:val="en-US" w:eastAsia="zh-CN"/>
        </w:rPr>
        <w:t>母排</w:t>
      </w:r>
      <w:r>
        <w:rPr>
          <w:rFonts w:hint="eastAsia" w:ascii="宋体" w:hAnsi="宋体" w:eastAsia="宋体" w:cs="宋体"/>
          <w:b w:val="0"/>
          <w:bCs w:val="0"/>
          <w:sz w:val="24"/>
          <w:szCs w:val="24"/>
        </w:rPr>
        <w:t>现状、存在的问题以及</w:t>
      </w:r>
      <w:r>
        <w:rPr>
          <w:rFonts w:hint="eastAsia" w:ascii="宋体" w:hAnsi="宋体" w:eastAsia="宋体" w:cs="宋体"/>
          <w:b w:val="0"/>
          <w:bCs w:val="0"/>
          <w:sz w:val="24"/>
          <w:szCs w:val="24"/>
          <w:lang w:val="en-US" w:eastAsia="zh-CN"/>
        </w:rPr>
        <w:t>市场</w:t>
      </w:r>
      <w:r>
        <w:rPr>
          <w:rFonts w:hint="eastAsia" w:ascii="宋体" w:hAnsi="宋体" w:eastAsia="宋体" w:cs="宋体"/>
          <w:b w:val="0"/>
          <w:bCs w:val="0"/>
          <w:sz w:val="24"/>
          <w:szCs w:val="24"/>
        </w:rPr>
        <w:t>需求</w:t>
      </w:r>
      <w:r>
        <w:rPr>
          <w:rFonts w:hint="eastAsia" w:ascii="宋体" w:hAnsi="宋体" w:eastAsia="宋体" w:cs="宋体"/>
          <w:b w:val="0"/>
          <w:bCs w:val="0"/>
          <w:sz w:val="24"/>
          <w:szCs w:val="24"/>
          <w:lang w:eastAsia="zh-CN"/>
        </w:rPr>
        <w:t>，分析制定该导则的必要性，</w:t>
      </w:r>
      <w:r>
        <w:rPr>
          <w:rFonts w:hint="eastAsia" w:ascii="宋体" w:hAnsi="宋体" w:eastAsia="宋体" w:cs="宋体"/>
          <w:b w:val="0"/>
          <w:bCs w:val="0"/>
          <w:sz w:val="24"/>
          <w:szCs w:val="24"/>
        </w:rPr>
        <w:t>为标准的制定提供有力的依据。</w:t>
      </w:r>
    </w:p>
    <w:p w14:paraId="7F9C3645">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草案撰写：基于需求调研结果，起草人按照标准编写的规范和要求，撰写标准草案。这包括标准的引言、范围、规范性引用文件、术语和定义、</w:t>
      </w:r>
      <w:r>
        <w:rPr>
          <w:rFonts w:hint="eastAsia" w:ascii="宋体" w:hAnsi="宋体" w:eastAsia="宋体" w:cs="宋体"/>
          <w:b w:val="0"/>
          <w:bCs w:val="0"/>
          <w:sz w:val="24"/>
          <w:szCs w:val="24"/>
          <w:lang w:val="en-US" w:eastAsia="zh-CN"/>
        </w:rPr>
        <w:t>防风评估的原则及方法</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加固技术及改造方法</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实施与验收</w:t>
      </w:r>
      <w:r>
        <w:rPr>
          <w:rFonts w:hint="eastAsia" w:ascii="宋体" w:hAnsi="宋体" w:eastAsia="宋体" w:cs="宋体"/>
          <w:b w:val="0"/>
          <w:bCs w:val="0"/>
          <w:sz w:val="24"/>
          <w:szCs w:val="24"/>
        </w:rPr>
        <w:t>等内容。</w:t>
      </w:r>
    </w:p>
    <w:p w14:paraId="0879633E">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征求意见：起草人将标准草案分发给行业内外的专家、企业和技术人员征求意见和建议，并根据反馈意见对草案进行修改和完善。</w:t>
      </w:r>
    </w:p>
    <w:p w14:paraId="2F2E6370">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参与评审：起草人参与专家评审会议，对专家提出的意见和建议进行认真分析和处理，并对标准草案进行必要的修改和完善。</w:t>
      </w:r>
    </w:p>
    <w:p w14:paraId="49522DE1">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持续改进：在标准正式发布后，起草人持续关注标准的实际应用情况和行业反馈，对标准进行持续改进和优化，以适应行业发展和技术进步的需求。</w:t>
      </w:r>
    </w:p>
    <w:p w14:paraId="4DFE8903">
      <w:pPr>
        <w:keepNext w:val="0"/>
        <w:keepLines w:val="0"/>
        <w:pageBreakBefore w:val="0"/>
        <w:widowControl w:val="0"/>
        <w:kinsoku/>
        <w:wordWrap/>
        <w:overflowPunct/>
        <w:autoSpaceDE/>
        <w:autoSpaceDN/>
        <w:bidi w:val="0"/>
        <w:adjustRightInd/>
        <w:snapToGrid/>
        <w:spacing w:line="480" w:lineRule="auto"/>
        <w:ind w:firstLine="562" w:firstLineChars="200"/>
        <w:jc w:val="left"/>
        <w:textAlignment w:val="auto"/>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13ACF428">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（一）标准制定原则</w:t>
      </w:r>
    </w:p>
    <w:p w14:paraId="0F8AFEE0">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按照 GB/T 1.1－2020《标准化工作导则 第 1 部分：标准化文件的结构和起草规则》要求进行编写。 </w:t>
      </w:r>
    </w:p>
    <w:p w14:paraId="46FFC0B7">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参照相关法律、法规和规定，在编制过程中着重考虑了科学性、适用性和可操作性。</w:t>
      </w:r>
    </w:p>
    <w:p w14:paraId="494FCAB9">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（二） 标准主要技术内容  </w:t>
      </w:r>
    </w:p>
    <w:p w14:paraId="0F7AEDD1">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材料与结构设计要求</w:t>
      </w:r>
    </w:p>
    <w:p w14:paraId="04017446">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导体性能规范</w:t>
      </w:r>
    </w:p>
    <w:p w14:paraId="6112015E">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电性能:紫铜导电率≥98%IACS，电阻率≤0.01774Q·mm/m;镀镍层通过96h盐雾试验无红锈。</w:t>
      </w:r>
    </w:p>
    <w:p w14:paraId="6945B1B4">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力学性能:抗拉强度&gt;295MPa(硬态)，折弯半径&gt;2倍厚度(R角无裂纹)，避免西方标准R=1.0B导致的断裂风险。</w:t>
      </w:r>
    </w:p>
    <w:p w14:paraId="4B557A2F">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挤塑材料选型</w:t>
      </w:r>
    </w:p>
    <w:p w14:paraId="778E36DC">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基础性能:阻燃等级V0(1.5mm厚度)，热变形温度(HDT)&gt;150℃(1.82MPa载荷)。</w:t>
      </w:r>
    </w:p>
    <w:p w14:paraId="52B3455C">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环境耐受性:耐电解液(EC:DMC=1:1混合液70℃x720h)后拉伸强度保留率&gt;85%:湿热老化(85℃/85%RHX1000h)后CTI下降≤10%。</w:t>
      </w:r>
    </w:p>
    <w:p w14:paraId="6425F1A6">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缓冲结构创新</w:t>
      </w:r>
    </w:p>
    <w:p w14:paraId="1EAC00F5">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机械缓冲机构:采用弹簧限位导杆系统，振动能量吸收率&gt;60%，位移补偿量0~5mm(参照浙江金桥专利CN222261305U)</w:t>
      </w:r>
    </w:p>
    <w:p w14:paraId="0FFBCF75">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挤塑工艺与制造控制</w:t>
      </w:r>
    </w:p>
    <w:p w14:paraId="4B4FBEB0">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成型工艺窗口</w:t>
      </w:r>
    </w:p>
    <w:p w14:paraId="552FF799">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挤塑参数:熔体温度(PA66:280+5℃;聚烯烃:230+5℃)模具压力80士5MPa，冷却速率≤15℃/min(防止内应力开裂)。缺陷控制:熔接线强度&gt;80%基材(IS0527测试);平面度公差≤0.15mm/100mm(三次元测量)。</w:t>
      </w:r>
    </w:p>
    <w:p w14:paraId="477A72C5">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在线检测技术</w:t>
      </w:r>
    </w:p>
    <w:p w14:paraId="3BA70F37">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机器视觉:100%检测挤塑层完整性(无气泡、缺料)，定位精度+0.1mm.</w:t>
      </w:r>
    </w:p>
    <w:p w14:paraId="41EAFD5B">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电性能测试:在线耐压测试(AC3000V/2s，漏电流≤5mA)，绝缘电阻(DC1000V，&gt;500M2)。</w:t>
      </w:r>
    </w:p>
    <w:p w14:paraId="78BC6130">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性能测试与可靠性评价</w:t>
      </w:r>
    </w:p>
    <w:p w14:paraId="15316CB8">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电气安全测试</w:t>
      </w:r>
    </w:p>
    <w:p w14:paraId="6DD1D8C0">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绝缘性能:湿热试验(85℃/85%RHx168h)后绝缘电阻&gt;50M2耐压 AC2500V/60s无击穿</w:t>
      </w:r>
    </w:p>
    <w:p w14:paraId="566DAC86">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电压降稳定性:额定电流下接触端电压降AU≤5%初始值(四端法测量)</w:t>
      </w:r>
    </w:p>
    <w:p w14:paraId="175B495C">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环境耐受性测试</w:t>
      </w:r>
    </w:p>
    <w:p w14:paraId="6C0EF0D2">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机械可靠性测试</w:t>
      </w:r>
    </w:p>
    <w:p w14:paraId="09FFE63D">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振动疲劳:10~1000Hz随机振动(RMS27.8m/s2)，循环4200次后无断裂(参照GB/T28046.3)</w:t>
      </w:r>
    </w:p>
    <w:p w14:paraId="5E31B5F0">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冲击耐久:半正弦波25g/15ms冲击，3个方向各100次，结构无失效。</w:t>
      </w:r>
    </w:p>
    <w:p w14:paraId="0F3817BC">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耐火安全性</w:t>
      </w:r>
    </w:p>
    <w:p w14:paraId="13C5BAEF">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直接火焰试验:950℃火焰灼烧非金属部分&gt;5min，无熔滴、无击穿(符合IS0196422:2019)</w:t>
      </w:r>
    </w:p>
    <w:p w14:paraId="5D7AD61D">
      <w:pPr>
        <w:keepNext w:val="0"/>
        <w:keepLines w:val="0"/>
        <w:pageBreakBefore w:val="0"/>
        <w:widowControl w:val="0"/>
        <w:tabs>
          <w:tab w:val="left" w:pos="4875"/>
        </w:tabs>
        <w:kinsoku/>
        <w:wordWrap/>
        <w:overflowPunct/>
        <w:autoSpaceDE/>
        <w:autoSpaceDN/>
        <w:bidi w:val="0"/>
        <w:adjustRightInd/>
        <w:snapToGrid/>
        <w:spacing w:line="480" w:lineRule="auto"/>
        <w:ind w:firstLine="562" w:firstLineChars="200"/>
        <w:jc w:val="left"/>
        <w:textAlignment w:val="auto"/>
        <w:rPr>
          <w:rFonts w:ascii="宋体" w:hAnsi="宋体" w:eastAsia="宋体"/>
          <w:b/>
          <w:bCs/>
          <w:sz w:val="28"/>
          <w:szCs w:val="28"/>
        </w:rPr>
      </w:pPr>
      <w:r>
        <w:rPr>
          <w:rFonts w:hint="eastAsia" w:ascii="宋体" w:hAnsi="宋体" w:eastAsia="宋体"/>
          <w:b/>
          <w:bCs/>
          <w:sz w:val="28"/>
          <w:szCs w:val="28"/>
        </w:rPr>
        <w:t>（</w:t>
      </w:r>
      <w:r>
        <w:rPr>
          <w:rFonts w:hint="eastAsia" w:ascii="宋体" w:hAnsi="宋体" w:eastAsia="宋体"/>
          <w:b/>
          <w:bCs/>
          <w:sz w:val="28"/>
          <w:szCs w:val="28"/>
          <w:lang w:val="en-US" w:eastAsia="zh-CN"/>
        </w:rPr>
        <w:t>三</w:t>
      </w:r>
      <w:r>
        <w:rPr>
          <w:rFonts w:hint="eastAsia" w:ascii="宋体" w:hAnsi="宋体" w:eastAsia="宋体"/>
          <w:b/>
          <w:bCs/>
          <w:sz w:val="28"/>
          <w:szCs w:val="28"/>
        </w:rPr>
        <w:t>）标准中涉及专利的情况</w:t>
      </w:r>
      <w:r>
        <w:rPr>
          <w:rFonts w:ascii="宋体" w:hAnsi="宋体" w:eastAsia="宋体"/>
          <w:b/>
          <w:bCs/>
          <w:sz w:val="28"/>
          <w:szCs w:val="28"/>
        </w:rPr>
        <w:t xml:space="preserve"> </w:t>
      </w:r>
    </w:p>
    <w:p w14:paraId="2A91F098">
      <w:pPr>
        <w:keepNext w:val="0"/>
        <w:keepLines w:val="0"/>
        <w:pageBreakBefore w:val="0"/>
        <w:widowControl w:val="0"/>
        <w:tabs>
          <w:tab w:val="left" w:pos="4875"/>
        </w:tabs>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无</w:t>
      </w:r>
      <w:r>
        <w:rPr>
          <w:rFonts w:hint="eastAsia" w:ascii="宋体" w:hAnsi="宋体" w:eastAsia="宋体" w:cs="宋体"/>
          <w:b w:val="0"/>
          <w:bCs w:val="0"/>
          <w:sz w:val="24"/>
          <w:szCs w:val="24"/>
        </w:rPr>
        <w:t xml:space="preserve"> </w:t>
      </w:r>
    </w:p>
    <w:p w14:paraId="1DBB3284">
      <w:pPr>
        <w:keepNext w:val="0"/>
        <w:keepLines w:val="0"/>
        <w:pageBreakBefore w:val="0"/>
        <w:widowControl w:val="0"/>
        <w:kinsoku/>
        <w:wordWrap/>
        <w:overflowPunct/>
        <w:autoSpaceDE/>
        <w:autoSpaceDN/>
        <w:bidi w:val="0"/>
        <w:adjustRightInd/>
        <w:snapToGrid/>
        <w:spacing w:line="480" w:lineRule="auto"/>
        <w:ind w:firstLine="562" w:firstLineChars="200"/>
        <w:jc w:val="left"/>
        <w:textAlignment w:val="auto"/>
        <w:rPr>
          <w:rFonts w:ascii="宋体" w:hAnsi="宋体" w:eastAsia="宋体"/>
          <w:sz w:val="28"/>
          <w:szCs w:val="28"/>
        </w:rPr>
      </w:pPr>
      <w:r>
        <w:rPr>
          <w:rFonts w:hint="eastAsia" w:ascii="宋体" w:hAnsi="宋体" w:eastAsia="宋体"/>
          <w:b/>
          <w:bCs/>
          <w:sz w:val="28"/>
          <w:szCs w:val="28"/>
          <w:lang w:val="en-US" w:eastAsia="zh-CN"/>
        </w:rPr>
        <w:t>三</w:t>
      </w: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6D8E8244">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经济效益</w:t>
      </w:r>
      <w:r>
        <w:rPr>
          <w:rFonts w:hint="eastAsia" w:ascii="宋体" w:hAnsi="宋体" w:eastAsia="宋体" w:cs="宋体"/>
          <w:b w:val="0"/>
          <w:bCs w:val="0"/>
          <w:sz w:val="24"/>
          <w:szCs w:val="24"/>
        </w:rPr>
        <w:t xml:space="preserve"> </w:t>
      </w:r>
    </w:p>
    <w:p w14:paraId="390497D9">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1. 降本增效与产业升级  </w:t>
      </w:r>
    </w:p>
    <w:p w14:paraId="59066016">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降低定制化成本：统一技术参数（如导电率≥98% IACS、疲劳寿命≥20万次）可减少企业重复研发投入，预计降低30%非标产品定制成本。  </w:t>
      </w:r>
    </w:p>
    <w:p w14:paraId="29D36D96">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提升良品率：规范挤塑工艺（如高分子扩散焊温度控制±5℃），解决因层间融合不充分导致的剥离力问题，使产品不良率下降15%以上。  </w:t>
      </w:r>
    </w:p>
    <w:p w14:paraId="55276E39">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拓展市场份额：对标欧盟CBAM碳关税要求，标准兼容性助力企业进入国际供应链，如金桥铜业依托专利技术打开海外市场。  </w:t>
      </w:r>
    </w:p>
    <w:p w14:paraId="302ECEE6">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驱动产业链协同创新  </w:t>
      </w:r>
    </w:p>
    <w:p w14:paraId="2D5CE144">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促进材料（T2紫铜）、工艺（镀镍亮锡防腐）与设备（中频电阻焊机）的标准化协作，缩短新产品开发周期40%。  </w:t>
      </w:r>
    </w:p>
    <w:p w14:paraId="5B8E1AE3">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参考新钢股份制定电工钢标准的经验，挤塑铜排标准可催生细分领域头部企业，拉动配套产业年产值增长超10亿元。  </w:t>
      </w:r>
    </w:p>
    <w:p w14:paraId="1CCB3A5C">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二</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生态效益</w:t>
      </w:r>
      <w:r>
        <w:rPr>
          <w:rFonts w:hint="eastAsia" w:ascii="宋体" w:hAnsi="宋体" w:eastAsia="宋体" w:cs="宋体"/>
          <w:b w:val="0"/>
          <w:bCs w:val="0"/>
          <w:sz w:val="24"/>
          <w:szCs w:val="24"/>
        </w:rPr>
        <w:t xml:space="preserve"> </w:t>
      </w:r>
    </w:p>
    <w:p w14:paraId="1946FFD5">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1. 资源节约与低碳制造  </w:t>
      </w:r>
    </w:p>
    <w:p w14:paraId="23C5196F">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再生铜应用：明确再生铜比例要求（如≥30%），减少矿产开采能耗。按年产50万吨测算，年节电约1.2亿千瓦时，减碳7.5万吨。  </w:t>
      </w:r>
    </w:p>
    <w:p w14:paraId="500E1CE6">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绿色工艺强制：规定无氰镀锡、钝化液循环利用等条款，降低重金属废水排放量60%。  </w:t>
      </w:r>
    </w:p>
    <w:p w14:paraId="4F897DA6">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2. 全生命周期碳管理  </w:t>
      </w:r>
    </w:p>
    <w:p w14:paraId="08B02236">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引入碳足迹核算方法（如ISO 14067），覆盖"铜矿开采→报废回收"全链条，为出口企业规避欧盟碳边境税（预计占成本18%）提供数据支撑。  </w:t>
      </w:r>
    </w:p>
    <w:p w14:paraId="00061647">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三</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社会综合效益</w:t>
      </w:r>
      <w:r>
        <w:rPr>
          <w:rFonts w:hint="eastAsia" w:ascii="宋体" w:hAnsi="宋体" w:eastAsia="宋体" w:cs="宋体"/>
          <w:b w:val="0"/>
          <w:bCs w:val="0"/>
          <w:sz w:val="24"/>
          <w:szCs w:val="24"/>
        </w:rPr>
        <w:t xml:space="preserve"> </w:t>
      </w:r>
    </w:p>
    <w:p w14:paraId="54BADF99">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1. 安全保障与可靠性提升  </w:t>
      </w:r>
    </w:p>
    <w:p w14:paraId="6776888C">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规范抗振动性能（如4200次/小时疲劳测试）和盐雾防护（72小时达D7级），降低新能源车因连接件失效导致的安全事故率。  </w:t>
      </w:r>
    </w:p>
    <w:p w14:paraId="1B1CD2C3">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通过统一智能监测接口（如温度/应力传感器嵌入标准），实现电池系统故障预警，提升公共交通安全。  </w:t>
      </w:r>
    </w:p>
    <w:p w14:paraId="32262471">
      <w:pPr>
        <w:keepNext w:val="0"/>
        <w:keepLines w:val="0"/>
        <w:pageBreakBefore w:val="0"/>
        <w:widowControl w:val="0"/>
        <w:numPr>
          <w:ilvl w:val="0"/>
          <w:numId w:val="0"/>
        </w:numPr>
        <w:kinsoku/>
        <w:wordWrap/>
        <w:overflowPunct/>
        <w:autoSpaceDE/>
        <w:autoSpaceDN/>
        <w:bidi w:val="0"/>
        <w:adjustRightInd/>
        <w:snapToGrid/>
        <w:spacing w:line="480" w:lineRule="auto"/>
        <w:ind w:firstLine="562" w:firstLineChars="200"/>
        <w:jc w:val="left"/>
        <w:textAlignment w:val="auto"/>
        <w:rPr>
          <w:rFonts w:hint="eastAsia" w:ascii="宋体" w:hAnsi="宋体" w:eastAsia="宋体"/>
          <w:b/>
          <w:bCs/>
          <w:sz w:val="28"/>
          <w:szCs w:val="28"/>
        </w:rPr>
      </w:pPr>
      <w:r>
        <w:rPr>
          <w:rFonts w:hint="eastAsia" w:ascii="宋体" w:hAnsi="宋体" w:eastAsia="宋体"/>
          <w:b/>
          <w:bCs/>
          <w:sz w:val="28"/>
          <w:szCs w:val="28"/>
          <w:lang w:val="en-US" w:eastAsia="zh-CN"/>
        </w:rPr>
        <w:t>四、</w:t>
      </w:r>
      <w:r>
        <w:rPr>
          <w:rFonts w:hint="eastAsia" w:ascii="宋体" w:hAnsi="宋体" w:eastAsia="宋体"/>
          <w:b/>
          <w:bCs/>
          <w:sz w:val="28"/>
          <w:szCs w:val="28"/>
        </w:rPr>
        <w:t>在标准体系中的位置，与现行相关法律、法规、规章及相关标准</w:t>
      </w:r>
      <w:r>
        <w:rPr>
          <w:rFonts w:hint="eastAsia" w:ascii="宋体" w:hAnsi="宋体" w:eastAsia="宋体"/>
          <w:b/>
          <w:bCs/>
          <w:sz w:val="28"/>
          <w:szCs w:val="28"/>
          <w:lang w:val="en-US" w:eastAsia="zh-CN"/>
        </w:rPr>
        <w:t>的</w:t>
      </w:r>
      <w:r>
        <w:rPr>
          <w:rFonts w:hint="eastAsia" w:ascii="宋体" w:hAnsi="宋体" w:eastAsia="宋体"/>
          <w:b/>
          <w:bCs/>
          <w:sz w:val="28"/>
          <w:szCs w:val="28"/>
        </w:rPr>
        <w:t>协调性</w:t>
      </w:r>
    </w:p>
    <w:p w14:paraId="402D9501">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国内外标准对比分析</w:t>
      </w:r>
    </w:p>
    <w:p w14:paraId="2FE46A3F">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国内标准现状</w:t>
      </w:r>
    </w:p>
    <w:p w14:paraId="5C6D6413">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现有国内标准在挤塑工艺覆盖和系统验证方面存在未标准化的工艺细节:</w:t>
      </w:r>
    </w:p>
    <w:p w14:paraId="109AF15C">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NB/T 103282019:</w:t>
      </w:r>
    </w:p>
    <w:p w14:paraId="68CFB7D5">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进步性:规范聚烯烃热收缩管的壁厚(1.8士0.2mm)收缩比(3:1)及耐压等级(AC 7000V)。</w:t>
      </w:r>
    </w:p>
    <w:p w14:paraId="69CE8A63">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局限:仅适用于外覆式热缩管，未涉及挤塑一体成型工艺，且未要求缓冲结构设计。</w:t>
      </w:r>
    </w:p>
    <w:p w14:paraId="2651E097">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T/QCCML 30822024:</w:t>
      </w:r>
    </w:p>
    <w:p w14:paraId="1EF4B821">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工艺缺失:虽规定软铜排的镍层厚度(0.1mm)及剥离力(&gt;30N)但未涵盖挤塑铜排的熔体温度控制、冷却速率等核心参数。</w:t>
      </w:r>
    </w:p>
    <w:p w14:paraId="0FECE4F8">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T/CIET 5382024:</w:t>
      </w:r>
    </w:p>
    <w:p w14:paraId="09CF9E45">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测试覆盖:仅包含铜排基础电性能测试，未纳入振动湿热想合试验及热失控耐火测试。</w:t>
      </w:r>
    </w:p>
    <w:p w14:paraId="06D37FCE">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国际标准现状</w:t>
      </w:r>
    </w:p>
    <w:p w14:paraId="3CB41613">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国际标准在系统性和前沿技术适配方面有待提升:</w:t>
      </w:r>
    </w:p>
    <w:p w14:paraId="0A6B5B24">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UL 4128(美国):</w:t>
      </w:r>
    </w:p>
    <w:p w14:paraId="0D6A819B">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电气安全全面:规定绝缘电阻(&gt;100M2)、耐压(AC5000V/60s)等通用指标。</w:t>
      </w:r>
    </w:p>
    <w:p w14:paraId="440C233A">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结构创新缺失:未覆盖缓冲机构、热膨胀补偿等新能源汽车特有</w:t>
      </w:r>
    </w:p>
    <w:p w14:paraId="05599248">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设计</w:t>
      </w:r>
    </w:p>
    <w:p w14:paraId="55831308">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IS0 196422:2019:</w:t>
      </w:r>
    </w:p>
    <w:p w14:paraId="0C13ACD4">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耐火领先:明确950℃火焰耐受试验方法，但未针对挤塑铜排优比测试参数(如灼烧时间从30s延长至5min)。</w:t>
      </w:r>
    </w:p>
    <w:p w14:paraId="754983B0">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TÜV SÃD PPP 59044A:</w:t>
      </w:r>
    </w:p>
    <w:p w14:paraId="5F9A75A5">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环境测试严格:要求通过40℃~125℃温度循环+化学腐蚀试验旦未规定多应力同步加载(如振动与温度交变耦合)</w:t>
      </w:r>
    </w:p>
    <w:p w14:paraId="1D14859E">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562" w:firstLineChars="200"/>
        <w:jc w:val="left"/>
        <w:textAlignment w:val="auto"/>
        <w:rPr>
          <w:rFonts w:hint="eastAsia" w:ascii="宋体" w:hAnsi="宋体" w:eastAsia="宋体"/>
          <w:b/>
          <w:bCs/>
          <w:sz w:val="28"/>
          <w:szCs w:val="28"/>
        </w:rPr>
      </w:pPr>
      <w:r>
        <w:rPr>
          <w:rFonts w:hint="eastAsia" w:ascii="宋体" w:hAnsi="宋体" w:eastAsia="宋体" w:cstheme="minorBidi"/>
          <w:b/>
          <w:bCs/>
          <w:kern w:val="2"/>
          <w:sz w:val="28"/>
          <w:szCs w:val="28"/>
          <w:lang w:val="en-US" w:eastAsia="zh-CN" w:bidi="ar-SA"/>
        </w:rPr>
        <w:t>五、</w:t>
      </w:r>
      <w:r>
        <w:rPr>
          <w:rFonts w:hint="eastAsia" w:ascii="宋体" w:hAnsi="宋体" w:eastAsia="宋体"/>
          <w:b/>
          <w:bCs/>
          <w:sz w:val="28"/>
          <w:szCs w:val="28"/>
        </w:rPr>
        <w:t>重大分歧意见的处理经过和依据</w:t>
      </w:r>
    </w:p>
    <w:p w14:paraId="2A0E1860">
      <w:pPr>
        <w:keepNext w:val="0"/>
        <w:keepLines w:val="0"/>
        <w:pageBreakBefore w:val="0"/>
        <w:widowControl w:val="0"/>
        <w:tabs>
          <w:tab w:val="left" w:pos="4875"/>
        </w:tabs>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无</w:t>
      </w:r>
    </w:p>
    <w:p w14:paraId="07A9036B">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562" w:firstLineChars="200"/>
        <w:jc w:val="left"/>
        <w:textAlignment w:val="auto"/>
        <w:rPr>
          <w:rFonts w:hint="eastAsia" w:ascii="宋体" w:hAnsi="宋体" w:eastAsia="宋体"/>
          <w:b/>
          <w:bCs/>
          <w:sz w:val="28"/>
          <w:szCs w:val="28"/>
        </w:rPr>
      </w:pPr>
      <w:r>
        <w:rPr>
          <w:rFonts w:hint="eastAsia" w:ascii="宋体" w:hAnsi="宋体" w:eastAsia="宋体"/>
          <w:b/>
          <w:bCs/>
          <w:sz w:val="28"/>
          <w:szCs w:val="28"/>
          <w:lang w:val="en-US" w:eastAsia="zh-CN"/>
        </w:rPr>
        <w:t>六、</w:t>
      </w:r>
      <w:r>
        <w:rPr>
          <w:rFonts w:hint="eastAsia" w:ascii="宋体" w:hAnsi="宋体" w:eastAsia="宋体"/>
          <w:b/>
          <w:bCs/>
          <w:sz w:val="28"/>
          <w:szCs w:val="28"/>
        </w:rPr>
        <w:t>标准性质的建议说明</w:t>
      </w:r>
    </w:p>
    <w:p w14:paraId="053C2282">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关于《新能源汽车挤塑铜排技术规范》性质的建议，认为其定义为推荐性团体标准。推荐性团体标准是由具备相应能力和条件的社会团体，在特定领域内协调相关市场主体共同制定的，满足市场和创新需要的标准。</w:t>
      </w:r>
    </w:p>
    <w:p w14:paraId="0C7FA45D">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新能源汽车挤塑铜排技术规范》作为推荐性团体标准，目前连接器行业在挤塑铜排领域尚缺乏专门的标准指导，推荐性团体标准可以作为现行标准的补充，为连接器行业的安全发展提供有力支持。推荐性团体标准鼓励企业在遵循基本规范的前提下进行技术创新，提高产品的竞争力。通过制定推荐性团体标准，可以激发连接器技术领域的创新活力，推动新技术的研发和应用。同时，标准的制定还可以促进不同企业之间的技术交流和合作，推动整个行业的技术进步。</w:t>
      </w:r>
    </w:p>
    <w:p w14:paraId="1240506E">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综上所述，《新能源汽车挤塑铜排技术规范》作为推荐性团体标准具有较大的优势，能够满足市场需求、鼓励创新并促进产业发展。因此，我们建议将其性质定义为推荐性团体标准，并采取相应措施加以实施和推广。</w:t>
      </w:r>
    </w:p>
    <w:p w14:paraId="11415F0F">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562" w:firstLineChars="200"/>
        <w:jc w:val="left"/>
        <w:textAlignment w:val="auto"/>
        <w:rPr>
          <w:rFonts w:hint="eastAsia" w:ascii="宋体" w:hAnsi="宋体" w:eastAsia="宋体"/>
          <w:b/>
          <w:bCs/>
          <w:sz w:val="28"/>
          <w:szCs w:val="28"/>
        </w:rPr>
      </w:pPr>
      <w:r>
        <w:rPr>
          <w:rFonts w:hint="eastAsia" w:ascii="宋体" w:hAnsi="宋体" w:eastAsia="宋体"/>
          <w:b/>
          <w:bCs/>
          <w:sz w:val="28"/>
          <w:szCs w:val="28"/>
          <w:lang w:val="en-US" w:eastAsia="zh-CN"/>
        </w:rPr>
        <w:t>七、</w:t>
      </w:r>
      <w:r>
        <w:rPr>
          <w:rFonts w:hint="eastAsia" w:ascii="宋体" w:hAnsi="宋体" w:eastAsia="宋体"/>
          <w:b/>
          <w:bCs/>
          <w:sz w:val="28"/>
          <w:szCs w:val="28"/>
        </w:rPr>
        <w:t>贯彻标准的要求和措施建议</w:t>
      </w:r>
    </w:p>
    <w:p w14:paraId="4A49B1CC">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1.贯彻要求</w:t>
      </w:r>
    </w:p>
    <w:p w14:paraId="783FB883">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编写时应确保技术要求的规范性，遵循连接器行业的基础标准，如连接器行业标准编写规定，并与现行法律、法规、规章和其他相关标准相协调。铜排应符合连接器行业中的强制性标准，确保评估结果的准确性和可靠性。</w:t>
      </w:r>
    </w:p>
    <w:p w14:paraId="6FAABBA4">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2.贯彻措施</w:t>
      </w:r>
    </w:p>
    <w:p w14:paraId="009C49BC">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根据标准的内容和要求，制定详细的实施计划，明确每个阶段的目标、任务、时间表和责任人，确保标准得到有序、有效地贯彻。组织针对标准的培训和教育活动，提高相关人员对标准的认知和理解程度，使他们能够熟练掌握标准的内容和要求，并在实际工作中加以应用。鼓励科研机构和企业加大在连接器领域的研发投入，推动技术创新和进步。及时修订和更新规范中的技术要求和操作方法，以适应连接器行业的发展和技术进步。同时，加强与国际先进技术的交流与合作，引进和消化吸收国际先进经验和技术成果。</w:t>
      </w:r>
    </w:p>
    <w:p w14:paraId="58B3F26B">
      <w:pPr>
        <w:keepNext w:val="0"/>
        <w:keepLines w:val="0"/>
        <w:pageBreakBefore w:val="0"/>
        <w:widowControl w:val="0"/>
        <w:numPr>
          <w:ilvl w:val="0"/>
          <w:numId w:val="0"/>
        </w:numPr>
        <w:kinsoku/>
        <w:wordWrap/>
        <w:overflowPunct/>
        <w:autoSpaceDE/>
        <w:autoSpaceDN/>
        <w:bidi w:val="0"/>
        <w:adjustRightInd/>
        <w:snapToGrid/>
        <w:spacing w:line="480" w:lineRule="auto"/>
        <w:ind w:firstLine="562" w:firstLineChars="200"/>
        <w:jc w:val="left"/>
        <w:textAlignment w:val="auto"/>
        <w:rPr>
          <w:rFonts w:hint="eastAsia" w:ascii="宋体" w:hAnsi="宋体" w:eastAsia="宋体"/>
          <w:b/>
          <w:bCs/>
          <w:sz w:val="28"/>
          <w:szCs w:val="28"/>
        </w:rPr>
      </w:pPr>
      <w:r>
        <w:rPr>
          <w:rFonts w:hint="eastAsia" w:ascii="宋体" w:hAnsi="宋体" w:eastAsia="宋体" w:cstheme="minorBidi"/>
          <w:b/>
          <w:bCs/>
          <w:kern w:val="2"/>
          <w:sz w:val="28"/>
          <w:szCs w:val="28"/>
          <w:lang w:val="en-US" w:eastAsia="zh-CN" w:bidi="ar-SA"/>
        </w:rPr>
        <w:t>八、</w:t>
      </w:r>
      <w:r>
        <w:rPr>
          <w:rFonts w:hint="eastAsia" w:ascii="宋体" w:hAnsi="宋体" w:eastAsia="宋体"/>
          <w:b/>
          <w:bCs/>
          <w:sz w:val="28"/>
          <w:szCs w:val="28"/>
        </w:rPr>
        <w:t>其他应予说明的事项</w:t>
      </w:r>
    </w:p>
    <w:p w14:paraId="5AAD6591">
      <w:pPr>
        <w:keepNext w:val="0"/>
        <w:keepLines w:val="0"/>
        <w:pageBreakBefore w:val="0"/>
        <w:widowControl w:val="0"/>
        <w:tabs>
          <w:tab w:val="left" w:pos="4875"/>
        </w:tabs>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无</w:t>
      </w:r>
    </w:p>
    <w:p w14:paraId="3FB589E1">
      <w:pPr>
        <w:keepNext w:val="0"/>
        <w:keepLines w:val="0"/>
        <w:pageBreakBefore w:val="0"/>
        <w:widowControl w:val="0"/>
        <w:kinsoku/>
        <w:wordWrap/>
        <w:overflowPunct/>
        <w:topLinePunct/>
        <w:autoSpaceDE/>
        <w:autoSpaceDN/>
        <w:bidi w:val="0"/>
        <w:adjustRightInd/>
        <w:snapToGrid/>
        <w:spacing w:line="480" w:lineRule="auto"/>
        <w:ind w:firstLine="560" w:firstLineChars="200"/>
        <w:jc w:val="right"/>
        <w:textAlignment w:val="auto"/>
        <w:rPr>
          <w:rFonts w:ascii="宋体" w:hAnsi="宋体" w:eastAsia="宋体"/>
          <w:sz w:val="28"/>
          <w:szCs w:val="28"/>
        </w:rPr>
      </w:pPr>
      <w:r>
        <w:rPr>
          <w:rFonts w:hint="eastAsia" w:ascii="宋体" w:hAnsi="宋体" w:eastAsia="宋体"/>
          <w:sz w:val="28"/>
          <w:szCs w:val="28"/>
        </w:rPr>
        <w:t>《新能源</w:t>
      </w:r>
      <w:bookmarkStart w:id="0" w:name="_GoBack"/>
      <w:bookmarkEnd w:id="0"/>
      <w:r>
        <w:rPr>
          <w:rFonts w:hint="eastAsia" w:ascii="宋体" w:hAnsi="宋体" w:eastAsia="宋体"/>
          <w:sz w:val="28"/>
          <w:szCs w:val="28"/>
        </w:rPr>
        <w:t>汽车挤塑铜排技术规范》起草组</w:t>
      </w:r>
      <w:r>
        <w:rPr>
          <w:rFonts w:ascii="宋体" w:hAnsi="宋体" w:eastAsia="宋体"/>
          <w:sz w:val="28"/>
          <w:szCs w:val="28"/>
        </w:rPr>
        <w:t xml:space="preserve"> </w:t>
      </w:r>
    </w:p>
    <w:p w14:paraId="7E247E73">
      <w:pPr>
        <w:keepNext w:val="0"/>
        <w:keepLines w:val="0"/>
        <w:pageBreakBefore w:val="0"/>
        <w:widowControl w:val="0"/>
        <w:kinsoku/>
        <w:wordWrap/>
        <w:overflowPunct/>
        <w:topLinePunct/>
        <w:autoSpaceDE/>
        <w:autoSpaceDN/>
        <w:bidi w:val="0"/>
        <w:adjustRightInd/>
        <w:snapToGrid/>
        <w:spacing w:line="480" w:lineRule="auto"/>
        <w:ind w:firstLine="560" w:firstLineChars="200"/>
        <w:jc w:val="right"/>
        <w:textAlignment w:val="auto"/>
        <w:rPr>
          <w:rFonts w:ascii="宋体" w:hAnsi="宋体" w:eastAsia="宋体"/>
          <w:sz w:val="28"/>
          <w:szCs w:val="28"/>
        </w:rPr>
      </w:pPr>
      <w:r>
        <w:rPr>
          <w:rFonts w:hint="eastAsia" w:ascii="宋体" w:hAnsi="宋体" w:eastAsia="宋体"/>
          <w:sz w:val="28"/>
          <w:szCs w:val="28"/>
          <w:lang w:val="en-US" w:eastAsia="zh-CN"/>
        </w:rPr>
        <w:t>2025</w:t>
      </w:r>
      <w:r>
        <w:rPr>
          <w:rFonts w:ascii="宋体" w:hAnsi="宋体" w:eastAsia="宋体"/>
          <w:sz w:val="28"/>
          <w:szCs w:val="28"/>
        </w:rPr>
        <w:t>年</w:t>
      </w:r>
      <w:r>
        <w:rPr>
          <w:rFonts w:hint="eastAsia" w:ascii="宋体" w:hAnsi="宋体" w:eastAsia="宋体"/>
          <w:sz w:val="28"/>
          <w:szCs w:val="28"/>
          <w:lang w:val="en-US" w:eastAsia="zh-CN"/>
        </w:rPr>
        <w:t>10</w:t>
      </w:r>
      <w:r>
        <w:rPr>
          <w:rFonts w:ascii="宋体" w:hAnsi="宋体" w:eastAsia="宋体"/>
          <w:sz w:val="28"/>
          <w:szCs w:val="28"/>
        </w:rPr>
        <w:t>月</w:t>
      </w:r>
      <w:r>
        <w:rPr>
          <w:rFonts w:hint="eastAsia" w:ascii="宋体" w:hAnsi="宋体" w:eastAsia="宋体"/>
          <w:sz w:val="28"/>
          <w:szCs w:val="28"/>
          <w:lang w:val="en-US" w:eastAsia="zh-CN"/>
        </w:rPr>
        <w:t>10</w:t>
      </w:r>
      <w:r>
        <w:rPr>
          <w:rFonts w:ascii="宋体" w:hAnsi="宋体" w:eastAsia="宋体"/>
          <w:sz w:val="28"/>
          <w:szCs w:val="28"/>
        </w:rPr>
        <w:t>日</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26EF2"/>
    <w:multiLevelType w:val="singleLevel"/>
    <w:tmpl w:val="AA226EF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29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0YWNjNjc4NTZmYWQ0YjJhZTAxNWViNDY0ZGYyNjcifQ=="/>
  </w:docVars>
  <w:rsids>
    <w:rsidRoot w:val="00080FCE"/>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12447"/>
    <w:rsid w:val="006379F1"/>
    <w:rsid w:val="00647F5C"/>
    <w:rsid w:val="006770FA"/>
    <w:rsid w:val="006771DA"/>
    <w:rsid w:val="0068107B"/>
    <w:rsid w:val="00683BC8"/>
    <w:rsid w:val="00693278"/>
    <w:rsid w:val="00696DC6"/>
    <w:rsid w:val="006A2989"/>
    <w:rsid w:val="006A7619"/>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5EF3"/>
    <w:rsid w:val="008639DD"/>
    <w:rsid w:val="00873DB6"/>
    <w:rsid w:val="00895E54"/>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6263"/>
    <w:rsid w:val="00B379B8"/>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D0ABF"/>
    <w:rsid w:val="00DE0621"/>
    <w:rsid w:val="00DE4309"/>
    <w:rsid w:val="00DF638A"/>
    <w:rsid w:val="00DF7390"/>
    <w:rsid w:val="00E00D3E"/>
    <w:rsid w:val="00E01BCF"/>
    <w:rsid w:val="00E12A88"/>
    <w:rsid w:val="00E50746"/>
    <w:rsid w:val="00E650FA"/>
    <w:rsid w:val="00EA1735"/>
    <w:rsid w:val="00EC3FE9"/>
    <w:rsid w:val="00ED4E5B"/>
    <w:rsid w:val="00F30933"/>
    <w:rsid w:val="00F7230A"/>
    <w:rsid w:val="00F724A6"/>
    <w:rsid w:val="00F829FC"/>
    <w:rsid w:val="00F92024"/>
    <w:rsid w:val="00FA1182"/>
    <w:rsid w:val="00FC34D9"/>
    <w:rsid w:val="00FE27EF"/>
    <w:rsid w:val="00FF28A7"/>
    <w:rsid w:val="08367AC6"/>
    <w:rsid w:val="0A5F4993"/>
    <w:rsid w:val="0B67720A"/>
    <w:rsid w:val="123E1E82"/>
    <w:rsid w:val="149A07A8"/>
    <w:rsid w:val="177712D1"/>
    <w:rsid w:val="21253C2A"/>
    <w:rsid w:val="35F96C34"/>
    <w:rsid w:val="3929656A"/>
    <w:rsid w:val="3CD320CE"/>
    <w:rsid w:val="413768FB"/>
    <w:rsid w:val="497A2724"/>
    <w:rsid w:val="4D8F08CA"/>
    <w:rsid w:val="53D5311A"/>
    <w:rsid w:val="55DD549F"/>
    <w:rsid w:val="5B78308A"/>
    <w:rsid w:val="683127A7"/>
    <w:rsid w:val="6EC46A44"/>
    <w:rsid w:val="73472ECC"/>
    <w:rsid w:val="75FB0F9D"/>
    <w:rsid w:val="7CC303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autoRedefine/>
    <w:semiHidden/>
    <w:unhideWhenUsed/>
    <w:qFormat/>
    <w:uiPriority w:val="99"/>
    <w:pPr>
      <w:ind w:left="100" w:leftChars="2500"/>
    </w:pPr>
  </w:style>
  <w:style w:type="paragraph" w:styleId="3">
    <w:name w:val="Balloon Text"/>
    <w:basedOn w:val="1"/>
    <w:link w:val="15"/>
    <w:autoRedefine/>
    <w:semiHidden/>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basedOn w:val="8"/>
    <w:autoRedefine/>
    <w:unhideWhenUsed/>
    <w:qFormat/>
    <w:uiPriority w:val="99"/>
    <w:rPr>
      <w:color w:val="0563C1" w:themeColor="hyperlink"/>
      <w:u w:val="single"/>
      <w14:textFill>
        <w14:solidFill>
          <w14:schemeClr w14:val="hlink"/>
        </w14:solidFill>
      </w14:textFill>
    </w:rPr>
  </w:style>
  <w:style w:type="character" w:customStyle="1" w:styleId="11">
    <w:name w:val="日期 字符"/>
    <w:basedOn w:val="8"/>
    <w:link w:val="2"/>
    <w:autoRedefine/>
    <w:semiHidden/>
    <w:qFormat/>
    <w:uiPriority w:val="99"/>
  </w:style>
  <w:style w:type="character" w:customStyle="1" w:styleId="12">
    <w:name w:val="未处理的提及1"/>
    <w:basedOn w:val="8"/>
    <w:autoRedefine/>
    <w:semiHidden/>
    <w:unhideWhenUsed/>
    <w:qFormat/>
    <w:uiPriority w:val="99"/>
    <w:rPr>
      <w:color w:val="605E5C"/>
      <w:shd w:val="clear" w:color="auto" w:fill="E1DFDD"/>
    </w:rPr>
  </w:style>
  <w:style w:type="character" w:customStyle="1" w:styleId="13">
    <w:name w:val="页眉 字符"/>
    <w:basedOn w:val="8"/>
    <w:link w:val="5"/>
    <w:autoRedefine/>
    <w:qFormat/>
    <w:uiPriority w:val="99"/>
    <w:rPr>
      <w:sz w:val="18"/>
      <w:szCs w:val="18"/>
    </w:rPr>
  </w:style>
  <w:style w:type="character" w:customStyle="1" w:styleId="14">
    <w:name w:val="页脚 字符"/>
    <w:basedOn w:val="8"/>
    <w:link w:val="4"/>
    <w:autoRedefine/>
    <w:qFormat/>
    <w:uiPriority w:val="99"/>
    <w:rPr>
      <w:sz w:val="18"/>
      <w:szCs w:val="18"/>
    </w:rPr>
  </w:style>
  <w:style w:type="character" w:customStyle="1" w:styleId="15">
    <w:name w:val="批注框文本 字符"/>
    <w:basedOn w:val="8"/>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datastoreItem>
</file>

<file path=docProps/app.xml><?xml version="1.0" encoding="utf-8"?>
<Properties xmlns="http://schemas.openxmlformats.org/officeDocument/2006/extended-properties" xmlns:vt="http://schemas.openxmlformats.org/officeDocument/2006/docPropsVTypes">
  <Template>Normal</Template>
  <Pages>12</Pages>
  <Words>4728</Words>
  <Characters>5325</Characters>
  <Lines>2</Lines>
  <Paragraphs>1</Paragraphs>
  <TotalTime>25</TotalTime>
  <ScaleCrop>false</ScaleCrop>
  <LinksUpToDate>false</LinksUpToDate>
  <CharactersWithSpaces>5395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WPS_1559640550</cp:lastModifiedBy>
  <cp:lastPrinted>2022-05-11T05:51:00Z</cp:lastPrinted>
  <dcterms:modified xsi:type="dcterms:W3CDTF">2025-12-04T09:28:23Z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D3F21E5BEF074906AE824BF79418D449_13</vt:lpwstr>
  </property>
  <property fmtid="{D5CDD505-2E9C-101B-9397-08002B2CF9AE}" pid="4" name="KSOTemplateDocerSaveRecord">
    <vt:lpwstr>eyJoZGlkIjoiZjQ1NDE1MGYzNTMyOWI1NWU1MTllZDA5MTA4Mjk5YzMiLCJ1c2VySWQiOiI1NzEzMjY0NjEifQ==</vt:lpwstr>
  </property>
</Properties>
</file>