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9BF0E">
      <w:pPr>
        <w:widowControl/>
        <w:jc w:val="center"/>
        <w:rPr>
          <w:rFonts w:ascii="仿宋_GB2312" w:hAnsi="SimHei" w:eastAsia="仿宋_GB2312" w:cs="SimHei"/>
          <w:b/>
          <w:sz w:val="36"/>
          <w:szCs w:val="44"/>
        </w:rPr>
      </w:pPr>
      <w:r>
        <w:rPr>
          <w:rFonts w:hint="eastAsia" w:ascii="仿宋_GB2312" w:hAnsi="SimHei" w:eastAsia="仿宋_GB2312" w:cs="SimHei"/>
          <w:b/>
          <w:sz w:val="36"/>
          <w:szCs w:val="44"/>
        </w:rPr>
        <w:t>团体标准《再生骨料制备混凝土技术标准》</w:t>
      </w:r>
    </w:p>
    <w:p w14:paraId="3F4B5E4F">
      <w:pPr>
        <w:widowControl/>
        <w:jc w:val="center"/>
        <w:rPr>
          <w:rFonts w:ascii="仿宋_GB2312" w:hAnsi="SimHei" w:eastAsia="仿宋_GB2312" w:cs="SimHei"/>
          <w:b/>
          <w:sz w:val="36"/>
          <w:szCs w:val="44"/>
        </w:rPr>
      </w:pPr>
      <w:r>
        <w:rPr>
          <w:rFonts w:hint="eastAsia" w:ascii="仿宋_GB2312" w:hAnsi="SimHei" w:eastAsia="仿宋_GB2312" w:cs="SimHei"/>
          <w:b/>
          <w:sz w:val="36"/>
          <w:szCs w:val="44"/>
        </w:rPr>
        <w:t>起草说明</w:t>
      </w:r>
    </w:p>
    <w:p w14:paraId="496DC874">
      <w:pPr>
        <w:spacing w:line="341" w:lineRule="auto"/>
        <w:ind w:left="480"/>
        <w:rPr>
          <w:rFonts w:hint="eastAsia" w:ascii="仿宋_GB2312" w:hAnsi="SimSun" w:eastAsia="仿宋_GB2312"/>
          <w:sz w:val="32"/>
          <w:szCs w:val="32"/>
          <w:lang w:eastAsia="zh-CN"/>
        </w:rPr>
      </w:pPr>
      <w:r>
        <w:rPr>
          <w:rFonts w:hint="eastAsia" w:ascii="仿宋_GB2312" w:hAnsi="SimSun" w:eastAsia="仿宋_GB2312"/>
          <w:sz w:val="32"/>
          <w:szCs w:val="32"/>
        </w:rPr>
        <w:t>一、前言</w:t>
      </w:r>
    </w:p>
    <w:p w14:paraId="558DA9F9">
      <w:pPr>
        <w:spacing w:line="341" w:lineRule="auto"/>
        <w:ind w:firstLine="640" w:firstLineChars="200"/>
        <w:rPr>
          <w:rFonts w:hint="eastAsia" w:ascii="仿宋_GB2312" w:hAnsi="SimSun" w:eastAsia="仿宋_GB2312"/>
          <w:sz w:val="32"/>
          <w:szCs w:val="32"/>
        </w:rPr>
      </w:pPr>
      <w:r>
        <w:rPr>
          <w:rFonts w:hint="eastAsia" w:ascii="仿宋_GB2312" w:hAnsi="SimSun" w:eastAsia="仿宋_GB2312"/>
          <w:sz w:val="32"/>
          <w:szCs w:val="32"/>
        </w:rPr>
        <w:t>为贯彻湖北省“无废城市”建设三年行动方案与武汉市“无废城市”建设实施方案，按照湖北省委、省政府和武汉市委的部署，认真践行绿色发展理念，强化建筑垃圾收集和利用，提高建筑垃圾资源化利用及资源化产品的规范化和标准化，从建筑垃圾的产生、回收、资源化处置、资源化利用全产业链进行把控，形成具有武汉特色的建筑垃圾资源化全产业链协同体系。</w:t>
      </w:r>
    </w:p>
    <w:p w14:paraId="0D4B641B">
      <w:pPr>
        <w:spacing w:line="341" w:lineRule="auto"/>
        <w:ind w:firstLine="640" w:firstLineChars="200"/>
        <w:rPr>
          <w:rFonts w:hint="eastAsia" w:ascii="仿宋_GB2312" w:hAnsi="SimSun" w:eastAsia="仿宋_GB2312"/>
          <w:sz w:val="32"/>
          <w:szCs w:val="32"/>
        </w:rPr>
      </w:pPr>
      <w:r>
        <w:rPr>
          <w:rFonts w:hint="eastAsia" w:ascii="仿宋_GB2312" w:hAnsi="SimSun" w:eastAsia="仿宋_GB2312"/>
          <w:sz w:val="32"/>
          <w:szCs w:val="32"/>
        </w:rPr>
        <w:t>为此，为再生骨料混凝土原材料控制、配合比设计、混凝土生产及工程应用提供检验方法与质量控制标准，将有助于解决再生混凝土在技术和应用方面的诸多难点，以促进其在建筑行业的广泛应用和高值化利用，在大量消耗建筑固废的同时推动建筑建材行业可持续发展。</w:t>
      </w:r>
    </w:p>
    <w:p w14:paraId="2312C168">
      <w:pPr>
        <w:spacing w:line="341" w:lineRule="auto"/>
        <w:ind w:firstLine="640" w:firstLineChars="200"/>
        <w:rPr>
          <w:rFonts w:hint="eastAsia" w:ascii="仿宋_GB2312" w:hAnsi="SimSun" w:eastAsia="仿宋_GB2312"/>
          <w:sz w:val="32"/>
          <w:szCs w:val="32"/>
        </w:rPr>
      </w:pPr>
      <w:r>
        <w:rPr>
          <w:rFonts w:hint="eastAsia" w:ascii="仿宋_GB2312" w:hAnsi="SimSun" w:eastAsia="仿宋_GB2312"/>
          <w:sz w:val="32"/>
          <w:szCs w:val="32"/>
        </w:rPr>
        <w:t>推动建立以再生骨料混凝土生产和应用的全产业链标准体系，加快建筑固废的规范化回收、处置及资源化利用，为进一步规范行业发展，引导生产企业进一步完善标准、强化管理，提高核心竞争力，同时为相关单位提供标准依据，从而促进行业健康发展，特制定本标准。</w:t>
      </w:r>
    </w:p>
    <w:p w14:paraId="13AFD61F">
      <w:pPr>
        <w:spacing w:line="341" w:lineRule="auto"/>
        <w:ind w:firstLine="640" w:firstLineChars="200"/>
        <w:rPr>
          <w:rFonts w:hint="eastAsia" w:ascii="仿宋_GB2312" w:hAnsi="SimSun" w:eastAsia="仿宋_GB2312"/>
          <w:color w:val="FF0000"/>
          <w:sz w:val="32"/>
          <w:szCs w:val="32"/>
        </w:rPr>
      </w:pPr>
      <w:r>
        <w:rPr>
          <w:rFonts w:hint="eastAsia" w:ascii="仿宋_GB2312" w:hAnsi="SimSun" w:eastAsia="仿宋_GB2312"/>
          <w:sz w:val="32"/>
          <w:szCs w:val="32"/>
        </w:rPr>
        <w:t>二、编制背景</w:t>
      </w:r>
    </w:p>
    <w:p w14:paraId="62D2C10E">
      <w:pPr>
        <w:spacing w:line="341" w:lineRule="auto"/>
        <w:ind w:firstLine="640" w:firstLineChars="200"/>
        <w:rPr>
          <w:rFonts w:hint="eastAsia" w:ascii="仿宋_GB2312" w:hAnsi="SimSun" w:eastAsia="仿宋_GB2312"/>
          <w:sz w:val="32"/>
          <w:szCs w:val="32"/>
        </w:rPr>
      </w:pPr>
      <w:r>
        <w:rPr>
          <w:rFonts w:hint="eastAsia" w:ascii="仿宋_GB2312" w:hAnsi="SimSun" w:eastAsia="仿宋_GB2312"/>
          <w:sz w:val="32"/>
          <w:szCs w:val="32"/>
        </w:rPr>
        <w:t>本标准规定了涉及建筑固废资源化原料生产、产品制备及产品应用环节相关企业的生产与应用标准，充分体现了全产业链协同标准化规范化发展的统一思想，具有实用性、可操作性及系统性。</w:t>
      </w:r>
    </w:p>
    <w:p w14:paraId="055A7322">
      <w:pPr>
        <w:spacing w:line="341" w:lineRule="auto"/>
        <w:ind w:firstLine="640" w:firstLineChars="200"/>
        <w:rPr>
          <w:rFonts w:hint="default" w:ascii="仿宋_GB2312" w:hAnsi="SimSun" w:eastAsia="仿宋_GB2312"/>
          <w:sz w:val="32"/>
          <w:szCs w:val="32"/>
          <w:lang w:val="en-US" w:eastAsia="zh-CN"/>
        </w:rPr>
      </w:pPr>
      <w:r>
        <w:rPr>
          <w:rFonts w:hint="eastAsia" w:ascii="仿宋_GB2312" w:hAnsi="SimSun" w:eastAsia="仿宋_GB2312"/>
          <w:sz w:val="32"/>
          <w:szCs w:val="32"/>
        </w:rPr>
        <w:t>主编单位</w:t>
      </w:r>
      <w:r>
        <w:rPr>
          <w:rFonts w:hint="eastAsia" w:ascii="仿宋_GB2312" w:hAnsi="SimSun" w:eastAsia="仿宋_GB2312"/>
          <w:sz w:val="32"/>
          <w:szCs w:val="32"/>
          <w:lang w:val="en-US" w:eastAsia="zh-CN"/>
        </w:rPr>
        <w:t>中建三局集团有限公司</w:t>
      </w:r>
      <w:r>
        <w:rPr>
          <w:rFonts w:hint="eastAsia" w:ascii="仿宋_GB2312" w:hAnsi="SimSun" w:eastAsia="仿宋_GB2312"/>
          <w:sz w:val="32"/>
          <w:szCs w:val="32"/>
        </w:rPr>
        <w:t>主营业务为房建、基建、地产及科创，拥有全产业链服务能力，累计承建重点工程超万项，获各类奖项数千项，参编多项国家</w:t>
      </w:r>
      <w:r>
        <w:rPr>
          <w:rFonts w:hint="eastAsia" w:ascii="仿宋_GB2312" w:hAnsi="SimSun" w:eastAsia="仿宋_GB2312"/>
          <w:sz w:val="32"/>
          <w:szCs w:val="32"/>
          <w:lang w:val="en-US" w:eastAsia="zh-CN"/>
        </w:rPr>
        <w:t>及</w:t>
      </w:r>
      <w:r>
        <w:rPr>
          <w:rFonts w:hint="eastAsia" w:ascii="仿宋_GB2312" w:hAnsi="SimSun" w:eastAsia="仿宋_GB2312"/>
          <w:sz w:val="32"/>
          <w:szCs w:val="32"/>
        </w:rPr>
        <w:t>行业标准。</w:t>
      </w:r>
      <w:r>
        <w:rPr>
          <w:rFonts w:hint="eastAsia" w:ascii="仿宋_GB2312" w:hAnsi="SimSun" w:eastAsia="仿宋_GB2312"/>
          <w:sz w:val="32"/>
          <w:szCs w:val="32"/>
          <w:lang w:val="en-US" w:eastAsia="zh-CN"/>
        </w:rPr>
        <w:t>主编单位湖北路桥集团，主营业务为交通基建、市政工程及生态环保，拥有全产业链服务能力，累计承建重点工程超 70 项，获省部级以上奖项 200 余项，主编参编各级标准 30 项。武汉工程大学，主营工科及多学科教育科研，覆盖全链条人才培养，累计获省科技奖等百余项，参编多项行业与地方标准。主编单位同济大学，主营多学科教育科研与技术服务，覆盖全链条创新体系，累计承担重大科研项目数千项，获国家科技奖等数百项，主编参编多项国家与行业标准。</w:t>
      </w:r>
    </w:p>
    <w:p w14:paraId="607AAC8B">
      <w:pPr>
        <w:spacing w:line="341" w:lineRule="auto"/>
        <w:ind w:firstLine="640" w:firstLineChars="200"/>
        <w:rPr>
          <w:rFonts w:hint="eastAsia" w:ascii="仿宋_GB2312" w:hAnsi="SimSun" w:eastAsia="仿宋_GB2312"/>
          <w:sz w:val="32"/>
          <w:szCs w:val="32"/>
        </w:rPr>
      </w:pPr>
      <w:r>
        <w:rPr>
          <w:rFonts w:hint="eastAsia" w:ascii="仿宋_GB2312" w:hAnsi="SimSun" w:eastAsia="仿宋_GB2312"/>
          <w:sz w:val="32"/>
          <w:szCs w:val="32"/>
        </w:rPr>
        <w:t>参编单位武汉市绿色建筑发展促进中心</w:t>
      </w:r>
      <w:r>
        <w:rPr>
          <w:rFonts w:hint="eastAsia" w:ascii="仿宋_GB2312" w:hAnsi="SimSun" w:eastAsia="仿宋_GB2312"/>
          <w:sz w:val="32"/>
          <w:szCs w:val="32"/>
          <w:lang w:eastAsia="zh-CN"/>
        </w:rPr>
        <w:t>、</w:t>
      </w:r>
      <w:r>
        <w:rPr>
          <w:rFonts w:hint="eastAsia" w:ascii="仿宋_GB2312" w:hAnsi="SimSun" w:eastAsia="仿宋_GB2312"/>
          <w:sz w:val="32"/>
          <w:szCs w:val="32"/>
        </w:rPr>
        <w:t>中建三局集团（深圳）有限公司</w:t>
      </w:r>
      <w:r>
        <w:rPr>
          <w:rFonts w:hint="eastAsia" w:ascii="仿宋_GB2312" w:hAnsi="SimSun" w:eastAsia="仿宋_GB2312"/>
          <w:sz w:val="32"/>
          <w:szCs w:val="32"/>
          <w:lang w:eastAsia="zh-CN"/>
        </w:rPr>
        <w:t>、</w:t>
      </w:r>
      <w:r>
        <w:rPr>
          <w:rFonts w:hint="eastAsia" w:ascii="仿宋_GB2312" w:hAnsi="SimSun" w:eastAsia="仿宋_GB2312"/>
          <w:sz w:val="32"/>
          <w:szCs w:val="32"/>
        </w:rPr>
        <w:t>中建三局集团华东有限公司</w:t>
      </w:r>
      <w:r>
        <w:rPr>
          <w:rFonts w:hint="eastAsia" w:ascii="仿宋_GB2312" w:hAnsi="SimSun" w:eastAsia="仿宋_GB2312"/>
          <w:sz w:val="32"/>
          <w:szCs w:val="32"/>
          <w:lang w:eastAsia="zh-CN"/>
        </w:rPr>
        <w:t>、</w:t>
      </w:r>
      <w:r>
        <w:rPr>
          <w:rFonts w:hint="eastAsia" w:ascii="仿宋_GB2312" w:hAnsi="SimSun" w:eastAsia="仿宋_GB2312"/>
          <w:sz w:val="32"/>
          <w:szCs w:val="32"/>
        </w:rPr>
        <w:t>中建三局集团华南有限公司</w:t>
      </w:r>
      <w:r>
        <w:rPr>
          <w:rFonts w:hint="eastAsia" w:ascii="仿宋_GB2312" w:hAnsi="SimSun" w:eastAsia="仿宋_GB2312"/>
          <w:sz w:val="32"/>
          <w:szCs w:val="32"/>
          <w:lang w:eastAsia="zh-CN"/>
        </w:rPr>
        <w:t>、</w:t>
      </w:r>
      <w:r>
        <w:rPr>
          <w:rFonts w:hint="eastAsia" w:ascii="仿宋_GB2312" w:hAnsi="SimSun" w:eastAsia="仿宋_GB2312"/>
          <w:sz w:val="32"/>
          <w:szCs w:val="32"/>
        </w:rPr>
        <w:t>中建三局集团有限公司总承包公司</w:t>
      </w:r>
      <w:r>
        <w:rPr>
          <w:rFonts w:hint="eastAsia" w:ascii="仿宋_GB2312" w:hAnsi="SimSun" w:eastAsia="仿宋_GB2312"/>
          <w:sz w:val="32"/>
          <w:szCs w:val="32"/>
          <w:lang w:eastAsia="zh-CN"/>
        </w:rPr>
        <w:t>、</w:t>
      </w:r>
      <w:r>
        <w:rPr>
          <w:rFonts w:hint="eastAsia" w:ascii="仿宋_GB2312" w:hAnsi="SimSun" w:eastAsia="仿宋_GB2312"/>
          <w:sz w:val="32"/>
          <w:szCs w:val="32"/>
        </w:rPr>
        <w:t>中建三局第一建设工程有限责任公司均具有丰富的工程建设经验和规范编制经验。</w:t>
      </w:r>
    </w:p>
    <w:p w14:paraId="25B750A9">
      <w:pPr>
        <w:spacing w:line="341" w:lineRule="auto"/>
        <w:ind w:firstLine="640" w:firstLineChars="200"/>
        <w:rPr>
          <w:rFonts w:hint="eastAsia" w:ascii="仿宋_GB2312" w:eastAsia="仿宋_GB2312"/>
          <w:sz w:val="32"/>
          <w:szCs w:val="32"/>
        </w:rPr>
      </w:pPr>
      <w:r>
        <w:rPr>
          <w:rFonts w:hint="eastAsia" w:ascii="仿宋_GB2312" w:hAnsi="SimSun" w:eastAsia="仿宋_GB2312"/>
          <w:sz w:val="32"/>
          <w:szCs w:val="32"/>
        </w:rPr>
        <w:t>目前，湖北省地方标准体系没有关于</w:t>
      </w:r>
      <w:r>
        <w:rPr>
          <w:rFonts w:hint="eastAsia" w:ascii="仿宋_GB2312" w:hAnsi="SimSun" w:eastAsia="仿宋_GB2312"/>
          <w:sz w:val="32"/>
          <w:szCs w:val="32"/>
          <w:lang w:val="en-US" w:eastAsia="zh-CN"/>
        </w:rPr>
        <w:t>再生骨料制备混凝土的相关标准</w:t>
      </w:r>
      <w:r>
        <w:rPr>
          <w:rFonts w:hint="eastAsia" w:ascii="仿宋_GB2312" w:hAnsi="SimSun" w:eastAsia="仿宋_GB2312"/>
          <w:sz w:val="32"/>
          <w:szCs w:val="32"/>
        </w:rPr>
        <w:t>，缺少相关衡量依据。本规程发布后将填补该方面空白，引导和</w:t>
      </w:r>
      <w:bookmarkStart w:id="0" w:name="_GoBack"/>
      <w:bookmarkEnd w:id="0"/>
      <w:r>
        <w:rPr>
          <w:rFonts w:hint="eastAsia" w:ascii="仿宋_GB2312" w:hAnsi="SimSun" w:eastAsia="仿宋_GB2312"/>
          <w:sz w:val="32"/>
          <w:szCs w:val="32"/>
        </w:rPr>
        <w:t>规范湖北省</w:t>
      </w:r>
      <w:r>
        <w:rPr>
          <w:rFonts w:hint="eastAsia" w:ascii="仿宋_GB2312" w:hAnsi="SimSun" w:eastAsia="仿宋_GB2312"/>
          <w:sz w:val="32"/>
          <w:szCs w:val="32"/>
          <w:lang w:val="en-US" w:eastAsia="zh-CN"/>
        </w:rPr>
        <w:t>再生骨料混凝土</w:t>
      </w:r>
      <w:r>
        <w:rPr>
          <w:rFonts w:hint="eastAsia" w:ascii="仿宋_GB2312" w:hAnsi="SimSun" w:eastAsia="仿宋_GB2312"/>
          <w:sz w:val="32"/>
          <w:szCs w:val="32"/>
        </w:rPr>
        <w:t>技术应用和评价，</w:t>
      </w:r>
      <w:r>
        <w:rPr>
          <w:rFonts w:hint="eastAsia" w:ascii="仿宋_GB2312" w:hAnsi="SimSun" w:eastAsia="仿宋_GB2312"/>
          <w:sz w:val="32"/>
          <w:szCs w:val="32"/>
          <w:lang w:val="en-US" w:eastAsia="zh-CN"/>
        </w:rPr>
        <w:t>推动建筑行业降碳及无废城市的实践</w:t>
      </w:r>
      <w:r>
        <w:rPr>
          <w:rFonts w:hint="eastAsia" w:ascii="仿宋_GB2312" w:hAnsi="SimSun" w:eastAsia="仿宋_GB2312"/>
          <w:sz w:val="32"/>
          <w:szCs w:val="32"/>
        </w:rPr>
        <w:t>，</w:t>
      </w:r>
      <w:r>
        <w:rPr>
          <w:rFonts w:hint="eastAsia" w:ascii="仿宋_GB2312" w:hAnsi="SimSun" w:eastAsia="仿宋_GB2312"/>
          <w:sz w:val="32"/>
          <w:szCs w:val="32"/>
          <w:lang w:val="en-US" w:eastAsia="zh-CN"/>
        </w:rPr>
        <w:t>进一步提高固体废弃物资源化比例，</w:t>
      </w:r>
      <w:r>
        <w:rPr>
          <w:rFonts w:hint="eastAsia" w:ascii="仿宋_GB2312" w:hAnsi="SimSun" w:eastAsia="仿宋_GB2312"/>
          <w:sz w:val="32"/>
          <w:szCs w:val="32"/>
        </w:rPr>
        <w:t>应用前景广阔。</w:t>
      </w:r>
    </w:p>
    <w:p w14:paraId="703FA1AD">
      <w:pPr>
        <w:spacing w:line="341" w:lineRule="auto"/>
        <w:ind w:firstLine="640" w:firstLineChars="200"/>
        <w:rPr>
          <w:rFonts w:hint="eastAsia" w:ascii="仿宋_GB2312" w:hAnsi="SimSun" w:eastAsia="仿宋_GB2312"/>
          <w:sz w:val="32"/>
          <w:szCs w:val="32"/>
        </w:rPr>
      </w:pPr>
      <w:r>
        <w:rPr>
          <w:rFonts w:hint="eastAsia" w:ascii="仿宋_GB2312" w:hAnsi="SimSun" w:eastAsia="仿宋_GB2312"/>
          <w:sz w:val="32"/>
          <w:szCs w:val="32"/>
        </w:rPr>
        <w:t>三、标准概述</w:t>
      </w:r>
    </w:p>
    <w:p w14:paraId="225C660E">
      <w:pPr>
        <w:spacing w:line="341" w:lineRule="auto"/>
        <w:ind w:firstLine="640" w:firstLineChars="200"/>
        <w:rPr>
          <w:rFonts w:hint="eastAsia" w:ascii="仿宋_GB2312" w:hAnsi="SimSun" w:eastAsia="仿宋_GB2312"/>
          <w:sz w:val="32"/>
          <w:szCs w:val="32"/>
        </w:rPr>
      </w:pPr>
      <w:r>
        <w:rPr>
          <w:rFonts w:hint="eastAsia" w:ascii="仿宋_GB2312" w:hAnsi="SimSun" w:eastAsia="仿宋_GB2312"/>
          <w:sz w:val="32"/>
          <w:szCs w:val="32"/>
          <w:lang w:val="en-US" w:eastAsia="zh-CN"/>
        </w:rPr>
        <w:t>本标准共分五章，</w:t>
      </w:r>
      <w:r>
        <w:rPr>
          <w:rFonts w:hint="eastAsia" w:ascii="仿宋_GB2312" w:hAnsi="SimSun" w:eastAsia="仿宋_GB2312"/>
          <w:sz w:val="32"/>
          <w:szCs w:val="32"/>
        </w:rPr>
        <w:t>主要技术内容是：1.总则；2.术语；3.原材料；4.再生骨料混凝土制备；5.再生骨料混凝土质量检验和验收。</w:t>
      </w:r>
    </w:p>
    <w:p w14:paraId="6C73D1FD">
      <w:pPr>
        <w:spacing w:line="341" w:lineRule="auto"/>
        <w:ind w:firstLine="640" w:firstLineChars="200"/>
        <w:rPr>
          <w:rFonts w:hint="eastAsia" w:ascii="仿宋_GB2312" w:hAnsi="SimSun" w:eastAsia="仿宋_GB2312" w:cstheme="majorEastAsia"/>
          <w:sz w:val="32"/>
          <w:szCs w:val="32"/>
        </w:rPr>
      </w:pPr>
      <w:r>
        <w:rPr>
          <w:rFonts w:hint="eastAsia" w:ascii="仿宋_GB2312" w:hAnsi="SimSun" w:eastAsia="仿宋_GB2312" w:cstheme="majorEastAsia"/>
          <w:sz w:val="32"/>
          <w:szCs w:val="32"/>
        </w:rPr>
        <w:t>目前，《再生骨料制备混凝土技术标准》标准征求意见稿已完成，报请武汉建筑业协会予以挂网征求意见，下一步将根据征求意见稿反馈意见及专家审查意见做好本标准编制完善工作。</w:t>
      </w:r>
    </w:p>
    <w:p w14:paraId="14A111BA">
      <w:pPr>
        <w:spacing w:line="341" w:lineRule="auto"/>
        <w:ind w:firstLine="640" w:firstLineChars="200"/>
        <w:rPr>
          <w:rFonts w:hint="eastAsia" w:ascii="仿宋_GB2312" w:hAnsi="SimSun" w:eastAsia="仿宋_GB2312" w:cstheme="majorEastAsia"/>
          <w:sz w:val="32"/>
          <w:szCs w:val="32"/>
        </w:rPr>
      </w:pPr>
    </w:p>
    <w:p w14:paraId="7C742327">
      <w:pPr>
        <w:spacing w:line="341" w:lineRule="auto"/>
        <w:jc w:val="right"/>
        <w:rPr>
          <w:rFonts w:hint="eastAsia" w:ascii="仿宋_GB2312" w:hAnsi="SimSun" w:eastAsia="仿宋_GB2312" w:cstheme="majorEastAsia"/>
          <w:sz w:val="32"/>
          <w:szCs w:val="32"/>
        </w:rPr>
      </w:pPr>
      <w:r>
        <w:rPr>
          <w:rFonts w:hint="eastAsia" w:ascii="仿宋_GB2312" w:hAnsi="SimSun" w:eastAsia="仿宋_GB2312" w:cstheme="majorEastAsia"/>
          <w:sz w:val="32"/>
          <w:szCs w:val="32"/>
        </w:rPr>
        <w:t>中建三局集团有限公司</w:t>
      </w:r>
    </w:p>
    <w:p w14:paraId="7453D3F5">
      <w:pPr>
        <w:spacing w:line="341" w:lineRule="auto"/>
        <w:jc w:val="right"/>
        <w:rPr>
          <w:rFonts w:hint="eastAsia" w:ascii="仿宋_GB2312" w:hAnsi="SimSun" w:eastAsia="仿宋_GB2312" w:cstheme="majorEastAsia"/>
          <w:sz w:val="32"/>
          <w:szCs w:val="32"/>
        </w:rPr>
      </w:pPr>
      <w:r>
        <w:rPr>
          <w:rFonts w:hint="eastAsia" w:ascii="仿宋_GB2312" w:hAnsi="SimSun" w:eastAsia="仿宋_GB2312" w:cstheme="majorEastAsia"/>
          <w:sz w:val="32"/>
          <w:szCs w:val="32"/>
        </w:rPr>
        <w:t>湖北省路桥集团有限公司</w:t>
      </w:r>
    </w:p>
    <w:p w14:paraId="40297A20">
      <w:pPr>
        <w:spacing w:line="341" w:lineRule="auto"/>
        <w:jc w:val="right"/>
        <w:rPr>
          <w:rFonts w:hint="eastAsia" w:ascii="仿宋_GB2312" w:hAnsi="SimSun" w:eastAsia="仿宋_GB2312" w:cstheme="majorEastAsia"/>
          <w:sz w:val="32"/>
          <w:szCs w:val="32"/>
        </w:rPr>
      </w:pPr>
      <w:r>
        <w:rPr>
          <w:rFonts w:hint="eastAsia" w:ascii="仿宋_GB2312" w:hAnsi="SimSun" w:eastAsia="仿宋_GB2312" w:cstheme="majorEastAsia"/>
          <w:sz w:val="32"/>
          <w:szCs w:val="32"/>
        </w:rPr>
        <w:t>武汉工程大学</w:t>
      </w:r>
    </w:p>
    <w:p w14:paraId="493F9067">
      <w:pPr>
        <w:spacing w:line="341" w:lineRule="auto"/>
        <w:jc w:val="right"/>
        <w:rPr>
          <w:rFonts w:hint="eastAsia" w:ascii="仿宋_GB2312" w:hAnsi="SimSun" w:eastAsia="仿宋_GB2312" w:cstheme="majorEastAsia"/>
          <w:sz w:val="32"/>
          <w:szCs w:val="32"/>
        </w:rPr>
      </w:pPr>
      <w:r>
        <w:rPr>
          <w:rFonts w:hint="eastAsia" w:ascii="仿宋_GB2312" w:hAnsi="SimSun" w:eastAsia="仿宋_GB2312" w:cstheme="majorEastAsia"/>
          <w:sz w:val="32"/>
          <w:szCs w:val="32"/>
        </w:rPr>
        <w:t>同济大学</w:t>
      </w:r>
    </w:p>
    <w:p w14:paraId="22771951">
      <w:pPr>
        <w:spacing w:line="341" w:lineRule="auto"/>
        <w:ind w:firstLine="640" w:firstLineChars="200"/>
        <w:jc w:val="right"/>
        <w:rPr>
          <w:rFonts w:hint="eastAsia" w:ascii="仿宋_GB2312" w:hAnsi="SimSun" w:eastAsia="仿宋_GB2312"/>
          <w:sz w:val="32"/>
          <w:szCs w:val="32"/>
        </w:rPr>
      </w:pPr>
      <w:r>
        <w:rPr>
          <w:rFonts w:hint="eastAsia" w:ascii="仿宋_GB2312" w:hAnsi="SimSun" w:eastAsia="仿宋_GB2312"/>
          <w:sz w:val="32"/>
          <w:szCs w:val="32"/>
        </w:rPr>
        <w:t>2025年</w:t>
      </w:r>
      <w:r>
        <w:rPr>
          <w:rFonts w:hint="eastAsia" w:ascii="仿宋_GB2312" w:hAnsi="SimSun" w:eastAsia="仿宋_GB2312"/>
          <w:sz w:val="32"/>
          <w:szCs w:val="32"/>
          <w:lang w:val="en-US" w:eastAsia="zh-CN"/>
        </w:rPr>
        <w:t>12</w:t>
      </w:r>
      <w:r>
        <w:rPr>
          <w:rFonts w:hint="eastAsia" w:ascii="仿宋_GB2312" w:hAnsi="SimSun" w:eastAsia="仿宋_GB2312"/>
          <w:sz w:val="32"/>
          <w:szCs w:val="32"/>
        </w:rPr>
        <w:t>月</w:t>
      </w:r>
      <w:r>
        <w:rPr>
          <w:rFonts w:hint="eastAsia" w:ascii="仿宋_GB2312" w:hAnsi="SimSun" w:eastAsia="仿宋_GB2312"/>
          <w:sz w:val="32"/>
          <w:szCs w:val="32"/>
          <w:lang w:val="en-US" w:eastAsia="zh-CN"/>
        </w:rPr>
        <w:t>5</w:t>
      </w:r>
      <w:r>
        <w:rPr>
          <w:rFonts w:hint="eastAsia" w:ascii="仿宋_GB2312" w:hAnsi="SimSun"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JP Regular">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FangSong"/>
    <w:panose1 w:val="02010609030101010101"/>
    <w:charset w:val="86"/>
    <w:family w:val="modern"/>
    <w:pitch w:val="default"/>
    <w:sig w:usb0="00000000" w:usb1="00000000" w:usb2="00000010" w:usb3="00000000" w:csb0="00040000" w:csb1="00000000"/>
  </w:font>
  <w:font w:name="FangSong">
    <w:panose1 w:val="02010609060101010101"/>
    <w:charset w:val="86"/>
    <w:family w:val="auto"/>
    <w:pitch w:val="default"/>
    <w:sig w:usb0="800002BF" w:usb1="38CF7CFA" w:usb2="00000016" w:usb3="00000000" w:csb0="00040001" w:csb1="00000000"/>
  </w:font>
  <w:font w:name="仿宋_GB2312">
    <w:altName w:val="FangSong"/>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A45"/>
    <w:rsid w:val="000E2195"/>
    <w:rsid w:val="000E5529"/>
    <w:rsid w:val="001F5E36"/>
    <w:rsid w:val="003136BD"/>
    <w:rsid w:val="00457816"/>
    <w:rsid w:val="005D29B0"/>
    <w:rsid w:val="00624DED"/>
    <w:rsid w:val="00754781"/>
    <w:rsid w:val="00780BBF"/>
    <w:rsid w:val="00792236"/>
    <w:rsid w:val="00890955"/>
    <w:rsid w:val="00942A45"/>
    <w:rsid w:val="009B1D7C"/>
    <w:rsid w:val="009F18B2"/>
    <w:rsid w:val="00A16B4B"/>
    <w:rsid w:val="00AE777A"/>
    <w:rsid w:val="00B55821"/>
    <w:rsid w:val="00BB4480"/>
    <w:rsid w:val="00CC2F05"/>
    <w:rsid w:val="00D277E3"/>
    <w:rsid w:val="00DC3D4F"/>
    <w:rsid w:val="00E75B6C"/>
    <w:rsid w:val="00ED2564"/>
    <w:rsid w:val="00EE4697"/>
    <w:rsid w:val="00F04939"/>
    <w:rsid w:val="0105202D"/>
    <w:rsid w:val="0CA51879"/>
    <w:rsid w:val="0CB2144B"/>
    <w:rsid w:val="10D73F5D"/>
    <w:rsid w:val="18FB667D"/>
    <w:rsid w:val="27B0758A"/>
    <w:rsid w:val="306639E4"/>
    <w:rsid w:val="507554A6"/>
    <w:rsid w:val="540E0EAF"/>
    <w:rsid w:val="5D9372ED"/>
    <w:rsid w:val="72053B2F"/>
    <w:rsid w:val="7F57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1"/>
    <w:rPr>
      <w:rFonts w:ascii="Noto Sans CJK JP Regular" w:hAnsi="Noto Sans CJK JP Regular" w:eastAsia="Noto Sans CJK JP Regular" w:cs="Noto Sans CJK JP Regular"/>
      <w:szCs w:val="21"/>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SimSun" w:hAnsi="SimSun" w:eastAsia="SimSun" w:cs="SimSun"/>
      <w:kern w:val="0"/>
      <w:sz w:val="24"/>
    </w:rPr>
  </w:style>
  <w:style w:type="character" w:styleId="8">
    <w:name w:val="Emphasis"/>
    <w:basedOn w:val="7"/>
    <w:qFormat/>
    <w:uiPriority w:val="20"/>
    <w:rPr>
      <w:i/>
      <w:iCs/>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paragraph" w:customStyle="1" w:styleId="12">
    <w:name w:val="Default"/>
    <w:qFormat/>
    <w:uiPriority w:val="0"/>
    <w:pPr>
      <w:widowControl w:val="0"/>
      <w:autoSpaceDE w:val="0"/>
      <w:autoSpaceDN w:val="0"/>
      <w:adjustRightInd w:val="0"/>
    </w:pPr>
    <w:rPr>
      <w:rFonts w:ascii="Times New Roman" w:hAnsi="Times New Roman" w:eastAsia="SimSun"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1284</Words>
  <Characters>1318</Characters>
  <Lines>9</Lines>
  <Paragraphs>2</Paragraphs>
  <TotalTime>2</TotalTime>
  <ScaleCrop>false</ScaleCrop>
  <LinksUpToDate>false</LinksUpToDate>
  <CharactersWithSpaces>1318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2020-10-09T05:55:00Z</dcterms:created>
  <dc:creator>Administrator</dc:creator>
  <cp:lastModifiedBy>From zero to hero</cp:lastModifiedBy>
  <dcterms:modified xsi:type="dcterms:W3CDTF">2025-12-05T01:23:38Z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eyJoZGlkIjoiOTU4YjM4YmM3YmVhMzc4OTA3OGZmMmMxYzk4YjljY2EiLCJ1c2VySWQiOiI0NzYzMjA4MzMifQ==</vt:lpwstr>
  </property>
  <property fmtid="{D5CDD505-2E9C-101B-9397-08002B2CF9AE}" pid="4" name="ICV">
    <vt:lpwstr>E09647DFA12B4A85A328AD83843FB33D_13</vt:lpwstr>
  </property>
</Properties>
</file>