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62A5D">
      <w:pPr>
        <w:spacing w:line="360" w:lineRule="auto"/>
        <w:jc w:val="center"/>
        <w:rPr>
          <w:rFonts w:ascii="Times New Roman" w:hAnsi="Times New Roman" w:eastAsia="宋体"/>
          <w:b/>
          <w:bCs/>
          <w:sz w:val="32"/>
          <w:szCs w:val="32"/>
        </w:rPr>
      </w:pPr>
      <w:r>
        <w:rPr>
          <w:rFonts w:hint="eastAsia" w:ascii="Times New Roman" w:hAnsi="Times New Roman" w:eastAsia="宋体"/>
          <w:b/>
          <w:bCs/>
          <w:sz w:val="32"/>
          <w:szCs w:val="32"/>
        </w:rPr>
        <w:t>《新能源汽车废旧动力电池综合利用</w:t>
      </w:r>
      <w:r>
        <w:rPr>
          <w:rFonts w:hint="eastAsia" w:ascii="Times New Roman" w:hAnsi="Times New Roman" w:eastAsia="宋体"/>
          <w:b/>
          <w:bCs/>
          <w:sz w:val="32"/>
          <w:szCs w:val="32"/>
          <w:lang w:val="en-US" w:eastAsia="zh-CN"/>
        </w:rPr>
        <w:t>溯源技术规范</w:t>
      </w:r>
      <w:r>
        <w:rPr>
          <w:rFonts w:hint="eastAsia" w:ascii="Times New Roman" w:hAnsi="Times New Roman" w:eastAsia="宋体"/>
          <w:b/>
          <w:bCs/>
          <w:sz w:val="32"/>
          <w:szCs w:val="32"/>
        </w:rPr>
        <w:t>》团体标准</w:t>
      </w:r>
      <w:r>
        <w:rPr>
          <w:rFonts w:hint="eastAsia" w:ascii="Times New Roman" w:hAnsi="Times New Roman" w:eastAsia="宋体"/>
          <w:b/>
          <w:bCs/>
          <w:sz w:val="32"/>
          <w:szCs w:val="32"/>
          <w:lang w:val="en-US" w:eastAsia="zh-CN"/>
        </w:rPr>
        <w:t>编制</w:t>
      </w:r>
      <w:r>
        <w:rPr>
          <w:rFonts w:hint="eastAsia" w:ascii="Times New Roman" w:hAnsi="Times New Roman" w:eastAsia="宋体"/>
          <w:b/>
          <w:bCs/>
          <w:sz w:val="32"/>
          <w:szCs w:val="32"/>
        </w:rPr>
        <w:t>说明</w:t>
      </w:r>
    </w:p>
    <w:p w14:paraId="729C13FA">
      <w:pPr>
        <w:spacing w:line="360" w:lineRule="auto"/>
        <w:rPr>
          <w:rFonts w:ascii="Times New Roman" w:hAnsi="Times New Roman" w:eastAsia="宋体"/>
          <w:b/>
          <w:bCs/>
          <w:sz w:val="24"/>
          <w:szCs w:val="24"/>
        </w:rPr>
      </w:pPr>
    </w:p>
    <w:p w14:paraId="752E0432">
      <w:pPr>
        <w:spacing w:after="312" w:afterLines="100" w:line="360" w:lineRule="auto"/>
        <w:rPr>
          <w:rFonts w:hint="eastAsia"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一、编制背景与必要性</w:t>
      </w:r>
    </w:p>
    <w:p w14:paraId="23C7D12A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我国新能源汽车产销量稳居全球首位，首批投入市场的动力电池已逐步进入规模化报废阶段，2023年退役量超58万吨，预计2025年将达78万吨，废旧动力电池资源回收需求与环保管控压力同步凸显。国家层面先后出台《新能源汽车动力蓄电池回收利用管理暂行办法》《“十四五”循环经济发展规划》等政策，明确要求构建动力电池全生命周期溯源体系，实现来源可查、去向可追、责任可究，各地也同步推进相关政策落地以响应国家要求。当前行业内废旧动力电池回收网络虽初步建成，但回收环节存在非正规企业及小作坊违规参与、电池规格繁杂难以溯源、企业间权责界定模糊等问题，溯源平台信息录入不完整、实时监管不足，导致部分电池流向失控，既造成镍、钴、锂等资源浪费，又因处理不当引发环境污染与安全隐患，亟需通过统一标准规范溯源管理。</w:t>
      </w:r>
    </w:p>
    <w:p w14:paraId="7FF37675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《新能源汽车废旧动力电池综合利用溯源技术规范》一是为了落实政策要求的关键举措，可衔接国家及地方关于动力电池溯源管控的政策部署，填补部分区域相关标准空白，将全生命周期溯源要求转化为具体技术规范，推动政策落地见效；二是规范行业发展的核心支撑，能统一电池回收、运输、梯次利用、再生处理等全环节溯源技术要求，明确各主体权责，遏制非正规回收乱象，提升行业溯源管理标准化水平，营造公平有序的市场环境；三是保障资源与环境安全的重要手段，通过规范溯源流程实现电池流向全程可控，助力提升资源回收率，减少重金属污染及违规拆解带来的安全风险，推动产业绿色循环发展；四是完善溯源体系的重要补充，可解决当前溯源信息不统一、监管难等痛点，强化溯源平台实用效能，为监管部门开展事中事后监管提供明确依据，支撑新能源汽车产业高质量可持续发展。</w:t>
      </w:r>
    </w:p>
    <w:p w14:paraId="2DD482EF">
      <w:pPr>
        <w:numPr>
          <w:ilvl w:val="0"/>
          <w:numId w:val="2"/>
        </w:numPr>
        <w:spacing w:after="312" w:afterLines="100" w:line="36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编制原则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与依据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</w:p>
    <w:p w14:paraId="79E52E7D">
      <w:pPr>
        <w:spacing w:line="360" w:lineRule="auto"/>
        <w:ind w:firstLine="482" w:firstLineChars="200"/>
        <w:rPr>
          <w:rFonts w:hint="default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编制原则：</w:t>
      </w:r>
    </w:p>
    <w:p w14:paraId="141C1D05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1. 实用性原则：充分调研行业溯源技术现状，结合企业在电池回收、梯次利用等环节的实际操作流程，制定能落地的溯源要求，比如明确二维码、RFID等实用标签方式，兼顾纸质与电子两种信息存储形式，适配不同企业的运营需求。</w:t>
      </w:r>
    </w:p>
    <w:p w14:paraId="69285F34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2. 统一性原则：统一溯源核心要素标准，如规定电池编码按EPC码或GS1编码规则执行以保证唯一性，同时统一各环节信息采集内容，确保生产、回收、拆解等不同环节的溯源数据可衔接、可比对。</w:t>
      </w:r>
    </w:p>
    <w:p w14:paraId="0D95164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3. 合规安全性原则：围绕信息安全设定管理要求，契合溯源信息全周期管控需求，同时保障溯源数据能支撑责任认定，实现各环节责任主体可追溯，降低环保与安全风险。</w:t>
      </w:r>
    </w:p>
    <w:p w14:paraId="4BB19AC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 w14:paraId="5A844F00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编制依据：</w:t>
      </w:r>
    </w:p>
    <w:p w14:paraId="23CF5A8B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1. 政策依据：以《新能源汽车动力蓄电池回收利用管理暂行办法》为核心依据，落实文件中动力电池溯源系统需实现“来源可查、去向可追”的要求，响应国家对电池全生命周期信息化管控的政策部署。</w:t>
      </w:r>
    </w:p>
    <w:p w14:paraId="44058389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2. 标准依据：引用多项现行国家标准与编码规则，如GB/T 19596《电动汽车术语》、GB/T 3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4014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《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汽车动力蓄电池编码规则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》等，确保与现有标准体系协同一致。</w:t>
      </w:r>
    </w:p>
    <w:p w14:paraId="6CB0C4C5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3. 技术与实践依据：依托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广东省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新能源汽车监测平台等现有技术成果，结合企业在电池溯源中的已应用技术经验，吸纳科研项目与企业实践中积累的溯源数据采集、接口技术等成果，保障标准的技术可行性。</w:t>
      </w:r>
    </w:p>
    <w:p w14:paraId="25F29CB0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</w:p>
    <w:p w14:paraId="2C1B695C">
      <w:pPr>
        <w:spacing w:after="312" w:afterLines="100" w:line="360" w:lineRule="auto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三、标准编制原则、主要内容</w:t>
      </w:r>
    </w:p>
    <w:p w14:paraId="2D88ABF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1</w:t>
      </w:r>
      <w:r>
        <w:rPr>
          <w:rFonts w:ascii="Times New Roman" w:hAnsi="Times New Roman" w:eastAsia="宋体"/>
          <w:sz w:val="24"/>
          <w:szCs w:val="24"/>
        </w:rPr>
        <w:t>.</w:t>
      </w:r>
      <w:r>
        <w:rPr>
          <w:rFonts w:hint="eastAsia" w:ascii="Times New Roman" w:hAnsi="Times New Roman" w:eastAsia="宋体"/>
          <w:sz w:val="24"/>
          <w:szCs w:val="24"/>
        </w:rPr>
        <w:t>标准编制原则</w:t>
      </w:r>
    </w:p>
    <w:p w14:paraId="536CA1A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</w:t>
      </w:r>
      <w:r>
        <w:rPr>
          <w:rFonts w:ascii="Times New Roman" w:hAnsi="Times New Roman" w:eastAsia="宋体"/>
          <w:sz w:val="24"/>
          <w:szCs w:val="24"/>
        </w:rPr>
        <w:t>1）标准符合《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团体标准管理办法</w:t>
      </w:r>
      <w:r>
        <w:rPr>
          <w:rFonts w:ascii="Times New Roman" w:hAnsi="Times New Roman" w:eastAsia="宋体"/>
          <w:sz w:val="24"/>
          <w:szCs w:val="24"/>
        </w:rPr>
        <w:t>》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/>
          <w:sz w:val="24"/>
          <w:szCs w:val="24"/>
        </w:rPr>
        <w:t>、GB/T 1.1—2020《标准化工作导则 第 1 部分：标准的结构和编写》 相关要求。</w:t>
      </w:r>
    </w:p>
    <w:p w14:paraId="76DB9A7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（2）标准具备科学性、先进性等。</w:t>
      </w:r>
    </w:p>
    <w:p w14:paraId="156281D0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</w:t>
      </w:r>
      <w:r>
        <w:rPr>
          <w:rFonts w:ascii="Times New Roman" w:hAnsi="Times New Roman" w:eastAsia="宋体"/>
          <w:sz w:val="24"/>
          <w:szCs w:val="24"/>
        </w:rPr>
        <w:t>.</w:t>
      </w:r>
      <w:r>
        <w:rPr>
          <w:rFonts w:hint="eastAsia" w:ascii="Times New Roman" w:hAnsi="Times New Roman" w:eastAsia="宋体"/>
          <w:sz w:val="24"/>
          <w:szCs w:val="24"/>
        </w:rPr>
        <w:t>主要内容：</w:t>
      </w:r>
    </w:p>
    <w:p w14:paraId="1CFA45B4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</w:p>
    <w:p w14:paraId="0C2CD9AD">
      <w:pPr>
        <w:spacing w:line="360" w:lineRule="auto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表1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主要内容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40"/>
        <w:gridCol w:w="4785"/>
      </w:tblGrid>
      <w:tr w14:paraId="4837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 w14:paraId="3A1D3E9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章节</w:t>
            </w:r>
          </w:p>
        </w:tc>
        <w:tc>
          <w:tcPr>
            <w:tcW w:w="2240" w:type="dxa"/>
            <w:vAlign w:val="center"/>
          </w:tcPr>
          <w:p w14:paraId="0EF800C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标题</w:t>
            </w:r>
          </w:p>
        </w:tc>
        <w:tc>
          <w:tcPr>
            <w:tcW w:w="4785" w:type="dxa"/>
            <w:vAlign w:val="center"/>
          </w:tcPr>
          <w:p w14:paraId="5B43844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主要技术内容</w:t>
            </w:r>
          </w:p>
        </w:tc>
      </w:tr>
      <w:tr w14:paraId="5A0A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 w14:paraId="0D282423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2240" w:type="dxa"/>
            <w:vAlign w:val="center"/>
          </w:tcPr>
          <w:p w14:paraId="57FF013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范围</w:t>
            </w:r>
          </w:p>
        </w:tc>
        <w:tc>
          <w:tcPr>
            <w:tcW w:w="4785" w:type="dxa"/>
            <w:vAlign w:val="center"/>
          </w:tcPr>
          <w:p w14:paraId="6CDFA00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明确本文件的主要内容与适用范围</w:t>
            </w:r>
          </w:p>
        </w:tc>
      </w:tr>
      <w:tr w14:paraId="042A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 w14:paraId="57B4F540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2240" w:type="dxa"/>
            <w:vAlign w:val="center"/>
          </w:tcPr>
          <w:p w14:paraId="54316D3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规范性引用文件</w:t>
            </w:r>
          </w:p>
        </w:tc>
        <w:tc>
          <w:tcPr>
            <w:tcW w:w="4785" w:type="dxa"/>
            <w:vAlign w:val="center"/>
          </w:tcPr>
          <w:p w14:paraId="0737D670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规范性引用文件</w:t>
            </w:r>
          </w:p>
        </w:tc>
      </w:tr>
      <w:tr w14:paraId="6B08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 w14:paraId="62DB10D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</w:t>
            </w:r>
          </w:p>
        </w:tc>
        <w:tc>
          <w:tcPr>
            <w:tcW w:w="2240" w:type="dxa"/>
            <w:vAlign w:val="center"/>
          </w:tcPr>
          <w:p w14:paraId="0923057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术语和定义</w:t>
            </w:r>
          </w:p>
        </w:tc>
        <w:tc>
          <w:tcPr>
            <w:tcW w:w="4785" w:type="dxa"/>
            <w:vAlign w:val="center"/>
          </w:tcPr>
          <w:p w14:paraId="1F967B6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术语和定义</w:t>
            </w:r>
          </w:p>
        </w:tc>
      </w:tr>
      <w:tr w14:paraId="7D1B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271" w:type="dxa"/>
            <w:vAlign w:val="center"/>
          </w:tcPr>
          <w:p w14:paraId="2FB8BA4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14:paraId="1ED1866E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基本要求</w:t>
            </w:r>
          </w:p>
        </w:tc>
        <w:tc>
          <w:tcPr>
            <w:tcW w:w="4785" w:type="dxa"/>
            <w:vAlign w:val="center"/>
          </w:tcPr>
          <w:p w14:paraId="2271A6E1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总体要求、汽车企业溯源要求、电池企业溯源要求、运营企业溯源要求、报废车企业溯源要求、回收机构溯源要求、综合利用企业溯源要求、技术信息获取、网点信息报送、溯源履责要求</w:t>
            </w:r>
          </w:p>
        </w:tc>
      </w:tr>
      <w:tr w14:paraId="3738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2BFF004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5</w:t>
            </w:r>
          </w:p>
        </w:tc>
        <w:tc>
          <w:tcPr>
            <w:tcW w:w="2240" w:type="dxa"/>
            <w:vAlign w:val="center"/>
          </w:tcPr>
          <w:p w14:paraId="70B9A456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监督管理</w:t>
            </w:r>
          </w:p>
        </w:tc>
        <w:tc>
          <w:tcPr>
            <w:tcW w:w="4785" w:type="dxa"/>
            <w:vAlign w:val="center"/>
          </w:tcPr>
          <w:p w14:paraId="39CEDA94">
            <w:pPr>
              <w:pStyle w:val="15"/>
              <w:numPr>
                <w:ilvl w:val="1"/>
                <w:numId w:val="0"/>
              </w:numPr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信息共享机制、监管职责</w:t>
            </w:r>
          </w:p>
        </w:tc>
      </w:tr>
      <w:tr w14:paraId="5FE4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46CBFB91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40" w:type="dxa"/>
            <w:vAlign w:val="center"/>
          </w:tcPr>
          <w:p w14:paraId="4E05FC27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信息溯源责任</w:t>
            </w:r>
          </w:p>
        </w:tc>
        <w:tc>
          <w:tcPr>
            <w:tcW w:w="4785" w:type="dxa"/>
            <w:vAlign w:val="center"/>
          </w:tcPr>
          <w:p w14:paraId="4764DC17">
            <w:pPr>
              <w:pStyle w:val="15"/>
              <w:numPr>
                <w:ilvl w:val="1"/>
                <w:numId w:val="0"/>
              </w:numPr>
              <w:bidi w:val="0"/>
              <w:spacing w:line="240" w:lineRule="auto"/>
              <w:ind w:leftChars="0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信息溯源责任行为划分</w:t>
            </w:r>
          </w:p>
        </w:tc>
      </w:tr>
      <w:tr w14:paraId="5652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3509FE02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40" w:type="dxa"/>
            <w:vAlign w:val="center"/>
          </w:tcPr>
          <w:p w14:paraId="53F06EC6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附录A</w:t>
            </w:r>
          </w:p>
        </w:tc>
        <w:tc>
          <w:tcPr>
            <w:tcW w:w="4785" w:type="dxa"/>
            <w:vAlign w:val="center"/>
          </w:tcPr>
          <w:p w14:paraId="163A25CE">
            <w:pPr>
              <w:pStyle w:val="15"/>
              <w:numPr>
                <w:ilvl w:val="1"/>
                <w:numId w:val="0"/>
              </w:numPr>
              <w:bidi w:val="0"/>
              <w:spacing w:line="240" w:lineRule="auto"/>
              <w:ind w:leftChars="0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溯源信息列表</w:t>
            </w:r>
          </w:p>
        </w:tc>
      </w:tr>
    </w:tbl>
    <w:p w14:paraId="2640FD92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 w14:paraId="60D6D3BA">
      <w:pPr>
        <w:spacing w:after="312" w:afterLines="100" w:line="360" w:lineRule="auto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四、与现行法律法规、强制性标准等上位标准关系</w:t>
      </w:r>
    </w:p>
    <w:p w14:paraId="140D648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标准与有关的现行法律法规、强制性标准等上位标准不冲突。</w:t>
      </w:r>
    </w:p>
    <w:p w14:paraId="542EDE7A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 w14:paraId="3565DE18">
      <w:pPr>
        <w:spacing w:after="312" w:afterLines="100" w:line="360" w:lineRule="auto"/>
        <w:rPr>
          <w:rFonts w:hint="eastAsia"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五、标准有何先进性或特色性</w:t>
      </w:r>
    </w:p>
    <w:p w14:paraId="7B67BB45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本标准的先进性在于实现动力电池从生产、车辆销售、维修租赁到回收、梯次利用、再生利用及整车报废的全生命周期溯源覆盖，明确各环节核心信息采集要求以精准界定责任主体；统一采用编码规则保障电池编码唯一性，适配二维码</w:t>
      </w:r>
      <w:bookmarkStart w:id="0" w:name="_GoBack"/>
      <w:bookmarkEnd w:id="0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等多种主流标签方式，兼顾行业协同与企业差异化需求，降低适配成本；支持纸质短期存储与电子平台长期存储双重模式，搭建面向多主体的溯源信息查询平台，兼顾信息留存完整性与公开可核验性，同时精准填补地方相关标准空白，针对性规范此前缺失要求的储存、运输等环节，适配区域行业现状，为地方政策落地和行业规范发展提供有力支撑。</w:t>
      </w:r>
    </w:p>
    <w:p w14:paraId="40C8C5C1">
      <w:pPr>
        <w:spacing w:after="312" w:afterLines="100" w:line="360" w:lineRule="auto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六、标准调研、研讨、征求意见情况</w:t>
      </w:r>
    </w:p>
    <w:p w14:paraId="1173FF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为了保证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《新能源汽车废旧动力电池综合利用溯源技术规范》</w:t>
      </w:r>
      <w:r>
        <w:rPr>
          <w:rFonts w:hint="eastAsia" w:ascii="Times New Roman" w:hAnsi="Times New Roman" w:eastAsia="宋体"/>
          <w:sz w:val="24"/>
          <w:szCs w:val="24"/>
        </w:rPr>
        <w:t>团体标准的有效实施并能满足市场的需求，标准起草单位通过各种形式广泛征求了制造企业、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设备</w:t>
      </w:r>
      <w:r>
        <w:rPr>
          <w:rFonts w:hint="eastAsia" w:ascii="Times New Roman" w:hAnsi="Times New Roman" w:eastAsia="宋体"/>
          <w:sz w:val="24"/>
          <w:szCs w:val="24"/>
        </w:rPr>
        <w:t>单位、设计单位、检测单位及各级主管部门的意见和建议，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并于</w:t>
      </w:r>
      <w:r>
        <w:rPr>
          <w:rFonts w:ascii="Times New Roman" w:hAnsi="Times New Roman" w:eastAsia="宋体"/>
          <w:sz w:val="24"/>
          <w:szCs w:val="24"/>
        </w:rPr>
        <w:t>2025年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11</w:t>
      </w:r>
      <w:r>
        <w:rPr>
          <w:rFonts w:ascii="Times New Roman" w:hAnsi="Times New Roman" w:eastAsia="宋体"/>
          <w:sz w:val="24"/>
          <w:szCs w:val="24"/>
        </w:rPr>
        <w:t>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宋体"/>
          <w:sz w:val="24"/>
          <w:szCs w:val="24"/>
        </w:rPr>
        <w:t>日</w:t>
      </w:r>
      <w:r>
        <w:rPr>
          <w:rFonts w:hint="eastAsia" w:ascii="Times New Roman" w:hAnsi="Times New Roman" w:eastAsia="宋体"/>
          <w:sz w:val="24"/>
          <w:szCs w:val="24"/>
        </w:rPr>
        <w:t>举行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《新能源汽车废旧动力电池综合利用溯源技术规范》</w:t>
      </w:r>
      <w:r>
        <w:rPr>
          <w:rFonts w:hint="eastAsia" w:ascii="Times New Roman" w:hAnsi="Times New Roman" w:eastAsia="宋体"/>
          <w:sz w:val="24"/>
          <w:szCs w:val="24"/>
        </w:rPr>
        <w:t>团体标准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研讨</w:t>
      </w:r>
      <w:r>
        <w:rPr>
          <w:rFonts w:hint="eastAsia" w:ascii="Times New Roman" w:hAnsi="Times New Roman" w:eastAsia="宋体"/>
          <w:sz w:val="24"/>
          <w:szCs w:val="24"/>
        </w:rPr>
        <w:t>会。本次会议有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广东金晟新能源股份有限公司、柳州赛克科技发展有限公司、广东和誉智能装备科技有限公司、格林美（深圳）循环科技有限公司、广东汇创新能源有限公司、广东省科学院认证有限公司、广州璟测检测技术有限公司、东莞市合创汽车科技有限公司、广东省新能源汽车产业协会等多家企业或机构的专家参与</w:t>
      </w:r>
      <w:r>
        <w:rPr>
          <w:rFonts w:ascii="Times New Roman" w:hAnsi="Times New Roman" w:eastAsia="宋体"/>
          <w:sz w:val="24"/>
          <w:szCs w:val="24"/>
        </w:rPr>
        <w:t>。会上各</w:t>
      </w:r>
      <w:r>
        <w:rPr>
          <w:rFonts w:hint="eastAsia" w:ascii="Times New Roman" w:hAnsi="Times New Roman" w:eastAsia="宋体"/>
          <w:sz w:val="24"/>
          <w:szCs w:val="24"/>
        </w:rPr>
        <w:t>参会代表对标准的范围、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废旧电池溯源基本</w:t>
      </w:r>
      <w:r>
        <w:rPr>
          <w:rFonts w:hint="eastAsia" w:ascii="Times New Roman" w:hAnsi="Times New Roman" w:eastAsia="宋体"/>
          <w:sz w:val="24"/>
          <w:szCs w:val="24"/>
        </w:rPr>
        <w:t>要求、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监督管理、信息溯源责任、溯源信息列表</w:t>
      </w:r>
      <w:r>
        <w:rPr>
          <w:rFonts w:hint="eastAsia" w:ascii="Times New Roman" w:hAnsi="Times New Roman" w:eastAsia="宋体"/>
          <w:sz w:val="24"/>
          <w:szCs w:val="24"/>
        </w:rPr>
        <w:t>等主要内容进行了深入的讨论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经过讨论</w:t>
      </w:r>
      <w:r>
        <w:rPr>
          <w:rFonts w:hint="eastAsia" w:ascii="Times New Roman" w:hAnsi="Times New Roman" w:eastAsia="宋体"/>
          <w:sz w:val="24"/>
          <w:szCs w:val="24"/>
        </w:rPr>
        <w:t>对标准的后续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编制</w:t>
      </w:r>
      <w:r>
        <w:rPr>
          <w:rFonts w:hint="eastAsia" w:ascii="Times New Roman" w:hAnsi="Times New Roman" w:eastAsia="宋体"/>
          <w:sz w:val="24"/>
          <w:szCs w:val="24"/>
        </w:rPr>
        <w:t>、意见征集、进度安排等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达成了共识，标准工作按照计划正常推进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3AA36A22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 w14:paraId="33A9D4C0">
      <w:pPr>
        <w:spacing w:after="312" w:afterLines="100" w:line="360" w:lineRule="auto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七、与国际、国家、行业、其他省同类标准技术内容的对比情况</w:t>
      </w:r>
    </w:p>
    <w:p w14:paraId="5DE4C6B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《新能源汽车废旧动力电池综合利用溯源技术规范》</w:t>
      </w:r>
      <w:r>
        <w:rPr>
          <w:rFonts w:hint="eastAsia" w:ascii="Times New Roman" w:hAnsi="Times New Roman" w:eastAsia="宋体"/>
          <w:sz w:val="24"/>
          <w:szCs w:val="24"/>
        </w:rPr>
        <w:t>暂无国家或行业标准进行对应。</w:t>
      </w:r>
    </w:p>
    <w:p w14:paraId="45BF294B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 w14:paraId="5141FA18">
      <w:pPr>
        <w:spacing w:after="312" w:afterLines="100" w:line="360" w:lineRule="auto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八、涉及专利的有关说明</w:t>
      </w:r>
    </w:p>
    <w:p w14:paraId="7FED3CCD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不涉及。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3C642"/>
    <w:multiLevelType w:val="multilevel"/>
    <w:tmpl w:val="D543C642"/>
    <w:lvl w:ilvl="0" w:tentative="0">
      <w:start w:val="1"/>
      <w:numFmt w:val="decimal"/>
      <w:pStyle w:val="13"/>
      <w:suff w:val="nothing"/>
      <w:lvlText w:val="%1　"/>
      <w:lvlJc w:val="left"/>
      <w:pPr>
        <w:ind w:left="-8" w:firstLine="39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0697683A"/>
    <w:multiLevelType w:val="singleLevel"/>
    <w:tmpl w:val="0697683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5C"/>
    <w:rsid w:val="00142ECD"/>
    <w:rsid w:val="00212C23"/>
    <w:rsid w:val="0029452B"/>
    <w:rsid w:val="00302D3B"/>
    <w:rsid w:val="00391CB6"/>
    <w:rsid w:val="0040472B"/>
    <w:rsid w:val="004D052D"/>
    <w:rsid w:val="005B2F12"/>
    <w:rsid w:val="005C4BB5"/>
    <w:rsid w:val="005E6E7A"/>
    <w:rsid w:val="00660660"/>
    <w:rsid w:val="0068315C"/>
    <w:rsid w:val="00683C22"/>
    <w:rsid w:val="006A2EE1"/>
    <w:rsid w:val="006B42D3"/>
    <w:rsid w:val="006C3C4D"/>
    <w:rsid w:val="006D0755"/>
    <w:rsid w:val="006F7FC6"/>
    <w:rsid w:val="00747A92"/>
    <w:rsid w:val="00753981"/>
    <w:rsid w:val="007564B6"/>
    <w:rsid w:val="00763C7E"/>
    <w:rsid w:val="007B7797"/>
    <w:rsid w:val="0091619D"/>
    <w:rsid w:val="0094028F"/>
    <w:rsid w:val="009878A1"/>
    <w:rsid w:val="009F52AF"/>
    <w:rsid w:val="00A23BC1"/>
    <w:rsid w:val="00A41E97"/>
    <w:rsid w:val="00A438D1"/>
    <w:rsid w:val="00A77630"/>
    <w:rsid w:val="00AE359D"/>
    <w:rsid w:val="00AF3A2F"/>
    <w:rsid w:val="00B5443F"/>
    <w:rsid w:val="00C360B5"/>
    <w:rsid w:val="00C66755"/>
    <w:rsid w:val="00CD1454"/>
    <w:rsid w:val="00D00385"/>
    <w:rsid w:val="00D172B7"/>
    <w:rsid w:val="00D355B8"/>
    <w:rsid w:val="00E6151A"/>
    <w:rsid w:val="00E82C5B"/>
    <w:rsid w:val="00FC1CD0"/>
    <w:rsid w:val="00FD307A"/>
    <w:rsid w:val="03265180"/>
    <w:rsid w:val="03863E70"/>
    <w:rsid w:val="069B7C33"/>
    <w:rsid w:val="08E92ED7"/>
    <w:rsid w:val="096B1B3E"/>
    <w:rsid w:val="097F55EA"/>
    <w:rsid w:val="0A92134D"/>
    <w:rsid w:val="0CEC2F96"/>
    <w:rsid w:val="0D3D5EE8"/>
    <w:rsid w:val="0DA63A8D"/>
    <w:rsid w:val="0E7B2823"/>
    <w:rsid w:val="0FFA24DF"/>
    <w:rsid w:val="10AB4F16"/>
    <w:rsid w:val="150572EB"/>
    <w:rsid w:val="163B0AEA"/>
    <w:rsid w:val="175A3EB4"/>
    <w:rsid w:val="184C0DA9"/>
    <w:rsid w:val="19B17A41"/>
    <w:rsid w:val="19BD53D2"/>
    <w:rsid w:val="1FAD2A59"/>
    <w:rsid w:val="223034CD"/>
    <w:rsid w:val="265A6D6B"/>
    <w:rsid w:val="26C50688"/>
    <w:rsid w:val="28A54C15"/>
    <w:rsid w:val="299F1664"/>
    <w:rsid w:val="29E76B67"/>
    <w:rsid w:val="29F55728"/>
    <w:rsid w:val="2E150147"/>
    <w:rsid w:val="2E9077CD"/>
    <w:rsid w:val="2F0A3A24"/>
    <w:rsid w:val="30395C43"/>
    <w:rsid w:val="31662A68"/>
    <w:rsid w:val="32C263C3"/>
    <w:rsid w:val="33980B72"/>
    <w:rsid w:val="3676199F"/>
    <w:rsid w:val="367E6AA5"/>
    <w:rsid w:val="38637D01"/>
    <w:rsid w:val="39237490"/>
    <w:rsid w:val="39EF1B55"/>
    <w:rsid w:val="3A445910"/>
    <w:rsid w:val="3BF47E13"/>
    <w:rsid w:val="3C05066C"/>
    <w:rsid w:val="3CBA010B"/>
    <w:rsid w:val="3CBB45AF"/>
    <w:rsid w:val="3CE358B4"/>
    <w:rsid w:val="401F30A7"/>
    <w:rsid w:val="40E85247"/>
    <w:rsid w:val="41CB36EA"/>
    <w:rsid w:val="43454BD3"/>
    <w:rsid w:val="45C53DA9"/>
    <w:rsid w:val="47F35C45"/>
    <w:rsid w:val="48256D81"/>
    <w:rsid w:val="4B370CA5"/>
    <w:rsid w:val="4C6F4A6E"/>
    <w:rsid w:val="4D5A3970"/>
    <w:rsid w:val="50334005"/>
    <w:rsid w:val="51C413B8"/>
    <w:rsid w:val="52172826"/>
    <w:rsid w:val="5394300C"/>
    <w:rsid w:val="541A5C08"/>
    <w:rsid w:val="54FE72D7"/>
    <w:rsid w:val="55BB2AD2"/>
    <w:rsid w:val="56350AD7"/>
    <w:rsid w:val="56690780"/>
    <w:rsid w:val="56777341"/>
    <w:rsid w:val="56BC6B02"/>
    <w:rsid w:val="57A852D8"/>
    <w:rsid w:val="58CB127E"/>
    <w:rsid w:val="59E00D5A"/>
    <w:rsid w:val="5A663955"/>
    <w:rsid w:val="5C272C70"/>
    <w:rsid w:val="5CD050B5"/>
    <w:rsid w:val="5CE62B2B"/>
    <w:rsid w:val="5DBA7B13"/>
    <w:rsid w:val="5DC12D95"/>
    <w:rsid w:val="5E677C9B"/>
    <w:rsid w:val="5F69359F"/>
    <w:rsid w:val="61946FF9"/>
    <w:rsid w:val="63950E07"/>
    <w:rsid w:val="65150D04"/>
    <w:rsid w:val="663A2C79"/>
    <w:rsid w:val="674212A6"/>
    <w:rsid w:val="675E7762"/>
    <w:rsid w:val="699D0A15"/>
    <w:rsid w:val="69D65CD5"/>
    <w:rsid w:val="6C711CE5"/>
    <w:rsid w:val="6F6D0E8A"/>
    <w:rsid w:val="704B11CB"/>
    <w:rsid w:val="7327134F"/>
    <w:rsid w:val="738549F4"/>
    <w:rsid w:val="74AA1C66"/>
    <w:rsid w:val="750A2CD7"/>
    <w:rsid w:val="751029E3"/>
    <w:rsid w:val="758D5DE2"/>
    <w:rsid w:val="77BC650A"/>
    <w:rsid w:val="793D367B"/>
    <w:rsid w:val="79DF4732"/>
    <w:rsid w:val="7A410F49"/>
    <w:rsid w:val="7E1370A0"/>
    <w:rsid w:val="7E4C610E"/>
    <w:rsid w:val="7E5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880" w:firstLineChars="200"/>
    </w:pPr>
    <w:rPr>
      <w:rFonts w:ascii="仿宋_GB2312" w:hAnsi="仿宋_GB2312" w:eastAsia="仿宋_GB2312" w:cs="Arial"/>
      <w:sz w:val="32"/>
      <w:szCs w:val="2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章标题"/>
    <w:next w:val="14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一级条标题"/>
    <w:basedOn w:val="13"/>
    <w:next w:val="14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1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27C0-BB40-4C2F-AAFF-BE55F7A3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2292</Words>
  <Characters>2342</Characters>
  <Lines>134</Lines>
  <Paragraphs>83</Paragraphs>
  <TotalTime>4</TotalTime>
  <ScaleCrop>false</ScaleCrop>
  <LinksUpToDate>false</LinksUpToDate>
  <CharactersWithSpaces>2360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2025-11-18T08:41:00Z</dcterms:created>
  <dc:creator>志毅 王</dc:creator>
  <cp:lastModifiedBy>lixiangdeguzhou</cp:lastModifiedBy>
  <dcterms:modified xsi:type="dcterms:W3CDTF">2025-12-01T06:38:54Z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eyJoZGlkIjoiMDExYjljYjUwOGMyNjNiZmIxYjlmMTg5ZGFhYjg3M2IiLCJ1c2VySWQiOiIxMjg3MzI1NjM4In0=</vt:lpwstr>
  </property>
  <property fmtid="{D5CDD505-2E9C-101B-9397-08002B2CF9AE}" pid="3" name="KSOProductBuildVer">
    <vt:lpwstr>2052-12.1.0.24034</vt:lpwstr>
  </property>
  <property fmtid="{D5CDD505-2E9C-101B-9397-08002B2CF9AE}" pid="4" name="ICV">
    <vt:lpwstr>E7506DE86E604EE78E90B7F8A3C11A77_12</vt:lpwstr>
  </property>
</Properties>
</file>