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A95A8" w14:textId="090D2BCD" w:rsidR="001654CA" w:rsidRDefault="00000000">
      <w:pPr>
        <w:pStyle w:val="Default"/>
        <w:spacing w:line="360" w:lineRule="auto"/>
        <w:jc w:val="center"/>
        <w:rPr>
          <w:rFonts w:cstheme="minorBidi" w:hint="eastAsia"/>
          <w:color w:val="auto"/>
          <w:sz w:val="32"/>
          <w:szCs w:val="32"/>
        </w:rPr>
      </w:pPr>
      <w:r>
        <w:rPr>
          <w:rFonts w:cstheme="minorBidi" w:hint="eastAsia"/>
          <w:color w:val="auto"/>
          <w:sz w:val="32"/>
          <w:szCs w:val="32"/>
        </w:rPr>
        <w:t>《</w:t>
      </w:r>
      <w:bookmarkStart w:id="0" w:name="_Hlk211531085"/>
      <w:r w:rsidR="005D3460" w:rsidRPr="005D3460">
        <w:rPr>
          <w:rFonts w:cstheme="minorBidi" w:hint="eastAsia"/>
          <w:color w:val="auto"/>
          <w:sz w:val="32"/>
          <w:szCs w:val="32"/>
        </w:rPr>
        <w:t>口腔种植与颌面骨缺损修复 增材制造个性化钛网 临床操作规程</w:t>
      </w:r>
      <w:bookmarkEnd w:id="0"/>
      <w:r>
        <w:rPr>
          <w:rFonts w:cstheme="minorBidi" w:hint="eastAsia"/>
          <w:color w:val="auto"/>
          <w:sz w:val="32"/>
          <w:szCs w:val="32"/>
        </w:rPr>
        <w:t>》编制说明</w:t>
      </w:r>
    </w:p>
    <w:p w14:paraId="159448B9" w14:textId="761E133D" w:rsidR="001654CA" w:rsidRDefault="00000000">
      <w:pPr>
        <w:pStyle w:val="1"/>
        <w:spacing w:line="360" w:lineRule="auto"/>
      </w:pPr>
      <w:r>
        <w:rPr>
          <w:rFonts w:hint="eastAsia"/>
        </w:rPr>
        <w:t>一、工作简况</w:t>
      </w:r>
    </w:p>
    <w:p w14:paraId="74B6A397" w14:textId="77777777" w:rsidR="001654CA" w:rsidRDefault="00000000">
      <w:pPr>
        <w:pStyle w:val="2"/>
        <w:spacing w:line="360" w:lineRule="auto"/>
        <w:ind w:firstLine="482"/>
      </w:pPr>
      <w:r>
        <w:rPr>
          <w:rFonts w:hint="eastAsia"/>
        </w:rPr>
        <w:t>1</w:t>
      </w:r>
      <w:r>
        <w:rPr>
          <w:rFonts w:hint="eastAsia"/>
        </w:rPr>
        <w:t>．任务来源</w:t>
      </w:r>
    </w:p>
    <w:p w14:paraId="1DAED583" w14:textId="305E25A5" w:rsidR="001654CA" w:rsidRPr="00F5019B" w:rsidRDefault="005D3460" w:rsidP="00F5019B">
      <w:pPr>
        <w:autoSpaceDE w:val="0"/>
        <w:autoSpaceDN w:val="0"/>
        <w:adjustRightInd w:val="0"/>
        <w:spacing w:after="0" w:line="360" w:lineRule="auto"/>
        <w:ind w:firstLineChars="200" w:firstLine="480"/>
        <w:rPr>
          <w:rFonts w:cs="Times New Roman"/>
          <w:szCs w:val="24"/>
          <w14:ligatures w14:val="none"/>
        </w:rPr>
      </w:pPr>
      <w:r w:rsidRPr="00F5019B">
        <w:rPr>
          <w:rFonts w:cs="Times New Roman" w:hint="eastAsia"/>
          <w:szCs w:val="24"/>
          <w14:ligatures w14:val="none"/>
        </w:rPr>
        <w:t>本项目是根据中国产学研合作促进会“关于征集</w:t>
      </w:r>
      <w:r w:rsidRPr="00F5019B">
        <w:rPr>
          <w:rFonts w:cs="Times New Roman" w:hint="eastAsia"/>
          <w:szCs w:val="24"/>
          <w14:ligatures w14:val="none"/>
        </w:rPr>
        <w:t>2025</w:t>
      </w:r>
      <w:r w:rsidRPr="00F5019B">
        <w:rPr>
          <w:rFonts w:cs="Times New Roman" w:hint="eastAsia"/>
          <w:szCs w:val="24"/>
          <w14:ligatures w14:val="none"/>
        </w:rPr>
        <w:t>年团体标准制定项目的通知”（产学研函字</w:t>
      </w:r>
      <w:r w:rsidRPr="00F5019B">
        <w:rPr>
          <w:rFonts w:cs="Times New Roman" w:hint="eastAsia"/>
          <w:szCs w:val="24"/>
          <w14:ligatures w14:val="none"/>
        </w:rPr>
        <w:t>[2025]</w:t>
      </w:r>
      <w:r w:rsidRPr="00F5019B">
        <w:rPr>
          <w:rFonts w:cs="Times New Roman" w:hint="eastAsia"/>
          <w:szCs w:val="24"/>
          <w14:ligatures w14:val="none"/>
        </w:rPr>
        <w:t>第</w:t>
      </w:r>
      <w:r w:rsidRPr="00F5019B">
        <w:rPr>
          <w:rFonts w:cs="Times New Roman" w:hint="eastAsia"/>
          <w:szCs w:val="24"/>
          <w14:ligatures w14:val="none"/>
        </w:rPr>
        <w:t>05</w:t>
      </w:r>
      <w:r w:rsidRPr="00F5019B">
        <w:rPr>
          <w:rFonts w:cs="Times New Roman" w:hint="eastAsia"/>
          <w:szCs w:val="24"/>
          <w14:ligatures w14:val="none"/>
        </w:rPr>
        <w:t>号）进行制定，项目名称“口腔种植与颌面骨缺损修复</w:t>
      </w:r>
      <w:r w:rsidRPr="00F5019B">
        <w:rPr>
          <w:rFonts w:cs="Times New Roman" w:hint="eastAsia"/>
          <w:szCs w:val="24"/>
          <w14:ligatures w14:val="none"/>
        </w:rPr>
        <w:t xml:space="preserve"> </w:t>
      </w:r>
      <w:r w:rsidRPr="00F5019B">
        <w:rPr>
          <w:rFonts w:cs="Times New Roman" w:hint="eastAsia"/>
          <w:szCs w:val="24"/>
          <w14:ligatures w14:val="none"/>
        </w:rPr>
        <w:t>增材制造个性化钛网</w:t>
      </w:r>
      <w:r w:rsidRPr="00F5019B">
        <w:rPr>
          <w:rFonts w:cs="Times New Roman" w:hint="eastAsia"/>
          <w:szCs w:val="24"/>
          <w14:ligatures w14:val="none"/>
        </w:rPr>
        <w:t xml:space="preserve"> </w:t>
      </w:r>
      <w:r w:rsidRPr="00F5019B">
        <w:rPr>
          <w:rFonts w:cs="Times New Roman" w:hint="eastAsia"/>
          <w:szCs w:val="24"/>
          <w14:ligatures w14:val="none"/>
        </w:rPr>
        <w:t>临床操作规程”，本标准由四川大学华西口腔医院提出</w:t>
      </w:r>
      <w:r w:rsidRPr="00F5019B">
        <w:rPr>
          <w:rFonts w:cs="Times New Roman" w:hint="eastAsia"/>
          <w:szCs w:val="24"/>
          <w14:ligatures w14:val="none"/>
        </w:rPr>
        <w:t>,</w:t>
      </w:r>
      <w:r w:rsidRPr="00F5019B">
        <w:rPr>
          <w:rFonts w:cs="Times New Roman" w:hint="eastAsia"/>
          <w:szCs w:val="24"/>
          <w14:ligatures w14:val="none"/>
        </w:rPr>
        <w:t>中国产学研合作促进会归口，起草牵头单位：四川大学华西口腔医院，计划完成时间为</w:t>
      </w:r>
      <w:r w:rsidRPr="00F5019B">
        <w:rPr>
          <w:rFonts w:cs="Times New Roman" w:hint="eastAsia"/>
          <w:szCs w:val="24"/>
          <w14:ligatures w14:val="none"/>
        </w:rPr>
        <w:t>2026</w:t>
      </w:r>
      <w:r w:rsidRPr="00F5019B">
        <w:rPr>
          <w:rFonts w:cs="Times New Roman" w:hint="eastAsia"/>
          <w:szCs w:val="24"/>
          <w14:ligatures w14:val="none"/>
        </w:rPr>
        <w:t>年</w:t>
      </w:r>
      <w:r w:rsidRPr="00F5019B">
        <w:rPr>
          <w:rFonts w:cs="Times New Roman" w:hint="eastAsia"/>
          <w:szCs w:val="24"/>
          <w14:ligatures w14:val="none"/>
        </w:rPr>
        <w:t>9</w:t>
      </w:r>
      <w:r w:rsidRPr="00F5019B">
        <w:rPr>
          <w:rFonts w:cs="Times New Roman" w:hint="eastAsia"/>
          <w:szCs w:val="24"/>
          <w14:ligatures w14:val="none"/>
        </w:rPr>
        <w:t>月。</w:t>
      </w:r>
    </w:p>
    <w:p w14:paraId="5741CD98" w14:textId="61FD0393" w:rsidR="001654CA" w:rsidRPr="00EA4CD0" w:rsidRDefault="00EA4CD0" w:rsidP="00EA4CD0">
      <w:pPr>
        <w:pStyle w:val="2"/>
        <w:spacing w:line="360" w:lineRule="auto"/>
        <w:ind w:firstLine="482"/>
      </w:pPr>
      <w:r>
        <w:rPr>
          <w:rFonts w:hint="eastAsia"/>
        </w:rPr>
        <w:t>2</w:t>
      </w:r>
      <w:r>
        <w:rPr>
          <w:rFonts w:hint="eastAsia"/>
        </w:rPr>
        <w:t>．立项背景</w:t>
      </w:r>
    </w:p>
    <w:p w14:paraId="6AC0E34E" w14:textId="05F2A9EF" w:rsidR="00802EDB" w:rsidRPr="00F5019B" w:rsidRDefault="00F5019B" w:rsidP="00F5019B">
      <w:pPr>
        <w:autoSpaceDE w:val="0"/>
        <w:autoSpaceDN w:val="0"/>
        <w:adjustRightInd w:val="0"/>
        <w:spacing w:after="0" w:line="360" w:lineRule="auto"/>
        <w:ind w:firstLineChars="200" w:firstLine="480"/>
        <w:rPr>
          <w:rFonts w:cs="Times New Roman"/>
          <w:szCs w:val="24"/>
          <w14:ligatures w14:val="none"/>
        </w:rPr>
      </w:pPr>
      <w:r w:rsidRPr="00F5019B">
        <w:rPr>
          <w:rFonts w:cs="Times New Roman" w:hint="eastAsia"/>
          <w:szCs w:val="24"/>
          <w14:ligatures w14:val="none"/>
        </w:rPr>
        <w:t>牙槽嵴严重萎缩与颌面部骨缺损是口腔种植修复领域面临的常见挑战，通过精准的骨增量重建缺损骨是治疗的关键。钛网支撑的引导性骨再生技术是解决局部硬组织缺损的常用方法，</w:t>
      </w:r>
      <w:r w:rsidR="004B311B">
        <w:rPr>
          <w:rFonts w:cs="Times New Roman" w:hint="eastAsia"/>
          <w:szCs w:val="24"/>
          <w14:ligatures w14:val="none"/>
        </w:rPr>
        <w:t>特别</w:t>
      </w:r>
      <w:r w:rsidRPr="00F5019B">
        <w:rPr>
          <w:rFonts w:cs="Times New Roman" w:hint="eastAsia"/>
          <w:szCs w:val="24"/>
          <w14:ligatures w14:val="none"/>
        </w:rPr>
        <w:t>在复杂骨缺损重建中展现出良好效果。但传统钛网技术需要在术中对成品钛网进行手工弯制，存在成形精度不足、手术时间长、术后并发症风险较高等局限性。</w:t>
      </w:r>
    </w:p>
    <w:p w14:paraId="234486BC" w14:textId="2E148806" w:rsidR="00F5019B" w:rsidRPr="00F5019B" w:rsidRDefault="00F5019B" w:rsidP="00F5019B">
      <w:pPr>
        <w:autoSpaceDE w:val="0"/>
        <w:autoSpaceDN w:val="0"/>
        <w:adjustRightInd w:val="0"/>
        <w:spacing w:after="0" w:line="360" w:lineRule="auto"/>
        <w:ind w:firstLineChars="200" w:firstLine="480"/>
        <w:rPr>
          <w:rFonts w:cs="Times New Roman"/>
          <w:szCs w:val="24"/>
          <w14:ligatures w14:val="none"/>
        </w:rPr>
      </w:pPr>
      <w:r w:rsidRPr="00F5019B">
        <w:rPr>
          <w:rFonts w:cs="Times New Roman" w:hint="eastAsia"/>
          <w:szCs w:val="24"/>
          <w14:ligatures w14:val="none"/>
        </w:rPr>
        <w:t>随着数字化技术的进步，以增材制造为代表的个性化制造方法为钛网技术带来突破。该技术通过基于患者数字化信息的钛网精准设计与预先制造，实现了骨增量范围可预测、重建轮廓精准匹配及手术微创化，</w:t>
      </w:r>
      <w:r w:rsidR="004B311B">
        <w:rPr>
          <w:rFonts w:cs="Times New Roman" w:hint="eastAsia"/>
          <w:szCs w:val="24"/>
          <w14:ligatures w14:val="none"/>
        </w:rPr>
        <w:t>有着</w:t>
      </w:r>
      <w:r w:rsidRPr="00F5019B">
        <w:rPr>
          <w:rFonts w:cs="Times New Roman" w:hint="eastAsia"/>
          <w:szCs w:val="24"/>
          <w14:ligatures w14:val="none"/>
        </w:rPr>
        <w:t>显著的临床优势。目前该技术已在临床上得到初步应用，但适应证与禁忌证评估、信息采集、虚拟设计、增材制造、手术实施、术后管理与随访和钛网取出等</w:t>
      </w:r>
      <w:r w:rsidR="004B311B">
        <w:rPr>
          <w:rFonts w:cs="Times New Roman" w:hint="eastAsia"/>
          <w:szCs w:val="24"/>
          <w14:ligatures w14:val="none"/>
        </w:rPr>
        <w:t>技术</w:t>
      </w:r>
      <w:r w:rsidRPr="00F5019B">
        <w:rPr>
          <w:rFonts w:cs="Times New Roman" w:hint="eastAsia"/>
          <w:szCs w:val="24"/>
          <w14:ligatures w14:val="none"/>
        </w:rPr>
        <w:t>环节尚缺乏统一、规范的指导文件。</w:t>
      </w:r>
      <w:r w:rsidRPr="00F5019B">
        <w:rPr>
          <w:rFonts w:cs="Times New Roman"/>
          <w:szCs w:val="24"/>
          <w14:ligatures w14:val="none"/>
        </w:rPr>
        <w:t>为引导并规范数字化增材制造个性化钛网在口腔种植与颌面骨缺损修复中的安全有效应用，提升医疗服务质量，特制定本标准。</w:t>
      </w:r>
    </w:p>
    <w:p w14:paraId="1279133E" w14:textId="77777777" w:rsidR="001654CA" w:rsidRDefault="00000000">
      <w:pPr>
        <w:pStyle w:val="2"/>
        <w:spacing w:line="360" w:lineRule="auto"/>
        <w:ind w:firstLine="482"/>
      </w:pPr>
      <w:r>
        <w:rPr>
          <w:rFonts w:hint="eastAsia"/>
        </w:rPr>
        <w:t>3</w:t>
      </w:r>
      <w:r>
        <w:rPr>
          <w:rFonts w:hint="eastAsia"/>
        </w:rPr>
        <w:t>．主要工作过程</w:t>
      </w:r>
    </w:p>
    <w:p w14:paraId="49E3EEE4" w14:textId="610164D5" w:rsidR="001654CA" w:rsidRPr="00F5019B" w:rsidRDefault="00000000" w:rsidP="00F5019B">
      <w:pPr>
        <w:autoSpaceDE w:val="0"/>
        <w:autoSpaceDN w:val="0"/>
        <w:adjustRightInd w:val="0"/>
        <w:spacing w:after="0" w:line="360" w:lineRule="auto"/>
        <w:ind w:firstLineChars="200" w:firstLine="480"/>
        <w:rPr>
          <w:rFonts w:cs="Times New Roman"/>
          <w:szCs w:val="24"/>
          <w14:ligatures w14:val="none"/>
        </w:rPr>
      </w:pPr>
      <w:r w:rsidRPr="00F5019B">
        <w:rPr>
          <w:rFonts w:cs="Times New Roman" w:hint="eastAsia"/>
          <w:szCs w:val="24"/>
          <w14:ligatures w14:val="none"/>
        </w:rPr>
        <w:t>起草阶段：</w:t>
      </w:r>
      <w:r w:rsidRPr="00F5019B">
        <w:rPr>
          <w:rFonts w:cs="Times New Roman" w:hint="eastAsia"/>
          <w:szCs w:val="24"/>
          <w14:ligatures w14:val="none"/>
        </w:rPr>
        <w:t>202</w:t>
      </w:r>
      <w:r w:rsidR="005D3460" w:rsidRPr="00F5019B">
        <w:rPr>
          <w:rFonts w:cs="Times New Roman" w:hint="eastAsia"/>
          <w:szCs w:val="24"/>
          <w14:ligatures w14:val="none"/>
        </w:rPr>
        <w:t>5</w:t>
      </w:r>
      <w:r w:rsidRPr="00F5019B">
        <w:rPr>
          <w:rFonts w:cs="Times New Roman" w:hint="eastAsia"/>
          <w:szCs w:val="24"/>
          <w14:ligatures w14:val="none"/>
        </w:rPr>
        <w:t>年</w:t>
      </w:r>
      <w:r w:rsidR="005D3460" w:rsidRPr="00F5019B">
        <w:rPr>
          <w:rFonts w:cs="Times New Roman" w:hint="eastAsia"/>
          <w:szCs w:val="24"/>
          <w14:ligatures w14:val="none"/>
        </w:rPr>
        <w:t>9</w:t>
      </w:r>
      <w:r w:rsidRPr="00F5019B">
        <w:rPr>
          <w:rFonts w:cs="Times New Roman" w:hint="eastAsia"/>
          <w:szCs w:val="24"/>
          <w14:ligatures w14:val="none"/>
        </w:rPr>
        <w:t>月，</w:t>
      </w:r>
      <w:bookmarkStart w:id="1" w:name="_Hlk211531320"/>
      <w:r w:rsidR="005D3460" w:rsidRPr="00F5019B">
        <w:rPr>
          <w:rFonts w:cs="Times New Roman" w:hint="eastAsia"/>
          <w:szCs w:val="24"/>
          <w14:ligatures w14:val="none"/>
        </w:rPr>
        <w:t>四川大学华西口腔医院、成都天齐增材智造有限责任公司、重庆医科大学附属口腔医院、西南医科大学附属口腔医院</w:t>
      </w:r>
      <w:bookmarkEnd w:id="1"/>
      <w:r w:rsidRPr="00F5019B">
        <w:rPr>
          <w:rFonts w:cs="Times New Roman" w:hint="eastAsia"/>
          <w:szCs w:val="24"/>
          <w14:ligatures w14:val="none"/>
        </w:rPr>
        <w:t>等成立团体标准《</w:t>
      </w:r>
      <w:r w:rsidR="005D3460" w:rsidRPr="00F5019B">
        <w:rPr>
          <w:rFonts w:cs="Times New Roman" w:hint="eastAsia"/>
          <w:szCs w:val="24"/>
          <w14:ligatures w14:val="none"/>
        </w:rPr>
        <w:t>口腔种植与颌面骨缺损修复</w:t>
      </w:r>
      <w:r w:rsidR="005D3460" w:rsidRPr="00F5019B">
        <w:rPr>
          <w:rFonts w:cs="Times New Roman" w:hint="eastAsia"/>
          <w:szCs w:val="24"/>
          <w14:ligatures w14:val="none"/>
        </w:rPr>
        <w:t xml:space="preserve"> </w:t>
      </w:r>
      <w:r w:rsidR="005D3460" w:rsidRPr="00F5019B">
        <w:rPr>
          <w:rFonts w:cs="Times New Roman" w:hint="eastAsia"/>
          <w:szCs w:val="24"/>
          <w14:ligatures w14:val="none"/>
        </w:rPr>
        <w:t>增材制造个性化钛网</w:t>
      </w:r>
      <w:r w:rsidR="005D3460" w:rsidRPr="00F5019B">
        <w:rPr>
          <w:rFonts w:cs="Times New Roman" w:hint="eastAsia"/>
          <w:szCs w:val="24"/>
          <w14:ligatures w14:val="none"/>
        </w:rPr>
        <w:t xml:space="preserve"> </w:t>
      </w:r>
      <w:r w:rsidR="005D3460" w:rsidRPr="00F5019B">
        <w:rPr>
          <w:rFonts w:cs="Times New Roman" w:hint="eastAsia"/>
          <w:szCs w:val="24"/>
          <w14:ligatures w14:val="none"/>
        </w:rPr>
        <w:t>临床操作规程</w:t>
      </w:r>
      <w:r w:rsidRPr="00F5019B">
        <w:rPr>
          <w:rFonts w:cs="Times New Roman" w:hint="eastAsia"/>
          <w:szCs w:val="24"/>
          <w14:ligatures w14:val="none"/>
        </w:rPr>
        <w:t>》制定工作组，确定工作方案并提出时间进度安排。工作组对国内外</w:t>
      </w:r>
      <w:bookmarkStart w:id="2" w:name="OLE_LINK2"/>
      <w:r w:rsidR="005D3460" w:rsidRPr="00F5019B">
        <w:rPr>
          <w:rFonts w:cs="Times New Roman" w:hint="eastAsia"/>
          <w:szCs w:val="24"/>
          <w14:ligatures w14:val="none"/>
        </w:rPr>
        <w:t>增材制造个性化钛网</w:t>
      </w:r>
      <w:bookmarkEnd w:id="2"/>
      <w:r w:rsidRPr="00F5019B">
        <w:rPr>
          <w:rFonts w:cs="Times New Roman" w:hint="eastAsia"/>
          <w:szCs w:val="24"/>
          <w14:ligatures w14:val="none"/>
        </w:rPr>
        <w:t>的现状</w:t>
      </w:r>
      <w:r w:rsidRPr="00F5019B">
        <w:rPr>
          <w:rFonts w:cs="Times New Roman" w:hint="eastAsia"/>
          <w:szCs w:val="24"/>
          <w14:ligatures w14:val="none"/>
        </w:rPr>
        <w:lastRenderedPageBreak/>
        <w:t>与发展情况进行了全面调研，广泛收集和检索</w:t>
      </w:r>
      <w:r w:rsidR="005D3460" w:rsidRPr="00F5019B">
        <w:rPr>
          <w:rFonts w:cs="Times New Roman" w:hint="eastAsia"/>
          <w:szCs w:val="24"/>
          <w14:ligatures w14:val="none"/>
        </w:rPr>
        <w:t>相关技术文献、政策法规及临床实践指南，结合我国临床应用现状，经过系统研究和多次内部讨论</w:t>
      </w:r>
      <w:r w:rsidRPr="00F5019B">
        <w:rPr>
          <w:rFonts w:cs="Times New Roman" w:hint="eastAsia"/>
          <w:szCs w:val="24"/>
          <w14:ligatures w14:val="none"/>
        </w:rPr>
        <w:t>，于</w:t>
      </w:r>
      <w:r w:rsidRPr="00F5019B">
        <w:rPr>
          <w:rFonts w:cs="Times New Roman" w:hint="eastAsia"/>
          <w:szCs w:val="24"/>
          <w14:ligatures w14:val="none"/>
        </w:rPr>
        <w:t>202</w:t>
      </w:r>
      <w:r w:rsidR="005D3460" w:rsidRPr="00F5019B">
        <w:rPr>
          <w:rFonts w:cs="Times New Roman" w:hint="eastAsia"/>
          <w:szCs w:val="24"/>
          <w14:ligatures w14:val="none"/>
        </w:rPr>
        <w:t>5</w:t>
      </w:r>
      <w:r w:rsidRPr="00F5019B">
        <w:rPr>
          <w:rFonts w:cs="Times New Roman" w:hint="eastAsia"/>
          <w:szCs w:val="24"/>
          <w14:ligatures w14:val="none"/>
        </w:rPr>
        <w:t>年</w:t>
      </w:r>
      <w:r w:rsidR="005D3460" w:rsidRPr="00F5019B">
        <w:rPr>
          <w:rFonts w:cs="Times New Roman" w:hint="eastAsia"/>
          <w:szCs w:val="24"/>
          <w14:ligatures w14:val="none"/>
        </w:rPr>
        <w:t>1</w:t>
      </w:r>
      <w:r w:rsidR="005D7E1A">
        <w:rPr>
          <w:rFonts w:cs="Times New Roman" w:hint="eastAsia"/>
          <w:szCs w:val="24"/>
          <w14:ligatures w14:val="none"/>
        </w:rPr>
        <w:t>1</w:t>
      </w:r>
      <w:r w:rsidRPr="00F5019B">
        <w:rPr>
          <w:rFonts w:cs="Times New Roman" w:hint="eastAsia"/>
          <w:szCs w:val="24"/>
          <w14:ligatures w14:val="none"/>
        </w:rPr>
        <w:t>月形成团体标准《</w:t>
      </w:r>
      <w:r w:rsidR="005D3460" w:rsidRPr="00F5019B">
        <w:rPr>
          <w:rFonts w:cs="Times New Roman" w:hint="eastAsia"/>
          <w:szCs w:val="24"/>
          <w14:ligatures w14:val="none"/>
        </w:rPr>
        <w:t>口腔种植与颌面骨缺损修复</w:t>
      </w:r>
      <w:r w:rsidR="005D3460" w:rsidRPr="00F5019B">
        <w:rPr>
          <w:rFonts w:cs="Times New Roman" w:hint="eastAsia"/>
          <w:szCs w:val="24"/>
          <w14:ligatures w14:val="none"/>
        </w:rPr>
        <w:t xml:space="preserve"> </w:t>
      </w:r>
      <w:r w:rsidR="005D3460" w:rsidRPr="00F5019B">
        <w:rPr>
          <w:rFonts w:cs="Times New Roman" w:hint="eastAsia"/>
          <w:szCs w:val="24"/>
          <w14:ligatures w14:val="none"/>
        </w:rPr>
        <w:t>增材制造个性化钛网</w:t>
      </w:r>
      <w:r w:rsidR="005D3460" w:rsidRPr="00F5019B">
        <w:rPr>
          <w:rFonts w:cs="Times New Roman" w:hint="eastAsia"/>
          <w:szCs w:val="24"/>
          <w14:ligatures w14:val="none"/>
        </w:rPr>
        <w:t xml:space="preserve"> </w:t>
      </w:r>
      <w:r w:rsidR="005D3460" w:rsidRPr="00F5019B">
        <w:rPr>
          <w:rFonts w:cs="Times New Roman" w:hint="eastAsia"/>
          <w:szCs w:val="24"/>
          <w14:ligatures w14:val="none"/>
        </w:rPr>
        <w:t>临床操作规程</w:t>
      </w:r>
      <w:r w:rsidRPr="00F5019B">
        <w:rPr>
          <w:rFonts w:cs="Times New Roman" w:hint="eastAsia"/>
          <w:szCs w:val="24"/>
          <w14:ligatures w14:val="none"/>
        </w:rPr>
        <w:t>》征求意见稿及编制说明。</w:t>
      </w:r>
    </w:p>
    <w:p w14:paraId="4850719A" w14:textId="08FBC454" w:rsidR="001654CA" w:rsidRPr="00FF73EB" w:rsidRDefault="00000000">
      <w:pPr>
        <w:spacing w:line="360" w:lineRule="auto"/>
        <w:ind w:firstLineChars="200" w:firstLine="480"/>
      </w:pPr>
      <w:r w:rsidRPr="00FF73EB">
        <w:rPr>
          <w:rFonts w:hint="eastAsia"/>
        </w:rPr>
        <w:t>征求意见阶段：</w:t>
      </w:r>
      <w:r w:rsidR="005D3460" w:rsidRPr="00FF73EB">
        <w:t xml:space="preserve"> </w:t>
      </w:r>
    </w:p>
    <w:p w14:paraId="5122F371" w14:textId="77777777" w:rsidR="001654CA" w:rsidRPr="00FF73EB" w:rsidRDefault="00000000">
      <w:pPr>
        <w:spacing w:line="360" w:lineRule="auto"/>
        <w:ind w:firstLineChars="200" w:firstLine="480"/>
      </w:pPr>
      <w:r w:rsidRPr="00FF73EB">
        <w:rPr>
          <w:rFonts w:hint="eastAsia"/>
        </w:rPr>
        <w:t>审查阶段：</w:t>
      </w:r>
    </w:p>
    <w:p w14:paraId="44E20F5E" w14:textId="77777777" w:rsidR="001654CA" w:rsidRPr="00FF73EB" w:rsidRDefault="00000000">
      <w:pPr>
        <w:spacing w:line="360" w:lineRule="auto"/>
        <w:ind w:firstLineChars="200" w:firstLine="480"/>
      </w:pPr>
      <w:r w:rsidRPr="00FF73EB">
        <w:rPr>
          <w:rFonts w:hint="eastAsia"/>
        </w:rPr>
        <w:t>报批阶段：</w:t>
      </w:r>
    </w:p>
    <w:p w14:paraId="71622041" w14:textId="12326CA6" w:rsidR="001654CA" w:rsidRDefault="00000000" w:rsidP="00F5019B">
      <w:pPr>
        <w:pStyle w:val="2"/>
        <w:spacing w:line="360" w:lineRule="auto"/>
        <w:ind w:firstLine="482"/>
      </w:pPr>
      <w:r>
        <w:rPr>
          <w:rFonts w:hint="eastAsia"/>
        </w:rPr>
        <w:t>4</w:t>
      </w:r>
      <w:r>
        <w:rPr>
          <w:rFonts w:hint="eastAsia"/>
        </w:rPr>
        <w:t>．</w:t>
      </w:r>
      <w:r w:rsidR="00802EDB">
        <w:rPr>
          <w:rFonts w:hint="eastAsia"/>
        </w:rPr>
        <w:t>标准主要起草人</w:t>
      </w:r>
      <w:r>
        <w:rPr>
          <w:rFonts w:hint="eastAsia"/>
        </w:rPr>
        <w:t>及</w:t>
      </w:r>
      <w:r w:rsidR="00802EDB">
        <w:rPr>
          <w:rFonts w:hint="eastAsia"/>
        </w:rPr>
        <w:t>其</w:t>
      </w:r>
      <w:r>
        <w:rPr>
          <w:rFonts w:hint="eastAsia"/>
        </w:rPr>
        <w:t>所做的工作等</w:t>
      </w:r>
    </w:p>
    <w:tbl>
      <w:tblPr>
        <w:tblStyle w:val="af2"/>
        <w:tblW w:w="9209" w:type="dxa"/>
        <w:jc w:val="center"/>
        <w:tblLook w:val="04A0" w:firstRow="1" w:lastRow="0" w:firstColumn="1" w:lastColumn="0" w:noHBand="0" w:noVBand="1"/>
      </w:tblPr>
      <w:tblGrid>
        <w:gridCol w:w="653"/>
        <w:gridCol w:w="2763"/>
        <w:gridCol w:w="2958"/>
        <w:gridCol w:w="2835"/>
      </w:tblGrid>
      <w:tr w:rsidR="00F5019B" w14:paraId="7D64E49F" w14:textId="77777777" w:rsidTr="00946BDC">
        <w:trPr>
          <w:trHeight w:val="377"/>
          <w:jc w:val="center"/>
        </w:trPr>
        <w:tc>
          <w:tcPr>
            <w:tcW w:w="653" w:type="dxa"/>
            <w:vAlign w:val="center"/>
          </w:tcPr>
          <w:p w14:paraId="79975889" w14:textId="77777777" w:rsidR="00F5019B" w:rsidRDefault="00F5019B" w:rsidP="00C611D9">
            <w:pPr>
              <w:autoSpaceDE w:val="0"/>
              <w:autoSpaceDN w:val="0"/>
              <w:adjustRightInd w:val="0"/>
              <w:jc w:val="center"/>
              <w:rPr>
                <w:rFonts w:cs="Times New Roman"/>
                <w:b/>
                <w:bCs/>
                <w:szCs w:val="21"/>
              </w:rPr>
            </w:pPr>
            <w:r>
              <w:rPr>
                <w:rFonts w:cs="Times New Roman" w:hint="eastAsia"/>
                <w:b/>
                <w:bCs/>
                <w:sz w:val="21"/>
                <w:szCs w:val="21"/>
              </w:rPr>
              <w:t>序号</w:t>
            </w:r>
          </w:p>
        </w:tc>
        <w:tc>
          <w:tcPr>
            <w:tcW w:w="2763" w:type="dxa"/>
            <w:vAlign w:val="center"/>
          </w:tcPr>
          <w:p w14:paraId="3E2C6EAA" w14:textId="77777777" w:rsidR="00F5019B" w:rsidRDefault="00F5019B" w:rsidP="00C611D9">
            <w:pPr>
              <w:autoSpaceDE w:val="0"/>
              <w:autoSpaceDN w:val="0"/>
              <w:adjustRightInd w:val="0"/>
              <w:jc w:val="center"/>
              <w:rPr>
                <w:rFonts w:cs="Times New Roman"/>
                <w:b/>
                <w:bCs/>
                <w:szCs w:val="21"/>
              </w:rPr>
            </w:pPr>
            <w:r>
              <w:rPr>
                <w:rFonts w:cs="Times New Roman" w:hint="eastAsia"/>
                <w:b/>
                <w:bCs/>
                <w:sz w:val="21"/>
                <w:szCs w:val="21"/>
              </w:rPr>
              <w:t>单位名称</w:t>
            </w:r>
          </w:p>
        </w:tc>
        <w:tc>
          <w:tcPr>
            <w:tcW w:w="2958" w:type="dxa"/>
            <w:vAlign w:val="center"/>
          </w:tcPr>
          <w:p w14:paraId="499E4301" w14:textId="77777777" w:rsidR="00F5019B" w:rsidRDefault="00F5019B" w:rsidP="00C611D9">
            <w:pPr>
              <w:autoSpaceDE w:val="0"/>
              <w:autoSpaceDN w:val="0"/>
              <w:adjustRightInd w:val="0"/>
              <w:jc w:val="center"/>
              <w:rPr>
                <w:rFonts w:cs="Times New Roman"/>
                <w:b/>
                <w:bCs/>
                <w:szCs w:val="21"/>
              </w:rPr>
            </w:pPr>
            <w:r>
              <w:rPr>
                <w:rFonts w:cs="Times New Roman" w:hint="eastAsia"/>
                <w:b/>
                <w:bCs/>
                <w:sz w:val="21"/>
                <w:szCs w:val="21"/>
              </w:rPr>
              <w:t>参编人员</w:t>
            </w:r>
          </w:p>
        </w:tc>
        <w:tc>
          <w:tcPr>
            <w:tcW w:w="2835" w:type="dxa"/>
            <w:vAlign w:val="center"/>
          </w:tcPr>
          <w:p w14:paraId="577D4FA2" w14:textId="77777777" w:rsidR="00F5019B" w:rsidRDefault="00F5019B" w:rsidP="00C611D9">
            <w:pPr>
              <w:autoSpaceDE w:val="0"/>
              <w:autoSpaceDN w:val="0"/>
              <w:adjustRightInd w:val="0"/>
              <w:jc w:val="center"/>
              <w:rPr>
                <w:rFonts w:cs="Times New Roman"/>
                <w:b/>
                <w:bCs/>
                <w:szCs w:val="21"/>
              </w:rPr>
            </w:pPr>
            <w:r>
              <w:rPr>
                <w:rFonts w:cs="Times New Roman" w:hint="eastAsia"/>
                <w:b/>
                <w:bCs/>
                <w:sz w:val="21"/>
                <w:szCs w:val="21"/>
              </w:rPr>
              <w:t>主要工作内容</w:t>
            </w:r>
          </w:p>
        </w:tc>
      </w:tr>
      <w:tr w:rsidR="00F5019B" w14:paraId="3CC4BC77" w14:textId="77777777" w:rsidTr="00946BDC">
        <w:trPr>
          <w:trHeight w:val="799"/>
          <w:jc w:val="center"/>
        </w:trPr>
        <w:tc>
          <w:tcPr>
            <w:tcW w:w="653" w:type="dxa"/>
            <w:vAlign w:val="center"/>
          </w:tcPr>
          <w:p w14:paraId="22A3A1BF" w14:textId="77777777" w:rsidR="00F5019B" w:rsidRDefault="00F5019B" w:rsidP="00C611D9">
            <w:pPr>
              <w:autoSpaceDE w:val="0"/>
              <w:autoSpaceDN w:val="0"/>
              <w:adjustRightInd w:val="0"/>
              <w:jc w:val="center"/>
              <w:rPr>
                <w:rFonts w:cs="Times New Roman"/>
                <w:szCs w:val="21"/>
              </w:rPr>
            </w:pPr>
            <w:r>
              <w:rPr>
                <w:rFonts w:cs="Times New Roman" w:hint="eastAsia"/>
                <w:sz w:val="21"/>
                <w:szCs w:val="21"/>
              </w:rPr>
              <w:t>1</w:t>
            </w:r>
          </w:p>
        </w:tc>
        <w:tc>
          <w:tcPr>
            <w:tcW w:w="2763" w:type="dxa"/>
            <w:vAlign w:val="center"/>
          </w:tcPr>
          <w:p w14:paraId="7A80EB22" w14:textId="77777777" w:rsidR="00F5019B" w:rsidRDefault="00F5019B" w:rsidP="00C611D9">
            <w:pPr>
              <w:autoSpaceDE w:val="0"/>
              <w:autoSpaceDN w:val="0"/>
              <w:adjustRightInd w:val="0"/>
              <w:jc w:val="center"/>
              <w:rPr>
                <w:rFonts w:cs="Times New Roman"/>
                <w:szCs w:val="21"/>
              </w:rPr>
            </w:pPr>
            <w:r>
              <w:rPr>
                <w:rFonts w:cs="Times New Roman"/>
                <w:sz w:val="21"/>
                <w:szCs w:val="21"/>
              </w:rPr>
              <w:t>四川大学华西口腔医院</w:t>
            </w:r>
          </w:p>
        </w:tc>
        <w:tc>
          <w:tcPr>
            <w:tcW w:w="2958" w:type="dxa"/>
            <w:vAlign w:val="center"/>
          </w:tcPr>
          <w:p w14:paraId="3EC973E2" w14:textId="36B2B1DB" w:rsidR="00F5019B" w:rsidRDefault="00F5019B" w:rsidP="00C611D9">
            <w:pPr>
              <w:autoSpaceDE w:val="0"/>
              <w:autoSpaceDN w:val="0"/>
              <w:adjustRightInd w:val="0"/>
              <w:jc w:val="center"/>
              <w:rPr>
                <w:rFonts w:cs="Times New Roman"/>
                <w:szCs w:val="21"/>
              </w:rPr>
            </w:pPr>
            <w:r w:rsidRPr="00F5019B">
              <w:rPr>
                <w:rFonts w:cs="Times New Roman" w:hint="eastAsia"/>
                <w:sz w:val="21"/>
                <w:szCs w:val="21"/>
              </w:rPr>
              <w:t>蔡潇潇、田陶然、林云锋、李松航、张天旭、周蜜、高阳</w:t>
            </w:r>
          </w:p>
        </w:tc>
        <w:tc>
          <w:tcPr>
            <w:tcW w:w="2835" w:type="dxa"/>
            <w:vAlign w:val="center"/>
          </w:tcPr>
          <w:p w14:paraId="516F7ABE" w14:textId="77777777" w:rsidR="00F5019B" w:rsidRDefault="00F5019B" w:rsidP="00C611D9">
            <w:pPr>
              <w:autoSpaceDE w:val="0"/>
              <w:autoSpaceDN w:val="0"/>
              <w:adjustRightInd w:val="0"/>
              <w:jc w:val="center"/>
              <w:rPr>
                <w:rFonts w:cs="Times New Roman"/>
                <w:szCs w:val="21"/>
              </w:rPr>
            </w:pPr>
            <w:r>
              <w:rPr>
                <w:rFonts w:cs="Times New Roman" w:hint="eastAsia"/>
                <w:sz w:val="21"/>
                <w:szCs w:val="21"/>
              </w:rPr>
              <w:t>标准草案编制、统筹协调等</w:t>
            </w:r>
          </w:p>
        </w:tc>
      </w:tr>
      <w:tr w:rsidR="00F5019B" w14:paraId="49853548" w14:textId="77777777" w:rsidTr="00946BDC">
        <w:trPr>
          <w:trHeight w:val="308"/>
          <w:jc w:val="center"/>
        </w:trPr>
        <w:tc>
          <w:tcPr>
            <w:tcW w:w="653" w:type="dxa"/>
            <w:vAlign w:val="center"/>
          </w:tcPr>
          <w:p w14:paraId="627EFB38" w14:textId="77777777" w:rsidR="00F5019B" w:rsidRDefault="00F5019B" w:rsidP="00C611D9">
            <w:pPr>
              <w:autoSpaceDE w:val="0"/>
              <w:autoSpaceDN w:val="0"/>
              <w:adjustRightInd w:val="0"/>
              <w:jc w:val="center"/>
              <w:rPr>
                <w:rFonts w:cs="Times New Roman"/>
                <w:szCs w:val="21"/>
              </w:rPr>
            </w:pPr>
            <w:r>
              <w:rPr>
                <w:rFonts w:cs="Times New Roman" w:hint="eastAsia"/>
                <w:sz w:val="21"/>
                <w:szCs w:val="21"/>
              </w:rPr>
              <w:t>2</w:t>
            </w:r>
          </w:p>
        </w:tc>
        <w:tc>
          <w:tcPr>
            <w:tcW w:w="2763" w:type="dxa"/>
            <w:vAlign w:val="center"/>
          </w:tcPr>
          <w:p w14:paraId="3C7872F4" w14:textId="72959083" w:rsidR="00F5019B" w:rsidRDefault="00F5019B" w:rsidP="00C611D9">
            <w:pPr>
              <w:autoSpaceDE w:val="0"/>
              <w:autoSpaceDN w:val="0"/>
              <w:adjustRightInd w:val="0"/>
              <w:jc w:val="center"/>
              <w:rPr>
                <w:rFonts w:cs="Times New Roman"/>
                <w:szCs w:val="21"/>
              </w:rPr>
            </w:pPr>
            <w:r w:rsidRPr="00F5019B">
              <w:rPr>
                <w:rFonts w:cs="Times New Roman" w:hint="eastAsia"/>
                <w:sz w:val="21"/>
                <w:szCs w:val="21"/>
              </w:rPr>
              <w:t>成都天齐增材智造有限责任公司</w:t>
            </w:r>
          </w:p>
        </w:tc>
        <w:tc>
          <w:tcPr>
            <w:tcW w:w="2958" w:type="dxa"/>
            <w:vAlign w:val="center"/>
          </w:tcPr>
          <w:p w14:paraId="73DECBC9" w14:textId="6D784283" w:rsidR="00F5019B" w:rsidRDefault="00F5019B" w:rsidP="00C611D9">
            <w:pPr>
              <w:autoSpaceDE w:val="0"/>
              <w:autoSpaceDN w:val="0"/>
              <w:adjustRightInd w:val="0"/>
              <w:jc w:val="center"/>
              <w:rPr>
                <w:rFonts w:cs="Times New Roman"/>
                <w:szCs w:val="21"/>
              </w:rPr>
            </w:pPr>
            <w:r w:rsidRPr="00F5019B">
              <w:rPr>
                <w:rFonts w:cs="Times New Roman" w:hint="eastAsia"/>
                <w:sz w:val="21"/>
                <w:szCs w:val="21"/>
              </w:rPr>
              <w:t>刘睿诚、张越</w:t>
            </w:r>
          </w:p>
        </w:tc>
        <w:tc>
          <w:tcPr>
            <w:tcW w:w="2835" w:type="dxa"/>
            <w:vAlign w:val="center"/>
          </w:tcPr>
          <w:p w14:paraId="453CD35B" w14:textId="6A33FF65" w:rsidR="00F5019B" w:rsidRDefault="00F5019B" w:rsidP="00C611D9">
            <w:pPr>
              <w:autoSpaceDE w:val="0"/>
              <w:autoSpaceDN w:val="0"/>
              <w:adjustRightInd w:val="0"/>
              <w:jc w:val="center"/>
              <w:rPr>
                <w:rFonts w:cs="Times New Roman"/>
                <w:szCs w:val="21"/>
              </w:rPr>
            </w:pPr>
            <w:r>
              <w:rPr>
                <w:rFonts w:cs="Times New Roman" w:hint="eastAsia"/>
                <w:sz w:val="21"/>
                <w:szCs w:val="21"/>
              </w:rPr>
              <w:t>提供数据、技术合作等</w:t>
            </w:r>
          </w:p>
        </w:tc>
      </w:tr>
      <w:tr w:rsidR="00F5019B" w14:paraId="1CFBBB3B" w14:textId="77777777" w:rsidTr="00946BDC">
        <w:trPr>
          <w:trHeight w:val="227"/>
          <w:jc w:val="center"/>
        </w:trPr>
        <w:tc>
          <w:tcPr>
            <w:tcW w:w="653" w:type="dxa"/>
            <w:vAlign w:val="center"/>
          </w:tcPr>
          <w:p w14:paraId="1659E23A" w14:textId="77777777" w:rsidR="00F5019B" w:rsidRDefault="00F5019B" w:rsidP="00C611D9">
            <w:pPr>
              <w:autoSpaceDE w:val="0"/>
              <w:autoSpaceDN w:val="0"/>
              <w:adjustRightInd w:val="0"/>
              <w:jc w:val="center"/>
              <w:rPr>
                <w:rFonts w:cs="Times New Roman"/>
                <w:szCs w:val="21"/>
              </w:rPr>
            </w:pPr>
            <w:r>
              <w:rPr>
                <w:rFonts w:cs="Times New Roman" w:hint="eastAsia"/>
                <w:sz w:val="21"/>
                <w:szCs w:val="21"/>
              </w:rPr>
              <w:t>3</w:t>
            </w:r>
          </w:p>
        </w:tc>
        <w:tc>
          <w:tcPr>
            <w:tcW w:w="2763" w:type="dxa"/>
            <w:vAlign w:val="center"/>
          </w:tcPr>
          <w:p w14:paraId="11488119" w14:textId="087938CA" w:rsidR="00F5019B" w:rsidRDefault="00F5019B" w:rsidP="00C611D9">
            <w:pPr>
              <w:autoSpaceDE w:val="0"/>
              <w:autoSpaceDN w:val="0"/>
              <w:adjustRightInd w:val="0"/>
              <w:jc w:val="center"/>
              <w:rPr>
                <w:rFonts w:cs="Times New Roman"/>
                <w:szCs w:val="21"/>
              </w:rPr>
            </w:pPr>
            <w:r w:rsidRPr="00F5019B">
              <w:rPr>
                <w:rFonts w:cs="Times New Roman" w:hint="eastAsia"/>
                <w:sz w:val="21"/>
                <w:szCs w:val="21"/>
              </w:rPr>
              <w:t>重庆医科大学附属口腔医院</w:t>
            </w:r>
          </w:p>
        </w:tc>
        <w:tc>
          <w:tcPr>
            <w:tcW w:w="2958" w:type="dxa"/>
            <w:vAlign w:val="center"/>
          </w:tcPr>
          <w:p w14:paraId="258D4E23" w14:textId="2FF8FE37" w:rsidR="00F5019B" w:rsidRDefault="00F5019B" w:rsidP="00C611D9">
            <w:pPr>
              <w:autoSpaceDE w:val="0"/>
              <w:autoSpaceDN w:val="0"/>
              <w:adjustRightInd w:val="0"/>
              <w:jc w:val="center"/>
              <w:rPr>
                <w:rFonts w:cs="Times New Roman"/>
                <w:szCs w:val="21"/>
              </w:rPr>
            </w:pPr>
            <w:r w:rsidRPr="00F5019B">
              <w:rPr>
                <w:rFonts w:cs="Times New Roman" w:hint="eastAsia"/>
                <w:sz w:val="21"/>
                <w:szCs w:val="21"/>
              </w:rPr>
              <w:t>黄元丁、黄弘</w:t>
            </w:r>
          </w:p>
        </w:tc>
        <w:tc>
          <w:tcPr>
            <w:tcW w:w="2835" w:type="dxa"/>
            <w:vAlign w:val="center"/>
          </w:tcPr>
          <w:p w14:paraId="38FB5514" w14:textId="06EB59E2" w:rsidR="00F5019B" w:rsidRDefault="00F5019B" w:rsidP="00C611D9">
            <w:pPr>
              <w:autoSpaceDE w:val="0"/>
              <w:autoSpaceDN w:val="0"/>
              <w:adjustRightInd w:val="0"/>
              <w:jc w:val="center"/>
              <w:rPr>
                <w:rFonts w:cs="Times New Roman"/>
                <w:szCs w:val="21"/>
              </w:rPr>
            </w:pPr>
            <w:r>
              <w:rPr>
                <w:rFonts w:cs="Times New Roman" w:hint="eastAsia"/>
                <w:sz w:val="21"/>
                <w:szCs w:val="21"/>
              </w:rPr>
              <w:t>资料查询、标准修改等</w:t>
            </w:r>
          </w:p>
        </w:tc>
      </w:tr>
      <w:tr w:rsidR="00F5019B" w14:paraId="2892E6C5" w14:textId="77777777" w:rsidTr="00946BDC">
        <w:trPr>
          <w:trHeight w:val="227"/>
          <w:jc w:val="center"/>
        </w:trPr>
        <w:tc>
          <w:tcPr>
            <w:tcW w:w="653" w:type="dxa"/>
            <w:vAlign w:val="center"/>
          </w:tcPr>
          <w:p w14:paraId="004A8D8B" w14:textId="77777777" w:rsidR="00F5019B" w:rsidRDefault="00F5019B" w:rsidP="00C611D9">
            <w:pPr>
              <w:autoSpaceDE w:val="0"/>
              <w:autoSpaceDN w:val="0"/>
              <w:adjustRightInd w:val="0"/>
              <w:jc w:val="center"/>
              <w:rPr>
                <w:rFonts w:cs="Times New Roman"/>
                <w:szCs w:val="21"/>
              </w:rPr>
            </w:pPr>
            <w:r>
              <w:rPr>
                <w:rFonts w:cs="Times New Roman" w:hint="eastAsia"/>
                <w:sz w:val="21"/>
                <w:szCs w:val="21"/>
              </w:rPr>
              <w:t>4</w:t>
            </w:r>
          </w:p>
        </w:tc>
        <w:tc>
          <w:tcPr>
            <w:tcW w:w="2763" w:type="dxa"/>
            <w:vAlign w:val="center"/>
          </w:tcPr>
          <w:p w14:paraId="4724CF6F" w14:textId="4456CB18" w:rsidR="00F5019B" w:rsidRDefault="00F5019B" w:rsidP="00C611D9">
            <w:pPr>
              <w:autoSpaceDE w:val="0"/>
              <w:autoSpaceDN w:val="0"/>
              <w:adjustRightInd w:val="0"/>
              <w:jc w:val="center"/>
              <w:rPr>
                <w:rFonts w:cs="Times New Roman"/>
                <w:szCs w:val="21"/>
              </w:rPr>
            </w:pPr>
            <w:r w:rsidRPr="00F5019B">
              <w:rPr>
                <w:rFonts w:cs="Times New Roman" w:hint="eastAsia"/>
                <w:sz w:val="21"/>
                <w:szCs w:val="21"/>
              </w:rPr>
              <w:t>西南医科大学附属口腔医院</w:t>
            </w:r>
          </w:p>
        </w:tc>
        <w:tc>
          <w:tcPr>
            <w:tcW w:w="2958" w:type="dxa"/>
            <w:vAlign w:val="center"/>
          </w:tcPr>
          <w:p w14:paraId="6A36A92B" w14:textId="01640BF4" w:rsidR="00F5019B" w:rsidRDefault="00F5019B" w:rsidP="00C611D9">
            <w:pPr>
              <w:autoSpaceDE w:val="0"/>
              <w:autoSpaceDN w:val="0"/>
              <w:adjustRightInd w:val="0"/>
              <w:jc w:val="center"/>
              <w:rPr>
                <w:rFonts w:cs="Times New Roman"/>
                <w:szCs w:val="21"/>
              </w:rPr>
            </w:pPr>
            <w:r w:rsidRPr="00F5019B">
              <w:rPr>
                <w:rFonts w:cs="Times New Roman" w:hint="eastAsia"/>
                <w:sz w:val="21"/>
                <w:szCs w:val="21"/>
              </w:rPr>
              <w:t>肖金刚、余科</w:t>
            </w:r>
          </w:p>
        </w:tc>
        <w:tc>
          <w:tcPr>
            <w:tcW w:w="2835" w:type="dxa"/>
            <w:vAlign w:val="center"/>
          </w:tcPr>
          <w:p w14:paraId="4E04C8A9" w14:textId="7E02AB8D" w:rsidR="00F5019B" w:rsidRDefault="00F5019B" w:rsidP="00C611D9">
            <w:pPr>
              <w:autoSpaceDE w:val="0"/>
              <w:autoSpaceDN w:val="0"/>
              <w:adjustRightInd w:val="0"/>
              <w:jc w:val="center"/>
              <w:rPr>
                <w:rFonts w:cs="Times New Roman"/>
                <w:szCs w:val="21"/>
              </w:rPr>
            </w:pPr>
            <w:r>
              <w:rPr>
                <w:rFonts w:cs="Times New Roman" w:hint="eastAsia"/>
                <w:sz w:val="21"/>
                <w:szCs w:val="21"/>
              </w:rPr>
              <w:t>资料查询、标准修改等</w:t>
            </w:r>
          </w:p>
        </w:tc>
      </w:tr>
    </w:tbl>
    <w:p w14:paraId="2C41F66C" w14:textId="09FBC5CC" w:rsidR="00F5019B" w:rsidRDefault="00F5019B" w:rsidP="00F5019B">
      <w:pPr>
        <w:pStyle w:val="1"/>
        <w:spacing w:line="360" w:lineRule="auto"/>
      </w:pPr>
      <w:r w:rsidRPr="00F5019B">
        <w:rPr>
          <w:rFonts w:hint="eastAsia"/>
        </w:rPr>
        <w:t>二、标准编制原则、主要内容和解决的主要问题</w:t>
      </w:r>
    </w:p>
    <w:p w14:paraId="44C983A9" w14:textId="2539B55F" w:rsidR="00BA2CE7" w:rsidRDefault="00BA2CE7" w:rsidP="00BA2CE7">
      <w:pPr>
        <w:pStyle w:val="2"/>
        <w:spacing w:line="360" w:lineRule="auto"/>
        <w:ind w:firstLine="482"/>
      </w:pPr>
      <w:bookmarkStart w:id="3" w:name="OLE_LINK1"/>
      <w:r>
        <w:rPr>
          <w:rFonts w:hint="eastAsia"/>
        </w:rPr>
        <w:t>1</w:t>
      </w:r>
      <w:r>
        <w:rPr>
          <w:rFonts w:hint="eastAsia"/>
        </w:rPr>
        <w:t>．</w:t>
      </w:r>
      <w:bookmarkEnd w:id="3"/>
      <w:r>
        <w:rPr>
          <w:rFonts w:hint="eastAsia"/>
        </w:rPr>
        <w:t>标准编制原则</w:t>
      </w:r>
    </w:p>
    <w:p w14:paraId="61BB7016" w14:textId="77777777" w:rsidR="00C74387" w:rsidRDefault="00C74387" w:rsidP="00C74387">
      <w:pPr>
        <w:autoSpaceDE w:val="0"/>
        <w:autoSpaceDN w:val="0"/>
        <w:adjustRightInd w:val="0"/>
        <w:spacing w:line="360" w:lineRule="auto"/>
        <w:ind w:firstLineChars="200" w:firstLine="480"/>
        <w:rPr>
          <w:rFonts w:cs="Times New Roman"/>
          <w:szCs w:val="24"/>
        </w:rPr>
      </w:pPr>
      <w:r>
        <w:rPr>
          <w:rFonts w:cs="Times New Roman"/>
          <w:szCs w:val="24"/>
        </w:rPr>
        <w:t>本标准编制主要依据以下原则：规范性要素的规定、编写结构及格式按</w:t>
      </w:r>
      <w:r>
        <w:rPr>
          <w:rFonts w:cs="Times New Roman"/>
          <w:szCs w:val="24"/>
        </w:rPr>
        <w:t>GB/T 1.1-2020</w:t>
      </w:r>
      <w:r>
        <w:rPr>
          <w:rFonts w:cs="Times New Roman"/>
          <w:szCs w:val="24"/>
        </w:rPr>
        <w:t>《标准化工作导则</w:t>
      </w:r>
      <w:r>
        <w:rPr>
          <w:rFonts w:cs="Times New Roman"/>
          <w:szCs w:val="24"/>
        </w:rPr>
        <w:t xml:space="preserve">  </w:t>
      </w:r>
      <w:r>
        <w:rPr>
          <w:rFonts w:cs="Times New Roman"/>
          <w:szCs w:val="24"/>
        </w:rPr>
        <w:t>第</w:t>
      </w:r>
      <w:r>
        <w:rPr>
          <w:rFonts w:cs="Times New Roman"/>
          <w:szCs w:val="24"/>
        </w:rPr>
        <w:t>1</w:t>
      </w:r>
      <w:r>
        <w:rPr>
          <w:rFonts w:cs="Times New Roman"/>
          <w:szCs w:val="24"/>
        </w:rPr>
        <w:t>部分：标准化文件的结构和起草规则》及</w:t>
      </w:r>
      <w:r>
        <w:rPr>
          <w:rFonts w:cs="Times New Roman"/>
          <w:szCs w:val="24"/>
        </w:rPr>
        <w:t>GB/T 1.1-20001.6-2017</w:t>
      </w:r>
      <w:r>
        <w:rPr>
          <w:rFonts w:cs="Times New Roman"/>
          <w:szCs w:val="24"/>
        </w:rPr>
        <w:t>《标准编写编程</w:t>
      </w:r>
      <w:r>
        <w:rPr>
          <w:rFonts w:cs="Times New Roman"/>
          <w:szCs w:val="24"/>
        </w:rPr>
        <w:t xml:space="preserve">  </w:t>
      </w:r>
      <w:r>
        <w:rPr>
          <w:rFonts w:cs="Times New Roman"/>
          <w:szCs w:val="24"/>
        </w:rPr>
        <w:t>第六部分：规程标准》的规定。</w:t>
      </w:r>
    </w:p>
    <w:p w14:paraId="11912B4C" w14:textId="2319884B" w:rsidR="00C74387" w:rsidRDefault="00BA2CE7" w:rsidP="00C74387">
      <w:pPr>
        <w:pStyle w:val="2"/>
        <w:spacing w:line="360" w:lineRule="auto"/>
        <w:ind w:firstLine="482"/>
      </w:pPr>
      <w:r>
        <w:rPr>
          <w:rFonts w:hint="eastAsia"/>
        </w:rPr>
        <w:t>2</w:t>
      </w:r>
      <w:r>
        <w:rPr>
          <w:rFonts w:hint="eastAsia"/>
        </w:rPr>
        <w:t>．</w:t>
      </w:r>
      <w:r w:rsidR="00C74387">
        <w:rPr>
          <w:rFonts w:hint="eastAsia"/>
        </w:rPr>
        <w:t>标准主要内容</w:t>
      </w:r>
    </w:p>
    <w:p w14:paraId="5E08B4A5" w14:textId="77777777" w:rsidR="00C74387" w:rsidRDefault="00C74387" w:rsidP="00C74387">
      <w:pPr>
        <w:autoSpaceDE w:val="0"/>
        <w:autoSpaceDN w:val="0"/>
        <w:adjustRightInd w:val="0"/>
        <w:spacing w:line="360" w:lineRule="auto"/>
        <w:ind w:firstLineChars="200" w:firstLine="480"/>
        <w:rPr>
          <w:rFonts w:cs="Times New Roman"/>
          <w:szCs w:val="24"/>
        </w:rPr>
      </w:pPr>
      <w:r w:rsidRPr="00C74387">
        <w:rPr>
          <w:rFonts w:cs="Times New Roman" w:hint="eastAsia"/>
          <w:szCs w:val="24"/>
        </w:rPr>
        <w:t>本文件确立了数字化增材制造个性化钛网在口腔种植与颌面骨缺损修复的临床应用程序，规定了适应证与禁忌证评估、信息采集、虚拟设计、增材制造、手术实施、术后管理与随访和钛网取出的要求。</w:t>
      </w:r>
    </w:p>
    <w:p w14:paraId="11FA26EB" w14:textId="7861E12F" w:rsidR="00C74387" w:rsidRPr="00C74387" w:rsidRDefault="00C74387" w:rsidP="00C74387">
      <w:pPr>
        <w:autoSpaceDE w:val="0"/>
        <w:autoSpaceDN w:val="0"/>
        <w:adjustRightInd w:val="0"/>
        <w:spacing w:line="360" w:lineRule="auto"/>
        <w:ind w:firstLineChars="200" w:firstLine="480"/>
        <w:rPr>
          <w:rFonts w:cs="Times New Roman"/>
          <w:szCs w:val="24"/>
        </w:rPr>
      </w:pPr>
      <w:r w:rsidRPr="00C74387">
        <w:rPr>
          <w:rFonts w:cs="Times New Roman" w:hint="eastAsia"/>
          <w:szCs w:val="24"/>
        </w:rPr>
        <w:t>本文件适用于开展口腔种植及颌面骨缺损修复治疗的各级医疗机构、参与个性化钛网设计与制造的企业及相关技术人员。</w:t>
      </w:r>
    </w:p>
    <w:p w14:paraId="44B3C5A9" w14:textId="77777777" w:rsidR="00C74387" w:rsidRPr="00C74387" w:rsidRDefault="00C74387" w:rsidP="00C74387">
      <w:pPr>
        <w:autoSpaceDE w:val="0"/>
        <w:autoSpaceDN w:val="0"/>
        <w:adjustRightInd w:val="0"/>
        <w:spacing w:line="360" w:lineRule="auto"/>
        <w:ind w:firstLineChars="200" w:firstLine="480"/>
        <w:rPr>
          <w:rFonts w:cs="Times New Roman"/>
          <w:szCs w:val="24"/>
        </w:rPr>
      </w:pPr>
    </w:p>
    <w:p w14:paraId="3FB2B864" w14:textId="65A2ECB0" w:rsidR="00C74387" w:rsidRPr="00C74387" w:rsidRDefault="00C74387" w:rsidP="00C74387">
      <w:pPr>
        <w:autoSpaceDE w:val="0"/>
        <w:autoSpaceDN w:val="0"/>
        <w:adjustRightInd w:val="0"/>
        <w:spacing w:line="360" w:lineRule="auto"/>
        <w:ind w:firstLineChars="200" w:firstLine="480"/>
        <w:rPr>
          <w:rFonts w:cs="Times New Roman"/>
          <w:szCs w:val="24"/>
        </w:rPr>
      </w:pPr>
      <w:r w:rsidRPr="00C74387">
        <w:rPr>
          <w:rFonts w:cs="Times New Roman" w:hint="eastAsia"/>
          <w:szCs w:val="24"/>
        </w:rPr>
        <w:t>标准</w:t>
      </w:r>
      <w:r w:rsidR="00BA2CE7">
        <w:rPr>
          <w:rFonts w:cs="Times New Roman" w:hint="eastAsia"/>
          <w:szCs w:val="24"/>
        </w:rPr>
        <w:t>主要</w:t>
      </w:r>
      <w:r w:rsidRPr="00C74387">
        <w:rPr>
          <w:rFonts w:cs="Times New Roman" w:hint="eastAsia"/>
          <w:szCs w:val="24"/>
        </w:rPr>
        <w:t>内容包括：</w:t>
      </w:r>
    </w:p>
    <w:p w14:paraId="46589F8E" w14:textId="5B6E4A54" w:rsidR="00C74387" w:rsidRPr="005D67E0" w:rsidRDefault="00C74387" w:rsidP="00C74387">
      <w:pPr>
        <w:autoSpaceDE w:val="0"/>
        <w:autoSpaceDN w:val="0"/>
        <w:adjustRightInd w:val="0"/>
        <w:spacing w:line="360" w:lineRule="auto"/>
        <w:ind w:firstLineChars="200" w:firstLine="480"/>
        <w:rPr>
          <w:rFonts w:cs="Times New Roman"/>
          <w:szCs w:val="24"/>
        </w:rPr>
      </w:pPr>
      <w:r w:rsidRPr="005D67E0">
        <w:rPr>
          <w:rFonts w:cs="Times New Roman" w:hint="eastAsia"/>
          <w:szCs w:val="24"/>
        </w:rPr>
        <w:t>（</w:t>
      </w:r>
      <w:r w:rsidRPr="005D67E0">
        <w:rPr>
          <w:rFonts w:cs="Times New Roman" w:hint="eastAsia"/>
          <w:szCs w:val="24"/>
        </w:rPr>
        <w:t>1</w:t>
      </w:r>
      <w:r w:rsidRPr="005D67E0">
        <w:rPr>
          <w:rFonts w:cs="Times New Roman" w:hint="eastAsia"/>
          <w:szCs w:val="24"/>
        </w:rPr>
        <w:t>）术语和定义：明确了数字化增材制造、个性化钛网、引导骨再生等</w:t>
      </w:r>
      <w:r w:rsidRPr="005D67E0">
        <w:rPr>
          <w:rFonts w:cs="Times New Roman" w:hint="eastAsia"/>
          <w:szCs w:val="24"/>
        </w:rPr>
        <w:t>9</w:t>
      </w:r>
      <w:r w:rsidRPr="005D67E0">
        <w:rPr>
          <w:rFonts w:cs="Times New Roman" w:hint="eastAsia"/>
          <w:szCs w:val="24"/>
        </w:rPr>
        <w:t>项关键术语</w:t>
      </w:r>
      <w:r w:rsidR="005D67E0" w:rsidRPr="005D67E0">
        <w:rPr>
          <w:rFonts w:cs="Times New Roman" w:hint="eastAsia"/>
          <w:szCs w:val="24"/>
        </w:rPr>
        <w:t>，</w:t>
      </w:r>
      <w:r w:rsidR="005D67E0" w:rsidRPr="005D67E0">
        <w:rPr>
          <w:rFonts w:cs="Times New Roman"/>
          <w:szCs w:val="24"/>
        </w:rPr>
        <w:t>为技术的规范应用提供统一的概念基础</w:t>
      </w:r>
      <w:r w:rsidRPr="005D67E0">
        <w:rPr>
          <w:rFonts w:cs="Times New Roman" w:hint="eastAsia"/>
          <w:szCs w:val="24"/>
        </w:rPr>
        <w:t>。</w:t>
      </w:r>
    </w:p>
    <w:p w14:paraId="50EDF283" w14:textId="281E12A1" w:rsidR="00C74387" w:rsidRPr="005D67E0" w:rsidRDefault="00C74387" w:rsidP="00C74387">
      <w:pPr>
        <w:autoSpaceDE w:val="0"/>
        <w:autoSpaceDN w:val="0"/>
        <w:adjustRightInd w:val="0"/>
        <w:spacing w:line="360" w:lineRule="auto"/>
        <w:ind w:firstLineChars="200" w:firstLine="480"/>
        <w:rPr>
          <w:rFonts w:cs="Times New Roman"/>
          <w:szCs w:val="24"/>
        </w:rPr>
      </w:pPr>
      <w:r w:rsidRPr="005D67E0">
        <w:rPr>
          <w:rFonts w:cs="Times New Roman" w:hint="eastAsia"/>
          <w:szCs w:val="24"/>
        </w:rPr>
        <w:t>（</w:t>
      </w:r>
      <w:r w:rsidRPr="005D67E0">
        <w:rPr>
          <w:rFonts w:cs="Times New Roman" w:hint="eastAsia"/>
          <w:szCs w:val="24"/>
        </w:rPr>
        <w:t>2</w:t>
      </w:r>
      <w:r w:rsidRPr="005D67E0">
        <w:rPr>
          <w:rFonts w:cs="Times New Roman" w:hint="eastAsia"/>
          <w:szCs w:val="24"/>
        </w:rPr>
        <w:t>）总体要求：</w:t>
      </w:r>
      <w:r w:rsidR="005D67E0" w:rsidRPr="005D67E0">
        <w:rPr>
          <w:rFonts w:cs="Times New Roman"/>
          <w:szCs w:val="24"/>
        </w:rPr>
        <w:t>详细规定了适应证与禁忌证评估的具体条目，包括</w:t>
      </w:r>
      <w:r w:rsidR="005D67E0" w:rsidRPr="005D67E0">
        <w:rPr>
          <w:rFonts w:cs="Times New Roman"/>
          <w:szCs w:val="24"/>
        </w:rPr>
        <w:t>5</w:t>
      </w:r>
      <w:r w:rsidR="005D67E0" w:rsidRPr="005D67E0">
        <w:rPr>
          <w:rFonts w:cs="Times New Roman"/>
          <w:szCs w:val="24"/>
        </w:rPr>
        <w:t>类适应证和</w:t>
      </w:r>
      <w:r w:rsidR="005D67E0" w:rsidRPr="005D67E0">
        <w:rPr>
          <w:rFonts w:cs="Times New Roman"/>
          <w:szCs w:val="24"/>
        </w:rPr>
        <w:t>6</w:t>
      </w:r>
      <w:r w:rsidR="005D67E0" w:rsidRPr="005D67E0">
        <w:rPr>
          <w:rFonts w:cs="Times New Roman"/>
          <w:szCs w:val="24"/>
        </w:rPr>
        <w:t>类禁忌证。明确了技术实施所需的资源与环境要求，涵盖</w:t>
      </w:r>
      <w:r w:rsidR="005D67E0" w:rsidRPr="005D67E0">
        <w:rPr>
          <w:rFonts w:cs="Times New Roman"/>
          <w:szCs w:val="24"/>
        </w:rPr>
        <w:t>CBCT</w:t>
      </w:r>
      <w:r w:rsidR="005D67E0" w:rsidRPr="005D67E0">
        <w:rPr>
          <w:rFonts w:cs="Times New Roman"/>
          <w:szCs w:val="24"/>
        </w:rPr>
        <w:t>、口内扫描仪、三维建模软件等技术设备，钛网固定系统等手术器械，骨移植材料、屏障膜等修复材料，以及麻醉、抗菌等各类药品</w:t>
      </w:r>
      <w:r w:rsidRPr="005D67E0">
        <w:rPr>
          <w:rFonts w:cs="Times New Roman" w:hint="eastAsia"/>
          <w:szCs w:val="24"/>
        </w:rPr>
        <w:t>。</w:t>
      </w:r>
    </w:p>
    <w:p w14:paraId="0C4A22E7" w14:textId="2AA72AE0" w:rsidR="00C74387" w:rsidRPr="005D67E0" w:rsidRDefault="00C74387" w:rsidP="00C74387">
      <w:pPr>
        <w:autoSpaceDE w:val="0"/>
        <w:autoSpaceDN w:val="0"/>
        <w:adjustRightInd w:val="0"/>
        <w:spacing w:line="360" w:lineRule="auto"/>
        <w:ind w:firstLineChars="200" w:firstLine="480"/>
        <w:rPr>
          <w:rFonts w:cs="Times New Roman"/>
          <w:szCs w:val="24"/>
        </w:rPr>
      </w:pPr>
      <w:r w:rsidRPr="005D67E0">
        <w:rPr>
          <w:rFonts w:cs="Times New Roman" w:hint="eastAsia"/>
          <w:szCs w:val="24"/>
        </w:rPr>
        <w:t>（</w:t>
      </w:r>
      <w:r w:rsidR="00946BDC">
        <w:rPr>
          <w:rFonts w:cs="Times New Roman" w:hint="eastAsia"/>
          <w:szCs w:val="24"/>
        </w:rPr>
        <w:t>3</w:t>
      </w:r>
      <w:r w:rsidRPr="005D67E0">
        <w:rPr>
          <w:rFonts w:cs="Times New Roman" w:hint="eastAsia"/>
          <w:szCs w:val="24"/>
        </w:rPr>
        <w:t>）临床操作要求和方法：</w:t>
      </w:r>
      <w:r w:rsidR="00946BDC">
        <w:rPr>
          <w:rFonts w:cs="Times New Roman" w:hint="eastAsia"/>
          <w:szCs w:val="24"/>
        </w:rPr>
        <w:t>以流程图的形式确立了图</w:t>
      </w:r>
      <w:r w:rsidR="00946BDC">
        <w:rPr>
          <w:rFonts w:cs="Times New Roman" w:hint="eastAsia"/>
          <w:szCs w:val="24"/>
        </w:rPr>
        <w:t>1</w:t>
      </w:r>
      <w:r w:rsidR="00946BDC">
        <w:rPr>
          <w:rFonts w:cs="Times New Roman" w:hint="eastAsia"/>
          <w:szCs w:val="24"/>
        </w:rPr>
        <w:t>所示的个性化钛网临床操作流程，并</w:t>
      </w:r>
      <w:r w:rsidR="005D67E0" w:rsidRPr="005D67E0">
        <w:rPr>
          <w:rFonts w:cs="Times New Roman"/>
          <w:szCs w:val="24"/>
        </w:rPr>
        <w:t>详细规定了各环节的具体技术要求。</w:t>
      </w:r>
      <w:r w:rsidR="00946BDC">
        <w:rPr>
          <w:rFonts w:cs="Times New Roman" w:hint="eastAsia"/>
          <w:szCs w:val="24"/>
        </w:rPr>
        <w:t>在术前评估环节，提出了个性化钛网的适应证和禁忌证，并规定了术前采集患者信息的方法和要求。</w:t>
      </w:r>
      <w:r w:rsidR="005D67E0" w:rsidRPr="005D67E0">
        <w:rPr>
          <w:rFonts w:cs="Times New Roman"/>
          <w:szCs w:val="24"/>
        </w:rPr>
        <w:t>在虚拟设计环节，确立了以修复为导向的序列设计流程，包括三维模型重建、理想修复体设计、数据配准融合、虚拟种植体设计、骨增量设计和个性化钛网设计；在增材制造环节，规定了钛网厚度、边缘质量、表面质量等验收标准；在手术实施环节，规范了术前准备、麻醉切口、术区暴露、种植体植入、骨移植材料植入、钛网就位固定、创口关闭等操作细节；在术后管理环节，建立了系统的临床评价和影像学评价体系；在钛网取出环节，明确了取出的临床和影像学标准</w:t>
      </w:r>
      <w:r w:rsidRPr="005D67E0">
        <w:rPr>
          <w:rFonts w:cs="Times New Roman" w:hint="eastAsia"/>
          <w:szCs w:val="24"/>
        </w:rPr>
        <w:t>。</w:t>
      </w:r>
    </w:p>
    <w:p w14:paraId="1329BFDA" w14:textId="5939F209" w:rsidR="00C74387" w:rsidRPr="005D67E0" w:rsidRDefault="00C74387" w:rsidP="00C74387">
      <w:pPr>
        <w:autoSpaceDE w:val="0"/>
        <w:autoSpaceDN w:val="0"/>
        <w:adjustRightInd w:val="0"/>
        <w:spacing w:line="360" w:lineRule="auto"/>
        <w:ind w:firstLineChars="200" w:firstLine="480"/>
        <w:rPr>
          <w:rFonts w:cs="Times New Roman"/>
          <w:szCs w:val="24"/>
        </w:rPr>
      </w:pPr>
      <w:r w:rsidRPr="005D67E0">
        <w:rPr>
          <w:rFonts w:cs="Times New Roman" w:hint="eastAsia"/>
          <w:szCs w:val="24"/>
        </w:rPr>
        <w:t>（</w:t>
      </w:r>
      <w:r w:rsidR="00946BDC">
        <w:rPr>
          <w:rFonts w:cs="Times New Roman" w:hint="eastAsia"/>
          <w:szCs w:val="24"/>
        </w:rPr>
        <w:t>4</w:t>
      </w:r>
      <w:r w:rsidRPr="005D67E0">
        <w:rPr>
          <w:rFonts w:cs="Times New Roman" w:hint="eastAsia"/>
          <w:szCs w:val="24"/>
        </w:rPr>
        <w:t>）常见并发症的预防与处理：</w:t>
      </w:r>
      <w:r w:rsidR="005D67E0" w:rsidRPr="005D67E0">
        <w:rPr>
          <w:rFonts w:cs="Times New Roman"/>
          <w:szCs w:val="24"/>
        </w:rPr>
        <w:t>系统列出了神经损伤、血管损伤、邻牙损伤、钛网变形就位不佳或折断、软组织开裂与钛网暴露、成骨不良与肉芽组织形成、骨移植材料吸收或漏出、软组织撕裂、钛网取出困难</w:t>
      </w:r>
      <w:r w:rsidR="005D67E0" w:rsidRPr="005D67E0">
        <w:rPr>
          <w:rFonts w:cs="Times New Roman" w:hint="eastAsia"/>
          <w:szCs w:val="24"/>
        </w:rPr>
        <w:t>等</w:t>
      </w:r>
      <w:r w:rsidR="005D67E0" w:rsidRPr="005D67E0">
        <w:rPr>
          <w:rFonts w:cs="Times New Roman"/>
          <w:szCs w:val="24"/>
        </w:rPr>
        <w:t>常见并发症，并针对每类并发症提供了具体的预防措施和处理方案</w:t>
      </w:r>
      <w:r w:rsidRPr="005D67E0">
        <w:rPr>
          <w:rFonts w:cs="Times New Roman" w:hint="eastAsia"/>
          <w:szCs w:val="24"/>
        </w:rPr>
        <w:t>。</w:t>
      </w:r>
    </w:p>
    <w:p w14:paraId="41E704EA" w14:textId="6E36D560" w:rsidR="00C74387" w:rsidRPr="005D67E0" w:rsidRDefault="00C74387" w:rsidP="00C74387">
      <w:pPr>
        <w:autoSpaceDE w:val="0"/>
        <w:autoSpaceDN w:val="0"/>
        <w:adjustRightInd w:val="0"/>
        <w:spacing w:line="360" w:lineRule="auto"/>
        <w:ind w:firstLineChars="200" w:firstLine="480"/>
        <w:rPr>
          <w:rFonts w:cs="Times New Roman"/>
          <w:szCs w:val="24"/>
        </w:rPr>
      </w:pPr>
      <w:r w:rsidRPr="005D67E0">
        <w:rPr>
          <w:rFonts w:cs="Times New Roman" w:hint="eastAsia"/>
          <w:szCs w:val="24"/>
        </w:rPr>
        <w:t>（</w:t>
      </w:r>
      <w:r w:rsidR="00946BDC">
        <w:rPr>
          <w:rFonts w:cs="Times New Roman" w:hint="eastAsia"/>
          <w:szCs w:val="24"/>
        </w:rPr>
        <w:t>5</w:t>
      </w:r>
      <w:r w:rsidRPr="005D67E0">
        <w:rPr>
          <w:rFonts w:cs="Times New Roman" w:hint="eastAsia"/>
          <w:szCs w:val="24"/>
        </w:rPr>
        <w:t>）质量保证：</w:t>
      </w:r>
      <w:r w:rsidR="005D67E0" w:rsidRPr="005D67E0">
        <w:rPr>
          <w:rFonts w:cs="Times New Roman"/>
          <w:szCs w:val="24"/>
        </w:rPr>
        <w:t>建立了覆盖全流程的质量管理体系要求，包括人员资质与培训、文件与记录控制、设备与软件管理、过程质量管理等要素，并在适应证评估、数据采集、虚拟设计、增材制造、手术实施、术后随访、钛网取出等关键环节设置质量控制点，确保技术应用的质量可追溯与持续改进</w:t>
      </w:r>
      <w:r w:rsidRPr="005D67E0">
        <w:rPr>
          <w:rFonts w:cs="Times New Roman" w:hint="eastAsia"/>
          <w:szCs w:val="24"/>
        </w:rPr>
        <w:t>。</w:t>
      </w:r>
    </w:p>
    <w:p w14:paraId="31C80379" w14:textId="613A095A" w:rsidR="005D67E0" w:rsidRDefault="005D67E0" w:rsidP="00C74387">
      <w:pPr>
        <w:autoSpaceDE w:val="0"/>
        <w:autoSpaceDN w:val="0"/>
        <w:adjustRightInd w:val="0"/>
        <w:spacing w:line="360" w:lineRule="auto"/>
        <w:ind w:firstLineChars="200" w:firstLine="480"/>
        <w:rPr>
          <w:rFonts w:cs="Times New Roman"/>
          <w:color w:val="EE0000"/>
          <w:szCs w:val="24"/>
        </w:rPr>
      </w:pPr>
      <w:r>
        <w:rPr>
          <w:noProof/>
        </w:rPr>
        <w:lastRenderedPageBreak/>
        <w:drawing>
          <wp:inline distT="0" distB="0" distL="0" distR="0" wp14:anchorId="0A85BE14" wp14:editId="47D9CCD2">
            <wp:extent cx="5216815" cy="5130141"/>
            <wp:effectExtent l="0" t="0" r="3175" b="0"/>
            <wp:docPr id="14921163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16365" name=""/>
                    <pic:cNvPicPr/>
                  </pic:nvPicPr>
                  <pic:blipFill>
                    <a:blip r:embed="rId9"/>
                    <a:stretch>
                      <a:fillRect/>
                    </a:stretch>
                  </pic:blipFill>
                  <pic:spPr>
                    <a:xfrm>
                      <a:off x="0" y="0"/>
                      <a:ext cx="5233818" cy="5146862"/>
                    </a:xfrm>
                    <a:prstGeom prst="rect">
                      <a:avLst/>
                    </a:prstGeom>
                  </pic:spPr>
                </pic:pic>
              </a:graphicData>
            </a:graphic>
          </wp:inline>
        </w:drawing>
      </w:r>
    </w:p>
    <w:p w14:paraId="0CD44A82" w14:textId="4153A807" w:rsidR="005D67E0" w:rsidRPr="005D67E0" w:rsidRDefault="005D67E0" w:rsidP="005D67E0">
      <w:pPr>
        <w:ind w:firstLine="420"/>
        <w:jc w:val="center"/>
        <w:rPr>
          <w:rFonts w:asciiTheme="minorEastAsia" w:hAnsiTheme="minorEastAsia" w:hint="eastAsia"/>
          <w:color w:val="000000" w:themeColor="text1"/>
        </w:rPr>
      </w:pPr>
      <w:r w:rsidRPr="00295F8D">
        <w:rPr>
          <w:rFonts w:asciiTheme="minorEastAsia" w:hAnsiTheme="minorEastAsia" w:hint="eastAsia"/>
          <w:color w:val="000000" w:themeColor="text1"/>
        </w:rPr>
        <w:t>图</w:t>
      </w:r>
      <w:r w:rsidRPr="00295F8D">
        <w:rPr>
          <w:rFonts w:asciiTheme="minorEastAsia" w:hAnsiTheme="minorEastAsia" w:hint="eastAsia"/>
          <w:color w:val="000000" w:themeColor="text1"/>
        </w:rPr>
        <w:t xml:space="preserve">1 </w:t>
      </w:r>
      <w:r w:rsidRPr="00295F8D">
        <w:rPr>
          <w:rFonts w:asciiTheme="minorEastAsia" w:hAnsiTheme="minorEastAsia" w:hint="eastAsia"/>
          <w:color w:val="000000" w:themeColor="text1"/>
        </w:rPr>
        <w:t>增材制造个性化钛网临床操作流程</w:t>
      </w:r>
    </w:p>
    <w:p w14:paraId="389E7B11" w14:textId="71697638" w:rsidR="00C74387" w:rsidRPr="00C74387" w:rsidRDefault="00BA2CE7" w:rsidP="00C74387">
      <w:pPr>
        <w:pStyle w:val="2"/>
        <w:spacing w:line="360" w:lineRule="auto"/>
        <w:ind w:firstLine="482"/>
      </w:pPr>
      <w:r>
        <w:rPr>
          <w:rFonts w:hint="eastAsia"/>
        </w:rPr>
        <w:t>3</w:t>
      </w:r>
      <w:r>
        <w:rPr>
          <w:rFonts w:hint="eastAsia"/>
        </w:rPr>
        <w:t>．</w:t>
      </w:r>
      <w:r w:rsidR="00C74387" w:rsidRPr="00C74387">
        <w:rPr>
          <w:rFonts w:hint="eastAsia"/>
        </w:rPr>
        <w:t>标准解决的主要问题</w:t>
      </w:r>
    </w:p>
    <w:p w14:paraId="32E40D86" w14:textId="77777777" w:rsidR="00C74387" w:rsidRPr="00C74387" w:rsidRDefault="00C74387" w:rsidP="00C74387">
      <w:pPr>
        <w:autoSpaceDE w:val="0"/>
        <w:autoSpaceDN w:val="0"/>
        <w:adjustRightInd w:val="0"/>
        <w:spacing w:line="360" w:lineRule="auto"/>
        <w:ind w:firstLine="420"/>
        <w:rPr>
          <w:rFonts w:cs="Times New Roman"/>
          <w:szCs w:val="24"/>
        </w:rPr>
      </w:pPr>
      <w:r w:rsidRPr="00C74387">
        <w:rPr>
          <w:rFonts w:cs="Times New Roman" w:hint="eastAsia"/>
          <w:szCs w:val="24"/>
        </w:rPr>
        <w:t>通过制定本标准，旨在解决以下主要问题：</w:t>
      </w:r>
    </w:p>
    <w:p w14:paraId="71E7990E" w14:textId="3C67ADBB" w:rsidR="00C74387" w:rsidRPr="00C74387" w:rsidRDefault="00C74387" w:rsidP="00C74387">
      <w:pPr>
        <w:autoSpaceDE w:val="0"/>
        <w:autoSpaceDN w:val="0"/>
        <w:adjustRightInd w:val="0"/>
        <w:spacing w:line="360" w:lineRule="auto"/>
        <w:ind w:firstLineChars="200" w:firstLine="480"/>
        <w:rPr>
          <w:rFonts w:cs="Times New Roman"/>
          <w:szCs w:val="24"/>
        </w:rPr>
      </w:pPr>
      <w:r w:rsidRPr="00C74387">
        <w:rPr>
          <w:rFonts w:cs="Times New Roman" w:hint="eastAsia"/>
          <w:szCs w:val="24"/>
        </w:rPr>
        <w:t>（</w:t>
      </w:r>
      <w:r w:rsidRPr="00C74387">
        <w:rPr>
          <w:rFonts w:cs="Times New Roman" w:hint="eastAsia"/>
          <w:szCs w:val="24"/>
        </w:rPr>
        <w:t>1</w:t>
      </w:r>
      <w:r w:rsidRPr="00C74387">
        <w:rPr>
          <w:rFonts w:cs="Times New Roman" w:hint="eastAsia"/>
          <w:szCs w:val="24"/>
        </w:rPr>
        <w:t>）解决传统钛网手工弯制精度不足、手术效率低、</w:t>
      </w:r>
      <w:r w:rsidR="005D7E1A">
        <w:rPr>
          <w:rFonts w:cs="Times New Roman" w:hint="eastAsia"/>
          <w:szCs w:val="24"/>
        </w:rPr>
        <w:t>骨增量精度低</w:t>
      </w:r>
      <w:r w:rsidRPr="00C74387">
        <w:rPr>
          <w:rFonts w:cs="Times New Roman" w:hint="eastAsia"/>
          <w:szCs w:val="24"/>
        </w:rPr>
        <w:t>的问题。</w:t>
      </w:r>
    </w:p>
    <w:p w14:paraId="5CE7A3F2" w14:textId="0D861D0B" w:rsidR="00C74387" w:rsidRPr="00C74387" w:rsidRDefault="00C74387" w:rsidP="00C74387">
      <w:pPr>
        <w:autoSpaceDE w:val="0"/>
        <w:autoSpaceDN w:val="0"/>
        <w:adjustRightInd w:val="0"/>
        <w:spacing w:line="360" w:lineRule="auto"/>
        <w:ind w:firstLineChars="200" w:firstLine="480"/>
        <w:rPr>
          <w:rFonts w:cs="Times New Roman"/>
          <w:szCs w:val="24"/>
        </w:rPr>
      </w:pPr>
      <w:r w:rsidRPr="00C74387">
        <w:rPr>
          <w:rFonts w:cs="Times New Roman" w:hint="eastAsia"/>
          <w:szCs w:val="24"/>
        </w:rPr>
        <w:t>（</w:t>
      </w:r>
      <w:r w:rsidRPr="00C74387">
        <w:rPr>
          <w:rFonts w:cs="Times New Roman" w:hint="eastAsia"/>
          <w:szCs w:val="24"/>
        </w:rPr>
        <w:t>2</w:t>
      </w:r>
      <w:r w:rsidRPr="00C74387">
        <w:rPr>
          <w:rFonts w:cs="Times New Roman" w:hint="eastAsia"/>
          <w:szCs w:val="24"/>
        </w:rPr>
        <w:t>）填补数字化增材制造个性化钛网在临床应用缺乏统一技术规范的空白。</w:t>
      </w:r>
    </w:p>
    <w:p w14:paraId="3D89707A" w14:textId="77777777" w:rsidR="00C74387" w:rsidRPr="00C74387" w:rsidRDefault="00C74387" w:rsidP="00C74387">
      <w:pPr>
        <w:autoSpaceDE w:val="0"/>
        <w:autoSpaceDN w:val="0"/>
        <w:adjustRightInd w:val="0"/>
        <w:spacing w:line="360" w:lineRule="auto"/>
        <w:ind w:firstLineChars="200" w:firstLine="480"/>
        <w:rPr>
          <w:rFonts w:cs="Times New Roman"/>
          <w:szCs w:val="24"/>
        </w:rPr>
      </w:pPr>
      <w:r w:rsidRPr="00C74387">
        <w:rPr>
          <w:rFonts w:cs="Times New Roman" w:hint="eastAsia"/>
          <w:szCs w:val="24"/>
        </w:rPr>
        <w:t>（</w:t>
      </w:r>
      <w:r w:rsidRPr="00C74387">
        <w:rPr>
          <w:rFonts w:cs="Times New Roman" w:hint="eastAsia"/>
          <w:szCs w:val="24"/>
        </w:rPr>
        <w:t>3</w:t>
      </w:r>
      <w:r w:rsidRPr="00C74387">
        <w:rPr>
          <w:rFonts w:cs="Times New Roman" w:hint="eastAsia"/>
          <w:szCs w:val="24"/>
        </w:rPr>
        <w:t>）为各级医疗机构及相关企业提供明确、可操作的技术依据，促进该技术的规范化推广和同质化医疗。</w:t>
      </w:r>
    </w:p>
    <w:p w14:paraId="7D81F1C0" w14:textId="5CACD1EF" w:rsidR="00C74387" w:rsidRPr="00C74387" w:rsidRDefault="00C74387" w:rsidP="00C74387">
      <w:pPr>
        <w:autoSpaceDE w:val="0"/>
        <w:autoSpaceDN w:val="0"/>
        <w:adjustRightInd w:val="0"/>
        <w:spacing w:line="360" w:lineRule="auto"/>
        <w:ind w:firstLineChars="200" w:firstLine="480"/>
        <w:rPr>
          <w:rFonts w:cs="Times New Roman"/>
          <w:szCs w:val="24"/>
        </w:rPr>
      </w:pPr>
      <w:r w:rsidRPr="00C74387">
        <w:rPr>
          <w:rFonts w:cs="Times New Roman" w:hint="eastAsia"/>
          <w:szCs w:val="24"/>
        </w:rPr>
        <w:t>（</w:t>
      </w:r>
      <w:r w:rsidRPr="00C74387">
        <w:rPr>
          <w:rFonts w:cs="Times New Roman" w:hint="eastAsia"/>
          <w:szCs w:val="24"/>
        </w:rPr>
        <w:t>4</w:t>
      </w:r>
      <w:r w:rsidRPr="00C74387">
        <w:rPr>
          <w:rFonts w:cs="Times New Roman" w:hint="eastAsia"/>
          <w:szCs w:val="24"/>
        </w:rPr>
        <w:t>）通过标准化的流程和质量控制，提升手术成功率，保障患者安全。</w:t>
      </w:r>
    </w:p>
    <w:p w14:paraId="5C7C46BC" w14:textId="5763B5F8" w:rsidR="001654CA" w:rsidRDefault="00F5019B">
      <w:pPr>
        <w:pStyle w:val="1"/>
        <w:spacing w:line="360" w:lineRule="auto"/>
        <w:rPr>
          <w:color w:val="FF0000"/>
        </w:rPr>
      </w:pPr>
      <w:r>
        <w:rPr>
          <w:rFonts w:hint="eastAsia"/>
        </w:rPr>
        <w:lastRenderedPageBreak/>
        <w:t>三、</w:t>
      </w:r>
      <w:r w:rsidR="00DD7F10" w:rsidRPr="00DD7F10">
        <w:rPr>
          <w:rFonts w:hint="eastAsia"/>
        </w:rPr>
        <w:t>确定标准主要技术内容的论据</w:t>
      </w:r>
    </w:p>
    <w:p w14:paraId="7B154DF4" w14:textId="04784BC7" w:rsidR="00D00512" w:rsidRPr="00C74387" w:rsidRDefault="00A466BD" w:rsidP="00C74387">
      <w:pPr>
        <w:autoSpaceDE w:val="0"/>
        <w:autoSpaceDN w:val="0"/>
        <w:adjustRightInd w:val="0"/>
        <w:spacing w:line="360" w:lineRule="auto"/>
        <w:ind w:firstLineChars="200" w:firstLine="480"/>
        <w:rPr>
          <w:rFonts w:cs="Times New Roman"/>
          <w:szCs w:val="24"/>
        </w:rPr>
      </w:pPr>
      <w:r w:rsidRPr="00C74387">
        <w:rPr>
          <w:rFonts w:cs="Times New Roman"/>
          <w:szCs w:val="24"/>
        </w:rPr>
        <w:t>本标准主要技术内容的确定，是基于口腔颌面外科原理、数字化技术临床实践、国内外相关文献及各起草单位的专家共识，构建了从术前评估到术后随访的完整临床路径。各项技术内容的论据如下：</w:t>
      </w:r>
    </w:p>
    <w:p w14:paraId="26B29482" w14:textId="61EA34B7" w:rsidR="001654CA" w:rsidRDefault="00000000">
      <w:pPr>
        <w:pStyle w:val="2"/>
        <w:spacing w:line="360" w:lineRule="auto"/>
        <w:ind w:firstLine="482"/>
      </w:pPr>
      <w:r>
        <w:rPr>
          <w:rFonts w:hint="eastAsia"/>
        </w:rPr>
        <w:t>1</w:t>
      </w:r>
      <w:r>
        <w:rPr>
          <w:rFonts w:hint="eastAsia"/>
        </w:rPr>
        <w:t>．</w:t>
      </w:r>
      <w:r w:rsidR="00C74387">
        <w:rPr>
          <w:rFonts w:hint="eastAsia"/>
        </w:rPr>
        <w:t>文献</w:t>
      </w:r>
      <w:r w:rsidR="00A466BD">
        <w:rPr>
          <w:rFonts w:hint="eastAsia"/>
        </w:rPr>
        <w:t>论据</w:t>
      </w:r>
    </w:p>
    <w:p w14:paraId="793E55B7" w14:textId="6318E3F6" w:rsidR="00A466BD" w:rsidRPr="00C74387" w:rsidRDefault="00C74387" w:rsidP="00C74387">
      <w:pPr>
        <w:autoSpaceDE w:val="0"/>
        <w:autoSpaceDN w:val="0"/>
        <w:adjustRightInd w:val="0"/>
        <w:spacing w:line="360" w:lineRule="auto"/>
        <w:ind w:firstLineChars="200" w:firstLine="480"/>
        <w:rPr>
          <w:rFonts w:cs="Times New Roman"/>
          <w:szCs w:val="24"/>
        </w:rPr>
      </w:pPr>
      <w:r w:rsidRPr="00C74387">
        <w:rPr>
          <w:rFonts w:cs="Times New Roman" w:hint="eastAsia"/>
          <w:szCs w:val="24"/>
        </w:rPr>
        <w:t>标准技术内容的确定基于对国内外相关领域文献的系统性回顾与分析。主要参考文献（如标准草案中列出的</w:t>
      </w:r>
      <w:r w:rsidRPr="00C74387">
        <w:rPr>
          <w:rFonts w:cs="Times New Roman"/>
          <w:szCs w:val="24"/>
        </w:rPr>
        <w:t>1-</w:t>
      </w:r>
      <w:r w:rsidRPr="00C74387">
        <w:rPr>
          <w:rFonts w:cs="Times New Roman" w:hint="eastAsia"/>
          <w:szCs w:val="24"/>
        </w:rPr>
        <w:t>18</w:t>
      </w:r>
      <w:r w:rsidRPr="00C74387">
        <w:rPr>
          <w:rFonts w:cs="Times New Roman" w:hint="eastAsia"/>
          <w:szCs w:val="24"/>
        </w:rPr>
        <w:t>）涵盖了引导骨再生、个性化钛网设计、增材制造工艺、临床效果评价及并发症处理等方面的最新研究进展和权威共识，确保了标准内容的先进性与科学性。</w:t>
      </w:r>
    </w:p>
    <w:p w14:paraId="3D361511" w14:textId="63118165" w:rsidR="001654CA" w:rsidRDefault="00B914C6" w:rsidP="00290329">
      <w:pPr>
        <w:pStyle w:val="2"/>
        <w:spacing w:line="360" w:lineRule="auto"/>
        <w:ind w:firstLine="482"/>
      </w:pPr>
      <w:r>
        <w:rPr>
          <w:rFonts w:hint="eastAsia"/>
        </w:rPr>
        <w:t>2</w:t>
      </w:r>
      <w:r>
        <w:rPr>
          <w:rFonts w:hint="eastAsia"/>
        </w:rPr>
        <w:t>．</w:t>
      </w:r>
      <w:r w:rsidR="00ED6B96">
        <w:rPr>
          <w:rFonts w:hint="eastAsia"/>
        </w:rPr>
        <w:t>临床实践</w:t>
      </w:r>
      <w:r>
        <w:rPr>
          <w:rFonts w:hint="eastAsia"/>
        </w:rPr>
        <w:t>论据</w:t>
      </w:r>
    </w:p>
    <w:p w14:paraId="00983024" w14:textId="165E6731" w:rsidR="00290329" w:rsidRPr="00F61AD5" w:rsidRDefault="00ED6B96" w:rsidP="00F61AD5">
      <w:pPr>
        <w:autoSpaceDE w:val="0"/>
        <w:autoSpaceDN w:val="0"/>
        <w:adjustRightInd w:val="0"/>
        <w:spacing w:line="360" w:lineRule="auto"/>
        <w:ind w:firstLineChars="200" w:firstLine="480"/>
        <w:rPr>
          <w:rFonts w:cs="Times New Roman"/>
          <w:szCs w:val="24"/>
        </w:rPr>
      </w:pPr>
      <w:r w:rsidRPr="00ED6B96">
        <w:rPr>
          <w:rFonts w:cs="Times New Roman" w:hint="eastAsia"/>
          <w:szCs w:val="24"/>
        </w:rPr>
        <w:t>标准中各操作环节的具体要求、参数和流程设计，均来源于各起草单位大量的临床实践验证和专家经验总结。</w:t>
      </w:r>
      <w:r w:rsidR="00F61AD5" w:rsidRPr="00840B2C">
        <w:rPr>
          <w:rFonts w:cs="Times New Roman"/>
          <w:szCs w:val="24"/>
        </w:rPr>
        <w:t>本标准所确立的技术路线和操作规程已在各起草单位的临床工作中得到广泛应用和验证。通过回顾性分析遵循此规程的临床病例，证实该标准能有效指导临床实践，</w:t>
      </w:r>
      <w:r w:rsidR="00F61AD5" w:rsidRPr="00840B2C">
        <w:rPr>
          <w:rFonts w:cs="Times New Roman" w:hint="eastAsia"/>
          <w:szCs w:val="24"/>
        </w:rPr>
        <w:t>有效提升骨增量精度，</w:t>
      </w:r>
      <w:r w:rsidR="00F61AD5" w:rsidRPr="00840B2C">
        <w:rPr>
          <w:rFonts w:cs="Times New Roman"/>
          <w:szCs w:val="24"/>
        </w:rPr>
        <w:t>提</w:t>
      </w:r>
      <w:r w:rsidR="00F61AD5" w:rsidRPr="00840B2C">
        <w:rPr>
          <w:rFonts w:cs="Times New Roman" w:hint="eastAsia"/>
          <w:szCs w:val="24"/>
        </w:rPr>
        <w:t>高</w:t>
      </w:r>
      <w:r w:rsidR="00F61AD5" w:rsidRPr="00840B2C">
        <w:rPr>
          <w:rFonts w:cs="Times New Roman"/>
          <w:szCs w:val="24"/>
        </w:rPr>
        <w:t>手术效率，降低术后并发症。相关</w:t>
      </w:r>
      <w:r w:rsidR="00F61AD5" w:rsidRPr="00840B2C">
        <w:rPr>
          <w:rFonts w:cs="Times New Roman" w:hint="eastAsia"/>
          <w:szCs w:val="24"/>
        </w:rPr>
        <w:t>临床研究成果</w:t>
      </w:r>
      <w:r w:rsidR="00F61AD5" w:rsidRPr="00840B2C">
        <w:rPr>
          <w:rFonts w:cs="Times New Roman"/>
          <w:szCs w:val="24"/>
        </w:rPr>
        <w:t>已通过学术论文（如</w:t>
      </w:r>
      <w:r w:rsidR="00F61AD5" w:rsidRPr="00C74387">
        <w:rPr>
          <w:rFonts w:cs="Times New Roman" w:hint="eastAsia"/>
          <w:szCs w:val="24"/>
        </w:rPr>
        <w:t>标准草案中</w:t>
      </w:r>
      <w:r w:rsidR="00F61AD5" w:rsidRPr="00840B2C">
        <w:rPr>
          <w:rFonts w:cs="Times New Roman"/>
          <w:szCs w:val="24"/>
        </w:rPr>
        <w:t>参考文献</w:t>
      </w:r>
      <w:r w:rsidR="00F61AD5" w:rsidRPr="00840B2C">
        <w:rPr>
          <w:rFonts w:cs="Times New Roman"/>
          <w:szCs w:val="24"/>
        </w:rPr>
        <w:t>[5, 6]</w:t>
      </w:r>
      <w:r w:rsidR="00F61AD5" w:rsidRPr="00840B2C">
        <w:rPr>
          <w:rFonts w:cs="Times New Roman"/>
          <w:szCs w:val="24"/>
        </w:rPr>
        <w:t>）的形式发表</w:t>
      </w:r>
      <w:r w:rsidR="00F61AD5" w:rsidRPr="00840B2C">
        <w:rPr>
          <w:rFonts w:cs="Times New Roman" w:hint="eastAsia"/>
          <w:szCs w:val="24"/>
        </w:rPr>
        <w:t>在口腔种植学相关期刊</w:t>
      </w:r>
      <w:r w:rsidR="00F61AD5" w:rsidRPr="00840B2C">
        <w:rPr>
          <w:rFonts w:cs="Times New Roman"/>
          <w:szCs w:val="24"/>
        </w:rPr>
        <w:t>，证明了</w:t>
      </w:r>
      <w:r w:rsidR="00F61AD5" w:rsidRPr="00840B2C">
        <w:rPr>
          <w:rFonts w:cs="Times New Roman" w:hint="eastAsia"/>
          <w:szCs w:val="24"/>
        </w:rPr>
        <w:t>该临床操作规程的</w:t>
      </w:r>
      <w:r w:rsidR="00F61AD5" w:rsidRPr="00840B2C">
        <w:rPr>
          <w:rFonts w:cs="Times New Roman"/>
          <w:szCs w:val="24"/>
        </w:rPr>
        <w:t>有效性和安全性。</w:t>
      </w:r>
    </w:p>
    <w:p w14:paraId="67FB3684" w14:textId="2370EAB6" w:rsidR="001654CA" w:rsidRDefault="00000000" w:rsidP="00F41B3B">
      <w:pPr>
        <w:pStyle w:val="2"/>
        <w:spacing w:line="360" w:lineRule="auto"/>
        <w:ind w:firstLine="482"/>
      </w:pPr>
      <w:r>
        <w:rPr>
          <w:rFonts w:hint="eastAsia"/>
        </w:rPr>
        <w:t>3</w:t>
      </w:r>
      <w:r w:rsidR="00F41B3B">
        <w:rPr>
          <w:rFonts w:hint="eastAsia"/>
        </w:rPr>
        <w:t>．</w:t>
      </w:r>
      <w:r w:rsidR="00ED6B96">
        <w:rPr>
          <w:rFonts w:hint="eastAsia"/>
        </w:rPr>
        <w:t>国家与行业</w:t>
      </w:r>
      <w:r w:rsidR="00ED6B96" w:rsidRPr="00ED6B96">
        <w:rPr>
          <w:rFonts w:hint="eastAsia"/>
        </w:rPr>
        <w:t>标准依据</w:t>
      </w:r>
    </w:p>
    <w:p w14:paraId="04E52641" w14:textId="7018AA7B" w:rsidR="00514D7F" w:rsidRPr="00C74387" w:rsidRDefault="00ED6B96" w:rsidP="00ED6B96">
      <w:pPr>
        <w:autoSpaceDE w:val="0"/>
        <w:autoSpaceDN w:val="0"/>
        <w:adjustRightInd w:val="0"/>
        <w:spacing w:line="360" w:lineRule="auto"/>
        <w:ind w:firstLineChars="200" w:firstLine="480"/>
        <w:rPr>
          <w:rFonts w:cs="Times New Roman"/>
          <w:szCs w:val="24"/>
        </w:rPr>
      </w:pPr>
      <w:r w:rsidRPr="00ED6B96">
        <w:rPr>
          <w:rFonts w:cs="Times New Roman" w:hint="eastAsia"/>
          <w:szCs w:val="24"/>
        </w:rPr>
        <w:t>标准引用了</w:t>
      </w:r>
      <w:r w:rsidRPr="00ED6B96">
        <w:rPr>
          <w:rFonts w:cs="Times New Roman" w:hint="eastAsia"/>
          <w:szCs w:val="24"/>
        </w:rPr>
        <w:t>GB/T 13810</w:t>
      </w:r>
      <w:r w:rsidR="005D67E0">
        <w:rPr>
          <w:rFonts w:cs="Times New Roman" w:hint="eastAsia"/>
          <w:szCs w:val="24"/>
        </w:rPr>
        <w:t>-2017</w:t>
      </w:r>
      <w:r w:rsidRPr="00ED6B96">
        <w:rPr>
          <w:rFonts w:cs="Times New Roman" w:hint="eastAsia"/>
          <w:szCs w:val="24"/>
        </w:rPr>
        <w:t>（</w:t>
      </w:r>
      <w:r w:rsidR="005D67E0" w:rsidRPr="005D67E0">
        <w:rPr>
          <w:rFonts w:cs="Times New Roman" w:hint="eastAsia"/>
          <w:szCs w:val="24"/>
        </w:rPr>
        <w:t>外科植入物用钛及钛合金加工材</w:t>
      </w:r>
      <w:r w:rsidRPr="00ED6B96">
        <w:rPr>
          <w:rFonts w:cs="Times New Roman" w:hint="eastAsia"/>
          <w:szCs w:val="24"/>
        </w:rPr>
        <w:t>）</w:t>
      </w:r>
      <w:r w:rsidR="005D67E0" w:rsidRPr="00ED6B96">
        <w:rPr>
          <w:rFonts w:cs="Times New Roman" w:hint="eastAsia"/>
          <w:szCs w:val="24"/>
        </w:rPr>
        <w:t>、</w:t>
      </w:r>
      <w:r w:rsidR="005D67E0" w:rsidRPr="00ED6B96">
        <w:rPr>
          <w:rFonts w:cs="Times New Roman" w:hint="eastAsia"/>
          <w:szCs w:val="24"/>
        </w:rPr>
        <w:t>GB/T 42061</w:t>
      </w:r>
      <w:r w:rsidR="005D67E0">
        <w:rPr>
          <w:rFonts w:cs="Times New Roman" w:hint="eastAsia"/>
          <w:szCs w:val="24"/>
        </w:rPr>
        <w:t>-2022</w:t>
      </w:r>
      <w:r w:rsidR="005D67E0" w:rsidRPr="00ED6B96">
        <w:rPr>
          <w:rFonts w:cs="Times New Roman" w:hint="eastAsia"/>
          <w:szCs w:val="24"/>
        </w:rPr>
        <w:t>（</w:t>
      </w:r>
      <w:r w:rsidR="005D67E0" w:rsidRPr="00CD3B86">
        <w:rPr>
          <w:rFonts w:asciiTheme="minorEastAsia" w:hAnsiTheme="minorEastAsia" w:hint="eastAsia"/>
          <w:color w:val="000000" w:themeColor="text1"/>
        </w:rPr>
        <w:t>医疗器械质量管理体系用于法规的要求</w:t>
      </w:r>
      <w:r w:rsidR="005D67E0" w:rsidRPr="00ED6B96">
        <w:rPr>
          <w:rFonts w:cs="Times New Roman" w:hint="eastAsia"/>
          <w:szCs w:val="24"/>
        </w:rPr>
        <w:t>）</w:t>
      </w:r>
      <w:r w:rsidRPr="00ED6B96">
        <w:rPr>
          <w:rFonts w:cs="Times New Roman" w:hint="eastAsia"/>
          <w:szCs w:val="24"/>
        </w:rPr>
        <w:t>、</w:t>
      </w:r>
      <w:r w:rsidRPr="00ED6B96">
        <w:rPr>
          <w:rFonts w:cs="Times New Roman" w:hint="eastAsia"/>
          <w:szCs w:val="24"/>
        </w:rPr>
        <w:t>YY/T 0316</w:t>
      </w:r>
      <w:r w:rsidR="005D67E0">
        <w:rPr>
          <w:rFonts w:cs="Times New Roman" w:hint="eastAsia"/>
          <w:szCs w:val="24"/>
        </w:rPr>
        <w:t>-2016</w:t>
      </w:r>
      <w:r w:rsidRPr="00ED6B96">
        <w:rPr>
          <w:rFonts w:cs="Times New Roman" w:hint="eastAsia"/>
          <w:szCs w:val="24"/>
        </w:rPr>
        <w:t>（</w:t>
      </w:r>
      <w:r w:rsidR="005D67E0">
        <w:rPr>
          <w:rFonts w:ascii="宋体" w:hAnsi="宋体" w:cs="Arial" w:hint="eastAsia"/>
          <w:color w:val="000000" w:themeColor="text1"/>
          <w:szCs w:val="21"/>
        </w:rPr>
        <w:t>医疗器械风险管理对医疗器械的应用</w:t>
      </w:r>
      <w:r w:rsidRPr="00ED6B96">
        <w:rPr>
          <w:rFonts w:cs="Times New Roman" w:hint="eastAsia"/>
          <w:szCs w:val="24"/>
        </w:rPr>
        <w:t>）等多项国家及行业标准，确保本标准与现有法规和标准体系的协调一致。</w:t>
      </w:r>
    </w:p>
    <w:p w14:paraId="3A49B1CA" w14:textId="1990BD5A" w:rsidR="001654CA" w:rsidRPr="001B37A1" w:rsidRDefault="00C74387">
      <w:pPr>
        <w:pStyle w:val="1"/>
        <w:spacing w:line="360" w:lineRule="auto"/>
        <w:rPr>
          <w:color w:val="000000" w:themeColor="text1"/>
        </w:rPr>
      </w:pPr>
      <w:r w:rsidRPr="001B37A1">
        <w:rPr>
          <w:rFonts w:hint="eastAsia"/>
          <w:color w:val="000000" w:themeColor="text1"/>
        </w:rPr>
        <w:t>四、</w:t>
      </w:r>
      <w:r w:rsidR="00B0243E" w:rsidRPr="001B37A1">
        <w:rPr>
          <w:color w:val="000000" w:themeColor="text1"/>
        </w:rPr>
        <w:t>技术经济论证，预期的经济效果</w:t>
      </w:r>
    </w:p>
    <w:p w14:paraId="65A9ECB9" w14:textId="13AC85A8" w:rsidR="00B0243E" w:rsidRPr="00840B2C" w:rsidRDefault="001B37A1" w:rsidP="00840B2C">
      <w:pPr>
        <w:pStyle w:val="2"/>
        <w:spacing w:line="360" w:lineRule="auto"/>
        <w:ind w:firstLine="482"/>
      </w:pPr>
      <w:r>
        <w:rPr>
          <w:rFonts w:hint="eastAsia"/>
        </w:rPr>
        <w:t>1</w:t>
      </w:r>
      <w:r w:rsidR="00B0243E" w:rsidRPr="00840B2C">
        <w:rPr>
          <w:rFonts w:hint="eastAsia"/>
        </w:rPr>
        <w:t>．</w:t>
      </w:r>
      <w:r w:rsidR="00B0243E" w:rsidRPr="00840B2C">
        <w:t>技术经济论证</w:t>
      </w:r>
    </w:p>
    <w:p w14:paraId="4507A13C" w14:textId="581C6F2B" w:rsidR="002540ED" w:rsidRPr="00840B2C" w:rsidRDefault="002540ED" w:rsidP="00840B2C">
      <w:pPr>
        <w:autoSpaceDE w:val="0"/>
        <w:autoSpaceDN w:val="0"/>
        <w:adjustRightInd w:val="0"/>
        <w:spacing w:line="360" w:lineRule="auto"/>
        <w:ind w:firstLineChars="200" w:firstLine="480"/>
        <w:rPr>
          <w:rFonts w:cs="Times New Roman"/>
          <w:szCs w:val="24"/>
        </w:rPr>
      </w:pPr>
      <w:r w:rsidRPr="00840B2C">
        <w:rPr>
          <w:rFonts w:cs="Times New Roman"/>
          <w:szCs w:val="24"/>
        </w:rPr>
        <w:t>与传统钛网相比，虽然增材制造个性化钛网的制造费用较高，但其通过精准的术前设计减少术中调整时间，降低手术风险，提高</w:t>
      </w:r>
      <w:r w:rsidRPr="00840B2C">
        <w:rPr>
          <w:rFonts w:cs="Times New Roman" w:hint="eastAsia"/>
          <w:szCs w:val="24"/>
        </w:rPr>
        <w:t>骨增量</w:t>
      </w:r>
      <w:r w:rsidRPr="00840B2C">
        <w:rPr>
          <w:rFonts w:cs="Times New Roman"/>
          <w:szCs w:val="24"/>
        </w:rPr>
        <w:t>手术的成功率，从而避免了因并发症导致的</w:t>
      </w:r>
      <w:r w:rsidRPr="00840B2C">
        <w:rPr>
          <w:rFonts w:cs="Times New Roman" w:hint="eastAsia"/>
          <w:szCs w:val="24"/>
        </w:rPr>
        <w:t>多次植骨</w:t>
      </w:r>
      <w:r w:rsidRPr="00840B2C">
        <w:rPr>
          <w:rFonts w:cs="Times New Roman"/>
          <w:szCs w:val="24"/>
        </w:rPr>
        <w:t>及其相关费用。从医疗成本和社会效益角度，该</w:t>
      </w:r>
      <w:r w:rsidRPr="00840B2C">
        <w:rPr>
          <w:rFonts w:cs="Times New Roman"/>
          <w:szCs w:val="24"/>
        </w:rPr>
        <w:lastRenderedPageBreak/>
        <w:t>技术具有更优的成本效益比。</w:t>
      </w:r>
    </w:p>
    <w:p w14:paraId="42EB74CF" w14:textId="2172094A" w:rsidR="00B0243E" w:rsidRPr="00840B2C" w:rsidRDefault="001B37A1" w:rsidP="00840B2C">
      <w:pPr>
        <w:pStyle w:val="2"/>
        <w:spacing w:line="360" w:lineRule="auto"/>
        <w:ind w:firstLine="482"/>
      </w:pPr>
      <w:r>
        <w:rPr>
          <w:rFonts w:hint="eastAsia"/>
        </w:rPr>
        <w:t>2</w:t>
      </w:r>
      <w:r w:rsidR="00B0243E" w:rsidRPr="00840B2C">
        <w:rPr>
          <w:rFonts w:hint="eastAsia"/>
        </w:rPr>
        <w:t>．</w:t>
      </w:r>
      <w:r w:rsidR="00B0243E" w:rsidRPr="00840B2C">
        <w:t>预期的经济效果</w:t>
      </w:r>
    </w:p>
    <w:p w14:paraId="52E84985" w14:textId="075C6D0C" w:rsidR="001B37A1" w:rsidRDefault="001B37A1" w:rsidP="00840B2C">
      <w:pPr>
        <w:autoSpaceDE w:val="0"/>
        <w:autoSpaceDN w:val="0"/>
        <w:adjustRightInd w:val="0"/>
        <w:spacing w:line="360" w:lineRule="auto"/>
        <w:ind w:firstLineChars="200" w:firstLine="480"/>
        <w:rPr>
          <w:rFonts w:cs="Times New Roman"/>
          <w:szCs w:val="24"/>
        </w:rPr>
      </w:pPr>
      <w:r w:rsidRPr="001B37A1">
        <w:rPr>
          <w:rFonts w:cs="Times New Roman"/>
          <w:szCs w:val="24"/>
        </w:rPr>
        <w:t>本标准的推广实施</w:t>
      </w:r>
      <w:r>
        <w:rPr>
          <w:rFonts w:cs="Times New Roman" w:hint="eastAsia"/>
          <w:szCs w:val="24"/>
        </w:rPr>
        <w:t>预计</w:t>
      </w:r>
      <w:r w:rsidRPr="001B37A1">
        <w:rPr>
          <w:rFonts w:cs="Times New Roman"/>
          <w:szCs w:val="24"/>
        </w:rPr>
        <w:t>将产生显著的经济效益：</w:t>
      </w:r>
    </w:p>
    <w:p w14:paraId="5FC9B686" w14:textId="135EEE32" w:rsidR="001B37A1" w:rsidRDefault="001B37A1" w:rsidP="00840B2C">
      <w:pPr>
        <w:autoSpaceDE w:val="0"/>
        <w:autoSpaceDN w:val="0"/>
        <w:adjustRightInd w:val="0"/>
        <w:spacing w:line="360" w:lineRule="auto"/>
        <w:ind w:firstLineChars="200" w:firstLine="480"/>
        <w:rPr>
          <w:rFonts w:cs="Times New Roman"/>
          <w:szCs w:val="24"/>
        </w:rPr>
      </w:pPr>
      <w:r w:rsidRPr="001B37A1">
        <w:rPr>
          <w:rFonts w:cs="Times New Roman"/>
          <w:szCs w:val="24"/>
        </w:rPr>
        <w:t>（</w:t>
      </w:r>
      <w:r w:rsidRPr="001B37A1">
        <w:rPr>
          <w:rFonts w:cs="Times New Roman"/>
          <w:szCs w:val="24"/>
        </w:rPr>
        <w:t>1</w:t>
      </w:r>
      <w:r w:rsidRPr="001B37A1">
        <w:rPr>
          <w:rFonts w:cs="Times New Roman"/>
          <w:szCs w:val="24"/>
        </w:rPr>
        <w:t>）通过规范化操作降低</w:t>
      </w:r>
      <w:r w:rsidR="00A070CA">
        <w:rPr>
          <w:rFonts w:cs="Times New Roman" w:hint="eastAsia"/>
          <w:szCs w:val="24"/>
        </w:rPr>
        <w:t>进行二次</w:t>
      </w:r>
      <w:r w:rsidR="00BB62C1">
        <w:rPr>
          <w:rFonts w:cs="Times New Roman" w:hint="eastAsia"/>
          <w:szCs w:val="24"/>
        </w:rPr>
        <w:t>骨增量或</w:t>
      </w:r>
      <w:r w:rsidR="00A070CA">
        <w:rPr>
          <w:rFonts w:cs="Times New Roman" w:hint="eastAsia"/>
          <w:szCs w:val="24"/>
        </w:rPr>
        <w:t>处理</w:t>
      </w:r>
      <w:r w:rsidRPr="001B37A1">
        <w:rPr>
          <w:rFonts w:cs="Times New Roman"/>
          <w:szCs w:val="24"/>
        </w:rPr>
        <w:t>并发症</w:t>
      </w:r>
      <w:r w:rsidR="00BB62C1">
        <w:rPr>
          <w:rFonts w:cs="Times New Roman" w:hint="eastAsia"/>
          <w:szCs w:val="24"/>
        </w:rPr>
        <w:t>的</w:t>
      </w:r>
      <w:r w:rsidR="00A070CA">
        <w:rPr>
          <w:rFonts w:cs="Times New Roman" w:hint="eastAsia"/>
          <w:szCs w:val="24"/>
        </w:rPr>
        <w:t>医疗</w:t>
      </w:r>
      <w:r w:rsidRPr="001B37A1">
        <w:rPr>
          <w:rFonts w:cs="Times New Roman"/>
          <w:szCs w:val="24"/>
        </w:rPr>
        <w:t>成本，提升医疗资源利用效率</w:t>
      </w:r>
      <w:r w:rsidR="00BB62C1">
        <w:rPr>
          <w:rFonts w:cs="Times New Roman" w:hint="eastAsia"/>
          <w:szCs w:val="24"/>
        </w:rPr>
        <w:t>。</w:t>
      </w:r>
    </w:p>
    <w:p w14:paraId="4476B87F" w14:textId="70C48FA6" w:rsidR="001B37A1" w:rsidRDefault="001B37A1" w:rsidP="00840B2C">
      <w:pPr>
        <w:autoSpaceDE w:val="0"/>
        <w:autoSpaceDN w:val="0"/>
        <w:adjustRightInd w:val="0"/>
        <w:spacing w:line="360" w:lineRule="auto"/>
        <w:ind w:firstLineChars="200" w:firstLine="480"/>
        <w:rPr>
          <w:rFonts w:cs="Times New Roman"/>
          <w:szCs w:val="24"/>
        </w:rPr>
      </w:pPr>
      <w:r w:rsidRPr="001B37A1">
        <w:rPr>
          <w:rFonts w:cs="Times New Roman"/>
          <w:szCs w:val="24"/>
        </w:rPr>
        <w:t>（</w:t>
      </w:r>
      <w:r w:rsidRPr="001B37A1">
        <w:rPr>
          <w:rFonts w:cs="Times New Roman"/>
          <w:szCs w:val="24"/>
        </w:rPr>
        <w:t>2</w:t>
      </w:r>
      <w:r w:rsidRPr="001B37A1">
        <w:rPr>
          <w:rFonts w:cs="Times New Roman"/>
          <w:szCs w:val="24"/>
        </w:rPr>
        <w:t>）推动口腔数字化医疗产业链发展，包括三维扫描设备、设计软件、金属</w:t>
      </w:r>
      <w:r w:rsidRPr="001B37A1">
        <w:rPr>
          <w:rFonts w:cs="Times New Roman"/>
          <w:szCs w:val="24"/>
        </w:rPr>
        <w:t>3D</w:t>
      </w:r>
      <w:r w:rsidRPr="001B37A1">
        <w:rPr>
          <w:rFonts w:cs="Times New Roman"/>
          <w:szCs w:val="24"/>
        </w:rPr>
        <w:t>打印设备及材料等领域，预计可带动相关产业</w:t>
      </w:r>
      <w:r w:rsidR="00A070CA">
        <w:rPr>
          <w:rFonts w:cs="Times New Roman" w:hint="eastAsia"/>
          <w:szCs w:val="24"/>
        </w:rPr>
        <w:t>产值</w:t>
      </w:r>
      <w:r w:rsidR="008845C4">
        <w:rPr>
          <w:rFonts w:cs="Times New Roman" w:hint="eastAsia"/>
          <w:szCs w:val="24"/>
        </w:rPr>
        <w:t>显著</w:t>
      </w:r>
      <w:r w:rsidR="00A070CA">
        <w:rPr>
          <w:rFonts w:cs="Times New Roman" w:hint="eastAsia"/>
          <w:szCs w:val="24"/>
        </w:rPr>
        <w:t>增长。</w:t>
      </w:r>
    </w:p>
    <w:p w14:paraId="4B21F378" w14:textId="4304EA20" w:rsidR="00B0243E" w:rsidRPr="00840B2C" w:rsidRDefault="001B37A1" w:rsidP="00840B2C">
      <w:pPr>
        <w:autoSpaceDE w:val="0"/>
        <w:autoSpaceDN w:val="0"/>
        <w:adjustRightInd w:val="0"/>
        <w:spacing w:line="360" w:lineRule="auto"/>
        <w:ind w:firstLineChars="200" w:firstLine="480"/>
        <w:rPr>
          <w:rFonts w:cs="Times New Roman"/>
          <w:szCs w:val="24"/>
        </w:rPr>
      </w:pPr>
      <w:r w:rsidRPr="001B37A1">
        <w:rPr>
          <w:rFonts w:cs="Times New Roman"/>
          <w:szCs w:val="24"/>
        </w:rPr>
        <w:t>（</w:t>
      </w:r>
      <w:r w:rsidRPr="001B37A1">
        <w:rPr>
          <w:rFonts w:cs="Times New Roman"/>
          <w:szCs w:val="24"/>
        </w:rPr>
        <w:t>3</w:t>
      </w:r>
      <w:r w:rsidRPr="001B37A1">
        <w:rPr>
          <w:rFonts w:cs="Times New Roman"/>
          <w:szCs w:val="24"/>
        </w:rPr>
        <w:t>）通过提升治疗成功率、缩短</w:t>
      </w:r>
      <w:r w:rsidR="008845C4">
        <w:rPr>
          <w:rFonts w:cs="Times New Roman" w:hint="eastAsia"/>
          <w:szCs w:val="24"/>
        </w:rPr>
        <w:t>就诊</w:t>
      </w:r>
      <w:r w:rsidRPr="001B37A1">
        <w:rPr>
          <w:rFonts w:cs="Times New Roman"/>
          <w:szCs w:val="24"/>
        </w:rPr>
        <w:t>时间，减少患者</w:t>
      </w:r>
      <w:r w:rsidR="008845C4">
        <w:rPr>
          <w:rFonts w:cs="Times New Roman" w:hint="eastAsia"/>
          <w:szCs w:val="24"/>
        </w:rPr>
        <w:t>医疗费用和</w:t>
      </w:r>
      <w:r w:rsidRPr="001B37A1">
        <w:rPr>
          <w:rFonts w:cs="Times New Roman"/>
          <w:szCs w:val="24"/>
        </w:rPr>
        <w:t>误工损失，同时推动口腔种植医疗服务的标准化和普惠化。</w:t>
      </w:r>
    </w:p>
    <w:p w14:paraId="1C8365A1" w14:textId="2067A4FF" w:rsidR="001654CA" w:rsidRPr="002540ED" w:rsidRDefault="00C74387">
      <w:pPr>
        <w:pStyle w:val="1"/>
        <w:spacing w:line="360" w:lineRule="auto"/>
      </w:pPr>
      <w:r>
        <w:rPr>
          <w:rFonts w:hint="eastAsia"/>
        </w:rPr>
        <w:t>五、</w:t>
      </w:r>
      <w:r w:rsidR="002540ED" w:rsidRPr="002540ED">
        <w:t>采用国际标准或国外文件</w:t>
      </w:r>
    </w:p>
    <w:p w14:paraId="461338DF" w14:textId="564F6B32" w:rsidR="002540ED" w:rsidRDefault="002540ED" w:rsidP="002540ED">
      <w:pPr>
        <w:spacing w:line="360" w:lineRule="auto"/>
        <w:ind w:firstLine="420"/>
        <w:rPr>
          <w:lang w:val="en-GB"/>
        </w:rPr>
      </w:pPr>
      <w:r>
        <w:rPr>
          <w:rFonts w:hint="eastAsia"/>
          <w:lang w:val="en-GB"/>
        </w:rPr>
        <w:t>本标准没有对应的国家标准或行业标准。</w:t>
      </w:r>
    </w:p>
    <w:p w14:paraId="29977549" w14:textId="1BAD6C78" w:rsidR="002540ED" w:rsidRPr="002540ED" w:rsidRDefault="005D67E0" w:rsidP="002540ED">
      <w:pPr>
        <w:pStyle w:val="1"/>
        <w:spacing w:line="360" w:lineRule="auto"/>
      </w:pPr>
      <w:r>
        <w:rPr>
          <w:rFonts w:hint="eastAsia"/>
        </w:rPr>
        <w:t>六</w:t>
      </w:r>
      <w:r w:rsidR="002540ED">
        <w:t>、</w:t>
      </w:r>
      <w:r w:rsidR="002540ED" w:rsidRPr="002540ED">
        <w:t>重大分歧意见的处理经过和依据</w:t>
      </w:r>
    </w:p>
    <w:p w14:paraId="19FEBF6F" w14:textId="3ECEB526" w:rsidR="002540ED" w:rsidRPr="002540ED" w:rsidRDefault="002540ED" w:rsidP="002540ED">
      <w:pPr>
        <w:spacing w:line="360" w:lineRule="auto"/>
        <w:ind w:firstLine="420"/>
        <w:rPr>
          <w:lang w:val="en-GB"/>
        </w:rPr>
      </w:pPr>
      <w:r w:rsidRPr="002540ED">
        <w:rPr>
          <w:lang w:val="en-GB"/>
        </w:rPr>
        <w:t>无重大分歧意见。</w:t>
      </w:r>
    </w:p>
    <w:p w14:paraId="4DB22816" w14:textId="5D148C30" w:rsidR="001654CA" w:rsidRPr="002540ED" w:rsidRDefault="005D67E0">
      <w:pPr>
        <w:pStyle w:val="1"/>
        <w:spacing w:line="360" w:lineRule="auto"/>
      </w:pPr>
      <w:r>
        <w:rPr>
          <w:rFonts w:hint="eastAsia"/>
        </w:rPr>
        <w:t>七</w:t>
      </w:r>
      <w:r w:rsidR="002540ED">
        <w:t>、</w:t>
      </w:r>
      <w:r w:rsidR="002540ED" w:rsidRPr="002540ED">
        <w:t>贯彻促进会团体标准的要求和措施建议</w:t>
      </w:r>
    </w:p>
    <w:p w14:paraId="3421352B" w14:textId="15D34288" w:rsidR="00AE5145" w:rsidRPr="00840B2C" w:rsidRDefault="00AE5145" w:rsidP="00840B2C">
      <w:pPr>
        <w:pStyle w:val="2"/>
        <w:spacing w:line="360" w:lineRule="auto"/>
        <w:ind w:firstLine="482"/>
      </w:pPr>
      <w:r w:rsidRPr="00840B2C">
        <w:rPr>
          <w:rFonts w:hint="eastAsia"/>
        </w:rPr>
        <w:t>1</w:t>
      </w:r>
      <w:r w:rsidRPr="00840B2C">
        <w:rPr>
          <w:rFonts w:hint="eastAsia"/>
        </w:rPr>
        <w:t>．组织措施</w:t>
      </w:r>
    </w:p>
    <w:p w14:paraId="0F2789CA" w14:textId="27602503" w:rsidR="00AE5145" w:rsidRPr="00840B2C" w:rsidRDefault="00ED6B96" w:rsidP="00840B2C">
      <w:pPr>
        <w:autoSpaceDE w:val="0"/>
        <w:autoSpaceDN w:val="0"/>
        <w:adjustRightInd w:val="0"/>
        <w:spacing w:line="360" w:lineRule="auto"/>
        <w:ind w:firstLineChars="200" w:firstLine="480"/>
        <w:rPr>
          <w:rFonts w:cs="Times New Roman"/>
          <w:szCs w:val="24"/>
        </w:rPr>
      </w:pPr>
      <w:r w:rsidRPr="00840B2C">
        <w:rPr>
          <w:rFonts w:cs="Times New Roman" w:hint="eastAsia"/>
          <w:szCs w:val="24"/>
        </w:rPr>
        <w:t>建议由中国产学研合作促进会牵头，联合主要起草单位成立工作组，负责制定并执行本标准的推广。应组织开展多层次、分阶段的系统性培训，可通过机构培训、学术会议专题解读等方式进行，确保各级医疗机构的相关医师及技术人员能准确理解并掌握标准的核心内容与操作规范。</w:t>
      </w:r>
    </w:p>
    <w:p w14:paraId="790172D5" w14:textId="411B0286" w:rsidR="00AE5145" w:rsidRPr="00840B2C" w:rsidRDefault="00AE5145" w:rsidP="00840B2C">
      <w:pPr>
        <w:pStyle w:val="2"/>
        <w:spacing w:line="360" w:lineRule="auto"/>
        <w:ind w:firstLine="482"/>
      </w:pPr>
      <w:r w:rsidRPr="00840B2C">
        <w:rPr>
          <w:rFonts w:hint="eastAsia"/>
        </w:rPr>
        <w:t>2</w:t>
      </w:r>
      <w:r w:rsidRPr="00840B2C">
        <w:rPr>
          <w:rFonts w:hint="eastAsia"/>
        </w:rPr>
        <w:t>．技术措施</w:t>
      </w:r>
    </w:p>
    <w:p w14:paraId="4E58F781" w14:textId="2976DAEF" w:rsidR="00AE5145" w:rsidRPr="00840B2C" w:rsidRDefault="00ED6B96" w:rsidP="00840B2C">
      <w:pPr>
        <w:autoSpaceDE w:val="0"/>
        <w:autoSpaceDN w:val="0"/>
        <w:adjustRightInd w:val="0"/>
        <w:spacing w:line="360" w:lineRule="auto"/>
        <w:ind w:firstLineChars="200" w:firstLine="480"/>
        <w:rPr>
          <w:rFonts w:cs="Times New Roman"/>
          <w:szCs w:val="24"/>
        </w:rPr>
      </w:pPr>
      <w:r w:rsidRPr="00840B2C">
        <w:rPr>
          <w:rFonts w:cs="Times New Roman" w:hint="eastAsia"/>
          <w:szCs w:val="24"/>
        </w:rPr>
        <w:t>鼓励医疗机构与合作企业参照本标准，建立并完善覆盖从数据采集、虚拟设计、制造验收到手术随访全流程的标准化医工交互与质量管理体系。推动关键环节的规范化操作，如统一数据格式与验收标准、执行虚拟设计的交叉审核流程、强化个性化钛网</w:t>
      </w:r>
      <w:r w:rsidR="008845C4">
        <w:rPr>
          <w:rFonts w:cs="Times New Roman" w:hint="eastAsia"/>
          <w:szCs w:val="24"/>
        </w:rPr>
        <w:t>严格验收</w:t>
      </w:r>
      <w:r w:rsidRPr="00840B2C">
        <w:rPr>
          <w:rFonts w:cs="Times New Roman" w:hint="eastAsia"/>
          <w:szCs w:val="24"/>
        </w:rPr>
        <w:t>等，以确保技术应用的精准性与规范性</w:t>
      </w:r>
      <w:r w:rsidR="00AE5145" w:rsidRPr="00840B2C">
        <w:rPr>
          <w:rFonts w:cs="Times New Roman"/>
          <w:szCs w:val="24"/>
        </w:rPr>
        <w:t>。</w:t>
      </w:r>
    </w:p>
    <w:p w14:paraId="479F48C5" w14:textId="31B4CE9D" w:rsidR="00AE5145" w:rsidRPr="00840B2C" w:rsidRDefault="00AE5145" w:rsidP="00840B2C">
      <w:pPr>
        <w:pStyle w:val="2"/>
        <w:spacing w:line="360" w:lineRule="auto"/>
        <w:ind w:firstLine="482"/>
      </w:pPr>
      <w:r w:rsidRPr="00840B2C">
        <w:rPr>
          <w:rFonts w:hint="eastAsia"/>
        </w:rPr>
        <w:lastRenderedPageBreak/>
        <w:t>3</w:t>
      </w:r>
      <w:r w:rsidRPr="00840B2C">
        <w:rPr>
          <w:rFonts w:hint="eastAsia"/>
        </w:rPr>
        <w:t>．过渡办法</w:t>
      </w:r>
    </w:p>
    <w:p w14:paraId="7E5988E3" w14:textId="0FC3A964" w:rsidR="00AE5145" w:rsidRPr="00840B2C" w:rsidRDefault="00AE5145" w:rsidP="00840B2C">
      <w:pPr>
        <w:autoSpaceDE w:val="0"/>
        <w:autoSpaceDN w:val="0"/>
        <w:adjustRightInd w:val="0"/>
        <w:spacing w:line="360" w:lineRule="auto"/>
        <w:ind w:firstLineChars="200" w:firstLine="480"/>
        <w:rPr>
          <w:rFonts w:cs="Times New Roman"/>
          <w:szCs w:val="24"/>
        </w:rPr>
      </w:pPr>
      <w:r w:rsidRPr="00840B2C">
        <w:rPr>
          <w:rFonts w:cs="Times New Roman"/>
          <w:szCs w:val="24"/>
        </w:rPr>
        <w:t>建议在标准正式发布后，设置</w:t>
      </w:r>
      <w:r w:rsidR="00ED6B96" w:rsidRPr="00840B2C">
        <w:rPr>
          <w:rFonts w:cs="Times New Roman" w:hint="eastAsia"/>
          <w:szCs w:val="24"/>
        </w:rPr>
        <w:t>一定时长</w:t>
      </w:r>
      <w:r w:rsidRPr="00840B2C">
        <w:rPr>
          <w:rFonts w:cs="Times New Roman"/>
          <w:szCs w:val="24"/>
        </w:rPr>
        <w:t>的过渡期。</w:t>
      </w:r>
      <w:r w:rsidR="00840B2C">
        <w:rPr>
          <w:rFonts w:cs="Times New Roman" w:hint="eastAsia"/>
          <w:szCs w:val="24"/>
        </w:rPr>
        <w:t>过渡期</w:t>
      </w:r>
      <w:r w:rsidR="008845C4">
        <w:rPr>
          <w:rFonts w:cs="Times New Roman" w:hint="eastAsia"/>
          <w:szCs w:val="24"/>
        </w:rPr>
        <w:t>间该技术</w:t>
      </w:r>
      <w:r w:rsidR="00ED6B96" w:rsidRPr="00840B2C">
        <w:rPr>
          <w:rFonts w:cs="Times New Roman" w:hint="eastAsia"/>
          <w:szCs w:val="24"/>
        </w:rPr>
        <w:t>应优先在基础条件较好的单位开展试点并建立反馈渠道，广泛收集实施中遇到的具体问题。工作组需定期对反馈进行</w:t>
      </w:r>
      <w:r w:rsidR="005F5C22">
        <w:rPr>
          <w:rFonts w:cs="Times New Roman" w:hint="eastAsia"/>
          <w:szCs w:val="24"/>
        </w:rPr>
        <w:t>总结和指导</w:t>
      </w:r>
      <w:r w:rsidR="00ED6B96" w:rsidRPr="00840B2C">
        <w:rPr>
          <w:rFonts w:cs="Times New Roman" w:hint="eastAsia"/>
          <w:szCs w:val="24"/>
        </w:rPr>
        <w:t>以解决</w:t>
      </w:r>
      <w:r w:rsidR="005F5C22">
        <w:rPr>
          <w:rFonts w:cs="Times New Roman" w:hint="eastAsia"/>
          <w:szCs w:val="24"/>
        </w:rPr>
        <w:t>实际操作中的</w:t>
      </w:r>
      <w:r w:rsidR="00ED6B96" w:rsidRPr="00840B2C">
        <w:rPr>
          <w:rFonts w:cs="Times New Roman" w:hint="eastAsia"/>
          <w:szCs w:val="24"/>
        </w:rPr>
        <w:t>普遍性难题，同时将</w:t>
      </w:r>
      <w:r w:rsidR="005F5C22">
        <w:rPr>
          <w:rFonts w:cs="Times New Roman" w:hint="eastAsia"/>
          <w:szCs w:val="24"/>
        </w:rPr>
        <w:t>这些问题</w:t>
      </w:r>
      <w:r w:rsidR="00ED6B96" w:rsidRPr="00840B2C">
        <w:rPr>
          <w:rFonts w:cs="Times New Roman" w:hint="eastAsia"/>
          <w:szCs w:val="24"/>
        </w:rPr>
        <w:t>作为未来标准修订的重要依据，实现</w:t>
      </w:r>
      <w:r w:rsidR="005F5C22">
        <w:rPr>
          <w:rFonts w:cs="Times New Roman" w:hint="eastAsia"/>
          <w:szCs w:val="24"/>
        </w:rPr>
        <w:t>技术标准的</w:t>
      </w:r>
      <w:r w:rsidR="00ED6B96" w:rsidRPr="00840B2C">
        <w:rPr>
          <w:rFonts w:cs="Times New Roman" w:hint="eastAsia"/>
          <w:szCs w:val="24"/>
        </w:rPr>
        <w:t>闭环管理与持续优化。</w:t>
      </w:r>
    </w:p>
    <w:p w14:paraId="35451DD0" w14:textId="247BA70C" w:rsidR="001654CA" w:rsidRDefault="005D67E0">
      <w:pPr>
        <w:pStyle w:val="1"/>
        <w:spacing w:line="360" w:lineRule="auto"/>
      </w:pPr>
      <w:r>
        <w:rPr>
          <w:rFonts w:hint="eastAsia"/>
        </w:rPr>
        <w:t>八</w:t>
      </w:r>
      <w:r w:rsidR="002540ED">
        <w:rPr>
          <w:sz w:val="28"/>
        </w:rPr>
        <w:t>、</w:t>
      </w:r>
      <w:r w:rsidR="002540ED" w:rsidRPr="002540ED">
        <w:t>其他应予说明的事项</w:t>
      </w:r>
    </w:p>
    <w:p w14:paraId="01705646" w14:textId="1B2DADF9" w:rsidR="001654CA" w:rsidRPr="00840B2C" w:rsidRDefault="002540ED" w:rsidP="00840B2C">
      <w:pPr>
        <w:autoSpaceDE w:val="0"/>
        <w:autoSpaceDN w:val="0"/>
        <w:adjustRightInd w:val="0"/>
        <w:spacing w:line="360" w:lineRule="auto"/>
        <w:ind w:firstLine="420"/>
        <w:rPr>
          <w:rFonts w:cs="Times New Roman"/>
          <w:szCs w:val="24"/>
        </w:rPr>
      </w:pPr>
      <w:r w:rsidRPr="00840B2C">
        <w:rPr>
          <w:rFonts w:cs="Times New Roman" w:hint="eastAsia"/>
          <w:szCs w:val="24"/>
        </w:rPr>
        <w:t>无其他应予说明的事项。</w:t>
      </w:r>
    </w:p>
    <w:sectPr w:rsidR="001654CA" w:rsidRPr="00840B2C">
      <w:pgSz w:w="11906" w:h="16838"/>
      <w:pgMar w:top="1440" w:right="1644" w:bottom="1440" w:left="164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E0E70" w14:textId="77777777" w:rsidR="00CA54A7" w:rsidRDefault="00CA54A7" w:rsidP="00FF73EB">
      <w:pPr>
        <w:spacing w:after="0" w:line="240" w:lineRule="auto"/>
      </w:pPr>
      <w:r>
        <w:separator/>
      </w:r>
    </w:p>
  </w:endnote>
  <w:endnote w:type="continuationSeparator" w:id="0">
    <w:p w14:paraId="7D8B346F" w14:textId="77777777" w:rsidR="00CA54A7" w:rsidRDefault="00CA54A7" w:rsidP="00FF7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42E1C" w14:textId="77777777" w:rsidR="00CA54A7" w:rsidRDefault="00CA54A7" w:rsidP="00FF73EB">
      <w:pPr>
        <w:spacing w:after="0" w:line="240" w:lineRule="auto"/>
      </w:pPr>
      <w:r>
        <w:separator/>
      </w:r>
    </w:p>
  </w:footnote>
  <w:footnote w:type="continuationSeparator" w:id="0">
    <w:p w14:paraId="763CCB49" w14:textId="77777777" w:rsidR="00CA54A7" w:rsidRDefault="00CA54A7" w:rsidP="00FF73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56D74BA"/>
    <w:multiLevelType w:val="singleLevel"/>
    <w:tmpl w:val="C56D74BA"/>
    <w:lvl w:ilvl="0">
      <w:start w:val="2"/>
      <w:numFmt w:val="decimal"/>
      <w:suff w:val="space"/>
      <w:lvlText w:val="%1."/>
      <w:lvlJc w:val="left"/>
    </w:lvl>
  </w:abstractNum>
  <w:abstractNum w:abstractNumId="1" w15:restartNumberingAfterBreak="0">
    <w:nsid w:val="234829EF"/>
    <w:multiLevelType w:val="hybridMultilevel"/>
    <w:tmpl w:val="7348EEAE"/>
    <w:lvl w:ilvl="0" w:tplc="E2068EB6">
      <w:start w:val="4"/>
      <w:numFmt w:val="decimal"/>
      <w:lvlText w:val="%1．"/>
      <w:lvlJc w:val="left"/>
      <w:pPr>
        <w:ind w:left="850" w:hanging="368"/>
      </w:pPr>
      <w:rPr>
        <w:rFonts w:hint="default"/>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2" w15:restartNumberingAfterBreak="0">
    <w:nsid w:val="534831DA"/>
    <w:multiLevelType w:val="multilevel"/>
    <w:tmpl w:val="4C049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3750370">
    <w:abstractNumId w:val="0"/>
  </w:num>
  <w:num w:numId="2" w16cid:durableId="1749378408">
    <w:abstractNumId w:val="2"/>
  </w:num>
  <w:num w:numId="3" w16cid:durableId="6735324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4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9AA"/>
    <w:rsid w:val="00007B2B"/>
    <w:rsid w:val="000101DE"/>
    <w:rsid w:val="00023BFA"/>
    <w:rsid w:val="00023CB3"/>
    <w:rsid w:val="000312E3"/>
    <w:rsid w:val="00032D56"/>
    <w:rsid w:val="000334F0"/>
    <w:rsid w:val="000427C8"/>
    <w:rsid w:val="000641AC"/>
    <w:rsid w:val="00066332"/>
    <w:rsid w:val="00066FA1"/>
    <w:rsid w:val="00071B54"/>
    <w:rsid w:val="00075CCC"/>
    <w:rsid w:val="0009757E"/>
    <w:rsid w:val="000B44FA"/>
    <w:rsid w:val="000E2328"/>
    <w:rsid w:val="000F03CE"/>
    <w:rsid w:val="000F7623"/>
    <w:rsid w:val="000F7D54"/>
    <w:rsid w:val="000F7F9E"/>
    <w:rsid w:val="00107E31"/>
    <w:rsid w:val="001173AC"/>
    <w:rsid w:val="0012585C"/>
    <w:rsid w:val="0013537E"/>
    <w:rsid w:val="00162B0A"/>
    <w:rsid w:val="00164C57"/>
    <w:rsid w:val="001654CA"/>
    <w:rsid w:val="00185425"/>
    <w:rsid w:val="001B37A1"/>
    <w:rsid w:val="001C0A55"/>
    <w:rsid w:val="001D069B"/>
    <w:rsid w:val="001D4026"/>
    <w:rsid w:val="001E7D3E"/>
    <w:rsid w:val="00203C5A"/>
    <w:rsid w:val="0020477C"/>
    <w:rsid w:val="00204A2E"/>
    <w:rsid w:val="002325F8"/>
    <w:rsid w:val="00251FAB"/>
    <w:rsid w:val="002540ED"/>
    <w:rsid w:val="0027744A"/>
    <w:rsid w:val="00280AD5"/>
    <w:rsid w:val="002833CD"/>
    <w:rsid w:val="00285F43"/>
    <w:rsid w:val="00286C5B"/>
    <w:rsid w:val="00290329"/>
    <w:rsid w:val="002D186E"/>
    <w:rsid w:val="002E2C66"/>
    <w:rsid w:val="002E4791"/>
    <w:rsid w:val="002E4D30"/>
    <w:rsid w:val="002E753E"/>
    <w:rsid w:val="002F43C8"/>
    <w:rsid w:val="00306077"/>
    <w:rsid w:val="00321198"/>
    <w:rsid w:val="003236AC"/>
    <w:rsid w:val="003749F5"/>
    <w:rsid w:val="00375224"/>
    <w:rsid w:val="0038603E"/>
    <w:rsid w:val="00386993"/>
    <w:rsid w:val="003A75DB"/>
    <w:rsid w:val="003B467E"/>
    <w:rsid w:val="003C4399"/>
    <w:rsid w:val="003E1DB8"/>
    <w:rsid w:val="003E6716"/>
    <w:rsid w:val="004017EC"/>
    <w:rsid w:val="004060AE"/>
    <w:rsid w:val="004109C4"/>
    <w:rsid w:val="00416C3A"/>
    <w:rsid w:val="00420F71"/>
    <w:rsid w:val="004319B1"/>
    <w:rsid w:val="004714FB"/>
    <w:rsid w:val="00493875"/>
    <w:rsid w:val="004969DA"/>
    <w:rsid w:val="004A23B5"/>
    <w:rsid w:val="004B311B"/>
    <w:rsid w:val="004B3DE9"/>
    <w:rsid w:val="004F0599"/>
    <w:rsid w:val="004F08EC"/>
    <w:rsid w:val="004F3C58"/>
    <w:rsid w:val="00504E13"/>
    <w:rsid w:val="00504F67"/>
    <w:rsid w:val="00514D7F"/>
    <w:rsid w:val="005277D1"/>
    <w:rsid w:val="005312F3"/>
    <w:rsid w:val="005319D2"/>
    <w:rsid w:val="005466CC"/>
    <w:rsid w:val="00550B6E"/>
    <w:rsid w:val="00557976"/>
    <w:rsid w:val="0056554A"/>
    <w:rsid w:val="005656F8"/>
    <w:rsid w:val="00585F77"/>
    <w:rsid w:val="00597936"/>
    <w:rsid w:val="005D3460"/>
    <w:rsid w:val="005D67E0"/>
    <w:rsid w:val="005D7E1A"/>
    <w:rsid w:val="005E3062"/>
    <w:rsid w:val="005F4DB0"/>
    <w:rsid w:val="005F5C22"/>
    <w:rsid w:val="005F6146"/>
    <w:rsid w:val="00606D81"/>
    <w:rsid w:val="006173E2"/>
    <w:rsid w:val="006246ED"/>
    <w:rsid w:val="006574FD"/>
    <w:rsid w:val="006857CC"/>
    <w:rsid w:val="0069442A"/>
    <w:rsid w:val="006B2A89"/>
    <w:rsid w:val="006C37F7"/>
    <w:rsid w:val="006D0933"/>
    <w:rsid w:val="006D2380"/>
    <w:rsid w:val="007069A9"/>
    <w:rsid w:val="00712DA6"/>
    <w:rsid w:val="00715F59"/>
    <w:rsid w:val="007165A4"/>
    <w:rsid w:val="00721D8B"/>
    <w:rsid w:val="00724B9D"/>
    <w:rsid w:val="00746A80"/>
    <w:rsid w:val="007638C2"/>
    <w:rsid w:val="00771432"/>
    <w:rsid w:val="00784319"/>
    <w:rsid w:val="00786016"/>
    <w:rsid w:val="007908DD"/>
    <w:rsid w:val="007E16AE"/>
    <w:rsid w:val="007E6352"/>
    <w:rsid w:val="007F5E53"/>
    <w:rsid w:val="0080165B"/>
    <w:rsid w:val="00802EDB"/>
    <w:rsid w:val="00803564"/>
    <w:rsid w:val="008240D7"/>
    <w:rsid w:val="0083452A"/>
    <w:rsid w:val="00840B2C"/>
    <w:rsid w:val="00876BE1"/>
    <w:rsid w:val="008845C4"/>
    <w:rsid w:val="008850BB"/>
    <w:rsid w:val="00892523"/>
    <w:rsid w:val="008B02FD"/>
    <w:rsid w:val="008B36EE"/>
    <w:rsid w:val="008B4BEF"/>
    <w:rsid w:val="008B682F"/>
    <w:rsid w:val="008C0E43"/>
    <w:rsid w:val="008D75EB"/>
    <w:rsid w:val="008E0B74"/>
    <w:rsid w:val="008F2D42"/>
    <w:rsid w:val="008F2ED2"/>
    <w:rsid w:val="008F48E6"/>
    <w:rsid w:val="00930B66"/>
    <w:rsid w:val="00936B64"/>
    <w:rsid w:val="00946BDC"/>
    <w:rsid w:val="0095680E"/>
    <w:rsid w:val="00957AFA"/>
    <w:rsid w:val="00963DA2"/>
    <w:rsid w:val="00964E0A"/>
    <w:rsid w:val="0097287B"/>
    <w:rsid w:val="009729E8"/>
    <w:rsid w:val="00980D0E"/>
    <w:rsid w:val="009B74A7"/>
    <w:rsid w:val="009C6BA2"/>
    <w:rsid w:val="009C7907"/>
    <w:rsid w:val="009E22B8"/>
    <w:rsid w:val="009E5CA7"/>
    <w:rsid w:val="009E66D1"/>
    <w:rsid w:val="00A070CA"/>
    <w:rsid w:val="00A07BC8"/>
    <w:rsid w:val="00A219AA"/>
    <w:rsid w:val="00A22725"/>
    <w:rsid w:val="00A31046"/>
    <w:rsid w:val="00A466BD"/>
    <w:rsid w:val="00A52C34"/>
    <w:rsid w:val="00A700F5"/>
    <w:rsid w:val="00A80C58"/>
    <w:rsid w:val="00A90C0D"/>
    <w:rsid w:val="00AA5747"/>
    <w:rsid w:val="00AE5145"/>
    <w:rsid w:val="00AF24BD"/>
    <w:rsid w:val="00B0243E"/>
    <w:rsid w:val="00B02D33"/>
    <w:rsid w:val="00B07D80"/>
    <w:rsid w:val="00B10A7C"/>
    <w:rsid w:val="00B11383"/>
    <w:rsid w:val="00B34B9A"/>
    <w:rsid w:val="00B514EE"/>
    <w:rsid w:val="00B56F50"/>
    <w:rsid w:val="00B62273"/>
    <w:rsid w:val="00B62B11"/>
    <w:rsid w:val="00B85515"/>
    <w:rsid w:val="00B914C6"/>
    <w:rsid w:val="00BA2CE7"/>
    <w:rsid w:val="00BB5994"/>
    <w:rsid w:val="00BB5C88"/>
    <w:rsid w:val="00BB62C1"/>
    <w:rsid w:val="00BB7BC8"/>
    <w:rsid w:val="00BE5F58"/>
    <w:rsid w:val="00BE7C34"/>
    <w:rsid w:val="00BF1DF0"/>
    <w:rsid w:val="00C00FCC"/>
    <w:rsid w:val="00C079C4"/>
    <w:rsid w:val="00C15F37"/>
    <w:rsid w:val="00C50D1C"/>
    <w:rsid w:val="00C538A5"/>
    <w:rsid w:val="00C55627"/>
    <w:rsid w:val="00C56A22"/>
    <w:rsid w:val="00C74387"/>
    <w:rsid w:val="00C8333D"/>
    <w:rsid w:val="00C859EE"/>
    <w:rsid w:val="00C91208"/>
    <w:rsid w:val="00CA0E32"/>
    <w:rsid w:val="00CA54A7"/>
    <w:rsid w:val="00CA5A6C"/>
    <w:rsid w:val="00CA6A5C"/>
    <w:rsid w:val="00CD4510"/>
    <w:rsid w:val="00CE1555"/>
    <w:rsid w:val="00CF0197"/>
    <w:rsid w:val="00D00512"/>
    <w:rsid w:val="00D105FF"/>
    <w:rsid w:val="00D22B67"/>
    <w:rsid w:val="00D50F27"/>
    <w:rsid w:val="00D564E5"/>
    <w:rsid w:val="00D65D9E"/>
    <w:rsid w:val="00D70001"/>
    <w:rsid w:val="00D704A8"/>
    <w:rsid w:val="00D90131"/>
    <w:rsid w:val="00D95D3D"/>
    <w:rsid w:val="00DA3786"/>
    <w:rsid w:val="00DB75E9"/>
    <w:rsid w:val="00DD2391"/>
    <w:rsid w:val="00DD24B8"/>
    <w:rsid w:val="00DD7F10"/>
    <w:rsid w:val="00DE5C23"/>
    <w:rsid w:val="00E05DA7"/>
    <w:rsid w:val="00E1304B"/>
    <w:rsid w:val="00E14990"/>
    <w:rsid w:val="00E3281F"/>
    <w:rsid w:val="00E335C3"/>
    <w:rsid w:val="00E627BA"/>
    <w:rsid w:val="00E652C7"/>
    <w:rsid w:val="00E9272B"/>
    <w:rsid w:val="00E92B46"/>
    <w:rsid w:val="00E93B67"/>
    <w:rsid w:val="00EA4CD0"/>
    <w:rsid w:val="00ED6B96"/>
    <w:rsid w:val="00F11284"/>
    <w:rsid w:val="00F14563"/>
    <w:rsid w:val="00F14BBC"/>
    <w:rsid w:val="00F22B65"/>
    <w:rsid w:val="00F23F92"/>
    <w:rsid w:val="00F24925"/>
    <w:rsid w:val="00F25879"/>
    <w:rsid w:val="00F41B3B"/>
    <w:rsid w:val="00F5019B"/>
    <w:rsid w:val="00F61AD5"/>
    <w:rsid w:val="00F61E28"/>
    <w:rsid w:val="00F65F70"/>
    <w:rsid w:val="00F71754"/>
    <w:rsid w:val="00F84D9A"/>
    <w:rsid w:val="00F93C94"/>
    <w:rsid w:val="00FA0284"/>
    <w:rsid w:val="00FA29EA"/>
    <w:rsid w:val="00FB0485"/>
    <w:rsid w:val="00FB0617"/>
    <w:rsid w:val="00FC2E6F"/>
    <w:rsid w:val="00FD2E94"/>
    <w:rsid w:val="00FF73EB"/>
    <w:rsid w:val="1D6B0093"/>
    <w:rsid w:val="4B710721"/>
    <w:rsid w:val="7EEE56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67A726"/>
  <w15:docId w15:val="{5232BF0D-5284-4B58-AC6A-899F192F2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288" w:lineRule="auto"/>
      <w:jc w:val="both"/>
    </w:pPr>
    <w:rPr>
      <w:rFonts w:ascii="Times New Roman" w:eastAsia="宋体" w:hAnsi="Times New Roman"/>
      <w:kern w:val="2"/>
      <w:sz w:val="24"/>
      <w:szCs w:val="22"/>
      <w14:ligatures w14:val="standardContextual"/>
    </w:rPr>
  </w:style>
  <w:style w:type="paragraph" w:styleId="1">
    <w:name w:val="heading 1"/>
    <w:basedOn w:val="a"/>
    <w:next w:val="a"/>
    <w:link w:val="10"/>
    <w:uiPriority w:val="9"/>
    <w:qFormat/>
    <w:pPr>
      <w:keepNext/>
      <w:keepLines/>
      <w:jc w:val="left"/>
      <w:outlineLvl w:val="0"/>
    </w:pPr>
    <w:rPr>
      <w:b/>
      <w:bCs/>
      <w:kern w:val="44"/>
      <w:szCs w:val="44"/>
    </w:rPr>
  </w:style>
  <w:style w:type="paragraph" w:styleId="2">
    <w:name w:val="heading 2"/>
    <w:basedOn w:val="a"/>
    <w:next w:val="a"/>
    <w:link w:val="20"/>
    <w:uiPriority w:val="9"/>
    <w:unhideWhenUsed/>
    <w:qFormat/>
    <w:pPr>
      <w:keepNext/>
      <w:keepLines/>
      <w:ind w:firstLineChars="200" w:firstLine="200"/>
      <w:jc w:val="left"/>
      <w:outlineLvl w:val="1"/>
    </w:pPr>
    <w:rPr>
      <w:rFonts w:cstheme="majorBidi"/>
      <w:b/>
      <w:bCs/>
      <w:szCs w:val="32"/>
    </w:rPr>
  </w:style>
  <w:style w:type="paragraph" w:styleId="3">
    <w:name w:val="heading 3"/>
    <w:basedOn w:val="a"/>
    <w:next w:val="a"/>
    <w:link w:val="30"/>
    <w:uiPriority w:val="9"/>
    <w:unhideWhenUsed/>
    <w:qFormat/>
    <w:pPr>
      <w:keepNext/>
      <w:keepLines/>
      <w:spacing w:line="240" w:lineRule="auto"/>
      <w:jc w:val="left"/>
      <w:outlineLvl w:val="2"/>
    </w:pPr>
    <w:rPr>
      <w:bCs/>
      <w:szCs w:val="32"/>
    </w:rPr>
  </w:style>
  <w:style w:type="paragraph" w:styleId="4">
    <w:name w:val="heading 4"/>
    <w:basedOn w:val="a"/>
    <w:next w:val="a"/>
    <w:link w:val="40"/>
    <w:uiPriority w:val="9"/>
    <w:semiHidden/>
    <w:unhideWhenUsed/>
    <w:qFormat/>
    <w:pPr>
      <w:keepNext/>
      <w:keepLines/>
      <w:jc w:val="left"/>
      <w:outlineLvl w:val="3"/>
    </w:pPr>
    <w:rPr>
      <w:rFonts w:cstheme="majorBidi"/>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ody Text"/>
    <w:basedOn w:val="a"/>
    <w:link w:val="11"/>
    <w:pPr>
      <w:tabs>
        <w:tab w:val="left" w:pos="720"/>
      </w:tabs>
      <w:spacing w:line="360" w:lineRule="auto"/>
    </w:pPr>
    <w:rPr>
      <w:rFonts w:ascii="等线" w:eastAsia="等线" w:hAnsiTheme="minorHAnsi"/>
      <w:sz w:val="21"/>
    </w:rPr>
  </w:style>
  <w:style w:type="paragraph" w:styleId="a6">
    <w:name w:val="Balloon Text"/>
    <w:basedOn w:val="a"/>
    <w:link w:val="a7"/>
    <w:uiPriority w:val="99"/>
    <w:semiHidden/>
    <w:unhideWhenUsed/>
    <w:pPr>
      <w:spacing w:line="240" w:lineRule="auto"/>
    </w:pPr>
    <w:rPr>
      <w:sz w:val="18"/>
      <w:szCs w:val="18"/>
    </w:rPr>
  </w:style>
  <w:style w:type="paragraph" w:styleId="a8">
    <w:name w:val="footer"/>
    <w:basedOn w:val="a"/>
    <w:link w:val="a9"/>
    <w:uiPriority w:val="99"/>
    <w:unhideWhenUsed/>
    <w:pPr>
      <w:tabs>
        <w:tab w:val="center" w:pos="4153"/>
        <w:tab w:val="right" w:pos="8306"/>
      </w:tabs>
      <w:snapToGrid w:val="0"/>
      <w:spacing w:line="240" w:lineRule="auto"/>
      <w:jc w:val="left"/>
    </w:pPr>
    <w:rPr>
      <w:sz w:val="18"/>
      <w:szCs w:val="18"/>
    </w:rPr>
  </w:style>
  <w:style w:type="paragraph" w:styleId="aa">
    <w:name w:val="header"/>
    <w:basedOn w:val="a"/>
    <w:link w:val="ab"/>
    <w:uiPriority w:val="99"/>
    <w:unhideWhenUsed/>
    <w:qFormat/>
    <w:pPr>
      <w:tabs>
        <w:tab w:val="center" w:pos="4153"/>
        <w:tab w:val="right" w:pos="8306"/>
      </w:tabs>
      <w:snapToGrid w:val="0"/>
      <w:spacing w:line="240" w:lineRule="auto"/>
      <w:jc w:val="center"/>
    </w:pPr>
    <w:rPr>
      <w:sz w:val="18"/>
      <w:szCs w:val="18"/>
    </w:rPr>
  </w:style>
  <w:style w:type="paragraph" w:styleId="ac">
    <w:name w:val="Subtitle"/>
    <w:basedOn w:val="a"/>
    <w:next w:val="a"/>
    <w:link w:val="ad"/>
    <w:uiPriority w:val="11"/>
    <w:qFormat/>
    <w:pPr>
      <w:jc w:val="left"/>
      <w:outlineLvl w:val="3"/>
    </w:pPr>
    <w:rPr>
      <w:bCs/>
      <w:kern w:val="28"/>
      <w:szCs w:val="32"/>
    </w:rPr>
  </w:style>
  <w:style w:type="paragraph" w:styleId="ae">
    <w:name w:val="Title"/>
    <w:basedOn w:val="a"/>
    <w:next w:val="a"/>
    <w:link w:val="af"/>
    <w:uiPriority w:val="10"/>
    <w:qFormat/>
    <w:pPr>
      <w:jc w:val="left"/>
      <w:outlineLvl w:val="2"/>
    </w:pPr>
    <w:rPr>
      <w:rFonts w:cstheme="majorBidi"/>
      <w:bCs/>
      <w:szCs w:val="32"/>
    </w:rPr>
  </w:style>
  <w:style w:type="paragraph" w:styleId="af0">
    <w:name w:val="annotation subject"/>
    <w:basedOn w:val="a3"/>
    <w:next w:val="a3"/>
    <w:link w:val="af1"/>
    <w:uiPriority w:val="99"/>
    <w:semiHidden/>
    <w:unhideWhenUsed/>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qFormat/>
    <w:rPr>
      <w:sz w:val="21"/>
      <w:szCs w:val="21"/>
    </w:rPr>
  </w:style>
  <w:style w:type="character" w:customStyle="1" w:styleId="10">
    <w:name w:val="标题 1 字符"/>
    <w:basedOn w:val="a0"/>
    <w:link w:val="1"/>
    <w:uiPriority w:val="9"/>
    <w:rPr>
      <w:rFonts w:ascii="Times New Roman" w:eastAsia="宋体" w:hAnsi="Times New Roman"/>
      <w:b/>
      <w:bCs/>
      <w:kern w:val="44"/>
      <w:sz w:val="24"/>
      <w:szCs w:val="44"/>
    </w:rPr>
  </w:style>
  <w:style w:type="character" w:customStyle="1" w:styleId="20">
    <w:name w:val="标题 2 字符"/>
    <w:basedOn w:val="a0"/>
    <w:link w:val="2"/>
    <w:uiPriority w:val="9"/>
    <w:rPr>
      <w:rFonts w:ascii="Times New Roman" w:eastAsia="宋体" w:hAnsi="Times New Roman" w:cstheme="majorBidi"/>
      <w:b/>
      <w:bCs/>
      <w:sz w:val="24"/>
      <w:szCs w:val="32"/>
    </w:rPr>
  </w:style>
  <w:style w:type="character" w:customStyle="1" w:styleId="af">
    <w:name w:val="标题 字符"/>
    <w:basedOn w:val="a0"/>
    <w:link w:val="ae"/>
    <w:uiPriority w:val="10"/>
    <w:qFormat/>
    <w:rPr>
      <w:rFonts w:ascii="Times New Roman" w:eastAsia="宋体" w:hAnsi="Times New Roman" w:cstheme="majorBidi"/>
      <w:bCs/>
      <w:sz w:val="24"/>
      <w:szCs w:val="32"/>
    </w:rPr>
  </w:style>
  <w:style w:type="character" w:customStyle="1" w:styleId="ad">
    <w:name w:val="副标题 字符"/>
    <w:basedOn w:val="a0"/>
    <w:link w:val="ac"/>
    <w:uiPriority w:val="11"/>
    <w:qFormat/>
    <w:rPr>
      <w:rFonts w:ascii="Times New Roman" w:eastAsia="宋体" w:hAnsi="Times New Roman"/>
      <w:bCs/>
      <w:kern w:val="28"/>
      <w:sz w:val="24"/>
      <w:szCs w:val="32"/>
    </w:rPr>
  </w:style>
  <w:style w:type="character" w:customStyle="1" w:styleId="40">
    <w:name w:val="标题 4 字符"/>
    <w:basedOn w:val="a0"/>
    <w:link w:val="4"/>
    <w:uiPriority w:val="9"/>
    <w:semiHidden/>
    <w:rPr>
      <w:rFonts w:ascii="Times New Roman" w:eastAsia="宋体" w:hAnsi="Times New Roman" w:cstheme="majorBidi"/>
      <w:bCs/>
      <w:sz w:val="28"/>
      <w:szCs w:val="28"/>
    </w:rPr>
  </w:style>
  <w:style w:type="character" w:customStyle="1" w:styleId="30">
    <w:name w:val="标题 3 字符"/>
    <w:basedOn w:val="a0"/>
    <w:link w:val="3"/>
    <w:uiPriority w:val="9"/>
    <w:rPr>
      <w:rFonts w:ascii="Times New Roman" w:eastAsia="宋体" w:hAnsi="Times New Roman"/>
      <w:bCs/>
      <w:sz w:val="24"/>
      <w:szCs w:val="32"/>
    </w:rPr>
  </w:style>
  <w:style w:type="character" w:customStyle="1" w:styleId="ab">
    <w:name w:val="页眉 字符"/>
    <w:basedOn w:val="a0"/>
    <w:link w:val="aa"/>
    <w:uiPriority w:val="99"/>
    <w:qFormat/>
    <w:rPr>
      <w:rFonts w:ascii="Times New Roman" w:eastAsia="宋体" w:hAnsi="Times New Roman"/>
      <w:sz w:val="18"/>
      <w:szCs w:val="18"/>
    </w:rPr>
  </w:style>
  <w:style w:type="character" w:customStyle="1" w:styleId="a9">
    <w:name w:val="页脚 字符"/>
    <w:basedOn w:val="a0"/>
    <w:link w:val="a8"/>
    <w:uiPriority w:val="99"/>
    <w:qFormat/>
    <w:rPr>
      <w:rFonts w:ascii="Times New Roman" w:eastAsia="宋体" w:hAnsi="Times New Roman"/>
      <w:sz w:val="18"/>
      <w:szCs w:val="18"/>
    </w:rPr>
  </w:style>
  <w:style w:type="paragraph" w:customStyle="1" w:styleId="Default">
    <w:name w:val="Default"/>
    <w:qFormat/>
    <w:pPr>
      <w:widowControl w:val="0"/>
      <w:autoSpaceDE w:val="0"/>
      <w:autoSpaceDN w:val="0"/>
      <w:adjustRightInd w:val="0"/>
    </w:pPr>
    <w:rPr>
      <w:rFonts w:ascii="黑体" w:eastAsia="黑体" w:cs="黑体"/>
      <w:color w:val="000000"/>
      <w:sz w:val="24"/>
      <w:szCs w:val="24"/>
      <w14:ligatures w14:val="standardContextual"/>
    </w:rPr>
  </w:style>
  <w:style w:type="paragraph" w:styleId="af4">
    <w:name w:val="List Paragraph"/>
    <w:basedOn w:val="a"/>
    <w:uiPriority w:val="34"/>
    <w:qFormat/>
    <w:pPr>
      <w:ind w:firstLineChars="200" w:firstLine="420"/>
    </w:pPr>
  </w:style>
  <w:style w:type="character" w:customStyle="1" w:styleId="11">
    <w:name w:val="正文文本 字符1"/>
    <w:link w:val="a5"/>
    <w:qFormat/>
    <w:rPr>
      <w:rFonts w:ascii="等线" w:eastAsia="等线"/>
    </w:rPr>
  </w:style>
  <w:style w:type="character" w:customStyle="1" w:styleId="af5">
    <w:name w:val="正文文本 字符"/>
    <w:basedOn w:val="a0"/>
    <w:uiPriority w:val="99"/>
    <w:semiHidden/>
    <w:qFormat/>
    <w:rPr>
      <w:rFonts w:ascii="Times New Roman" w:eastAsia="宋体" w:hAnsi="Times New Roman"/>
      <w:sz w:val="24"/>
    </w:rPr>
  </w:style>
  <w:style w:type="paragraph" w:customStyle="1" w:styleId="12">
    <w:name w:val="修订1"/>
    <w:hidden/>
    <w:uiPriority w:val="99"/>
    <w:semiHidden/>
    <w:rPr>
      <w:rFonts w:ascii="Times New Roman" w:eastAsia="宋体" w:hAnsi="Times New Roman"/>
      <w:kern w:val="2"/>
      <w:sz w:val="24"/>
      <w:szCs w:val="22"/>
      <w14:ligatures w14:val="standardContextual"/>
    </w:rPr>
  </w:style>
  <w:style w:type="character" w:customStyle="1" w:styleId="a4">
    <w:name w:val="批注文字 字符"/>
    <w:basedOn w:val="a0"/>
    <w:link w:val="a3"/>
    <w:uiPriority w:val="99"/>
    <w:semiHidden/>
    <w:rPr>
      <w:rFonts w:ascii="Times New Roman" w:eastAsia="宋体" w:hAnsi="Times New Roman"/>
      <w:sz w:val="24"/>
    </w:rPr>
  </w:style>
  <w:style w:type="character" w:customStyle="1" w:styleId="af1">
    <w:name w:val="批注主题 字符"/>
    <w:basedOn w:val="a4"/>
    <w:link w:val="af0"/>
    <w:uiPriority w:val="99"/>
    <w:semiHidden/>
    <w:rPr>
      <w:rFonts w:ascii="Times New Roman" w:eastAsia="宋体" w:hAnsi="Times New Roman"/>
      <w:b/>
      <w:bCs/>
      <w:sz w:val="24"/>
    </w:rPr>
  </w:style>
  <w:style w:type="character" w:customStyle="1" w:styleId="a7">
    <w:name w:val="批注框文本 字符"/>
    <w:basedOn w:val="a0"/>
    <w:link w:val="a6"/>
    <w:uiPriority w:val="99"/>
    <w:semiHidden/>
    <w:qFormat/>
    <w:rPr>
      <w:rFonts w:ascii="Times New Roman" w:eastAsia="宋体"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B739AC-903D-48E1-8E00-42D381184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3880</TotalTime>
  <Pages>7</Pages>
  <Words>571</Words>
  <Characters>3258</Characters>
  <Application>Microsoft Office Word</Application>
  <DocSecurity>0</DocSecurity>
  <Lines>27</Lines>
  <Paragraphs>7</Paragraphs>
  <ScaleCrop>false</ScaleCrop>
  <Company/>
  <LinksUpToDate>false</LinksUpToDate>
  <CharactersWithSpaces>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帅 陈</dc:creator>
  <cp:keywords/>
  <dc:description/>
  <cp:lastModifiedBy>文 陈</cp:lastModifiedBy>
  <cp:revision>15</cp:revision>
  <dcterms:created xsi:type="dcterms:W3CDTF">2025-10-16T10:12:00Z</dcterms:created>
  <dcterms:modified xsi:type="dcterms:W3CDTF">2025-11-07T07:07:00Z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eyJoZGlkIjoiNjZiNTg1NjRkYTI2NjVkYjhiMTkzYWY3ZDBlOTJlMmEiLCJ1c2VySWQiOiIxNTY5NjU2MjM1In0=</vt:lpwstr>
  </property>
  <property fmtid="{D5CDD505-2E9C-101B-9397-08002B2CF9AE}" pid="3" name="KSOProductBuildVer">
    <vt:lpwstr>2052-11.8.2.8555</vt:lpwstr>
  </property>
  <property fmtid="{D5CDD505-2E9C-101B-9397-08002B2CF9AE}" pid="4" name="ICV">
    <vt:lpwstr>0BA32746062E488FA89AD21C3818871B_12</vt:lpwstr>
  </property>
</Properties>
</file>