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CC1377">
      <w:pPr>
        <w:widowControl/>
        <w:spacing w:line="560" w:lineRule="exact"/>
        <w:jc w:val="center"/>
        <w:rPr>
          <w:rFonts w:eastAsia="方正小标宋简体"/>
          <w:bCs/>
          <w:sz w:val="44"/>
          <w:szCs w:val="44"/>
        </w:rPr>
      </w:pPr>
      <w:r>
        <w:rPr>
          <w:rFonts w:hint="eastAsia" w:eastAsia="方正小标宋简体"/>
          <w:bCs/>
          <w:sz w:val="44"/>
          <w:szCs w:val="44"/>
        </w:rPr>
        <w:t>原创性高质量团体标准《</w:t>
      </w:r>
      <w:r>
        <w:rPr>
          <w:rFonts w:hint="eastAsia" w:eastAsia="方正小标宋简体"/>
          <w:sz w:val="44"/>
          <w:szCs w:val="44"/>
          <w:lang w:eastAsia="zh-CN"/>
        </w:rPr>
        <w:t>西林句町咖啡种植管理规范</w:t>
      </w:r>
      <w:r>
        <w:rPr>
          <w:rFonts w:hint="eastAsia" w:eastAsia="方正小标宋简体"/>
          <w:sz w:val="44"/>
          <w:szCs w:val="44"/>
          <w:lang w:val="en-US" w:eastAsia="zh-CN"/>
        </w:rPr>
        <w:t>种植管理规范</w:t>
      </w:r>
      <w:r>
        <w:rPr>
          <w:rFonts w:hint="eastAsia" w:eastAsia="方正小标宋简体"/>
          <w:bCs/>
          <w:sz w:val="44"/>
          <w:szCs w:val="44"/>
        </w:rPr>
        <w:t>》（征求意见稿）编制说明</w:t>
      </w:r>
    </w:p>
    <w:p w14:paraId="5FEC3157">
      <w:pPr>
        <w:rPr>
          <w:rFonts w:ascii="宋体" w:hAnsi="宋体"/>
          <w:sz w:val="24"/>
          <w:szCs w:val="24"/>
        </w:rPr>
      </w:pPr>
    </w:p>
    <w:p w14:paraId="510B2AAE">
      <w:pPr>
        <w:numPr>
          <w:ilvl w:val="0"/>
          <w:numId w:val="3"/>
        </w:numPr>
        <w:overflowPunct w:val="0"/>
        <w:topLinePunct/>
        <w:spacing w:line="560" w:lineRule="exact"/>
        <w:outlineLvl w:val="0"/>
        <w:rPr>
          <w:rFonts w:eastAsia="黑体"/>
          <w:bCs/>
          <w:sz w:val="32"/>
          <w:szCs w:val="32"/>
        </w:rPr>
      </w:pPr>
      <w:r>
        <w:rPr>
          <w:rFonts w:hint="eastAsia" w:eastAsia="黑体"/>
          <w:bCs/>
          <w:sz w:val="32"/>
          <w:szCs w:val="32"/>
        </w:rPr>
        <w:t>任务来源、起草单位</w:t>
      </w:r>
    </w:p>
    <w:p w14:paraId="350117F1">
      <w:pPr>
        <w:overflowPunct w:val="0"/>
        <w:topLinePunct/>
        <w:spacing w:line="560" w:lineRule="exact"/>
        <w:ind w:firstLine="640"/>
        <w:rPr>
          <w:rFonts w:eastAsia="仿宋_GB2312"/>
          <w:sz w:val="32"/>
          <w:szCs w:val="32"/>
        </w:rPr>
      </w:pPr>
      <w:r>
        <w:rPr>
          <w:rFonts w:hint="eastAsia" w:eastAsia="仿宋_GB2312" w:cs="Times New Roman"/>
          <w:sz w:val="32"/>
          <w:szCs w:val="32"/>
        </w:rPr>
        <w:t>根据《广西标准化协会关于下达2025年第三十六批团体标准制修订项目计划的通知》（桂标协〔2025〕322号）文件精神，由西林县市场监督管理局、西林县农业农村局、西林县句町咖啡发展贸易有限公司、西林县桂古蒿咖啡贸易有限公司、广西西林佰香精品咖啡有限公司、</w:t>
      </w:r>
      <w:r>
        <w:rPr>
          <w:rFonts w:hint="eastAsia" w:eastAsia="仿宋_GB2312" w:cs="Times New Roman"/>
          <w:sz w:val="32"/>
          <w:szCs w:val="32"/>
          <w:lang w:eastAsia="zh-CN"/>
        </w:rPr>
        <w:t>广西丰宏食品科技有限公司</w:t>
      </w:r>
      <w:r>
        <w:rPr>
          <w:rFonts w:hint="eastAsia" w:eastAsia="仿宋_GB2312" w:cs="Times New Roman"/>
          <w:sz w:val="32"/>
          <w:szCs w:val="32"/>
        </w:rPr>
        <w:t>等单位共同起草的团体标准《</w:t>
      </w:r>
      <w:r>
        <w:rPr>
          <w:rFonts w:hint="eastAsia" w:eastAsia="仿宋_GB2312" w:cs="Times New Roman"/>
          <w:sz w:val="32"/>
          <w:szCs w:val="32"/>
          <w:lang w:eastAsia="zh-CN"/>
        </w:rPr>
        <w:t>西林句町咖啡种植管理规范</w:t>
      </w:r>
      <w:r>
        <w:rPr>
          <w:rFonts w:hint="eastAsia" w:eastAsia="仿宋_GB2312" w:cs="Times New Roman"/>
          <w:sz w:val="32"/>
          <w:szCs w:val="32"/>
        </w:rPr>
        <w:t>》（项目编号：2025-3602）</w:t>
      </w:r>
      <w:r>
        <w:rPr>
          <w:rFonts w:hint="eastAsia" w:eastAsia="仿宋_GB2312"/>
          <w:sz w:val="32"/>
          <w:szCs w:val="32"/>
        </w:rPr>
        <w:t>已获立项。</w:t>
      </w:r>
    </w:p>
    <w:p w14:paraId="7F536E91">
      <w:pPr>
        <w:pStyle w:val="15"/>
        <w:ind w:firstLine="640" w:firstLineChars="200"/>
        <w:rPr>
          <w:rFonts w:hint="eastAsia" w:eastAsia="仿宋_GB2312" w:cs="Times New Roman"/>
        </w:rPr>
      </w:pPr>
      <w:r>
        <w:rPr>
          <w:rFonts w:eastAsia="仿宋_GB2312" w:cs="Times New Roman"/>
        </w:rPr>
        <w:t>为高质量编制团体标准《</w:t>
      </w:r>
      <w:r>
        <w:rPr>
          <w:rFonts w:hint="eastAsia" w:eastAsia="仿宋_GB2312" w:cs="Times New Roman"/>
          <w:lang w:eastAsia="zh-CN"/>
        </w:rPr>
        <w:t>西林句町咖啡种植管理规范</w:t>
      </w:r>
      <w:r>
        <w:rPr>
          <w:rFonts w:eastAsia="仿宋_GB2312" w:cs="Times New Roman"/>
        </w:rPr>
        <w:t>》，由起草单位成立标准编制工作组并进行</w:t>
      </w:r>
      <w:r>
        <w:rPr>
          <w:rFonts w:hint="eastAsia" w:eastAsia="仿宋_GB2312" w:cs="Times New Roman"/>
        </w:rPr>
        <w:t>。</w:t>
      </w:r>
    </w:p>
    <w:tbl>
      <w:tblPr>
        <w:tblStyle w:val="10"/>
        <w:tblW w:w="5184"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1476"/>
        <w:gridCol w:w="2069"/>
        <w:gridCol w:w="2788"/>
        <w:gridCol w:w="1694"/>
      </w:tblGrid>
      <w:tr w14:paraId="68F769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03" w:type="pct"/>
            <w:tcBorders>
              <w:top w:val="single" w:color="auto" w:sz="8" w:space="0"/>
              <w:bottom w:val="single" w:color="auto" w:sz="8" w:space="0"/>
            </w:tcBorders>
            <w:noWrap w:val="0"/>
            <w:vAlign w:val="center"/>
          </w:tcPr>
          <w:p w14:paraId="1ECD0165">
            <w:pPr>
              <w:jc w:val="center"/>
              <w:rPr>
                <w:rFonts w:hint="eastAsia" w:ascii="仿宋_GB2312" w:hAnsi="Times New Roman" w:eastAsia="仿宋_GB2312"/>
                <w:b/>
                <w:sz w:val="24"/>
              </w:rPr>
            </w:pPr>
            <w:r>
              <w:rPr>
                <w:rFonts w:hint="eastAsia" w:ascii="仿宋_GB2312" w:hAnsi="Times New Roman" w:eastAsia="仿宋_GB2312"/>
                <w:b/>
                <w:sz w:val="24"/>
              </w:rPr>
              <w:t>姓名</w:t>
            </w:r>
          </w:p>
        </w:tc>
        <w:tc>
          <w:tcPr>
            <w:tcW w:w="776" w:type="pct"/>
            <w:tcBorders>
              <w:top w:val="single" w:color="auto" w:sz="8" w:space="0"/>
              <w:bottom w:val="single" w:color="auto" w:sz="8" w:space="0"/>
            </w:tcBorders>
            <w:noWrap w:val="0"/>
            <w:vAlign w:val="center"/>
          </w:tcPr>
          <w:p w14:paraId="4CA7491F">
            <w:pPr>
              <w:jc w:val="center"/>
              <w:rPr>
                <w:rFonts w:hint="eastAsia" w:ascii="仿宋_GB2312" w:hAnsi="Times New Roman" w:eastAsia="仿宋_GB2312"/>
                <w:b/>
                <w:sz w:val="24"/>
              </w:rPr>
            </w:pPr>
            <w:r>
              <w:rPr>
                <w:rFonts w:hint="eastAsia" w:ascii="仿宋_GB2312" w:hAnsi="Times New Roman" w:eastAsia="仿宋_GB2312"/>
                <w:b/>
                <w:sz w:val="24"/>
              </w:rPr>
              <w:t>职务/职称</w:t>
            </w:r>
          </w:p>
        </w:tc>
        <w:tc>
          <w:tcPr>
            <w:tcW w:w="1087" w:type="pct"/>
            <w:tcBorders>
              <w:top w:val="single" w:color="auto" w:sz="8" w:space="0"/>
              <w:bottom w:val="single" w:color="auto" w:sz="8" w:space="0"/>
            </w:tcBorders>
            <w:noWrap w:val="0"/>
            <w:vAlign w:val="center"/>
          </w:tcPr>
          <w:p w14:paraId="23EDBF11">
            <w:pPr>
              <w:jc w:val="center"/>
              <w:rPr>
                <w:rFonts w:hint="eastAsia" w:ascii="仿宋_GB2312" w:hAnsi="Times New Roman" w:eastAsia="仿宋_GB2312"/>
                <w:b/>
                <w:sz w:val="24"/>
              </w:rPr>
            </w:pPr>
            <w:r>
              <w:rPr>
                <w:rFonts w:hint="eastAsia" w:ascii="仿宋_GB2312" w:hAnsi="Times New Roman" w:eastAsia="仿宋_GB2312"/>
                <w:b/>
                <w:sz w:val="24"/>
              </w:rPr>
              <w:t>从事专业</w:t>
            </w:r>
          </w:p>
        </w:tc>
        <w:tc>
          <w:tcPr>
            <w:tcW w:w="1465" w:type="pct"/>
            <w:tcBorders>
              <w:top w:val="single" w:color="auto" w:sz="8" w:space="0"/>
              <w:bottom w:val="single" w:color="auto" w:sz="8" w:space="0"/>
            </w:tcBorders>
            <w:noWrap w:val="0"/>
            <w:vAlign w:val="center"/>
          </w:tcPr>
          <w:p w14:paraId="201524A4">
            <w:pPr>
              <w:jc w:val="center"/>
              <w:rPr>
                <w:rFonts w:hint="eastAsia" w:ascii="仿宋_GB2312" w:hAnsi="Times New Roman" w:eastAsia="仿宋_GB2312"/>
                <w:b/>
                <w:sz w:val="24"/>
              </w:rPr>
            </w:pPr>
            <w:r>
              <w:rPr>
                <w:rFonts w:hint="eastAsia" w:ascii="仿宋_GB2312" w:hAnsi="Times New Roman" w:eastAsia="仿宋_GB2312"/>
                <w:b/>
                <w:sz w:val="24"/>
              </w:rPr>
              <w:t>工作单位</w:t>
            </w:r>
          </w:p>
        </w:tc>
        <w:tc>
          <w:tcPr>
            <w:tcW w:w="890" w:type="pct"/>
            <w:tcBorders>
              <w:top w:val="single" w:color="auto" w:sz="8" w:space="0"/>
              <w:bottom w:val="single" w:color="auto" w:sz="8" w:space="0"/>
            </w:tcBorders>
            <w:noWrap w:val="0"/>
            <w:vAlign w:val="center"/>
          </w:tcPr>
          <w:p w14:paraId="0CDC6361">
            <w:pPr>
              <w:jc w:val="center"/>
              <w:rPr>
                <w:rFonts w:hint="eastAsia" w:ascii="仿宋_GB2312" w:hAnsi="Times New Roman" w:eastAsia="仿宋_GB2312"/>
                <w:b/>
                <w:sz w:val="24"/>
              </w:rPr>
            </w:pPr>
            <w:r>
              <w:rPr>
                <w:rFonts w:hint="eastAsia" w:ascii="仿宋_GB2312" w:hAnsi="Times New Roman" w:eastAsia="仿宋_GB2312"/>
                <w:b/>
                <w:sz w:val="24"/>
              </w:rPr>
              <w:t>责任分工</w:t>
            </w:r>
          </w:p>
        </w:tc>
      </w:tr>
      <w:tr w14:paraId="3186F5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03" w:type="pct"/>
            <w:tcBorders>
              <w:top w:val="single" w:color="auto" w:sz="8" w:space="0"/>
              <w:bottom w:val="single" w:color="auto" w:sz="8" w:space="0"/>
            </w:tcBorders>
            <w:noWrap w:val="0"/>
            <w:vAlign w:val="center"/>
          </w:tcPr>
          <w:p w14:paraId="46E296BA">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何丽宣</w:t>
            </w:r>
          </w:p>
        </w:tc>
        <w:tc>
          <w:tcPr>
            <w:tcW w:w="776" w:type="pct"/>
            <w:tcBorders>
              <w:top w:val="single" w:color="auto" w:sz="8" w:space="0"/>
              <w:bottom w:val="single" w:color="auto" w:sz="8" w:space="0"/>
            </w:tcBorders>
            <w:noWrap w:val="0"/>
            <w:vAlign w:val="center"/>
          </w:tcPr>
          <w:p w14:paraId="6DF5DC28">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副局长</w:t>
            </w:r>
          </w:p>
        </w:tc>
        <w:tc>
          <w:tcPr>
            <w:tcW w:w="1087" w:type="pct"/>
            <w:tcBorders>
              <w:top w:val="single" w:color="auto" w:sz="8" w:space="0"/>
              <w:bottom w:val="single" w:color="auto" w:sz="8" w:space="0"/>
            </w:tcBorders>
            <w:noWrap w:val="0"/>
            <w:vAlign w:val="center"/>
          </w:tcPr>
          <w:p w14:paraId="66295AE4">
            <w:pPr>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标准管理</w:t>
            </w:r>
          </w:p>
        </w:tc>
        <w:tc>
          <w:tcPr>
            <w:tcW w:w="1465" w:type="pct"/>
            <w:tcBorders>
              <w:top w:val="single" w:color="auto" w:sz="8" w:space="0"/>
              <w:bottom w:val="single" w:color="auto" w:sz="8" w:space="0"/>
            </w:tcBorders>
            <w:noWrap w:val="0"/>
            <w:vAlign w:val="center"/>
          </w:tcPr>
          <w:p w14:paraId="01A676BC">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西林县市场监督管理局</w:t>
            </w:r>
          </w:p>
        </w:tc>
        <w:tc>
          <w:tcPr>
            <w:tcW w:w="890" w:type="pct"/>
            <w:tcBorders>
              <w:top w:val="single" w:color="auto" w:sz="8" w:space="0"/>
              <w:bottom w:val="single" w:color="auto" w:sz="8" w:space="0"/>
            </w:tcBorders>
            <w:noWrap w:val="0"/>
            <w:vAlign w:val="center"/>
          </w:tcPr>
          <w:p w14:paraId="7CA1B87F">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项目统筹</w:t>
            </w:r>
          </w:p>
        </w:tc>
      </w:tr>
      <w:tr w14:paraId="3A8B30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603" w:type="pct"/>
            <w:tcBorders>
              <w:top w:val="single" w:color="auto" w:sz="8" w:space="0"/>
              <w:bottom w:val="single" w:color="auto" w:sz="8" w:space="0"/>
            </w:tcBorders>
            <w:noWrap w:val="0"/>
            <w:vAlign w:val="center"/>
          </w:tcPr>
          <w:p w14:paraId="0E833C6C">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农前朝</w:t>
            </w:r>
          </w:p>
        </w:tc>
        <w:tc>
          <w:tcPr>
            <w:tcW w:w="776" w:type="pct"/>
            <w:tcBorders>
              <w:top w:val="single" w:color="auto" w:sz="8" w:space="0"/>
              <w:bottom w:val="single" w:color="auto" w:sz="8" w:space="0"/>
            </w:tcBorders>
            <w:noWrap w:val="0"/>
            <w:vAlign w:val="center"/>
          </w:tcPr>
          <w:p w14:paraId="2A88403B">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总经理</w:t>
            </w:r>
          </w:p>
        </w:tc>
        <w:tc>
          <w:tcPr>
            <w:tcW w:w="1087" w:type="pct"/>
            <w:tcBorders>
              <w:top w:val="single" w:color="auto" w:sz="8" w:space="0"/>
              <w:bottom w:val="single" w:color="auto" w:sz="8" w:space="0"/>
            </w:tcBorders>
            <w:noWrap w:val="0"/>
            <w:vAlign w:val="center"/>
          </w:tcPr>
          <w:p w14:paraId="7F50A046">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咖啡品种试验，育苗标准制定、种植管护标准制定、咖啡初加工制定，咖啡品鉴</w:t>
            </w:r>
          </w:p>
        </w:tc>
        <w:tc>
          <w:tcPr>
            <w:tcW w:w="1465" w:type="pct"/>
            <w:tcBorders>
              <w:top w:val="single" w:color="auto" w:sz="8" w:space="0"/>
              <w:bottom w:val="single" w:color="auto" w:sz="8" w:space="0"/>
            </w:tcBorders>
            <w:noWrap w:val="0"/>
            <w:vAlign w:val="center"/>
          </w:tcPr>
          <w:p w14:paraId="2E0BF593">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西林县句町咖啡发展贸易有限公司</w:t>
            </w:r>
          </w:p>
        </w:tc>
        <w:tc>
          <w:tcPr>
            <w:tcW w:w="890" w:type="pct"/>
            <w:tcBorders>
              <w:top w:val="single" w:color="auto" w:sz="8" w:space="0"/>
              <w:bottom w:val="single" w:color="auto" w:sz="8" w:space="0"/>
            </w:tcBorders>
            <w:noWrap w:val="0"/>
            <w:vAlign w:val="center"/>
          </w:tcPr>
          <w:p w14:paraId="7C477442">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rPr>
              <w:t>数据资料收集、标准起草、撰写。</w:t>
            </w:r>
          </w:p>
        </w:tc>
      </w:tr>
      <w:tr w14:paraId="7E3484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603" w:type="pct"/>
            <w:tcBorders>
              <w:top w:val="single" w:color="auto" w:sz="8" w:space="0"/>
              <w:bottom w:val="single" w:color="auto" w:sz="8" w:space="0"/>
            </w:tcBorders>
            <w:noWrap w:val="0"/>
            <w:vAlign w:val="center"/>
          </w:tcPr>
          <w:p w14:paraId="2F867D32">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lang w:eastAsia="zh-CN"/>
              </w:rPr>
              <w:t>杨朝杰</w:t>
            </w:r>
          </w:p>
        </w:tc>
        <w:tc>
          <w:tcPr>
            <w:tcW w:w="776" w:type="pct"/>
            <w:tcBorders>
              <w:top w:val="single" w:color="auto" w:sz="8" w:space="0"/>
              <w:bottom w:val="single" w:color="auto" w:sz="8" w:space="0"/>
            </w:tcBorders>
            <w:noWrap w:val="0"/>
            <w:vAlign w:val="center"/>
          </w:tcPr>
          <w:p w14:paraId="7D5FEA7C">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lang w:eastAsia="zh-CN"/>
              </w:rPr>
              <w:t>畜牧师</w:t>
            </w:r>
          </w:p>
        </w:tc>
        <w:tc>
          <w:tcPr>
            <w:tcW w:w="1087" w:type="pct"/>
            <w:tcBorders>
              <w:top w:val="single" w:color="auto" w:sz="8" w:space="0"/>
              <w:bottom w:val="single" w:color="auto" w:sz="8" w:space="0"/>
            </w:tcBorders>
            <w:noWrap w:val="0"/>
            <w:vAlign w:val="center"/>
          </w:tcPr>
          <w:p w14:paraId="5D1F54F3">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lang w:eastAsia="zh-CN"/>
              </w:rPr>
              <w:t>园艺</w:t>
            </w:r>
          </w:p>
        </w:tc>
        <w:tc>
          <w:tcPr>
            <w:tcW w:w="1465" w:type="pct"/>
            <w:tcBorders>
              <w:top w:val="single" w:color="auto" w:sz="8" w:space="0"/>
              <w:bottom w:val="single" w:color="auto" w:sz="8" w:space="0"/>
            </w:tcBorders>
            <w:noWrap w:val="0"/>
            <w:vAlign w:val="center"/>
          </w:tcPr>
          <w:p w14:paraId="540479DC">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lang w:eastAsia="zh-CN"/>
              </w:rPr>
              <w:t>西林县农业农村局</w:t>
            </w:r>
          </w:p>
        </w:tc>
        <w:tc>
          <w:tcPr>
            <w:tcW w:w="890" w:type="pct"/>
            <w:tcBorders>
              <w:top w:val="single" w:color="auto" w:sz="8" w:space="0"/>
              <w:bottom w:val="single" w:color="auto" w:sz="8" w:space="0"/>
            </w:tcBorders>
            <w:noWrap w:val="0"/>
            <w:vAlign w:val="center"/>
          </w:tcPr>
          <w:p w14:paraId="6CEE42C0">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rPr>
              <w:t>数据资料收集、标准起草、撰写。</w:t>
            </w:r>
          </w:p>
        </w:tc>
      </w:tr>
      <w:tr w14:paraId="4A1738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3" w:type="pct"/>
            <w:tcBorders>
              <w:top w:val="single" w:color="auto" w:sz="8" w:space="0"/>
              <w:bottom w:val="single" w:color="auto" w:sz="8" w:space="0"/>
            </w:tcBorders>
            <w:noWrap w:val="0"/>
            <w:vAlign w:val="center"/>
          </w:tcPr>
          <w:p w14:paraId="2716F187">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贺寿练</w:t>
            </w:r>
          </w:p>
        </w:tc>
        <w:tc>
          <w:tcPr>
            <w:tcW w:w="776" w:type="pct"/>
            <w:tcBorders>
              <w:top w:val="single" w:color="auto" w:sz="8" w:space="0"/>
              <w:bottom w:val="single" w:color="auto" w:sz="8" w:space="0"/>
            </w:tcBorders>
            <w:noWrap w:val="0"/>
            <w:vAlign w:val="center"/>
          </w:tcPr>
          <w:p w14:paraId="741C7088">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初级药士</w:t>
            </w:r>
          </w:p>
        </w:tc>
        <w:tc>
          <w:tcPr>
            <w:tcW w:w="1087" w:type="pct"/>
            <w:tcBorders>
              <w:top w:val="single" w:color="auto" w:sz="8" w:space="0"/>
              <w:bottom w:val="single" w:color="auto" w:sz="8" w:space="0"/>
            </w:tcBorders>
            <w:noWrap w:val="0"/>
            <w:vAlign w:val="center"/>
          </w:tcPr>
          <w:p w14:paraId="0A7D7936">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食品检验</w:t>
            </w:r>
          </w:p>
        </w:tc>
        <w:tc>
          <w:tcPr>
            <w:tcW w:w="1465" w:type="pct"/>
            <w:tcBorders>
              <w:top w:val="single" w:color="auto" w:sz="8" w:space="0"/>
              <w:bottom w:val="single" w:color="auto" w:sz="8" w:space="0"/>
            </w:tcBorders>
            <w:noWrap w:val="0"/>
            <w:vAlign w:val="center"/>
          </w:tcPr>
          <w:p w14:paraId="5F38EF67">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西林县食品药品检验检测中心</w:t>
            </w:r>
          </w:p>
        </w:tc>
        <w:tc>
          <w:tcPr>
            <w:tcW w:w="890" w:type="pct"/>
            <w:tcBorders>
              <w:top w:val="single" w:color="auto" w:sz="8" w:space="0"/>
              <w:bottom w:val="single" w:color="auto" w:sz="8" w:space="0"/>
            </w:tcBorders>
            <w:noWrap w:val="0"/>
            <w:vAlign w:val="center"/>
          </w:tcPr>
          <w:p w14:paraId="48440660">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数据资料收集、标准起草、撰写</w:t>
            </w:r>
            <w:r>
              <w:rPr>
                <w:rFonts w:hint="eastAsia" w:ascii="仿宋_GB2312" w:hAnsi="仿宋_GB2312" w:eastAsia="仿宋_GB2312" w:cs="仿宋_GB2312"/>
                <w:sz w:val="24"/>
                <w:szCs w:val="24"/>
                <w:lang w:eastAsia="zh-CN"/>
              </w:rPr>
              <w:t>。</w:t>
            </w:r>
          </w:p>
        </w:tc>
      </w:tr>
      <w:tr w14:paraId="70D598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603" w:type="pct"/>
            <w:tcBorders>
              <w:top w:val="single" w:color="auto" w:sz="8" w:space="0"/>
              <w:bottom w:val="single" w:color="auto" w:sz="8" w:space="0"/>
            </w:tcBorders>
            <w:noWrap w:val="0"/>
            <w:vAlign w:val="center"/>
          </w:tcPr>
          <w:p w14:paraId="63B04555">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韦淑珍</w:t>
            </w:r>
          </w:p>
        </w:tc>
        <w:tc>
          <w:tcPr>
            <w:tcW w:w="776" w:type="pct"/>
            <w:tcBorders>
              <w:top w:val="single" w:color="auto" w:sz="8" w:space="0"/>
              <w:bottom w:val="single" w:color="auto" w:sz="8" w:space="0"/>
            </w:tcBorders>
            <w:noWrap w:val="0"/>
            <w:vAlign w:val="center"/>
          </w:tcPr>
          <w:p w14:paraId="1C9BED42">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标准化股股长</w:t>
            </w:r>
          </w:p>
        </w:tc>
        <w:tc>
          <w:tcPr>
            <w:tcW w:w="1087" w:type="pct"/>
            <w:tcBorders>
              <w:top w:val="single" w:color="auto" w:sz="8" w:space="0"/>
              <w:bottom w:val="single" w:color="auto" w:sz="8" w:space="0"/>
            </w:tcBorders>
            <w:noWrap w:val="0"/>
            <w:vAlign w:val="center"/>
          </w:tcPr>
          <w:p w14:paraId="78366794">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标准管理</w:t>
            </w:r>
          </w:p>
        </w:tc>
        <w:tc>
          <w:tcPr>
            <w:tcW w:w="1465" w:type="pct"/>
            <w:tcBorders>
              <w:top w:val="single" w:color="auto" w:sz="8" w:space="0"/>
              <w:bottom w:val="single" w:color="auto" w:sz="8" w:space="0"/>
            </w:tcBorders>
            <w:noWrap w:val="0"/>
            <w:vAlign w:val="center"/>
          </w:tcPr>
          <w:p w14:paraId="60620108">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西林县市场监督管理局</w:t>
            </w:r>
          </w:p>
        </w:tc>
        <w:tc>
          <w:tcPr>
            <w:tcW w:w="890" w:type="pct"/>
            <w:tcBorders>
              <w:top w:val="single" w:color="auto" w:sz="8" w:space="0"/>
              <w:bottom w:val="single" w:color="auto" w:sz="8" w:space="0"/>
            </w:tcBorders>
            <w:noWrap w:val="0"/>
            <w:vAlign w:val="center"/>
          </w:tcPr>
          <w:p w14:paraId="3BD4900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指导项目设计、立项申报、组织撰写、验收、发布等。</w:t>
            </w:r>
          </w:p>
        </w:tc>
      </w:tr>
      <w:tr w14:paraId="19BFEC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03" w:type="pct"/>
            <w:tcBorders>
              <w:top w:val="single" w:color="auto" w:sz="8" w:space="0"/>
              <w:bottom w:val="single" w:color="auto" w:sz="8" w:space="0"/>
            </w:tcBorders>
            <w:noWrap w:val="0"/>
            <w:vAlign w:val="center"/>
          </w:tcPr>
          <w:p w14:paraId="168E02F8">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李林蔚</w:t>
            </w:r>
          </w:p>
        </w:tc>
        <w:tc>
          <w:tcPr>
            <w:tcW w:w="776" w:type="pct"/>
            <w:tcBorders>
              <w:top w:val="single" w:color="auto" w:sz="8" w:space="0"/>
              <w:bottom w:val="single" w:color="auto" w:sz="8" w:space="0"/>
            </w:tcBorders>
            <w:noWrap w:val="0"/>
            <w:vAlign w:val="center"/>
          </w:tcPr>
          <w:p w14:paraId="0BA7B2C3">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副局长</w:t>
            </w:r>
          </w:p>
        </w:tc>
        <w:tc>
          <w:tcPr>
            <w:tcW w:w="1087" w:type="pct"/>
            <w:tcBorders>
              <w:top w:val="single" w:color="auto" w:sz="8" w:space="0"/>
              <w:bottom w:val="single" w:color="auto" w:sz="8" w:space="0"/>
            </w:tcBorders>
            <w:noWrap w:val="0"/>
            <w:vAlign w:val="center"/>
          </w:tcPr>
          <w:p w14:paraId="291A7F41">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园艺</w:t>
            </w:r>
          </w:p>
        </w:tc>
        <w:tc>
          <w:tcPr>
            <w:tcW w:w="1465" w:type="pct"/>
            <w:tcBorders>
              <w:top w:val="single" w:color="auto" w:sz="8" w:space="0"/>
              <w:bottom w:val="single" w:color="auto" w:sz="8" w:space="0"/>
            </w:tcBorders>
            <w:noWrap w:val="0"/>
            <w:vAlign w:val="center"/>
          </w:tcPr>
          <w:p w14:paraId="60CF5BAB">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西林县农业农村局</w:t>
            </w:r>
          </w:p>
        </w:tc>
        <w:tc>
          <w:tcPr>
            <w:tcW w:w="890" w:type="pct"/>
            <w:tcBorders>
              <w:top w:val="single" w:color="auto" w:sz="8" w:space="0"/>
              <w:bottom w:val="single" w:color="auto" w:sz="8" w:space="0"/>
            </w:tcBorders>
            <w:noWrap w:val="0"/>
            <w:vAlign w:val="center"/>
          </w:tcPr>
          <w:p w14:paraId="32D3F7F4">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指导项目设计、立项申报、参与撰写等。</w:t>
            </w:r>
          </w:p>
        </w:tc>
      </w:tr>
      <w:tr w14:paraId="516D68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03" w:type="pct"/>
            <w:tcBorders>
              <w:top w:val="single" w:color="auto" w:sz="8" w:space="0"/>
              <w:bottom w:val="single" w:color="auto" w:sz="8" w:space="0"/>
            </w:tcBorders>
            <w:noWrap w:val="0"/>
            <w:vAlign w:val="center"/>
          </w:tcPr>
          <w:p w14:paraId="08888872">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陈奕希</w:t>
            </w:r>
          </w:p>
        </w:tc>
        <w:tc>
          <w:tcPr>
            <w:tcW w:w="776" w:type="pct"/>
            <w:tcBorders>
              <w:top w:val="single" w:color="auto" w:sz="8" w:space="0"/>
              <w:bottom w:val="single" w:color="auto" w:sz="8" w:space="0"/>
            </w:tcBorders>
            <w:noWrap w:val="0"/>
            <w:vAlign w:val="center"/>
          </w:tcPr>
          <w:p w14:paraId="4A7D3AA4">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高级农艺师</w:t>
            </w:r>
          </w:p>
        </w:tc>
        <w:tc>
          <w:tcPr>
            <w:tcW w:w="1087" w:type="pct"/>
            <w:tcBorders>
              <w:top w:val="single" w:color="auto" w:sz="8" w:space="0"/>
              <w:bottom w:val="single" w:color="auto" w:sz="8" w:space="0"/>
            </w:tcBorders>
            <w:noWrap w:val="0"/>
            <w:vAlign w:val="center"/>
          </w:tcPr>
          <w:p w14:paraId="2E4ACD3A">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园艺</w:t>
            </w:r>
          </w:p>
        </w:tc>
        <w:tc>
          <w:tcPr>
            <w:tcW w:w="1465" w:type="pct"/>
            <w:tcBorders>
              <w:top w:val="single" w:color="auto" w:sz="8" w:space="0"/>
              <w:bottom w:val="single" w:color="auto" w:sz="8" w:space="0"/>
            </w:tcBorders>
            <w:noWrap w:val="0"/>
            <w:vAlign w:val="center"/>
          </w:tcPr>
          <w:p w14:paraId="1CD0C2C1">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西林县农业农村局</w:t>
            </w:r>
          </w:p>
        </w:tc>
        <w:tc>
          <w:tcPr>
            <w:tcW w:w="890" w:type="pct"/>
            <w:tcBorders>
              <w:top w:val="single" w:color="auto" w:sz="8" w:space="0"/>
              <w:bottom w:val="single" w:color="auto" w:sz="8" w:space="0"/>
            </w:tcBorders>
            <w:noWrap w:val="0"/>
            <w:vAlign w:val="center"/>
          </w:tcPr>
          <w:p w14:paraId="1D5FB7FE">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数据资料收集、标准起草、撰写。</w:t>
            </w:r>
          </w:p>
        </w:tc>
      </w:tr>
      <w:tr w14:paraId="13124C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03" w:type="pct"/>
            <w:tcBorders>
              <w:top w:val="single" w:color="auto" w:sz="8" w:space="0"/>
              <w:bottom w:val="single" w:color="auto" w:sz="8" w:space="0"/>
            </w:tcBorders>
            <w:noWrap w:val="0"/>
            <w:vAlign w:val="center"/>
          </w:tcPr>
          <w:p w14:paraId="32D78C16">
            <w:pPr>
              <w:jc w:val="center"/>
              <w:rPr>
                <w:rFonts w:hint="default"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lang w:val="en-US" w:eastAsia="zh-CN"/>
              </w:rPr>
              <w:t>顾尚功</w:t>
            </w:r>
          </w:p>
        </w:tc>
        <w:tc>
          <w:tcPr>
            <w:tcW w:w="776" w:type="pct"/>
            <w:tcBorders>
              <w:top w:val="single" w:color="auto" w:sz="8" w:space="0"/>
              <w:bottom w:val="single" w:color="auto" w:sz="8" w:space="0"/>
            </w:tcBorders>
            <w:noWrap w:val="0"/>
            <w:vAlign w:val="center"/>
          </w:tcPr>
          <w:p w14:paraId="3F84A9D6">
            <w:pPr>
              <w:jc w:val="center"/>
              <w:rPr>
                <w:rFonts w:hint="default"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lang w:val="en-US" w:eastAsia="zh-CN"/>
              </w:rPr>
              <w:t>农艺师</w:t>
            </w:r>
          </w:p>
        </w:tc>
        <w:tc>
          <w:tcPr>
            <w:tcW w:w="1087" w:type="pct"/>
            <w:tcBorders>
              <w:top w:val="single" w:color="auto" w:sz="8" w:space="0"/>
              <w:bottom w:val="single" w:color="auto" w:sz="8" w:space="0"/>
            </w:tcBorders>
            <w:noWrap w:val="0"/>
            <w:vAlign w:val="center"/>
          </w:tcPr>
          <w:p w14:paraId="0B16644B">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lang w:val="en-US" w:eastAsia="zh-CN"/>
              </w:rPr>
              <w:t>农学</w:t>
            </w:r>
          </w:p>
        </w:tc>
        <w:tc>
          <w:tcPr>
            <w:tcW w:w="1465" w:type="pct"/>
            <w:tcBorders>
              <w:top w:val="single" w:color="auto" w:sz="8" w:space="0"/>
              <w:bottom w:val="single" w:color="auto" w:sz="8" w:space="0"/>
            </w:tcBorders>
            <w:noWrap w:val="0"/>
            <w:vAlign w:val="center"/>
          </w:tcPr>
          <w:p w14:paraId="74CA7133">
            <w:pPr>
              <w:jc w:val="center"/>
              <w:rPr>
                <w:rFonts w:hint="default"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lang w:val="en-US" w:eastAsia="zh-CN"/>
              </w:rPr>
              <w:t>西林县农业农村局</w:t>
            </w:r>
          </w:p>
        </w:tc>
        <w:tc>
          <w:tcPr>
            <w:tcW w:w="890" w:type="pct"/>
            <w:tcBorders>
              <w:top w:val="single" w:color="auto" w:sz="8" w:space="0"/>
              <w:bottom w:val="single" w:color="auto" w:sz="8" w:space="0"/>
            </w:tcBorders>
            <w:noWrap w:val="0"/>
            <w:vAlign w:val="center"/>
          </w:tcPr>
          <w:p w14:paraId="4D9516E4">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rPr>
              <w:t>数据资料收集、标准起草、撰写。</w:t>
            </w:r>
          </w:p>
        </w:tc>
      </w:tr>
      <w:tr w14:paraId="73B85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03" w:type="pct"/>
            <w:tcBorders>
              <w:top w:val="single" w:color="auto" w:sz="8" w:space="0"/>
              <w:bottom w:val="single" w:color="auto" w:sz="8" w:space="0"/>
            </w:tcBorders>
            <w:noWrap w:val="0"/>
            <w:vAlign w:val="center"/>
          </w:tcPr>
          <w:p w14:paraId="3EC24097">
            <w:pPr>
              <w:jc w:val="center"/>
              <w:rPr>
                <w:rFonts w:hint="default"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kern w:val="2"/>
                <w:sz w:val="24"/>
                <w:szCs w:val="24"/>
                <w:u w:val="none"/>
                <w:lang w:val="en-US" w:eastAsia="zh-CN" w:bidi="ar-SA"/>
              </w:rPr>
              <w:t>覃利和</w:t>
            </w:r>
          </w:p>
        </w:tc>
        <w:tc>
          <w:tcPr>
            <w:tcW w:w="776" w:type="pct"/>
            <w:tcBorders>
              <w:top w:val="single" w:color="auto" w:sz="8" w:space="0"/>
              <w:bottom w:val="single" w:color="auto" w:sz="8" w:space="0"/>
            </w:tcBorders>
            <w:noWrap w:val="0"/>
            <w:vAlign w:val="center"/>
          </w:tcPr>
          <w:p w14:paraId="22230653">
            <w:pPr>
              <w:jc w:val="center"/>
              <w:rPr>
                <w:rFonts w:hint="default"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kern w:val="2"/>
                <w:sz w:val="24"/>
                <w:szCs w:val="24"/>
                <w:u w:val="none"/>
                <w:lang w:val="en-US" w:eastAsia="zh-CN" w:bidi="ar-SA"/>
              </w:rPr>
              <w:t>农艺师</w:t>
            </w:r>
          </w:p>
        </w:tc>
        <w:tc>
          <w:tcPr>
            <w:tcW w:w="1087" w:type="pct"/>
            <w:tcBorders>
              <w:top w:val="single" w:color="auto" w:sz="8" w:space="0"/>
              <w:bottom w:val="single" w:color="auto" w:sz="8" w:space="0"/>
            </w:tcBorders>
            <w:noWrap w:val="0"/>
            <w:vAlign w:val="center"/>
          </w:tcPr>
          <w:p w14:paraId="49C56355">
            <w:pPr>
              <w:jc w:val="center"/>
              <w:rPr>
                <w:rFonts w:hint="default"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kern w:val="2"/>
                <w:sz w:val="24"/>
                <w:szCs w:val="24"/>
                <w:u w:val="none"/>
                <w:lang w:val="en-US" w:eastAsia="zh-CN" w:bidi="ar-SA"/>
              </w:rPr>
              <w:t>园艺</w:t>
            </w:r>
          </w:p>
        </w:tc>
        <w:tc>
          <w:tcPr>
            <w:tcW w:w="1465" w:type="pct"/>
            <w:tcBorders>
              <w:top w:val="single" w:color="auto" w:sz="8" w:space="0"/>
              <w:bottom w:val="single" w:color="auto" w:sz="8" w:space="0"/>
            </w:tcBorders>
            <w:noWrap w:val="0"/>
            <w:vAlign w:val="center"/>
          </w:tcPr>
          <w:p w14:paraId="2C4D267A">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lang w:eastAsia="zh-CN"/>
              </w:rPr>
              <w:t>西林县农业农村局</w:t>
            </w:r>
          </w:p>
        </w:tc>
        <w:tc>
          <w:tcPr>
            <w:tcW w:w="890" w:type="pct"/>
            <w:tcBorders>
              <w:top w:val="single" w:color="auto" w:sz="8" w:space="0"/>
              <w:bottom w:val="single" w:color="auto" w:sz="8" w:space="0"/>
            </w:tcBorders>
            <w:noWrap w:val="0"/>
            <w:vAlign w:val="center"/>
          </w:tcPr>
          <w:p w14:paraId="18D5844D">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rPr>
              <w:t>数据资料收集、标准起草、撰写。</w:t>
            </w:r>
          </w:p>
        </w:tc>
      </w:tr>
      <w:tr w14:paraId="253BC1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03" w:type="pct"/>
            <w:tcBorders>
              <w:top w:val="single" w:color="auto" w:sz="8" w:space="0"/>
              <w:bottom w:val="single" w:color="auto" w:sz="8" w:space="0"/>
            </w:tcBorders>
            <w:noWrap w:val="0"/>
            <w:vAlign w:val="center"/>
          </w:tcPr>
          <w:p w14:paraId="6DE4112E">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李松柏</w:t>
            </w:r>
          </w:p>
        </w:tc>
        <w:tc>
          <w:tcPr>
            <w:tcW w:w="776" w:type="pct"/>
            <w:tcBorders>
              <w:top w:val="single" w:color="auto" w:sz="8" w:space="0"/>
              <w:bottom w:val="single" w:color="auto" w:sz="8" w:space="0"/>
            </w:tcBorders>
            <w:noWrap w:val="0"/>
            <w:vAlign w:val="center"/>
          </w:tcPr>
          <w:p w14:paraId="7D32E588">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初级药士</w:t>
            </w:r>
          </w:p>
        </w:tc>
        <w:tc>
          <w:tcPr>
            <w:tcW w:w="1087" w:type="pct"/>
            <w:tcBorders>
              <w:top w:val="single" w:color="auto" w:sz="8" w:space="0"/>
              <w:bottom w:val="single" w:color="auto" w:sz="8" w:space="0"/>
            </w:tcBorders>
            <w:noWrap w:val="0"/>
            <w:vAlign w:val="center"/>
          </w:tcPr>
          <w:p w14:paraId="7B44DAB0">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食品检验</w:t>
            </w:r>
          </w:p>
        </w:tc>
        <w:tc>
          <w:tcPr>
            <w:tcW w:w="1465" w:type="pct"/>
            <w:tcBorders>
              <w:top w:val="single" w:color="auto" w:sz="8" w:space="0"/>
              <w:bottom w:val="single" w:color="auto" w:sz="8" w:space="0"/>
            </w:tcBorders>
            <w:noWrap w:val="0"/>
            <w:vAlign w:val="center"/>
          </w:tcPr>
          <w:p w14:paraId="1D0EF78D">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西林县食品药品检验检测中心</w:t>
            </w:r>
          </w:p>
        </w:tc>
        <w:tc>
          <w:tcPr>
            <w:tcW w:w="890" w:type="pct"/>
            <w:tcBorders>
              <w:top w:val="single" w:color="auto" w:sz="8" w:space="0"/>
              <w:bottom w:val="single" w:color="auto" w:sz="8" w:space="0"/>
            </w:tcBorders>
            <w:noWrap w:val="0"/>
            <w:vAlign w:val="center"/>
          </w:tcPr>
          <w:p w14:paraId="3471A8FC">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数据资料收集、标准起草、撰写。</w:t>
            </w:r>
          </w:p>
        </w:tc>
      </w:tr>
      <w:tr w14:paraId="161D7B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03" w:type="pct"/>
            <w:tcBorders>
              <w:top w:val="single" w:color="auto" w:sz="8" w:space="0"/>
              <w:bottom w:val="single" w:color="auto" w:sz="8" w:space="0"/>
            </w:tcBorders>
            <w:noWrap w:val="0"/>
            <w:vAlign w:val="center"/>
          </w:tcPr>
          <w:p w14:paraId="13DA0FAB">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kern w:val="2"/>
                <w:sz w:val="24"/>
                <w:szCs w:val="24"/>
                <w:u w:val="none"/>
                <w:lang w:val="en-US" w:eastAsia="zh-CN" w:bidi="ar-SA"/>
              </w:rPr>
              <w:t>罗天武</w:t>
            </w:r>
          </w:p>
        </w:tc>
        <w:tc>
          <w:tcPr>
            <w:tcW w:w="776" w:type="pct"/>
            <w:tcBorders>
              <w:top w:val="single" w:color="auto" w:sz="8" w:space="0"/>
              <w:bottom w:val="single" w:color="auto" w:sz="8" w:space="0"/>
            </w:tcBorders>
            <w:noWrap w:val="0"/>
            <w:vAlign w:val="center"/>
          </w:tcPr>
          <w:p w14:paraId="00D1133A">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kern w:val="2"/>
                <w:sz w:val="24"/>
                <w:szCs w:val="24"/>
                <w:u w:val="none"/>
                <w:lang w:val="en-US" w:eastAsia="zh-CN" w:bidi="ar-SA"/>
              </w:rPr>
              <w:t>执业药师</w:t>
            </w:r>
          </w:p>
        </w:tc>
        <w:tc>
          <w:tcPr>
            <w:tcW w:w="1087" w:type="pct"/>
            <w:tcBorders>
              <w:top w:val="single" w:color="auto" w:sz="8" w:space="0"/>
              <w:bottom w:val="single" w:color="auto" w:sz="8" w:space="0"/>
            </w:tcBorders>
            <w:noWrap w:val="0"/>
            <w:vAlign w:val="center"/>
          </w:tcPr>
          <w:p w14:paraId="0A812CC5">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kern w:val="2"/>
                <w:sz w:val="24"/>
                <w:szCs w:val="24"/>
                <w:u w:val="none"/>
                <w:lang w:val="en-US" w:eastAsia="zh-CN" w:bidi="ar-SA"/>
              </w:rPr>
              <w:t>食品检验</w:t>
            </w:r>
          </w:p>
        </w:tc>
        <w:tc>
          <w:tcPr>
            <w:tcW w:w="1465" w:type="pct"/>
            <w:tcBorders>
              <w:top w:val="single" w:color="auto" w:sz="8" w:space="0"/>
              <w:bottom w:val="single" w:color="auto" w:sz="8" w:space="0"/>
            </w:tcBorders>
            <w:noWrap w:val="0"/>
            <w:vAlign w:val="center"/>
          </w:tcPr>
          <w:p w14:paraId="77609E98">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kern w:val="2"/>
                <w:sz w:val="24"/>
                <w:szCs w:val="24"/>
                <w:u w:val="none"/>
                <w:lang w:val="en-US" w:eastAsia="zh-CN" w:bidi="ar-SA"/>
              </w:rPr>
              <w:t>西林县食品药品检验检测中心</w:t>
            </w:r>
          </w:p>
        </w:tc>
        <w:tc>
          <w:tcPr>
            <w:tcW w:w="890" w:type="pct"/>
            <w:tcBorders>
              <w:top w:val="single" w:color="auto" w:sz="8" w:space="0"/>
              <w:bottom w:val="single" w:color="auto" w:sz="8" w:space="0"/>
            </w:tcBorders>
            <w:noWrap w:val="0"/>
            <w:vAlign w:val="center"/>
          </w:tcPr>
          <w:p w14:paraId="6256818E">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rPr>
              <w:t>数据资料收集、标准起草、撰写。</w:t>
            </w:r>
          </w:p>
        </w:tc>
      </w:tr>
      <w:tr w14:paraId="27B2AE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03" w:type="pct"/>
            <w:tcBorders>
              <w:top w:val="single" w:color="auto" w:sz="8" w:space="0"/>
              <w:bottom w:val="single" w:color="auto" w:sz="8" w:space="0"/>
            </w:tcBorders>
            <w:noWrap w:val="0"/>
            <w:vAlign w:val="center"/>
          </w:tcPr>
          <w:p w14:paraId="3305E792">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谢文祥</w:t>
            </w:r>
          </w:p>
        </w:tc>
        <w:tc>
          <w:tcPr>
            <w:tcW w:w="776" w:type="pct"/>
            <w:tcBorders>
              <w:top w:val="single" w:color="auto" w:sz="8" w:space="0"/>
              <w:bottom w:val="single" w:color="auto" w:sz="8" w:space="0"/>
            </w:tcBorders>
            <w:noWrap w:val="0"/>
            <w:vAlign w:val="center"/>
          </w:tcPr>
          <w:p w14:paraId="2BF530CA">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助理工程师（食品）</w:t>
            </w:r>
          </w:p>
        </w:tc>
        <w:tc>
          <w:tcPr>
            <w:tcW w:w="1087" w:type="pct"/>
            <w:tcBorders>
              <w:top w:val="single" w:color="auto" w:sz="8" w:space="0"/>
              <w:bottom w:val="single" w:color="auto" w:sz="8" w:space="0"/>
            </w:tcBorders>
            <w:noWrap w:val="0"/>
            <w:vAlign w:val="center"/>
          </w:tcPr>
          <w:p w14:paraId="7F9A355E">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食品检验</w:t>
            </w:r>
          </w:p>
        </w:tc>
        <w:tc>
          <w:tcPr>
            <w:tcW w:w="1465" w:type="pct"/>
            <w:tcBorders>
              <w:top w:val="single" w:color="auto" w:sz="8" w:space="0"/>
              <w:bottom w:val="single" w:color="auto" w:sz="8" w:space="0"/>
            </w:tcBorders>
            <w:noWrap w:val="0"/>
            <w:vAlign w:val="center"/>
          </w:tcPr>
          <w:p w14:paraId="3D289AED">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auto"/>
                <w:kern w:val="2"/>
                <w:sz w:val="24"/>
                <w:szCs w:val="24"/>
                <w:u w:val="none"/>
                <w:lang w:val="en-US" w:eastAsia="zh-CN" w:bidi="ar-SA"/>
              </w:rPr>
              <w:t>西林县食品药品检验检测中心</w:t>
            </w:r>
          </w:p>
        </w:tc>
        <w:tc>
          <w:tcPr>
            <w:tcW w:w="890" w:type="pct"/>
            <w:tcBorders>
              <w:top w:val="single" w:color="auto" w:sz="8" w:space="0"/>
              <w:bottom w:val="single" w:color="auto" w:sz="8" w:space="0"/>
            </w:tcBorders>
            <w:noWrap w:val="0"/>
            <w:vAlign w:val="center"/>
          </w:tcPr>
          <w:p w14:paraId="70DE7B02">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rPr>
              <w:t>数据资料收集、标准起草、撰写。</w:t>
            </w:r>
          </w:p>
        </w:tc>
      </w:tr>
      <w:tr w14:paraId="3004A5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03" w:type="pct"/>
            <w:tcBorders>
              <w:top w:val="single" w:color="auto" w:sz="8" w:space="0"/>
              <w:bottom w:val="single" w:color="auto" w:sz="8" w:space="0"/>
            </w:tcBorders>
            <w:noWrap w:val="0"/>
            <w:vAlign w:val="center"/>
          </w:tcPr>
          <w:p w14:paraId="7135F1AA">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罗茱娟</w:t>
            </w:r>
          </w:p>
        </w:tc>
        <w:tc>
          <w:tcPr>
            <w:tcW w:w="776" w:type="pct"/>
            <w:tcBorders>
              <w:top w:val="single" w:color="auto" w:sz="8" w:space="0"/>
              <w:bottom w:val="single" w:color="auto" w:sz="8" w:space="0"/>
            </w:tcBorders>
            <w:noWrap w:val="0"/>
            <w:vAlign w:val="center"/>
          </w:tcPr>
          <w:p w14:paraId="64B3788A">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初级药士</w:t>
            </w:r>
          </w:p>
        </w:tc>
        <w:tc>
          <w:tcPr>
            <w:tcW w:w="1087" w:type="pct"/>
            <w:tcBorders>
              <w:top w:val="single" w:color="auto" w:sz="8" w:space="0"/>
              <w:bottom w:val="single" w:color="auto" w:sz="8" w:space="0"/>
            </w:tcBorders>
            <w:noWrap w:val="0"/>
            <w:vAlign w:val="center"/>
          </w:tcPr>
          <w:p w14:paraId="4B7D1E13">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食品检验</w:t>
            </w:r>
          </w:p>
        </w:tc>
        <w:tc>
          <w:tcPr>
            <w:tcW w:w="1465" w:type="pct"/>
            <w:tcBorders>
              <w:top w:val="single" w:color="auto" w:sz="8" w:space="0"/>
              <w:bottom w:val="single" w:color="auto" w:sz="8" w:space="0"/>
            </w:tcBorders>
            <w:noWrap w:val="0"/>
            <w:vAlign w:val="center"/>
          </w:tcPr>
          <w:p w14:paraId="19E65D61">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auto"/>
                <w:kern w:val="2"/>
                <w:sz w:val="24"/>
                <w:szCs w:val="24"/>
                <w:u w:val="none"/>
                <w:lang w:val="en-US" w:eastAsia="zh-CN" w:bidi="ar-SA"/>
              </w:rPr>
              <w:t>西林县食品药品检验检测中心</w:t>
            </w:r>
          </w:p>
        </w:tc>
        <w:tc>
          <w:tcPr>
            <w:tcW w:w="890" w:type="pct"/>
            <w:tcBorders>
              <w:top w:val="single" w:color="auto" w:sz="8" w:space="0"/>
              <w:bottom w:val="single" w:color="auto" w:sz="8" w:space="0"/>
            </w:tcBorders>
            <w:noWrap w:val="0"/>
            <w:vAlign w:val="center"/>
          </w:tcPr>
          <w:p w14:paraId="1ABC7FF2">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rPr>
              <w:t>数据资料收集、标准起草、撰写。</w:t>
            </w:r>
          </w:p>
        </w:tc>
      </w:tr>
      <w:tr w14:paraId="15612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03" w:type="pct"/>
            <w:tcBorders>
              <w:top w:val="single" w:color="auto" w:sz="8" w:space="0"/>
              <w:bottom w:val="single" w:color="auto" w:sz="8" w:space="0"/>
            </w:tcBorders>
            <w:noWrap w:val="0"/>
            <w:vAlign w:val="center"/>
          </w:tcPr>
          <w:p w14:paraId="188BF616">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农光禄</w:t>
            </w:r>
          </w:p>
        </w:tc>
        <w:tc>
          <w:tcPr>
            <w:tcW w:w="776" w:type="pct"/>
            <w:tcBorders>
              <w:top w:val="single" w:color="auto" w:sz="8" w:space="0"/>
              <w:bottom w:val="single" w:color="auto" w:sz="8" w:space="0"/>
            </w:tcBorders>
            <w:noWrap w:val="0"/>
            <w:vAlign w:val="center"/>
          </w:tcPr>
          <w:p w14:paraId="7FD83F63">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总经理</w:t>
            </w:r>
          </w:p>
        </w:tc>
        <w:tc>
          <w:tcPr>
            <w:tcW w:w="1087" w:type="pct"/>
            <w:tcBorders>
              <w:top w:val="single" w:color="auto" w:sz="8" w:space="0"/>
              <w:bottom w:val="single" w:color="auto" w:sz="8" w:space="0"/>
            </w:tcBorders>
            <w:noWrap w:val="0"/>
            <w:vAlign w:val="center"/>
          </w:tcPr>
          <w:p w14:paraId="45D8E0C7">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咖啡育苗、种植推广，协助初加工工作</w:t>
            </w:r>
          </w:p>
        </w:tc>
        <w:tc>
          <w:tcPr>
            <w:tcW w:w="1465" w:type="pct"/>
            <w:tcBorders>
              <w:top w:val="single" w:color="auto" w:sz="8" w:space="0"/>
              <w:bottom w:val="single" w:color="auto" w:sz="8" w:space="0"/>
            </w:tcBorders>
            <w:noWrap w:val="0"/>
            <w:vAlign w:val="center"/>
          </w:tcPr>
          <w:p w14:paraId="6AEDD5C8">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广西西林佰香精品咖啡有限公司</w:t>
            </w:r>
          </w:p>
        </w:tc>
        <w:tc>
          <w:tcPr>
            <w:tcW w:w="890" w:type="pct"/>
            <w:tcBorders>
              <w:top w:val="single" w:color="auto" w:sz="8" w:space="0"/>
              <w:bottom w:val="single" w:color="auto" w:sz="8" w:space="0"/>
            </w:tcBorders>
            <w:noWrap w:val="0"/>
            <w:vAlign w:val="center"/>
          </w:tcPr>
          <w:p w14:paraId="697F7420">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rPr>
              <w:t>数据资料收集、标准起草、撰写。</w:t>
            </w:r>
          </w:p>
        </w:tc>
      </w:tr>
      <w:tr w14:paraId="1A6B3C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03" w:type="pct"/>
            <w:tcBorders>
              <w:top w:val="single" w:color="auto" w:sz="8" w:space="0"/>
              <w:bottom w:val="single" w:color="auto" w:sz="8" w:space="0"/>
            </w:tcBorders>
            <w:noWrap w:val="0"/>
            <w:vAlign w:val="center"/>
          </w:tcPr>
          <w:p w14:paraId="052B1A51">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韦忠正</w:t>
            </w:r>
          </w:p>
        </w:tc>
        <w:tc>
          <w:tcPr>
            <w:tcW w:w="776" w:type="pct"/>
            <w:tcBorders>
              <w:top w:val="single" w:color="auto" w:sz="8" w:space="0"/>
              <w:bottom w:val="single" w:color="auto" w:sz="8" w:space="0"/>
            </w:tcBorders>
            <w:noWrap w:val="0"/>
            <w:vAlign w:val="center"/>
          </w:tcPr>
          <w:p w14:paraId="5DA1F9C4">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总经理</w:t>
            </w:r>
          </w:p>
        </w:tc>
        <w:tc>
          <w:tcPr>
            <w:tcW w:w="1087" w:type="pct"/>
            <w:tcBorders>
              <w:top w:val="single" w:color="auto" w:sz="8" w:space="0"/>
              <w:bottom w:val="single" w:color="auto" w:sz="8" w:space="0"/>
            </w:tcBorders>
            <w:noWrap w:val="0"/>
            <w:vAlign w:val="center"/>
          </w:tcPr>
          <w:p w14:paraId="3D25240D">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咖啡育苗、咖啡种植管护指导，初加工工艺技术</w:t>
            </w:r>
          </w:p>
        </w:tc>
        <w:tc>
          <w:tcPr>
            <w:tcW w:w="1465" w:type="pct"/>
            <w:tcBorders>
              <w:top w:val="single" w:color="auto" w:sz="8" w:space="0"/>
              <w:bottom w:val="single" w:color="auto" w:sz="8" w:space="0"/>
            </w:tcBorders>
            <w:noWrap w:val="0"/>
            <w:vAlign w:val="center"/>
          </w:tcPr>
          <w:p w14:paraId="6EED3DD3">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西林县桂古蒿咖啡贸易有限公司</w:t>
            </w:r>
          </w:p>
        </w:tc>
        <w:tc>
          <w:tcPr>
            <w:tcW w:w="890" w:type="pct"/>
            <w:tcBorders>
              <w:top w:val="single" w:color="auto" w:sz="8" w:space="0"/>
              <w:bottom w:val="single" w:color="auto" w:sz="8" w:space="0"/>
            </w:tcBorders>
            <w:noWrap w:val="0"/>
            <w:vAlign w:val="center"/>
          </w:tcPr>
          <w:p w14:paraId="11BC9084">
            <w:pPr>
              <w:jc w:val="center"/>
              <w:rPr>
                <w:rFonts w:hint="eastAsia" w:ascii="仿宋_GB2312" w:hAnsi="仿宋_GB2312" w:eastAsia="仿宋_GB2312" w:cs="仿宋_GB2312"/>
                <w:color w:val="auto"/>
                <w:sz w:val="24"/>
                <w:szCs w:val="24"/>
                <w:u w:val="none"/>
                <w:lang w:eastAsia="zh-CN"/>
              </w:rPr>
            </w:pPr>
            <w:r>
              <w:rPr>
                <w:rFonts w:hint="eastAsia" w:ascii="仿宋_GB2312" w:hAnsi="仿宋_GB2312" w:eastAsia="仿宋_GB2312" w:cs="仿宋_GB2312"/>
                <w:color w:val="auto"/>
                <w:sz w:val="24"/>
                <w:szCs w:val="24"/>
                <w:u w:val="none"/>
              </w:rPr>
              <w:t>数据资料收集、标准起草、撰写</w:t>
            </w:r>
            <w:r>
              <w:rPr>
                <w:rFonts w:hint="eastAsia" w:ascii="仿宋_GB2312" w:hAnsi="仿宋_GB2312" w:eastAsia="仿宋_GB2312" w:cs="仿宋_GB2312"/>
                <w:color w:val="auto"/>
                <w:sz w:val="24"/>
                <w:szCs w:val="24"/>
                <w:u w:val="none"/>
                <w:lang w:eastAsia="zh-CN"/>
              </w:rPr>
              <w:t>。</w:t>
            </w:r>
          </w:p>
        </w:tc>
      </w:tr>
      <w:tr w14:paraId="2924E9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03" w:type="pct"/>
            <w:tcBorders>
              <w:top w:val="single" w:color="auto" w:sz="8" w:space="0"/>
              <w:bottom w:val="single" w:color="auto" w:sz="8" w:space="0"/>
            </w:tcBorders>
            <w:noWrap w:val="0"/>
            <w:vAlign w:val="center"/>
          </w:tcPr>
          <w:p w14:paraId="6F250DCF">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lang w:val="en-US" w:eastAsia="zh-CN"/>
              </w:rPr>
              <w:t>何星艳</w:t>
            </w:r>
          </w:p>
        </w:tc>
        <w:tc>
          <w:tcPr>
            <w:tcW w:w="776" w:type="pct"/>
            <w:tcBorders>
              <w:top w:val="single" w:color="auto" w:sz="8" w:space="0"/>
              <w:bottom w:val="single" w:color="auto" w:sz="8" w:space="0"/>
            </w:tcBorders>
            <w:noWrap w:val="0"/>
            <w:vAlign w:val="center"/>
          </w:tcPr>
          <w:p w14:paraId="0BB53B42">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lang w:val="en-US" w:eastAsia="zh-CN"/>
              </w:rPr>
              <w:t>董事长</w:t>
            </w:r>
          </w:p>
        </w:tc>
        <w:tc>
          <w:tcPr>
            <w:tcW w:w="1087" w:type="pct"/>
            <w:tcBorders>
              <w:top w:val="single" w:color="auto" w:sz="8" w:space="0"/>
              <w:bottom w:val="single" w:color="auto" w:sz="8" w:space="0"/>
            </w:tcBorders>
            <w:noWrap w:val="0"/>
            <w:vAlign w:val="center"/>
          </w:tcPr>
          <w:p w14:paraId="4F0CA8D8">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lang w:val="en-US" w:eastAsia="zh-CN"/>
              </w:rPr>
              <w:t>食品加工</w:t>
            </w:r>
          </w:p>
        </w:tc>
        <w:tc>
          <w:tcPr>
            <w:tcW w:w="1465" w:type="pct"/>
            <w:tcBorders>
              <w:top w:val="single" w:color="auto" w:sz="8" w:space="0"/>
              <w:bottom w:val="single" w:color="auto" w:sz="8" w:space="0"/>
            </w:tcBorders>
            <w:noWrap w:val="0"/>
            <w:vAlign w:val="center"/>
          </w:tcPr>
          <w:p w14:paraId="1880FBC9">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lang w:val="en-US" w:eastAsia="zh-CN"/>
              </w:rPr>
              <w:t>广西丰宏食品科技有限公司</w:t>
            </w:r>
          </w:p>
        </w:tc>
        <w:tc>
          <w:tcPr>
            <w:tcW w:w="890" w:type="pct"/>
            <w:tcBorders>
              <w:top w:val="single" w:color="auto" w:sz="8" w:space="0"/>
              <w:bottom w:val="single" w:color="auto" w:sz="8" w:space="0"/>
            </w:tcBorders>
            <w:noWrap w:val="0"/>
            <w:vAlign w:val="center"/>
          </w:tcPr>
          <w:p w14:paraId="51EBBBBF">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rPr>
              <w:t>数据资料收集、标准起草、撰写。</w:t>
            </w:r>
          </w:p>
        </w:tc>
      </w:tr>
      <w:tr w14:paraId="0928C0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03" w:type="pct"/>
            <w:tcBorders>
              <w:top w:val="single" w:color="auto" w:sz="8" w:space="0"/>
              <w:bottom w:val="single" w:color="auto" w:sz="8" w:space="0"/>
            </w:tcBorders>
            <w:noWrap w:val="0"/>
            <w:vAlign w:val="center"/>
          </w:tcPr>
          <w:p w14:paraId="170D6AE5">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lang w:val="en-US" w:eastAsia="zh-CN"/>
              </w:rPr>
              <w:t>农健</w:t>
            </w:r>
          </w:p>
        </w:tc>
        <w:tc>
          <w:tcPr>
            <w:tcW w:w="776" w:type="pct"/>
            <w:tcBorders>
              <w:top w:val="single" w:color="auto" w:sz="8" w:space="0"/>
              <w:bottom w:val="single" w:color="auto" w:sz="8" w:space="0"/>
            </w:tcBorders>
            <w:noWrap w:val="0"/>
            <w:vAlign w:val="center"/>
          </w:tcPr>
          <w:p w14:paraId="7390589B">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lang w:val="en-US" w:eastAsia="zh-CN"/>
              </w:rPr>
              <w:t>总经理</w:t>
            </w:r>
          </w:p>
        </w:tc>
        <w:tc>
          <w:tcPr>
            <w:tcW w:w="1087" w:type="pct"/>
            <w:tcBorders>
              <w:top w:val="single" w:color="auto" w:sz="8" w:space="0"/>
              <w:bottom w:val="single" w:color="auto" w:sz="8" w:space="0"/>
            </w:tcBorders>
            <w:noWrap w:val="0"/>
            <w:vAlign w:val="center"/>
          </w:tcPr>
          <w:p w14:paraId="0A2B8012">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lang w:val="en-US" w:eastAsia="zh-CN"/>
              </w:rPr>
              <w:t>食品加工</w:t>
            </w:r>
          </w:p>
        </w:tc>
        <w:tc>
          <w:tcPr>
            <w:tcW w:w="1465" w:type="pct"/>
            <w:tcBorders>
              <w:top w:val="single" w:color="auto" w:sz="8" w:space="0"/>
              <w:bottom w:val="single" w:color="auto" w:sz="8" w:space="0"/>
            </w:tcBorders>
            <w:noWrap w:val="0"/>
            <w:vAlign w:val="center"/>
          </w:tcPr>
          <w:p w14:paraId="3032E77E">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lang w:val="en-US" w:eastAsia="zh-CN"/>
              </w:rPr>
              <w:t>广西丰宏食品科技有限公司</w:t>
            </w:r>
          </w:p>
        </w:tc>
        <w:tc>
          <w:tcPr>
            <w:tcW w:w="890" w:type="pct"/>
            <w:tcBorders>
              <w:top w:val="single" w:color="auto" w:sz="8" w:space="0"/>
              <w:bottom w:val="single" w:color="auto" w:sz="8" w:space="0"/>
            </w:tcBorders>
            <w:noWrap w:val="0"/>
            <w:vAlign w:val="center"/>
          </w:tcPr>
          <w:p w14:paraId="2A604D53">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rPr>
              <w:t>数据资料收集、标准起草、撰写。</w:t>
            </w:r>
          </w:p>
        </w:tc>
      </w:tr>
      <w:tr w14:paraId="7B690B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03" w:type="pct"/>
            <w:tcBorders>
              <w:top w:val="single" w:color="auto" w:sz="8" w:space="0"/>
              <w:bottom w:val="single" w:color="auto" w:sz="8" w:space="0"/>
            </w:tcBorders>
            <w:noWrap w:val="0"/>
            <w:vAlign w:val="center"/>
          </w:tcPr>
          <w:p w14:paraId="0AF85051">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lang w:val="en-US" w:eastAsia="zh-CN"/>
              </w:rPr>
              <w:t>李黎丰</w:t>
            </w:r>
          </w:p>
        </w:tc>
        <w:tc>
          <w:tcPr>
            <w:tcW w:w="776" w:type="pct"/>
            <w:tcBorders>
              <w:top w:val="single" w:color="auto" w:sz="8" w:space="0"/>
              <w:bottom w:val="single" w:color="auto" w:sz="8" w:space="0"/>
            </w:tcBorders>
            <w:noWrap w:val="0"/>
            <w:vAlign w:val="center"/>
          </w:tcPr>
          <w:p w14:paraId="61B1C003">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lang w:val="en-US" w:eastAsia="zh-CN"/>
              </w:rPr>
              <w:t>助理农艺师</w:t>
            </w:r>
          </w:p>
        </w:tc>
        <w:tc>
          <w:tcPr>
            <w:tcW w:w="1087" w:type="pct"/>
            <w:tcBorders>
              <w:top w:val="single" w:color="auto" w:sz="8" w:space="0"/>
              <w:bottom w:val="single" w:color="auto" w:sz="8" w:space="0"/>
            </w:tcBorders>
            <w:noWrap w:val="0"/>
            <w:vAlign w:val="center"/>
          </w:tcPr>
          <w:p w14:paraId="25D7FC73">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lang w:val="en-US" w:eastAsia="zh-CN"/>
              </w:rPr>
              <w:t>农学</w:t>
            </w:r>
          </w:p>
        </w:tc>
        <w:tc>
          <w:tcPr>
            <w:tcW w:w="1465" w:type="pct"/>
            <w:tcBorders>
              <w:top w:val="single" w:color="auto" w:sz="8" w:space="0"/>
              <w:bottom w:val="single" w:color="auto" w:sz="8" w:space="0"/>
            </w:tcBorders>
            <w:noWrap w:val="0"/>
            <w:vAlign w:val="center"/>
          </w:tcPr>
          <w:p w14:paraId="1FD28B9B">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sz w:val="24"/>
                <w:szCs w:val="24"/>
                <w:u w:val="none"/>
                <w:lang w:eastAsia="zh-CN"/>
              </w:rPr>
              <w:t>西林县农业农村局</w:t>
            </w:r>
          </w:p>
        </w:tc>
        <w:tc>
          <w:tcPr>
            <w:tcW w:w="890" w:type="pct"/>
            <w:tcBorders>
              <w:top w:val="single" w:color="auto" w:sz="8" w:space="0"/>
              <w:bottom w:val="single" w:color="auto" w:sz="8" w:space="0"/>
            </w:tcBorders>
            <w:noWrap w:val="0"/>
            <w:vAlign w:val="center"/>
          </w:tcPr>
          <w:p w14:paraId="32A93D97">
            <w:pPr>
              <w:jc w:val="center"/>
              <w:rPr>
                <w:rFonts w:hint="default" w:ascii="仿宋_GB2312" w:hAnsi="仿宋_GB2312" w:eastAsia="仿宋_GB2312" w:cs="仿宋_GB2312"/>
                <w:color w:val="auto"/>
                <w:sz w:val="24"/>
                <w:szCs w:val="24"/>
                <w:u w:val="none"/>
                <w:lang w:val="en-US" w:eastAsia="zh-CN"/>
              </w:rPr>
            </w:pPr>
            <w:r>
              <w:rPr>
                <w:rFonts w:hint="eastAsia" w:ascii="仿宋_GB2312" w:hAnsi="仿宋_GB2312" w:eastAsia="仿宋_GB2312" w:cs="仿宋_GB2312"/>
                <w:color w:val="auto"/>
                <w:sz w:val="24"/>
                <w:szCs w:val="24"/>
                <w:u w:val="none"/>
                <w:lang w:val="en-US" w:eastAsia="zh-CN"/>
              </w:rPr>
              <w:t>标准实施宣贯、培训</w:t>
            </w:r>
          </w:p>
        </w:tc>
      </w:tr>
      <w:tr w14:paraId="516B38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03" w:type="pct"/>
            <w:tcBorders>
              <w:top w:val="single" w:color="auto" w:sz="8" w:space="0"/>
              <w:bottom w:val="single" w:color="auto" w:sz="8" w:space="0"/>
            </w:tcBorders>
            <w:noWrap w:val="0"/>
            <w:vAlign w:val="center"/>
          </w:tcPr>
          <w:p w14:paraId="21D73764">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kern w:val="2"/>
                <w:sz w:val="24"/>
                <w:szCs w:val="24"/>
                <w:u w:val="none"/>
                <w:lang w:val="en-US" w:eastAsia="zh-CN" w:bidi="ar-SA"/>
              </w:rPr>
              <w:t>吴洪忠</w:t>
            </w:r>
          </w:p>
        </w:tc>
        <w:tc>
          <w:tcPr>
            <w:tcW w:w="776" w:type="pct"/>
            <w:tcBorders>
              <w:top w:val="single" w:color="auto" w:sz="8" w:space="0"/>
              <w:bottom w:val="single" w:color="auto" w:sz="8" w:space="0"/>
            </w:tcBorders>
            <w:noWrap w:val="0"/>
            <w:vAlign w:val="center"/>
          </w:tcPr>
          <w:p w14:paraId="2A2C8779">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kern w:val="2"/>
                <w:sz w:val="24"/>
                <w:szCs w:val="24"/>
                <w:u w:val="none"/>
                <w:lang w:val="en-US" w:eastAsia="zh-CN" w:bidi="ar-SA"/>
              </w:rPr>
              <w:t>助理农艺师</w:t>
            </w:r>
          </w:p>
        </w:tc>
        <w:tc>
          <w:tcPr>
            <w:tcW w:w="1087" w:type="pct"/>
            <w:tcBorders>
              <w:top w:val="single" w:color="auto" w:sz="8" w:space="0"/>
              <w:bottom w:val="single" w:color="auto" w:sz="8" w:space="0"/>
            </w:tcBorders>
            <w:noWrap w:val="0"/>
            <w:vAlign w:val="center"/>
          </w:tcPr>
          <w:p w14:paraId="53EC008F">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kern w:val="2"/>
                <w:sz w:val="24"/>
                <w:szCs w:val="24"/>
                <w:u w:val="none"/>
                <w:lang w:val="en-US" w:eastAsia="zh-CN" w:bidi="ar-SA"/>
              </w:rPr>
              <w:t>园艺</w:t>
            </w:r>
          </w:p>
        </w:tc>
        <w:tc>
          <w:tcPr>
            <w:tcW w:w="1465" w:type="pct"/>
            <w:tcBorders>
              <w:top w:val="single" w:color="auto" w:sz="8" w:space="0"/>
              <w:bottom w:val="single" w:color="auto" w:sz="8" w:space="0"/>
            </w:tcBorders>
            <w:noWrap w:val="0"/>
            <w:vAlign w:val="center"/>
          </w:tcPr>
          <w:p w14:paraId="12AB7B08">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kern w:val="2"/>
                <w:sz w:val="24"/>
                <w:szCs w:val="24"/>
                <w:u w:val="none"/>
                <w:lang w:val="en-US" w:eastAsia="zh-CN" w:bidi="ar-SA"/>
              </w:rPr>
              <w:t>西林县农业农村局</w:t>
            </w:r>
          </w:p>
        </w:tc>
        <w:tc>
          <w:tcPr>
            <w:tcW w:w="890" w:type="pct"/>
            <w:tcBorders>
              <w:top w:val="single" w:color="auto" w:sz="8" w:space="0"/>
              <w:bottom w:val="single" w:color="auto" w:sz="8" w:space="0"/>
            </w:tcBorders>
            <w:noWrap w:val="0"/>
            <w:vAlign w:val="center"/>
          </w:tcPr>
          <w:p w14:paraId="06930EAD">
            <w:pPr>
              <w:jc w:val="center"/>
              <w:rPr>
                <w:rFonts w:hint="eastAsia" w:ascii="仿宋_GB2312" w:hAnsi="仿宋_GB2312" w:eastAsia="仿宋_GB2312" w:cs="仿宋_GB2312"/>
                <w:color w:val="auto"/>
                <w:sz w:val="24"/>
                <w:szCs w:val="24"/>
                <w:u w:val="none"/>
              </w:rPr>
            </w:pPr>
            <w:r>
              <w:rPr>
                <w:rFonts w:hint="eastAsia" w:ascii="仿宋_GB2312" w:hAnsi="仿宋_GB2312" w:eastAsia="仿宋_GB2312" w:cs="仿宋_GB2312"/>
                <w:color w:val="auto"/>
                <w:sz w:val="24"/>
                <w:szCs w:val="24"/>
                <w:u w:val="none"/>
                <w:lang w:val="en-US" w:eastAsia="zh-CN"/>
              </w:rPr>
              <w:t>标准实施宣贯、培训</w:t>
            </w:r>
          </w:p>
        </w:tc>
      </w:tr>
      <w:tr w14:paraId="553AF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03" w:type="pct"/>
            <w:tcBorders>
              <w:top w:val="single" w:color="auto" w:sz="8" w:space="0"/>
              <w:bottom w:val="single" w:color="auto" w:sz="8" w:space="0"/>
            </w:tcBorders>
            <w:noWrap w:val="0"/>
            <w:vAlign w:val="center"/>
          </w:tcPr>
          <w:p w14:paraId="62D57E5F">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kern w:val="2"/>
                <w:sz w:val="24"/>
                <w:szCs w:val="24"/>
                <w:u w:val="none"/>
                <w:lang w:val="en-US" w:eastAsia="zh-CN" w:bidi="ar-SA"/>
              </w:rPr>
              <w:t>陆新卉</w:t>
            </w:r>
          </w:p>
        </w:tc>
        <w:tc>
          <w:tcPr>
            <w:tcW w:w="776" w:type="pct"/>
            <w:tcBorders>
              <w:top w:val="single" w:color="auto" w:sz="8" w:space="0"/>
              <w:bottom w:val="single" w:color="auto" w:sz="8" w:space="0"/>
            </w:tcBorders>
            <w:noWrap w:val="0"/>
            <w:vAlign w:val="center"/>
          </w:tcPr>
          <w:p w14:paraId="326A74AA">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kern w:val="2"/>
                <w:sz w:val="24"/>
                <w:szCs w:val="24"/>
                <w:u w:val="none"/>
                <w:lang w:val="en-US" w:eastAsia="zh-CN" w:bidi="ar-SA"/>
              </w:rPr>
              <w:t>助理农艺师</w:t>
            </w:r>
          </w:p>
        </w:tc>
        <w:tc>
          <w:tcPr>
            <w:tcW w:w="1087" w:type="pct"/>
            <w:tcBorders>
              <w:top w:val="single" w:color="auto" w:sz="8" w:space="0"/>
              <w:bottom w:val="single" w:color="auto" w:sz="8" w:space="0"/>
            </w:tcBorders>
            <w:noWrap w:val="0"/>
            <w:vAlign w:val="center"/>
          </w:tcPr>
          <w:p w14:paraId="79C77320">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kern w:val="2"/>
                <w:sz w:val="24"/>
                <w:szCs w:val="24"/>
                <w:u w:val="none"/>
                <w:lang w:val="en-US" w:eastAsia="zh-CN" w:bidi="ar-SA"/>
              </w:rPr>
              <w:t>园艺</w:t>
            </w:r>
          </w:p>
        </w:tc>
        <w:tc>
          <w:tcPr>
            <w:tcW w:w="1465" w:type="pct"/>
            <w:tcBorders>
              <w:top w:val="single" w:color="auto" w:sz="8" w:space="0"/>
              <w:bottom w:val="single" w:color="auto" w:sz="8" w:space="0"/>
            </w:tcBorders>
            <w:noWrap w:val="0"/>
            <w:vAlign w:val="center"/>
          </w:tcPr>
          <w:p w14:paraId="29548FCF">
            <w:pPr>
              <w:jc w:val="center"/>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kern w:val="2"/>
                <w:sz w:val="24"/>
                <w:szCs w:val="24"/>
                <w:u w:val="none"/>
                <w:lang w:val="en-US" w:eastAsia="zh-CN" w:bidi="ar-SA"/>
              </w:rPr>
              <w:t>西林县农业农村局</w:t>
            </w:r>
          </w:p>
        </w:tc>
        <w:tc>
          <w:tcPr>
            <w:tcW w:w="890" w:type="pct"/>
            <w:tcBorders>
              <w:top w:val="single" w:color="auto" w:sz="8" w:space="0"/>
              <w:bottom w:val="single" w:color="auto" w:sz="8" w:space="0"/>
            </w:tcBorders>
            <w:noWrap w:val="0"/>
            <w:vAlign w:val="center"/>
          </w:tcPr>
          <w:p w14:paraId="193274CA">
            <w:pPr>
              <w:jc w:val="center"/>
              <w:rPr>
                <w:rFonts w:hint="eastAsia" w:ascii="仿宋_GB2312" w:hAnsi="仿宋_GB2312" w:eastAsia="仿宋_GB2312" w:cs="仿宋_GB2312"/>
                <w:color w:val="auto"/>
                <w:sz w:val="24"/>
                <w:szCs w:val="24"/>
                <w:u w:val="none"/>
                <w:lang w:val="en-US" w:eastAsia="zh-CN"/>
              </w:rPr>
            </w:pPr>
            <w:r>
              <w:rPr>
                <w:rFonts w:hint="eastAsia" w:ascii="仿宋_GB2312" w:hAnsi="仿宋_GB2312" w:eastAsia="仿宋_GB2312" w:cs="仿宋_GB2312"/>
                <w:color w:val="auto"/>
                <w:sz w:val="24"/>
                <w:szCs w:val="24"/>
                <w:u w:val="none"/>
                <w:lang w:val="en-US" w:eastAsia="zh-CN"/>
              </w:rPr>
              <w:t>标准实施宣贯、培训</w:t>
            </w:r>
          </w:p>
        </w:tc>
      </w:tr>
    </w:tbl>
    <w:p w14:paraId="1808ECE2">
      <w:pPr>
        <w:pStyle w:val="15"/>
        <w:ind w:firstLine="640" w:firstLineChars="200"/>
        <w:rPr>
          <w:rFonts w:hint="eastAsia" w:eastAsia="仿宋_GB2312" w:cs="Times New Roman"/>
        </w:rPr>
      </w:pPr>
    </w:p>
    <w:p w14:paraId="2AC5CD8D">
      <w:pPr>
        <w:numPr>
          <w:ilvl w:val="0"/>
          <w:numId w:val="3"/>
        </w:numPr>
        <w:overflowPunct w:val="0"/>
        <w:topLinePunct/>
        <w:spacing w:line="560" w:lineRule="exact"/>
        <w:outlineLvl w:val="0"/>
        <w:rPr>
          <w:rFonts w:eastAsia="黑体"/>
          <w:bCs/>
          <w:sz w:val="32"/>
          <w:szCs w:val="32"/>
        </w:rPr>
      </w:pPr>
      <w:r>
        <w:rPr>
          <w:rFonts w:hint="eastAsia" w:eastAsia="黑体"/>
          <w:bCs/>
          <w:sz w:val="32"/>
          <w:szCs w:val="32"/>
        </w:rPr>
        <w:t>制定标准的必要性和意义</w:t>
      </w:r>
    </w:p>
    <w:p w14:paraId="2EF90D63">
      <w:pPr>
        <w:overflowPunct w:val="0"/>
        <w:topLinePunct/>
        <w:spacing w:line="560" w:lineRule="exact"/>
        <w:ind w:firstLine="640"/>
        <w:rPr>
          <w:rFonts w:eastAsia="仿宋_GB2312"/>
          <w:sz w:val="32"/>
          <w:szCs w:val="32"/>
        </w:rPr>
      </w:pPr>
      <w:r>
        <w:rPr>
          <w:rFonts w:hint="eastAsia" w:eastAsia="仿宋_GB2312"/>
          <w:sz w:val="32"/>
          <w:szCs w:val="32"/>
        </w:rPr>
        <w:t>近年来，百色市西林县将咖啡产业与民族文化、旅游产业等相结合，打造出了具有本土特色的咖啡——句町咖啡。西林县印发《西林县2024年特色种植业补助项目实施方案》，从资金、用地保障等方面给予了发展咖啡种植户有力的政策支撑，利用财政衔接资金制定咖啡补助政策。《西林县句町咖啡产业高质量发展三年行动实施方案（2024—2026年）》：该方案对句町咖啡产业发展进行了规划和部署，提出要抓紧做好“句町咖啡”商标申报工作，依托现有资源打造、打响“句町咖啡”品牌，农业部门要做好咖啡种植管护培训，让咖啡种植成为带动群众增收的新产业。《西林县创建“千年句町・九香西林”区域公共品牌总体方案》：提出推动区域内农产品标准化体系建设，为</w:t>
      </w:r>
      <w:r>
        <w:rPr>
          <w:rFonts w:hint="eastAsia" w:eastAsia="仿宋_GB2312"/>
          <w:sz w:val="32"/>
          <w:szCs w:val="32"/>
          <w:lang w:eastAsia="zh-CN"/>
        </w:rPr>
        <w:t>西林句町咖啡种植管理规范</w:t>
      </w:r>
      <w:r>
        <w:rPr>
          <w:rFonts w:hint="eastAsia" w:eastAsia="仿宋_GB2312"/>
          <w:sz w:val="32"/>
          <w:szCs w:val="32"/>
        </w:rPr>
        <w:t>纳入区域公共品牌建设，提升品牌影响力提供了政策支持。此外，西林县还编制了《西林县句町咖啡产业发展规划（2025—2027年）》，从资金、用地保障等方面给予咖啡种植户有力的政策支撑。同时，当地企业采取“企业+办事处+农户”“公司 + 基地+农户”等模式，为农户提供种苗、技术和保价回收等服务，进一步促进了</w:t>
      </w:r>
      <w:r>
        <w:rPr>
          <w:rFonts w:hint="eastAsia" w:eastAsia="仿宋_GB2312"/>
          <w:sz w:val="32"/>
          <w:szCs w:val="32"/>
          <w:lang w:eastAsia="zh-CN"/>
        </w:rPr>
        <w:t>西林句町咖啡种植管理规范</w:t>
      </w:r>
      <w:r>
        <w:rPr>
          <w:rFonts w:hint="eastAsia" w:eastAsia="仿宋_GB2312"/>
          <w:sz w:val="32"/>
          <w:szCs w:val="32"/>
        </w:rPr>
        <w:t>产业的发展。</w:t>
      </w:r>
    </w:p>
    <w:p w14:paraId="798E410C">
      <w:pPr>
        <w:overflowPunct w:val="0"/>
        <w:topLinePunct/>
        <w:spacing w:line="560" w:lineRule="exact"/>
        <w:ind w:firstLine="640"/>
        <w:rPr>
          <w:rFonts w:eastAsia="仿宋_GB2312"/>
          <w:sz w:val="32"/>
          <w:szCs w:val="32"/>
        </w:rPr>
      </w:pPr>
      <w:r>
        <w:rPr>
          <w:rFonts w:hint="eastAsia" w:eastAsia="仿宋_GB2312"/>
          <w:sz w:val="32"/>
          <w:szCs w:val="32"/>
        </w:rPr>
        <w:t>根据《2024中国城市咖啡发展报告》数据显示，2023年中国咖啡产业规模达到2654亿元，近三年年均复合增长率达17.14%。2024年广西咖啡市场规模预计达35亿～45亿元（年增长率约18%～25%），增速高于全国平均水平，主要受益于年轻消费群体扩大、咖啡文化渗透及茶饮品牌跨界布局。广西本地的咖啡消费市场也逐渐兴起，咖啡馆数量快速增长，咖啡文化活动日益丰富，为</w:t>
      </w:r>
      <w:r>
        <w:rPr>
          <w:rFonts w:hint="eastAsia" w:eastAsia="仿宋_GB2312"/>
          <w:sz w:val="32"/>
          <w:szCs w:val="32"/>
          <w:lang w:eastAsia="zh-CN"/>
        </w:rPr>
        <w:t>西林句町咖啡种植管理规范</w:t>
      </w:r>
      <w:r>
        <w:rPr>
          <w:rFonts w:hint="eastAsia" w:eastAsia="仿宋_GB2312"/>
          <w:sz w:val="32"/>
          <w:szCs w:val="32"/>
        </w:rPr>
        <w:t>提供了广阔的市场空间。西林县曾是古句町国政治经济中心，有着深厚的历史文化底蕴。句町咖啡品牌的诞生，将咖啡产业与当地民族文化相结合，具有独特的地域文化特色。西林句町咖啡起源于 2018 年，农光禄偶然发现两株咖啡树后萌生发展咖啡产业的想法。经过多年探索，西林县从贵州省兴义市引进多个品种咖啡苗，在多地试种，掌握了适合当地种植的品种和技术，种植面积逐渐扩大，产业逐步成型。西林县地处北回归线黄金种植带，气候温润、土壤肥沃，海拔与光照条件与云南保山等咖啡主产区相似，适宜阿拉比卡咖啡（卡蒂姆、萨奇姆品种）的规模化种植，形成了独特的风味特征。</w:t>
      </w:r>
    </w:p>
    <w:p w14:paraId="2D7AFE4D">
      <w:pPr>
        <w:overflowPunct w:val="0"/>
        <w:topLinePunct/>
        <w:spacing w:line="560" w:lineRule="exact"/>
        <w:ind w:firstLine="640"/>
        <w:rPr>
          <w:rFonts w:eastAsia="仿宋_GB2312"/>
          <w:sz w:val="32"/>
          <w:szCs w:val="32"/>
        </w:rPr>
      </w:pPr>
      <w:r>
        <w:rPr>
          <w:rFonts w:hint="eastAsia" w:eastAsia="仿宋_GB2312"/>
          <w:sz w:val="32"/>
          <w:szCs w:val="32"/>
        </w:rPr>
        <w:t>2024年5月，广西西林县句町咖啡发展贸易有限公司依法成立，开启了西林县咖啡产业发展的新篇章。目前，西林咖啡产品主要为咖啡豆和咖啡粉。为多渠道宣传句町咖啡品牌，该公司持续新增商标注册，着力打造“句町咖啡”线上销售平台，在广西区内、深圳等地的特色展厅进行常年展示。同时，大力发展咖啡贸易，利用西林县的地理区位优势，加大与越南及周边省、市、县的咖啡贸易合作，营造良好的咖啡市场发展势头，立足西林县高品质小粒咖啡，结合地方民族文化，打造“句町咖啡”品牌，推进咖啡产业融合发展。</w:t>
      </w:r>
    </w:p>
    <w:p w14:paraId="15918A3C">
      <w:pPr>
        <w:overflowPunct w:val="0"/>
        <w:topLinePunct/>
        <w:spacing w:line="560" w:lineRule="exact"/>
        <w:ind w:firstLine="640"/>
        <w:rPr>
          <w:rFonts w:eastAsia="仿宋_GB2312"/>
          <w:sz w:val="32"/>
          <w:szCs w:val="32"/>
        </w:rPr>
      </w:pPr>
      <w:r>
        <w:rPr>
          <w:rFonts w:hint="eastAsia" w:eastAsia="仿宋_GB2312"/>
          <w:sz w:val="32"/>
          <w:szCs w:val="32"/>
        </w:rPr>
        <w:t>据统计，目前西林咖啡种植面积达2028亩，投产面积250亩。到2025年，咖啡投产面积将达2028亩，预计咖啡鲜豆产量27万公斤，年综合产值达560万元，农民户均收入达1.375万元。按照2年咖啡树平均单产1.5公斤/株、3年咖啡树平均单产2.5公斤/株、5年～25年咖啡树（盛产期）平均单产10公斤/株概算，咖啡产量逐年提高。到2029年，盛产期咖啡亩产将达2000公斤，亩产值达4万元，综合产值将达6000万元。由于西林得天独厚的地理环境和气候条件，西林咖啡豆经广西农科院检测，其咖啡因、蛋白质、粗脂肪、灰分等指标均优于同类产品，冰冲后呈现“香醇浓郁、甘甜带花香”的独特口感，被消费者誉为“隐藏款特产” 。然而，随着规模的扩大，当前农户分散种植模式下，技术水平、管理方式差异较大，直接导致咖啡豆品质参差不齐，可能导致品质不稳定，可能影响咖啡风味一致性，影响消费者对西林句町咖啡口碑和品牌。提供清晰的技术指导与培训依据，减少因技术失误导致的减产或品质不达标问题，提升农户种植效率。</w:t>
      </w:r>
    </w:p>
    <w:p w14:paraId="6150FD08">
      <w:pPr>
        <w:pStyle w:val="9"/>
        <w:widowControl/>
        <w:spacing w:before="0" w:beforeAutospacing="0" w:after="0" w:afterAutospacing="0" w:line="520" w:lineRule="exact"/>
        <w:ind w:firstLine="640" w:firstLineChars="200"/>
        <w:jc w:val="both"/>
        <w:rPr>
          <w:rFonts w:eastAsia="仿宋_GB2312" w:cs="Times New Roman"/>
          <w:sz w:val="32"/>
          <w:szCs w:val="32"/>
        </w:rPr>
      </w:pPr>
      <w:r>
        <w:rPr>
          <w:rFonts w:hint="eastAsia" w:eastAsia="仿宋_GB2312"/>
          <w:sz w:val="32"/>
          <w:szCs w:val="32"/>
        </w:rPr>
        <w:t>西林咖啡承载句町古国文化底蕴，通过制定《</w:t>
      </w:r>
      <w:r>
        <w:rPr>
          <w:rFonts w:hint="eastAsia" w:eastAsia="仿宋_GB2312"/>
          <w:sz w:val="32"/>
          <w:szCs w:val="32"/>
          <w:lang w:eastAsia="zh-CN"/>
        </w:rPr>
        <w:t>西林句町咖啡种植管理规范</w:t>
      </w:r>
      <w:r>
        <w:rPr>
          <w:rFonts w:hint="eastAsia" w:eastAsia="仿宋_GB2312"/>
          <w:sz w:val="32"/>
          <w:szCs w:val="32"/>
        </w:rPr>
        <w:t>》，以标准为抓手，规范西林句町咖啡种植管理技术要求</w:t>
      </w:r>
      <w:r>
        <w:rPr>
          <w:rFonts w:hint="eastAsia" w:eastAsia="仿宋_GB2312"/>
          <w:sz w:val="32"/>
          <w:szCs w:val="32"/>
          <w:lang w:eastAsia="zh-CN"/>
        </w:rPr>
        <w:t>，</w:t>
      </w:r>
      <w:r>
        <w:rPr>
          <w:rFonts w:hint="eastAsia" w:eastAsia="仿宋_GB2312"/>
          <w:sz w:val="32"/>
          <w:szCs w:val="32"/>
        </w:rPr>
        <w:t>保证西林句町咖啡产品质量，打造“文化+品质”双重标签，有助于保护和传承这一具有历史文化内涵的特色咖啡品牌，使句町咖啡在市场上更具辨识度和文化价值，推动西林句町咖啡产业持续健康发展，让这一从探索中发展起来的特色产业走向标准化、规范化。</w:t>
      </w:r>
    </w:p>
    <w:p w14:paraId="62C5A35F">
      <w:pPr>
        <w:pStyle w:val="9"/>
        <w:widowControl/>
        <w:spacing w:before="0" w:beforeAutospacing="0" w:after="0" w:afterAutospacing="0" w:line="520" w:lineRule="exact"/>
        <w:ind w:firstLine="640" w:firstLineChars="200"/>
        <w:jc w:val="both"/>
        <w:rPr>
          <w:rFonts w:eastAsia="仿宋_GB2312" w:cs="Times New Roman"/>
          <w:sz w:val="32"/>
          <w:szCs w:val="32"/>
        </w:rPr>
      </w:pPr>
    </w:p>
    <w:p w14:paraId="2EB0EC44">
      <w:pPr>
        <w:numPr>
          <w:ilvl w:val="0"/>
          <w:numId w:val="3"/>
        </w:numPr>
        <w:tabs>
          <w:tab w:val="left" w:pos="600"/>
        </w:tabs>
        <w:overflowPunct w:val="0"/>
        <w:topLinePunct/>
        <w:spacing w:line="560" w:lineRule="exact"/>
        <w:outlineLvl w:val="0"/>
        <w:rPr>
          <w:rFonts w:eastAsia="黑体"/>
          <w:bCs/>
          <w:sz w:val="32"/>
          <w:szCs w:val="32"/>
        </w:rPr>
      </w:pPr>
      <w:r>
        <w:rPr>
          <w:rFonts w:hint="eastAsia" w:eastAsia="黑体"/>
          <w:bCs/>
          <w:sz w:val="32"/>
          <w:szCs w:val="32"/>
        </w:rPr>
        <w:t>主要起草过程</w:t>
      </w:r>
    </w:p>
    <w:p w14:paraId="1BBF290C">
      <w:pPr>
        <w:numPr>
          <w:ilvl w:val="0"/>
          <w:numId w:val="4"/>
        </w:numPr>
        <w:spacing w:line="520" w:lineRule="exact"/>
        <w:ind w:left="600"/>
        <w:rPr>
          <w:rFonts w:ascii="楷体" w:hAnsi="楷体" w:eastAsia="楷体"/>
          <w:b/>
          <w:sz w:val="32"/>
          <w:szCs w:val="32"/>
          <w:lang w:val="zh-CN"/>
        </w:rPr>
      </w:pPr>
      <w:r>
        <w:rPr>
          <w:rFonts w:hint="eastAsia" w:ascii="楷体" w:hAnsi="楷体" w:eastAsia="楷体"/>
          <w:b/>
          <w:sz w:val="32"/>
          <w:szCs w:val="32"/>
          <w:lang w:val="zh-CN"/>
        </w:rPr>
        <w:t>成立标准编制工作组</w:t>
      </w:r>
    </w:p>
    <w:p w14:paraId="3C7F4B1E">
      <w:pPr>
        <w:spacing w:line="520" w:lineRule="exact"/>
        <w:ind w:firstLine="640" w:firstLineChars="200"/>
        <w:rPr>
          <w:rFonts w:eastAsia="仿宋_GB2312" w:cs="Times New Roman"/>
          <w:sz w:val="32"/>
          <w:szCs w:val="32"/>
          <w:lang w:val="zh-CN"/>
        </w:rPr>
      </w:pPr>
      <w:r>
        <w:rPr>
          <w:rFonts w:hint="eastAsia" w:ascii="仿宋_GB2312" w:eastAsia="仿宋_GB2312" w:cs="Times New Roman"/>
          <w:sz w:val="32"/>
          <w:szCs w:val="32"/>
          <w:lang w:val="zh-CN"/>
        </w:rPr>
        <w:t>团体标准《西林句町咖啡种植管理规范》项目任务下达后，西林县市场监督管理局、西林县农业农村局</w:t>
      </w:r>
      <w:r>
        <w:rPr>
          <w:rFonts w:hint="eastAsia" w:ascii="仿宋_GB2312" w:eastAsia="仿宋_GB2312" w:cs="Times New Roman"/>
          <w:sz w:val="32"/>
          <w:szCs w:val="32"/>
          <w:lang w:val="en-US" w:eastAsia="zh-CN"/>
        </w:rPr>
        <w:t>等单位</w:t>
      </w:r>
      <w:r>
        <w:rPr>
          <w:rFonts w:hint="eastAsia" w:ascii="仿宋_GB2312" w:eastAsia="仿宋_GB2312" w:cs="Times New Roman"/>
          <w:sz w:val="32"/>
          <w:szCs w:val="32"/>
          <w:lang w:val="zh-CN"/>
        </w:rPr>
        <w:t>成立了标准编制工作组，制定标准编写方案，明确任务职责，确定工作技术路线，开展标准研制工作。具体标准编制工作由</w:t>
      </w:r>
      <w:r>
        <w:rPr>
          <w:rFonts w:hint="eastAsia" w:ascii="仿宋_GB2312" w:eastAsia="仿宋_GB2312" w:cs="Times New Roman"/>
          <w:sz w:val="32"/>
          <w:szCs w:val="32"/>
        </w:rPr>
        <w:t>西林县市场监督管理局、西林县农业农村局、西林县句町咖啡发展贸易有限公司、西林县桂古蒿咖啡贸易有限公司、广西西林佰香精品咖啡有限公司、</w:t>
      </w:r>
      <w:r>
        <w:rPr>
          <w:rFonts w:hint="eastAsia" w:ascii="仿宋_GB2312" w:eastAsia="仿宋_GB2312" w:cs="Times New Roman"/>
          <w:sz w:val="32"/>
          <w:szCs w:val="32"/>
          <w:lang w:eastAsia="zh-CN"/>
        </w:rPr>
        <w:t>广西丰宏食品科技有限公司</w:t>
      </w:r>
      <w:r>
        <w:rPr>
          <w:rFonts w:hint="eastAsia" w:ascii="仿宋_GB2312" w:eastAsia="仿宋_GB2312" w:cs="Times New Roman"/>
          <w:sz w:val="32"/>
          <w:szCs w:val="32"/>
        </w:rPr>
        <w:t>等多</w:t>
      </w:r>
      <w:r>
        <w:rPr>
          <w:rFonts w:hint="eastAsia" w:eastAsia="仿宋_GB2312"/>
          <w:sz w:val="32"/>
          <w:szCs w:val="32"/>
        </w:rPr>
        <w:t>家单位</w:t>
      </w:r>
      <w:r>
        <w:rPr>
          <w:rFonts w:hint="eastAsia" w:eastAsia="仿宋_GB2312" w:cs="Times New Roman"/>
          <w:sz w:val="32"/>
          <w:szCs w:val="32"/>
          <w:lang w:val="zh-CN"/>
        </w:rPr>
        <w:t>的相关人员</w:t>
      </w:r>
      <w:r>
        <w:rPr>
          <w:rFonts w:hint="eastAsia" w:eastAsia="仿宋_GB2312" w:cs="Times New Roman"/>
          <w:sz w:val="32"/>
          <w:szCs w:val="32"/>
        </w:rPr>
        <w:t>共同</w:t>
      </w:r>
      <w:r>
        <w:rPr>
          <w:rFonts w:hint="eastAsia" w:eastAsia="仿宋_GB2312" w:cs="Times New Roman"/>
          <w:sz w:val="32"/>
          <w:szCs w:val="32"/>
          <w:lang w:val="zh-CN"/>
        </w:rPr>
        <w:t>完成。</w:t>
      </w:r>
    </w:p>
    <w:p w14:paraId="56759471">
      <w:pPr>
        <w:overflowPunct w:val="0"/>
        <w:topLinePunct/>
        <w:spacing w:line="560" w:lineRule="exact"/>
        <w:ind w:firstLine="640"/>
        <w:rPr>
          <w:rFonts w:eastAsia="仿宋_GB2312"/>
          <w:sz w:val="32"/>
          <w:szCs w:val="32"/>
        </w:rPr>
      </w:pPr>
      <w:r>
        <w:rPr>
          <w:rFonts w:hint="eastAsia" w:eastAsia="仿宋_GB2312"/>
          <w:sz w:val="32"/>
          <w:szCs w:val="32"/>
        </w:rPr>
        <w:t>编制工作组下设资料收集组和草案编写组。资料收集组负责国内有关咖啡的文献资料的查询、对相关企业调研收集的经验做法等资料、开展各项试验检测数据资料的收集和整理工作。</w:t>
      </w:r>
    </w:p>
    <w:p w14:paraId="78D22523">
      <w:pPr>
        <w:overflowPunct w:val="0"/>
        <w:topLinePunct/>
        <w:spacing w:line="560" w:lineRule="exact"/>
        <w:ind w:firstLine="640"/>
        <w:rPr>
          <w:rFonts w:eastAsia="仿宋_GB2312"/>
          <w:sz w:val="32"/>
          <w:szCs w:val="32"/>
        </w:rPr>
      </w:pPr>
      <w:r>
        <w:rPr>
          <w:rFonts w:hint="eastAsia" w:eastAsia="仿宋_GB2312"/>
          <w:sz w:val="32"/>
          <w:szCs w:val="32"/>
        </w:rPr>
        <w:t>草案编写组负责起草标准草案、征求意见稿和标准编制说明、送审稿及编制说明的编写工作，包括后期召开征求意见会、网上征求意见，以及标准的不断修改和完善。</w:t>
      </w:r>
    </w:p>
    <w:p w14:paraId="79EEF6E9">
      <w:pPr>
        <w:numPr>
          <w:ilvl w:val="0"/>
          <w:numId w:val="4"/>
        </w:numPr>
        <w:spacing w:line="520" w:lineRule="exact"/>
        <w:ind w:left="600"/>
        <w:rPr>
          <w:rFonts w:ascii="楷体" w:hAnsi="楷体" w:eastAsia="楷体"/>
          <w:b/>
          <w:sz w:val="32"/>
          <w:szCs w:val="32"/>
          <w:lang w:val="zh-CN"/>
        </w:rPr>
      </w:pPr>
      <w:r>
        <w:rPr>
          <w:rFonts w:hint="eastAsia" w:ascii="楷体" w:hAnsi="楷体" w:eastAsia="楷体"/>
          <w:b/>
          <w:sz w:val="32"/>
          <w:szCs w:val="32"/>
          <w:lang w:val="zh-CN"/>
        </w:rPr>
        <w:t>收集整理文献资料</w:t>
      </w:r>
    </w:p>
    <w:p w14:paraId="35F6202A">
      <w:pPr>
        <w:pStyle w:val="9"/>
        <w:widowControl/>
        <w:spacing w:before="0" w:beforeAutospacing="0" w:after="0" w:afterAutospacing="0" w:line="520" w:lineRule="exact"/>
        <w:ind w:firstLine="640" w:firstLineChars="200"/>
        <w:jc w:val="both"/>
        <w:rPr>
          <w:rFonts w:eastAsia="仿宋_GB2312" w:cs="Times New Roman"/>
          <w:sz w:val="32"/>
          <w:szCs w:val="32"/>
          <w:lang w:val="zh-CN"/>
        </w:rPr>
      </w:pPr>
      <w:r>
        <w:rPr>
          <w:rFonts w:hint="eastAsia" w:eastAsia="仿宋_GB2312" w:cs="Times New Roman"/>
          <w:sz w:val="32"/>
          <w:szCs w:val="32"/>
          <w:lang w:val="zh-CN"/>
        </w:rPr>
        <w:t>标准编制工作组收集了国内有关</w:t>
      </w:r>
      <w:r>
        <w:rPr>
          <w:rFonts w:hint="eastAsia" w:eastAsia="仿宋_GB2312" w:cs="Times New Roman"/>
          <w:sz w:val="32"/>
          <w:szCs w:val="32"/>
        </w:rPr>
        <w:t>咖啡</w:t>
      </w:r>
      <w:r>
        <w:rPr>
          <w:rFonts w:hint="eastAsia" w:eastAsia="仿宋_GB2312" w:cs="Times New Roman"/>
          <w:sz w:val="32"/>
          <w:szCs w:val="32"/>
          <w:lang w:val="en-US" w:eastAsia="zh-CN"/>
        </w:rPr>
        <w:t>种植或栽培</w:t>
      </w:r>
      <w:r>
        <w:rPr>
          <w:rFonts w:hint="eastAsia" w:eastAsia="仿宋_GB2312" w:cs="Times New Roman"/>
          <w:sz w:val="32"/>
          <w:szCs w:val="32"/>
        </w:rPr>
        <w:t>相关文献资料，</w:t>
      </w:r>
      <w:r>
        <w:rPr>
          <w:rFonts w:hint="eastAsia" w:eastAsia="仿宋_GB2312" w:cs="Times New Roman"/>
          <w:sz w:val="32"/>
          <w:szCs w:val="32"/>
          <w:lang w:val="zh-CN"/>
        </w:rPr>
        <w:t>如下：</w:t>
      </w:r>
    </w:p>
    <w:p w14:paraId="430DC0CA">
      <w:pPr>
        <w:pStyle w:val="9"/>
        <w:widowControl/>
        <w:spacing w:before="0" w:beforeAutospacing="0" w:after="0" w:afterAutospacing="0" w:line="520" w:lineRule="exact"/>
        <w:jc w:val="both"/>
        <w:rPr>
          <w:rFonts w:eastAsia="仿宋_GB2312" w:cs="Times New Roman"/>
          <w:sz w:val="32"/>
          <w:szCs w:val="32"/>
          <w:lang w:val="zh-CN"/>
        </w:rPr>
      </w:pPr>
      <w:r>
        <w:rPr>
          <w:rFonts w:hint="eastAsia" w:eastAsia="仿宋_GB2312" w:cs="Times New Roman"/>
          <w:sz w:val="32"/>
          <w:szCs w:val="32"/>
        </w:rPr>
        <w:t>《GB/T 18007-2011 咖啡及其制品 术语》《GB/T 19181-2018 生咖啡 分级方法导则》《NY/T 2003-2011小粒种咖啡种植技术规程》《DB46/T 642-2024 中粒种咖啡（罗布斯塔）生咖啡》《DB5305/T 94-2022 地理标志证明商标 保山小粒咖啡》《NY /T 289-2025 绿色食品 咖啡》《DB46/ T 153-2023 地理标志产品 福山咖啡》</w:t>
      </w:r>
      <w:r>
        <w:rPr>
          <w:rFonts w:hint="eastAsia" w:eastAsia="仿宋_GB2312" w:cs="Times New Roman"/>
          <w:sz w:val="32"/>
          <w:szCs w:val="32"/>
          <w:lang w:eastAsia="zh-CN"/>
        </w:rPr>
        <w:t>《</w:t>
      </w:r>
      <w:r>
        <w:rPr>
          <w:rFonts w:hint="eastAsia" w:eastAsia="仿宋_GB2312" w:cs="Times New Roman"/>
          <w:sz w:val="32"/>
          <w:szCs w:val="32"/>
        </w:rPr>
        <w:t>DB53/T 216-2007小粒种咖啡 第 3 部分：种植管理</w:t>
      </w:r>
      <w:r>
        <w:rPr>
          <w:rFonts w:hint="eastAsia" w:eastAsia="仿宋_GB2312" w:cs="Times New Roman"/>
          <w:sz w:val="32"/>
          <w:szCs w:val="32"/>
          <w:lang w:eastAsia="zh-CN"/>
        </w:rPr>
        <w:t>》《</w:t>
      </w:r>
      <w:r>
        <w:rPr>
          <w:rFonts w:hint="eastAsia" w:eastAsia="仿宋_GB2312" w:cs="Times New Roman"/>
          <w:sz w:val="32"/>
          <w:szCs w:val="32"/>
        </w:rPr>
        <w:t>DB46/T 153-2019</w:t>
      </w:r>
      <w:r>
        <w:rPr>
          <w:rFonts w:hint="eastAsia" w:eastAsia="仿宋_GB2312" w:cs="Times New Roman"/>
          <w:sz w:val="32"/>
          <w:szCs w:val="32"/>
          <w:lang w:val="en-US" w:eastAsia="zh-CN"/>
        </w:rPr>
        <w:t xml:space="preserve"> </w:t>
      </w:r>
      <w:r>
        <w:rPr>
          <w:rFonts w:hint="eastAsia" w:eastAsia="仿宋_GB2312" w:cs="Times New Roman"/>
          <w:sz w:val="32"/>
          <w:szCs w:val="32"/>
        </w:rPr>
        <w:t>中粒种咖啡种植技术规程</w:t>
      </w:r>
      <w:r>
        <w:rPr>
          <w:rFonts w:hint="eastAsia" w:eastAsia="仿宋_GB2312" w:cs="Times New Roman"/>
          <w:sz w:val="32"/>
          <w:szCs w:val="32"/>
          <w:lang w:eastAsia="zh-CN"/>
        </w:rPr>
        <w:t>》《</w:t>
      </w:r>
      <w:r>
        <w:rPr>
          <w:rFonts w:hint="eastAsia" w:eastAsia="仿宋_GB2312" w:cs="Times New Roman"/>
          <w:sz w:val="32"/>
          <w:szCs w:val="32"/>
        </w:rPr>
        <w:t>DB52/T 1593-2021</w:t>
      </w:r>
      <w:r>
        <w:rPr>
          <w:rFonts w:hint="eastAsia" w:eastAsia="仿宋_GB2312" w:cs="Times New Roman"/>
          <w:sz w:val="32"/>
          <w:szCs w:val="32"/>
          <w:lang w:val="en-US" w:eastAsia="zh-CN"/>
        </w:rPr>
        <w:t xml:space="preserve"> </w:t>
      </w:r>
      <w:r>
        <w:rPr>
          <w:rFonts w:hint="eastAsia" w:eastAsia="仿宋_GB2312" w:cs="Times New Roman"/>
          <w:sz w:val="32"/>
          <w:szCs w:val="32"/>
        </w:rPr>
        <w:t>咖啡种植技术规程</w:t>
      </w:r>
      <w:r>
        <w:rPr>
          <w:rFonts w:hint="eastAsia" w:eastAsia="仿宋_GB2312" w:cs="Times New Roman"/>
          <w:sz w:val="32"/>
          <w:szCs w:val="32"/>
          <w:lang w:eastAsia="zh-CN"/>
        </w:rPr>
        <w:t>》《NY</w:t>
      </w:r>
      <w:r>
        <w:rPr>
          <w:rFonts w:hint="eastAsia" w:eastAsia="仿宋_GB2312" w:cs="Times New Roman"/>
          <w:sz w:val="32"/>
          <w:szCs w:val="32"/>
          <w:lang w:val="en-US" w:eastAsia="zh-CN"/>
        </w:rPr>
        <w:t>/</w:t>
      </w:r>
      <w:r>
        <w:rPr>
          <w:rFonts w:hint="eastAsia" w:eastAsia="仿宋_GB2312" w:cs="Times New Roman"/>
          <w:sz w:val="32"/>
          <w:szCs w:val="32"/>
          <w:lang w:eastAsia="zh-CN"/>
        </w:rPr>
        <w:t>T</w:t>
      </w:r>
      <w:r>
        <w:rPr>
          <w:rFonts w:hint="eastAsia" w:eastAsia="仿宋_GB2312" w:cs="Times New Roman"/>
          <w:sz w:val="32"/>
          <w:szCs w:val="32"/>
          <w:lang w:val="en-US" w:eastAsia="zh-CN"/>
        </w:rPr>
        <w:t xml:space="preserve"> </w:t>
      </w:r>
      <w:r>
        <w:rPr>
          <w:rFonts w:hint="eastAsia" w:eastAsia="仿宋_GB2312" w:cs="Times New Roman"/>
          <w:sz w:val="32"/>
          <w:szCs w:val="32"/>
          <w:lang w:eastAsia="zh-CN"/>
        </w:rPr>
        <w:t>922-2004</w:t>
      </w:r>
      <w:r>
        <w:rPr>
          <w:rFonts w:hint="eastAsia" w:eastAsia="仿宋_GB2312" w:cs="Times New Roman"/>
          <w:sz w:val="32"/>
          <w:szCs w:val="32"/>
          <w:lang w:val="en-US" w:eastAsia="zh-CN"/>
        </w:rPr>
        <w:t xml:space="preserve"> </w:t>
      </w:r>
      <w:r>
        <w:rPr>
          <w:rFonts w:hint="eastAsia" w:eastAsia="仿宋_GB2312" w:cs="Times New Roman"/>
          <w:sz w:val="32"/>
          <w:szCs w:val="32"/>
          <w:lang w:eastAsia="zh-CN"/>
        </w:rPr>
        <w:t>咖啡栽培技术规程》</w:t>
      </w:r>
      <w:r>
        <w:rPr>
          <w:rFonts w:hint="eastAsia" w:eastAsia="仿宋_GB2312" w:cs="Times New Roman"/>
          <w:sz w:val="32"/>
          <w:szCs w:val="32"/>
        </w:rPr>
        <w:t>等</w:t>
      </w:r>
      <w:r>
        <w:rPr>
          <w:rFonts w:hint="eastAsia" w:eastAsia="仿宋_GB2312" w:cs="Times New Roman"/>
          <w:sz w:val="32"/>
          <w:szCs w:val="32"/>
          <w:lang w:val="zh-CN"/>
        </w:rPr>
        <w:t>。</w:t>
      </w:r>
    </w:p>
    <w:p w14:paraId="37B89F15">
      <w:pPr>
        <w:pStyle w:val="9"/>
        <w:widowControl/>
        <w:spacing w:before="0" w:beforeAutospacing="0" w:after="0" w:afterAutospacing="0" w:line="520" w:lineRule="exact"/>
        <w:ind w:firstLine="640" w:firstLineChars="200"/>
        <w:jc w:val="both"/>
        <w:rPr>
          <w:rFonts w:eastAsia="仿宋_GB2312" w:cs="Times New Roman"/>
          <w:sz w:val="32"/>
          <w:szCs w:val="32"/>
          <w:lang w:val="zh-CN"/>
        </w:rPr>
      </w:pPr>
    </w:p>
    <w:p w14:paraId="0DC9D191">
      <w:pPr>
        <w:numPr>
          <w:ilvl w:val="0"/>
          <w:numId w:val="4"/>
        </w:numPr>
        <w:spacing w:line="520" w:lineRule="exact"/>
        <w:ind w:left="600"/>
        <w:rPr>
          <w:rFonts w:ascii="楷体" w:hAnsi="楷体" w:eastAsia="楷体"/>
          <w:b/>
          <w:sz w:val="32"/>
          <w:szCs w:val="32"/>
          <w:lang w:val="zh-CN"/>
        </w:rPr>
      </w:pPr>
      <w:r>
        <w:rPr>
          <w:rFonts w:hint="eastAsia" w:ascii="楷体" w:hAnsi="楷体" w:eastAsia="楷体"/>
          <w:b/>
          <w:sz w:val="32"/>
          <w:szCs w:val="32"/>
          <w:lang w:val="zh-CN"/>
        </w:rPr>
        <w:t>研讨确定标准</w:t>
      </w:r>
      <w:r>
        <w:rPr>
          <w:rFonts w:hint="eastAsia" w:ascii="楷体" w:hAnsi="楷体" w:eastAsia="楷体"/>
          <w:b/>
          <w:sz w:val="32"/>
          <w:szCs w:val="32"/>
        </w:rPr>
        <w:t>特色、创新点和主要内容</w:t>
      </w:r>
    </w:p>
    <w:p w14:paraId="3836CB37">
      <w:pPr>
        <w:overflowPunct w:val="0"/>
        <w:topLinePunct/>
        <w:spacing w:line="560" w:lineRule="exact"/>
        <w:ind w:firstLine="640"/>
        <w:rPr>
          <w:rFonts w:hint="eastAsia" w:eastAsia="仿宋_GB2312"/>
          <w:sz w:val="32"/>
          <w:szCs w:val="32"/>
        </w:rPr>
      </w:pPr>
      <w:r>
        <w:rPr>
          <w:rFonts w:hint="eastAsia" w:eastAsia="仿宋_GB2312"/>
          <w:sz w:val="32"/>
          <w:szCs w:val="32"/>
        </w:rPr>
        <w:t>经过多年的试验种植，西林县逐渐形成了以阿拉比卡系列的卡蒂姆、萨奇姆两种咖啡种类为主的种植格局。2024 年 3 月，成功注册 “句町咖啡” 品牌，这一品牌的诞生，标志着西林咖啡正式迈向品牌化发展之路，提高了市场竞争力，增加了产品销售额。2024 年 6 月，成立广西西林县句町咖啡发展贸易有限公司 ，专业负责咖啡产业的运营和发展。2024 年 11 月，广西西林县句町咖啡发展贸易有限公司受邀参加广西咖啡创新发展交流推介会，并在会上作交流推介 ，向更多人展示了句町咖啡的独特魅力，持续加大 “句町咖啡” 品牌宣传推广力度，将 “句町咖啡” 推向更广阔的市场。</w:t>
      </w:r>
    </w:p>
    <w:p w14:paraId="3836CB37">
      <w:pPr>
        <w:overflowPunct w:val="0"/>
        <w:topLinePunct/>
        <w:spacing w:line="560" w:lineRule="exact"/>
        <w:ind w:firstLine="640"/>
        <w:rPr>
          <w:rFonts w:hint="eastAsia" w:ascii="Times New Roman" w:hAnsi="Times New Roman" w:eastAsia="仿宋_GB2312" w:cstheme="minorBidi"/>
          <w:color w:val="auto"/>
          <w:kern w:val="2"/>
          <w:sz w:val="32"/>
          <w:szCs w:val="32"/>
        </w:rPr>
      </w:pPr>
      <w:r>
        <w:rPr>
          <w:rFonts w:hint="eastAsia" w:ascii="Times New Roman" w:hAnsi="Times New Roman" w:eastAsia="仿宋_GB2312" w:cstheme="minorBidi"/>
          <w:color w:val="auto"/>
          <w:kern w:val="2"/>
          <w:sz w:val="32"/>
          <w:szCs w:val="32"/>
        </w:rPr>
        <w:t>聚焦西林本地气候与地形，明确耐寒高产品种（卡蒂姆、萨奇姆等）及 “冷湖” 区、低凹地等禁忌种植区域。全流程闭环管控：从种植地选址到档案追溯，覆盖 “选 - 规 - 整 - 植 - 管 - 修 - 防 - 记” 全链条，无管理断点。注重生态协调：强调防护林带营造与荫蔽度控制（30%</w:t>
      </w:r>
      <w:r>
        <w:rPr>
          <w:rFonts w:hint="eastAsia" w:eastAsia="仿宋_GB2312" w:cstheme="minorBidi"/>
          <w:color w:val="auto"/>
          <w:kern w:val="2"/>
          <w:sz w:val="32"/>
          <w:szCs w:val="32"/>
          <w:lang w:eastAsia="zh-CN"/>
        </w:rPr>
        <w:t>～</w:t>
      </w:r>
      <w:r>
        <w:rPr>
          <w:rFonts w:hint="eastAsia" w:ascii="Times New Roman" w:hAnsi="Times New Roman" w:eastAsia="仿宋_GB2312" w:cstheme="minorBidi"/>
          <w:color w:val="auto"/>
          <w:kern w:val="2"/>
          <w:sz w:val="32"/>
          <w:szCs w:val="32"/>
        </w:rPr>
        <w:t>50%），采用秸秆覆盖、人工除草等生态友好型管理方式。</w:t>
      </w:r>
    </w:p>
    <w:p w14:paraId="06B51228">
      <w:pPr>
        <w:pStyle w:val="15"/>
        <w:ind w:firstLine="640" w:firstLineChars="200"/>
        <w:rPr>
          <w:rFonts w:hint="eastAsia" w:eastAsia="仿宋_GB2312"/>
          <w:lang w:val="en-US" w:eastAsia="zh-CN"/>
        </w:rPr>
      </w:pPr>
      <w:r>
        <w:rPr>
          <w:rFonts w:hint="eastAsia" w:eastAsia="仿宋_GB2312" w:cstheme="minorBidi"/>
          <w:color w:val="auto"/>
          <w:kern w:val="2"/>
          <w:sz w:val="32"/>
          <w:szCs w:val="32"/>
          <w:lang w:val="en-US" w:eastAsia="zh-CN"/>
        </w:rPr>
        <w:t>标准一是创新“水肥一体化”</w:t>
      </w:r>
      <w:r>
        <w:rPr>
          <w:rFonts w:hint="eastAsia" w:eastAsia="仿宋_GB2312"/>
          <w:color w:val="auto"/>
        </w:rPr>
        <w:t>种植配套：要求安装压力补偿滴头、智能控制器，实现灌溉施肥的远程控制与定时操作，</w:t>
      </w:r>
      <w:r>
        <w:rPr>
          <w:rFonts w:hint="eastAsia" w:eastAsia="仿宋_GB2312"/>
          <w:color w:val="auto"/>
          <w:lang w:val="en-US" w:eastAsia="zh-CN"/>
        </w:rPr>
        <w:t>目前西林咖啡种植60%～70%实现水肥一体化管理，大幅</w:t>
      </w:r>
      <w:r>
        <w:rPr>
          <w:rFonts w:hint="eastAsia" w:eastAsia="仿宋_GB2312"/>
          <w:color w:val="auto"/>
        </w:rPr>
        <w:t>提升管理效率。</w:t>
      </w:r>
      <w:r>
        <w:rPr>
          <w:rFonts w:hint="eastAsia" w:eastAsia="仿宋_GB2312"/>
          <w:color w:val="auto"/>
          <w:lang w:val="en-US" w:eastAsia="zh-CN"/>
        </w:rPr>
        <w:t>二是结合西林区域特点进行</w:t>
      </w:r>
      <w:r>
        <w:rPr>
          <w:rFonts w:hint="eastAsia" w:eastAsia="仿宋_GB2312"/>
          <w:color w:val="auto"/>
        </w:rPr>
        <w:t>个性化种植方案：按品种定种植密度（如卡蒂姆 1.0m×1.2m、罗布斯塔 2.0m×3m 等），按树龄分阶段制定施肥量与施肥方法（前 3 年半环状施肥，3 年后条沟施肥）。</w:t>
      </w:r>
      <w:r>
        <w:rPr>
          <w:rFonts w:hint="eastAsia" w:eastAsia="仿宋_GB2312"/>
          <w:color w:val="auto"/>
          <w:lang w:val="en-US" w:eastAsia="zh-CN"/>
        </w:rPr>
        <w:t>三是结合西林</w:t>
      </w:r>
      <w:r>
        <w:rPr>
          <w:rFonts w:hint="eastAsia" w:eastAsia="仿宋_GB2312"/>
          <w:color w:val="auto"/>
        </w:rPr>
        <w:t>地形适配型规划：针对复杂地形设计 “Z” 字型或 “U” 型轨道运输，连接种植区、加工点与交通干道，解决山地运输难题。</w:t>
      </w:r>
      <w:r>
        <w:rPr>
          <w:rFonts w:hint="eastAsia" w:eastAsia="仿宋_GB2312"/>
          <w:color w:val="auto"/>
          <w:lang w:val="en-US" w:eastAsia="zh-CN"/>
        </w:rPr>
        <w:t>四是</w:t>
      </w:r>
      <w:r>
        <w:rPr>
          <w:rFonts w:hint="eastAsia" w:eastAsia="仿宋_GB2312"/>
          <w:color w:val="auto"/>
        </w:rPr>
        <w:t>针对分枝部位高的</w:t>
      </w:r>
      <w:r>
        <w:rPr>
          <w:rFonts w:hint="eastAsia" w:eastAsia="仿宋_GB2312"/>
          <w:color w:val="auto"/>
          <w:lang w:eastAsia="zh-CN"/>
        </w:rPr>
        <w:t>高秆</w:t>
      </w:r>
      <w:r>
        <w:rPr>
          <w:rFonts w:hint="eastAsia" w:eastAsia="仿宋_GB2312"/>
          <w:color w:val="auto"/>
        </w:rPr>
        <w:t>苗，明确 “保留原主杆，选留 1~2 条直生枝作为后备新杆，主杆总数不超过 3 条”，其余直生枝全部剪除。避免</w:t>
      </w:r>
      <w:r>
        <w:rPr>
          <w:rFonts w:hint="eastAsia" w:eastAsia="仿宋_GB2312"/>
          <w:color w:val="auto"/>
          <w:lang w:eastAsia="zh-CN"/>
        </w:rPr>
        <w:t>高秆</w:t>
      </w:r>
      <w:r>
        <w:rPr>
          <w:rFonts w:hint="eastAsia" w:eastAsia="仿宋_GB2312"/>
          <w:color w:val="auto"/>
        </w:rPr>
        <w:t>苗单主杆易倒伏的问题，通过 “主杆 + 后备杆” 的双保险，提升山地种植的树体稳定性</w:t>
      </w:r>
      <w:r>
        <w:rPr>
          <w:rFonts w:hint="eastAsia" w:eastAsia="仿宋_GB2312"/>
          <w:color w:val="auto"/>
          <w:lang w:eastAsia="zh-CN"/>
        </w:rPr>
        <w:t>。</w:t>
      </w:r>
      <w:r>
        <w:rPr>
          <w:rFonts w:hint="eastAsia" w:eastAsia="仿宋_GB2312"/>
          <w:color w:val="auto"/>
        </w:rPr>
        <w:t>针对定植初期的幼树，要求 “仅保留 1 条</w:t>
      </w:r>
      <w:r>
        <w:rPr>
          <w:rFonts w:hint="eastAsia" w:eastAsia="仿宋_GB2312"/>
          <w:color w:val="auto"/>
          <w:lang w:eastAsia="zh-CN"/>
        </w:rPr>
        <w:t>主干</w:t>
      </w:r>
      <w:r>
        <w:rPr>
          <w:rFonts w:hint="eastAsia" w:eastAsia="仿宋_GB2312"/>
          <w:color w:val="auto"/>
        </w:rPr>
        <w:t>，其余直生枝全部修除”，避免幼树分枝过早导致养分分散，确保主干健壮生长</w:t>
      </w:r>
      <w:r>
        <w:rPr>
          <w:rFonts w:hint="eastAsia" w:eastAsia="仿宋_GB2312"/>
          <w:color w:val="auto"/>
          <w:lang w:eastAsia="zh-CN"/>
        </w:rPr>
        <w:t>，</w:t>
      </w:r>
      <w:r>
        <w:rPr>
          <w:rFonts w:hint="eastAsia" w:eastAsia="仿宋_GB2312"/>
          <w:color w:val="auto"/>
        </w:rPr>
        <w:t>适配西林海拔 600</w:t>
      </w:r>
      <w:r>
        <w:rPr>
          <w:rFonts w:hint="eastAsia" w:eastAsia="仿宋_GB2312"/>
          <w:color w:val="auto"/>
          <w:lang w:eastAsia="zh-CN"/>
        </w:rPr>
        <w:t>～</w:t>
      </w:r>
      <w:r>
        <w:rPr>
          <w:rFonts w:hint="eastAsia" w:eastAsia="仿宋_GB2312"/>
          <w:color w:val="auto"/>
        </w:rPr>
        <w:t>1000m 的山地光照条件，促进主干快速达到结果高度</w:t>
      </w:r>
      <w:r>
        <w:rPr>
          <w:rFonts w:hint="eastAsia" w:eastAsia="仿宋_GB2312"/>
          <w:color w:val="auto"/>
          <w:lang w:eastAsia="zh-CN"/>
        </w:rPr>
        <w:t>。</w:t>
      </w:r>
    </w:p>
    <w:p w14:paraId="4E15BCC7">
      <w:pPr>
        <w:pStyle w:val="16"/>
        <w:ind w:firstLine="640" w:firstLineChars="200"/>
        <w:rPr>
          <w:rFonts w:eastAsia="仿宋_GB2312" w:cs="Times New Roman"/>
          <w:sz w:val="32"/>
          <w:szCs w:val="32"/>
          <w:lang w:val="zh-CN"/>
        </w:rPr>
      </w:pPr>
      <w:r>
        <w:rPr>
          <w:rFonts w:hint="eastAsia" w:eastAsia="仿宋_GB2312" w:cs="Times New Roman"/>
          <w:sz w:val="32"/>
          <w:szCs w:val="32"/>
          <w:lang w:val="zh-CN"/>
        </w:rPr>
        <w:t>标准编制工作组在对收集的资料进行整理研究后，召开了标准编制会议，对标准的整体框架进行了讨论研究，并对标准的关键性问题进行了初步探讨。经过研究，标准的主体内容包括种植地选择、园地规划、整地、定植、管理、修枝、主要病虫害防治等要求。</w:t>
      </w:r>
    </w:p>
    <w:p w14:paraId="4BEA7466">
      <w:pPr>
        <w:numPr>
          <w:ilvl w:val="0"/>
          <w:numId w:val="4"/>
        </w:numPr>
        <w:spacing w:line="520" w:lineRule="exact"/>
        <w:ind w:left="600"/>
        <w:rPr>
          <w:rFonts w:ascii="楷体" w:hAnsi="楷体" w:eastAsia="楷体"/>
          <w:b/>
          <w:sz w:val="32"/>
          <w:szCs w:val="32"/>
          <w:lang w:val="zh-CN"/>
        </w:rPr>
      </w:pPr>
      <w:r>
        <w:rPr>
          <w:rFonts w:hint="eastAsia" w:ascii="楷体" w:hAnsi="楷体" w:eastAsia="楷体"/>
          <w:b/>
          <w:sz w:val="32"/>
          <w:szCs w:val="32"/>
          <w:lang w:val="zh-CN"/>
        </w:rPr>
        <w:t>调研、形成文本草案、征求意见稿</w:t>
      </w:r>
    </w:p>
    <w:p w14:paraId="2D351F05">
      <w:pPr>
        <w:spacing w:line="520" w:lineRule="exact"/>
        <w:ind w:firstLine="640" w:firstLineChars="200"/>
        <w:rPr>
          <w:rFonts w:ascii="仿宋_GB2312" w:eastAsia="仿宋_GB2312"/>
          <w:color w:val="000000"/>
          <w:sz w:val="32"/>
          <w:szCs w:val="32"/>
          <w:lang w:val="zh-CN"/>
        </w:rPr>
      </w:pPr>
      <w:r>
        <w:rPr>
          <w:rFonts w:hint="eastAsia" w:eastAsia="仿宋_GB2312" w:cs="Times New Roman"/>
          <w:sz w:val="32"/>
          <w:szCs w:val="32"/>
          <w:lang w:val="zh-CN"/>
        </w:rPr>
        <w:t>202</w:t>
      </w:r>
      <w:r>
        <w:rPr>
          <w:rFonts w:hint="eastAsia" w:eastAsia="仿宋_GB2312" w:cs="Times New Roman"/>
          <w:sz w:val="32"/>
          <w:szCs w:val="32"/>
        </w:rPr>
        <w:t>5</w:t>
      </w:r>
      <w:r>
        <w:rPr>
          <w:rFonts w:hint="eastAsia" w:eastAsia="仿宋_GB2312" w:cs="Times New Roman"/>
          <w:sz w:val="32"/>
          <w:szCs w:val="32"/>
          <w:lang w:val="zh-CN"/>
        </w:rPr>
        <w:t>年</w:t>
      </w:r>
      <w:r>
        <w:rPr>
          <w:rFonts w:hint="eastAsia" w:eastAsia="仿宋_GB2312" w:cs="Times New Roman"/>
          <w:sz w:val="32"/>
          <w:szCs w:val="32"/>
        </w:rPr>
        <w:t>3月～2025年8月</w:t>
      </w:r>
      <w:r>
        <w:rPr>
          <w:rFonts w:hint="eastAsia" w:eastAsia="仿宋_GB2312" w:cs="Times New Roman"/>
          <w:sz w:val="32"/>
          <w:szCs w:val="32"/>
          <w:lang w:val="zh-CN"/>
        </w:rPr>
        <w:t>，标准编制工作组进行了广泛实地调研工作，深入</w:t>
      </w:r>
      <w:r>
        <w:rPr>
          <w:rFonts w:hint="eastAsia" w:eastAsia="仿宋_GB2312"/>
          <w:sz w:val="32"/>
          <w:szCs w:val="32"/>
        </w:rPr>
        <w:t>西林县句町咖啡发展贸易有限公司、西林县桂古蒿咖啡贸易有限公司、广西西林佰香精品咖啡有限公司、</w:t>
      </w:r>
      <w:r>
        <w:rPr>
          <w:rFonts w:hint="eastAsia" w:eastAsia="仿宋_GB2312"/>
          <w:sz w:val="32"/>
          <w:szCs w:val="32"/>
          <w:lang w:eastAsia="zh-CN"/>
        </w:rPr>
        <w:t>广西丰宏食品科技有限公司</w:t>
      </w:r>
      <w:r>
        <w:rPr>
          <w:rFonts w:hint="eastAsia" w:ascii="仿宋_GB2312" w:eastAsia="仿宋_GB2312"/>
          <w:color w:val="000000"/>
          <w:sz w:val="32"/>
          <w:szCs w:val="32"/>
        </w:rPr>
        <w:t>等单位，以及云南普洱等地方</w:t>
      </w:r>
      <w:r>
        <w:rPr>
          <w:rFonts w:hint="eastAsia" w:eastAsia="仿宋_GB2312" w:cs="Times New Roman"/>
          <w:sz w:val="32"/>
          <w:szCs w:val="32"/>
          <w:lang w:val="zh-CN"/>
        </w:rPr>
        <w:t>，对咖啡的</w:t>
      </w:r>
      <w:r>
        <w:rPr>
          <w:rFonts w:hint="eastAsia" w:eastAsia="仿宋_GB2312" w:cs="Times New Roman"/>
          <w:sz w:val="32"/>
          <w:szCs w:val="32"/>
        </w:rPr>
        <w:t>种植、加工</w:t>
      </w:r>
      <w:r>
        <w:rPr>
          <w:rFonts w:hint="eastAsia" w:eastAsia="仿宋_GB2312" w:cs="Times New Roman"/>
          <w:sz w:val="32"/>
          <w:szCs w:val="32"/>
          <w:lang w:val="zh-CN"/>
        </w:rPr>
        <w:t>等方面的技术要求进行调研。</w:t>
      </w:r>
      <w:r>
        <w:rPr>
          <w:rFonts w:hint="eastAsia" w:ascii="仿宋_GB2312" w:eastAsia="仿宋_GB2312"/>
          <w:color w:val="000000"/>
          <w:sz w:val="32"/>
          <w:szCs w:val="32"/>
          <w:lang w:val="zh-CN"/>
        </w:rPr>
        <w:t>同时，查阅了大量的国内外文献资料，对</w:t>
      </w:r>
      <w:r>
        <w:rPr>
          <w:rFonts w:hint="eastAsia" w:eastAsia="仿宋_GB2312" w:cs="Times New Roman"/>
          <w:sz w:val="32"/>
          <w:szCs w:val="32"/>
          <w:lang w:val="zh-CN"/>
        </w:rPr>
        <w:t>咖啡</w:t>
      </w:r>
      <w:r>
        <w:rPr>
          <w:rFonts w:hint="eastAsia" w:eastAsia="仿宋_GB2312" w:cs="Times New Roman"/>
          <w:sz w:val="32"/>
          <w:szCs w:val="32"/>
          <w:lang w:val="en-US" w:eastAsia="zh-CN"/>
        </w:rPr>
        <w:t>种植</w:t>
      </w:r>
      <w:r>
        <w:rPr>
          <w:rFonts w:hint="eastAsia" w:eastAsia="仿宋_GB2312" w:cs="Times New Roman"/>
          <w:sz w:val="32"/>
          <w:szCs w:val="32"/>
          <w:lang w:val="zh-CN"/>
        </w:rPr>
        <w:t>技术</w:t>
      </w:r>
      <w:r>
        <w:rPr>
          <w:rFonts w:hint="eastAsia" w:eastAsia="仿宋_GB2312" w:cs="Times New Roman"/>
          <w:sz w:val="32"/>
          <w:szCs w:val="32"/>
        </w:rPr>
        <w:t>指标</w:t>
      </w:r>
      <w:r>
        <w:rPr>
          <w:rFonts w:hint="eastAsia" w:eastAsia="仿宋_GB2312" w:cs="Times New Roman"/>
          <w:sz w:val="32"/>
          <w:szCs w:val="32"/>
          <w:lang w:val="zh-CN"/>
        </w:rPr>
        <w:t>要求</w:t>
      </w:r>
      <w:r>
        <w:rPr>
          <w:rFonts w:hint="eastAsia" w:ascii="仿宋_GB2312" w:eastAsia="仿宋_GB2312"/>
          <w:color w:val="000000"/>
          <w:sz w:val="32"/>
          <w:szCs w:val="32"/>
          <w:lang w:val="zh-CN"/>
        </w:rPr>
        <w:t>进行系统总结。并</w:t>
      </w:r>
      <w:r>
        <w:rPr>
          <w:rFonts w:hint="eastAsia" w:eastAsia="仿宋_GB2312" w:cs="Times New Roman"/>
          <w:sz w:val="32"/>
          <w:szCs w:val="32"/>
          <w:lang w:val="zh-CN"/>
        </w:rPr>
        <w:t>召集相关人员开展标准研讨会，对主要内容进行了讨论后</w:t>
      </w:r>
      <w:r>
        <w:rPr>
          <w:rFonts w:hint="eastAsia" w:ascii="仿宋_GB2312" w:eastAsia="仿宋_GB2312"/>
          <w:color w:val="000000"/>
          <w:sz w:val="32"/>
          <w:szCs w:val="32"/>
          <w:lang w:val="zh-CN"/>
        </w:rPr>
        <w:t>，形成了标准的基本构架，对项目的工作进行了部署和安排。</w:t>
      </w:r>
    </w:p>
    <w:p w14:paraId="1D325340">
      <w:pPr>
        <w:pStyle w:val="9"/>
        <w:widowControl/>
        <w:spacing w:before="0" w:beforeAutospacing="0" w:after="0" w:afterAutospacing="0" w:line="520" w:lineRule="exact"/>
        <w:ind w:firstLine="640" w:firstLineChars="200"/>
        <w:jc w:val="both"/>
        <w:rPr>
          <w:rFonts w:eastAsia="仿宋_GB2312" w:cs="Times New Roman"/>
          <w:sz w:val="32"/>
          <w:szCs w:val="32"/>
          <w:lang w:val="zh-CN"/>
        </w:rPr>
      </w:pPr>
      <w:r>
        <w:rPr>
          <w:rFonts w:hint="eastAsia" w:eastAsia="仿宋_GB2312" w:cs="Times New Roman"/>
          <w:sz w:val="32"/>
          <w:szCs w:val="32"/>
        </w:rPr>
        <w:t>2025年9月～2025年10月，</w:t>
      </w:r>
      <w:r>
        <w:rPr>
          <w:rFonts w:hint="eastAsia" w:eastAsia="仿宋_GB2312" w:cs="Times New Roman"/>
          <w:sz w:val="32"/>
          <w:szCs w:val="32"/>
          <w:lang w:val="zh-CN"/>
        </w:rPr>
        <w:t>标准编制工作组</w:t>
      </w:r>
      <w:r>
        <w:rPr>
          <w:rFonts w:hint="eastAsia" w:eastAsia="仿宋_GB2312" w:cs="Times New Roman"/>
          <w:sz w:val="32"/>
          <w:szCs w:val="32"/>
        </w:rPr>
        <w:t>通过访问、调查</w:t>
      </w:r>
      <w:r>
        <w:rPr>
          <w:rFonts w:hint="eastAsia" w:eastAsia="仿宋_GB2312" w:cs="Times New Roman"/>
          <w:sz w:val="32"/>
          <w:szCs w:val="32"/>
          <w:lang w:val="zh-CN"/>
        </w:rPr>
        <w:t>西林县句町咖啡发展贸易有限公司、西林县桂古蒿咖啡贸易有限公司、广西西林佰香精品咖啡有限公司、广西丰宏食品科技有限公司</w:t>
      </w:r>
      <w:r>
        <w:rPr>
          <w:rFonts w:hint="eastAsia" w:eastAsia="仿宋_GB2312" w:cs="Times New Roman"/>
          <w:sz w:val="32"/>
          <w:szCs w:val="32"/>
        </w:rPr>
        <w:t>等从事</w:t>
      </w:r>
      <w:r>
        <w:rPr>
          <w:rFonts w:hint="eastAsia" w:eastAsia="仿宋_GB2312" w:cs="Times New Roman"/>
          <w:sz w:val="32"/>
          <w:szCs w:val="32"/>
          <w:lang w:eastAsia="zh-CN"/>
        </w:rPr>
        <w:t>西林句町咖啡</w:t>
      </w:r>
      <w:r>
        <w:rPr>
          <w:rFonts w:hint="eastAsia" w:eastAsia="仿宋_GB2312" w:cs="Times New Roman"/>
          <w:sz w:val="32"/>
          <w:szCs w:val="32"/>
        </w:rPr>
        <w:t>企业</w:t>
      </w:r>
      <w:r>
        <w:rPr>
          <w:rFonts w:hint="eastAsia" w:eastAsia="仿宋_GB2312" w:cs="Times New Roman"/>
          <w:sz w:val="32"/>
          <w:szCs w:val="32"/>
          <w:lang w:val="zh-CN"/>
        </w:rPr>
        <w:t>。并在前期工作的基础之上，通过理清逻辑脉络，整合已有的参考资料中有关咖啡的内容，并结合咖啡技术实际要求及前期研究的基础上，按照简化、统一等原则编制完成团体标准《西林句町咖啡种植管理规范》（草案）。</w:t>
      </w:r>
    </w:p>
    <w:p w14:paraId="0AEE6F54">
      <w:pPr>
        <w:pStyle w:val="9"/>
        <w:widowControl/>
        <w:spacing w:before="0" w:beforeAutospacing="0" w:after="0" w:afterAutospacing="0" w:line="520" w:lineRule="exact"/>
        <w:ind w:firstLine="640" w:firstLineChars="200"/>
        <w:jc w:val="both"/>
        <w:rPr>
          <w:rFonts w:eastAsia="仿宋_GB2312" w:cs="Times New Roman"/>
          <w:sz w:val="32"/>
          <w:szCs w:val="32"/>
          <w:lang w:val="zh-CN"/>
        </w:rPr>
      </w:pPr>
      <w:r>
        <w:rPr>
          <w:rFonts w:hint="eastAsia" w:eastAsia="仿宋_GB2312" w:cs="Times New Roman"/>
          <w:sz w:val="32"/>
          <w:szCs w:val="32"/>
          <w:lang w:val="zh-CN"/>
        </w:rPr>
        <w:t>202</w:t>
      </w:r>
      <w:r>
        <w:rPr>
          <w:rFonts w:hint="eastAsia" w:eastAsia="仿宋_GB2312" w:cs="Times New Roman"/>
          <w:sz w:val="32"/>
          <w:szCs w:val="32"/>
        </w:rPr>
        <w:t>5</w:t>
      </w:r>
      <w:r>
        <w:rPr>
          <w:rFonts w:hint="eastAsia" w:eastAsia="仿宋_GB2312" w:cs="Times New Roman"/>
          <w:sz w:val="32"/>
          <w:szCs w:val="32"/>
          <w:lang w:val="zh-CN"/>
        </w:rPr>
        <w:t>年</w:t>
      </w:r>
      <w:r>
        <w:rPr>
          <w:rFonts w:hint="eastAsia" w:eastAsia="仿宋_GB2312" w:cs="Times New Roman"/>
          <w:sz w:val="32"/>
          <w:szCs w:val="32"/>
        </w:rPr>
        <w:t>11</w:t>
      </w:r>
      <w:r>
        <w:rPr>
          <w:rFonts w:hint="eastAsia" w:eastAsia="仿宋_GB2312" w:cs="Times New Roman"/>
          <w:sz w:val="32"/>
          <w:szCs w:val="32"/>
          <w:lang w:val="zh-CN"/>
        </w:rPr>
        <w:t>月，西林县句町咖啡发展贸易有限公司、西林县桂古蒿咖啡贸易有限公司、广西西林佰香精品咖啡有限公司、广西丰宏食品科技有限公司</w:t>
      </w:r>
      <w:r>
        <w:rPr>
          <w:rFonts w:hint="eastAsia" w:eastAsia="仿宋_GB2312" w:cs="Times New Roman"/>
          <w:sz w:val="32"/>
          <w:szCs w:val="32"/>
        </w:rPr>
        <w:t>等企业的支持，积极结合自身多年句町咖啡的情况</w:t>
      </w:r>
      <w:r>
        <w:rPr>
          <w:rFonts w:hint="eastAsia" w:eastAsia="仿宋_GB2312" w:cs="Times New Roman"/>
          <w:sz w:val="32"/>
          <w:szCs w:val="32"/>
          <w:lang w:val="zh-CN"/>
        </w:rPr>
        <w:t>，</w:t>
      </w:r>
      <w:r>
        <w:rPr>
          <w:rFonts w:hint="eastAsia" w:eastAsia="仿宋_GB2312" w:cs="Times New Roman"/>
          <w:sz w:val="32"/>
          <w:szCs w:val="32"/>
        </w:rPr>
        <w:t>经协商一致确定</w:t>
      </w:r>
      <w:r>
        <w:rPr>
          <w:rFonts w:hint="eastAsia" w:eastAsia="仿宋_GB2312" w:cs="Times New Roman"/>
          <w:sz w:val="32"/>
          <w:szCs w:val="32"/>
          <w:lang w:eastAsia="zh-CN"/>
        </w:rPr>
        <w:t>西林句町咖啡种植管理</w:t>
      </w:r>
      <w:r>
        <w:rPr>
          <w:rFonts w:hint="eastAsia" w:eastAsia="仿宋_GB2312" w:cs="Times New Roman"/>
          <w:sz w:val="32"/>
          <w:szCs w:val="32"/>
          <w:lang w:val="en-US" w:eastAsia="zh-CN"/>
        </w:rPr>
        <w:t>的种植地选择、整地、品种选择、水肥管理</w:t>
      </w:r>
      <w:r>
        <w:rPr>
          <w:rFonts w:hint="eastAsia" w:eastAsia="仿宋_GB2312" w:cs="Times New Roman"/>
          <w:sz w:val="32"/>
          <w:szCs w:val="32"/>
        </w:rPr>
        <w:t>等要求</w:t>
      </w:r>
      <w:r>
        <w:rPr>
          <w:rFonts w:hint="eastAsia" w:eastAsia="仿宋_GB2312" w:cs="Times New Roman"/>
          <w:sz w:val="32"/>
          <w:szCs w:val="32"/>
          <w:lang w:val="zh-CN"/>
        </w:rPr>
        <w:t>。标准编制工作组对咖啡进行调查研究和分析，对标准草案进行反复修改和研究讨论，形成团体标准《西林句町咖啡种植管理规范》（征求意见稿）和（征求意见稿）编制说明。</w:t>
      </w:r>
    </w:p>
    <w:p w14:paraId="63E50DBC">
      <w:pPr>
        <w:pStyle w:val="9"/>
        <w:widowControl/>
        <w:spacing w:before="0" w:beforeAutospacing="0" w:after="0" w:afterAutospacing="0" w:line="520" w:lineRule="exact"/>
        <w:ind w:firstLine="640" w:firstLineChars="200"/>
        <w:jc w:val="both"/>
        <w:rPr>
          <w:rFonts w:eastAsia="仿宋_GB2312" w:cs="Times New Roman"/>
          <w:sz w:val="32"/>
          <w:szCs w:val="32"/>
          <w:lang w:val="zh-CN"/>
        </w:rPr>
      </w:pPr>
    </w:p>
    <w:p w14:paraId="63C81472">
      <w:pPr>
        <w:pStyle w:val="9"/>
        <w:widowControl/>
        <w:spacing w:before="0" w:beforeAutospacing="0" w:after="0" w:afterAutospacing="0" w:line="520" w:lineRule="exact"/>
        <w:ind w:firstLine="640" w:firstLineChars="200"/>
        <w:jc w:val="both"/>
        <w:rPr>
          <w:rFonts w:eastAsia="仿宋_GB2312" w:cs="Times New Roman"/>
          <w:sz w:val="32"/>
          <w:szCs w:val="32"/>
          <w:lang w:val="zh-CN"/>
        </w:rPr>
      </w:pPr>
    </w:p>
    <w:p w14:paraId="1E2C5065">
      <w:pPr>
        <w:pStyle w:val="9"/>
        <w:widowControl/>
        <w:spacing w:before="0" w:beforeAutospacing="0" w:after="0" w:afterAutospacing="0" w:line="520" w:lineRule="exact"/>
        <w:ind w:firstLine="640" w:firstLineChars="200"/>
        <w:jc w:val="both"/>
        <w:rPr>
          <w:rFonts w:eastAsia="仿宋_GB2312" w:cs="Times New Roman"/>
          <w:sz w:val="32"/>
          <w:szCs w:val="32"/>
          <w:lang w:val="zh-C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9"/>
        <w:gridCol w:w="2949"/>
        <w:gridCol w:w="2950"/>
      </w:tblGrid>
      <w:tr w14:paraId="0BAD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9" w:type="dxa"/>
          </w:tcPr>
          <w:p w14:paraId="6D5FED65">
            <w:pPr>
              <w:pStyle w:val="9"/>
              <w:widowControl/>
              <w:spacing w:before="0" w:beforeAutospacing="0" w:after="0" w:afterAutospacing="0" w:line="520" w:lineRule="exact"/>
              <w:jc w:val="both"/>
              <w:rPr>
                <w:rFonts w:ascii="Calibri" w:hAnsi="Calibri" w:eastAsia="仿宋_GB2312" w:cs="Times New Roman"/>
                <w:sz w:val="32"/>
                <w:szCs w:val="32"/>
                <w:lang w:val="zh-CN"/>
              </w:rPr>
            </w:pPr>
            <w:r>
              <w:rPr>
                <w:rFonts w:hint="eastAsia" w:ascii="Calibri" w:hAnsi="Calibri" w:eastAsia="仿宋_GB2312" w:cs="Times New Roman"/>
                <w:sz w:val="32"/>
                <w:szCs w:val="32"/>
              </w:rPr>
              <w:drawing>
                <wp:anchor distT="0" distB="0" distL="114300" distR="114300" simplePos="0" relativeHeight="251659264" behindDoc="0" locked="0" layoutInCell="1" allowOverlap="1">
                  <wp:simplePos x="0" y="0"/>
                  <wp:positionH relativeFrom="column">
                    <wp:posOffset>0</wp:posOffset>
                  </wp:positionH>
                  <wp:positionV relativeFrom="paragraph">
                    <wp:posOffset>-726440</wp:posOffset>
                  </wp:positionV>
                  <wp:extent cx="1733550" cy="974725"/>
                  <wp:effectExtent l="0" t="0" r="0" b="15875"/>
                  <wp:wrapTopAndBottom/>
                  <wp:docPr id="1" name="图片 1" descr="1e0426f71b3e6abc7e8b54feda558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e0426f71b3e6abc7e8b54feda55810b"/>
                          <pic:cNvPicPr>
                            <a:picLocks noChangeAspect="1"/>
                          </pic:cNvPicPr>
                        </pic:nvPicPr>
                        <pic:blipFill>
                          <a:blip r:embed="rId5"/>
                          <a:stretch>
                            <a:fillRect/>
                          </a:stretch>
                        </pic:blipFill>
                        <pic:spPr>
                          <a:xfrm>
                            <a:off x="0" y="0"/>
                            <a:ext cx="1733550" cy="974725"/>
                          </a:xfrm>
                          <a:prstGeom prst="rect">
                            <a:avLst/>
                          </a:prstGeom>
                        </pic:spPr>
                      </pic:pic>
                    </a:graphicData>
                  </a:graphic>
                </wp:anchor>
              </w:drawing>
            </w:r>
          </w:p>
        </w:tc>
        <w:tc>
          <w:tcPr>
            <w:tcW w:w="2949" w:type="dxa"/>
          </w:tcPr>
          <w:p w14:paraId="77962D46">
            <w:pPr>
              <w:pStyle w:val="9"/>
              <w:widowControl/>
              <w:spacing w:before="0" w:beforeAutospacing="0" w:after="0" w:afterAutospacing="0" w:line="520" w:lineRule="exact"/>
              <w:jc w:val="both"/>
              <w:rPr>
                <w:rFonts w:ascii="Calibri" w:hAnsi="Calibri" w:eastAsia="仿宋_GB2312" w:cs="Times New Roman"/>
                <w:sz w:val="32"/>
                <w:szCs w:val="32"/>
                <w:lang w:val="zh-CN"/>
              </w:rPr>
            </w:pPr>
            <w:r>
              <w:rPr>
                <w:rFonts w:hint="eastAsia" w:ascii="Calibri" w:hAnsi="Calibri" w:eastAsia="仿宋_GB2312" w:cs="Times New Roman"/>
                <w:sz w:val="32"/>
                <w:szCs w:val="32"/>
              </w:rPr>
              <w:drawing>
                <wp:anchor distT="0" distB="0" distL="114300" distR="114300" simplePos="0" relativeHeight="251660288" behindDoc="0" locked="0" layoutInCell="1" allowOverlap="1">
                  <wp:simplePos x="0" y="0"/>
                  <wp:positionH relativeFrom="column">
                    <wp:posOffset>0</wp:posOffset>
                  </wp:positionH>
                  <wp:positionV relativeFrom="paragraph">
                    <wp:posOffset>-726440</wp:posOffset>
                  </wp:positionV>
                  <wp:extent cx="1733550" cy="974725"/>
                  <wp:effectExtent l="0" t="0" r="0" b="15875"/>
                  <wp:wrapTopAndBottom/>
                  <wp:docPr id="2" name="图片 2" descr="8dba8f8506b1147be806a11dd89da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dba8f8506b1147be806a11dd89dac48"/>
                          <pic:cNvPicPr>
                            <a:picLocks noChangeAspect="1"/>
                          </pic:cNvPicPr>
                        </pic:nvPicPr>
                        <pic:blipFill>
                          <a:blip r:embed="rId6"/>
                          <a:stretch>
                            <a:fillRect/>
                          </a:stretch>
                        </pic:blipFill>
                        <pic:spPr>
                          <a:xfrm>
                            <a:off x="0" y="0"/>
                            <a:ext cx="1733550" cy="974725"/>
                          </a:xfrm>
                          <a:prstGeom prst="rect">
                            <a:avLst/>
                          </a:prstGeom>
                        </pic:spPr>
                      </pic:pic>
                    </a:graphicData>
                  </a:graphic>
                </wp:anchor>
              </w:drawing>
            </w:r>
          </w:p>
        </w:tc>
        <w:tc>
          <w:tcPr>
            <w:tcW w:w="2950" w:type="dxa"/>
          </w:tcPr>
          <w:p w14:paraId="2A648668">
            <w:pPr>
              <w:pStyle w:val="9"/>
              <w:widowControl/>
              <w:spacing w:before="0" w:beforeAutospacing="0" w:after="0" w:afterAutospacing="0" w:line="520" w:lineRule="exact"/>
              <w:jc w:val="both"/>
              <w:rPr>
                <w:rFonts w:ascii="Calibri" w:hAnsi="Calibri" w:eastAsia="仿宋_GB2312" w:cs="Times New Roman"/>
                <w:sz w:val="32"/>
                <w:szCs w:val="32"/>
                <w:lang w:val="zh-CN"/>
              </w:rPr>
            </w:pPr>
            <w:r>
              <w:rPr>
                <w:rFonts w:hint="eastAsia" w:ascii="Calibri" w:hAnsi="Calibri" w:eastAsia="仿宋_GB2312" w:cs="Times New Roman"/>
                <w:sz w:val="32"/>
                <w:szCs w:val="32"/>
              </w:rPr>
              <w:drawing>
                <wp:anchor distT="0" distB="0" distL="114300" distR="114300" simplePos="0" relativeHeight="251661312" behindDoc="0" locked="0" layoutInCell="1" allowOverlap="1">
                  <wp:simplePos x="0" y="0"/>
                  <wp:positionH relativeFrom="column">
                    <wp:posOffset>0</wp:posOffset>
                  </wp:positionH>
                  <wp:positionV relativeFrom="paragraph">
                    <wp:posOffset>-726440</wp:posOffset>
                  </wp:positionV>
                  <wp:extent cx="1726565" cy="972820"/>
                  <wp:effectExtent l="0" t="0" r="6985" b="17780"/>
                  <wp:wrapTopAndBottom/>
                  <wp:docPr id="3" name="图片 3" descr="d2c8067c21f8ef81c9460311789400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2c8067c21f8ef81c9460311789400f6"/>
                          <pic:cNvPicPr>
                            <a:picLocks noChangeAspect="1"/>
                          </pic:cNvPicPr>
                        </pic:nvPicPr>
                        <pic:blipFill>
                          <a:blip r:embed="rId7"/>
                          <a:stretch>
                            <a:fillRect/>
                          </a:stretch>
                        </pic:blipFill>
                        <pic:spPr>
                          <a:xfrm>
                            <a:off x="0" y="0"/>
                            <a:ext cx="1726565" cy="972820"/>
                          </a:xfrm>
                          <a:prstGeom prst="rect">
                            <a:avLst/>
                          </a:prstGeom>
                        </pic:spPr>
                      </pic:pic>
                    </a:graphicData>
                  </a:graphic>
                </wp:anchor>
              </w:drawing>
            </w:r>
          </w:p>
        </w:tc>
      </w:tr>
      <w:tr w14:paraId="2FFB1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9" w:type="dxa"/>
          </w:tcPr>
          <w:p w14:paraId="702808F7">
            <w:pPr>
              <w:pStyle w:val="9"/>
              <w:widowControl/>
              <w:spacing w:before="0" w:beforeAutospacing="0" w:after="0" w:afterAutospacing="0" w:line="520" w:lineRule="exact"/>
              <w:jc w:val="both"/>
              <w:rPr>
                <w:rFonts w:ascii="Calibri" w:hAnsi="Calibri" w:eastAsia="仿宋_GB2312" w:cs="Times New Roman"/>
                <w:sz w:val="32"/>
                <w:szCs w:val="32"/>
                <w:lang w:val="zh-CN"/>
              </w:rPr>
            </w:pPr>
            <w:r>
              <w:rPr>
                <w:rFonts w:hint="eastAsia" w:ascii="Calibri" w:hAnsi="Calibri" w:eastAsia="仿宋_GB2312" w:cs="Times New Roman"/>
                <w:sz w:val="32"/>
                <w:szCs w:val="32"/>
              </w:rPr>
              <w:drawing>
                <wp:anchor distT="0" distB="0" distL="114300" distR="114300" simplePos="0" relativeHeight="251662336" behindDoc="0" locked="0" layoutInCell="1" allowOverlap="1">
                  <wp:simplePos x="0" y="0"/>
                  <wp:positionH relativeFrom="column">
                    <wp:posOffset>0</wp:posOffset>
                  </wp:positionH>
                  <wp:positionV relativeFrom="paragraph">
                    <wp:posOffset>-726440</wp:posOffset>
                  </wp:positionV>
                  <wp:extent cx="1733550" cy="974725"/>
                  <wp:effectExtent l="0" t="0" r="0" b="15875"/>
                  <wp:wrapTopAndBottom/>
                  <wp:docPr id="4" name="图片 4" descr="359051eceb06f12c525f51978fd4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59051eceb06f12c525f51978fd43617"/>
                          <pic:cNvPicPr>
                            <a:picLocks noChangeAspect="1"/>
                          </pic:cNvPicPr>
                        </pic:nvPicPr>
                        <pic:blipFill>
                          <a:blip r:embed="rId8"/>
                          <a:stretch>
                            <a:fillRect/>
                          </a:stretch>
                        </pic:blipFill>
                        <pic:spPr>
                          <a:xfrm>
                            <a:off x="0" y="0"/>
                            <a:ext cx="1733550" cy="974725"/>
                          </a:xfrm>
                          <a:prstGeom prst="rect">
                            <a:avLst/>
                          </a:prstGeom>
                        </pic:spPr>
                      </pic:pic>
                    </a:graphicData>
                  </a:graphic>
                </wp:anchor>
              </w:drawing>
            </w:r>
          </w:p>
        </w:tc>
        <w:tc>
          <w:tcPr>
            <w:tcW w:w="2949" w:type="dxa"/>
          </w:tcPr>
          <w:p w14:paraId="12D635AD">
            <w:pPr>
              <w:pStyle w:val="9"/>
              <w:widowControl/>
              <w:spacing w:before="0" w:beforeAutospacing="0" w:after="0" w:afterAutospacing="0" w:line="520" w:lineRule="exact"/>
              <w:jc w:val="both"/>
              <w:rPr>
                <w:rFonts w:ascii="Calibri" w:hAnsi="Calibri" w:eastAsia="仿宋_GB2312" w:cs="Times New Roman"/>
                <w:sz w:val="32"/>
                <w:szCs w:val="32"/>
                <w:lang w:val="zh-CN"/>
              </w:rPr>
            </w:pPr>
            <w:r>
              <w:rPr>
                <w:rFonts w:hint="eastAsia" w:ascii="Calibri" w:hAnsi="Calibri" w:eastAsia="仿宋_GB2312" w:cs="Times New Roman"/>
                <w:sz w:val="32"/>
                <w:szCs w:val="32"/>
              </w:rPr>
              <w:drawing>
                <wp:anchor distT="0" distB="0" distL="114300" distR="114300" simplePos="0" relativeHeight="251663360" behindDoc="0" locked="0" layoutInCell="1" allowOverlap="1">
                  <wp:simplePos x="0" y="0"/>
                  <wp:positionH relativeFrom="column">
                    <wp:posOffset>137160</wp:posOffset>
                  </wp:positionH>
                  <wp:positionV relativeFrom="paragraph">
                    <wp:posOffset>11430</wp:posOffset>
                  </wp:positionV>
                  <wp:extent cx="1441450" cy="966470"/>
                  <wp:effectExtent l="0" t="0" r="6350" b="5080"/>
                  <wp:wrapTopAndBottom/>
                  <wp:docPr id="5" name="图片 5" descr="0b6125d378372070975ea29d57d952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b6125d378372070975ea29d57d9527f"/>
                          <pic:cNvPicPr>
                            <a:picLocks noChangeAspect="1"/>
                          </pic:cNvPicPr>
                        </pic:nvPicPr>
                        <pic:blipFill>
                          <a:blip r:embed="rId9"/>
                          <a:stretch>
                            <a:fillRect/>
                          </a:stretch>
                        </pic:blipFill>
                        <pic:spPr>
                          <a:xfrm>
                            <a:off x="0" y="0"/>
                            <a:ext cx="1441450" cy="966470"/>
                          </a:xfrm>
                          <a:prstGeom prst="rect">
                            <a:avLst/>
                          </a:prstGeom>
                        </pic:spPr>
                      </pic:pic>
                    </a:graphicData>
                  </a:graphic>
                </wp:anchor>
              </w:drawing>
            </w:r>
          </w:p>
        </w:tc>
        <w:tc>
          <w:tcPr>
            <w:tcW w:w="2950" w:type="dxa"/>
          </w:tcPr>
          <w:p w14:paraId="2465E3F5">
            <w:pPr>
              <w:pStyle w:val="9"/>
              <w:widowControl/>
              <w:spacing w:before="0" w:beforeAutospacing="0" w:after="0" w:afterAutospacing="0" w:line="520" w:lineRule="exact"/>
              <w:jc w:val="both"/>
              <w:rPr>
                <w:rFonts w:ascii="Calibri" w:hAnsi="Calibri" w:eastAsia="仿宋_GB2312" w:cs="Times New Roman"/>
                <w:sz w:val="32"/>
                <w:szCs w:val="32"/>
                <w:lang w:val="zh-CN"/>
              </w:rPr>
            </w:pPr>
            <w:r>
              <w:rPr>
                <w:rFonts w:hint="eastAsia" w:ascii="Calibri" w:hAnsi="Calibri" w:eastAsia="仿宋_GB2312" w:cs="Times New Roman"/>
                <w:sz w:val="32"/>
                <w:szCs w:val="32"/>
              </w:rPr>
              <w:drawing>
                <wp:anchor distT="0" distB="0" distL="114300" distR="114300" simplePos="0" relativeHeight="251664384" behindDoc="0" locked="0" layoutInCell="1" allowOverlap="1">
                  <wp:simplePos x="0" y="0"/>
                  <wp:positionH relativeFrom="column">
                    <wp:posOffset>0</wp:posOffset>
                  </wp:positionH>
                  <wp:positionV relativeFrom="paragraph">
                    <wp:posOffset>-1031240</wp:posOffset>
                  </wp:positionV>
                  <wp:extent cx="1590675" cy="1033145"/>
                  <wp:effectExtent l="0" t="0" r="9525" b="14605"/>
                  <wp:wrapTopAndBottom/>
                  <wp:docPr id="6" name="图片 6" descr="512de6a0f12627c7d4ae418392074b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12de6a0f12627c7d4ae418392074b4e"/>
                          <pic:cNvPicPr>
                            <a:picLocks noChangeAspect="1"/>
                          </pic:cNvPicPr>
                        </pic:nvPicPr>
                        <pic:blipFill>
                          <a:blip r:embed="rId10"/>
                          <a:stretch>
                            <a:fillRect/>
                          </a:stretch>
                        </pic:blipFill>
                        <pic:spPr>
                          <a:xfrm>
                            <a:off x="0" y="0"/>
                            <a:ext cx="1590675" cy="1033145"/>
                          </a:xfrm>
                          <a:prstGeom prst="rect">
                            <a:avLst/>
                          </a:prstGeom>
                        </pic:spPr>
                      </pic:pic>
                    </a:graphicData>
                  </a:graphic>
                </wp:anchor>
              </w:drawing>
            </w:r>
          </w:p>
        </w:tc>
      </w:tr>
      <w:tr w14:paraId="103CB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4" w:hRule="atLeast"/>
        </w:trPr>
        <w:tc>
          <w:tcPr>
            <w:tcW w:w="2949" w:type="dxa"/>
          </w:tcPr>
          <w:p w14:paraId="68FBA11C">
            <w:pPr>
              <w:pStyle w:val="9"/>
              <w:widowControl/>
              <w:spacing w:before="0" w:beforeAutospacing="0" w:after="0" w:afterAutospacing="0" w:line="520" w:lineRule="exact"/>
              <w:jc w:val="both"/>
              <w:rPr>
                <w:rFonts w:hint="eastAsia" w:ascii="Calibri" w:hAnsi="Calibri" w:eastAsia="仿宋_GB2312" w:cs="Times New Roman"/>
                <w:sz w:val="32"/>
                <w:szCs w:val="32"/>
              </w:rPr>
            </w:pPr>
            <w:r>
              <w:rPr>
                <w:position w:val="-52"/>
              </w:rPr>
              <w:drawing>
                <wp:anchor distT="0" distB="0" distL="0" distR="0" simplePos="0" relativeHeight="251665408" behindDoc="0" locked="0" layoutInCell="1" allowOverlap="1">
                  <wp:simplePos x="0" y="0"/>
                  <wp:positionH relativeFrom="column">
                    <wp:posOffset>43180</wp:posOffset>
                  </wp:positionH>
                  <wp:positionV relativeFrom="paragraph">
                    <wp:posOffset>126365</wp:posOffset>
                  </wp:positionV>
                  <wp:extent cx="1765935" cy="960120"/>
                  <wp:effectExtent l="0" t="0" r="5715" b="11430"/>
                  <wp:wrapTopAndBottom/>
                  <wp:docPr id="8" name="IM 4"/>
                  <wp:cNvGraphicFramePr/>
                  <a:graphic xmlns:a="http://schemas.openxmlformats.org/drawingml/2006/main">
                    <a:graphicData uri="http://schemas.openxmlformats.org/drawingml/2006/picture">
                      <pic:pic xmlns:pic="http://schemas.openxmlformats.org/drawingml/2006/picture">
                        <pic:nvPicPr>
                          <pic:cNvPr id="8" name="IM 4"/>
                          <pic:cNvPicPr/>
                        </pic:nvPicPr>
                        <pic:blipFill>
                          <a:blip r:embed="rId11"/>
                          <a:stretch>
                            <a:fillRect/>
                          </a:stretch>
                        </pic:blipFill>
                        <pic:spPr>
                          <a:xfrm>
                            <a:off x="0" y="0"/>
                            <a:ext cx="1765935" cy="960120"/>
                          </a:xfrm>
                          <a:prstGeom prst="rect">
                            <a:avLst/>
                          </a:prstGeom>
                        </pic:spPr>
                      </pic:pic>
                    </a:graphicData>
                  </a:graphic>
                </wp:anchor>
              </w:drawing>
            </w:r>
          </w:p>
        </w:tc>
        <w:tc>
          <w:tcPr>
            <w:tcW w:w="2949" w:type="dxa"/>
          </w:tcPr>
          <w:p w14:paraId="673F140C">
            <w:pPr>
              <w:pStyle w:val="9"/>
              <w:widowControl/>
              <w:spacing w:before="0" w:beforeAutospacing="0" w:after="0" w:afterAutospacing="0" w:line="520" w:lineRule="exact"/>
              <w:jc w:val="both"/>
              <w:rPr>
                <w:rFonts w:hint="eastAsia" w:ascii="Calibri" w:hAnsi="Calibri" w:eastAsia="仿宋_GB2312" w:cs="Times New Roman"/>
                <w:sz w:val="32"/>
                <w:szCs w:val="32"/>
              </w:rPr>
            </w:pPr>
            <w:r>
              <w:drawing>
                <wp:anchor distT="0" distB="0" distL="0" distR="0" simplePos="0" relativeHeight="251666432" behindDoc="0" locked="0" layoutInCell="1" allowOverlap="1">
                  <wp:simplePos x="0" y="0"/>
                  <wp:positionH relativeFrom="column">
                    <wp:posOffset>27305</wp:posOffset>
                  </wp:positionH>
                  <wp:positionV relativeFrom="paragraph">
                    <wp:posOffset>282575</wp:posOffset>
                  </wp:positionV>
                  <wp:extent cx="1641475" cy="742315"/>
                  <wp:effectExtent l="0" t="0" r="15875" b="635"/>
                  <wp:wrapNone/>
                  <wp:docPr id="15" name="IM 8"/>
                  <wp:cNvGraphicFramePr/>
                  <a:graphic xmlns:a="http://schemas.openxmlformats.org/drawingml/2006/main">
                    <a:graphicData uri="http://schemas.openxmlformats.org/drawingml/2006/picture">
                      <pic:pic xmlns:pic="http://schemas.openxmlformats.org/drawingml/2006/picture">
                        <pic:nvPicPr>
                          <pic:cNvPr id="15" name="IM 8"/>
                          <pic:cNvPicPr/>
                        </pic:nvPicPr>
                        <pic:blipFill>
                          <a:blip r:embed="rId12"/>
                          <a:stretch>
                            <a:fillRect/>
                          </a:stretch>
                        </pic:blipFill>
                        <pic:spPr>
                          <a:xfrm>
                            <a:off x="0" y="0"/>
                            <a:ext cx="1641475" cy="742315"/>
                          </a:xfrm>
                          <a:prstGeom prst="rect">
                            <a:avLst/>
                          </a:prstGeom>
                        </pic:spPr>
                      </pic:pic>
                    </a:graphicData>
                  </a:graphic>
                </wp:anchor>
              </w:drawing>
            </w:r>
          </w:p>
        </w:tc>
        <w:tc>
          <w:tcPr>
            <w:tcW w:w="2950" w:type="dxa"/>
          </w:tcPr>
          <w:p w14:paraId="69825AFB">
            <w:pPr>
              <w:pStyle w:val="9"/>
              <w:widowControl/>
              <w:spacing w:before="0" w:beforeAutospacing="0" w:after="0" w:afterAutospacing="0" w:line="520" w:lineRule="exact"/>
              <w:jc w:val="both"/>
              <w:rPr>
                <w:rFonts w:ascii="Calibri" w:hAnsi="Calibri" w:eastAsia="仿宋_GB2312" w:cs="Times New Roman"/>
                <w:sz w:val="32"/>
                <w:szCs w:val="32"/>
                <w:lang w:val="zh-CN"/>
              </w:rPr>
            </w:pPr>
            <w:r>
              <w:drawing>
                <wp:anchor distT="0" distB="0" distL="0" distR="0" simplePos="0" relativeHeight="251667456" behindDoc="0" locked="0" layoutInCell="1" allowOverlap="1">
                  <wp:simplePos x="0" y="0"/>
                  <wp:positionH relativeFrom="column">
                    <wp:posOffset>36195</wp:posOffset>
                  </wp:positionH>
                  <wp:positionV relativeFrom="paragraph">
                    <wp:posOffset>133985</wp:posOffset>
                  </wp:positionV>
                  <wp:extent cx="1630045" cy="998855"/>
                  <wp:effectExtent l="0" t="0" r="8255" b="10795"/>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3"/>
                          <a:stretch>
                            <a:fillRect/>
                          </a:stretch>
                        </pic:blipFill>
                        <pic:spPr>
                          <a:xfrm>
                            <a:off x="0" y="0"/>
                            <a:ext cx="1630045" cy="998855"/>
                          </a:xfrm>
                          <a:prstGeom prst="rect">
                            <a:avLst/>
                          </a:prstGeom>
                        </pic:spPr>
                      </pic:pic>
                    </a:graphicData>
                  </a:graphic>
                </wp:anchor>
              </w:drawing>
            </w:r>
          </w:p>
        </w:tc>
      </w:tr>
    </w:tbl>
    <w:p w14:paraId="43A9ACB9">
      <w:pPr>
        <w:pStyle w:val="9"/>
        <w:widowControl/>
        <w:spacing w:before="0" w:beforeAutospacing="0" w:after="0" w:afterAutospacing="0" w:line="520" w:lineRule="exact"/>
        <w:ind w:firstLine="640" w:firstLineChars="200"/>
        <w:jc w:val="both"/>
        <w:rPr>
          <w:rFonts w:eastAsia="仿宋_GB2312" w:cs="Times New Roman"/>
          <w:sz w:val="32"/>
          <w:szCs w:val="32"/>
          <w:lang w:val="zh-CN"/>
        </w:rPr>
      </w:pPr>
    </w:p>
    <w:p w14:paraId="1FDCC485">
      <w:pPr>
        <w:numPr>
          <w:ilvl w:val="0"/>
          <w:numId w:val="3"/>
        </w:numPr>
        <w:overflowPunct w:val="0"/>
        <w:topLinePunct/>
        <w:spacing w:line="560" w:lineRule="exact"/>
        <w:outlineLvl w:val="0"/>
        <w:rPr>
          <w:rFonts w:eastAsia="黑体"/>
          <w:bCs/>
          <w:sz w:val="32"/>
          <w:szCs w:val="32"/>
        </w:rPr>
      </w:pPr>
      <w:r>
        <w:rPr>
          <w:rFonts w:hint="eastAsia" w:eastAsia="黑体"/>
          <w:bCs/>
          <w:sz w:val="32"/>
          <w:szCs w:val="32"/>
        </w:rPr>
        <w:t>制定标准的原则和依据</w:t>
      </w:r>
    </w:p>
    <w:p w14:paraId="05FCFDA9">
      <w:pPr>
        <w:pStyle w:val="18"/>
        <w:spacing w:line="560" w:lineRule="exact"/>
        <w:ind w:firstLine="640"/>
        <w:outlineLvl w:val="1"/>
        <w:rPr>
          <w:rFonts w:ascii="Times New Roman" w:hAnsi="Times New Roman" w:eastAsia="楷体_GB2312"/>
          <w:kern w:val="2"/>
          <w:sz w:val="32"/>
          <w:szCs w:val="32"/>
        </w:rPr>
      </w:pPr>
      <w:r>
        <w:rPr>
          <w:rFonts w:ascii="Times New Roman" w:hAnsi="Times New Roman" w:eastAsia="楷体_GB2312"/>
          <w:kern w:val="2"/>
          <w:sz w:val="32"/>
          <w:szCs w:val="32"/>
        </w:rPr>
        <w:t>（一）</w:t>
      </w:r>
      <w:r>
        <w:rPr>
          <w:rFonts w:hint="eastAsia" w:ascii="Times New Roman" w:hAnsi="Times New Roman" w:eastAsia="楷体_GB2312"/>
          <w:kern w:val="2"/>
          <w:sz w:val="32"/>
          <w:szCs w:val="32"/>
        </w:rPr>
        <w:t>编制原则</w:t>
      </w:r>
    </w:p>
    <w:p w14:paraId="3BFDC62E">
      <w:pPr>
        <w:overflowPunct w:val="0"/>
        <w:topLinePunct/>
        <w:spacing w:line="560" w:lineRule="exact"/>
        <w:ind w:firstLine="641"/>
        <w:outlineLvl w:val="2"/>
        <w:rPr>
          <w:rFonts w:eastAsia="仿宋_GB2312"/>
          <w:sz w:val="32"/>
          <w:szCs w:val="32"/>
        </w:rPr>
      </w:pPr>
      <w:r>
        <w:rPr>
          <w:rFonts w:hint="eastAsia" w:eastAsia="仿宋_GB2312"/>
          <w:sz w:val="32"/>
          <w:szCs w:val="32"/>
        </w:rPr>
        <w:t>1、</w:t>
      </w:r>
      <w:r>
        <w:rPr>
          <w:rFonts w:eastAsia="仿宋_GB2312"/>
          <w:sz w:val="32"/>
          <w:szCs w:val="32"/>
        </w:rPr>
        <w:t>实用性原则</w:t>
      </w:r>
    </w:p>
    <w:p w14:paraId="609C2146">
      <w:pPr>
        <w:overflowPunct w:val="0"/>
        <w:topLinePunct/>
        <w:spacing w:line="560" w:lineRule="exact"/>
        <w:ind w:firstLine="640"/>
        <w:rPr>
          <w:rFonts w:eastAsia="仿宋_GB2312"/>
          <w:sz w:val="32"/>
          <w:szCs w:val="32"/>
        </w:rPr>
      </w:pPr>
      <w:r>
        <w:rPr>
          <w:rFonts w:hint="eastAsia" w:eastAsia="仿宋_GB2312"/>
          <w:sz w:val="32"/>
          <w:szCs w:val="32"/>
        </w:rPr>
        <w:t>本文件是在充分收集相关资料和文献，调研</w:t>
      </w:r>
      <w:r>
        <w:rPr>
          <w:rFonts w:hint="eastAsia" w:eastAsia="仿宋_GB2312"/>
          <w:sz w:val="32"/>
          <w:szCs w:val="32"/>
          <w:lang w:eastAsia="zh-CN"/>
        </w:rPr>
        <w:t>西林句町咖啡种植管理</w:t>
      </w:r>
      <w:r>
        <w:rPr>
          <w:rFonts w:hint="eastAsia" w:eastAsia="仿宋_GB2312"/>
          <w:sz w:val="32"/>
          <w:szCs w:val="32"/>
        </w:rPr>
        <w:t>实际情况，分析咖啡</w:t>
      </w:r>
      <w:r>
        <w:rPr>
          <w:rFonts w:hint="eastAsia" w:eastAsia="仿宋_GB2312"/>
          <w:sz w:val="32"/>
          <w:szCs w:val="32"/>
          <w:lang w:val="en-US" w:eastAsia="zh-CN"/>
        </w:rPr>
        <w:t>种植</w:t>
      </w:r>
      <w:r>
        <w:rPr>
          <w:rFonts w:hint="eastAsia" w:eastAsia="仿宋_GB2312"/>
          <w:sz w:val="32"/>
          <w:szCs w:val="32"/>
        </w:rPr>
        <w:t>当前现状，在现有咖啡</w:t>
      </w:r>
      <w:r>
        <w:rPr>
          <w:rFonts w:hint="eastAsia" w:eastAsia="仿宋_GB2312"/>
          <w:sz w:val="32"/>
          <w:szCs w:val="32"/>
          <w:lang w:val="en-US" w:eastAsia="zh-CN"/>
        </w:rPr>
        <w:t>种植</w:t>
      </w:r>
      <w:r>
        <w:rPr>
          <w:rFonts w:hint="eastAsia" w:eastAsia="仿宋_GB2312"/>
          <w:sz w:val="32"/>
          <w:szCs w:val="32"/>
        </w:rPr>
        <w:t>的基础上，结合西林县句町咖啡发展贸易有限公司、西林县桂古蒿咖啡贸易有限公司、广西西林佰香精品咖啡有限公司、</w:t>
      </w:r>
      <w:r>
        <w:rPr>
          <w:rFonts w:hint="eastAsia" w:eastAsia="仿宋_GB2312"/>
          <w:sz w:val="32"/>
          <w:szCs w:val="32"/>
          <w:lang w:eastAsia="zh-CN"/>
        </w:rPr>
        <w:t>广西丰宏食品科技有限公司</w:t>
      </w:r>
      <w:r>
        <w:rPr>
          <w:rFonts w:hint="eastAsia" w:eastAsia="仿宋_GB2312"/>
          <w:sz w:val="32"/>
          <w:szCs w:val="32"/>
        </w:rPr>
        <w:t>等单位多年的研究经验而总结起草的，符合当前咖啡</w:t>
      </w:r>
      <w:r>
        <w:rPr>
          <w:rFonts w:hint="eastAsia" w:eastAsia="仿宋_GB2312"/>
          <w:sz w:val="32"/>
          <w:szCs w:val="32"/>
          <w:lang w:val="en-US" w:eastAsia="zh-CN"/>
        </w:rPr>
        <w:t>种植</w:t>
      </w:r>
      <w:r>
        <w:rPr>
          <w:rFonts w:hint="eastAsia" w:eastAsia="仿宋_GB2312"/>
          <w:sz w:val="32"/>
          <w:szCs w:val="32"/>
        </w:rPr>
        <w:t>产业发展的方向与社会需求，有利于</w:t>
      </w:r>
      <w:r>
        <w:rPr>
          <w:rFonts w:hint="eastAsia" w:eastAsia="仿宋_GB2312"/>
          <w:sz w:val="32"/>
          <w:szCs w:val="32"/>
          <w:lang w:eastAsia="zh-CN"/>
        </w:rPr>
        <w:t>西林句町咖啡</w:t>
      </w:r>
      <w:r>
        <w:rPr>
          <w:rFonts w:hint="eastAsia" w:eastAsia="仿宋_GB2312"/>
          <w:sz w:val="32"/>
          <w:szCs w:val="32"/>
        </w:rPr>
        <w:t>的长远发展，提高</w:t>
      </w:r>
      <w:r>
        <w:rPr>
          <w:rFonts w:hint="eastAsia" w:eastAsia="仿宋_GB2312"/>
          <w:sz w:val="32"/>
          <w:szCs w:val="32"/>
          <w:lang w:eastAsia="zh-CN"/>
        </w:rPr>
        <w:t>西林句町咖啡</w:t>
      </w:r>
      <w:r>
        <w:rPr>
          <w:rFonts w:hint="eastAsia" w:eastAsia="仿宋_GB2312"/>
          <w:sz w:val="32"/>
          <w:szCs w:val="32"/>
        </w:rPr>
        <w:t>品质，提高社会效益</w:t>
      </w:r>
      <w:r>
        <w:rPr>
          <w:rFonts w:eastAsia="仿宋_GB2312"/>
          <w:sz w:val="32"/>
          <w:szCs w:val="32"/>
        </w:rPr>
        <w:t>，</w:t>
      </w:r>
      <w:r>
        <w:rPr>
          <w:rFonts w:hint="eastAsia" w:eastAsia="仿宋_GB2312"/>
          <w:sz w:val="32"/>
          <w:szCs w:val="32"/>
        </w:rPr>
        <w:t>对推动</w:t>
      </w:r>
      <w:r>
        <w:rPr>
          <w:rFonts w:hint="eastAsia" w:eastAsia="仿宋_GB2312"/>
          <w:sz w:val="32"/>
          <w:szCs w:val="32"/>
          <w:lang w:eastAsia="zh-CN"/>
        </w:rPr>
        <w:t>西林句町咖啡种植</w:t>
      </w:r>
      <w:r>
        <w:rPr>
          <w:rFonts w:hint="eastAsia" w:eastAsia="仿宋_GB2312"/>
          <w:sz w:val="32"/>
          <w:szCs w:val="32"/>
        </w:rPr>
        <w:t>产业发展具有较强的实用性和可操作性。</w:t>
      </w:r>
    </w:p>
    <w:p w14:paraId="24C2039A">
      <w:pPr>
        <w:overflowPunct w:val="0"/>
        <w:topLinePunct/>
        <w:spacing w:line="560" w:lineRule="exact"/>
        <w:ind w:firstLine="641"/>
        <w:outlineLvl w:val="2"/>
        <w:rPr>
          <w:rFonts w:eastAsia="仿宋_GB2312"/>
          <w:sz w:val="32"/>
          <w:szCs w:val="32"/>
        </w:rPr>
      </w:pPr>
      <w:r>
        <w:rPr>
          <w:rFonts w:hint="eastAsia" w:eastAsia="仿宋_GB2312"/>
          <w:sz w:val="32"/>
          <w:szCs w:val="32"/>
        </w:rPr>
        <w:t>2、协调性原则</w:t>
      </w:r>
    </w:p>
    <w:p w14:paraId="716EE442">
      <w:pPr>
        <w:overflowPunct w:val="0"/>
        <w:topLinePunct/>
        <w:spacing w:line="560" w:lineRule="exact"/>
        <w:ind w:firstLine="640"/>
        <w:rPr>
          <w:rFonts w:eastAsia="仿宋_GB2312"/>
          <w:sz w:val="32"/>
          <w:szCs w:val="32"/>
        </w:rPr>
      </w:pPr>
      <w:r>
        <w:rPr>
          <w:rFonts w:hint="eastAsia" w:eastAsia="仿宋_GB2312"/>
          <w:sz w:val="32"/>
          <w:szCs w:val="32"/>
        </w:rPr>
        <w:t>本文件编写过程中注意了与咖啡相关法律法规的协调问题，在内容上与现行法律法规、标准协调一致。</w:t>
      </w:r>
    </w:p>
    <w:p w14:paraId="75B72379">
      <w:pPr>
        <w:overflowPunct w:val="0"/>
        <w:topLinePunct/>
        <w:spacing w:line="560" w:lineRule="exact"/>
        <w:ind w:firstLine="641"/>
        <w:outlineLvl w:val="2"/>
        <w:rPr>
          <w:rFonts w:eastAsia="仿宋_GB2312"/>
          <w:sz w:val="32"/>
          <w:szCs w:val="32"/>
        </w:rPr>
      </w:pPr>
      <w:r>
        <w:rPr>
          <w:rFonts w:hint="eastAsia" w:eastAsia="仿宋_GB2312"/>
          <w:sz w:val="32"/>
          <w:szCs w:val="32"/>
        </w:rPr>
        <w:t>3、规范性原则</w:t>
      </w:r>
    </w:p>
    <w:p w14:paraId="228785D4">
      <w:pPr>
        <w:overflowPunct w:val="0"/>
        <w:topLinePunct/>
        <w:spacing w:line="560" w:lineRule="exact"/>
        <w:ind w:firstLine="640"/>
        <w:rPr>
          <w:rFonts w:eastAsia="仿宋_GB2312"/>
          <w:sz w:val="32"/>
          <w:szCs w:val="32"/>
        </w:rPr>
      </w:pPr>
      <w:r>
        <w:rPr>
          <w:rFonts w:hint="eastAsia" w:eastAsia="仿宋_GB2312"/>
          <w:sz w:val="32"/>
          <w:szCs w:val="32"/>
        </w:rPr>
        <w:t>本文件严格按照GB/T 1.1—2020《标准化工作导则  第1部分：标准化文件的结构和起草规则》编写本标准的内容，保证标准的编写质量。</w:t>
      </w:r>
    </w:p>
    <w:p w14:paraId="03A0F749">
      <w:pPr>
        <w:overflowPunct w:val="0"/>
        <w:topLinePunct/>
        <w:spacing w:line="560" w:lineRule="exact"/>
        <w:ind w:firstLine="641"/>
        <w:outlineLvl w:val="2"/>
        <w:rPr>
          <w:rFonts w:eastAsia="仿宋_GB2312"/>
          <w:sz w:val="32"/>
          <w:szCs w:val="32"/>
        </w:rPr>
      </w:pPr>
      <w:r>
        <w:rPr>
          <w:rFonts w:hint="eastAsia" w:eastAsia="仿宋_GB2312"/>
          <w:sz w:val="32"/>
          <w:szCs w:val="32"/>
        </w:rPr>
        <w:t>4、前瞻性原则</w:t>
      </w:r>
    </w:p>
    <w:p w14:paraId="2901BD70">
      <w:pPr>
        <w:overflowPunct w:val="0"/>
        <w:topLinePunct/>
        <w:spacing w:line="560" w:lineRule="exact"/>
        <w:ind w:firstLine="640"/>
        <w:rPr>
          <w:rFonts w:eastAsia="仿宋_GB2312"/>
          <w:sz w:val="32"/>
          <w:szCs w:val="32"/>
        </w:rPr>
      </w:pPr>
      <w:r>
        <w:rPr>
          <w:rFonts w:hint="eastAsia" w:eastAsia="仿宋_GB2312"/>
          <w:sz w:val="32"/>
          <w:szCs w:val="32"/>
        </w:rPr>
        <w:t>本文件在兼顾当前</w:t>
      </w:r>
      <w:r>
        <w:rPr>
          <w:rFonts w:hint="eastAsia" w:eastAsia="仿宋_GB2312"/>
          <w:sz w:val="32"/>
          <w:szCs w:val="32"/>
          <w:lang w:eastAsia="zh-CN"/>
        </w:rPr>
        <w:t>西林句町咖啡种植管理</w:t>
      </w:r>
      <w:r>
        <w:rPr>
          <w:rFonts w:hint="eastAsia" w:eastAsia="仿宋_GB2312"/>
          <w:sz w:val="32"/>
          <w:szCs w:val="32"/>
        </w:rPr>
        <w:t>现实情况的同时，还考虑到了</w:t>
      </w:r>
      <w:r>
        <w:rPr>
          <w:rFonts w:hint="eastAsia" w:eastAsia="仿宋_GB2312"/>
          <w:sz w:val="32"/>
          <w:szCs w:val="32"/>
          <w:lang w:eastAsia="zh-CN"/>
        </w:rPr>
        <w:t>西林句町咖啡</w:t>
      </w:r>
      <w:r>
        <w:rPr>
          <w:rFonts w:hint="eastAsia" w:eastAsia="仿宋_GB2312"/>
          <w:sz w:val="32"/>
          <w:szCs w:val="32"/>
        </w:rPr>
        <w:t>产业发展的趋势和</w:t>
      </w:r>
      <w:r>
        <w:rPr>
          <w:rFonts w:eastAsia="仿宋_GB2312"/>
          <w:sz w:val="32"/>
          <w:szCs w:val="32"/>
        </w:rPr>
        <w:t>结构调整</w:t>
      </w:r>
      <w:r>
        <w:rPr>
          <w:rFonts w:hint="eastAsia" w:eastAsia="仿宋_GB2312"/>
          <w:sz w:val="32"/>
          <w:szCs w:val="32"/>
        </w:rPr>
        <w:t>需要，在标准中体现了个别特色性、前瞻性和实用性条款，作为对</w:t>
      </w:r>
      <w:r>
        <w:rPr>
          <w:rFonts w:hint="eastAsia" w:eastAsia="仿宋_GB2312"/>
          <w:sz w:val="32"/>
          <w:szCs w:val="32"/>
          <w:lang w:eastAsia="zh-CN"/>
        </w:rPr>
        <w:t>西林句町咖啡种植</w:t>
      </w:r>
      <w:r>
        <w:rPr>
          <w:rFonts w:hint="eastAsia" w:eastAsia="仿宋_GB2312"/>
          <w:sz w:val="32"/>
          <w:szCs w:val="32"/>
        </w:rPr>
        <w:t>产业发展的指导。</w:t>
      </w:r>
    </w:p>
    <w:p w14:paraId="29F60C37">
      <w:pPr>
        <w:pStyle w:val="18"/>
        <w:spacing w:line="560" w:lineRule="exact"/>
        <w:ind w:firstLine="640"/>
        <w:outlineLvl w:val="1"/>
        <w:rPr>
          <w:rFonts w:ascii="Times New Roman" w:hAnsi="Times New Roman" w:eastAsia="楷体_GB2312"/>
          <w:kern w:val="2"/>
          <w:sz w:val="32"/>
          <w:szCs w:val="32"/>
        </w:rPr>
      </w:pPr>
      <w:r>
        <w:rPr>
          <w:rFonts w:hint="eastAsia" w:ascii="Times New Roman" w:hAnsi="Times New Roman" w:eastAsia="楷体_GB2312"/>
          <w:kern w:val="2"/>
          <w:sz w:val="32"/>
          <w:szCs w:val="32"/>
        </w:rPr>
        <w:t>（二）编制依据</w:t>
      </w:r>
    </w:p>
    <w:p w14:paraId="76C80978">
      <w:pPr>
        <w:pStyle w:val="9"/>
        <w:widowControl/>
        <w:tabs>
          <w:tab w:val="left" w:pos="2268"/>
        </w:tabs>
        <w:spacing w:before="0" w:beforeAutospacing="0" w:after="0" w:afterAutospacing="0" w:line="520" w:lineRule="exact"/>
        <w:ind w:firstLine="640" w:firstLineChars="200"/>
        <w:jc w:val="both"/>
        <w:rPr>
          <w:rFonts w:eastAsia="仿宋_GB2312"/>
          <w:sz w:val="32"/>
          <w:szCs w:val="32"/>
        </w:rPr>
      </w:pPr>
      <w:r>
        <w:rPr>
          <w:rFonts w:eastAsia="仿宋_GB2312"/>
          <w:sz w:val="32"/>
          <w:szCs w:val="32"/>
        </w:rPr>
        <w:t>本标准严格按照GB/T 1.1</w:t>
      </w:r>
      <w:r>
        <w:rPr>
          <w:rFonts w:hint="eastAsia" w:eastAsia="仿宋_GB2312"/>
          <w:sz w:val="32"/>
          <w:szCs w:val="32"/>
        </w:rPr>
        <w:t>-</w:t>
      </w:r>
      <w:r>
        <w:rPr>
          <w:rFonts w:eastAsia="仿宋_GB2312"/>
          <w:sz w:val="32"/>
          <w:szCs w:val="32"/>
        </w:rPr>
        <w:t>2020《标准化工作导则  第1部分：标准化文件的结构和起草规则》的</w:t>
      </w:r>
      <w:r>
        <w:rPr>
          <w:rFonts w:hint="eastAsia" w:eastAsia="仿宋_GB2312"/>
          <w:sz w:val="32"/>
          <w:szCs w:val="32"/>
        </w:rPr>
        <w:t>规则</w:t>
      </w:r>
      <w:r>
        <w:rPr>
          <w:rFonts w:eastAsia="仿宋_GB2312"/>
          <w:sz w:val="32"/>
          <w:szCs w:val="32"/>
        </w:rPr>
        <w:t>起草</w:t>
      </w:r>
      <w:r>
        <w:rPr>
          <w:rFonts w:hint="eastAsia" w:eastAsia="仿宋_GB2312"/>
          <w:sz w:val="32"/>
          <w:szCs w:val="32"/>
        </w:rPr>
        <w:t>，标准主要内容参考</w:t>
      </w:r>
      <w:r>
        <w:rPr>
          <w:rFonts w:hint="eastAsia" w:eastAsia="仿宋_GB2312" w:cs="Times New Roman"/>
          <w:sz w:val="32"/>
          <w:szCs w:val="32"/>
        </w:rPr>
        <w:t>《NY/T 2003-2011小粒种咖啡种植技术规程》《DB46/T 642-2024 中粒种咖啡（罗布斯塔）生咖啡》《DB5305/T 94-2022 地理标志证明商标 保山小粒咖啡》《NY /T 289-2025 绿色食品 咖啡》《DB46/ T 153-2023 地理标志产品 福山咖啡》</w:t>
      </w:r>
      <w:r>
        <w:rPr>
          <w:rFonts w:hint="eastAsia" w:eastAsia="仿宋_GB2312" w:cs="Times New Roman"/>
          <w:sz w:val="32"/>
          <w:szCs w:val="32"/>
          <w:lang w:eastAsia="zh-CN"/>
        </w:rPr>
        <w:t>《</w:t>
      </w:r>
      <w:r>
        <w:rPr>
          <w:rFonts w:hint="eastAsia" w:eastAsia="仿宋_GB2312" w:cs="Times New Roman"/>
          <w:sz w:val="32"/>
          <w:szCs w:val="32"/>
        </w:rPr>
        <w:t>DB53/T 216-2007小粒种咖啡 第 3 部分：种植管理</w:t>
      </w:r>
      <w:r>
        <w:rPr>
          <w:rFonts w:hint="eastAsia" w:eastAsia="仿宋_GB2312" w:cs="Times New Roman"/>
          <w:sz w:val="32"/>
          <w:szCs w:val="32"/>
          <w:lang w:eastAsia="zh-CN"/>
        </w:rPr>
        <w:t>》《</w:t>
      </w:r>
      <w:r>
        <w:rPr>
          <w:rFonts w:hint="eastAsia" w:eastAsia="仿宋_GB2312" w:cs="Times New Roman"/>
          <w:sz w:val="32"/>
          <w:szCs w:val="32"/>
        </w:rPr>
        <w:t>DB46/T 153-2019</w:t>
      </w:r>
      <w:r>
        <w:rPr>
          <w:rFonts w:hint="eastAsia" w:eastAsia="仿宋_GB2312" w:cs="Times New Roman"/>
          <w:sz w:val="32"/>
          <w:szCs w:val="32"/>
          <w:lang w:val="en-US" w:eastAsia="zh-CN"/>
        </w:rPr>
        <w:t xml:space="preserve"> </w:t>
      </w:r>
      <w:r>
        <w:rPr>
          <w:rFonts w:hint="eastAsia" w:eastAsia="仿宋_GB2312" w:cs="Times New Roman"/>
          <w:sz w:val="32"/>
          <w:szCs w:val="32"/>
        </w:rPr>
        <w:t>中粒种咖啡种植技术规程</w:t>
      </w:r>
      <w:r>
        <w:rPr>
          <w:rFonts w:hint="eastAsia" w:eastAsia="仿宋_GB2312" w:cs="Times New Roman"/>
          <w:sz w:val="32"/>
          <w:szCs w:val="32"/>
          <w:lang w:eastAsia="zh-CN"/>
        </w:rPr>
        <w:t>》《</w:t>
      </w:r>
      <w:r>
        <w:rPr>
          <w:rFonts w:hint="eastAsia" w:eastAsia="仿宋_GB2312" w:cs="Times New Roman"/>
          <w:sz w:val="32"/>
          <w:szCs w:val="32"/>
        </w:rPr>
        <w:t>DB52/T 1593-2021</w:t>
      </w:r>
      <w:r>
        <w:rPr>
          <w:rFonts w:hint="eastAsia" w:eastAsia="仿宋_GB2312" w:cs="Times New Roman"/>
          <w:sz w:val="32"/>
          <w:szCs w:val="32"/>
          <w:lang w:val="en-US" w:eastAsia="zh-CN"/>
        </w:rPr>
        <w:t xml:space="preserve"> </w:t>
      </w:r>
      <w:r>
        <w:rPr>
          <w:rFonts w:hint="eastAsia" w:eastAsia="仿宋_GB2312" w:cs="Times New Roman"/>
          <w:sz w:val="32"/>
          <w:szCs w:val="32"/>
        </w:rPr>
        <w:t>咖啡种植技术规程</w:t>
      </w:r>
      <w:r>
        <w:rPr>
          <w:rFonts w:hint="eastAsia" w:eastAsia="仿宋_GB2312" w:cs="Times New Roman"/>
          <w:sz w:val="32"/>
          <w:szCs w:val="32"/>
          <w:lang w:eastAsia="zh-CN"/>
        </w:rPr>
        <w:t>》《NY</w:t>
      </w:r>
      <w:r>
        <w:rPr>
          <w:rFonts w:hint="eastAsia" w:eastAsia="仿宋_GB2312" w:cs="Times New Roman"/>
          <w:sz w:val="32"/>
          <w:szCs w:val="32"/>
          <w:lang w:val="en-US" w:eastAsia="zh-CN"/>
        </w:rPr>
        <w:t>/</w:t>
      </w:r>
      <w:r>
        <w:rPr>
          <w:rFonts w:hint="eastAsia" w:eastAsia="仿宋_GB2312" w:cs="Times New Roman"/>
          <w:sz w:val="32"/>
          <w:szCs w:val="32"/>
          <w:lang w:eastAsia="zh-CN"/>
        </w:rPr>
        <w:t>T</w:t>
      </w:r>
      <w:r>
        <w:rPr>
          <w:rFonts w:hint="eastAsia" w:eastAsia="仿宋_GB2312" w:cs="Times New Roman"/>
          <w:sz w:val="32"/>
          <w:szCs w:val="32"/>
          <w:lang w:val="en-US" w:eastAsia="zh-CN"/>
        </w:rPr>
        <w:t xml:space="preserve"> </w:t>
      </w:r>
      <w:r>
        <w:rPr>
          <w:rFonts w:hint="eastAsia" w:eastAsia="仿宋_GB2312" w:cs="Times New Roman"/>
          <w:sz w:val="32"/>
          <w:szCs w:val="32"/>
          <w:lang w:eastAsia="zh-CN"/>
        </w:rPr>
        <w:t>922-2004</w:t>
      </w:r>
      <w:r>
        <w:rPr>
          <w:rFonts w:hint="eastAsia" w:eastAsia="仿宋_GB2312" w:cs="Times New Roman"/>
          <w:sz w:val="32"/>
          <w:szCs w:val="32"/>
          <w:lang w:val="en-US" w:eastAsia="zh-CN"/>
        </w:rPr>
        <w:t xml:space="preserve"> </w:t>
      </w:r>
      <w:r>
        <w:rPr>
          <w:rFonts w:hint="eastAsia" w:eastAsia="仿宋_GB2312" w:cs="Times New Roman"/>
          <w:sz w:val="32"/>
          <w:szCs w:val="32"/>
          <w:lang w:eastAsia="zh-CN"/>
        </w:rPr>
        <w:t>咖啡栽培技术规程》</w:t>
      </w:r>
      <w:r>
        <w:rPr>
          <w:rFonts w:hint="eastAsia" w:eastAsia="仿宋_GB2312"/>
          <w:sz w:val="32"/>
          <w:szCs w:val="32"/>
        </w:rPr>
        <w:t>等相关</w:t>
      </w:r>
      <w:r>
        <w:rPr>
          <w:rFonts w:eastAsia="仿宋_GB2312"/>
          <w:sz w:val="32"/>
          <w:szCs w:val="32"/>
        </w:rPr>
        <w:t>标准的基础上结合起草单位</w:t>
      </w:r>
      <w:r>
        <w:rPr>
          <w:rFonts w:hint="eastAsia" w:eastAsia="仿宋_GB2312"/>
          <w:sz w:val="32"/>
          <w:szCs w:val="32"/>
        </w:rPr>
        <w:t>实际确定。</w:t>
      </w:r>
    </w:p>
    <w:p w14:paraId="26277EE4">
      <w:pPr>
        <w:pStyle w:val="18"/>
        <w:spacing w:line="560" w:lineRule="exact"/>
        <w:ind w:firstLine="640"/>
        <w:outlineLvl w:val="1"/>
        <w:rPr>
          <w:rFonts w:ascii="Times New Roman" w:hAnsi="Times New Roman" w:eastAsia="楷体_GB2312"/>
          <w:kern w:val="2"/>
          <w:sz w:val="32"/>
          <w:szCs w:val="32"/>
        </w:rPr>
      </w:pPr>
      <w:r>
        <w:rPr>
          <w:rFonts w:hint="eastAsia" w:ascii="Times New Roman" w:hAnsi="Times New Roman" w:eastAsia="楷体_GB2312"/>
          <w:kern w:val="2"/>
          <w:sz w:val="32"/>
          <w:szCs w:val="32"/>
        </w:rPr>
        <w:t>（三）与现行法律法规的关系，与有关国家标准、行业标准的协调情况</w:t>
      </w:r>
    </w:p>
    <w:p w14:paraId="22F58175">
      <w:pPr>
        <w:pStyle w:val="9"/>
        <w:widowControl/>
        <w:tabs>
          <w:tab w:val="left" w:pos="2268"/>
        </w:tabs>
        <w:spacing w:before="0" w:beforeLines="-2147483648" w:beforeAutospacing="0" w:after="0" w:afterAutospacing="0" w:line="520" w:lineRule="exact"/>
        <w:ind w:firstLine="640" w:firstLineChars="200"/>
        <w:jc w:val="both"/>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经查询，国内暂无“</w:t>
      </w:r>
      <w:r>
        <w:rPr>
          <w:rFonts w:hint="eastAsia" w:ascii="Times New Roman" w:hAnsi="Times New Roman" w:eastAsia="仿宋_GB2312" w:cs="Times New Roman"/>
          <w:b w:val="0"/>
          <w:bCs w:val="0"/>
          <w:sz w:val="32"/>
          <w:szCs w:val="32"/>
          <w:lang w:eastAsia="zh-CN"/>
        </w:rPr>
        <w:t>西林句町咖啡种植管理规范</w:t>
      </w:r>
      <w:r>
        <w:rPr>
          <w:rFonts w:hint="eastAsia" w:ascii="Times New Roman" w:hAnsi="Times New Roman" w:eastAsia="仿宋_GB2312" w:cs="Times New Roman"/>
          <w:b w:val="0"/>
          <w:bCs w:val="0"/>
          <w:sz w:val="32"/>
          <w:szCs w:val="32"/>
        </w:rPr>
        <w:t>”标准。</w:t>
      </w:r>
    </w:p>
    <w:p w14:paraId="2BF6C80F">
      <w:pPr>
        <w:pStyle w:val="9"/>
        <w:widowControl/>
        <w:tabs>
          <w:tab w:val="left" w:pos="2268"/>
        </w:tabs>
        <w:spacing w:before="0" w:beforeLines="-2147483648" w:beforeAutospacing="0" w:after="0" w:afterAutospacing="0" w:line="520" w:lineRule="exact"/>
        <w:ind w:firstLine="640" w:firstLineChars="200"/>
        <w:jc w:val="both"/>
        <w:rPr>
          <w:rFonts w:hint="eastAsia" w:ascii="Times New Roman" w:hAnsi="Times New Roman" w:eastAsia="仿宋_GB2312" w:cs="Times New Roman"/>
          <w:b w:val="0"/>
          <w:bCs w:val="0"/>
          <w:sz w:val="32"/>
          <w:szCs w:val="32"/>
          <w:lang w:val="en-US" w:eastAsia="zh-CN"/>
        </w:rPr>
      </w:pPr>
      <w:r>
        <w:rPr>
          <w:rFonts w:hint="eastAsia" w:ascii="Times New Roman" w:hAnsi="Times New Roman" w:eastAsia="仿宋_GB2312" w:cs="Times New Roman"/>
          <w:b w:val="0"/>
          <w:bCs w:val="0"/>
          <w:sz w:val="32"/>
          <w:szCs w:val="32"/>
          <w:lang w:val="en-US" w:eastAsia="zh-CN"/>
        </w:rPr>
        <w:t>与“句町 咖啡种植”“西林 咖啡管理”“咖啡种植管理”相关标准有：</w:t>
      </w:r>
    </w:p>
    <w:p w14:paraId="2CEBDCBA">
      <w:pPr>
        <w:pStyle w:val="9"/>
        <w:widowControl/>
        <w:tabs>
          <w:tab w:val="left" w:pos="2268"/>
        </w:tabs>
        <w:spacing w:before="0" w:beforeAutospacing="0" w:after="0" w:afterAutospacing="0" w:line="520" w:lineRule="exact"/>
        <w:ind w:firstLineChars="200"/>
        <w:jc w:val="both"/>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T 18007-2011 咖啡及其制品 术语规定了咖啡及其制品相关的最常用术语。GB</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rPr>
        <w:t>T 19181-2018 生咖啡 分级方法导则规定了生咖啡的取样、包装、标志、贮存和运输</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适用于GB/T18007-2011规定的生咖啡。</w:t>
      </w:r>
      <w:r>
        <w:rPr>
          <w:rFonts w:hint="eastAsia" w:ascii="Times New Roman" w:hAnsi="Times New Roman" w:eastAsia="仿宋_GB2312" w:cs="Times New Roman"/>
          <w:sz w:val="32"/>
          <w:szCs w:val="32"/>
          <w:lang w:eastAsia="zh-CN"/>
        </w:rPr>
        <w:t>NY T 606-2011 小粒种咖啡初加工技术规范规定了小粒种咖啡果实采收、加工方法、分级、包装、标志、贮存和运输，适用于小粒种咖啡的湿法和干法初加工</w:t>
      </w:r>
      <w:r>
        <w:rPr>
          <w:rFonts w:hint="eastAsia" w:ascii="Times New Roman" w:hAnsi="Times New Roman" w:eastAsia="仿宋_GB2312" w:cs="Times New Roman"/>
          <w:sz w:val="32"/>
          <w:szCs w:val="32"/>
        </w:rPr>
        <w:t>。NY/T 2003-2011小粒种咖啡种植技术规程该标准规定了小粒种咖啡的园地选择、种苗培育、土肥水管理等技术要求。西林标准在品种筛选（如卡蒂姆、萨奇姆）、种植密度（110-120 株 / 亩）等方面可参考其框架，并结合本地坡地条件进行优化</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DB53/T 216-2007小粒种咖啡 第 3 部分：种植管理该标准明确了云南小粒种咖啡的种植园规划、定植技术、病虫害防治等要求。西林标准在品种适应性试验（如抗霜冻品种筛选）、间作模式（如咖啡 + 香蕉）等方面可借鉴其经验，并结合喀斯特山区的坡地条件进行</w:t>
      </w:r>
      <w:r>
        <w:rPr>
          <w:rFonts w:hint="eastAsia" w:ascii="Times New Roman" w:hAnsi="Times New Roman" w:eastAsia="仿宋_GB2312" w:cs="Times New Roman"/>
          <w:sz w:val="32"/>
          <w:szCs w:val="32"/>
          <w:lang w:eastAsia="zh-CN"/>
        </w:rPr>
        <w:t>了</w:t>
      </w:r>
      <w:r>
        <w:rPr>
          <w:rFonts w:hint="eastAsia" w:ascii="Times New Roman" w:hAnsi="Times New Roman" w:eastAsia="仿宋_GB2312" w:cs="Times New Roman"/>
          <w:sz w:val="32"/>
          <w:szCs w:val="32"/>
        </w:rPr>
        <w:t>调整</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DB53/T 1018-2023《地理标志产品 普洱咖啡》普洱咖啡的地理标志保护要求（如海拔≥800m、土壤 pH 值 5.5-6.5）为西林标准中 “生态缓冲带”“水源保护区” 等条款提供了区域化参考</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DB46/T 153-2019《中粒种咖啡种植技术规程》该标准针对海南热带气候，规定了中粒种咖啡的防风林建设、抗风品种筛选等技术。西林虽以小粒种为主，但其 “降密度避霜冻” 策略（种植密度 110-120 株 / 亩）可参考海南的抗逆性种植经验</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DB52/T 1593-2021《咖啡种植技术规程》该标准针对贵州喀斯特山区的气候特点，规定了咖啡种植的水土保持措施（如梯田建设）和肥料管理（如有机肥替代）。</w:t>
      </w:r>
    </w:p>
    <w:p w14:paraId="01A96495">
      <w:pPr>
        <w:pStyle w:val="9"/>
        <w:widowControl/>
        <w:tabs>
          <w:tab w:val="left" w:pos="2268"/>
        </w:tabs>
        <w:spacing w:before="0" w:beforeAutospacing="0" w:after="0" w:afterAutospacing="0" w:line="520" w:lineRule="exact"/>
        <w:ind w:firstLine="640" w:firstLineChars="200"/>
        <w:jc w:val="both"/>
        <w:rPr>
          <w:rFonts w:hint="eastAsia" w:ascii="Times New Roman" w:hAnsi="Times New Roman" w:eastAsia="仿宋_GB2312" w:cs="Times New Roman"/>
          <w:bCs w:val="0"/>
          <w:sz w:val="32"/>
          <w:szCs w:val="32"/>
        </w:rPr>
        <w:sectPr>
          <w:footerReference r:id="rId3" w:type="default"/>
          <w:type w:val="continuous"/>
          <w:pgSz w:w="11906" w:h="16838"/>
          <w:pgMar w:top="1474" w:right="1800" w:bottom="1474" w:left="1474" w:header="851" w:footer="992" w:gutter="0"/>
          <w:cols w:space="425" w:num="1"/>
          <w:docGrid w:type="lines" w:linePitch="312" w:charSpace="0"/>
        </w:sectPr>
      </w:pPr>
      <w:r>
        <w:rPr>
          <w:rFonts w:hint="eastAsia" w:ascii="Times New Roman" w:hAnsi="Times New Roman" w:eastAsia="仿宋_GB2312" w:cs="Times New Roman"/>
          <w:b w:val="0"/>
          <w:bCs w:val="0"/>
          <w:sz w:val="32"/>
          <w:szCs w:val="32"/>
          <w:lang w:val="en-US" w:eastAsia="zh-CN"/>
        </w:rPr>
        <w:t>西林句町咖啡</w:t>
      </w:r>
      <w:r>
        <w:rPr>
          <w:rFonts w:hint="eastAsia" w:ascii="Times New Roman" w:hAnsi="Times New Roman" w:eastAsia="仿宋_GB2312" w:cs="Times New Roman"/>
          <w:sz w:val="32"/>
          <w:szCs w:val="32"/>
        </w:rPr>
        <w:t>经广西农科院检测，西林咖啡豆因咖啡因、蛋白质（高于同类15%）、粗脂肪等指标优于同类产品，获评“全国名特优新农产品”。通过引进阿拉比卡系列的卡蒂姆、萨奇姆等品种，结合西林县海拔（</w:t>
      </w:r>
      <w:r>
        <w:rPr>
          <w:rFonts w:hint="eastAsia" w:ascii="Times New Roman" w:hAnsi="Times New Roman" w:eastAsia="仿宋_GB2312" w:cs="Times New Roman"/>
          <w:sz w:val="32"/>
          <w:szCs w:val="32"/>
          <w:lang w:eastAsia="zh-CN"/>
        </w:rPr>
        <w:t>7</w:t>
      </w:r>
      <w:r>
        <w:rPr>
          <w:rFonts w:hint="eastAsia" w:ascii="Times New Roman" w:hAnsi="Times New Roman" w:eastAsia="仿宋_GB2312" w:cs="Times New Roman"/>
          <w:sz w:val="32"/>
          <w:szCs w:val="32"/>
        </w:rPr>
        <w:t>00</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1</w:t>
      </w:r>
      <w:r>
        <w:rPr>
          <w:rFonts w:hint="eastAsia" w:ascii="Times New Roman" w:hAnsi="Times New Roman" w:eastAsia="仿宋_GB2312" w:cs="Times New Roman"/>
          <w:sz w:val="32"/>
          <w:szCs w:val="32"/>
          <w:lang w:eastAsia="zh-CN"/>
        </w:rPr>
        <w:t>0</w:t>
      </w:r>
      <w:r>
        <w:rPr>
          <w:rFonts w:hint="eastAsia" w:ascii="Times New Roman" w:hAnsi="Times New Roman" w:eastAsia="仿宋_GB2312" w:cs="Times New Roman"/>
          <w:sz w:val="32"/>
          <w:szCs w:val="32"/>
        </w:rPr>
        <w:t>00米）、土壤（有机质含量高）及气候条件（亚热带季风气候），形成了香醇浓郁、微苦带酸且带有果味花香的独特风味。西林生咖啡豆等级达“优质二级”，高于行业普遍标准（如普通商业级）</w:t>
      </w:r>
      <w:r>
        <w:rPr>
          <w:rFonts w:hint="eastAsia" w:ascii="Times New Roman" w:hAnsi="Times New Roman" w:eastAsia="仿宋_GB2312" w:cs="Times New Roman"/>
          <w:sz w:val="32"/>
          <w:szCs w:val="32"/>
          <w:lang w:eastAsia="zh-CN"/>
        </w:rPr>
        <w:t>。</w:t>
      </w:r>
    </w:p>
    <w:p w14:paraId="59B7A328">
      <w:pPr>
        <w:numPr>
          <w:ilvl w:val="0"/>
          <w:numId w:val="3"/>
        </w:numPr>
        <w:overflowPunct w:val="0"/>
        <w:topLinePunct/>
        <w:spacing w:line="560" w:lineRule="exact"/>
        <w:ind w:left="460"/>
        <w:outlineLvl w:val="0"/>
        <w:rPr>
          <w:rFonts w:eastAsia="黑体"/>
          <w:bCs/>
          <w:sz w:val="32"/>
          <w:szCs w:val="32"/>
        </w:rPr>
      </w:pPr>
      <w:r>
        <w:rPr>
          <w:rFonts w:hint="eastAsia" w:eastAsia="黑体"/>
          <w:bCs/>
          <w:sz w:val="32"/>
          <w:szCs w:val="32"/>
        </w:rPr>
        <w:t>主要条款说明</w:t>
      </w:r>
    </w:p>
    <w:p w14:paraId="03180CA2">
      <w:pPr>
        <w:numPr>
          <w:ilvl w:val="255"/>
          <w:numId w:val="0"/>
        </w:numPr>
        <w:overflowPunct w:val="0"/>
        <w:topLinePunct/>
        <w:spacing w:line="560" w:lineRule="exact"/>
        <w:ind w:firstLine="640"/>
        <w:rPr>
          <w:rFonts w:eastAsia="仿宋_GB2312"/>
          <w:sz w:val="32"/>
          <w:szCs w:val="32"/>
          <w:lang w:val="zh-CN"/>
        </w:rPr>
      </w:pPr>
      <w:r>
        <w:rPr>
          <w:rFonts w:hint="eastAsia" w:eastAsia="仿宋_GB2312"/>
          <w:sz w:val="32"/>
          <w:szCs w:val="32"/>
          <w:lang w:val="zh-CN"/>
        </w:rPr>
        <w:t>“西林句町咖啡种植管理规范” 定义（西林县所辖区域种植加工的咖啡），GB/T 18007《咖啡及其制品 术语》国标界定了 “咖啡” 的通用定义，本条款在其基础上增加 “西林县所辖行政区域” 的产地限定，既与国标术语体系兼容，又突出区域特色，西林县区域公共品牌方案明确区域公共品牌需 “结合本土特色，界定产品产地范围”，如 “千年句町・九香西林” 品牌下的产品均需关联西林县产地。本定义通过产地限定，将 “西林句町咖啡种植管理规范” 与其他产区咖啡区分，为后续品牌授权、质量追溯奠定基础，同时呼应地理标志产品的核心特征</w:t>
      </w:r>
    </w:p>
    <w:p w14:paraId="68F18259">
      <w:pPr>
        <w:numPr>
          <w:ilvl w:val="0"/>
          <w:numId w:val="5"/>
        </w:numPr>
        <w:spacing w:line="560" w:lineRule="exact"/>
        <w:ind w:firstLine="643" w:firstLineChars="200"/>
        <w:outlineLvl w:val="1"/>
        <w:rPr>
          <w:rFonts w:hint="eastAsia" w:ascii="仿宋_GB2312" w:eastAsia="仿宋_GB2312"/>
          <w:b/>
          <w:bCs/>
          <w:sz w:val="32"/>
          <w:szCs w:val="32"/>
        </w:rPr>
      </w:pPr>
      <w:r>
        <w:rPr>
          <w:rFonts w:hint="eastAsia" w:ascii="仿宋_GB2312" w:eastAsia="仿宋_GB2312"/>
          <w:b/>
          <w:bCs/>
          <w:sz w:val="32"/>
          <w:szCs w:val="32"/>
        </w:rPr>
        <w:t>种植地选择</w:t>
      </w:r>
    </w:p>
    <w:p w14:paraId="2F9B5D48">
      <w:pPr>
        <w:pStyle w:val="15"/>
        <w:numPr>
          <w:ilvl w:val="0"/>
          <w:numId w:val="0"/>
        </w:numPr>
        <w:ind w:firstLine="640" w:firstLineChars="200"/>
        <w:rPr>
          <w:rFonts w:hint="eastAsia" w:eastAsia="仿宋_GB2312"/>
          <w:lang w:val="en-US" w:eastAsia="zh-CN"/>
        </w:rPr>
      </w:pPr>
      <w:r>
        <w:rPr>
          <w:rFonts w:hint="eastAsia" w:eastAsia="仿宋_GB2312"/>
          <w:b w:val="0"/>
          <w:bCs w:val="0"/>
          <w:sz w:val="32"/>
          <w:szCs w:val="32"/>
          <w:lang w:val="en-US" w:eastAsia="zh-CN"/>
        </w:rPr>
        <w:t>西林地处</w:t>
      </w:r>
      <w:r>
        <w:rPr>
          <w:rFonts w:hint="eastAsia" w:eastAsia="仿宋_GB2312"/>
        </w:rPr>
        <w:t>“北回归线黄金种植带”是热带与亚热带的过渡区域，其独特的气候禀赋天然适配咖啡生长：该区域夏季受热带气流影响，热量充足（满足咖啡对积温的需求）；冬季受亚热带季风调节，气温温和（避免极端高温或低温伤害）。同时，山地地形（西林海拔 600～1000m）叠加北回归线的纬度优势，形成 “白天光照足、夜间降温快” 的昼夜温差（通常 5～8℃）—— 温差可减缓咖啡果实糖分消耗，促进蔗糖、有机酸等风味物质积累，避免高温导致的 “风味寡淡” 或低温导致的 “酸涩感过重”。北回归线区域年日照时数约 1200～1500 小时，且光照强度适中（避免强光灼伤叶片），可满足咖啡光合作用需求（咖啡叶片光合效率最适光照为 1000～1200μmol/m²・s），为枝叶生长、果实发育提供充足有机养分。咖啡是典型的 “喜暖畏寒” 作物，</w:t>
      </w:r>
      <w:r>
        <w:rPr>
          <w:rFonts w:hint="eastAsia" w:eastAsia="仿宋_GB2312"/>
          <w:lang w:val="en-US" w:eastAsia="zh-CN"/>
        </w:rPr>
        <w:t>西林县</w:t>
      </w:r>
      <w:r>
        <w:rPr>
          <w:rFonts w:hint="eastAsia" w:eastAsia="仿宋_GB2312"/>
        </w:rPr>
        <w:t>年均温17℃～21℃</w:t>
      </w:r>
      <w:r>
        <w:rPr>
          <w:rFonts w:hint="eastAsia" w:eastAsia="仿宋_GB2312"/>
          <w:lang w:eastAsia="zh-CN"/>
        </w:rPr>
        <w:t>。</w:t>
      </w:r>
      <w:r>
        <w:rPr>
          <w:rFonts w:hint="eastAsia" w:eastAsia="仿宋_GB2312"/>
        </w:rPr>
        <w:t>温度过高（＞25℃）会加速咖啡果实成熟（从坐果到成熟仅需 60～70 天），导致糖分积累不足、果皮过薄（易受病虫害侵袭）；温度过低（＜15℃）会延长成熟周期（超过 120 天），导致果实大小不均、品质参差不齐。17℃～21℃的年均温可使果实成熟周期稳定在 90～100 天，既保证风味物质充分积累，又避免成熟节奏紊乱。咖啡对霜冻（气温＜0℃）极度敏感，冬季基本无霜是保障其长期丰产的关键</w:t>
      </w:r>
      <w:r>
        <w:rPr>
          <w:rFonts w:hint="eastAsia" w:eastAsia="仿宋_GB2312"/>
          <w:lang w:eastAsia="zh-CN"/>
        </w:rPr>
        <w:t>。</w:t>
      </w:r>
      <w:r>
        <w:rPr>
          <w:rFonts w:hint="eastAsia" w:eastAsia="仿宋_GB2312"/>
        </w:rPr>
        <w:t>若遭遇霜冻，会导致花芽细胞结冰破裂，直接造成次年 “开花量锐减”（减产 30% 以上）—— 西林句町位于北回归线西侧，受云贵高原阻挡，冬季冷空气不易沉积</w:t>
      </w:r>
      <w:r>
        <w:rPr>
          <w:rFonts w:hint="eastAsia" w:eastAsia="仿宋_GB2312"/>
          <w:lang w:eastAsia="zh-CN"/>
        </w:rPr>
        <w:t>。</w:t>
      </w:r>
      <w:r>
        <w:rPr>
          <w:rFonts w:hint="eastAsia" w:eastAsia="仿宋_GB2312"/>
          <w:lang w:val="en-US" w:eastAsia="zh-CN"/>
        </w:rPr>
        <w:t xml:space="preserve"> </w:t>
      </w:r>
    </w:p>
    <w:p w14:paraId="1E1D1429">
      <w:pPr>
        <w:pStyle w:val="15"/>
        <w:numPr>
          <w:ilvl w:val="0"/>
          <w:numId w:val="0"/>
        </w:numPr>
        <w:ind w:firstLine="640" w:firstLineChars="200"/>
        <w:rPr>
          <w:rFonts w:hint="eastAsia" w:ascii="Times New Roman" w:eastAsia="仿宋_GB2312"/>
          <w:b w:val="0"/>
          <w:bCs w:val="0"/>
          <w:sz w:val="32"/>
          <w:szCs w:val="32"/>
          <w:lang w:val="en-US"/>
        </w:rPr>
      </w:pPr>
      <w:r>
        <w:rPr>
          <w:rFonts w:hint="eastAsia" w:eastAsia="仿宋_GB2312"/>
        </w:rPr>
        <w:t>咖啡枝条较脆、叶片大且薄，静风环境可从多维度降低种植风险</w:t>
      </w:r>
      <w:r>
        <w:rPr>
          <w:rFonts w:hint="eastAsia" w:eastAsia="仿宋_GB2312"/>
          <w:lang w:eastAsia="zh-CN"/>
        </w:rPr>
        <w:t>。</w:t>
      </w:r>
      <w:r>
        <w:rPr>
          <w:rFonts w:hint="eastAsia" w:eastAsia="仿宋_GB2312"/>
        </w:rPr>
        <w:t>风速＞2m/s 时，易导致枝条折断、叶片撕裂（影响光合作用）；果实成熟期（10～12 月）风速＞1.5m/s 会造成 “风落果”（落果率增加 15%～20%），尤其西林山地种植中，强风易形成 “过山风”，加剧损伤。开花期（5～6 月）风速过大会导致花粉传播不均，影响授粉成功率（坐果率下降 10%～15%），静风条件可保障花粉在树冠内均匀分布，提升坐果率。</w:t>
      </w:r>
    </w:p>
    <w:p w14:paraId="50A5C914">
      <w:pPr>
        <w:pStyle w:val="15"/>
        <w:numPr>
          <w:ilvl w:val="0"/>
          <w:numId w:val="0"/>
        </w:numPr>
        <w:ind w:firstLine="640" w:firstLineChars="200"/>
        <w:rPr>
          <w:rFonts w:hint="eastAsia" w:eastAsia="仿宋_GB2312"/>
        </w:rPr>
      </w:pPr>
      <w:r>
        <w:rPr>
          <w:rFonts w:hint="eastAsia" w:eastAsia="仿宋_GB2312"/>
        </w:rPr>
        <w:t>咖啡是 “亚热带高海拔作物”，海拔直接影响温度、昼夜温差、湿度等关键气候因子，600 m～1 000 m 是西林区域内适配咖啡生长的 “黄金海拔区间”</w:t>
      </w:r>
      <w:r>
        <w:rPr>
          <w:rFonts w:hint="eastAsia" w:eastAsia="仿宋_GB2312"/>
          <w:lang w:eastAsia="zh-CN"/>
        </w:rPr>
        <w:t>。</w:t>
      </w:r>
      <w:r>
        <w:rPr>
          <w:rFonts w:hint="eastAsia" w:eastAsia="仿宋_GB2312"/>
        </w:rPr>
        <w:t>西林地处北回归线附近，低海拔（＜600 m）区域夏季易出现持续高温（＞28℃）—— 高温会加速咖啡叶片呼吸作用，消耗过多养分，导致果实 “早熟快熟”（成熟周期缩短至 60 天以内），蔗糖、绿原酸等风味物质积累不足，咖啡口感易偏淡、酸涩；高海拔（＞1 000 m）区域冬季易出现低温（＜5℃）甚至霜冻 —— 咖啡根系对低温敏感，＜5℃时根系吸收功能停滞，枝条易受冻害，花芽分化期（12 月～次年 2 月）低温会直接导致 “花芽坏死”，次年减产 30% 以上。</w:t>
      </w:r>
    </w:p>
    <w:p w14:paraId="017823DA">
      <w:pPr>
        <w:pStyle w:val="15"/>
        <w:numPr>
          <w:ilvl w:val="0"/>
          <w:numId w:val="0"/>
        </w:numPr>
        <w:ind w:firstLine="640" w:firstLineChars="200"/>
        <w:rPr>
          <w:rFonts w:hint="eastAsia" w:eastAsia="仿宋_GB2312"/>
        </w:rPr>
      </w:pPr>
      <w:r>
        <w:rPr>
          <w:rFonts w:hint="eastAsia" w:eastAsia="仿宋_GB2312"/>
        </w:rPr>
        <w:t>咖啡是 “喜光作物”，日均光照需≥6 小时（光合作用最适光照强度 1000～1200μmol/m²・s）。向阳 / 半向阳坡地（如坐北朝南、坐南朝北但西侧有遮挡）可确保：坐北朝南坡地：全年接受正南方向光照，光照时长最长（日均 7～8 小时），且正午光照角度适中（避免强光灼伤叶片），能促进枝叶健壮生长（避免光照不足导致的 “徒长枝多、结果枝少”），同时加速果实成熟（但不提前，因海拔调控了温度）；坐南朝北坡地：西侧山高于东边山，可遮挡午后强光（避免夏季午后 3～4 点高温强光损伤叶片），同时保证上午 9 点～下午 3 点的充足光照，平衡 “光照需求” 与 “防晒伤”。坐北朝南坡地 “北边山高”：可阻挡冬季北方南下的冷空气（西林冬季冷空气多来自北方），避免冷空气直接侵袭咖啡园，降低霜冻风险（配合 “冬季基本无霜” 的环境条件，进一步强化保暖效果）；坐南朝北坡地 “西边山高”：可阻挡夏季西部的 “干热风”（西林夏季偶有西部干热风，风速＞2m/s），避免干热风导致叶片失水、果实皱缩，同时减少强风造成的 “枝条折断、风落果”（呼应 “年平均风速＜1.2m/s” 的静风要求）。</w:t>
      </w:r>
    </w:p>
    <w:p w14:paraId="2BD3BB20">
      <w:pPr>
        <w:pStyle w:val="15"/>
        <w:numPr>
          <w:ilvl w:val="0"/>
          <w:numId w:val="0"/>
        </w:numPr>
        <w:ind w:firstLine="640" w:firstLineChars="200"/>
        <w:rPr>
          <w:rFonts w:hint="eastAsia" w:ascii="Times New Roman" w:eastAsia="仿宋_GB2312"/>
          <w:b w:val="0"/>
          <w:bCs w:val="0"/>
          <w:sz w:val="32"/>
          <w:szCs w:val="32"/>
        </w:rPr>
      </w:pPr>
      <w:r>
        <w:rPr>
          <w:rFonts w:hint="eastAsia" w:eastAsia="仿宋_GB2312"/>
        </w:rPr>
        <w:t xml:space="preserve"> 咖啡是典型的 “喜酸作物”，其根系生理功能、养分吸收效率完全依赖微酸性土壤环境</w:t>
      </w:r>
      <w:r>
        <w:rPr>
          <w:rFonts w:hint="eastAsia" w:eastAsia="仿宋_GB2312"/>
          <w:lang w:eastAsia="zh-CN"/>
        </w:rPr>
        <w:t>。</w:t>
      </w:r>
      <w:r>
        <w:rPr>
          <w:rFonts w:hint="eastAsia" w:eastAsia="仿宋_GB2312"/>
        </w:rPr>
        <w:t xml:space="preserve"> 微酸性环境下（pH</w:t>
      </w:r>
      <w:r>
        <w:rPr>
          <w:rFonts w:hint="eastAsia" w:eastAsia="仿宋_GB2312"/>
          <w:lang w:eastAsia="zh-CN"/>
        </w:rPr>
        <w:t>5</w:t>
      </w:r>
      <w:r>
        <w:rPr>
          <w:rFonts w:hint="eastAsia" w:eastAsia="仿宋_GB2312"/>
          <w:lang w:val="en-US" w:eastAsia="zh-CN"/>
        </w:rPr>
        <w:t>.0</w:t>
      </w:r>
      <w:r>
        <w:rPr>
          <w:rFonts w:hint="eastAsia" w:eastAsia="仿宋_GB2312"/>
        </w:rPr>
        <w:t>～6.5），土壤中的 “丛枝菌根真菌” 能与咖啡根系形成共生体：真菌的菌丝可延伸至根系无法触及的土壤缝隙，帮助吸收磷、锌、铜等 “移动性差” 的养分（尤其是磷，咖啡需磷量高，直接影响花芽分化与果实发育）；同时，共生菌还能分泌有机酸，溶解土壤中难溶的矿物质，转化为可吸收的养分。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424"/>
        <w:gridCol w:w="4424"/>
      </w:tblGrid>
      <w:tr w14:paraId="2DEA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424" w:type="dxa"/>
          </w:tcPr>
          <w:p w14:paraId="770D3BBB">
            <w:pPr>
              <w:pStyle w:val="15"/>
              <w:numPr>
                <w:ilvl w:val="0"/>
                <w:numId w:val="0"/>
              </w:numPr>
              <w:jc w:val="center"/>
              <w:rPr>
                <w:rFonts w:hint="eastAsia" w:ascii="仿宋_GB2312" w:eastAsia="仿宋_GB2312"/>
                <w:b/>
                <w:bCs/>
                <w:sz w:val="32"/>
                <w:szCs w:val="32"/>
                <w:vertAlign w:val="baseline"/>
              </w:rPr>
            </w:pPr>
            <w:r>
              <w:rPr>
                <w:rFonts w:hint="eastAsia" w:ascii="Times New Roman" w:eastAsia="仿宋_GB2312"/>
                <w:b w:val="0"/>
                <w:bCs w:val="0"/>
                <w:sz w:val="24"/>
                <w:szCs w:val="24"/>
                <w:vertAlign w:val="baseline"/>
              </w:rPr>
              <w:t>咖啡种植标准示范园</w:t>
            </w:r>
            <w:r>
              <w:drawing>
                <wp:anchor distT="0" distB="0" distL="0" distR="0" simplePos="0" relativeHeight="251668480" behindDoc="0" locked="0" layoutInCell="1" allowOverlap="1">
                  <wp:simplePos x="0" y="0"/>
                  <wp:positionH relativeFrom="column">
                    <wp:posOffset>-32385</wp:posOffset>
                  </wp:positionH>
                  <wp:positionV relativeFrom="paragraph">
                    <wp:posOffset>-465455</wp:posOffset>
                  </wp:positionV>
                  <wp:extent cx="2772410" cy="1558925"/>
                  <wp:effectExtent l="0" t="0" r="8890" b="3175"/>
                  <wp:wrapTopAndBottom/>
                  <wp:docPr id="7" name="IM 2"/>
                  <wp:cNvGraphicFramePr/>
                  <a:graphic xmlns:a="http://schemas.openxmlformats.org/drawingml/2006/main">
                    <a:graphicData uri="http://schemas.openxmlformats.org/drawingml/2006/picture">
                      <pic:pic xmlns:pic="http://schemas.openxmlformats.org/drawingml/2006/picture">
                        <pic:nvPicPr>
                          <pic:cNvPr id="7" name="IM 2"/>
                          <pic:cNvPicPr/>
                        </pic:nvPicPr>
                        <pic:blipFill>
                          <a:blip r:embed="rId14"/>
                          <a:stretch>
                            <a:fillRect/>
                          </a:stretch>
                        </pic:blipFill>
                        <pic:spPr>
                          <a:xfrm>
                            <a:off x="0" y="0"/>
                            <a:ext cx="2772410" cy="1558925"/>
                          </a:xfrm>
                          <a:prstGeom prst="rect">
                            <a:avLst/>
                          </a:prstGeom>
                        </pic:spPr>
                      </pic:pic>
                    </a:graphicData>
                  </a:graphic>
                </wp:anchor>
              </w:drawing>
            </w:r>
          </w:p>
        </w:tc>
        <w:tc>
          <w:tcPr>
            <w:tcW w:w="4424" w:type="dxa"/>
          </w:tcPr>
          <w:p w14:paraId="03B96DED">
            <w:pPr>
              <w:pStyle w:val="15"/>
              <w:numPr>
                <w:ilvl w:val="0"/>
                <w:numId w:val="0"/>
              </w:numPr>
              <w:jc w:val="center"/>
              <w:rPr>
                <w:rFonts w:hint="eastAsia" w:ascii="仿宋_GB2312" w:eastAsia="仿宋_GB2312"/>
                <w:b/>
                <w:bCs/>
                <w:sz w:val="32"/>
                <w:szCs w:val="32"/>
                <w:vertAlign w:val="baseline"/>
              </w:rPr>
            </w:pPr>
            <w:r>
              <w:rPr>
                <w:position w:val="-52"/>
              </w:rPr>
              <w:drawing>
                <wp:anchor distT="0" distB="0" distL="0" distR="0" simplePos="0" relativeHeight="251669504" behindDoc="0" locked="0" layoutInCell="1" allowOverlap="1">
                  <wp:simplePos x="0" y="0"/>
                  <wp:positionH relativeFrom="column">
                    <wp:posOffset>31115</wp:posOffset>
                  </wp:positionH>
                  <wp:positionV relativeFrom="paragraph">
                    <wp:posOffset>17145</wp:posOffset>
                  </wp:positionV>
                  <wp:extent cx="2647315" cy="1543685"/>
                  <wp:effectExtent l="0" t="0" r="635" b="18415"/>
                  <wp:wrapTopAndBottom/>
                  <wp:docPr id="9" name="IM 4"/>
                  <wp:cNvGraphicFramePr/>
                  <a:graphic xmlns:a="http://schemas.openxmlformats.org/drawingml/2006/main">
                    <a:graphicData uri="http://schemas.openxmlformats.org/drawingml/2006/picture">
                      <pic:pic xmlns:pic="http://schemas.openxmlformats.org/drawingml/2006/picture">
                        <pic:nvPicPr>
                          <pic:cNvPr id="9" name="IM 4"/>
                          <pic:cNvPicPr/>
                        </pic:nvPicPr>
                        <pic:blipFill>
                          <a:blip r:embed="rId11"/>
                          <a:stretch>
                            <a:fillRect/>
                          </a:stretch>
                        </pic:blipFill>
                        <pic:spPr>
                          <a:xfrm>
                            <a:off x="0" y="0"/>
                            <a:ext cx="2647315" cy="1543685"/>
                          </a:xfrm>
                          <a:prstGeom prst="rect">
                            <a:avLst/>
                          </a:prstGeom>
                        </pic:spPr>
                      </pic:pic>
                    </a:graphicData>
                  </a:graphic>
                </wp:anchor>
              </w:drawing>
            </w:r>
            <w:r>
              <w:rPr>
                <w:rFonts w:hint="eastAsia" w:ascii="Times New Roman" w:eastAsia="仿宋_GB2312"/>
                <w:b w:val="0"/>
                <w:bCs w:val="0"/>
                <w:sz w:val="24"/>
                <w:szCs w:val="24"/>
                <w:vertAlign w:val="baseline"/>
              </w:rPr>
              <w:t>咖啡种植标准示范园</w:t>
            </w:r>
          </w:p>
        </w:tc>
      </w:tr>
      <w:tr w14:paraId="6558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848" w:type="dxa"/>
            <w:gridSpan w:val="2"/>
          </w:tcPr>
          <w:p w14:paraId="7B6C8829">
            <w:pPr>
              <w:pStyle w:val="15"/>
              <w:numPr>
                <w:ilvl w:val="0"/>
                <w:numId w:val="0"/>
              </w:numPr>
              <w:jc w:val="center"/>
              <w:rPr>
                <w:rFonts w:hint="eastAsia" w:ascii="仿宋_GB2312" w:eastAsia="仿宋_GB2312"/>
                <w:b/>
                <w:bCs/>
                <w:sz w:val="32"/>
                <w:szCs w:val="32"/>
                <w:vertAlign w:val="baseline"/>
              </w:rPr>
            </w:pPr>
            <w:r>
              <w:rPr>
                <w:rFonts w:hint="eastAsia" w:ascii="仿宋_GB2312" w:eastAsia="仿宋_GB2312"/>
                <w:b/>
                <w:bCs/>
                <w:sz w:val="32"/>
                <w:szCs w:val="32"/>
                <w:vertAlign w:val="baseline"/>
                <w:lang w:eastAsia="zh-CN"/>
              </w:rPr>
              <w:drawing>
                <wp:anchor distT="0" distB="0" distL="114300" distR="114300" simplePos="0" relativeHeight="251671552" behindDoc="0" locked="0" layoutInCell="1" allowOverlap="1">
                  <wp:simplePos x="0" y="0"/>
                  <wp:positionH relativeFrom="column">
                    <wp:posOffset>3112770</wp:posOffset>
                  </wp:positionH>
                  <wp:positionV relativeFrom="paragraph">
                    <wp:posOffset>192405</wp:posOffset>
                  </wp:positionV>
                  <wp:extent cx="2189480" cy="1641475"/>
                  <wp:effectExtent l="0" t="0" r="1270" b="15875"/>
                  <wp:wrapTopAndBottom/>
                  <wp:docPr id="11" name="图片 11" descr="9a1cb1c914e6b95d2636ed951939c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a1cb1c914e6b95d2636ed951939c155"/>
                          <pic:cNvPicPr>
                            <a:picLocks noChangeAspect="1"/>
                          </pic:cNvPicPr>
                        </pic:nvPicPr>
                        <pic:blipFill>
                          <a:blip r:embed="rId15"/>
                          <a:stretch>
                            <a:fillRect/>
                          </a:stretch>
                        </pic:blipFill>
                        <pic:spPr>
                          <a:xfrm>
                            <a:off x="0" y="0"/>
                            <a:ext cx="2189480" cy="1641475"/>
                          </a:xfrm>
                          <a:prstGeom prst="rect">
                            <a:avLst/>
                          </a:prstGeom>
                        </pic:spPr>
                      </pic:pic>
                    </a:graphicData>
                  </a:graphic>
                </wp:anchor>
              </w:drawing>
            </w:r>
            <w:r>
              <w:rPr>
                <w:rFonts w:hint="eastAsia" w:ascii="仿宋_GB2312" w:eastAsia="仿宋_GB2312"/>
                <w:b/>
                <w:bCs/>
                <w:sz w:val="32"/>
                <w:szCs w:val="32"/>
                <w:vertAlign w:val="baseline"/>
                <w:lang w:eastAsia="zh-CN"/>
              </w:rPr>
              <w:drawing>
                <wp:anchor distT="0" distB="0" distL="114300" distR="114300" simplePos="0" relativeHeight="251670528" behindDoc="0" locked="0" layoutInCell="1" allowOverlap="1">
                  <wp:simplePos x="0" y="0"/>
                  <wp:positionH relativeFrom="column">
                    <wp:posOffset>40640</wp:posOffset>
                  </wp:positionH>
                  <wp:positionV relativeFrom="paragraph">
                    <wp:posOffset>106680</wp:posOffset>
                  </wp:positionV>
                  <wp:extent cx="2667000" cy="1778635"/>
                  <wp:effectExtent l="0" t="0" r="0" b="12065"/>
                  <wp:wrapTopAndBottom/>
                  <wp:docPr id="10" name="图片 10" descr="c780bad07810afb4d9e85373c918df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780bad07810afb4d9e85373c918df49"/>
                          <pic:cNvPicPr>
                            <a:picLocks noChangeAspect="1"/>
                          </pic:cNvPicPr>
                        </pic:nvPicPr>
                        <pic:blipFill>
                          <a:blip r:embed="rId16"/>
                          <a:stretch>
                            <a:fillRect/>
                          </a:stretch>
                        </pic:blipFill>
                        <pic:spPr>
                          <a:xfrm>
                            <a:off x="0" y="0"/>
                            <a:ext cx="2667000" cy="1778635"/>
                          </a:xfrm>
                          <a:prstGeom prst="rect">
                            <a:avLst/>
                          </a:prstGeom>
                        </pic:spPr>
                      </pic:pic>
                    </a:graphicData>
                  </a:graphic>
                </wp:anchor>
              </w:drawing>
            </w:r>
            <w:r>
              <w:rPr>
                <w:rFonts w:hint="eastAsia" w:ascii="Times New Roman" w:eastAsia="仿宋_GB2312"/>
                <w:b w:val="0"/>
                <w:bCs w:val="0"/>
                <w:sz w:val="24"/>
                <w:szCs w:val="24"/>
              </w:rPr>
              <w:t>环境条件</w:t>
            </w:r>
          </w:p>
        </w:tc>
      </w:tr>
    </w:tbl>
    <w:p w14:paraId="7D8AD0A0">
      <w:pPr>
        <w:pStyle w:val="15"/>
        <w:numPr>
          <w:ilvl w:val="0"/>
          <w:numId w:val="0"/>
        </w:numPr>
        <w:rPr>
          <w:rFonts w:hint="eastAsia" w:ascii="仿宋_GB2312" w:eastAsia="仿宋_GB2312"/>
          <w:b/>
          <w:bCs/>
          <w:sz w:val="32"/>
          <w:szCs w:val="32"/>
          <w:lang w:eastAsia="zh-CN"/>
        </w:rPr>
      </w:pPr>
    </w:p>
    <w:p w14:paraId="42997A7A">
      <w:pPr>
        <w:pStyle w:val="15"/>
        <w:numPr>
          <w:ilvl w:val="0"/>
          <w:numId w:val="0"/>
        </w:numPr>
        <w:ind w:firstLine="643" w:firstLineChars="200"/>
        <w:rPr>
          <w:rFonts w:hint="default" w:ascii="仿宋_GB2312" w:eastAsia="仿宋_GB2312"/>
          <w:b/>
          <w:bCs/>
          <w:sz w:val="32"/>
          <w:szCs w:val="32"/>
          <w:lang w:val="en-US" w:eastAsia="zh-CN"/>
        </w:rPr>
      </w:pPr>
      <w:r>
        <w:rPr>
          <w:rFonts w:hint="eastAsia" w:ascii="仿宋_GB2312" w:eastAsia="仿宋_GB2312"/>
          <w:b/>
          <w:bCs/>
          <w:sz w:val="32"/>
          <w:szCs w:val="32"/>
          <w:lang w:eastAsia="zh-CN"/>
        </w:rPr>
        <w:t>（</w:t>
      </w:r>
      <w:r>
        <w:rPr>
          <w:rFonts w:hint="eastAsia" w:ascii="仿宋_GB2312" w:eastAsia="仿宋_GB2312"/>
          <w:b/>
          <w:bCs/>
          <w:sz w:val="32"/>
          <w:szCs w:val="32"/>
          <w:lang w:val="en-US" w:eastAsia="zh-CN"/>
        </w:rPr>
        <w:t>二</w:t>
      </w:r>
      <w:r>
        <w:rPr>
          <w:rFonts w:hint="eastAsia" w:ascii="仿宋_GB2312" w:eastAsia="仿宋_GB2312"/>
          <w:b/>
          <w:bCs/>
          <w:sz w:val="32"/>
          <w:szCs w:val="32"/>
          <w:lang w:eastAsia="zh-CN"/>
        </w:rPr>
        <w:t>）</w:t>
      </w:r>
      <w:r>
        <w:rPr>
          <w:rFonts w:hint="eastAsia" w:ascii="仿宋_GB2312" w:eastAsia="仿宋_GB2312"/>
          <w:b/>
          <w:bCs/>
          <w:sz w:val="32"/>
          <w:szCs w:val="32"/>
          <w:lang w:val="en-US" w:eastAsia="zh-CN"/>
        </w:rPr>
        <w:t>园地规划</w:t>
      </w:r>
    </w:p>
    <w:p w14:paraId="43A9A9D1">
      <w:pPr>
        <w:pStyle w:val="15"/>
        <w:numPr>
          <w:ilvl w:val="0"/>
          <w:numId w:val="0"/>
        </w:numPr>
        <w:ind w:firstLine="640" w:firstLineChars="200"/>
        <w:rPr>
          <w:rFonts w:hint="eastAsia" w:ascii="Times New Roman" w:eastAsia="仿宋_GB2312"/>
          <w:b w:val="0"/>
          <w:bCs w:val="0"/>
          <w:sz w:val="32"/>
          <w:szCs w:val="32"/>
          <w:lang w:eastAsia="zh-CN"/>
        </w:rPr>
      </w:pPr>
      <w:r>
        <w:rPr>
          <w:rFonts w:hint="eastAsia" w:eastAsia="仿宋_GB2312"/>
        </w:rPr>
        <w:t>针对西林 “山地为主、地形复杂、气候有特定需求” 的地域特点，从 “物流效率、水分精准管控、生态抗逆、成本优化” 四大核心目标出发，构建适配咖啡种植全周期的 “基础设施保障体系” —— 既解决山地种植的运输、灌溉痛点，又通过防护林强化生态屏障，最终保障种植效率与咖啡品质。</w:t>
      </w:r>
    </w:p>
    <w:p w14:paraId="021E3B03">
      <w:pPr>
        <w:pStyle w:val="15"/>
        <w:numPr>
          <w:ilvl w:val="0"/>
          <w:numId w:val="0"/>
        </w:numPr>
        <w:ind w:firstLine="640" w:firstLineChars="200"/>
        <w:rPr>
          <w:rFonts w:hint="eastAsia" w:eastAsia="仿宋_GB2312"/>
        </w:rPr>
      </w:pPr>
      <w:r>
        <w:rPr>
          <w:rFonts w:hint="eastAsia" w:eastAsia="仿宋_GB2312"/>
        </w:rPr>
        <w:t>“干道” 需连接园区外部交通主干道（如国道、县乡路），主要承担 “大批量物资输入”（如基肥、复合肥整车运输）和 “采收果实输出”（如鲜咖啡豆用货车转运至加工点），避免物资在园区外滞留；</w:t>
      </w:r>
    </w:p>
    <w:p w14:paraId="65BBF39A">
      <w:pPr>
        <w:pStyle w:val="15"/>
        <w:numPr>
          <w:ilvl w:val="0"/>
          <w:numId w:val="0"/>
        </w:numPr>
        <w:ind w:firstLine="640" w:firstLineChars="200"/>
        <w:rPr>
          <w:rFonts w:hint="eastAsia" w:ascii="Times New Roman" w:eastAsia="仿宋_GB2312"/>
          <w:b w:val="0"/>
          <w:bCs w:val="0"/>
          <w:sz w:val="32"/>
          <w:szCs w:val="32"/>
          <w:lang w:eastAsia="zh-CN"/>
        </w:rPr>
      </w:pPr>
      <w:r>
        <w:rPr>
          <w:rFonts w:hint="eastAsia" w:eastAsia="仿宋_GB2312"/>
        </w:rPr>
        <w:t>“支道” 需深入种植区内部（如按梯地、地块划分），宽度适配小型运输工具（如三轮车、手推车），满足 “小批量物资分发”（如追肥时按地块运肥）、“人员日常巡检”（如修枝、病虫害排查时的通行），避免因道路不通导致 “管理滞后”（如病虫害扩散时无法及时施药）。</w:t>
      </w:r>
    </w:p>
    <w:p w14:paraId="39FD74DC">
      <w:pPr>
        <w:pStyle w:val="15"/>
        <w:numPr>
          <w:ilvl w:val="0"/>
          <w:numId w:val="0"/>
        </w:numPr>
        <w:ind w:firstLine="640" w:firstLineChars="200"/>
        <w:rPr>
          <w:rFonts w:hint="eastAsia" w:eastAsia="仿宋_GB2312"/>
        </w:rPr>
      </w:pPr>
      <w:r>
        <w:rPr>
          <w:rFonts w:hint="eastAsia" w:eastAsia="仿宋_GB2312"/>
        </w:rPr>
        <w:t>山地陡坡（如 20° 以上）无法修建常规道路（车辆易侧翻），而 “Z” 字型或 “U” 型轨道可通过 “迂回爬升” 降低实际坡度（轨道坡度可控制在 5%</w:t>
      </w:r>
      <w:r>
        <w:rPr>
          <w:rFonts w:hint="eastAsia" w:eastAsia="仿宋_GB2312"/>
          <w:lang w:eastAsia="zh-CN"/>
        </w:rPr>
        <w:t>～</w:t>
      </w:r>
      <w:r>
        <w:rPr>
          <w:rFonts w:hint="eastAsia" w:eastAsia="仿宋_GB2312"/>
        </w:rPr>
        <w:t>8%），安全连接 “高海拔种植区” 与 “低海拔加工点 / 干道”，避免因地形阻隔导致 “采收不及时”（如高海拔地块果实成熟后无法运出，只能烂在树上）。咖啡鲜果采收后需快速转运至加工点（鲜果堆放超过 4 小时易发热发酵，影响后续咖啡豆风味），轨道运输可实现 “种植区直达加工点” 的 “短链路运输”—— 从山顶种植区通过轨道直接滑至山脚加工点，运输时间缩短至传统人工搬运的 1/3，减少鲜果损耗（传统人工搬运易挤压果实，损耗率约 8%，轨道运输损耗率可降至 2% 以下）。</w:t>
      </w:r>
    </w:p>
    <w:p w14:paraId="788023FE">
      <w:pPr>
        <w:pStyle w:val="15"/>
        <w:numPr>
          <w:ilvl w:val="0"/>
          <w:numId w:val="0"/>
        </w:numPr>
        <w:ind w:firstLine="640" w:firstLineChars="200"/>
        <w:rPr>
          <w:rFonts w:hint="eastAsia" w:eastAsia="仿宋_GB2312"/>
          <w:lang w:val="en-US" w:eastAsia="zh-CN"/>
        </w:rPr>
      </w:pPr>
      <w:r>
        <w:rPr>
          <w:rFonts w:hint="eastAsia" w:eastAsia="仿宋_GB2312"/>
          <w:lang w:val="en-US" w:eastAsia="zh-CN"/>
        </w:rPr>
        <w:t>目前西林句町咖啡种植管理60%～70%已实现水肥管理一体化。</w:t>
      </w:r>
      <w:r>
        <w:rPr>
          <w:rFonts w:hint="eastAsia" w:eastAsia="仿宋_GB2312"/>
        </w:rPr>
        <w:t>智能灌溉设施可配合施肥罐，将肥料（如复合肥）溶解后随灌溉水输送至根系附近（即 “水肥一体化”），避免传统施肥 “肥料流失”（如撒施肥料易被雨水冲走），肥料利用率提升 40% 以上，且减少人工施肥成本（无需逐株撒肥）。</w:t>
      </w:r>
      <w:r>
        <w:rPr>
          <w:rFonts w:hint="eastAsia" w:eastAsia="仿宋_GB2312"/>
          <w:lang w:val="en-US" w:eastAsia="zh-CN"/>
        </w:rPr>
        <w:t xml:space="preserve">  </w:t>
      </w:r>
    </w:p>
    <w:p w14:paraId="045C50BD">
      <w:pPr>
        <w:pStyle w:val="15"/>
        <w:numPr>
          <w:ilvl w:val="0"/>
          <w:numId w:val="0"/>
        </w:numPr>
        <w:ind w:firstLine="640" w:firstLineChars="200"/>
        <w:rPr>
          <w:rFonts w:hint="default" w:ascii="Times New Roman" w:eastAsia="仿宋_GB2312"/>
          <w:b w:val="0"/>
          <w:bCs w:val="0"/>
          <w:sz w:val="32"/>
          <w:szCs w:val="32"/>
          <w:lang w:eastAsia="zh-CN"/>
        </w:rPr>
      </w:pPr>
      <w:r>
        <w:rPr>
          <w:rFonts w:hint="eastAsia" w:eastAsia="仿宋_GB2312"/>
        </w:rPr>
        <w:t>西林山地的 “山脊、风口” 易形成 “过山风”（风速可达 3</w:t>
      </w:r>
      <w:r>
        <w:rPr>
          <w:rFonts w:hint="eastAsia" w:eastAsia="仿宋_GB2312"/>
          <w:lang w:eastAsia="zh-CN"/>
        </w:rPr>
        <w:t>～</w:t>
      </w:r>
      <w:r>
        <w:rPr>
          <w:rFonts w:hint="eastAsia" w:eastAsia="仿宋_GB2312"/>
        </w:rPr>
        <w:t>5m/s，远超标准要求的＜1.2m/s），强风会导致：①枝条折断（影响光合作用）；②果实成熟期 “风落果”（落果率增加 15%</w:t>
      </w:r>
      <w:r>
        <w:rPr>
          <w:rFonts w:hint="eastAsia" w:eastAsia="仿宋_GB2312"/>
          <w:lang w:eastAsia="zh-CN"/>
        </w:rPr>
        <w:t>～</w:t>
      </w:r>
      <w:r>
        <w:rPr>
          <w:rFonts w:hint="eastAsia" w:eastAsia="仿宋_GB2312"/>
        </w:rPr>
        <w:t>20%）；③开花期花粉传播不均（坐果率下降 10%）。</w:t>
      </w:r>
    </w:p>
    <w:p w14:paraId="1B9E46AC">
      <w:pPr>
        <w:pStyle w:val="15"/>
        <w:numPr>
          <w:ilvl w:val="0"/>
          <w:numId w:val="0"/>
        </w:numPr>
        <w:rPr>
          <w:rFonts w:hint="eastAsia" w:ascii="仿宋_GB2312" w:eastAsia="仿宋_GB2312"/>
          <w:b/>
          <w:bCs/>
          <w:sz w:val="32"/>
          <w:szCs w:val="32"/>
          <w:lang w:eastAsia="zh-CN"/>
        </w:rPr>
      </w:pPr>
      <w:r>
        <w:rPr>
          <w:position w:val="-55"/>
        </w:rPr>
        <w:drawing>
          <wp:inline distT="0" distB="0" distL="0" distR="0">
            <wp:extent cx="5521325" cy="1753870"/>
            <wp:effectExtent l="0" t="0" r="3175" b="17780"/>
            <wp:docPr id="13" name="IM 6"/>
            <wp:cNvGraphicFramePr/>
            <a:graphic xmlns:a="http://schemas.openxmlformats.org/drawingml/2006/main">
              <a:graphicData uri="http://schemas.openxmlformats.org/drawingml/2006/picture">
                <pic:pic xmlns:pic="http://schemas.openxmlformats.org/drawingml/2006/picture">
                  <pic:nvPicPr>
                    <pic:cNvPr id="13" name="IM 6"/>
                    <pic:cNvPicPr/>
                  </pic:nvPicPr>
                  <pic:blipFill>
                    <a:blip r:embed="rId17"/>
                    <a:stretch>
                      <a:fillRect/>
                    </a:stretch>
                  </pic:blipFill>
                  <pic:spPr>
                    <a:xfrm>
                      <a:off x="0" y="0"/>
                      <a:ext cx="5521452" cy="1754123"/>
                    </a:xfrm>
                    <a:prstGeom prst="rect">
                      <a:avLst/>
                    </a:prstGeom>
                  </pic:spPr>
                </pic:pic>
              </a:graphicData>
            </a:graphic>
          </wp:inline>
        </w:drawing>
      </w:r>
      <w:r>
        <w:rPr>
          <w:rFonts w:hint="eastAsia" w:ascii="仿宋_GB2312" w:eastAsia="仿宋_GB2312"/>
          <w:b/>
          <w:bCs/>
          <w:sz w:val="32"/>
          <w:szCs w:val="32"/>
          <w:lang w:eastAsia="zh-CN"/>
        </w:rPr>
        <w:drawing>
          <wp:anchor distT="0" distB="0" distL="114300" distR="114300" simplePos="0" relativeHeight="251672576" behindDoc="0" locked="0" layoutInCell="1" allowOverlap="1">
            <wp:simplePos x="0" y="0"/>
            <wp:positionH relativeFrom="column">
              <wp:posOffset>111760</wp:posOffset>
            </wp:positionH>
            <wp:positionV relativeFrom="paragraph">
              <wp:posOffset>102870</wp:posOffset>
            </wp:positionV>
            <wp:extent cx="5478780" cy="3765550"/>
            <wp:effectExtent l="0" t="0" r="7620" b="6350"/>
            <wp:wrapTopAndBottom/>
            <wp:docPr id="12" name="图片 12" descr="104ba1d1-c0e0-447d-ae7a-3f8ff23be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04ba1d1-c0e0-447d-ae7a-3f8ff23bebc0"/>
                    <pic:cNvPicPr>
                      <a:picLocks noChangeAspect="1"/>
                    </pic:cNvPicPr>
                  </pic:nvPicPr>
                  <pic:blipFill>
                    <a:blip r:embed="rId18"/>
                    <a:stretch>
                      <a:fillRect/>
                    </a:stretch>
                  </pic:blipFill>
                  <pic:spPr>
                    <a:xfrm>
                      <a:off x="0" y="0"/>
                      <a:ext cx="5478780" cy="3765550"/>
                    </a:xfrm>
                    <a:prstGeom prst="rect">
                      <a:avLst/>
                    </a:prstGeom>
                  </pic:spPr>
                </pic:pic>
              </a:graphicData>
            </a:graphic>
          </wp:anchor>
        </w:drawing>
      </w:r>
    </w:p>
    <w:p w14:paraId="172A012A">
      <w:pPr>
        <w:pStyle w:val="5"/>
        <w:spacing w:before="173" w:line="214" w:lineRule="auto"/>
        <w:ind w:left="1795"/>
      </w:pPr>
      <w:r>
        <w:rPr>
          <w:spacing w:val="-3"/>
        </w:rPr>
        <w:t>防护林远景（左）、防护林近照（右）</w:t>
      </w:r>
    </w:p>
    <w:p w14:paraId="52895BAC">
      <w:pPr>
        <w:pStyle w:val="15"/>
        <w:numPr>
          <w:ilvl w:val="0"/>
          <w:numId w:val="0"/>
        </w:numPr>
        <w:ind w:firstLine="643" w:firstLineChars="200"/>
        <w:rPr>
          <w:rFonts w:hint="default" w:ascii="仿宋_GB2312" w:eastAsia="仿宋_GB2312"/>
          <w:b/>
          <w:bCs/>
          <w:sz w:val="32"/>
          <w:szCs w:val="32"/>
          <w:lang w:val="en-US" w:eastAsia="zh-CN"/>
        </w:rPr>
      </w:pPr>
      <w:r>
        <w:rPr>
          <w:rFonts w:hint="eastAsia" w:ascii="仿宋_GB2312" w:eastAsia="仿宋_GB2312"/>
          <w:b/>
          <w:bCs/>
          <w:sz w:val="32"/>
          <w:szCs w:val="32"/>
          <w:lang w:eastAsia="zh-CN"/>
        </w:rPr>
        <w:t>（</w:t>
      </w:r>
      <w:r>
        <w:rPr>
          <w:rFonts w:hint="eastAsia" w:ascii="仿宋_GB2312" w:eastAsia="仿宋_GB2312"/>
          <w:b/>
          <w:bCs/>
          <w:sz w:val="32"/>
          <w:szCs w:val="32"/>
          <w:lang w:val="en-US" w:eastAsia="zh-CN"/>
        </w:rPr>
        <w:t>三</w:t>
      </w:r>
      <w:r>
        <w:rPr>
          <w:rFonts w:hint="eastAsia" w:ascii="仿宋_GB2312" w:eastAsia="仿宋_GB2312"/>
          <w:b/>
          <w:bCs/>
          <w:sz w:val="32"/>
          <w:szCs w:val="32"/>
          <w:lang w:eastAsia="zh-CN"/>
        </w:rPr>
        <w:t>）</w:t>
      </w:r>
      <w:r>
        <w:rPr>
          <w:rFonts w:hint="eastAsia" w:ascii="仿宋_GB2312" w:eastAsia="仿宋_GB2312"/>
          <w:b/>
          <w:bCs/>
          <w:sz w:val="32"/>
          <w:szCs w:val="32"/>
          <w:lang w:val="en-US" w:eastAsia="zh-CN"/>
        </w:rPr>
        <w:t>整地</w:t>
      </w:r>
    </w:p>
    <w:p w14:paraId="19DACC3B">
      <w:pPr>
        <w:pStyle w:val="15"/>
        <w:numPr>
          <w:ilvl w:val="0"/>
          <w:numId w:val="0"/>
        </w:numPr>
        <w:ind w:firstLine="640" w:firstLineChars="200"/>
        <w:rPr>
          <w:rFonts w:hint="eastAsia" w:eastAsia="仿宋_GB2312"/>
        </w:rPr>
      </w:pPr>
      <w:r>
        <w:rPr>
          <w:rFonts w:hint="eastAsia" w:eastAsia="仿宋_GB2312"/>
        </w:rPr>
        <w:t>保留的 “防护林、水源林” 是前期园地规划的核心生态屏障（呼应 5.4 防护林规划），其作用贯穿咖啡全生长期：防护林可继续阻挡强风（如山脊、风口的树木），避免清园后失去风障导致咖啡枝条折断、果实脱落；水源林能涵养地下水、调节园区湿度（尤其干旱季节），避免清园破坏水源导致灌溉缺水；园中 “散生独立树” 可提供适度荫蔽（荫蔽度 5%</w:t>
      </w:r>
      <w:r>
        <w:rPr>
          <w:rFonts w:hint="eastAsia" w:eastAsia="仿宋_GB2312"/>
          <w:lang w:eastAsia="zh-CN"/>
        </w:rPr>
        <w:t>～</w:t>
      </w:r>
      <w:r>
        <w:rPr>
          <w:rFonts w:hint="eastAsia" w:eastAsia="仿宋_GB2312"/>
        </w:rPr>
        <w:t>10%），补充防护林的荫蔽功能，避免全园无树导致夏季强光灼伤咖啡叶片（尤其幼树期）。若盲目清除这些树木，会破坏园区生态平衡，反而增加风害、干旱、强光等风险。</w:t>
      </w:r>
    </w:p>
    <w:p w14:paraId="18BFCB03">
      <w:pPr>
        <w:pStyle w:val="15"/>
        <w:numPr>
          <w:ilvl w:val="0"/>
          <w:numId w:val="0"/>
        </w:numPr>
        <w:ind w:firstLine="640" w:firstLineChars="200"/>
        <w:rPr>
          <w:rFonts w:hint="eastAsia" w:eastAsia="仿宋_GB2312"/>
        </w:rPr>
      </w:pPr>
      <w:r>
        <w:rPr>
          <w:rFonts w:hint="eastAsia" w:eastAsia="仿宋_GB2312"/>
        </w:rPr>
        <w:t>高草灌丛是咖啡病虫害的 “越冬寄主”（如炭疽病病菌在杂草残体中越冬，天牛幼虫在灌木枝条中越冬），雨季结束后杂草停止生长，此时砍除、晒干（高温杀死部分病虫）后清岜（移除园区），可大幅减少次年病虫害基数 —— 若不清理，次年春季病虫害发生率会增加 30% 以上，需额外增加农药使用量，既提高成本又影响咖啡品质（农药残留风险）。</w:t>
      </w:r>
    </w:p>
    <w:p w14:paraId="7FF6D13A">
      <w:pPr>
        <w:pStyle w:val="15"/>
        <w:numPr>
          <w:ilvl w:val="0"/>
          <w:numId w:val="0"/>
        </w:numPr>
        <w:ind w:firstLine="640" w:firstLineChars="200"/>
        <w:rPr>
          <w:rFonts w:hint="eastAsia" w:ascii="Times New Roman" w:eastAsia="仿宋_GB2312"/>
          <w:b w:val="0"/>
          <w:bCs w:val="0"/>
          <w:sz w:val="32"/>
          <w:szCs w:val="32"/>
          <w:lang w:eastAsia="zh-CN"/>
        </w:rPr>
      </w:pPr>
      <w:r>
        <w:rPr>
          <w:rFonts w:hint="eastAsia" w:eastAsia="仿宋_GB2312"/>
        </w:rPr>
        <w:t>西林咖啡种植区 80% 以上为坡地，10° 以上坡地修筑梯地是 “保土、保肥、保水” 的关键</w:t>
      </w:r>
      <w:r>
        <w:rPr>
          <w:rFonts w:hint="eastAsia" w:eastAsia="仿宋_GB2312"/>
          <w:lang w:eastAsia="zh-CN"/>
        </w:rPr>
        <w:t>。</w:t>
      </w:r>
      <w:r>
        <w:rPr>
          <w:rFonts w:hint="eastAsia" w:eastAsia="仿宋_GB2312"/>
        </w:rPr>
        <w:t>NY/T 922《咖啡栽培技术规程》对梯地的 “宽度、埂高、坡度” 有明确要求（如梯面宽度≥1.5m，埂高≥30cm，内侧坡度≤5°）</w:t>
      </w:r>
      <w:r>
        <w:rPr>
          <w:rFonts w:hint="eastAsia" w:eastAsia="仿宋_GB2312"/>
          <w:lang w:eastAsia="zh-CN"/>
        </w:rPr>
        <w:t>。</w:t>
      </w:r>
    </w:p>
    <w:p w14:paraId="406686BA">
      <w:pPr>
        <w:pStyle w:val="15"/>
        <w:numPr>
          <w:ilvl w:val="0"/>
          <w:numId w:val="0"/>
        </w:numPr>
        <w:ind w:firstLine="640" w:firstLineChars="200"/>
        <w:rPr>
          <w:rFonts w:hint="eastAsia" w:ascii="仿宋_GB2312" w:eastAsia="仿宋_GB2312"/>
          <w:b/>
          <w:bCs/>
          <w:sz w:val="32"/>
          <w:szCs w:val="32"/>
          <w:lang w:eastAsia="zh-CN"/>
        </w:rPr>
      </w:pPr>
      <w:r>
        <w:rPr>
          <w:rFonts w:hint="eastAsia" w:eastAsia="仿宋_GB2312"/>
        </w:rPr>
        <w:t>表土（土壤表层 0-20cm）富含有机质（占土壤有机质总量的 60% 以上）、氮磷钾养分及有益微生物（如菌根真菌，帮助咖啡吸收磷），是咖啡根系生长的 “核心区域”（咖啡 80% 的根系分布在表土）。修筑梯地时若不保留表土（直接将表土翻入底层），会导致：①咖啡定植后根系接触的是贫瘠底土（有机质含量不足 1%，表土有机质含量可达 3%</w:t>
      </w:r>
      <w:r>
        <w:rPr>
          <w:rFonts w:hint="eastAsia" w:eastAsia="仿宋_GB2312"/>
          <w:lang w:eastAsia="zh-CN"/>
        </w:rPr>
        <w:t>～</w:t>
      </w:r>
      <w:r>
        <w:rPr>
          <w:rFonts w:hint="eastAsia" w:eastAsia="仿宋_GB2312"/>
        </w:rPr>
        <w:t>5%），生长迟缓（定植当年株高比保留表土的低 20%</w:t>
      </w:r>
      <w:r>
        <w:rPr>
          <w:rFonts w:hint="eastAsia" w:eastAsia="仿宋_GB2312"/>
          <w:lang w:eastAsia="zh-CN"/>
        </w:rPr>
        <w:t>～</w:t>
      </w:r>
      <w:r>
        <w:rPr>
          <w:rFonts w:hint="eastAsia" w:eastAsia="仿宋_GB2312"/>
        </w:rPr>
        <w:t>30%）；②有益微生物大量死亡，咖啡吸收养分效率下降，需额外增施化肥（成本增加 15% 以上）。</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424"/>
        <w:gridCol w:w="4424"/>
      </w:tblGrid>
      <w:tr w14:paraId="228D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24" w:type="dxa"/>
          </w:tcPr>
          <w:p w14:paraId="1AF147AF">
            <w:pPr>
              <w:pStyle w:val="15"/>
              <w:numPr>
                <w:ilvl w:val="0"/>
                <w:numId w:val="0"/>
              </w:numPr>
              <w:jc w:val="center"/>
              <w:rPr>
                <w:rFonts w:hint="eastAsia" w:ascii="Times New Roman" w:eastAsia="仿宋_GB2312"/>
                <w:b w:val="0"/>
                <w:bCs w:val="0"/>
                <w:sz w:val="32"/>
                <w:szCs w:val="32"/>
                <w:vertAlign w:val="baseline"/>
                <w:lang w:eastAsia="zh-CN"/>
              </w:rPr>
            </w:pPr>
            <w:r>
              <w:rPr>
                <w:rFonts w:hint="eastAsia" w:eastAsia="仿宋_GB2312"/>
                <w:b w:val="0"/>
                <w:bCs w:val="0"/>
                <w:spacing w:val="0"/>
              </w:rPr>
              <w:t>修筑梯地</w:t>
            </w:r>
            <w:r>
              <w:rPr>
                <w:position w:val="-61"/>
              </w:rPr>
              <w:drawing>
                <wp:anchor distT="0" distB="0" distL="0" distR="0" simplePos="0" relativeHeight="251675648" behindDoc="0" locked="0" layoutInCell="1" allowOverlap="1">
                  <wp:simplePos x="0" y="0"/>
                  <wp:positionH relativeFrom="column">
                    <wp:posOffset>0</wp:posOffset>
                  </wp:positionH>
                  <wp:positionV relativeFrom="paragraph">
                    <wp:posOffset>4445</wp:posOffset>
                  </wp:positionV>
                  <wp:extent cx="2825115" cy="1322070"/>
                  <wp:effectExtent l="0" t="0" r="13335" b="11430"/>
                  <wp:wrapTopAndBottom/>
                  <wp:docPr id="16" name="IM 10"/>
                  <wp:cNvGraphicFramePr/>
                  <a:graphic xmlns:a="http://schemas.openxmlformats.org/drawingml/2006/main">
                    <a:graphicData uri="http://schemas.openxmlformats.org/drawingml/2006/picture">
                      <pic:pic xmlns:pic="http://schemas.openxmlformats.org/drawingml/2006/picture">
                        <pic:nvPicPr>
                          <pic:cNvPr id="16" name="IM 10"/>
                          <pic:cNvPicPr/>
                        </pic:nvPicPr>
                        <pic:blipFill>
                          <a:blip r:embed="rId19"/>
                          <a:stretch>
                            <a:fillRect/>
                          </a:stretch>
                        </pic:blipFill>
                        <pic:spPr>
                          <a:xfrm>
                            <a:off x="0" y="0"/>
                            <a:ext cx="2825115" cy="1322070"/>
                          </a:xfrm>
                          <a:prstGeom prst="rect">
                            <a:avLst/>
                          </a:prstGeom>
                        </pic:spPr>
                      </pic:pic>
                    </a:graphicData>
                  </a:graphic>
                </wp:anchor>
              </w:drawing>
            </w:r>
          </w:p>
        </w:tc>
        <w:tc>
          <w:tcPr>
            <w:tcW w:w="4424" w:type="dxa"/>
          </w:tcPr>
          <w:p w14:paraId="2F142D75">
            <w:pPr>
              <w:pStyle w:val="15"/>
              <w:numPr>
                <w:ilvl w:val="0"/>
                <w:numId w:val="0"/>
              </w:numPr>
              <w:jc w:val="center"/>
              <w:rPr>
                <w:rFonts w:hint="eastAsia" w:ascii="Times New Roman" w:eastAsia="仿宋_GB2312"/>
                <w:b w:val="0"/>
                <w:bCs w:val="0"/>
                <w:sz w:val="32"/>
                <w:szCs w:val="32"/>
                <w:vertAlign w:val="baseline"/>
                <w:lang w:eastAsia="zh-CN"/>
              </w:rPr>
            </w:pPr>
            <w:r>
              <w:rPr>
                <w:rFonts w:hint="eastAsia" w:eastAsia="仿宋_GB2312"/>
                <w:b w:val="0"/>
                <w:bCs w:val="0"/>
                <w:spacing w:val="0"/>
              </w:rPr>
              <w:t>修筑梯地</w:t>
            </w:r>
            <w:r>
              <w:rPr>
                <w:rFonts w:hint="eastAsia" w:ascii="Times New Roman" w:eastAsia="仿宋_GB2312"/>
                <w:b w:val="0"/>
                <w:bCs w:val="0"/>
                <w:sz w:val="32"/>
                <w:szCs w:val="32"/>
                <w:vertAlign w:val="baseline"/>
                <w:lang w:eastAsia="zh-CN"/>
              </w:rPr>
              <w:drawing>
                <wp:anchor distT="0" distB="0" distL="114300" distR="114300" simplePos="0" relativeHeight="251674624" behindDoc="0" locked="0" layoutInCell="1" allowOverlap="1">
                  <wp:simplePos x="0" y="0"/>
                  <wp:positionH relativeFrom="column">
                    <wp:posOffset>358775</wp:posOffset>
                  </wp:positionH>
                  <wp:positionV relativeFrom="paragraph">
                    <wp:posOffset>74295</wp:posOffset>
                  </wp:positionV>
                  <wp:extent cx="1895475" cy="1264285"/>
                  <wp:effectExtent l="0" t="0" r="9525" b="12065"/>
                  <wp:wrapTopAndBottom/>
                  <wp:docPr id="17" name="图片 17" descr="c780bad07810afb4d9e85373c918df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780bad07810afb4d9e85373c918df49"/>
                          <pic:cNvPicPr>
                            <a:picLocks noChangeAspect="1"/>
                          </pic:cNvPicPr>
                        </pic:nvPicPr>
                        <pic:blipFill>
                          <a:blip r:embed="rId16"/>
                          <a:stretch>
                            <a:fillRect/>
                          </a:stretch>
                        </pic:blipFill>
                        <pic:spPr>
                          <a:xfrm>
                            <a:off x="0" y="0"/>
                            <a:ext cx="1895475" cy="1264285"/>
                          </a:xfrm>
                          <a:prstGeom prst="rect">
                            <a:avLst/>
                          </a:prstGeom>
                        </pic:spPr>
                      </pic:pic>
                    </a:graphicData>
                  </a:graphic>
                </wp:anchor>
              </w:drawing>
            </w:r>
          </w:p>
        </w:tc>
      </w:tr>
    </w:tbl>
    <w:p w14:paraId="59E849D3">
      <w:pPr>
        <w:pStyle w:val="15"/>
        <w:numPr>
          <w:ilvl w:val="0"/>
          <w:numId w:val="0"/>
        </w:numPr>
        <w:rPr>
          <w:rFonts w:hint="eastAsia" w:ascii="仿宋_GB2312" w:eastAsia="仿宋_GB2312"/>
          <w:b/>
          <w:bCs/>
          <w:sz w:val="32"/>
          <w:szCs w:val="32"/>
          <w:lang w:eastAsia="zh-CN"/>
        </w:rPr>
      </w:pPr>
      <w:r>
        <w:rPr>
          <w:rFonts w:hint="eastAsia" w:ascii="Times New Roman" w:eastAsia="仿宋_GB2312"/>
          <w:b w:val="0"/>
          <w:bCs w:val="0"/>
          <w:sz w:val="32"/>
          <w:szCs w:val="32"/>
          <w:lang w:eastAsia="zh-CN"/>
        </w:rPr>
        <w:drawing>
          <wp:anchor distT="0" distB="0" distL="114300" distR="114300" simplePos="0" relativeHeight="251673600" behindDoc="0" locked="0" layoutInCell="1" allowOverlap="1">
            <wp:simplePos x="0" y="0"/>
            <wp:positionH relativeFrom="column">
              <wp:posOffset>-62230</wp:posOffset>
            </wp:positionH>
            <wp:positionV relativeFrom="paragraph">
              <wp:posOffset>153035</wp:posOffset>
            </wp:positionV>
            <wp:extent cx="5476240" cy="617220"/>
            <wp:effectExtent l="0" t="0" r="10160" b="11430"/>
            <wp:wrapTopAndBottom/>
            <wp:docPr id="14" name="图片 14" descr="09d0c689-351b-40d1-8fa6-093eda485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9d0c689-351b-40d1-8fa6-093eda4856f9"/>
                    <pic:cNvPicPr>
                      <a:picLocks noChangeAspect="1"/>
                    </pic:cNvPicPr>
                  </pic:nvPicPr>
                  <pic:blipFill>
                    <a:blip r:embed="rId20"/>
                    <a:stretch>
                      <a:fillRect/>
                    </a:stretch>
                  </pic:blipFill>
                  <pic:spPr>
                    <a:xfrm>
                      <a:off x="0" y="0"/>
                      <a:ext cx="5476240" cy="617220"/>
                    </a:xfrm>
                    <a:prstGeom prst="rect">
                      <a:avLst/>
                    </a:prstGeom>
                  </pic:spPr>
                </pic:pic>
              </a:graphicData>
            </a:graphic>
          </wp:anchor>
        </w:drawing>
      </w:r>
    </w:p>
    <w:p w14:paraId="3CA1D6F7">
      <w:pPr>
        <w:pStyle w:val="15"/>
        <w:numPr>
          <w:ilvl w:val="0"/>
          <w:numId w:val="0"/>
        </w:numPr>
        <w:rPr>
          <w:rFonts w:hint="eastAsia" w:ascii="仿宋_GB2312" w:eastAsia="仿宋_GB2312"/>
          <w:b/>
          <w:bCs/>
          <w:sz w:val="32"/>
          <w:szCs w:val="32"/>
          <w:lang w:eastAsia="zh-C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424"/>
        <w:gridCol w:w="4424"/>
      </w:tblGrid>
      <w:tr w14:paraId="7A02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424" w:type="dxa"/>
          </w:tcPr>
          <w:p w14:paraId="1358219E">
            <w:pPr>
              <w:pStyle w:val="15"/>
              <w:numPr>
                <w:ilvl w:val="0"/>
                <w:numId w:val="0"/>
              </w:numPr>
              <w:jc w:val="center"/>
              <w:rPr>
                <w:rFonts w:hint="eastAsia" w:ascii="仿宋_GB2312" w:eastAsia="仿宋_GB2312"/>
                <w:b/>
                <w:bCs/>
                <w:sz w:val="32"/>
                <w:szCs w:val="32"/>
                <w:vertAlign w:val="baseline"/>
                <w:lang w:eastAsia="zh-CN"/>
              </w:rPr>
            </w:pPr>
            <w:r>
              <w:rPr>
                <w:rFonts w:hint="eastAsia" w:eastAsia="仿宋_GB2312"/>
                <w:spacing w:val="0"/>
                <w:sz w:val="28"/>
                <w:szCs w:val="28"/>
              </w:rPr>
              <w:t>株行距示意图</w:t>
            </w:r>
            <w:r>
              <w:drawing>
                <wp:anchor distT="0" distB="0" distL="0" distR="0" simplePos="0" relativeHeight="251676672" behindDoc="0" locked="0" layoutInCell="1" allowOverlap="1">
                  <wp:simplePos x="0" y="0"/>
                  <wp:positionH relativeFrom="column">
                    <wp:posOffset>279400</wp:posOffset>
                  </wp:positionH>
                  <wp:positionV relativeFrom="paragraph">
                    <wp:posOffset>95885</wp:posOffset>
                  </wp:positionV>
                  <wp:extent cx="2180590" cy="2180590"/>
                  <wp:effectExtent l="0" t="0" r="10160" b="10160"/>
                  <wp:wrapTopAndBottom/>
                  <wp:docPr id="18" name="IM 12"/>
                  <wp:cNvGraphicFramePr/>
                  <a:graphic xmlns:a="http://schemas.openxmlformats.org/drawingml/2006/main">
                    <a:graphicData uri="http://schemas.openxmlformats.org/drawingml/2006/picture">
                      <pic:pic xmlns:pic="http://schemas.openxmlformats.org/drawingml/2006/picture">
                        <pic:nvPicPr>
                          <pic:cNvPr id="18" name="IM 12"/>
                          <pic:cNvPicPr/>
                        </pic:nvPicPr>
                        <pic:blipFill>
                          <a:blip r:embed="rId21"/>
                          <a:stretch>
                            <a:fillRect/>
                          </a:stretch>
                        </pic:blipFill>
                        <pic:spPr>
                          <a:xfrm>
                            <a:off x="0" y="0"/>
                            <a:ext cx="2180590" cy="2180590"/>
                          </a:xfrm>
                          <a:prstGeom prst="rect">
                            <a:avLst/>
                          </a:prstGeom>
                        </pic:spPr>
                      </pic:pic>
                    </a:graphicData>
                  </a:graphic>
                </wp:anchor>
              </w:drawing>
            </w:r>
          </w:p>
        </w:tc>
        <w:tc>
          <w:tcPr>
            <w:tcW w:w="4424" w:type="dxa"/>
          </w:tcPr>
          <w:p w14:paraId="08AE696F">
            <w:pPr>
              <w:pStyle w:val="15"/>
              <w:numPr>
                <w:ilvl w:val="0"/>
                <w:numId w:val="0"/>
              </w:numPr>
              <w:rPr>
                <w:rFonts w:hint="eastAsia" w:ascii="仿宋_GB2312" w:eastAsia="仿宋_GB2312"/>
                <w:b/>
                <w:bCs/>
                <w:sz w:val="32"/>
                <w:szCs w:val="32"/>
                <w:vertAlign w:val="baseline"/>
                <w:lang w:eastAsia="zh-CN"/>
              </w:rPr>
            </w:pPr>
            <w:r>
              <w:rPr>
                <w:rFonts w:hint="eastAsia" w:eastAsia="仿宋_GB2312"/>
                <w:spacing w:val="0"/>
                <w:sz w:val="28"/>
                <w:szCs w:val="28"/>
              </w:rPr>
              <w:t>株行距示意图</w:t>
            </w:r>
            <w:r>
              <w:rPr>
                <w:position w:val="-91"/>
              </w:rPr>
              <w:drawing>
                <wp:anchor distT="0" distB="0" distL="0" distR="0" simplePos="0" relativeHeight="251677696" behindDoc="0" locked="0" layoutInCell="1" allowOverlap="1">
                  <wp:simplePos x="0" y="0"/>
                  <wp:positionH relativeFrom="column">
                    <wp:posOffset>347980</wp:posOffset>
                  </wp:positionH>
                  <wp:positionV relativeFrom="paragraph">
                    <wp:posOffset>16510</wp:posOffset>
                  </wp:positionV>
                  <wp:extent cx="1854835" cy="2294890"/>
                  <wp:effectExtent l="0" t="0" r="12065" b="10160"/>
                  <wp:wrapTopAndBottom/>
                  <wp:docPr id="19" name="IM 14"/>
                  <wp:cNvGraphicFramePr/>
                  <a:graphic xmlns:a="http://schemas.openxmlformats.org/drawingml/2006/main">
                    <a:graphicData uri="http://schemas.openxmlformats.org/drawingml/2006/picture">
                      <pic:pic xmlns:pic="http://schemas.openxmlformats.org/drawingml/2006/picture">
                        <pic:nvPicPr>
                          <pic:cNvPr id="19" name="IM 14"/>
                          <pic:cNvPicPr/>
                        </pic:nvPicPr>
                        <pic:blipFill>
                          <a:blip r:embed="rId22"/>
                          <a:stretch>
                            <a:fillRect/>
                          </a:stretch>
                        </pic:blipFill>
                        <pic:spPr>
                          <a:xfrm>
                            <a:off x="0" y="0"/>
                            <a:ext cx="1854835" cy="2294890"/>
                          </a:xfrm>
                          <a:prstGeom prst="rect">
                            <a:avLst/>
                          </a:prstGeom>
                        </pic:spPr>
                      </pic:pic>
                    </a:graphicData>
                  </a:graphic>
                </wp:anchor>
              </w:drawing>
            </w:r>
          </w:p>
        </w:tc>
      </w:tr>
      <w:tr w14:paraId="3E00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424" w:type="dxa"/>
          </w:tcPr>
          <w:p w14:paraId="6B7894DB">
            <w:pPr>
              <w:pStyle w:val="15"/>
              <w:numPr>
                <w:ilvl w:val="0"/>
                <w:numId w:val="0"/>
              </w:numPr>
              <w:jc w:val="center"/>
              <w:rPr>
                <w:rFonts w:hint="eastAsia" w:ascii="仿宋_GB2312" w:eastAsia="仿宋_GB2312"/>
                <w:b/>
                <w:bCs/>
                <w:sz w:val="32"/>
                <w:szCs w:val="32"/>
                <w:vertAlign w:val="baseline"/>
                <w:lang w:eastAsia="zh-CN"/>
              </w:rPr>
            </w:pPr>
            <w:r>
              <w:rPr>
                <w:rFonts w:hint="eastAsia" w:eastAsia="仿宋_GB2312"/>
                <w:spacing w:val="0"/>
                <w:sz w:val="28"/>
                <w:szCs w:val="28"/>
              </w:rPr>
              <w:t>株行距示意图</w:t>
            </w:r>
            <w:r>
              <w:drawing>
                <wp:anchor distT="0" distB="0" distL="0" distR="0" simplePos="0" relativeHeight="251679744" behindDoc="0" locked="0" layoutInCell="1" allowOverlap="1">
                  <wp:simplePos x="0" y="0"/>
                  <wp:positionH relativeFrom="column">
                    <wp:posOffset>308610</wp:posOffset>
                  </wp:positionH>
                  <wp:positionV relativeFrom="paragraph">
                    <wp:posOffset>95885</wp:posOffset>
                  </wp:positionV>
                  <wp:extent cx="2235200" cy="1652905"/>
                  <wp:effectExtent l="0" t="0" r="12700" b="4445"/>
                  <wp:wrapTopAndBottom/>
                  <wp:docPr id="21" name="IM 8"/>
                  <wp:cNvGraphicFramePr/>
                  <a:graphic xmlns:a="http://schemas.openxmlformats.org/drawingml/2006/main">
                    <a:graphicData uri="http://schemas.openxmlformats.org/drawingml/2006/picture">
                      <pic:pic xmlns:pic="http://schemas.openxmlformats.org/drawingml/2006/picture">
                        <pic:nvPicPr>
                          <pic:cNvPr id="21" name="IM 8"/>
                          <pic:cNvPicPr/>
                        </pic:nvPicPr>
                        <pic:blipFill>
                          <a:blip r:embed="rId12"/>
                          <a:stretch>
                            <a:fillRect/>
                          </a:stretch>
                        </pic:blipFill>
                        <pic:spPr>
                          <a:xfrm>
                            <a:off x="0" y="0"/>
                            <a:ext cx="2235200" cy="1652905"/>
                          </a:xfrm>
                          <a:prstGeom prst="rect">
                            <a:avLst/>
                          </a:prstGeom>
                        </pic:spPr>
                      </pic:pic>
                    </a:graphicData>
                  </a:graphic>
                </wp:anchor>
              </w:drawing>
            </w:r>
          </w:p>
        </w:tc>
        <w:tc>
          <w:tcPr>
            <w:tcW w:w="4424" w:type="dxa"/>
          </w:tcPr>
          <w:p w14:paraId="21F154F1">
            <w:pPr>
              <w:pStyle w:val="15"/>
              <w:numPr>
                <w:ilvl w:val="0"/>
                <w:numId w:val="0"/>
              </w:numPr>
              <w:jc w:val="center"/>
              <w:rPr>
                <w:rFonts w:hint="eastAsia" w:ascii="仿宋_GB2312" w:eastAsia="仿宋_GB2312"/>
                <w:b/>
                <w:bCs/>
                <w:sz w:val="32"/>
                <w:szCs w:val="32"/>
                <w:vertAlign w:val="baseline"/>
                <w:lang w:eastAsia="zh-CN"/>
              </w:rPr>
            </w:pPr>
            <w:r>
              <w:rPr>
                <w:rFonts w:hint="eastAsia" w:ascii="仿宋_GB2312" w:eastAsia="仿宋_GB2312"/>
                <w:b/>
                <w:bCs/>
                <w:sz w:val="32"/>
                <w:szCs w:val="32"/>
                <w:vertAlign w:val="baseline"/>
                <w:lang w:eastAsia="zh-CN"/>
              </w:rPr>
              <w:drawing>
                <wp:anchor distT="0" distB="0" distL="114300" distR="114300" simplePos="0" relativeHeight="251678720" behindDoc="0" locked="0" layoutInCell="1" allowOverlap="1">
                  <wp:simplePos x="0" y="0"/>
                  <wp:positionH relativeFrom="column">
                    <wp:posOffset>1075055</wp:posOffset>
                  </wp:positionH>
                  <wp:positionV relativeFrom="paragraph">
                    <wp:posOffset>88900</wp:posOffset>
                  </wp:positionV>
                  <wp:extent cx="785495" cy="1673860"/>
                  <wp:effectExtent l="0" t="0" r="14605" b="2540"/>
                  <wp:wrapTopAndBottom/>
                  <wp:docPr id="20" name="图片 20" descr="c27e01c0b7c5680df16f5a911f15d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27e01c0b7c5680df16f5a911f15d598"/>
                          <pic:cNvPicPr>
                            <a:picLocks noChangeAspect="1"/>
                          </pic:cNvPicPr>
                        </pic:nvPicPr>
                        <pic:blipFill>
                          <a:blip r:embed="rId23"/>
                          <a:stretch>
                            <a:fillRect/>
                          </a:stretch>
                        </pic:blipFill>
                        <pic:spPr>
                          <a:xfrm>
                            <a:off x="0" y="0"/>
                            <a:ext cx="785495" cy="1673860"/>
                          </a:xfrm>
                          <a:prstGeom prst="rect">
                            <a:avLst/>
                          </a:prstGeom>
                        </pic:spPr>
                      </pic:pic>
                    </a:graphicData>
                  </a:graphic>
                </wp:anchor>
              </w:drawing>
            </w:r>
            <w:r>
              <w:rPr>
                <w:rFonts w:hint="eastAsia" w:eastAsia="仿宋_GB2312"/>
                <w:spacing w:val="0"/>
                <w:sz w:val="28"/>
                <w:szCs w:val="28"/>
              </w:rPr>
              <w:t>株行距示意图</w:t>
            </w:r>
          </w:p>
        </w:tc>
      </w:tr>
    </w:tbl>
    <w:p w14:paraId="25EA5247">
      <w:pPr>
        <w:pStyle w:val="15"/>
        <w:numPr>
          <w:ilvl w:val="0"/>
          <w:numId w:val="0"/>
        </w:numPr>
        <w:rPr>
          <w:rFonts w:hint="eastAsia" w:ascii="仿宋_GB2312" w:eastAsia="仿宋_GB2312"/>
          <w:b/>
          <w:bCs/>
          <w:sz w:val="32"/>
          <w:szCs w:val="32"/>
          <w:lang w:eastAsia="zh-CN"/>
        </w:rPr>
      </w:pPr>
    </w:p>
    <w:p w14:paraId="438A76F2">
      <w:pPr>
        <w:pStyle w:val="15"/>
        <w:numPr>
          <w:ilvl w:val="0"/>
          <w:numId w:val="0"/>
        </w:numPr>
        <w:ind w:firstLine="640" w:firstLineChars="200"/>
        <w:rPr>
          <w:rFonts w:hint="eastAsia" w:eastAsia="仿宋_GB2312"/>
        </w:rPr>
      </w:pPr>
      <w:r>
        <w:rPr>
          <w:rFonts w:hint="eastAsia" w:eastAsia="仿宋_GB2312"/>
        </w:rPr>
        <w:t>西林雨季集中在 6-8 月，若雨季开挖，雨水会导致穴内积水、土壤板结（黏性土壤尤其明显），后续定植后根系易缺氧腐烂；10 月 - 次年 5 月为旱季，土壤干燥疏松，开挖难度低，且能提前让穴壁土壤 “风化”（改善结构，增加透气性），为定植预留缓冲期。咖啡幼苗（50</w:t>
      </w:r>
      <w:r>
        <w:rPr>
          <w:rFonts w:hint="eastAsia" w:eastAsia="仿宋_GB2312"/>
          <w:lang w:eastAsia="zh-CN"/>
        </w:rPr>
        <w:t>～</w:t>
      </w:r>
      <w:r>
        <w:rPr>
          <w:rFonts w:hint="eastAsia" w:eastAsia="仿宋_GB2312"/>
        </w:rPr>
        <w:t>60cm 高）根系展开直径约 30</w:t>
      </w:r>
      <w:r>
        <w:rPr>
          <w:rFonts w:hint="eastAsia" w:eastAsia="仿宋_GB2312"/>
          <w:lang w:eastAsia="zh-CN"/>
        </w:rPr>
        <w:t>～</w:t>
      </w:r>
      <w:r>
        <w:rPr>
          <w:rFonts w:hint="eastAsia" w:eastAsia="仿宋_GB2312"/>
        </w:rPr>
        <w:t>40cm，此规格可确保根系有足够空间舒展（避免盘曲），同时 50cm 深度能接触到深层湿润土壤（旱季表层土易干，深层土保水更好），40cm 底宽可防止穴壁坍塌，保障根系生长环境稳定。表土（0-20cm）富含有机质（3%</w:t>
      </w:r>
      <w:r>
        <w:rPr>
          <w:rFonts w:hint="eastAsia" w:eastAsia="仿宋_GB2312"/>
          <w:lang w:eastAsia="zh-CN"/>
        </w:rPr>
        <w:t>～</w:t>
      </w:r>
      <w:r>
        <w:rPr>
          <w:rFonts w:hint="eastAsia" w:eastAsia="仿宋_GB2312"/>
        </w:rPr>
        <w:t>5%）、有益微生物（如菌根真菌），是根系优先接触的 “优质土壤”；底土（20cm 以下）贫瘠（有机质＜1%）、结构紧实。分开堆放是为了后续回填时 “先表土后底土”，让根系直接扎根肥沃表土，快速吸收养分；坡地将表土放 “上侧”，可避免雨水冲刷导致表土流失。腐熟农家肥需与土壤充分混合后 “活化”（微生物分解释放养分），提前半个月施肥可避免刚施肥就定植导致 “肥害”（未活化的肥料浓度过高，灼伤新根），同时让土壤与肥料融合，形成 “养分缓冲层”。磷肥（高含量 P₂O₅）：咖啡幼苗期（定植 1-6 个月）核心需求是 “促根”，磷是根系细胞分裂、须根萌发的关键元素（缺磷会导致根系短粗、侧根少，抗干旱能力弱），12%</w:t>
      </w:r>
      <w:r>
        <w:rPr>
          <w:rFonts w:hint="eastAsia" w:eastAsia="仿宋_GB2312"/>
          <w:lang w:eastAsia="zh-CN"/>
        </w:rPr>
        <w:t>～</w:t>
      </w:r>
      <w:r>
        <w:rPr>
          <w:rFonts w:hint="eastAsia" w:eastAsia="仿宋_GB2312"/>
        </w:rPr>
        <w:t>18% 的 P₂O₅含量可快速满足根系发育需求。</w:t>
      </w:r>
    </w:p>
    <w:p w14:paraId="28908FFB">
      <w:pPr>
        <w:pStyle w:val="15"/>
        <w:numPr>
          <w:ilvl w:val="0"/>
          <w:numId w:val="0"/>
        </w:numPr>
        <w:ind w:firstLine="640" w:firstLineChars="200"/>
        <w:jc w:val="center"/>
        <w:rPr>
          <w:rFonts w:hint="eastAsia" w:eastAsia="仿宋_GB2312"/>
        </w:rPr>
      </w:pPr>
      <w:r>
        <w:rPr>
          <w:rFonts w:hint="eastAsia" w:eastAsia="仿宋_GB2312"/>
        </w:rPr>
        <w:t>不同定植穴情况对咖啡生长的影响</w:t>
      </w:r>
    </w:p>
    <w:tbl>
      <w:tblPr>
        <w:tblW w:w="0" w:type="auto"/>
        <w:tblInd w:w="0" w:type="dxa"/>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2316"/>
        <w:gridCol w:w="2269"/>
        <w:gridCol w:w="1920"/>
        <w:gridCol w:w="2127"/>
      </w:tblGrid>
      <w:tr w14:paraId="31051F74">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rPr>
          <w:tblHeader/>
        </w:trPr>
        <w:tc>
          <w:tcPr>
            <w:tcW w:w="0" w:type="auto"/>
            <w:tcBorders>
              <w:top w:val="nil"/>
              <w:left w:val="nil"/>
              <w:bottom w:val="nil"/>
            </w:tcBorders>
            <w:shd w:val="clear" w:color="auto" w:fill="FFFFFF"/>
            <w:vAlign w:val="center"/>
          </w:tcPr>
          <w:p w14:paraId="6567F55D">
            <w:pPr>
              <w:keepNext w:val="0"/>
              <w:keepLines w:val="0"/>
              <w:widowControl/>
              <w:suppressLineNumbers w:val="0"/>
              <w:spacing w:before="0" w:beforeAutospacing="0" w:after="0" w:afterAutospacing="0"/>
              <w:ind w:left="0" w:right="0" w:firstLine="0"/>
              <w:jc w:val="center"/>
              <w:rPr>
                <w:rFonts w:ascii="Segoe UI" w:hAnsi="Segoe UI" w:eastAsia="Segoe UI" w:cs="Segoe UI"/>
                <w:b/>
                <w:bCs/>
                <w:i w:val="0"/>
                <w:iCs w:val="0"/>
                <w:caps w:val="0"/>
                <w:color w:val="000000"/>
                <w:spacing w:val="0"/>
                <w:sz w:val="24"/>
                <w:szCs w:val="24"/>
              </w:rPr>
            </w:pPr>
            <w:r>
              <w:rPr>
                <w:rFonts w:hint="default" w:ascii="Segoe UI" w:hAnsi="Segoe UI" w:eastAsia="Segoe UI" w:cs="Segoe UI"/>
                <w:b/>
                <w:bCs/>
                <w:i w:val="0"/>
                <w:iCs w:val="0"/>
                <w:caps w:val="0"/>
                <w:color w:val="000000"/>
                <w:spacing w:val="0"/>
                <w:kern w:val="0"/>
                <w:sz w:val="24"/>
                <w:szCs w:val="24"/>
                <w:bdr w:val="none" w:color="auto" w:sz="0" w:space="0"/>
                <w:lang w:val="en-US" w:eastAsia="zh-CN" w:bidi="ar"/>
              </w:rPr>
              <w:t>定植穴情况</w:t>
            </w:r>
          </w:p>
        </w:tc>
        <w:tc>
          <w:tcPr>
            <w:tcW w:w="0" w:type="auto"/>
            <w:tcBorders>
              <w:top w:val="nil"/>
              <w:left w:val="nil"/>
              <w:bottom w:val="nil"/>
            </w:tcBorders>
            <w:shd w:val="clear" w:color="auto" w:fill="FFFFFF"/>
            <w:vAlign w:val="center"/>
          </w:tcPr>
          <w:p w14:paraId="1B717B81">
            <w:pPr>
              <w:keepNext w:val="0"/>
              <w:keepLines w:val="0"/>
              <w:widowControl/>
              <w:suppressLineNumbers w:val="0"/>
              <w:spacing w:before="0" w:beforeAutospacing="0" w:after="0" w:afterAutospacing="0"/>
              <w:ind w:left="0" w:right="0" w:firstLine="0"/>
              <w:jc w:val="center"/>
              <w:rPr>
                <w:rFonts w:hint="default" w:ascii="Segoe UI" w:hAnsi="Segoe UI" w:eastAsia="Segoe UI" w:cs="Segoe UI"/>
                <w:b/>
                <w:bCs/>
                <w:i w:val="0"/>
                <w:iCs w:val="0"/>
                <w:caps w:val="0"/>
                <w:color w:val="000000"/>
                <w:spacing w:val="0"/>
                <w:sz w:val="24"/>
                <w:szCs w:val="24"/>
              </w:rPr>
            </w:pPr>
            <w:r>
              <w:rPr>
                <w:rFonts w:hint="default" w:ascii="Segoe UI" w:hAnsi="Segoe UI" w:eastAsia="Segoe UI" w:cs="Segoe UI"/>
                <w:b/>
                <w:bCs/>
                <w:i w:val="0"/>
                <w:iCs w:val="0"/>
                <w:caps w:val="0"/>
                <w:color w:val="000000"/>
                <w:spacing w:val="0"/>
                <w:kern w:val="0"/>
                <w:sz w:val="24"/>
                <w:szCs w:val="24"/>
                <w:bdr w:val="none" w:color="auto" w:sz="0" w:space="0"/>
                <w:lang w:val="en-US" w:eastAsia="zh-CN" w:bidi="ar"/>
              </w:rPr>
              <w:t>根系生长状态</w:t>
            </w:r>
          </w:p>
        </w:tc>
        <w:tc>
          <w:tcPr>
            <w:tcW w:w="0" w:type="auto"/>
            <w:tcBorders>
              <w:top w:val="nil"/>
              <w:left w:val="nil"/>
              <w:bottom w:val="nil"/>
            </w:tcBorders>
            <w:shd w:val="clear" w:color="auto" w:fill="FFFFFF"/>
            <w:vAlign w:val="center"/>
          </w:tcPr>
          <w:p w14:paraId="7BF62F12">
            <w:pPr>
              <w:keepNext w:val="0"/>
              <w:keepLines w:val="0"/>
              <w:widowControl/>
              <w:suppressLineNumbers w:val="0"/>
              <w:spacing w:before="0" w:beforeAutospacing="0" w:after="0" w:afterAutospacing="0"/>
              <w:ind w:left="0" w:right="0" w:firstLine="0"/>
              <w:jc w:val="center"/>
              <w:rPr>
                <w:rFonts w:hint="default" w:ascii="Segoe UI" w:hAnsi="Segoe UI" w:eastAsia="Segoe UI" w:cs="Segoe UI"/>
                <w:b/>
                <w:bCs/>
                <w:i w:val="0"/>
                <w:iCs w:val="0"/>
                <w:caps w:val="0"/>
                <w:color w:val="000000"/>
                <w:spacing w:val="0"/>
                <w:sz w:val="24"/>
                <w:szCs w:val="24"/>
              </w:rPr>
            </w:pPr>
            <w:r>
              <w:rPr>
                <w:rFonts w:hint="default" w:ascii="Segoe UI" w:hAnsi="Segoe UI" w:eastAsia="Segoe UI" w:cs="Segoe UI"/>
                <w:b/>
                <w:bCs/>
                <w:i w:val="0"/>
                <w:iCs w:val="0"/>
                <w:caps w:val="0"/>
                <w:color w:val="000000"/>
                <w:spacing w:val="0"/>
                <w:kern w:val="0"/>
                <w:sz w:val="24"/>
                <w:szCs w:val="24"/>
                <w:bdr w:val="none" w:color="auto" w:sz="0" w:space="0"/>
                <w:lang w:val="en-US" w:eastAsia="zh-CN" w:bidi="ar"/>
              </w:rPr>
              <w:t>幼苗表现（定植后 3 个月）</w:t>
            </w:r>
          </w:p>
        </w:tc>
        <w:tc>
          <w:tcPr>
            <w:tcW w:w="0" w:type="auto"/>
            <w:tcBorders>
              <w:top w:val="nil"/>
              <w:left w:val="nil"/>
              <w:bottom w:val="nil"/>
              <w:right w:val="nil"/>
            </w:tcBorders>
            <w:shd w:val="clear" w:color="auto" w:fill="FFFFFF"/>
            <w:vAlign w:val="center"/>
          </w:tcPr>
          <w:p w14:paraId="4CF6EA64">
            <w:pPr>
              <w:keepNext w:val="0"/>
              <w:keepLines w:val="0"/>
              <w:widowControl/>
              <w:suppressLineNumbers w:val="0"/>
              <w:spacing w:before="0" w:beforeAutospacing="0" w:after="0" w:afterAutospacing="0"/>
              <w:ind w:left="0" w:right="0" w:firstLine="0"/>
              <w:jc w:val="center"/>
              <w:rPr>
                <w:rFonts w:hint="default" w:ascii="Segoe UI" w:hAnsi="Segoe UI" w:eastAsia="Segoe UI" w:cs="Segoe UI"/>
                <w:b/>
                <w:bCs/>
                <w:i w:val="0"/>
                <w:iCs w:val="0"/>
                <w:caps w:val="0"/>
                <w:color w:val="000000"/>
                <w:spacing w:val="0"/>
                <w:sz w:val="24"/>
                <w:szCs w:val="24"/>
              </w:rPr>
            </w:pPr>
            <w:r>
              <w:rPr>
                <w:rFonts w:hint="default" w:ascii="Segoe UI" w:hAnsi="Segoe UI" w:eastAsia="Segoe UI" w:cs="Segoe UI"/>
                <w:b/>
                <w:bCs/>
                <w:i w:val="0"/>
                <w:iCs w:val="0"/>
                <w:caps w:val="0"/>
                <w:color w:val="000000"/>
                <w:spacing w:val="0"/>
                <w:kern w:val="0"/>
                <w:sz w:val="24"/>
                <w:szCs w:val="24"/>
                <w:bdr w:val="none" w:color="auto" w:sz="0" w:space="0"/>
                <w:lang w:val="en-US" w:eastAsia="zh-CN" w:bidi="ar"/>
              </w:rPr>
              <w:t>后续影响（定植 1 年）</w:t>
            </w:r>
          </w:p>
        </w:tc>
      </w:tr>
      <w:tr w14:paraId="5F9D6CD9">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nil"/>
              <w:left w:val="nil"/>
              <w:bottom w:val="nil"/>
            </w:tcBorders>
            <w:shd w:val="clear" w:color="auto" w:fill="FFFFFF"/>
            <w:vAlign w:val="center"/>
          </w:tcPr>
          <w:p w14:paraId="6B841856">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（60×50×40cm，雨季前挖，表土底土分开）</w:t>
            </w:r>
          </w:p>
        </w:tc>
        <w:tc>
          <w:tcPr>
            <w:tcW w:w="0" w:type="auto"/>
            <w:tcBorders>
              <w:top w:val="nil"/>
              <w:left w:val="nil"/>
              <w:bottom w:val="nil"/>
            </w:tcBorders>
            <w:shd w:val="clear" w:color="auto" w:fill="FFFFFF"/>
            <w:vAlign w:val="center"/>
          </w:tcPr>
          <w:p w14:paraId="72E23190">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根系舒展，须根多（长度＞20cm），扎根深（＞30cm），与表土中微生物共生良好</w:t>
            </w:r>
          </w:p>
        </w:tc>
        <w:tc>
          <w:tcPr>
            <w:tcW w:w="0" w:type="auto"/>
            <w:tcBorders>
              <w:top w:val="nil"/>
              <w:left w:val="nil"/>
              <w:bottom w:val="nil"/>
            </w:tcBorders>
            <w:shd w:val="clear" w:color="auto" w:fill="FFFFFF"/>
            <w:vAlign w:val="center"/>
          </w:tcPr>
          <w:p w14:paraId="2FFB574E">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成活率≥90%，缓苗期短（20 天左右），株高增长 15</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20cm，叶片浓绿</w:t>
            </w:r>
          </w:p>
        </w:tc>
        <w:tc>
          <w:tcPr>
            <w:tcW w:w="0" w:type="auto"/>
            <w:tcBorders>
              <w:top w:val="nil"/>
              <w:left w:val="nil"/>
              <w:bottom w:val="nil"/>
              <w:right w:val="nil"/>
            </w:tcBorders>
            <w:shd w:val="clear" w:color="auto" w:fill="FFFFFF"/>
            <w:vAlign w:val="center"/>
          </w:tcPr>
          <w:p w14:paraId="1BEAC3DA">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主干粗壮（直径＞1.5cm），分枝数多（3-5 条），抗干旱能力强</w:t>
            </w:r>
          </w:p>
        </w:tc>
      </w:tr>
      <w:tr w14:paraId="4187614E">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nil"/>
              <w:left w:val="nil"/>
              <w:bottom w:val="nil"/>
            </w:tcBorders>
            <w:shd w:val="clear" w:color="auto" w:fill="FFFFFF"/>
            <w:vAlign w:val="center"/>
          </w:tcPr>
          <w:p w14:paraId="589EFF62">
            <w:pPr>
              <w:keepNext w:val="0"/>
              <w:keepLines w:val="0"/>
              <w:widowControl/>
              <w:suppressLineNumbers w:val="0"/>
              <w:spacing w:before="0" w:beforeAutospacing="0" w:after="0" w:afterAutospacing="0"/>
              <w:ind w:left="0" w:right="0" w:firstLine="0"/>
              <w:jc w:val="center"/>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40×30×20cm</w:t>
            </w:r>
          </w:p>
        </w:tc>
        <w:tc>
          <w:tcPr>
            <w:tcW w:w="0" w:type="auto"/>
            <w:tcBorders>
              <w:top w:val="nil"/>
              <w:left w:val="nil"/>
              <w:bottom w:val="nil"/>
            </w:tcBorders>
            <w:shd w:val="clear" w:color="auto" w:fill="FFFFFF"/>
            <w:vAlign w:val="center"/>
          </w:tcPr>
          <w:p w14:paraId="0FC3B81B">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根系盘曲（“窝根”），须根少（长度＜10cm），扎根浅（＜15cm），易受表层土湿度影响</w:t>
            </w:r>
          </w:p>
        </w:tc>
        <w:tc>
          <w:tcPr>
            <w:tcW w:w="0" w:type="auto"/>
            <w:tcBorders>
              <w:top w:val="nil"/>
              <w:left w:val="nil"/>
              <w:bottom w:val="nil"/>
            </w:tcBorders>
            <w:shd w:val="clear" w:color="auto" w:fill="FFFFFF"/>
            <w:vAlign w:val="center"/>
          </w:tcPr>
          <w:p w14:paraId="2E1DE634">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成活率 70%</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80%，缓苗期长（30-40 天），株高增长＜10cm，叶片发黄</w:t>
            </w:r>
          </w:p>
        </w:tc>
        <w:tc>
          <w:tcPr>
            <w:tcW w:w="0" w:type="auto"/>
            <w:tcBorders>
              <w:top w:val="nil"/>
              <w:left w:val="nil"/>
              <w:bottom w:val="nil"/>
              <w:right w:val="nil"/>
            </w:tcBorders>
            <w:shd w:val="clear" w:color="auto" w:fill="FFFFFF"/>
            <w:vAlign w:val="center"/>
          </w:tcPr>
          <w:p w14:paraId="5A927077">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主干细弱（直径＜1cm），分枝少（1-2 条），易受干旱胁迫（叶片萎蔫）</w:t>
            </w:r>
          </w:p>
        </w:tc>
      </w:tr>
      <w:tr w14:paraId="3460CDDE">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nil"/>
              <w:left w:val="nil"/>
              <w:bottom w:val="nil"/>
            </w:tcBorders>
            <w:shd w:val="clear" w:color="auto" w:fill="FFFFFF"/>
            <w:vAlign w:val="center"/>
          </w:tcPr>
          <w:p w14:paraId="1CF7011C">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Style w:val="13"/>
                <w:rFonts w:hint="default" w:ascii="Segoe UI" w:hAnsi="Segoe UI" w:eastAsia="Segoe UI" w:cs="Segoe UI"/>
                <w:i w:val="0"/>
                <w:iCs w:val="0"/>
                <w:caps w:val="0"/>
                <w:color w:val="000000"/>
                <w:spacing w:val="0"/>
                <w:kern w:val="0"/>
                <w:sz w:val="24"/>
                <w:szCs w:val="24"/>
                <w:bdr w:val="single" w:color="auto" w:sz="2" w:space="0"/>
                <w:lang w:val="en-US" w:eastAsia="zh-CN" w:bidi="ar"/>
              </w:rPr>
              <w:t>雨季开挖 / 未风化</w:t>
            </w:r>
          </w:p>
        </w:tc>
        <w:tc>
          <w:tcPr>
            <w:tcW w:w="0" w:type="auto"/>
            <w:tcBorders>
              <w:top w:val="nil"/>
              <w:left w:val="nil"/>
              <w:bottom w:val="nil"/>
            </w:tcBorders>
            <w:shd w:val="clear" w:color="auto" w:fill="FFFFFF"/>
            <w:vAlign w:val="center"/>
          </w:tcPr>
          <w:p w14:paraId="189E02D0">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穴壁板结，土壤黏重，根系缺氧，部分根系腐烂（发黑）</w:t>
            </w:r>
          </w:p>
        </w:tc>
        <w:tc>
          <w:tcPr>
            <w:tcW w:w="0" w:type="auto"/>
            <w:tcBorders>
              <w:top w:val="nil"/>
              <w:left w:val="nil"/>
              <w:bottom w:val="nil"/>
            </w:tcBorders>
            <w:shd w:val="clear" w:color="auto" w:fill="FFFFFF"/>
            <w:vAlign w:val="center"/>
          </w:tcPr>
          <w:p w14:paraId="5BB090AA">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成活率＜60%，幼苗易 “烂根死苗”，存活株生长停滞</w:t>
            </w:r>
          </w:p>
        </w:tc>
        <w:tc>
          <w:tcPr>
            <w:tcW w:w="0" w:type="auto"/>
            <w:tcBorders>
              <w:top w:val="nil"/>
              <w:left w:val="nil"/>
              <w:bottom w:val="nil"/>
              <w:right w:val="nil"/>
            </w:tcBorders>
            <w:shd w:val="clear" w:color="auto" w:fill="FFFFFF"/>
            <w:vAlign w:val="center"/>
          </w:tcPr>
          <w:p w14:paraId="71CCDE9F">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存活株根系受损，后续结果期推迟 1-2 年</w:t>
            </w:r>
          </w:p>
        </w:tc>
      </w:tr>
      <w:tr w14:paraId="199EF9A9">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nil"/>
              <w:left w:val="nil"/>
              <w:bottom w:val="nil"/>
            </w:tcBorders>
            <w:shd w:val="clear" w:color="auto" w:fill="FFFFFF"/>
            <w:vAlign w:val="center"/>
          </w:tcPr>
          <w:p w14:paraId="02DA78C6">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Style w:val="13"/>
                <w:rFonts w:hint="default" w:ascii="Segoe UI" w:hAnsi="Segoe UI" w:eastAsia="Segoe UI" w:cs="Segoe UI"/>
                <w:i w:val="0"/>
                <w:iCs w:val="0"/>
                <w:caps w:val="0"/>
                <w:color w:val="000000"/>
                <w:spacing w:val="0"/>
                <w:kern w:val="0"/>
                <w:sz w:val="24"/>
                <w:szCs w:val="24"/>
                <w:bdr w:val="single" w:color="auto" w:sz="2" w:space="0"/>
                <w:lang w:val="en-US" w:eastAsia="zh-CN" w:bidi="ar"/>
              </w:rPr>
              <w:t>表土底土混放</w:t>
            </w:r>
          </w:p>
        </w:tc>
        <w:tc>
          <w:tcPr>
            <w:tcW w:w="0" w:type="auto"/>
            <w:tcBorders>
              <w:top w:val="nil"/>
              <w:left w:val="nil"/>
              <w:bottom w:val="nil"/>
            </w:tcBorders>
            <w:shd w:val="clear" w:color="auto" w:fill="FFFFFF"/>
            <w:vAlign w:val="center"/>
          </w:tcPr>
          <w:p w14:paraId="5EF405EE">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根系先接触贫瘠底土，须根萌发少，与微生物共生差</w:t>
            </w:r>
          </w:p>
        </w:tc>
        <w:tc>
          <w:tcPr>
            <w:tcW w:w="0" w:type="auto"/>
            <w:tcBorders>
              <w:top w:val="nil"/>
              <w:left w:val="nil"/>
              <w:bottom w:val="nil"/>
            </w:tcBorders>
            <w:shd w:val="clear" w:color="auto" w:fill="FFFFFF"/>
            <w:vAlign w:val="center"/>
          </w:tcPr>
          <w:p w14:paraId="28605934">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成活率 80%</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85%，缓苗期长（25-30 天），株高增长 10</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12cm，叶片淡绿</w:t>
            </w:r>
          </w:p>
        </w:tc>
        <w:tc>
          <w:tcPr>
            <w:tcW w:w="0" w:type="auto"/>
            <w:tcBorders>
              <w:top w:val="nil"/>
              <w:left w:val="nil"/>
              <w:bottom w:val="nil"/>
              <w:right w:val="nil"/>
            </w:tcBorders>
            <w:shd w:val="clear" w:color="auto" w:fill="FFFFFF"/>
            <w:vAlign w:val="center"/>
          </w:tcPr>
          <w:p w14:paraId="41017A7A">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主干中等（直径 1</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1.2cm），分枝数 2-3 条，需额外追施氮肥弥补养分不足</w:t>
            </w:r>
          </w:p>
        </w:tc>
      </w:tr>
    </w:tbl>
    <w:p w14:paraId="6D3E8754">
      <w:pPr>
        <w:pStyle w:val="15"/>
        <w:numPr>
          <w:ilvl w:val="0"/>
          <w:numId w:val="0"/>
        </w:numPr>
        <w:ind w:firstLine="640" w:firstLineChars="200"/>
        <w:jc w:val="center"/>
        <w:rPr>
          <w:rFonts w:hint="eastAsia" w:eastAsia="仿宋_GB2312"/>
        </w:rPr>
      </w:pPr>
    </w:p>
    <w:p w14:paraId="7FAB362E">
      <w:pPr>
        <w:pStyle w:val="15"/>
        <w:numPr>
          <w:ilvl w:val="0"/>
          <w:numId w:val="0"/>
        </w:numPr>
        <w:ind w:firstLine="640" w:firstLineChars="200"/>
        <w:jc w:val="center"/>
        <w:rPr>
          <w:rFonts w:hint="eastAsia" w:ascii="Times New Roman" w:eastAsia="仿宋_GB2312"/>
          <w:b w:val="0"/>
          <w:bCs w:val="0"/>
          <w:sz w:val="32"/>
          <w:szCs w:val="32"/>
          <w:lang w:eastAsia="zh-CN"/>
        </w:rPr>
      </w:pPr>
      <w:r>
        <w:rPr>
          <w:rFonts w:hint="eastAsia" w:eastAsia="仿宋_GB2312"/>
        </w:rPr>
        <w:t>不同施肥情况对咖啡生长的影响</w:t>
      </w:r>
    </w:p>
    <w:tbl>
      <w:tblPr>
        <w:tblW w:w="0" w:type="auto"/>
        <w:tblInd w:w="0" w:type="dxa"/>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832"/>
        <w:gridCol w:w="1977"/>
        <w:gridCol w:w="2554"/>
        <w:gridCol w:w="2269"/>
      </w:tblGrid>
      <w:tr w14:paraId="29A9703D">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rPr>
          <w:tblHeader/>
        </w:trPr>
        <w:tc>
          <w:tcPr>
            <w:tcW w:w="0" w:type="auto"/>
            <w:tcBorders>
              <w:top w:val="nil"/>
              <w:left w:val="nil"/>
              <w:bottom w:val="nil"/>
            </w:tcBorders>
            <w:shd w:val="clear" w:color="auto" w:fill="FFFFFF"/>
            <w:vAlign w:val="center"/>
          </w:tcPr>
          <w:p w14:paraId="2B054E8E">
            <w:pPr>
              <w:keepNext w:val="0"/>
              <w:keepLines w:val="0"/>
              <w:widowControl/>
              <w:suppressLineNumbers w:val="0"/>
              <w:spacing w:before="0" w:beforeAutospacing="0" w:after="0" w:afterAutospacing="0"/>
              <w:ind w:left="0" w:right="0" w:firstLine="0"/>
              <w:jc w:val="center"/>
              <w:rPr>
                <w:rFonts w:ascii="Segoe UI" w:hAnsi="Segoe UI" w:eastAsia="Segoe UI" w:cs="Segoe UI"/>
                <w:b/>
                <w:bCs/>
                <w:i w:val="0"/>
                <w:iCs w:val="0"/>
                <w:caps w:val="0"/>
                <w:color w:val="000000"/>
                <w:spacing w:val="0"/>
                <w:sz w:val="24"/>
                <w:szCs w:val="24"/>
              </w:rPr>
            </w:pPr>
            <w:r>
              <w:rPr>
                <w:rFonts w:hint="default" w:ascii="Segoe UI" w:hAnsi="Segoe UI" w:eastAsia="Segoe UI" w:cs="Segoe UI"/>
                <w:b/>
                <w:bCs/>
                <w:i w:val="0"/>
                <w:iCs w:val="0"/>
                <w:caps w:val="0"/>
                <w:color w:val="000000"/>
                <w:spacing w:val="0"/>
                <w:kern w:val="0"/>
                <w:sz w:val="24"/>
                <w:szCs w:val="24"/>
                <w:bdr w:val="none" w:color="auto" w:sz="0" w:space="0"/>
                <w:lang w:val="en-US" w:eastAsia="zh-CN" w:bidi="ar"/>
              </w:rPr>
              <w:t>施肥情况</w:t>
            </w:r>
          </w:p>
        </w:tc>
        <w:tc>
          <w:tcPr>
            <w:tcW w:w="0" w:type="auto"/>
            <w:tcBorders>
              <w:top w:val="nil"/>
              <w:left w:val="nil"/>
              <w:bottom w:val="nil"/>
            </w:tcBorders>
            <w:shd w:val="clear" w:color="auto" w:fill="FFFFFF"/>
            <w:vAlign w:val="center"/>
          </w:tcPr>
          <w:p w14:paraId="11F38E4F">
            <w:pPr>
              <w:keepNext w:val="0"/>
              <w:keepLines w:val="0"/>
              <w:widowControl/>
              <w:suppressLineNumbers w:val="0"/>
              <w:spacing w:before="0" w:beforeAutospacing="0" w:after="0" w:afterAutospacing="0"/>
              <w:ind w:left="0" w:right="0" w:firstLine="0"/>
              <w:jc w:val="center"/>
              <w:rPr>
                <w:rFonts w:hint="default" w:ascii="Segoe UI" w:hAnsi="Segoe UI" w:eastAsia="Segoe UI" w:cs="Segoe UI"/>
                <w:b/>
                <w:bCs/>
                <w:i w:val="0"/>
                <w:iCs w:val="0"/>
                <w:caps w:val="0"/>
                <w:color w:val="000000"/>
                <w:spacing w:val="0"/>
                <w:sz w:val="24"/>
                <w:szCs w:val="24"/>
              </w:rPr>
            </w:pPr>
            <w:r>
              <w:rPr>
                <w:rFonts w:hint="default" w:ascii="Segoe UI" w:hAnsi="Segoe UI" w:eastAsia="Segoe UI" w:cs="Segoe UI"/>
                <w:b/>
                <w:bCs/>
                <w:i w:val="0"/>
                <w:iCs w:val="0"/>
                <w:caps w:val="0"/>
                <w:color w:val="000000"/>
                <w:spacing w:val="0"/>
                <w:kern w:val="0"/>
                <w:sz w:val="24"/>
                <w:szCs w:val="24"/>
                <w:bdr w:val="none" w:color="auto" w:sz="0" w:space="0"/>
                <w:lang w:val="en-US" w:eastAsia="zh-CN" w:bidi="ar"/>
              </w:rPr>
              <w:t>养分供给状态</w:t>
            </w:r>
          </w:p>
        </w:tc>
        <w:tc>
          <w:tcPr>
            <w:tcW w:w="0" w:type="auto"/>
            <w:tcBorders>
              <w:top w:val="nil"/>
              <w:left w:val="nil"/>
              <w:bottom w:val="nil"/>
            </w:tcBorders>
            <w:shd w:val="clear" w:color="auto" w:fill="FFFFFF"/>
            <w:vAlign w:val="center"/>
          </w:tcPr>
          <w:p w14:paraId="6F4AD2D4">
            <w:pPr>
              <w:keepNext w:val="0"/>
              <w:keepLines w:val="0"/>
              <w:widowControl/>
              <w:suppressLineNumbers w:val="0"/>
              <w:spacing w:before="0" w:beforeAutospacing="0" w:after="0" w:afterAutospacing="0"/>
              <w:ind w:left="0" w:right="0" w:firstLine="0"/>
              <w:jc w:val="center"/>
              <w:rPr>
                <w:rFonts w:hint="default" w:ascii="Segoe UI" w:hAnsi="Segoe UI" w:eastAsia="Segoe UI" w:cs="Segoe UI"/>
                <w:b/>
                <w:bCs/>
                <w:i w:val="0"/>
                <w:iCs w:val="0"/>
                <w:caps w:val="0"/>
                <w:color w:val="000000"/>
                <w:spacing w:val="0"/>
                <w:sz w:val="24"/>
                <w:szCs w:val="24"/>
              </w:rPr>
            </w:pPr>
            <w:r>
              <w:rPr>
                <w:rFonts w:hint="default" w:ascii="Segoe UI" w:hAnsi="Segoe UI" w:eastAsia="Segoe UI" w:cs="Segoe UI"/>
                <w:b/>
                <w:bCs/>
                <w:i w:val="0"/>
                <w:iCs w:val="0"/>
                <w:caps w:val="0"/>
                <w:color w:val="000000"/>
                <w:spacing w:val="0"/>
                <w:kern w:val="0"/>
                <w:sz w:val="24"/>
                <w:szCs w:val="24"/>
                <w:bdr w:val="none" w:color="auto" w:sz="0" w:space="0"/>
                <w:lang w:val="en-US" w:eastAsia="zh-CN" w:bidi="ar"/>
              </w:rPr>
              <w:t>幼苗表现（定植后 3 个月）</w:t>
            </w:r>
          </w:p>
        </w:tc>
        <w:tc>
          <w:tcPr>
            <w:tcW w:w="0" w:type="auto"/>
            <w:tcBorders>
              <w:top w:val="nil"/>
              <w:left w:val="nil"/>
              <w:bottom w:val="nil"/>
              <w:right w:val="nil"/>
            </w:tcBorders>
            <w:shd w:val="clear" w:color="auto" w:fill="FFFFFF"/>
            <w:vAlign w:val="center"/>
          </w:tcPr>
          <w:p w14:paraId="3EC8489C">
            <w:pPr>
              <w:keepNext w:val="0"/>
              <w:keepLines w:val="0"/>
              <w:widowControl/>
              <w:suppressLineNumbers w:val="0"/>
              <w:spacing w:before="0" w:beforeAutospacing="0" w:after="0" w:afterAutospacing="0"/>
              <w:ind w:left="0" w:right="0" w:firstLine="0"/>
              <w:jc w:val="center"/>
              <w:rPr>
                <w:rFonts w:hint="default" w:ascii="Segoe UI" w:hAnsi="Segoe UI" w:eastAsia="Segoe UI" w:cs="Segoe UI"/>
                <w:b/>
                <w:bCs/>
                <w:i w:val="0"/>
                <w:iCs w:val="0"/>
                <w:caps w:val="0"/>
                <w:color w:val="000000"/>
                <w:spacing w:val="0"/>
                <w:sz w:val="24"/>
                <w:szCs w:val="24"/>
              </w:rPr>
            </w:pPr>
            <w:r>
              <w:rPr>
                <w:rFonts w:hint="default" w:ascii="Segoe UI" w:hAnsi="Segoe UI" w:eastAsia="Segoe UI" w:cs="Segoe UI"/>
                <w:b/>
                <w:bCs/>
                <w:i w:val="0"/>
                <w:iCs w:val="0"/>
                <w:caps w:val="0"/>
                <w:color w:val="000000"/>
                <w:spacing w:val="0"/>
                <w:kern w:val="0"/>
                <w:sz w:val="24"/>
                <w:szCs w:val="24"/>
                <w:bdr w:val="none" w:color="auto" w:sz="0" w:space="0"/>
                <w:lang w:val="en-US" w:eastAsia="zh-CN" w:bidi="ar"/>
              </w:rPr>
              <w:t>后续影响（定植 1 年）</w:t>
            </w:r>
          </w:p>
        </w:tc>
      </w:tr>
      <w:tr w14:paraId="07CE71FD">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0" w:type="auto"/>
            <w:tcBorders>
              <w:top w:val="nil"/>
              <w:left w:val="nil"/>
              <w:bottom w:val="nil"/>
            </w:tcBorders>
            <w:shd w:val="clear" w:color="auto" w:fill="FFFFFF"/>
            <w:vAlign w:val="center"/>
          </w:tcPr>
          <w:p w14:paraId="7B226D71">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（腐熟农家肥 1</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1.5kg + 磷肥 0.1</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0.2kg，提前半月施）</w:t>
            </w:r>
          </w:p>
        </w:tc>
        <w:tc>
          <w:tcPr>
            <w:tcW w:w="0" w:type="auto"/>
            <w:tcBorders>
              <w:top w:val="nil"/>
              <w:left w:val="nil"/>
              <w:bottom w:val="nil"/>
            </w:tcBorders>
            <w:shd w:val="clear" w:color="auto" w:fill="FFFFFF"/>
            <w:vAlign w:val="center"/>
          </w:tcPr>
          <w:p w14:paraId="1226A759">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有机质缓慢释放，磷含量充足，土壤疏松，根系吸收效率高</w:t>
            </w:r>
          </w:p>
        </w:tc>
        <w:tc>
          <w:tcPr>
            <w:tcW w:w="0" w:type="auto"/>
            <w:tcBorders>
              <w:top w:val="nil"/>
              <w:left w:val="nil"/>
              <w:bottom w:val="nil"/>
            </w:tcBorders>
            <w:shd w:val="clear" w:color="auto" w:fill="FFFFFF"/>
            <w:vAlign w:val="center"/>
          </w:tcPr>
          <w:p w14:paraId="1457B10D">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根系活力强（新根白色、有光泽），株高增长 18</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22cm，叶片厚（＞0.3mm）</w:t>
            </w:r>
          </w:p>
        </w:tc>
        <w:tc>
          <w:tcPr>
            <w:tcW w:w="0" w:type="auto"/>
            <w:tcBorders>
              <w:top w:val="nil"/>
              <w:left w:val="nil"/>
              <w:bottom w:val="nil"/>
              <w:right w:val="nil"/>
            </w:tcBorders>
            <w:shd w:val="clear" w:color="auto" w:fill="FFFFFF"/>
            <w:vAlign w:val="center"/>
          </w:tcPr>
          <w:p w14:paraId="2B99CCE9">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主干粗壮，分枝健壮，次年可形成少量结果枝（提前进入初产期）</w:t>
            </w:r>
          </w:p>
        </w:tc>
      </w:tr>
      <w:tr w14:paraId="5D9CF322">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0" w:type="auto"/>
            <w:tcBorders>
              <w:top w:val="nil"/>
              <w:left w:val="nil"/>
              <w:bottom w:val="nil"/>
            </w:tcBorders>
            <w:shd w:val="clear" w:color="auto" w:fill="FFFFFF"/>
            <w:vAlign w:val="center"/>
          </w:tcPr>
          <w:p w14:paraId="20543A25">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Style w:val="13"/>
                <w:rFonts w:hint="default" w:ascii="Segoe UI" w:hAnsi="Segoe UI" w:eastAsia="Segoe UI" w:cs="Segoe UI"/>
                <w:i w:val="0"/>
                <w:iCs w:val="0"/>
                <w:caps w:val="0"/>
                <w:color w:val="000000"/>
                <w:spacing w:val="0"/>
                <w:kern w:val="0"/>
                <w:sz w:val="24"/>
                <w:szCs w:val="24"/>
                <w:bdr w:val="single" w:color="auto" w:sz="2" w:space="0"/>
                <w:lang w:val="en-US" w:eastAsia="zh-CN" w:bidi="ar"/>
              </w:rPr>
              <w:t>用未腐熟农家肥</w:t>
            </w:r>
          </w:p>
        </w:tc>
        <w:tc>
          <w:tcPr>
            <w:tcW w:w="0" w:type="auto"/>
            <w:tcBorders>
              <w:top w:val="nil"/>
              <w:left w:val="nil"/>
              <w:bottom w:val="nil"/>
            </w:tcBorders>
            <w:shd w:val="clear" w:color="auto" w:fill="FFFFFF"/>
            <w:vAlign w:val="center"/>
          </w:tcPr>
          <w:p w14:paraId="09BEC277">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农家肥发酵放热（穴内温度＞30℃），释放氨气，灼伤新根</w:t>
            </w:r>
          </w:p>
        </w:tc>
        <w:tc>
          <w:tcPr>
            <w:tcW w:w="0" w:type="auto"/>
            <w:tcBorders>
              <w:top w:val="nil"/>
              <w:left w:val="nil"/>
              <w:bottom w:val="nil"/>
            </w:tcBorders>
            <w:shd w:val="clear" w:color="auto" w:fill="FFFFFF"/>
            <w:vAlign w:val="center"/>
          </w:tcPr>
          <w:p w14:paraId="377DE8DD">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根系发黑腐烂，叶片从边缘开始枯萎，成活率＜50%</w:t>
            </w:r>
          </w:p>
        </w:tc>
        <w:tc>
          <w:tcPr>
            <w:tcW w:w="0" w:type="auto"/>
            <w:tcBorders>
              <w:top w:val="nil"/>
              <w:left w:val="nil"/>
              <w:bottom w:val="nil"/>
              <w:right w:val="nil"/>
            </w:tcBorders>
            <w:shd w:val="clear" w:color="auto" w:fill="FFFFFF"/>
            <w:vAlign w:val="center"/>
          </w:tcPr>
          <w:p w14:paraId="67F43230">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存活株根系长期受损，生长迟缓，易感染根腐病</w:t>
            </w:r>
          </w:p>
        </w:tc>
      </w:tr>
      <w:tr w14:paraId="043E352D">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0" w:type="auto"/>
            <w:tcBorders>
              <w:top w:val="nil"/>
              <w:left w:val="nil"/>
              <w:bottom w:val="nil"/>
            </w:tcBorders>
            <w:shd w:val="clear" w:color="auto" w:fill="FFFFFF"/>
            <w:vAlign w:val="center"/>
          </w:tcPr>
          <w:p w14:paraId="3B122E37">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Style w:val="13"/>
                <w:rFonts w:hint="default" w:ascii="Segoe UI" w:hAnsi="Segoe UI" w:eastAsia="Segoe UI" w:cs="Segoe UI"/>
                <w:i w:val="0"/>
                <w:iCs w:val="0"/>
                <w:caps w:val="0"/>
                <w:color w:val="000000"/>
                <w:spacing w:val="0"/>
                <w:kern w:val="0"/>
                <w:sz w:val="24"/>
                <w:szCs w:val="24"/>
                <w:bdr w:val="single" w:color="auto" w:sz="2" w:space="0"/>
                <w:lang w:val="en-US" w:eastAsia="zh-CN" w:bidi="ar"/>
              </w:rPr>
              <w:t>缺磷肥 / 磷肥含量低（＜10% P₂O₅）</w:t>
            </w:r>
          </w:p>
        </w:tc>
        <w:tc>
          <w:tcPr>
            <w:tcW w:w="0" w:type="auto"/>
            <w:tcBorders>
              <w:top w:val="nil"/>
              <w:left w:val="nil"/>
              <w:bottom w:val="nil"/>
            </w:tcBorders>
            <w:shd w:val="clear" w:color="auto" w:fill="FFFFFF"/>
            <w:vAlign w:val="center"/>
          </w:tcPr>
          <w:p w14:paraId="3A5D6AA7">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根系发育不良（侧根少、短粗），吸收水分 / 养分能力弱</w:t>
            </w:r>
          </w:p>
        </w:tc>
        <w:tc>
          <w:tcPr>
            <w:tcW w:w="0" w:type="auto"/>
            <w:tcBorders>
              <w:top w:val="nil"/>
              <w:left w:val="nil"/>
              <w:bottom w:val="nil"/>
            </w:tcBorders>
            <w:shd w:val="clear" w:color="auto" w:fill="FFFFFF"/>
            <w:vAlign w:val="center"/>
          </w:tcPr>
          <w:p w14:paraId="38FD71FA">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株高增长＜12cm，叶片薄（＜0.2mm），抗干旱能力差（浇水不及时易萎蔫）</w:t>
            </w:r>
          </w:p>
        </w:tc>
        <w:tc>
          <w:tcPr>
            <w:tcW w:w="0" w:type="auto"/>
            <w:tcBorders>
              <w:top w:val="nil"/>
              <w:left w:val="nil"/>
              <w:bottom w:val="nil"/>
              <w:right w:val="nil"/>
            </w:tcBorders>
            <w:shd w:val="clear" w:color="auto" w:fill="FFFFFF"/>
            <w:vAlign w:val="center"/>
          </w:tcPr>
          <w:p w14:paraId="70F32FF2">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主干细弱，分枝少，无法形成结果枝，投产期推迟 1 年以上</w:t>
            </w:r>
          </w:p>
        </w:tc>
      </w:tr>
      <w:tr w14:paraId="5E025367">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0" w:type="auto"/>
            <w:tcBorders>
              <w:top w:val="nil"/>
              <w:left w:val="nil"/>
              <w:bottom w:val="nil"/>
            </w:tcBorders>
            <w:shd w:val="clear" w:color="auto" w:fill="FFFFFF"/>
            <w:vAlign w:val="center"/>
          </w:tcPr>
          <w:p w14:paraId="5D655C03">
            <w:pPr>
              <w:keepNext w:val="0"/>
              <w:keepLines w:val="0"/>
              <w:widowControl/>
              <w:suppressLineNumbers w:val="0"/>
              <w:spacing w:before="0" w:beforeAutospacing="0" w:after="0" w:afterAutospacing="0"/>
              <w:ind w:left="0" w:right="0" w:firstLine="0"/>
              <w:jc w:val="left"/>
              <w:rPr>
                <w:rStyle w:val="13"/>
                <w:rFonts w:hint="default" w:ascii="Segoe UI" w:hAnsi="Segoe UI" w:eastAsia="Segoe UI" w:cs="Segoe UI"/>
                <w:i w:val="0"/>
                <w:iCs w:val="0"/>
                <w:caps w:val="0"/>
                <w:color w:val="000000"/>
                <w:spacing w:val="0"/>
                <w:kern w:val="0"/>
                <w:sz w:val="24"/>
                <w:szCs w:val="24"/>
                <w:bdr w:val="single" w:color="auto" w:sz="2" w:space="0"/>
                <w:lang w:val="en-US" w:eastAsia="zh-CN" w:bidi="ar"/>
              </w:rPr>
            </w:pPr>
            <w:r>
              <w:rPr>
                <w:rStyle w:val="13"/>
                <w:rFonts w:hint="default" w:ascii="Segoe UI" w:hAnsi="Segoe UI" w:eastAsia="Segoe UI" w:cs="Segoe UI"/>
                <w:i w:val="0"/>
                <w:iCs w:val="0"/>
                <w:caps w:val="0"/>
                <w:color w:val="000000"/>
                <w:spacing w:val="0"/>
                <w:kern w:val="0"/>
                <w:sz w:val="24"/>
                <w:szCs w:val="24"/>
                <w:bdr w:val="single" w:color="auto" w:sz="2" w:space="0"/>
                <w:lang w:val="en-US" w:eastAsia="zh-CN" w:bidi="ar"/>
              </w:rPr>
              <w:t>肥料用量过量</w:t>
            </w:r>
          </w:p>
          <w:p w14:paraId="4C3141C0">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农家肥＞2kg + 磷肥＞0.3kg）</w:t>
            </w:r>
          </w:p>
        </w:tc>
        <w:tc>
          <w:tcPr>
            <w:tcW w:w="0" w:type="auto"/>
            <w:tcBorders>
              <w:top w:val="nil"/>
              <w:left w:val="nil"/>
              <w:bottom w:val="nil"/>
            </w:tcBorders>
            <w:shd w:val="clear" w:color="auto" w:fill="FFFFFF"/>
            <w:vAlign w:val="center"/>
          </w:tcPr>
          <w:p w14:paraId="626C34B9">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肥料浓度过高，土壤渗透压大，根系 “失水”（生理性干旱）</w:t>
            </w:r>
          </w:p>
        </w:tc>
        <w:tc>
          <w:tcPr>
            <w:tcW w:w="0" w:type="auto"/>
            <w:tcBorders>
              <w:top w:val="nil"/>
              <w:left w:val="nil"/>
              <w:bottom w:val="nil"/>
            </w:tcBorders>
            <w:shd w:val="clear" w:color="auto" w:fill="FFFFFF"/>
            <w:vAlign w:val="center"/>
          </w:tcPr>
          <w:p w14:paraId="313505C3">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叶片发黄、卷曲，生长停滞，部分幼苗因 “肥害” 死亡，成活率＜70%</w:t>
            </w:r>
          </w:p>
        </w:tc>
        <w:tc>
          <w:tcPr>
            <w:tcW w:w="0" w:type="auto"/>
            <w:tcBorders>
              <w:top w:val="nil"/>
              <w:left w:val="nil"/>
              <w:bottom w:val="nil"/>
              <w:right w:val="nil"/>
            </w:tcBorders>
            <w:shd w:val="clear" w:color="auto" w:fill="FFFFFF"/>
            <w:vAlign w:val="center"/>
          </w:tcPr>
          <w:p w14:paraId="47F628EF">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存活株根系功能衰退，后续需频繁浇水稀释肥料，管理成本增加</w:t>
            </w:r>
          </w:p>
        </w:tc>
      </w:tr>
      <w:tr w14:paraId="6A55FABA">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nil"/>
              <w:left w:val="nil"/>
              <w:bottom w:val="nil"/>
            </w:tcBorders>
            <w:shd w:val="clear" w:color="auto" w:fill="FFFFFF"/>
            <w:vAlign w:val="center"/>
          </w:tcPr>
          <w:p w14:paraId="522C8F28">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未施基肥</w:t>
            </w:r>
          </w:p>
        </w:tc>
        <w:tc>
          <w:tcPr>
            <w:tcW w:w="0" w:type="auto"/>
            <w:tcBorders>
              <w:top w:val="nil"/>
              <w:left w:val="nil"/>
              <w:bottom w:val="nil"/>
            </w:tcBorders>
            <w:shd w:val="clear" w:color="auto" w:fill="FFFFFF"/>
            <w:vAlign w:val="center"/>
          </w:tcPr>
          <w:p w14:paraId="7961B1C9">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土壤贫瘠，有机质不足，根系缺乏 “启动养分”</w:t>
            </w:r>
          </w:p>
        </w:tc>
        <w:tc>
          <w:tcPr>
            <w:tcW w:w="0" w:type="auto"/>
            <w:tcBorders>
              <w:top w:val="nil"/>
              <w:left w:val="nil"/>
              <w:bottom w:val="nil"/>
            </w:tcBorders>
            <w:shd w:val="clear" w:color="auto" w:fill="FFFFFF"/>
            <w:vAlign w:val="center"/>
          </w:tcPr>
          <w:p w14:paraId="00A51681">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缓苗期长（40-50 天），株高增长＜8cm，叶片发黄，易受杂草竞争影响</w:t>
            </w:r>
          </w:p>
        </w:tc>
        <w:tc>
          <w:tcPr>
            <w:tcW w:w="0" w:type="auto"/>
            <w:tcBorders>
              <w:top w:val="nil"/>
              <w:left w:val="nil"/>
              <w:bottom w:val="nil"/>
              <w:right w:val="nil"/>
            </w:tcBorders>
            <w:shd w:val="clear" w:color="auto" w:fill="FFFFFF"/>
            <w:vAlign w:val="center"/>
          </w:tcPr>
          <w:p w14:paraId="097166B0">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主干细弱，分枝少，需额外多次追肥（增加 30% 以上肥料成本），投产期推迟 2 年</w:t>
            </w:r>
          </w:p>
        </w:tc>
      </w:tr>
    </w:tbl>
    <w:p w14:paraId="249A53D7">
      <w:pPr>
        <w:pStyle w:val="15"/>
        <w:numPr>
          <w:ilvl w:val="0"/>
          <w:numId w:val="0"/>
        </w:numPr>
        <w:rPr>
          <w:rFonts w:hint="eastAsia" w:ascii="仿宋_GB2312" w:eastAsia="仿宋_GB2312"/>
          <w:b/>
          <w:bCs/>
          <w:sz w:val="32"/>
          <w:szCs w:val="32"/>
          <w:lang w:eastAsia="zh-C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424"/>
        <w:gridCol w:w="4424"/>
      </w:tblGrid>
      <w:tr w14:paraId="60E2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424" w:type="dxa"/>
          </w:tcPr>
          <w:p w14:paraId="74BE164A">
            <w:pPr>
              <w:pStyle w:val="15"/>
              <w:numPr>
                <w:ilvl w:val="0"/>
                <w:numId w:val="0"/>
              </w:numPr>
              <w:jc w:val="center"/>
              <w:rPr>
                <w:rFonts w:hint="eastAsia" w:ascii="仿宋_GB2312" w:eastAsia="仿宋_GB2312"/>
                <w:b/>
                <w:bCs/>
                <w:sz w:val="32"/>
                <w:szCs w:val="32"/>
                <w:vertAlign w:val="baseline"/>
                <w:lang w:eastAsia="zh-CN"/>
              </w:rPr>
            </w:pPr>
            <w:r>
              <w:rPr>
                <w:rFonts w:ascii="Segoe UI" w:hAnsi="Segoe UI" w:eastAsia="Segoe UI" w:cs="Segoe UI"/>
                <w:color w:val="000000"/>
                <w:spacing w:val="0"/>
                <w:kern w:val="0"/>
                <w:sz w:val="24"/>
                <w:szCs w:val="24"/>
                <w:lang w:bidi="ar"/>
              </w:rPr>
              <w:t>挖机开沟实景</w:t>
            </w:r>
            <w:r>
              <w:drawing>
                <wp:anchor distT="0" distB="0" distL="0" distR="0" simplePos="0" relativeHeight="251680768" behindDoc="0" locked="0" layoutInCell="1" allowOverlap="1">
                  <wp:simplePos x="0" y="0"/>
                  <wp:positionH relativeFrom="column">
                    <wp:posOffset>226060</wp:posOffset>
                  </wp:positionH>
                  <wp:positionV relativeFrom="paragraph">
                    <wp:posOffset>66040</wp:posOffset>
                  </wp:positionV>
                  <wp:extent cx="2336165" cy="3079750"/>
                  <wp:effectExtent l="0" t="0" r="6985" b="6350"/>
                  <wp:wrapTopAndBottom/>
                  <wp:docPr id="22" name="IM 16"/>
                  <wp:cNvGraphicFramePr/>
                  <a:graphic xmlns:a="http://schemas.openxmlformats.org/drawingml/2006/main">
                    <a:graphicData uri="http://schemas.openxmlformats.org/drawingml/2006/picture">
                      <pic:pic xmlns:pic="http://schemas.openxmlformats.org/drawingml/2006/picture">
                        <pic:nvPicPr>
                          <pic:cNvPr id="22" name="IM 16"/>
                          <pic:cNvPicPr/>
                        </pic:nvPicPr>
                        <pic:blipFill>
                          <a:blip r:embed="rId24"/>
                          <a:stretch>
                            <a:fillRect/>
                          </a:stretch>
                        </pic:blipFill>
                        <pic:spPr>
                          <a:xfrm>
                            <a:off x="0" y="0"/>
                            <a:ext cx="2336165" cy="3079750"/>
                          </a:xfrm>
                          <a:prstGeom prst="rect">
                            <a:avLst/>
                          </a:prstGeom>
                        </pic:spPr>
                      </pic:pic>
                    </a:graphicData>
                  </a:graphic>
                </wp:anchor>
              </w:drawing>
            </w:r>
          </w:p>
        </w:tc>
        <w:tc>
          <w:tcPr>
            <w:tcW w:w="4424" w:type="dxa"/>
          </w:tcPr>
          <w:p w14:paraId="2908B3AA">
            <w:pPr>
              <w:pStyle w:val="15"/>
              <w:numPr>
                <w:ilvl w:val="0"/>
                <w:numId w:val="0"/>
              </w:numPr>
              <w:rPr>
                <w:rFonts w:hint="eastAsia" w:ascii="仿宋_GB2312" w:eastAsia="仿宋_GB2312"/>
                <w:b/>
                <w:bCs/>
                <w:sz w:val="32"/>
                <w:szCs w:val="32"/>
                <w:vertAlign w:val="baseline"/>
                <w:lang w:eastAsia="zh-CN"/>
              </w:rPr>
            </w:pPr>
            <w:r>
              <w:rPr>
                <w:rFonts w:hint="default" w:ascii="Segoe UI" w:hAnsi="Segoe UI" w:eastAsia="Segoe UI" w:cs="Segoe UI"/>
                <w:b w:val="0"/>
                <w:bCs w:val="0"/>
                <w:color w:val="000000"/>
                <w:kern w:val="0"/>
                <w:sz w:val="24"/>
                <w:szCs w:val="24"/>
                <w:vertAlign w:val="baseline"/>
                <w:lang w:eastAsia="zh-CN" w:bidi="ar"/>
              </w:rPr>
              <w:t>开沟示意图（上）、农户挖坑实景（下）</w:t>
            </w:r>
            <w:r>
              <w:rPr>
                <w:position w:val="-116"/>
              </w:rPr>
              <w:drawing>
                <wp:anchor distT="0" distB="0" distL="0" distR="0" simplePos="0" relativeHeight="251681792" behindDoc="0" locked="0" layoutInCell="1" allowOverlap="1">
                  <wp:simplePos x="0" y="0"/>
                  <wp:positionH relativeFrom="column">
                    <wp:posOffset>0</wp:posOffset>
                  </wp:positionH>
                  <wp:positionV relativeFrom="paragraph">
                    <wp:posOffset>2540</wp:posOffset>
                  </wp:positionV>
                  <wp:extent cx="2501900" cy="3696970"/>
                  <wp:effectExtent l="0" t="0" r="12700" b="17780"/>
                  <wp:wrapTopAndBottom/>
                  <wp:docPr id="23" name="IM 18"/>
                  <wp:cNvGraphicFramePr/>
                  <a:graphic xmlns:a="http://schemas.openxmlformats.org/drawingml/2006/main">
                    <a:graphicData uri="http://schemas.openxmlformats.org/drawingml/2006/picture">
                      <pic:pic xmlns:pic="http://schemas.openxmlformats.org/drawingml/2006/picture">
                        <pic:nvPicPr>
                          <pic:cNvPr id="23" name="IM 18"/>
                          <pic:cNvPicPr/>
                        </pic:nvPicPr>
                        <pic:blipFill>
                          <a:blip r:embed="rId25"/>
                          <a:stretch>
                            <a:fillRect/>
                          </a:stretch>
                        </pic:blipFill>
                        <pic:spPr>
                          <a:xfrm>
                            <a:off x="0" y="0"/>
                            <a:ext cx="2502407" cy="3697224"/>
                          </a:xfrm>
                          <a:prstGeom prst="rect">
                            <a:avLst/>
                          </a:prstGeom>
                        </pic:spPr>
                      </pic:pic>
                    </a:graphicData>
                  </a:graphic>
                </wp:anchor>
              </w:drawing>
            </w:r>
          </w:p>
        </w:tc>
      </w:tr>
      <w:tr w14:paraId="2786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848" w:type="dxa"/>
            <w:gridSpan w:val="2"/>
          </w:tcPr>
          <w:p w14:paraId="417B5CA0">
            <w:pPr>
              <w:pStyle w:val="15"/>
              <w:numPr>
                <w:ilvl w:val="0"/>
                <w:numId w:val="0"/>
              </w:numPr>
              <w:jc w:val="center"/>
              <w:rPr>
                <w:rFonts w:hint="eastAsia" w:ascii="仿宋_GB2312" w:eastAsia="仿宋_GB2312"/>
                <w:b/>
                <w:bCs/>
                <w:sz w:val="32"/>
                <w:szCs w:val="32"/>
                <w:vertAlign w:val="baseline"/>
                <w:lang w:eastAsia="zh-CN"/>
              </w:rPr>
            </w:pPr>
            <w:r>
              <w:rPr>
                <w:rFonts w:ascii="Segoe UI" w:hAnsi="Segoe UI" w:eastAsia="Segoe UI" w:cs="Segoe UI"/>
                <w:color w:val="000000"/>
                <w:spacing w:val="0"/>
                <w:kern w:val="0"/>
                <w:sz w:val="24"/>
                <w:szCs w:val="24"/>
                <w:lang w:bidi="ar"/>
              </w:rPr>
              <w:t>开挖小定植穴，放入复合肥</w:t>
            </w:r>
            <w:r>
              <w:drawing>
                <wp:anchor distT="0" distB="0" distL="0" distR="0" simplePos="0" relativeHeight="251683840" behindDoc="0" locked="0" layoutInCell="1" allowOverlap="1">
                  <wp:simplePos x="0" y="0"/>
                  <wp:positionH relativeFrom="column">
                    <wp:posOffset>3494405</wp:posOffset>
                  </wp:positionH>
                  <wp:positionV relativeFrom="paragraph">
                    <wp:posOffset>-1905</wp:posOffset>
                  </wp:positionV>
                  <wp:extent cx="1791335" cy="2254250"/>
                  <wp:effectExtent l="0" t="0" r="18415" b="12700"/>
                  <wp:wrapTopAndBottom/>
                  <wp:docPr id="25" name="IM 20"/>
                  <wp:cNvGraphicFramePr/>
                  <a:graphic xmlns:a="http://schemas.openxmlformats.org/drawingml/2006/main">
                    <a:graphicData uri="http://schemas.openxmlformats.org/drawingml/2006/picture">
                      <pic:pic xmlns:pic="http://schemas.openxmlformats.org/drawingml/2006/picture">
                        <pic:nvPicPr>
                          <pic:cNvPr id="25" name="IM 20"/>
                          <pic:cNvPicPr/>
                        </pic:nvPicPr>
                        <pic:blipFill>
                          <a:blip r:embed="rId26"/>
                          <a:stretch>
                            <a:fillRect/>
                          </a:stretch>
                        </pic:blipFill>
                        <pic:spPr>
                          <a:xfrm>
                            <a:off x="0" y="0"/>
                            <a:ext cx="1791335" cy="2254250"/>
                          </a:xfrm>
                          <a:prstGeom prst="rect">
                            <a:avLst/>
                          </a:prstGeom>
                        </pic:spPr>
                      </pic:pic>
                    </a:graphicData>
                  </a:graphic>
                </wp:anchor>
              </w:drawing>
            </w:r>
            <w:r>
              <w:rPr>
                <w:position w:val="-70"/>
              </w:rPr>
              <w:drawing>
                <wp:anchor distT="0" distB="0" distL="0" distR="0" simplePos="0" relativeHeight="251682816" behindDoc="0" locked="0" layoutInCell="1" allowOverlap="1">
                  <wp:simplePos x="0" y="0"/>
                  <wp:positionH relativeFrom="column">
                    <wp:posOffset>0</wp:posOffset>
                  </wp:positionH>
                  <wp:positionV relativeFrom="paragraph">
                    <wp:posOffset>-7984490</wp:posOffset>
                  </wp:positionV>
                  <wp:extent cx="2961005" cy="2223135"/>
                  <wp:effectExtent l="0" t="0" r="10795" b="5715"/>
                  <wp:wrapTopAndBottom/>
                  <wp:docPr id="24" name="IM 22"/>
                  <wp:cNvGraphicFramePr/>
                  <a:graphic xmlns:a="http://schemas.openxmlformats.org/drawingml/2006/main">
                    <a:graphicData uri="http://schemas.openxmlformats.org/drawingml/2006/picture">
                      <pic:pic xmlns:pic="http://schemas.openxmlformats.org/drawingml/2006/picture">
                        <pic:nvPicPr>
                          <pic:cNvPr id="24" name="IM 22"/>
                          <pic:cNvPicPr/>
                        </pic:nvPicPr>
                        <pic:blipFill>
                          <a:blip r:embed="rId27"/>
                          <a:stretch>
                            <a:fillRect/>
                          </a:stretch>
                        </pic:blipFill>
                        <pic:spPr>
                          <a:xfrm>
                            <a:off x="0" y="0"/>
                            <a:ext cx="2961132" cy="2223516"/>
                          </a:xfrm>
                          <a:prstGeom prst="rect">
                            <a:avLst/>
                          </a:prstGeom>
                        </pic:spPr>
                      </pic:pic>
                    </a:graphicData>
                  </a:graphic>
                </wp:anchor>
              </w:drawing>
            </w:r>
          </w:p>
        </w:tc>
      </w:tr>
    </w:tbl>
    <w:p w14:paraId="0353741F">
      <w:pPr>
        <w:pStyle w:val="15"/>
        <w:numPr>
          <w:ilvl w:val="0"/>
          <w:numId w:val="0"/>
        </w:numPr>
        <w:ind w:firstLine="643" w:firstLineChars="200"/>
        <w:rPr>
          <w:rFonts w:hint="default" w:ascii="仿宋_GB2312" w:eastAsia="仿宋_GB2312"/>
          <w:b/>
          <w:bCs/>
          <w:sz w:val="32"/>
          <w:szCs w:val="32"/>
          <w:lang w:val="en-US" w:eastAsia="zh-CN"/>
        </w:rPr>
      </w:pPr>
      <w:r>
        <w:rPr>
          <w:rFonts w:hint="eastAsia" w:ascii="仿宋_GB2312" w:eastAsia="仿宋_GB2312"/>
          <w:b/>
          <w:bCs/>
          <w:sz w:val="32"/>
          <w:szCs w:val="32"/>
          <w:lang w:eastAsia="zh-CN"/>
        </w:rPr>
        <w:t>（</w:t>
      </w:r>
      <w:r>
        <w:rPr>
          <w:rFonts w:hint="eastAsia" w:ascii="仿宋_GB2312" w:eastAsia="仿宋_GB2312"/>
          <w:b/>
          <w:bCs/>
          <w:sz w:val="32"/>
          <w:szCs w:val="32"/>
          <w:lang w:val="en-US" w:eastAsia="zh-CN"/>
        </w:rPr>
        <w:t>四</w:t>
      </w:r>
      <w:r>
        <w:rPr>
          <w:rFonts w:hint="eastAsia" w:ascii="仿宋_GB2312" w:eastAsia="仿宋_GB2312"/>
          <w:b/>
          <w:bCs/>
          <w:sz w:val="32"/>
          <w:szCs w:val="32"/>
          <w:lang w:eastAsia="zh-CN"/>
        </w:rPr>
        <w:t>）</w:t>
      </w:r>
      <w:r>
        <w:rPr>
          <w:rFonts w:hint="eastAsia" w:ascii="仿宋_GB2312" w:eastAsia="仿宋_GB2312"/>
          <w:b/>
          <w:bCs/>
          <w:sz w:val="32"/>
          <w:szCs w:val="32"/>
          <w:lang w:val="en-US" w:eastAsia="zh-CN"/>
        </w:rPr>
        <w:t>定植</w:t>
      </w:r>
    </w:p>
    <w:p w14:paraId="5270612A">
      <w:pPr>
        <w:pStyle w:val="15"/>
        <w:numPr>
          <w:ilvl w:val="0"/>
          <w:numId w:val="0"/>
        </w:numPr>
        <w:ind w:firstLine="640" w:firstLineChars="200"/>
        <w:rPr>
          <w:rFonts w:hint="eastAsia" w:eastAsia="仿宋_GB2312"/>
        </w:rPr>
      </w:pPr>
      <w:r>
        <w:rPr>
          <w:rFonts w:hint="eastAsia" w:eastAsia="仿宋_GB2312"/>
        </w:rPr>
        <w:t>西林地处云贵高原余脉（海拔 600</w:t>
      </w:r>
      <w:r>
        <w:rPr>
          <w:rFonts w:hint="eastAsia" w:eastAsia="仿宋_GB2312"/>
          <w:lang w:eastAsia="zh-CN"/>
        </w:rPr>
        <w:t>～</w:t>
      </w:r>
      <w:r>
        <w:rPr>
          <w:rFonts w:hint="eastAsia" w:eastAsia="仿宋_GB2312"/>
        </w:rPr>
        <w:t>1000m），冬季夜间最低温可降至 5℃左右，部分高海拔地块甚至短暂接近 0℃—— 咖啡是典型的 “喜暖作物”，多数品种（如纯阿拉比卡）在 5℃以下会出现 “冷害”（叶片发黄、根系吸收停滞），0℃以下会冻伤主干，导致次年减产甚至植株死亡。而经西林本地筛选的品种：</w:t>
      </w:r>
    </w:p>
    <w:p w14:paraId="2EC4AE3B">
      <w:pPr>
        <w:pStyle w:val="15"/>
        <w:numPr>
          <w:ilvl w:val="0"/>
          <w:numId w:val="0"/>
        </w:numPr>
        <w:ind w:firstLine="640" w:firstLineChars="200"/>
        <w:rPr>
          <w:rFonts w:hint="eastAsia" w:eastAsia="仿宋_GB2312"/>
        </w:rPr>
      </w:pPr>
      <w:r>
        <w:rPr>
          <w:rFonts w:hint="eastAsia" w:eastAsia="仿宋_GB2312"/>
        </w:rPr>
        <w:t>卡蒂姆：是小粒种咖啡（阿拉比卡）与中粒种咖啡的杂交种，继承了小粒种的风味优势，同时引入中粒种的耐寒基因，可耐受短期 5℃低温，冷害率比纯阿拉比卡低 60% 以上；萨奇姆：专为亚热带山地选育的品种，叶片角质层较厚，能减少低温下的水分流失，冬季低温时仍可维持基本光合功能，避免 “冻害后生长停滞”；罗布斯塔：中粒种咖啡的典型品种，天生耐寒性强（可耐受短期 3℃低温），且对土壤适应性广（耐贫瘠、耐微酸性红壤），适合西林部分高海拔（900</w:t>
      </w:r>
      <w:r>
        <w:rPr>
          <w:rFonts w:hint="eastAsia" w:eastAsia="仿宋_GB2312"/>
          <w:lang w:eastAsia="zh-CN"/>
        </w:rPr>
        <w:t>～</w:t>
      </w:r>
      <w:r>
        <w:rPr>
          <w:rFonts w:hint="eastAsia" w:eastAsia="仿宋_GB2312"/>
        </w:rPr>
        <w:t>1000m）或土壤肥力稍差的地块。选择这些品种，可从根本上规避 “冬季低温导致的减产风险”，保障植株长期存活与稳定投产。</w:t>
      </w:r>
    </w:p>
    <w:p w14:paraId="7263969D">
      <w:pPr>
        <w:pStyle w:val="15"/>
        <w:numPr>
          <w:ilvl w:val="0"/>
          <w:numId w:val="0"/>
        </w:numPr>
        <w:ind w:firstLine="640" w:firstLineChars="200"/>
        <w:rPr>
          <w:rFonts w:hint="eastAsia" w:eastAsia="仿宋_GB2312"/>
        </w:rPr>
      </w:pPr>
      <w:r>
        <w:rPr>
          <w:rFonts w:hint="eastAsia" w:eastAsia="仿宋_GB2312"/>
        </w:rPr>
        <w:t>经本地筛选的品种在 “产量稳定性” 上已通过实践验证：卡蒂姆：分枝能力强（每株可形成 3-5 条有效结果枝），坐果率高（开花后坐果率达 70% 以上，远超纯阿拉比卡的 50%），盛产期（5 年生后）每亩产量可达 150</w:t>
      </w:r>
      <w:r>
        <w:rPr>
          <w:rFonts w:hint="eastAsia" w:eastAsia="仿宋_GB2312"/>
          <w:lang w:eastAsia="zh-CN"/>
        </w:rPr>
        <w:t>～</w:t>
      </w:r>
      <w:r>
        <w:rPr>
          <w:rFonts w:hint="eastAsia" w:eastAsia="仿宋_GB2312"/>
        </w:rPr>
        <w:t>200kg 干豆，比普通品种高 20%</w:t>
      </w:r>
      <w:r>
        <w:rPr>
          <w:rFonts w:hint="eastAsia" w:eastAsia="仿宋_GB2312"/>
          <w:lang w:eastAsia="zh-CN"/>
        </w:rPr>
        <w:t>～</w:t>
      </w:r>
      <w:r>
        <w:rPr>
          <w:rFonts w:hint="eastAsia" w:eastAsia="仿宋_GB2312"/>
        </w:rPr>
        <w:t>30%；萨奇姆：结果周期短（定植后 2 年即可初产，比传统品种早 1 年），且果实成熟期集中（10-12 月），便于集中采收，减少鲜果损耗（采收期损耗率可控制在 5% 以内）；罗布斯塔：虽风味偏浓郁（适合深加工），但产量极高（盛产期每亩 200</w:t>
      </w:r>
      <w:r>
        <w:rPr>
          <w:rFonts w:hint="eastAsia" w:eastAsia="仿宋_GB2312"/>
          <w:lang w:eastAsia="zh-CN"/>
        </w:rPr>
        <w:t>～</w:t>
      </w:r>
      <w:r>
        <w:rPr>
          <w:rFonts w:hint="eastAsia" w:eastAsia="仿宋_GB2312"/>
        </w:rPr>
        <w:t>250kg 干豆），且抗病虫害能力强（减少因病虫害导致的减产），适合追求 “规模收益” 的种植园。</w:t>
      </w:r>
    </w:p>
    <w:p w14:paraId="1213C51E">
      <w:pPr>
        <w:pStyle w:val="15"/>
        <w:numPr>
          <w:ilvl w:val="0"/>
          <w:numId w:val="0"/>
        </w:numPr>
        <w:ind w:firstLine="640" w:firstLineChars="200"/>
        <w:rPr>
          <w:rFonts w:hint="eastAsia" w:eastAsia="仿宋_GB2312"/>
          <w:lang w:eastAsia="zh-CN"/>
        </w:rPr>
      </w:pPr>
      <w:r>
        <w:rPr>
          <w:rFonts w:hint="eastAsia" w:eastAsia="仿宋_GB2312"/>
        </w:rPr>
        <w:t>外来品种（如巴西、哥伦比亚的咖啡品种）虽在原产地表现优异，但引入西林后易因 “环境不适配” 出现问题：巴西品种适应高温高湿平原，引入西林山地后会因 “昼夜温差大、土壤偏酸” 导致 “生长紊乱”（叶片卷曲、结果少）；而经西林本地筛选的品种，已在本地地块经过 3-5 年的试种验证</w:t>
      </w:r>
      <w:r>
        <w:rPr>
          <w:rFonts w:hint="eastAsia" w:eastAsia="仿宋_GB2312"/>
          <w:lang w:eastAsia="zh-CN"/>
        </w:rPr>
        <w:t>。</w:t>
      </w:r>
    </w:p>
    <w:p w14:paraId="47D5A2C7">
      <w:pPr>
        <w:pStyle w:val="15"/>
        <w:numPr>
          <w:ilvl w:val="0"/>
          <w:numId w:val="0"/>
        </w:numPr>
        <w:ind w:firstLine="640" w:firstLineChars="200"/>
        <w:rPr>
          <w:rFonts w:hint="eastAsia" w:eastAsia="仿宋_GB2312"/>
        </w:rPr>
      </w:pPr>
      <w:r>
        <w:rPr>
          <w:rFonts w:hint="eastAsia" w:eastAsia="仿宋_GB2312"/>
        </w:rPr>
        <w:t>裸根苗移栽时需剥离土壤，易导致须根断裂（咖啡 80% 的养分吸收依赖须根），定植后缓苗期长（40-50 天），成活率仅 60%</w:t>
      </w:r>
      <w:r>
        <w:rPr>
          <w:rFonts w:hint="eastAsia" w:eastAsia="仿宋_GB2312"/>
          <w:lang w:eastAsia="zh-CN"/>
        </w:rPr>
        <w:t>～</w:t>
      </w:r>
      <w:r>
        <w:rPr>
          <w:rFonts w:hint="eastAsia" w:eastAsia="仿宋_GB2312"/>
        </w:rPr>
        <w:t>70%，且易因根系受损感染根腐病；营养大杯苗的根系在育苗杯中自然生长，形成 “完整根团”，移栽时只需剥除营养袋（不损伤根系），定植后 20 天左右即可缓苗，成活率可达 90% 以上（符合 7.6 补植要求的 “成活率 90% 以上”），尤其适合西林山地移栽（山地运输、定植难度大，裸根苗更易受损）。同时，“大杯” 培育能让苗木在育苗阶段积累更多养分（根系更发达、茎秆更粗壮），为定植后的生长提供 “初始能量”，避免 “小苗弱苗” 因竞争力差被杂草压制。</w:t>
      </w:r>
    </w:p>
    <w:p w14:paraId="60F2CB72">
      <w:pPr>
        <w:pStyle w:val="15"/>
        <w:numPr>
          <w:ilvl w:val="0"/>
          <w:numId w:val="0"/>
        </w:numPr>
        <w:ind w:firstLine="640" w:firstLineChars="200"/>
        <w:rPr>
          <w:rFonts w:hint="eastAsia" w:eastAsia="仿宋_GB2312"/>
        </w:rPr>
      </w:pPr>
      <w:r>
        <w:rPr>
          <w:rFonts w:hint="eastAsia" w:eastAsia="仿宋_GB2312"/>
        </w:rPr>
        <w:t>NY/T 358《咖啡 种子种苗》是国家农业行业标准，对咖啡苗木的 “品种纯度、根系发育、茎秆粗度、病虫害情况” 等有明确指标（如品种纯度≥95%、根系无黑根烂根、茎秆粗度≥0.6cm）。</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8626"/>
        <w:gridCol w:w="222"/>
      </w:tblGrid>
      <w:tr w14:paraId="2DDE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626" w:type="dxa"/>
          </w:tcPr>
          <w:p w14:paraId="2AEC93D8">
            <w:pPr>
              <w:pStyle w:val="15"/>
              <w:numPr>
                <w:ilvl w:val="0"/>
                <w:numId w:val="0"/>
              </w:numPr>
              <w:rPr>
                <w:rFonts w:hint="eastAsia" w:ascii="Times New Roman" w:eastAsia="仿宋_GB2312"/>
                <w:b w:val="0"/>
                <w:bCs w:val="0"/>
                <w:sz w:val="32"/>
                <w:szCs w:val="32"/>
                <w:vertAlign w:val="baseline"/>
                <w:lang w:eastAsia="zh-CN"/>
              </w:rPr>
            </w:pPr>
            <w:r>
              <w:rPr>
                <w:position w:val="-140"/>
              </w:rPr>
              <w:drawing>
                <wp:inline distT="0" distB="0" distL="0" distR="0">
                  <wp:extent cx="5539105" cy="4462145"/>
                  <wp:effectExtent l="0" t="0" r="4445" b="14605"/>
                  <wp:docPr id="26" name="IM 24"/>
                  <wp:cNvGraphicFramePr/>
                  <a:graphic xmlns:a="http://schemas.openxmlformats.org/drawingml/2006/main">
                    <a:graphicData uri="http://schemas.openxmlformats.org/drawingml/2006/picture">
                      <pic:pic xmlns:pic="http://schemas.openxmlformats.org/drawingml/2006/picture">
                        <pic:nvPicPr>
                          <pic:cNvPr id="26" name="IM 24"/>
                          <pic:cNvPicPr/>
                        </pic:nvPicPr>
                        <pic:blipFill>
                          <a:blip r:embed="rId28"/>
                          <a:stretch>
                            <a:fillRect/>
                          </a:stretch>
                        </pic:blipFill>
                        <pic:spPr>
                          <a:xfrm>
                            <a:off x="0" y="0"/>
                            <a:ext cx="5539739" cy="4462271"/>
                          </a:xfrm>
                          <a:prstGeom prst="rect">
                            <a:avLst/>
                          </a:prstGeom>
                        </pic:spPr>
                      </pic:pic>
                    </a:graphicData>
                  </a:graphic>
                </wp:inline>
              </w:drawing>
            </w:r>
          </w:p>
        </w:tc>
        <w:tc>
          <w:tcPr>
            <w:tcW w:w="222" w:type="dxa"/>
          </w:tcPr>
          <w:p w14:paraId="6250EA98">
            <w:pPr>
              <w:pStyle w:val="15"/>
              <w:numPr>
                <w:ilvl w:val="0"/>
                <w:numId w:val="0"/>
              </w:numPr>
              <w:rPr>
                <w:rFonts w:hint="eastAsia" w:ascii="Times New Roman" w:eastAsia="仿宋_GB2312"/>
                <w:b w:val="0"/>
                <w:bCs w:val="0"/>
                <w:sz w:val="32"/>
                <w:szCs w:val="32"/>
                <w:vertAlign w:val="baseline"/>
                <w:lang w:eastAsia="zh-CN"/>
              </w:rPr>
            </w:pPr>
          </w:p>
        </w:tc>
      </w:tr>
      <w:tr w14:paraId="76AE5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626" w:type="dxa"/>
          </w:tcPr>
          <w:p w14:paraId="4116401C">
            <w:pPr>
              <w:pStyle w:val="15"/>
              <w:numPr>
                <w:ilvl w:val="0"/>
                <w:numId w:val="0"/>
              </w:numPr>
              <w:jc w:val="center"/>
              <w:rPr>
                <w:rFonts w:hint="eastAsia" w:ascii="Times New Roman" w:eastAsia="仿宋_GB2312"/>
                <w:b w:val="0"/>
                <w:bCs w:val="0"/>
                <w:sz w:val="32"/>
                <w:szCs w:val="32"/>
                <w:vertAlign w:val="baseline"/>
                <w:lang w:eastAsia="zh-CN"/>
              </w:rPr>
            </w:pPr>
            <w:r>
              <w:rPr>
                <w:rFonts w:hint="eastAsia" w:eastAsia="仿宋_GB2312"/>
              </w:rPr>
              <w:t>大、中营养袋苗（左上）、大、中营养袋苗修剪除盘曲（左下）、小营养袋苗（右上、右下</w:t>
            </w:r>
          </w:p>
        </w:tc>
        <w:tc>
          <w:tcPr>
            <w:tcW w:w="222" w:type="dxa"/>
          </w:tcPr>
          <w:p w14:paraId="0AD673ED">
            <w:pPr>
              <w:pStyle w:val="15"/>
              <w:numPr>
                <w:ilvl w:val="0"/>
                <w:numId w:val="0"/>
              </w:numPr>
              <w:rPr>
                <w:rFonts w:hint="eastAsia" w:ascii="Times New Roman" w:eastAsia="仿宋_GB2312"/>
                <w:b w:val="0"/>
                <w:bCs w:val="0"/>
                <w:sz w:val="32"/>
                <w:szCs w:val="32"/>
                <w:vertAlign w:val="baseline"/>
                <w:lang w:eastAsia="zh-CN"/>
              </w:rPr>
            </w:pPr>
          </w:p>
        </w:tc>
      </w:tr>
    </w:tbl>
    <w:p w14:paraId="506780E3">
      <w:pPr>
        <w:pStyle w:val="15"/>
        <w:numPr>
          <w:ilvl w:val="0"/>
          <w:numId w:val="0"/>
        </w:numPr>
        <w:ind w:firstLine="640" w:firstLineChars="200"/>
        <w:rPr>
          <w:rFonts w:hint="eastAsia" w:ascii="Times New Roman" w:eastAsia="仿宋_GB2312"/>
          <w:b w:val="0"/>
          <w:bCs w:val="0"/>
          <w:sz w:val="32"/>
          <w:szCs w:val="32"/>
          <w:lang w:eastAsia="zh-CN"/>
        </w:rPr>
      </w:pPr>
      <w:r>
        <w:rPr>
          <w:rFonts w:hint="eastAsia" w:ascii="Times New Roman" w:eastAsia="仿宋_GB2312"/>
          <w:b w:val="0"/>
          <w:bCs w:val="0"/>
          <w:sz w:val="32"/>
          <w:szCs w:val="32"/>
          <w:lang w:eastAsia="zh-CN"/>
        </w:rPr>
        <w:t>西林 3 月中旬 - 5 月的气候特点是 “温度回升、降水渐增但未到雨季高峰”，配合灌溉条件，恰好契合幼苗缓苗与初期生长需求：温度适配：此阶段西林日均温稳定在 15℃-20℃，符合咖啡根系活跃生长的温度阈值（根系最适生长温度 18℃-22℃）—— 幼苗定植后，根系能快速恢复吸收功能（缓苗期仅 20-25 天），避免低温（＜15℃）导致的 “缓苗停滞” 或高温（＞25℃）导致的 “根系呼吸过强、水分流失快”；水分可控：3-5 月西林尚未进入雨季（雨季 6-8 月），降水较少但均匀，配合灌溉设施（如压力补偿滴头，5.3），可精准控制土壤含水量（保持 18%</w:t>
      </w:r>
      <w:r>
        <w:rPr>
          <w:rFonts w:hint="eastAsia" w:eastAsia="仿宋_GB2312"/>
          <w:b w:val="0"/>
          <w:bCs w:val="0"/>
          <w:sz w:val="32"/>
          <w:szCs w:val="32"/>
          <w:lang w:eastAsia="zh-CN"/>
        </w:rPr>
        <w:t>～</w:t>
      </w:r>
      <w:r>
        <w:rPr>
          <w:rFonts w:hint="eastAsia" w:ascii="Times New Roman" w:eastAsia="仿宋_GB2312"/>
          <w:b w:val="0"/>
          <w:bCs w:val="0"/>
          <w:sz w:val="32"/>
          <w:szCs w:val="32"/>
          <w:lang w:eastAsia="zh-CN"/>
        </w:rPr>
        <w:t>25%）—— 既避免无灌溉时 “靠天吃饭” 的干旱风险，又避免雨季定植（6-8 月）可能出现的 “积水烂根”；预留生长周期：幼苗在 3-5 月定植，缓苗后恰好赶上雨季（6-8 月）—— 雨季降水充足、光照适宜，咖啡进入快速生长期（3 个月内株高可增长 20</w:t>
      </w:r>
      <w:r>
        <w:rPr>
          <w:rFonts w:hint="eastAsia" w:eastAsia="仿宋_GB2312"/>
          <w:b w:val="0"/>
          <w:bCs w:val="0"/>
          <w:sz w:val="32"/>
          <w:szCs w:val="32"/>
          <w:lang w:eastAsia="zh-CN"/>
        </w:rPr>
        <w:t>～</w:t>
      </w:r>
      <w:r>
        <w:rPr>
          <w:rFonts w:hint="eastAsia" w:ascii="Times New Roman" w:eastAsia="仿宋_GB2312"/>
          <w:b w:val="0"/>
          <w:bCs w:val="0"/>
          <w:sz w:val="32"/>
          <w:szCs w:val="32"/>
          <w:lang w:eastAsia="zh-CN"/>
        </w:rPr>
        <w:t>30cm），能在冬季低温来临前（12 月）完成初步木质化，提升耐寒能力（避免冬季冻害），为次年抽生结果枝奠定基础。</w:t>
      </w:r>
    </w:p>
    <w:p w14:paraId="453EACE9">
      <w:pPr>
        <w:pStyle w:val="15"/>
        <w:numPr>
          <w:ilvl w:val="0"/>
          <w:numId w:val="0"/>
        </w:numPr>
        <w:ind w:firstLine="640" w:firstLineChars="200"/>
        <w:rPr>
          <w:rFonts w:hint="eastAsia" w:ascii="Times New Roman" w:eastAsia="仿宋_GB2312"/>
          <w:b w:val="0"/>
          <w:bCs w:val="0"/>
          <w:sz w:val="32"/>
          <w:szCs w:val="32"/>
          <w:lang w:eastAsia="zh-CN"/>
        </w:rPr>
      </w:pPr>
      <w:r>
        <w:rPr>
          <w:rFonts w:hint="eastAsia" w:ascii="Times New Roman" w:eastAsia="仿宋_GB2312"/>
          <w:b w:val="0"/>
          <w:bCs w:val="0"/>
          <w:sz w:val="32"/>
          <w:szCs w:val="32"/>
          <w:lang w:eastAsia="zh-CN"/>
        </w:rPr>
        <w:t>无灌溉条件下，幼苗定植后的水分完全依赖自然降水，6-8 月是西林的雨季（降水量占全年 60% 以上，月均降水 200-300mm），此时定植可最大化利用天然降水：避免干旱死苗：若在 3-5 月无灌溉定植，西林此阶段降水少（月均＜100mm），土壤含水量易低于 15%，幼苗根系浅（仅 20</w:t>
      </w:r>
      <w:r>
        <w:rPr>
          <w:rFonts w:hint="eastAsia" w:eastAsia="仿宋_GB2312"/>
          <w:b w:val="0"/>
          <w:bCs w:val="0"/>
          <w:sz w:val="32"/>
          <w:szCs w:val="32"/>
          <w:lang w:eastAsia="zh-CN"/>
        </w:rPr>
        <w:t>～</w:t>
      </w:r>
      <w:r>
        <w:rPr>
          <w:rFonts w:hint="eastAsia" w:ascii="Times New Roman" w:eastAsia="仿宋_GB2312"/>
          <w:b w:val="0"/>
          <w:bCs w:val="0"/>
          <w:sz w:val="32"/>
          <w:szCs w:val="32"/>
          <w:lang w:eastAsia="zh-CN"/>
        </w:rPr>
        <w:t>30cm），耐旱能力弱，会因缺水导致 “萎蔫死苗”（成活率＜60%）；而 6-8 月降水频繁，可确保土壤持续湿润，幼苗缓苗成活率提升至 85% 以上；适配雨季生长节奏：雨季高温高湿（日均温 20℃-25℃），咖啡生长速度快，幼苗定植后能快速抽生新梢，弥补 “定植时间晚” 的差距 —— 虽然比有灌溉的苗木晚定植 2-3 个月，但借助雨季生长，当年株高仍可达到 80</w:t>
      </w:r>
      <w:r>
        <w:rPr>
          <w:rFonts w:hint="eastAsia" w:eastAsia="仿宋_GB2312"/>
          <w:b w:val="0"/>
          <w:bCs w:val="0"/>
          <w:sz w:val="32"/>
          <w:szCs w:val="32"/>
          <w:lang w:eastAsia="zh-CN"/>
        </w:rPr>
        <w:t>～</w:t>
      </w:r>
      <w:r>
        <w:rPr>
          <w:rFonts w:hint="eastAsia" w:ascii="Times New Roman" w:eastAsia="仿宋_GB2312"/>
          <w:b w:val="0"/>
          <w:bCs w:val="0"/>
          <w:sz w:val="32"/>
          <w:szCs w:val="32"/>
          <w:lang w:eastAsia="zh-CN"/>
        </w:rPr>
        <w:t>100cm，不影响次年生长；降低管理成本：无灌溉种植的核心瓶颈是 “浇水难”，6-8 月定植无需人工挑水灌溉，可节省大量人力成本（每亩减少灌溉人工成本 200-300 元），同时避免因 “浇水不及时” 导致的生长差异。</w:t>
      </w:r>
    </w:p>
    <w:p w14:paraId="687BD4BB">
      <w:pPr>
        <w:pStyle w:val="15"/>
        <w:numPr>
          <w:ilvl w:val="0"/>
          <w:numId w:val="0"/>
        </w:numPr>
        <w:ind w:firstLine="640" w:firstLineChars="200"/>
        <w:rPr>
          <w:rFonts w:hint="eastAsia" w:ascii="Times New Roman" w:eastAsia="仿宋_GB2312"/>
          <w:b w:val="0"/>
          <w:bCs w:val="0"/>
          <w:sz w:val="32"/>
          <w:szCs w:val="32"/>
          <w:lang w:eastAsia="zh-CN"/>
        </w:rPr>
      </w:pPr>
      <w:r>
        <w:rPr>
          <w:rFonts w:hint="eastAsia" w:ascii="Times New Roman" w:eastAsia="仿宋_GB2312"/>
          <w:b w:val="0"/>
          <w:bCs w:val="0"/>
          <w:sz w:val="32"/>
          <w:szCs w:val="32"/>
          <w:lang w:eastAsia="zh-CN"/>
        </w:rPr>
        <w:t>不同品种的株型（高度、冠幅）差异极大，若采用统一株行距，会导致 “空间浪费” 或 “竞争过密”，因此标准针对三大主栽品种设计差异化方案</w:t>
      </w:r>
      <w:r>
        <w:rPr>
          <w:rFonts w:hint="eastAsia" w:eastAsia="仿宋_GB2312"/>
          <w:b w:val="0"/>
          <w:bCs w:val="0"/>
          <w:sz w:val="32"/>
          <w:szCs w:val="32"/>
          <w:lang w:eastAsia="zh-CN"/>
        </w:rPr>
        <w:t>。</w:t>
      </w:r>
    </w:p>
    <w:tbl>
      <w:tblPr>
        <w:tblW w:w="0" w:type="auto"/>
        <w:tblInd w:w="0" w:type="dxa"/>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404"/>
        <w:gridCol w:w="1713"/>
        <w:gridCol w:w="2109"/>
        <w:gridCol w:w="4406"/>
      </w:tblGrid>
      <w:tr w14:paraId="777A5F56">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rPr>
          <w:tblHeader/>
        </w:trPr>
        <w:tc>
          <w:tcPr>
            <w:tcW w:w="404" w:type="dxa"/>
            <w:tcBorders>
              <w:top w:val="nil"/>
              <w:left w:val="nil"/>
              <w:bottom w:val="nil"/>
            </w:tcBorders>
            <w:shd w:val="clear" w:color="auto" w:fill="FFFFFF"/>
            <w:vAlign w:val="center"/>
          </w:tcPr>
          <w:p w14:paraId="66A16D91">
            <w:pPr>
              <w:keepNext w:val="0"/>
              <w:keepLines w:val="0"/>
              <w:widowControl/>
              <w:suppressLineNumbers w:val="0"/>
              <w:spacing w:before="0" w:beforeAutospacing="0" w:after="0" w:afterAutospacing="0"/>
              <w:ind w:left="0" w:right="0" w:firstLine="0"/>
              <w:jc w:val="center"/>
              <w:rPr>
                <w:rFonts w:ascii="Segoe UI" w:hAnsi="Segoe UI" w:eastAsia="Segoe UI" w:cs="Segoe UI"/>
                <w:b/>
                <w:bCs/>
                <w:i w:val="0"/>
                <w:iCs w:val="0"/>
                <w:caps w:val="0"/>
                <w:color w:val="000000"/>
                <w:spacing w:val="0"/>
                <w:sz w:val="24"/>
                <w:szCs w:val="24"/>
              </w:rPr>
            </w:pPr>
            <w:r>
              <w:rPr>
                <w:rFonts w:hint="default" w:ascii="Segoe UI" w:hAnsi="Segoe UI" w:eastAsia="Segoe UI" w:cs="Segoe UI"/>
                <w:b/>
                <w:bCs/>
                <w:i w:val="0"/>
                <w:iCs w:val="0"/>
                <w:caps w:val="0"/>
                <w:color w:val="000000"/>
                <w:spacing w:val="0"/>
                <w:kern w:val="0"/>
                <w:sz w:val="24"/>
                <w:szCs w:val="24"/>
                <w:bdr w:val="none" w:color="auto" w:sz="0" w:space="0"/>
                <w:lang w:val="en-US" w:eastAsia="zh-CN" w:bidi="ar"/>
              </w:rPr>
              <w:t>品种</w:t>
            </w:r>
          </w:p>
        </w:tc>
        <w:tc>
          <w:tcPr>
            <w:tcW w:w="1713" w:type="dxa"/>
            <w:tcBorders>
              <w:top w:val="nil"/>
              <w:left w:val="nil"/>
              <w:bottom w:val="nil"/>
            </w:tcBorders>
            <w:shd w:val="clear" w:color="auto" w:fill="FFFFFF"/>
            <w:vAlign w:val="center"/>
          </w:tcPr>
          <w:p w14:paraId="133624BB">
            <w:pPr>
              <w:keepNext w:val="0"/>
              <w:keepLines w:val="0"/>
              <w:widowControl/>
              <w:suppressLineNumbers w:val="0"/>
              <w:spacing w:before="0" w:beforeAutospacing="0" w:after="0" w:afterAutospacing="0"/>
              <w:ind w:left="0" w:right="0" w:firstLine="0"/>
              <w:jc w:val="center"/>
              <w:rPr>
                <w:rFonts w:hint="default" w:ascii="Segoe UI" w:hAnsi="Segoe UI" w:eastAsia="Segoe UI" w:cs="Segoe UI"/>
                <w:b/>
                <w:bCs/>
                <w:i w:val="0"/>
                <w:iCs w:val="0"/>
                <w:caps w:val="0"/>
                <w:color w:val="000000"/>
                <w:spacing w:val="0"/>
                <w:sz w:val="24"/>
                <w:szCs w:val="24"/>
              </w:rPr>
            </w:pPr>
            <w:r>
              <w:rPr>
                <w:rFonts w:hint="default" w:ascii="Segoe UI" w:hAnsi="Segoe UI" w:eastAsia="Segoe UI" w:cs="Segoe UI"/>
                <w:b/>
                <w:bCs/>
                <w:i w:val="0"/>
                <w:iCs w:val="0"/>
                <w:caps w:val="0"/>
                <w:color w:val="000000"/>
                <w:spacing w:val="0"/>
                <w:kern w:val="0"/>
                <w:sz w:val="24"/>
                <w:szCs w:val="24"/>
                <w:bdr w:val="none" w:color="auto" w:sz="0" w:space="0"/>
                <w:lang w:val="en-US" w:eastAsia="zh-CN" w:bidi="ar"/>
              </w:rPr>
              <w:t>株型特点</w:t>
            </w:r>
          </w:p>
        </w:tc>
        <w:tc>
          <w:tcPr>
            <w:tcW w:w="2109" w:type="dxa"/>
            <w:tcBorders>
              <w:top w:val="nil"/>
              <w:left w:val="nil"/>
              <w:bottom w:val="nil"/>
            </w:tcBorders>
            <w:shd w:val="clear" w:color="auto" w:fill="FFFFFF"/>
            <w:vAlign w:val="center"/>
          </w:tcPr>
          <w:p w14:paraId="55522B57">
            <w:pPr>
              <w:keepNext w:val="0"/>
              <w:keepLines w:val="0"/>
              <w:widowControl/>
              <w:suppressLineNumbers w:val="0"/>
              <w:spacing w:before="0" w:beforeAutospacing="0" w:after="0" w:afterAutospacing="0"/>
              <w:ind w:left="0" w:right="0" w:firstLine="0"/>
              <w:jc w:val="center"/>
              <w:rPr>
                <w:rFonts w:hint="default" w:ascii="Segoe UI" w:hAnsi="Segoe UI" w:eastAsia="Segoe UI" w:cs="Segoe UI"/>
                <w:b/>
                <w:bCs/>
                <w:i w:val="0"/>
                <w:iCs w:val="0"/>
                <w:caps w:val="0"/>
                <w:color w:val="000000"/>
                <w:spacing w:val="0"/>
                <w:sz w:val="24"/>
                <w:szCs w:val="24"/>
              </w:rPr>
            </w:pPr>
            <w:r>
              <w:rPr>
                <w:rFonts w:hint="default" w:ascii="Segoe UI" w:hAnsi="Segoe UI" w:eastAsia="Segoe UI" w:cs="Segoe UI"/>
                <w:b/>
                <w:bCs/>
                <w:i w:val="0"/>
                <w:iCs w:val="0"/>
                <w:caps w:val="0"/>
                <w:color w:val="000000"/>
                <w:spacing w:val="0"/>
                <w:kern w:val="0"/>
                <w:sz w:val="24"/>
                <w:szCs w:val="24"/>
                <w:bdr w:val="none" w:color="auto" w:sz="0" w:space="0"/>
                <w:lang w:val="en-US" w:eastAsia="zh-CN" w:bidi="ar"/>
              </w:rPr>
              <w:t>株行距（标准要求）</w:t>
            </w:r>
          </w:p>
        </w:tc>
        <w:tc>
          <w:tcPr>
            <w:tcW w:w="4406" w:type="dxa"/>
            <w:tcBorders>
              <w:top w:val="nil"/>
              <w:left w:val="nil"/>
              <w:bottom w:val="nil"/>
              <w:right w:val="nil"/>
            </w:tcBorders>
            <w:shd w:val="clear" w:color="auto" w:fill="FFFFFF"/>
            <w:vAlign w:val="center"/>
          </w:tcPr>
          <w:p w14:paraId="3297EFB4">
            <w:pPr>
              <w:keepNext w:val="0"/>
              <w:keepLines w:val="0"/>
              <w:widowControl/>
              <w:suppressLineNumbers w:val="0"/>
              <w:spacing w:before="0" w:beforeAutospacing="0" w:after="0" w:afterAutospacing="0"/>
              <w:ind w:left="0" w:right="0" w:firstLine="0"/>
              <w:jc w:val="center"/>
              <w:rPr>
                <w:rFonts w:hint="default" w:ascii="Segoe UI" w:hAnsi="Segoe UI" w:eastAsia="Segoe UI" w:cs="Segoe UI"/>
                <w:b/>
                <w:bCs/>
                <w:i w:val="0"/>
                <w:iCs w:val="0"/>
                <w:caps w:val="0"/>
                <w:color w:val="000000"/>
                <w:spacing w:val="0"/>
                <w:sz w:val="24"/>
                <w:szCs w:val="24"/>
              </w:rPr>
            </w:pPr>
            <w:r>
              <w:rPr>
                <w:rFonts w:hint="default" w:ascii="Segoe UI" w:hAnsi="Segoe UI" w:eastAsia="Segoe UI" w:cs="Segoe UI"/>
                <w:b/>
                <w:bCs/>
                <w:i w:val="0"/>
                <w:iCs w:val="0"/>
                <w:caps w:val="0"/>
                <w:color w:val="000000"/>
                <w:spacing w:val="0"/>
                <w:kern w:val="0"/>
                <w:sz w:val="24"/>
                <w:szCs w:val="24"/>
                <w:bdr w:val="none" w:color="auto" w:sz="0" w:space="0"/>
                <w:lang w:val="en-US" w:eastAsia="zh-CN" w:bidi="ar"/>
              </w:rPr>
              <w:t>设计逻辑</w:t>
            </w:r>
          </w:p>
        </w:tc>
      </w:tr>
      <w:tr w14:paraId="55A784FD">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c>
          <w:tcPr>
            <w:tcW w:w="404" w:type="dxa"/>
            <w:tcBorders>
              <w:top w:val="nil"/>
              <w:left w:val="nil"/>
              <w:bottom w:val="nil"/>
            </w:tcBorders>
            <w:shd w:val="clear" w:color="auto" w:fill="FFFFFF"/>
            <w:vAlign w:val="center"/>
          </w:tcPr>
          <w:p w14:paraId="7721C1D0">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Style w:val="13"/>
                <w:rFonts w:hint="default" w:ascii="Segoe UI" w:hAnsi="Segoe UI" w:eastAsia="Segoe UI" w:cs="Segoe UI"/>
                <w:i w:val="0"/>
                <w:iCs w:val="0"/>
                <w:caps w:val="0"/>
                <w:color w:val="000000"/>
                <w:spacing w:val="0"/>
                <w:kern w:val="0"/>
                <w:sz w:val="24"/>
                <w:szCs w:val="24"/>
                <w:bdr w:val="single" w:color="auto" w:sz="2" w:space="0"/>
                <w:lang w:val="en-US" w:eastAsia="zh-CN" w:bidi="ar"/>
              </w:rPr>
              <w:t>卡蒂姆</w:t>
            </w:r>
          </w:p>
        </w:tc>
        <w:tc>
          <w:tcPr>
            <w:tcW w:w="1713" w:type="dxa"/>
            <w:tcBorders>
              <w:top w:val="nil"/>
              <w:left w:val="nil"/>
              <w:bottom w:val="nil"/>
            </w:tcBorders>
            <w:shd w:val="clear" w:color="auto" w:fill="FFFFFF"/>
            <w:vAlign w:val="center"/>
          </w:tcPr>
          <w:p w14:paraId="0E2A8718">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株型紧凑（成年树高 1.8</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2.0m，冠幅 1.0</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1.2m）</w:t>
            </w:r>
          </w:p>
        </w:tc>
        <w:tc>
          <w:tcPr>
            <w:tcW w:w="2109" w:type="dxa"/>
            <w:tcBorders>
              <w:top w:val="nil"/>
              <w:left w:val="nil"/>
              <w:bottom w:val="nil"/>
            </w:tcBorders>
            <w:shd w:val="clear" w:color="auto" w:fill="FFFFFF"/>
            <w:vAlign w:val="center"/>
          </w:tcPr>
          <w:p w14:paraId="1EF672AD">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1.0m×1.2m（约 833 株 / 亩）</w:t>
            </w:r>
          </w:p>
        </w:tc>
        <w:tc>
          <w:tcPr>
            <w:tcW w:w="4406" w:type="dxa"/>
            <w:tcBorders>
              <w:top w:val="nil"/>
              <w:left w:val="nil"/>
              <w:bottom w:val="nil"/>
              <w:right w:val="nil"/>
            </w:tcBorders>
            <w:shd w:val="clear" w:color="auto" w:fill="FFFFFF"/>
            <w:vAlign w:val="center"/>
          </w:tcPr>
          <w:p w14:paraId="61B9B970">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紧凑株型可适度密植，既不浪费空间，又避免过密 ——1.0m×1.2m 的间距，成年后冠幅刚好相接但不重叠，光照充足，且适配梯地宽度（6.3，梯面≥1.5m 可种 1 行）；</w:t>
            </w:r>
          </w:p>
        </w:tc>
      </w:tr>
      <w:tr w14:paraId="10E1519F">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c>
          <w:tcPr>
            <w:tcW w:w="404" w:type="dxa"/>
            <w:tcBorders>
              <w:top w:val="nil"/>
              <w:left w:val="nil"/>
              <w:bottom w:val="nil"/>
            </w:tcBorders>
            <w:shd w:val="clear" w:color="auto" w:fill="FFFFFF"/>
            <w:vAlign w:val="center"/>
          </w:tcPr>
          <w:p w14:paraId="38039C4F">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Style w:val="13"/>
                <w:rFonts w:hint="default" w:ascii="Segoe UI" w:hAnsi="Segoe UI" w:eastAsia="Segoe UI" w:cs="Segoe UI"/>
                <w:i w:val="0"/>
                <w:iCs w:val="0"/>
                <w:caps w:val="0"/>
                <w:color w:val="000000"/>
                <w:spacing w:val="0"/>
                <w:kern w:val="0"/>
                <w:sz w:val="24"/>
                <w:szCs w:val="24"/>
                <w:bdr w:val="single" w:color="auto" w:sz="2" w:space="0"/>
                <w:lang w:val="en-US" w:eastAsia="zh-CN" w:bidi="ar"/>
              </w:rPr>
              <w:t>萨奇姆</w:t>
            </w:r>
          </w:p>
        </w:tc>
        <w:tc>
          <w:tcPr>
            <w:tcW w:w="1713" w:type="dxa"/>
            <w:tcBorders>
              <w:top w:val="nil"/>
              <w:left w:val="nil"/>
              <w:bottom w:val="nil"/>
            </w:tcBorders>
            <w:shd w:val="clear" w:color="auto" w:fill="FFFFFF"/>
            <w:vAlign w:val="center"/>
          </w:tcPr>
          <w:p w14:paraId="2DDF01A1">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株型中等（成年树高 2.0</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2.2m，冠幅 1.5</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1.8m）</w:t>
            </w:r>
          </w:p>
        </w:tc>
        <w:tc>
          <w:tcPr>
            <w:tcW w:w="2109" w:type="dxa"/>
            <w:tcBorders>
              <w:top w:val="nil"/>
              <w:left w:val="nil"/>
              <w:bottom w:val="nil"/>
            </w:tcBorders>
            <w:shd w:val="clear" w:color="auto" w:fill="FFFFFF"/>
            <w:vAlign w:val="center"/>
          </w:tcPr>
          <w:p w14:paraId="495BA105">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1.5m×2.0m（约 222 株 / 亩）</w:t>
            </w:r>
          </w:p>
        </w:tc>
        <w:tc>
          <w:tcPr>
            <w:tcW w:w="4406" w:type="dxa"/>
            <w:tcBorders>
              <w:top w:val="nil"/>
              <w:left w:val="nil"/>
              <w:bottom w:val="nil"/>
              <w:right w:val="nil"/>
            </w:tcBorders>
            <w:shd w:val="clear" w:color="auto" w:fill="FFFFFF"/>
            <w:vAlign w:val="center"/>
          </w:tcPr>
          <w:p w14:paraId="34F03651">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中等株型需更大空间 ——1.5m×2.0m 的间距，可确保冠幅展开后不遮挡，同时方便人工修枝（截顶控高 1.8m）和采收，避免枝条交叉；</w:t>
            </w:r>
          </w:p>
        </w:tc>
      </w:tr>
      <w:tr w14:paraId="685F053E">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c>
          <w:tcPr>
            <w:tcW w:w="404" w:type="dxa"/>
            <w:tcBorders>
              <w:top w:val="nil"/>
              <w:left w:val="nil"/>
              <w:bottom w:val="nil"/>
            </w:tcBorders>
            <w:shd w:val="clear" w:color="auto" w:fill="FFFFFF"/>
            <w:vAlign w:val="center"/>
          </w:tcPr>
          <w:p w14:paraId="084C3561">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Style w:val="13"/>
                <w:rFonts w:hint="default" w:ascii="Segoe UI" w:hAnsi="Segoe UI" w:eastAsia="Segoe UI" w:cs="Segoe UI"/>
                <w:i w:val="0"/>
                <w:iCs w:val="0"/>
                <w:caps w:val="0"/>
                <w:color w:val="000000"/>
                <w:spacing w:val="0"/>
                <w:kern w:val="0"/>
                <w:sz w:val="24"/>
                <w:szCs w:val="24"/>
                <w:bdr w:val="single" w:color="auto" w:sz="2" w:space="0"/>
                <w:lang w:val="en-US" w:eastAsia="zh-CN" w:bidi="ar"/>
              </w:rPr>
              <w:t>罗布斯塔</w:t>
            </w:r>
          </w:p>
        </w:tc>
        <w:tc>
          <w:tcPr>
            <w:tcW w:w="1713" w:type="dxa"/>
            <w:tcBorders>
              <w:top w:val="nil"/>
              <w:left w:val="nil"/>
              <w:bottom w:val="nil"/>
            </w:tcBorders>
            <w:shd w:val="clear" w:color="auto" w:fill="FFFFFF"/>
            <w:vAlign w:val="center"/>
          </w:tcPr>
          <w:p w14:paraId="63C1B70F">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株型高大（成年树高 2.5</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3.0m，冠幅 2.0</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2.5m）</w:t>
            </w:r>
          </w:p>
        </w:tc>
        <w:tc>
          <w:tcPr>
            <w:tcW w:w="2109" w:type="dxa"/>
            <w:tcBorders>
              <w:top w:val="nil"/>
              <w:left w:val="nil"/>
              <w:bottom w:val="nil"/>
            </w:tcBorders>
            <w:shd w:val="clear" w:color="auto" w:fill="FFFFFF"/>
            <w:vAlign w:val="center"/>
          </w:tcPr>
          <w:p w14:paraId="4F9FB93D">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2.0m×3.0m 或 1.5m×2.2m（约 111-222 株 / 亩）</w:t>
            </w:r>
          </w:p>
        </w:tc>
        <w:tc>
          <w:tcPr>
            <w:tcW w:w="4406" w:type="dxa"/>
            <w:tcBorders>
              <w:top w:val="nil"/>
              <w:left w:val="nil"/>
              <w:bottom w:val="nil"/>
              <w:right w:val="nil"/>
            </w:tcBorders>
            <w:shd w:val="clear" w:color="auto" w:fill="FFFFFF"/>
            <w:vAlign w:val="center"/>
          </w:tcPr>
          <w:p w14:paraId="0A27F2A5">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高大株型必须稀植 ——2.0m×3.0m 的间距可完全避免冠幅重叠，1.5m×2.2m 则在 “保证光照” 的前提下适度提高密度（适合土壤肥力较好的地块），同时适配 “截顶控高”（避免树体过高导致采收困难）；</w:t>
            </w:r>
          </w:p>
        </w:tc>
      </w:tr>
    </w:tbl>
    <w:p w14:paraId="58DEDB85">
      <w:pPr>
        <w:pStyle w:val="15"/>
        <w:numPr>
          <w:ilvl w:val="0"/>
          <w:numId w:val="0"/>
        </w:numPr>
        <w:ind w:firstLine="640" w:firstLineChars="200"/>
        <w:rPr>
          <w:rFonts w:hint="eastAsia" w:ascii="Times New Roman" w:eastAsia="仿宋_GB2312"/>
          <w:b w:val="0"/>
          <w:bCs w:val="0"/>
        </w:rPr>
      </w:pPr>
      <w:r>
        <w:rPr>
          <w:rFonts w:hint="eastAsia" w:ascii="Times New Roman" w:eastAsia="仿宋_GB2312"/>
          <w:b w:val="0"/>
          <w:bCs w:val="0"/>
        </w:rPr>
        <w:t>若将不同等级的苗木混栽（如 50cm 的小苗与 60cm 的大苗种在同一片），大苗会因 “先发优势” 遮挡小苗光照（咖啡需充足光照光合），且根系更发达，争夺更多土壤养分（如氮、磷），导致小苗 “生长停滞”——3 个月后，大苗株高可能达 80cm，小苗仅 55cm，形成 “高矮不齐” 的园区。同级同片定植可让同一地块的苗木生长节奏一致（如均为 55</w:t>
      </w:r>
      <w:r>
        <w:rPr>
          <w:rFonts w:hint="eastAsia" w:eastAsia="仿宋_GB2312"/>
          <w:b w:val="0"/>
          <w:bCs w:val="0"/>
          <w:lang w:eastAsia="zh-CN"/>
        </w:rPr>
        <w:t>～</w:t>
      </w:r>
      <w:r>
        <w:rPr>
          <w:rFonts w:hint="eastAsia" w:ascii="Times New Roman" w:eastAsia="仿宋_GB2312"/>
          <w:b w:val="0"/>
          <w:bCs w:val="0"/>
        </w:rPr>
        <w:t>60cm 的一级苗），冠层形成后高度均匀，光照能均匀覆盖每株植株的中下部叶片，养分竞争均衡，避免 “强者愈强、弱者愈弱” 的两极分化。</w:t>
      </w:r>
    </w:p>
    <w:p w14:paraId="7C0CDB80">
      <w:pPr>
        <w:pStyle w:val="15"/>
        <w:numPr>
          <w:ilvl w:val="0"/>
          <w:numId w:val="0"/>
        </w:numPr>
        <w:ind w:firstLine="640" w:firstLineChars="200"/>
        <w:rPr>
          <w:rFonts w:hint="eastAsia" w:ascii="Times New Roman" w:eastAsia="仿宋_GB2312"/>
          <w:b w:val="0"/>
          <w:bCs w:val="0"/>
          <w:sz w:val="32"/>
          <w:szCs w:val="32"/>
          <w:lang w:eastAsia="zh-CN"/>
        </w:rPr>
      </w:pPr>
      <w:r>
        <w:rPr>
          <w:rFonts w:hint="eastAsia" w:eastAsia="仿宋_GB2312"/>
        </w:rPr>
        <w:t>咖啡幼苗定植后，处于 “缓苗恢复期”，需氮、磷、钾三种核心元素协同作用：氮（15%）：促进新叶萌发和茎秆生长，避免缓苗后叶片发黄（缺氮症状）；磷（15%）：加速根系修复和新须根萌发（磷是根系细胞分裂的关键），让根系快速恢复吸收功能；钾（15%）：增强幼苗抗逆性（如抗干旱、抗轻微低温），避免定植后因环境变化（如山地风力大）导致 “生长停滞”。若使用单一元素肥料（如仅施尿素），会导致养分失衡 —— 缺磷则根系弱，缺钾则抗逆差，而 15-15-15 的均衡配比恰好匹配缓苗期需求，是 “最经济高效的选择”。用量是根据苗木大小（50</w:t>
      </w:r>
      <w:r>
        <w:rPr>
          <w:rFonts w:hint="eastAsia" w:eastAsia="仿宋_GB2312"/>
          <w:lang w:eastAsia="zh-CN"/>
        </w:rPr>
        <w:t>～</w:t>
      </w:r>
      <w:r>
        <w:rPr>
          <w:rFonts w:hint="eastAsia" w:eastAsia="仿宋_GB2312"/>
        </w:rPr>
        <w:t>60cm 营养大杯苗）和缓苗期需肥量测算的：过少（＜50g）：养分不足，幼苗缓苗慢（3 个月株高增长＜10cm），需提前追肥，增加管理成本；过多（＞80g）：复合肥溶解后浓度过高（土壤溶液渗透压增大），会导致根系 “失水”（生理性干旱），表现为叶片卷曲、枯萎（肥害症状），成活率下降；50</w:t>
      </w:r>
      <w:r>
        <w:rPr>
          <w:rFonts w:hint="eastAsia" w:eastAsia="仿宋_GB2312"/>
          <w:lang w:eastAsia="zh-CN"/>
        </w:rPr>
        <w:t>～</w:t>
      </w:r>
      <w:r>
        <w:rPr>
          <w:rFonts w:hint="eastAsia" w:eastAsia="仿宋_GB2312"/>
        </w:rPr>
        <w:t>80g：刚好满足幼苗 1-2 个月的养分需求（缓苗后 20 天左右开始追第一次肥，7.2 施肥管理），无需额外补肥，且不会造成养分浪费。</w:t>
      </w:r>
    </w:p>
    <w:p w14:paraId="6ECCFF66">
      <w:pPr>
        <w:pStyle w:val="15"/>
        <w:numPr>
          <w:ilvl w:val="0"/>
          <w:numId w:val="0"/>
        </w:numPr>
        <w:ind w:firstLine="640" w:firstLineChars="200"/>
        <w:rPr>
          <w:rFonts w:hint="eastAsia" w:ascii="Times New Roman" w:eastAsia="仿宋_GB2312"/>
          <w:b w:val="0"/>
          <w:bCs w:val="0"/>
          <w:sz w:val="32"/>
          <w:szCs w:val="32"/>
          <w:lang w:eastAsia="zh-CN"/>
        </w:rPr>
      </w:pPr>
      <w:r>
        <w:rPr>
          <w:rFonts w:hint="eastAsia" w:ascii="Times New Roman" w:eastAsia="仿宋_GB2312"/>
          <w:b w:val="0"/>
          <w:bCs w:val="0"/>
          <w:sz w:val="32"/>
          <w:szCs w:val="32"/>
          <w:lang w:eastAsia="zh-CN"/>
        </w:rPr>
        <w:t>西林句町咖啡不同施肥情况长势对比表</w:t>
      </w:r>
    </w:p>
    <w:tbl>
      <w:tblPr>
        <w:tblW w:w="0" w:type="auto"/>
        <w:tblInd w:w="0" w:type="dxa"/>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590"/>
        <w:gridCol w:w="2606"/>
        <w:gridCol w:w="1909"/>
        <w:gridCol w:w="1709"/>
        <w:gridCol w:w="1818"/>
      </w:tblGrid>
      <w:tr w14:paraId="4A05A7BF">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rPr>
          <w:tblHeader/>
        </w:trPr>
        <w:tc>
          <w:tcPr>
            <w:tcW w:w="0" w:type="auto"/>
            <w:tcBorders>
              <w:top w:val="nil"/>
              <w:left w:val="nil"/>
              <w:bottom w:val="nil"/>
            </w:tcBorders>
            <w:shd w:val="clear" w:color="auto" w:fill="FFFFFF"/>
            <w:vAlign w:val="center"/>
          </w:tcPr>
          <w:p w14:paraId="2AE5D6C2">
            <w:pPr>
              <w:keepNext w:val="0"/>
              <w:keepLines w:val="0"/>
              <w:widowControl/>
              <w:suppressLineNumbers w:val="0"/>
              <w:spacing w:before="0" w:beforeAutospacing="0" w:after="0" w:afterAutospacing="0"/>
              <w:ind w:left="0" w:right="0" w:firstLine="0"/>
              <w:jc w:val="center"/>
              <w:rPr>
                <w:rFonts w:ascii="Segoe UI" w:hAnsi="Segoe UI" w:eastAsia="Segoe UI" w:cs="Segoe UI"/>
                <w:b/>
                <w:bCs/>
                <w:i w:val="0"/>
                <w:iCs w:val="0"/>
                <w:caps w:val="0"/>
                <w:color w:val="000000"/>
                <w:spacing w:val="0"/>
                <w:sz w:val="24"/>
                <w:szCs w:val="24"/>
              </w:rPr>
            </w:pPr>
            <w:r>
              <w:rPr>
                <w:rFonts w:hint="default" w:ascii="Segoe UI" w:hAnsi="Segoe UI" w:eastAsia="Segoe UI" w:cs="Segoe UI"/>
                <w:b/>
                <w:bCs/>
                <w:i w:val="0"/>
                <w:iCs w:val="0"/>
                <w:caps w:val="0"/>
                <w:color w:val="000000"/>
                <w:spacing w:val="0"/>
                <w:kern w:val="0"/>
                <w:sz w:val="24"/>
                <w:szCs w:val="24"/>
                <w:bdr w:val="none" w:color="auto" w:sz="0" w:space="0"/>
                <w:lang w:val="en-US" w:eastAsia="zh-CN" w:bidi="ar"/>
              </w:rPr>
              <w:t>施肥情况分类</w:t>
            </w:r>
          </w:p>
        </w:tc>
        <w:tc>
          <w:tcPr>
            <w:tcW w:w="0" w:type="auto"/>
            <w:tcBorders>
              <w:top w:val="nil"/>
              <w:left w:val="nil"/>
              <w:bottom w:val="nil"/>
            </w:tcBorders>
            <w:shd w:val="clear" w:color="auto" w:fill="FFFFFF"/>
            <w:vAlign w:val="center"/>
          </w:tcPr>
          <w:p w14:paraId="64582C26">
            <w:pPr>
              <w:keepNext w:val="0"/>
              <w:keepLines w:val="0"/>
              <w:widowControl/>
              <w:suppressLineNumbers w:val="0"/>
              <w:spacing w:before="0" w:beforeAutospacing="0" w:after="0" w:afterAutospacing="0"/>
              <w:ind w:left="0" w:right="0" w:firstLine="0"/>
              <w:jc w:val="center"/>
              <w:rPr>
                <w:rFonts w:hint="default" w:ascii="Segoe UI" w:hAnsi="Segoe UI" w:eastAsia="Segoe UI" w:cs="Segoe UI"/>
                <w:b/>
                <w:bCs/>
                <w:i w:val="0"/>
                <w:iCs w:val="0"/>
                <w:caps w:val="0"/>
                <w:color w:val="000000"/>
                <w:spacing w:val="0"/>
                <w:sz w:val="24"/>
                <w:szCs w:val="24"/>
              </w:rPr>
            </w:pPr>
            <w:r>
              <w:rPr>
                <w:rFonts w:hint="default" w:ascii="Segoe UI" w:hAnsi="Segoe UI" w:eastAsia="Segoe UI" w:cs="Segoe UI"/>
                <w:b/>
                <w:bCs/>
                <w:i w:val="0"/>
                <w:iCs w:val="0"/>
                <w:caps w:val="0"/>
                <w:color w:val="000000"/>
                <w:spacing w:val="0"/>
                <w:kern w:val="0"/>
                <w:sz w:val="24"/>
                <w:szCs w:val="24"/>
                <w:bdr w:val="none" w:color="auto" w:sz="0" w:space="0"/>
                <w:lang w:val="en-US" w:eastAsia="zh-CN" w:bidi="ar"/>
              </w:rPr>
              <w:t>施肥细节（对照标准 8.2/8.3）</w:t>
            </w:r>
          </w:p>
        </w:tc>
        <w:tc>
          <w:tcPr>
            <w:tcW w:w="0" w:type="auto"/>
            <w:tcBorders>
              <w:top w:val="nil"/>
              <w:left w:val="nil"/>
              <w:bottom w:val="nil"/>
            </w:tcBorders>
            <w:shd w:val="clear" w:color="auto" w:fill="FFFFFF"/>
            <w:vAlign w:val="center"/>
          </w:tcPr>
          <w:p w14:paraId="457B0BA2">
            <w:pPr>
              <w:keepNext w:val="0"/>
              <w:keepLines w:val="0"/>
              <w:widowControl/>
              <w:suppressLineNumbers w:val="0"/>
              <w:spacing w:before="0" w:beforeAutospacing="0" w:after="0" w:afterAutospacing="0"/>
              <w:ind w:left="0" w:right="0" w:firstLine="0"/>
              <w:jc w:val="center"/>
              <w:rPr>
                <w:rFonts w:hint="default" w:ascii="Segoe UI" w:hAnsi="Segoe UI" w:eastAsia="Segoe UI" w:cs="Segoe UI"/>
                <w:b/>
                <w:bCs/>
                <w:i w:val="0"/>
                <w:iCs w:val="0"/>
                <w:caps w:val="0"/>
                <w:color w:val="000000"/>
                <w:spacing w:val="0"/>
                <w:sz w:val="24"/>
                <w:szCs w:val="24"/>
              </w:rPr>
            </w:pPr>
            <w:r>
              <w:rPr>
                <w:rFonts w:hint="default" w:ascii="Segoe UI" w:hAnsi="Segoe UI" w:eastAsia="Segoe UI" w:cs="Segoe UI"/>
                <w:b/>
                <w:bCs/>
                <w:i w:val="0"/>
                <w:iCs w:val="0"/>
                <w:caps w:val="0"/>
                <w:color w:val="000000"/>
                <w:spacing w:val="0"/>
                <w:kern w:val="0"/>
                <w:sz w:val="24"/>
                <w:szCs w:val="24"/>
                <w:bdr w:val="none" w:color="auto" w:sz="0" w:space="0"/>
                <w:lang w:val="en-US" w:eastAsia="zh-CN" w:bidi="ar"/>
              </w:rPr>
              <w:t>定植后 3 个月长势</w:t>
            </w:r>
          </w:p>
        </w:tc>
        <w:tc>
          <w:tcPr>
            <w:tcW w:w="0" w:type="auto"/>
            <w:tcBorders>
              <w:top w:val="nil"/>
              <w:left w:val="nil"/>
              <w:bottom w:val="nil"/>
            </w:tcBorders>
            <w:shd w:val="clear" w:color="auto" w:fill="FFFFFF"/>
            <w:vAlign w:val="center"/>
          </w:tcPr>
          <w:p w14:paraId="44F266A1">
            <w:pPr>
              <w:keepNext w:val="0"/>
              <w:keepLines w:val="0"/>
              <w:widowControl/>
              <w:suppressLineNumbers w:val="0"/>
              <w:spacing w:before="0" w:beforeAutospacing="0" w:after="0" w:afterAutospacing="0"/>
              <w:ind w:left="0" w:right="0" w:firstLine="0"/>
              <w:jc w:val="center"/>
              <w:rPr>
                <w:rFonts w:hint="default" w:ascii="Segoe UI" w:hAnsi="Segoe UI" w:eastAsia="Segoe UI" w:cs="Segoe UI"/>
                <w:b/>
                <w:bCs/>
                <w:i w:val="0"/>
                <w:iCs w:val="0"/>
                <w:caps w:val="0"/>
                <w:color w:val="000000"/>
                <w:spacing w:val="0"/>
                <w:sz w:val="24"/>
                <w:szCs w:val="24"/>
              </w:rPr>
            </w:pPr>
            <w:r>
              <w:rPr>
                <w:rFonts w:hint="default" w:ascii="Segoe UI" w:hAnsi="Segoe UI" w:eastAsia="Segoe UI" w:cs="Segoe UI"/>
                <w:b/>
                <w:bCs/>
                <w:i w:val="0"/>
                <w:iCs w:val="0"/>
                <w:caps w:val="0"/>
                <w:color w:val="000000"/>
                <w:spacing w:val="0"/>
                <w:kern w:val="0"/>
                <w:sz w:val="24"/>
                <w:szCs w:val="24"/>
                <w:bdr w:val="none" w:color="auto" w:sz="0" w:space="0"/>
                <w:lang w:val="en-US" w:eastAsia="zh-CN" w:bidi="ar"/>
              </w:rPr>
              <w:t>定植后 1 年长势</w:t>
            </w:r>
          </w:p>
        </w:tc>
        <w:tc>
          <w:tcPr>
            <w:tcW w:w="0" w:type="auto"/>
            <w:tcBorders>
              <w:top w:val="nil"/>
              <w:left w:val="nil"/>
              <w:bottom w:val="nil"/>
              <w:right w:val="nil"/>
            </w:tcBorders>
            <w:shd w:val="clear" w:color="auto" w:fill="FFFFFF"/>
            <w:vAlign w:val="center"/>
          </w:tcPr>
          <w:p w14:paraId="275E30C4">
            <w:pPr>
              <w:keepNext w:val="0"/>
              <w:keepLines w:val="0"/>
              <w:widowControl/>
              <w:suppressLineNumbers w:val="0"/>
              <w:spacing w:before="0" w:beforeAutospacing="0" w:after="0" w:afterAutospacing="0"/>
              <w:ind w:left="0" w:right="0" w:firstLine="0"/>
              <w:jc w:val="center"/>
              <w:rPr>
                <w:rFonts w:hint="default" w:ascii="Segoe UI" w:hAnsi="Segoe UI" w:eastAsia="Segoe UI" w:cs="Segoe UI"/>
                <w:b/>
                <w:bCs/>
                <w:i w:val="0"/>
                <w:iCs w:val="0"/>
                <w:caps w:val="0"/>
                <w:color w:val="000000"/>
                <w:spacing w:val="0"/>
                <w:sz w:val="24"/>
                <w:szCs w:val="24"/>
              </w:rPr>
            </w:pPr>
            <w:r>
              <w:rPr>
                <w:rFonts w:hint="default" w:ascii="Segoe UI" w:hAnsi="Segoe UI" w:eastAsia="Segoe UI" w:cs="Segoe UI"/>
                <w:b/>
                <w:bCs/>
                <w:i w:val="0"/>
                <w:iCs w:val="0"/>
                <w:caps w:val="0"/>
                <w:color w:val="000000"/>
                <w:spacing w:val="0"/>
                <w:kern w:val="0"/>
                <w:sz w:val="24"/>
                <w:szCs w:val="24"/>
                <w:bdr w:val="none" w:color="auto" w:sz="0" w:space="0"/>
                <w:lang w:val="en-US" w:eastAsia="zh-CN" w:bidi="ar"/>
              </w:rPr>
              <w:t>盛产期（3 年及以上）表现</w:t>
            </w:r>
          </w:p>
        </w:tc>
      </w:tr>
      <w:tr w14:paraId="18F46A89">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0" w:type="auto"/>
            <w:tcBorders>
              <w:top w:val="nil"/>
              <w:left w:val="nil"/>
              <w:bottom w:val="nil"/>
            </w:tcBorders>
            <w:shd w:val="clear" w:color="auto" w:fill="FFFFFF"/>
            <w:vAlign w:val="center"/>
          </w:tcPr>
          <w:p w14:paraId="521C9BD4">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Style w:val="13"/>
                <w:rFonts w:hint="default" w:ascii="Segoe UI" w:hAnsi="Segoe UI" w:eastAsia="Segoe UI" w:cs="Segoe UI"/>
                <w:i w:val="0"/>
                <w:iCs w:val="0"/>
                <w:caps w:val="0"/>
                <w:color w:val="000000"/>
                <w:spacing w:val="0"/>
                <w:kern w:val="0"/>
                <w:sz w:val="24"/>
                <w:szCs w:val="24"/>
                <w:bdr w:val="single" w:color="auto" w:sz="2" w:space="0"/>
                <w:lang w:val="en-US" w:eastAsia="zh-CN" w:bidi="ar"/>
              </w:rPr>
              <w:t>达标施肥（标准合规）</w:t>
            </w:r>
          </w:p>
        </w:tc>
        <w:tc>
          <w:tcPr>
            <w:tcW w:w="0" w:type="auto"/>
            <w:tcBorders>
              <w:top w:val="nil"/>
              <w:left w:val="nil"/>
              <w:bottom w:val="nil"/>
            </w:tcBorders>
            <w:shd w:val="clear" w:color="auto" w:fill="FFFFFF"/>
            <w:vAlign w:val="center"/>
          </w:tcPr>
          <w:p w14:paraId="06068866">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1. 时间：每年 5、7、9 月追肥 3 次；2. 用量：</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 xml:space="preserve"> 定植当年：20d 施尿素 20g / 株，7/9 月各施 15-15-15 复合肥 20g / 株；</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 xml:space="preserve"> 2 年生：5 月 50g、7 月 75g、9 月 50g 复合肥 / 株；</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 xml:space="preserve"> 3 年及以上：5 月 100g、7 月 150g、9 月 100g 复合肥 / 株；3. 方法：前 3 年半环状施肥，3 年后条沟施肥，交替方位不重复。</w:t>
            </w:r>
          </w:p>
        </w:tc>
        <w:tc>
          <w:tcPr>
            <w:tcW w:w="0" w:type="auto"/>
            <w:tcBorders>
              <w:top w:val="nil"/>
              <w:left w:val="nil"/>
              <w:bottom w:val="nil"/>
            </w:tcBorders>
            <w:shd w:val="clear" w:color="auto" w:fill="FFFFFF"/>
            <w:vAlign w:val="center"/>
          </w:tcPr>
          <w:p w14:paraId="1A2A21C9">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株高增长 15</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20cm，茎粗 0.8</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1.0cm；叶片浓绿、厚实（0.3</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0.4mm），无黄叶；根系发达，须根多（长度＞20cm），新根白色有光泽。</w:t>
            </w:r>
          </w:p>
        </w:tc>
        <w:tc>
          <w:tcPr>
            <w:tcW w:w="0" w:type="auto"/>
            <w:tcBorders>
              <w:top w:val="nil"/>
              <w:left w:val="nil"/>
              <w:bottom w:val="nil"/>
            </w:tcBorders>
            <w:shd w:val="clear" w:color="auto" w:fill="FFFFFF"/>
            <w:vAlign w:val="center"/>
          </w:tcPr>
          <w:p w14:paraId="0F76598F">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株高 1.2</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1.5m，茎粗 1.5</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2.0cm；分枝数 3-5 条（卡蒂姆）/2-3 条（罗布斯塔），分枝健壮；叶片均匀分布，光合面积充足。</w:t>
            </w:r>
          </w:p>
        </w:tc>
        <w:tc>
          <w:tcPr>
            <w:tcW w:w="0" w:type="auto"/>
            <w:tcBorders>
              <w:top w:val="nil"/>
              <w:left w:val="nil"/>
              <w:bottom w:val="nil"/>
              <w:right w:val="nil"/>
            </w:tcBorders>
            <w:shd w:val="clear" w:color="auto" w:fill="FFFFFF"/>
            <w:vAlign w:val="center"/>
          </w:tcPr>
          <w:p w14:paraId="1A29608B">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开花量稳定（每株 150-200 朵），坐果率 70%</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80%；单株产量 1.5</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2.0kg 干豆（卡蒂姆）/2.5</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3.0kg 干豆（罗布斯塔）；果实均匀，蔗糖含量 6%</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8%，风味醇厚。</w:t>
            </w:r>
          </w:p>
        </w:tc>
      </w:tr>
      <w:tr w14:paraId="0F37C113">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nil"/>
              <w:left w:val="nil"/>
              <w:bottom w:val="nil"/>
            </w:tcBorders>
            <w:shd w:val="clear" w:color="auto" w:fill="FFFFFF"/>
            <w:vAlign w:val="center"/>
          </w:tcPr>
          <w:p w14:paraId="74CF2DF1">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Style w:val="13"/>
                <w:rFonts w:hint="default" w:ascii="Segoe UI" w:hAnsi="Segoe UI" w:eastAsia="Segoe UI" w:cs="Segoe UI"/>
                <w:i w:val="0"/>
                <w:iCs w:val="0"/>
                <w:caps w:val="0"/>
                <w:color w:val="000000"/>
                <w:spacing w:val="0"/>
                <w:kern w:val="0"/>
                <w:sz w:val="24"/>
                <w:szCs w:val="24"/>
                <w:bdr w:val="single" w:color="auto" w:sz="2" w:space="0"/>
                <w:lang w:val="en-US" w:eastAsia="zh-CN" w:bidi="ar"/>
              </w:rPr>
              <w:t>缺氮施肥</w:t>
            </w:r>
          </w:p>
        </w:tc>
        <w:tc>
          <w:tcPr>
            <w:tcW w:w="0" w:type="auto"/>
            <w:tcBorders>
              <w:top w:val="nil"/>
              <w:left w:val="nil"/>
              <w:bottom w:val="nil"/>
            </w:tcBorders>
            <w:shd w:val="clear" w:color="auto" w:fill="FFFFFF"/>
            <w:vAlign w:val="center"/>
          </w:tcPr>
          <w:p w14:paraId="44C30768">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1. 未施尿素，复合肥中氮含量＜10%；2. 追肥间隔＞2 个月，或用量仅为标准的 50%（如定植当年 7 月施复合肥 10g / 株）。</w:t>
            </w:r>
          </w:p>
        </w:tc>
        <w:tc>
          <w:tcPr>
            <w:tcW w:w="0" w:type="auto"/>
            <w:tcBorders>
              <w:top w:val="nil"/>
              <w:left w:val="nil"/>
              <w:bottom w:val="nil"/>
            </w:tcBorders>
            <w:shd w:val="clear" w:color="auto" w:fill="FFFFFF"/>
            <w:vAlign w:val="center"/>
          </w:tcPr>
          <w:p w14:paraId="423EAF64">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株高增长＜8cm，茎粗＜0.6cm；叶片发黄（从老叶开始）、变薄（＜0.2mm），叶片稀疏；根系细弱，须根少。</w:t>
            </w:r>
          </w:p>
        </w:tc>
        <w:tc>
          <w:tcPr>
            <w:tcW w:w="0" w:type="auto"/>
            <w:tcBorders>
              <w:top w:val="nil"/>
              <w:left w:val="nil"/>
              <w:bottom w:val="nil"/>
            </w:tcBorders>
            <w:shd w:val="clear" w:color="auto" w:fill="FFFFFF"/>
            <w:vAlign w:val="center"/>
          </w:tcPr>
          <w:p w14:paraId="55F561B8">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株高＜0.8m，茎粗＜1.0cm；分枝数 1-2 条，分枝纤细易倒伏；下部叶片大量脱落，光合面积不足。</w:t>
            </w:r>
          </w:p>
        </w:tc>
        <w:tc>
          <w:tcPr>
            <w:tcW w:w="0" w:type="auto"/>
            <w:tcBorders>
              <w:top w:val="nil"/>
              <w:left w:val="nil"/>
              <w:bottom w:val="nil"/>
              <w:right w:val="nil"/>
            </w:tcBorders>
            <w:shd w:val="clear" w:color="auto" w:fill="FFFFFF"/>
            <w:vAlign w:val="center"/>
          </w:tcPr>
          <w:p w14:paraId="64214FC5">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开花量少（每株＜50 朵），坐果率＜40%；单株产量＜0.5kg 干豆；果实小，酸涩感重（绿原酸含量过高）。</w:t>
            </w:r>
          </w:p>
        </w:tc>
      </w:tr>
      <w:tr w14:paraId="2F81FA8B">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nil"/>
              <w:left w:val="nil"/>
              <w:bottom w:val="nil"/>
            </w:tcBorders>
            <w:shd w:val="clear" w:color="auto" w:fill="FFFFFF"/>
            <w:vAlign w:val="center"/>
          </w:tcPr>
          <w:p w14:paraId="3841C8DD">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Style w:val="13"/>
                <w:rFonts w:hint="default" w:ascii="Segoe UI" w:hAnsi="Segoe UI" w:eastAsia="Segoe UI" w:cs="Segoe UI"/>
                <w:i w:val="0"/>
                <w:iCs w:val="0"/>
                <w:caps w:val="0"/>
                <w:color w:val="000000"/>
                <w:spacing w:val="0"/>
                <w:kern w:val="0"/>
                <w:sz w:val="24"/>
                <w:szCs w:val="24"/>
                <w:bdr w:val="single" w:color="auto" w:sz="2" w:space="0"/>
                <w:lang w:val="en-US" w:eastAsia="zh-CN" w:bidi="ar"/>
              </w:rPr>
              <w:t>缺磷施肥</w:t>
            </w:r>
          </w:p>
        </w:tc>
        <w:tc>
          <w:tcPr>
            <w:tcW w:w="0" w:type="auto"/>
            <w:tcBorders>
              <w:top w:val="nil"/>
              <w:left w:val="nil"/>
              <w:bottom w:val="nil"/>
            </w:tcBorders>
            <w:shd w:val="clear" w:color="auto" w:fill="FFFFFF"/>
            <w:vAlign w:val="center"/>
          </w:tcPr>
          <w:p w14:paraId="29201D23">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1. 基肥未施磷肥（P₂O₅ 12%</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18%），追肥用无磷肥料；2. 磷肥用量仅为标准的 30%（如定植前施磷肥 0.03kg / 株）。</w:t>
            </w:r>
          </w:p>
        </w:tc>
        <w:tc>
          <w:tcPr>
            <w:tcW w:w="0" w:type="auto"/>
            <w:tcBorders>
              <w:top w:val="nil"/>
              <w:left w:val="nil"/>
              <w:bottom w:val="nil"/>
            </w:tcBorders>
            <w:shd w:val="clear" w:color="auto" w:fill="FFFFFF"/>
            <w:vAlign w:val="center"/>
          </w:tcPr>
          <w:p w14:paraId="291C311E">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株高增长 10</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12cm，茎粗 0.7</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0.8cm；叶片暗绿、无光泽；根系短粗（长度＜15cm），侧根少，根毛稀疏。</w:t>
            </w:r>
          </w:p>
        </w:tc>
        <w:tc>
          <w:tcPr>
            <w:tcW w:w="0" w:type="auto"/>
            <w:tcBorders>
              <w:top w:val="nil"/>
              <w:left w:val="nil"/>
              <w:bottom w:val="nil"/>
            </w:tcBorders>
            <w:shd w:val="clear" w:color="auto" w:fill="FFFFFF"/>
            <w:vAlign w:val="center"/>
          </w:tcPr>
          <w:p w14:paraId="6195B0FA">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株高 1.0</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1.2m，茎粗 1.2</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1.5cm；分枝少且短，顶芽生长缓慢；根系扎根浅（＜30cm），耐旱能力弱。</w:t>
            </w:r>
          </w:p>
        </w:tc>
        <w:tc>
          <w:tcPr>
            <w:tcW w:w="0" w:type="auto"/>
            <w:tcBorders>
              <w:top w:val="nil"/>
              <w:left w:val="nil"/>
              <w:bottom w:val="nil"/>
              <w:right w:val="nil"/>
            </w:tcBorders>
            <w:shd w:val="clear" w:color="auto" w:fill="FFFFFF"/>
            <w:vAlign w:val="center"/>
          </w:tcPr>
          <w:p w14:paraId="08DA47E4">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花芽分化少（仅为达标组的 40%），开花延迟 10-15 天；坐果率＜50%，易落果（落果率＞25%）；单株产量＜0.8kg 干豆，果实成熟不一致。</w:t>
            </w:r>
          </w:p>
        </w:tc>
      </w:tr>
      <w:tr w14:paraId="2FC18271">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0" w:type="auto"/>
            <w:tcBorders>
              <w:top w:val="nil"/>
              <w:left w:val="nil"/>
              <w:bottom w:val="nil"/>
            </w:tcBorders>
            <w:shd w:val="clear" w:color="auto" w:fill="FFFFFF"/>
            <w:vAlign w:val="center"/>
          </w:tcPr>
          <w:p w14:paraId="3D80CD9B">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Style w:val="13"/>
                <w:rFonts w:hint="default" w:ascii="Segoe UI" w:hAnsi="Segoe UI" w:eastAsia="Segoe UI" w:cs="Segoe UI"/>
                <w:i w:val="0"/>
                <w:iCs w:val="0"/>
                <w:caps w:val="0"/>
                <w:color w:val="000000"/>
                <w:spacing w:val="0"/>
                <w:kern w:val="0"/>
                <w:sz w:val="24"/>
                <w:szCs w:val="24"/>
                <w:bdr w:val="single" w:color="auto" w:sz="2" w:space="0"/>
                <w:lang w:val="en-US" w:eastAsia="zh-CN" w:bidi="ar"/>
              </w:rPr>
              <w:t>缺钾施肥</w:t>
            </w:r>
          </w:p>
        </w:tc>
        <w:tc>
          <w:tcPr>
            <w:tcW w:w="0" w:type="auto"/>
            <w:tcBorders>
              <w:top w:val="nil"/>
              <w:left w:val="nil"/>
              <w:bottom w:val="nil"/>
            </w:tcBorders>
            <w:shd w:val="clear" w:color="auto" w:fill="FFFFFF"/>
            <w:vAlign w:val="center"/>
          </w:tcPr>
          <w:p w14:paraId="04FDD6DA">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1. 追肥用低钾复合肥（K₂O＜8%），未补充钾肥；2. 雨季未额外补钾（标准未明确但实际需补充，缺钾时未补）。</w:t>
            </w:r>
          </w:p>
        </w:tc>
        <w:tc>
          <w:tcPr>
            <w:tcW w:w="0" w:type="auto"/>
            <w:tcBorders>
              <w:top w:val="nil"/>
              <w:left w:val="nil"/>
              <w:bottom w:val="nil"/>
            </w:tcBorders>
            <w:shd w:val="clear" w:color="auto" w:fill="FFFFFF"/>
            <w:vAlign w:val="center"/>
          </w:tcPr>
          <w:p w14:paraId="74A03870">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株高增长 12</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14cm，茎粗 0.8cm 左右；叶片边缘焦枯（“金边叶”），叶尖发黄；根系易受病害侵袭（如根腐病发生率增加 20%）。</w:t>
            </w:r>
          </w:p>
        </w:tc>
        <w:tc>
          <w:tcPr>
            <w:tcW w:w="0" w:type="auto"/>
            <w:tcBorders>
              <w:top w:val="nil"/>
              <w:left w:val="nil"/>
              <w:bottom w:val="nil"/>
            </w:tcBorders>
            <w:shd w:val="clear" w:color="auto" w:fill="FFFFFF"/>
            <w:vAlign w:val="center"/>
          </w:tcPr>
          <w:p w14:paraId="15171E6D">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株高 1.1</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1.3m，茎粗 1.3</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1.6cm；分枝易折断（木质化程度低），叶片抗逆性差（高温时易萎蔫）。</w:t>
            </w:r>
          </w:p>
        </w:tc>
        <w:tc>
          <w:tcPr>
            <w:tcW w:w="0" w:type="auto"/>
            <w:tcBorders>
              <w:top w:val="nil"/>
              <w:left w:val="nil"/>
              <w:bottom w:val="nil"/>
              <w:right w:val="nil"/>
            </w:tcBorders>
            <w:shd w:val="clear" w:color="auto" w:fill="FFFFFF"/>
            <w:vAlign w:val="center"/>
          </w:tcPr>
          <w:p w14:paraId="1537F109">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果实成熟后期易裂果（裂果率＞15%），果皮薄；单株产量＜1.0kg 干豆，果实甜度低（蔗糖含量＜4%），风味寡淡。</w:t>
            </w:r>
          </w:p>
        </w:tc>
      </w:tr>
      <w:tr w14:paraId="7E0B8092">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nil"/>
              <w:left w:val="nil"/>
              <w:bottom w:val="nil"/>
            </w:tcBorders>
            <w:shd w:val="clear" w:color="auto" w:fill="FFFFFF"/>
            <w:vAlign w:val="center"/>
          </w:tcPr>
          <w:p w14:paraId="06563175">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Style w:val="13"/>
                <w:rFonts w:hint="default" w:ascii="Segoe UI" w:hAnsi="Segoe UI" w:eastAsia="Segoe UI" w:cs="Segoe UI"/>
                <w:i w:val="0"/>
                <w:iCs w:val="0"/>
                <w:caps w:val="0"/>
                <w:color w:val="000000"/>
                <w:spacing w:val="0"/>
                <w:kern w:val="0"/>
                <w:sz w:val="24"/>
                <w:szCs w:val="24"/>
                <w:bdr w:val="single" w:color="auto" w:sz="2" w:space="0"/>
                <w:lang w:val="en-US" w:eastAsia="zh-CN" w:bidi="ar"/>
              </w:rPr>
              <w:t>施肥过量</w:t>
            </w:r>
          </w:p>
        </w:tc>
        <w:tc>
          <w:tcPr>
            <w:tcW w:w="0" w:type="auto"/>
            <w:tcBorders>
              <w:top w:val="nil"/>
              <w:left w:val="nil"/>
              <w:bottom w:val="nil"/>
            </w:tcBorders>
            <w:shd w:val="clear" w:color="auto" w:fill="FFFFFF"/>
            <w:vAlign w:val="center"/>
          </w:tcPr>
          <w:p w14:paraId="7932144D">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1. 用量为标准的 2 倍（如 3 年生 7 月施复合肥 300g / 株）；2. 施肥方法错误（如贴近茎基施肥，未在滴水线外）。</w:t>
            </w:r>
          </w:p>
        </w:tc>
        <w:tc>
          <w:tcPr>
            <w:tcW w:w="0" w:type="auto"/>
            <w:tcBorders>
              <w:top w:val="nil"/>
              <w:left w:val="nil"/>
              <w:bottom w:val="nil"/>
            </w:tcBorders>
            <w:shd w:val="clear" w:color="auto" w:fill="FFFFFF"/>
            <w:vAlign w:val="center"/>
          </w:tcPr>
          <w:p w14:paraId="7B0D96D5">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株高增长＜5cm，茎粗 0.5</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0.7cm；叶片卷曲、发黄（从新叶开始），叶尖枯萎；根系发黑腐烂（肥害导致），成活率＜60%。</w:t>
            </w:r>
          </w:p>
        </w:tc>
        <w:tc>
          <w:tcPr>
            <w:tcW w:w="0" w:type="auto"/>
            <w:tcBorders>
              <w:top w:val="nil"/>
              <w:left w:val="nil"/>
              <w:bottom w:val="nil"/>
            </w:tcBorders>
            <w:shd w:val="clear" w:color="auto" w:fill="FFFFFF"/>
            <w:vAlign w:val="center"/>
          </w:tcPr>
          <w:p w14:paraId="52B1EA63">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存活株株高＜0.9m，茎粗＜1.2cm；分枝少且畸形，叶片大量脱落；根系功能衰退，吸收能力差。</w:t>
            </w:r>
          </w:p>
        </w:tc>
        <w:tc>
          <w:tcPr>
            <w:tcW w:w="0" w:type="auto"/>
            <w:tcBorders>
              <w:top w:val="nil"/>
              <w:left w:val="nil"/>
              <w:bottom w:val="nil"/>
              <w:right w:val="nil"/>
            </w:tcBorders>
            <w:shd w:val="clear" w:color="auto" w:fill="FFFFFF"/>
            <w:vAlign w:val="center"/>
          </w:tcPr>
          <w:p w14:paraId="119119E9">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几乎无有效开花，或开花后全部落果；即使结果，果实小且畸形，无商品价值；植株易早衰（经济寿命缩短至 5-8 年，正常为 15-20 年）。</w:t>
            </w:r>
          </w:p>
        </w:tc>
      </w:tr>
      <w:tr w14:paraId="21E5A8B8">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nil"/>
              <w:left w:val="nil"/>
              <w:bottom w:val="nil"/>
            </w:tcBorders>
            <w:shd w:val="clear" w:color="auto" w:fill="FFFFFF"/>
            <w:vAlign w:val="center"/>
          </w:tcPr>
          <w:p w14:paraId="1A0F4C85">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Style w:val="13"/>
                <w:rFonts w:hint="default" w:ascii="Segoe UI" w:hAnsi="Segoe UI" w:eastAsia="Segoe UI" w:cs="Segoe UI"/>
                <w:i w:val="0"/>
                <w:iCs w:val="0"/>
                <w:caps w:val="0"/>
                <w:color w:val="000000"/>
                <w:spacing w:val="0"/>
                <w:kern w:val="0"/>
                <w:sz w:val="24"/>
                <w:szCs w:val="24"/>
                <w:bdr w:val="single" w:color="auto" w:sz="2" w:space="0"/>
                <w:lang w:val="en-US" w:eastAsia="zh-CN" w:bidi="ar"/>
              </w:rPr>
              <w:t>未施基肥 + 追肥不规律</w:t>
            </w:r>
          </w:p>
        </w:tc>
        <w:tc>
          <w:tcPr>
            <w:tcW w:w="0" w:type="auto"/>
            <w:tcBorders>
              <w:top w:val="nil"/>
              <w:left w:val="nil"/>
              <w:bottom w:val="nil"/>
            </w:tcBorders>
            <w:shd w:val="clear" w:color="auto" w:fill="FFFFFF"/>
            <w:vAlign w:val="center"/>
          </w:tcPr>
          <w:p w14:paraId="0117BE45">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1. 定植前未施腐熟农家肥 + 磷肥；2. 追肥间隔＞3 个月，或漏施 1-2 次（如仅施 5 月肥，漏施 7/9 月肥）。</w:t>
            </w:r>
          </w:p>
        </w:tc>
        <w:tc>
          <w:tcPr>
            <w:tcW w:w="0" w:type="auto"/>
            <w:tcBorders>
              <w:top w:val="nil"/>
              <w:left w:val="nil"/>
              <w:bottom w:val="nil"/>
            </w:tcBorders>
            <w:shd w:val="clear" w:color="auto" w:fill="FFFFFF"/>
            <w:vAlign w:val="center"/>
          </w:tcPr>
          <w:p w14:paraId="68BEDD92">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株高增长＜6cm，茎粗＜0.5cm；叶片发黄、稀疏，生长停滞；根系浅（＜20cm），须根少，易受杂草竞争压制。</w:t>
            </w:r>
          </w:p>
        </w:tc>
        <w:tc>
          <w:tcPr>
            <w:tcW w:w="0" w:type="auto"/>
            <w:tcBorders>
              <w:top w:val="nil"/>
              <w:left w:val="nil"/>
              <w:bottom w:val="nil"/>
            </w:tcBorders>
            <w:shd w:val="clear" w:color="auto" w:fill="FFFFFF"/>
            <w:vAlign w:val="center"/>
          </w:tcPr>
          <w:p w14:paraId="71C157CA">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株高＜0.7m，茎粗＜1.0cm；无有效分枝，植株瘦弱；根系易感染病虫害（如根结线虫发生率增加 30%）。</w:t>
            </w:r>
          </w:p>
        </w:tc>
        <w:tc>
          <w:tcPr>
            <w:tcW w:w="0" w:type="auto"/>
            <w:tcBorders>
              <w:top w:val="nil"/>
              <w:left w:val="nil"/>
              <w:bottom w:val="nil"/>
              <w:right w:val="nil"/>
            </w:tcBorders>
            <w:shd w:val="clear" w:color="auto" w:fill="FFFFFF"/>
            <w:vAlign w:val="center"/>
          </w:tcPr>
          <w:p w14:paraId="51CB89D6">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无法进入盛产期（3 年生仍无开花，正常 2 年生初产）；即使后期补肥，产量也仅为达标组的 20%</w:t>
            </w:r>
            <w:r>
              <w:rPr>
                <w:rFonts w:hint="eastAsia" w:ascii="Segoe UI" w:hAnsi="Segoe UI" w:eastAsia="Segoe UI" w:cs="Segoe UI"/>
                <w:i w:val="0"/>
                <w:iCs w:val="0"/>
                <w:caps w:val="0"/>
                <w:color w:val="000000"/>
                <w:spacing w:val="0"/>
                <w:kern w:val="0"/>
                <w:sz w:val="24"/>
                <w:szCs w:val="24"/>
                <w:bdr w:val="none" w:color="auto" w:sz="0" w:space="0"/>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lang w:val="en-US" w:eastAsia="zh-CN" w:bidi="ar"/>
              </w:rPr>
              <w:t>30%，品质极差。</w:t>
            </w:r>
          </w:p>
        </w:tc>
      </w:tr>
      <w:tr w14:paraId="23F8B93A">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nil"/>
              <w:left w:val="nil"/>
              <w:bottom w:val="nil"/>
            </w:tcBorders>
            <w:shd w:val="clear" w:color="auto" w:fill="FFFFFF"/>
            <w:vAlign w:val="center"/>
          </w:tcPr>
          <w:p w14:paraId="1E675C63">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Style w:val="13"/>
                <w:rFonts w:hint="default" w:ascii="Segoe UI" w:hAnsi="Segoe UI" w:eastAsia="Segoe UI" w:cs="Segoe UI"/>
                <w:i w:val="0"/>
                <w:iCs w:val="0"/>
                <w:caps w:val="0"/>
                <w:color w:val="000000"/>
                <w:spacing w:val="0"/>
                <w:kern w:val="0"/>
                <w:sz w:val="24"/>
                <w:szCs w:val="24"/>
                <w:bdr w:val="single" w:color="auto" w:sz="2" w:space="0"/>
                <w:lang w:val="en-US" w:eastAsia="zh-CN" w:bidi="ar"/>
              </w:rPr>
              <w:t>用未腐熟有机肥</w:t>
            </w:r>
          </w:p>
        </w:tc>
        <w:tc>
          <w:tcPr>
            <w:tcW w:w="0" w:type="auto"/>
            <w:tcBorders>
              <w:top w:val="nil"/>
              <w:left w:val="nil"/>
              <w:bottom w:val="nil"/>
            </w:tcBorders>
            <w:shd w:val="clear" w:color="auto" w:fill="FFFFFF"/>
            <w:vAlign w:val="center"/>
          </w:tcPr>
          <w:p w14:paraId="1B0FAD22">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1. 基肥用未腐熟农家肥（如新鲜猪粪、牛粪）；2. 追肥时混入未腐熟秸秆或绿肥。</w:t>
            </w:r>
          </w:p>
        </w:tc>
        <w:tc>
          <w:tcPr>
            <w:tcW w:w="0" w:type="auto"/>
            <w:tcBorders>
              <w:top w:val="nil"/>
              <w:left w:val="nil"/>
              <w:bottom w:val="nil"/>
            </w:tcBorders>
            <w:shd w:val="clear" w:color="auto" w:fill="FFFFFF"/>
            <w:vAlign w:val="center"/>
          </w:tcPr>
          <w:p w14:paraId="0CD016F3">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株高增长＜7cm，茎粗 0.6cm 左右；叶片发黄、萎蔫；根系灼伤（发酵放热导致），部分植株烂根死苗，成活率＜50%。</w:t>
            </w:r>
          </w:p>
        </w:tc>
        <w:tc>
          <w:tcPr>
            <w:tcW w:w="0" w:type="auto"/>
            <w:tcBorders>
              <w:top w:val="nil"/>
              <w:left w:val="nil"/>
              <w:bottom w:val="nil"/>
            </w:tcBorders>
            <w:shd w:val="clear" w:color="auto" w:fill="FFFFFF"/>
            <w:vAlign w:val="center"/>
          </w:tcPr>
          <w:p w14:paraId="314BC826">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存活株株高＜0.8m，茎粗＜1.1cm；分枝少，叶片有斑点（病原菌感染）；土壤板结（未腐熟有机肥未改良土壤结构）。</w:t>
            </w:r>
          </w:p>
        </w:tc>
        <w:tc>
          <w:tcPr>
            <w:tcW w:w="0" w:type="auto"/>
            <w:tcBorders>
              <w:top w:val="nil"/>
              <w:left w:val="nil"/>
              <w:bottom w:val="nil"/>
              <w:right w:val="nil"/>
            </w:tcBorders>
            <w:shd w:val="clear" w:color="auto" w:fill="FFFFFF"/>
            <w:vAlign w:val="center"/>
          </w:tcPr>
          <w:p w14:paraId="36E85FA6">
            <w:pPr>
              <w:keepNext w:val="0"/>
              <w:keepLines w:val="0"/>
              <w:widowControl/>
              <w:suppressLineNumbers w:val="0"/>
              <w:spacing w:before="0" w:beforeAutospacing="0" w:after="0" w:afterAutospacing="0"/>
              <w:ind w:left="0" w:right="0" w:firstLine="0"/>
              <w:jc w:val="left"/>
              <w:rPr>
                <w:rFonts w:hint="default" w:ascii="Segoe UI" w:hAnsi="Segoe UI" w:eastAsia="Segoe UI" w:cs="Segoe UI"/>
                <w:i w:val="0"/>
                <w:iCs w:val="0"/>
                <w:caps w:val="0"/>
                <w:color w:val="000000"/>
                <w:spacing w:val="0"/>
                <w:sz w:val="24"/>
                <w:szCs w:val="24"/>
              </w:rPr>
            </w:pPr>
            <w:r>
              <w:rPr>
                <w:rFonts w:hint="default" w:ascii="Segoe UI" w:hAnsi="Segoe UI" w:eastAsia="Segoe UI" w:cs="Segoe UI"/>
                <w:i w:val="0"/>
                <w:iCs w:val="0"/>
                <w:caps w:val="0"/>
                <w:color w:val="000000"/>
                <w:spacing w:val="0"/>
                <w:kern w:val="0"/>
                <w:sz w:val="24"/>
                <w:szCs w:val="24"/>
                <w:bdr w:val="none" w:color="auto" w:sz="0" w:space="0"/>
                <w:lang w:val="en-US" w:eastAsia="zh-CN" w:bidi="ar"/>
              </w:rPr>
              <w:t>结果期推迟 2-3 年，单株产量＜0.6kg 干豆；果实易感染炭疽病（病果率＞30%），品质不达标。</w:t>
            </w:r>
          </w:p>
        </w:tc>
      </w:tr>
    </w:tbl>
    <w:p w14:paraId="3E17FB04">
      <w:pPr>
        <w:pStyle w:val="15"/>
        <w:numPr>
          <w:ilvl w:val="0"/>
          <w:numId w:val="0"/>
        </w:numPr>
        <w:ind w:firstLine="643" w:firstLineChars="200"/>
        <w:rPr>
          <w:rFonts w:hint="eastAsia" w:ascii="仿宋_GB2312" w:eastAsia="仿宋_GB2312"/>
          <w:b/>
          <w:bCs/>
          <w:sz w:val="32"/>
          <w:szCs w:val="32"/>
          <w:lang w:eastAsia="zh-CN"/>
        </w:rPr>
      </w:pPr>
    </w:p>
    <w:p w14:paraId="46643997">
      <w:pPr>
        <w:pStyle w:val="15"/>
        <w:numPr>
          <w:ilvl w:val="0"/>
          <w:numId w:val="0"/>
        </w:numPr>
        <w:ind w:firstLine="643" w:firstLineChars="200"/>
        <w:rPr>
          <w:rFonts w:hint="default" w:ascii="仿宋_GB2312" w:eastAsia="仿宋_GB2312"/>
          <w:b/>
          <w:bCs/>
          <w:sz w:val="32"/>
          <w:szCs w:val="32"/>
          <w:lang w:val="en-US" w:eastAsia="zh-CN"/>
        </w:rPr>
      </w:pPr>
      <w:r>
        <w:rPr>
          <w:rFonts w:hint="eastAsia" w:ascii="仿宋_GB2312" w:eastAsia="仿宋_GB2312"/>
          <w:b/>
          <w:bCs/>
          <w:sz w:val="32"/>
          <w:szCs w:val="32"/>
          <w:lang w:eastAsia="zh-CN"/>
        </w:rPr>
        <w:t>（</w:t>
      </w:r>
      <w:r>
        <w:rPr>
          <w:rFonts w:hint="eastAsia" w:ascii="仿宋_GB2312" w:eastAsia="仿宋_GB2312"/>
          <w:b/>
          <w:bCs/>
          <w:sz w:val="32"/>
          <w:szCs w:val="32"/>
          <w:lang w:val="en-US" w:eastAsia="zh-CN"/>
        </w:rPr>
        <w:t>五</w:t>
      </w:r>
      <w:r>
        <w:rPr>
          <w:rFonts w:hint="eastAsia" w:ascii="仿宋_GB2312" w:eastAsia="仿宋_GB2312"/>
          <w:b/>
          <w:bCs/>
          <w:sz w:val="32"/>
          <w:szCs w:val="32"/>
          <w:lang w:eastAsia="zh-CN"/>
        </w:rPr>
        <w:t>）</w:t>
      </w:r>
      <w:r>
        <w:rPr>
          <w:rFonts w:hint="eastAsia" w:ascii="仿宋_GB2312" w:eastAsia="仿宋_GB2312"/>
          <w:b/>
          <w:bCs/>
        </w:rPr>
        <w:t>管理</w:t>
      </w:r>
    </w:p>
    <w:p w14:paraId="49E6EDA5">
      <w:pPr>
        <w:pStyle w:val="15"/>
        <w:numPr>
          <w:ilvl w:val="0"/>
          <w:numId w:val="0"/>
        </w:numPr>
        <w:ind w:firstLine="640" w:firstLineChars="200"/>
        <w:rPr>
          <w:rFonts w:hint="eastAsia" w:ascii="Times New Roman" w:eastAsia="仿宋_GB2312"/>
          <w:b w:val="0"/>
          <w:bCs w:val="0"/>
          <w:sz w:val="32"/>
          <w:szCs w:val="32"/>
          <w:vertAlign w:val="baseline"/>
          <w:lang w:eastAsia="zh-CN"/>
        </w:rPr>
      </w:pPr>
      <w:r>
        <w:rPr>
          <w:rFonts w:hint="eastAsia" w:ascii="Times New Roman" w:eastAsia="仿宋_GB2312"/>
          <w:b w:val="0"/>
          <w:bCs w:val="0"/>
          <w:sz w:val="32"/>
          <w:szCs w:val="32"/>
          <w:lang w:eastAsia="zh-CN"/>
        </w:rPr>
        <w:t>植后第 2 年开始：咖啡定植第 1 年根系浅（主要分布在 0-20cm 土层），且处于缓苗恢复期，翻耕易损伤须根（吸收养分的核心）；第 2 年根系已深达 20</w:t>
      </w:r>
      <w:r>
        <w:rPr>
          <w:rFonts w:hint="eastAsia" w:eastAsia="仿宋_GB2312"/>
          <w:b w:val="0"/>
          <w:bCs w:val="0"/>
          <w:sz w:val="32"/>
          <w:szCs w:val="32"/>
          <w:lang w:eastAsia="zh-CN"/>
        </w:rPr>
        <w:t>～</w:t>
      </w:r>
      <w:r>
        <w:rPr>
          <w:rFonts w:hint="eastAsia" w:ascii="Times New Roman" w:eastAsia="仿宋_GB2312"/>
          <w:b w:val="0"/>
          <w:bCs w:val="0"/>
          <w:sz w:val="32"/>
          <w:szCs w:val="32"/>
          <w:lang w:eastAsia="zh-CN"/>
        </w:rPr>
        <w:t>30cm，木质化程度提升，抗损伤能力增强，此时翻耕可 “既改土又不伤根”。雨季结束后：西林雨季（6-8 月）降水集中，红壤因黏粒含量高，易被雨水压实形成 “板结层”（土壤孔隙度从 40% 降至 25% 以下），导致根系缺氧、吸水吸肥效率下降；雨季结束后（9-10 月）土壤湿度适中（含水量 20%</w:t>
      </w:r>
      <w:r>
        <w:rPr>
          <w:rFonts w:hint="eastAsia" w:eastAsia="仿宋_GB2312"/>
          <w:b w:val="0"/>
          <w:bCs w:val="0"/>
          <w:sz w:val="32"/>
          <w:szCs w:val="32"/>
          <w:lang w:eastAsia="zh-CN"/>
        </w:rPr>
        <w:t>～</w:t>
      </w:r>
      <w:r>
        <w:rPr>
          <w:rFonts w:hint="eastAsia" w:ascii="Times New Roman" w:eastAsia="仿宋_GB2312"/>
          <w:b w:val="0"/>
          <w:bCs w:val="0"/>
          <w:sz w:val="32"/>
          <w:szCs w:val="32"/>
          <w:lang w:eastAsia="zh-CN"/>
        </w:rPr>
        <w:t>25%），翻耕可轻松打破板结层，增加土壤透气性（孔隙度恢复至 35% 以上），同时为后续旱季（11 - 次年 2 月）保水 —— 翻耕后的土壤能储存更多雨水，减少旱季灌溉依赖。</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424"/>
        <w:gridCol w:w="4424"/>
      </w:tblGrid>
      <w:tr w14:paraId="1BDBF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424" w:type="dxa"/>
          </w:tcPr>
          <w:p w14:paraId="5D587BE7">
            <w:pPr>
              <w:pStyle w:val="15"/>
              <w:numPr>
                <w:ilvl w:val="0"/>
                <w:numId w:val="0"/>
              </w:numPr>
              <w:jc w:val="center"/>
              <w:rPr>
                <w:rFonts w:hint="eastAsia" w:ascii="Times New Roman" w:eastAsia="仿宋_GB2312"/>
                <w:b w:val="0"/>
                <w:bCs w:val="0"/>
                <w:sz w:val="32"/>
                <w:szCs w:val="32"/>
                <w:vertAlign w:val="baseline"/>
                <w:lang w:eastAsia="zh-CN"/>
              </w:rPr>
            </w:pPr>
            <w:r>
              <w:rPr>
                <w:rFonts w:hint="eastAsia" w:ascii="Times New Roman" w:eastAsia="仿宋_GB2312"/>
                <w:b w:val="0"/>
                <w:bCs w:val="0"/>
                <w:sz w:val="32"/>
                <w:szCs w:val="32"/>
                <w:vertAlign w:val="baseline"/>
                <w:lang w:eastAsia="zh-CN"/>
              </w:rPr>
              <w:t>杂草管理较好</w:t>
            </w:r>
            <w:r>
              <w:rPr>
                <w:position w:val="-67"/>
              </w:rPr>
              <w:drawing>
                <wp:anchor distT="0" distB="0" distL="0" distR="0" simplePos="0" relativeHeight="251692032" behindDoc="0" locked="0" layoutInCell="1" allowOverlap="1">
                  <wp:simplePos x="0" y="0"/>
                  <wp:positionH relativeFrom="column">
                    <wp:posOffset>163830</wp:posOffset>
                  </wp:positionH>
                  <wp:positionV relativeFrom="paragraph">
                    <wp:posOffset>28575</wp:posOffset>
                  </wp:positionV>
                  <wp:extent cx="2476500" cy="1798320"/>
                  <wp:effectExtent l="0" t="0" r="0" b="11430"/>
                  <wp:wrapTopAndBottom/>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9"/>
                          <a:stretch>
                            <a:fillRect/>
                          </a:stretch>
                        </pic:blipFill>
                        <pic:spPr>
                          <a:xfrm>
                            <a:off x="0" y="0"/>
                            <a:ext cx="2476500" cy="1798320"/>
                          </a:xfrm>
                          <a:prstGeom prst="rect">
                            <a:avLst/>
                          </a:prstGeom>
                        </pic:spPr>
                      </pic:pic>
                    </a:graphicData>
                  </a:graphic>
                </wp:anchor>
              </w:drawing>
            </w:r>
          </w:p>
        </w:tc>
        <w:tc>
          <w:tcPr>
            <w:tcW w:w="4424" w:type="dxa"/>
          </w:tcPr>
          <w:p w14:paraId="2101D859">
            <w:pPr>
              <w:pStyle w:val="15"/>
              <w:numPr>
                <w:ilvl w:val="0"/>
                <w:numId w:val="0"/>
              </w:numPr>
              <w:jc w:val="center"/>
              <w:rPr>
                <w:rFonts w:hint="eastAsia" w:ascii="Times New Roman" w:eastAsia="仿宋_GB2312"/>
                <w:b w:val="0"/>
                <w:bCs w:val="0"/>
                <w:sz w:val="32"/>
                <w:szCs w:val="32"/>
                <w:vertAlign w:val="baseline"/>
                <w:lang w:eastAsia="zh-CN"/>
              </w:rPr>
            </w:pPr>
            <w:r>
              <w:rPr>
                <w:rFonts w:hint="eastAsia" w:ascii="Times New Roman" w:eastAsia="仿宋_GB2312"/>
                <w:b w:val="0"/>
                <w:bCs w:val="0"/>
                <w:sz w:val="32"/>
                <w:szCs w:val="32"/>
                <w:vertAlign w:val="baseline"/>
                <w:lang w:eastAsia="zh-CN"/>
              </w:rPr>
              <w:t>杂草管理较差</w:t>
            </w:r>
            <w:r>
              <w:drawing>
                <wp:anchor distT="0" distB="0" distL="0" distR="0" simplePos="0" relativeHeight="251693056" behindDoc="0" locked="0" layoutInCell="1" allowOverlap="1">
                  <wp:simplePos x="0" y="0"/>
                  <wp:positionH relativeFrom="column">
                    <wp:posOffset>114300</wp:posOffset>
                  </wp:positionH>
                  <wp:positionV relativeFrom="paragraph">
                    <wp:posOffset>-689610</wp:posOffset>
                  </wp:positionV>
                  <wp:extent cx="2624455" cy="1894840"/>
                  <wp:effectExtent l="0" t="0" r="4445" b="10160"/>
                  <wp:wrapTopAndBottom/>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0"/>
                          <a:stretch>
                            <a:fillRect/>
                          </a:stretch>
                        </pic:blipFill>
                        <pic:spPr>
                          <a:xfrm>
                            <a:off x="0" y="0"/>
                            <a:ext cx="2624455" cy="1894840"/>
                          </a:xfrm>
                          <a:prstGeom prst="rect">
                            <a:avLst/>
                          </a:prstGeom>
                        </pic:spPr>
                      </pic:pic>
                    </a:graphicData>
                  </a:graphic>
                </wp:anchor>
              </w:drawing>
            </w:r>
          </w:p>
        </w:tc>
      </w:tr>
    </w:tbl>
    <w:p w14:paraId="4E32CFD8">
      <w:pPr>
        <w:pStyle w:val="15"/>
        <w:numPr>
          <w:ilvl w:val="0"/>
          <w:numId w:val="0"/>
        </w:numPr>
        <w:ind w:firstLine="640" w:firstLineChars="200"/>
        <w:rPr>
          <w:rFonts w:hint="eastAsia" w:eastAsia="仿宋_GB2312"/>
        </w:rPr>
      </w:pPr>
      <w:r>
        <w:rPr>
          <w:rFonts w:hint="eastAsia" w:eastAsia="仿宋_GB2312"/>
        </w:rPr>
        <w:t>选择 “</w:t>
      </w:r>
      <w:r>
        <w:rPr>
          <w:rFonts w:hint="eastAsia" w:eastAsia="仿宋_GB2312"/>
          <w:lang w:eastAsia="zh-CN"/>
        </w:rPr>
        <w:t>矮秆作物</w:t>
      </w:r>
      <w:r>
        <w:rPr>
          <w:rFonts w:hint="eastAsia" w:eastAsia="仿宋_GB2312"/>
        </w:rPr>
        <w:t>”（如大豆、花生，株高＜50cm），不会遮挡咖啡幼苗（高度 50</w:t>
      </w:r>
      <w:r>
        <w:rPr>
          <w:rFonts w:hint="eastAsia" w:eastAsia="仿宋_GB2312"/>
          <w:lang w:eastAsia="zh-CN"/>
        </w:rPr>
        <w:t>～</w:t>
      </w:r>
      <w:r>
        <w:rPr>
          <w:rFonts w:hint="eastAsia" w:eastAsia="仿宋_GB2312"/>
        </w:rPr>
        <w:t>100cm）的光照（咖啡需日均 6 小时以上光照），避免</w:t>
      </w:r>
      <w:r>
        <w:rPr>
          <w:rFonts w:hint="eastAsia" w:eastAsia="仿宋_GB2312"/>
          <w:lang w:eastAsia="zh-CN"/>
        </w:rPr>
        <w:t>高秆</w:t>
      </w:r>
      <w:r>
        <w:rPr>
          <w:rFonts w:hint="eastAsia" w:eastAsia="仿宋_GB2312"/>
        </w:rPr>
        <w:t>作物（如玉米）导致的 “咖啡徒长、叶片发黄”；改良土壤肥力：豆类作物根系有 “根瘤菌”，可固定空气中的氮（每亩可固定氮素 5</w:t>
      </w:r>
      <w:r>
        <w:rPr>
          <w:rFonts w:hint="eastAsia" w:eastAsia="仿宋_GB2312"/>
          <w:lang w:eastAsia="zh-CN"/>
        </w:rPr>
        <w:t>～</w:t>
      </w:r>
      <w:r>
        <w:rPr>
          <w:rFonts w:hint="eastAsia" w:eastAsia="仿宋_GB2312"/>
        </w:rPr>
        <w:t>8kg，相当于 20</w:t>
      </w:r>
      <w:r>
        <w:rPr>
          <w:rFonts w:hint="eastAsia" w:eastAsia="仿宋_GB2312"/>
          <w:lang w:eastAsia="zh-CN"/>
        </w:rPr>
        <w:t>～</w:t>
      </w:r>
      <w:r>
        <w:rPr>
          <w:rFonts w:hint="eastAsia" w:eastAsia="仿宋_GB2312"/>
        </w:rPr>
        <w:t>35kg 尿素），减少咖啡氮肥施用；绿肥（如紫云英、苕子）翻压后可增加土壤有机质（含量提升 0.2%</w:t>
      </w:r>
      <w:r>
        <w:rPr>
          <w:rFonts w:hint="eastAsia" w:eastAsia="仿宋_GB2312"/>
          <w:lang w:eastAsia="zh-CN"/>
        </w:rPr>
        <w:t>～</w:t>
      </w:r>
      <w:r>
        <w:rPr>
          <w:rFonts w:hint="eastAsia" w:eastAsia="仿宋_GB2312"/>
        </w:rPr>
        <w:t>0.3%），改良红壤 “贫瘠、黏重” 的缺陷（红壤有机质天然含量仅 1%</w:t>
      </w:r>
      <w:r>
        <w:rPr>
          <w:rFonts w:hint="eastAsia" w:eastAsia="仿宋_GB2312"/>
          <w:lang w:eastAsia="zh-CN"/>
        </w:rPr>
        <w:t>～</w:t>
      </w:r>
      <w:r>
        <w:rPr>
          <w:rFonts w:hint="eastAsia" w:eastAsia="仿宋_GB2312"/>
        </w:rPr>
        <w:t>2%，需持续补充）；幼龄咖啡需 3 年才能投产，间作豆类可每年收获鲜豆或干豆，每亩增加短期收益 500-800 元，缓解 “前期无收益” 的种植压力；同时豆类收获后秸秆可还田，进一步补充有机质。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424"/>
        <w:gridCol w:w="4424"/>
      </w:tblGrid>
      <w:tr w14:paraId="3089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424" w:type="dxa"/>
          </w:tcPr>
          <w:p w14:paraId="4EF5FDF9">
            <w:pPr>
              <w:pStyle w:val="15"/>
              <w:numPr>
                <w:ilvl w:val="0"/>
                <w:numId w:val="0"/>
              </w:numPr>
              <w:jc w:val="center"/>
              <w:rPr>
                <w:rFonts w:hint="eastAsia" w:ascii="Times New Roman" w:eastAsia="仿宋_GB2312"/>
                <w:b w:val="0"/>
                <w:bCs w:val="0"/>
                <w:sz w:val="32"/>
                <w:szCs w:val="32"/>
                <w:vertAlign w:val="baseline"/>
                <w:lang w:eastAsia="zh-CN"/>
              </w:rPr>
            </w:pPr>
            <w:r>
              <w:rPr>
                <w:rFonts w:hint="eastAsia" w:eastAsia="仿宋_GB2312"/>
                <w:spacing w:val="0"/>
              </w:rPr>
              <w:t>龄树合理松土</w:t>
            </w:r>
            <w:r>
              <w:drawing>
                <wp:anchor distT="0" distB="0" distL="0" distR="0" simplePos="0" relativeHeight="251684864" behindDoc="0" locked="0" layoutInCell="1" allowOverlap="1">
                  <wp:simplePos x="0" y="0"/>
                  <wp:positionH relativeFrom="column">
                    <wp:posOffset>-59690</wp:posOffset>
                  </wp:positionH>
                  <wp:positionV relativeFrom="paragraph">
                    <wp:posOffset>-6155690</wp:posOffset>
                  </wp:positionV>
                  <wp:extent cx="2551430" cy="1865630"/>
                  <wp:effectExtent l="0" t="0" r="1270" b="1270"/>
                  <wp:wrapTopAndBottom/>
                  <wp:docPr id="27" name="IM 26"/>
                  <wp:cNvGraphicFramePr/>
                  <a:graphic xmlns:a="http://schemas.openxmlformats.org/drawingml/2006/main">
                    <a:graphicData uri="http://schemas.openxmlformats.org/drawingml/2006/picture">
                      <pic:pic xmlns:pic="http://schemas.openxmlformats.org/drawingml/2006/picture">
                        <pic:nvPicPr>
                          <pic:cNvPr id="27" name="IM 26"/>
                          <pic:cNvPicPr/>
                        </pic:nvPicPr>
                        <pic:blipFill>
                          <a:blip r:embed="rId31"/>
                          <a:stretch>
                            <a:fillRect/>
                          </a:stretch>
                        </pic:blipFill>
                        <pic:spPr>
                          <a:xfrm>
                            <a:off x="0" y="0"/>
                            <a:ext cx="2551430" cy="1865630"/>
                          </a:xfrm>
                          <a:prstGeom prst="rect">
                            <a:avLst/>
                          </a:prstGeom>
                        </pic:spPr>
                      </pic:pic>
                    </a:graphicData>
                  </a:graphic>
                </wp:anchor>
              </w:drawing>
            </w:r>
          </w:p>
        </w:tc>
        <w:tc>
          <w:tcPr>
            <w:tcW w:w="4424" w:type="dxa"/>
          </w:tcPr>
          <w:p w14:paraId="6CF8DF2A">
            <w:pPr>
              <w:pStyle w:val="15"/>
              <w:numPr>
                <w:ilvl w:val="0"/>
                <w:numId w:val="0"/>
              </w:numPr>
              <w:jc w:val="center"/>
              <w:rPr>
                <w:rFonts w:hint="eastAsia" w:ascii="Times New Roman" w:eastAsia="仿宋_GB2312"/>
                <w:b w:val="0"/>
                <w:bCs w:val="0"/>
                <w:sz w:val="32"/>
                <w:szCs w:val="32"/>
                <w:vertAlign w:val="baseline"/>
                <w:lang w:eastAsia="zh-CN"/>
              </w:rPr>
            </w:pPr>
            <w:r>
              <w:rPr>
                <w:rFonts w:hint="eastAsia" w:ascii="Times New Roman" w:eastAsia="仿宋_GB2312"/>
                <w:b w:val="0"/>
                <w:bCs w:val="0"/>
                <w:sz w:val="32"/>
                <w:szCs w:val="32"/>
                <w:vertAlign w:val="baseline"/>
                <w:lang w:eastAsia="zh-CN"/>
              </w:rPr>
              <w:t>中耕管理到位的咖啡园</w:t>
            </w:r>
            <w:r>
              <w:rPr>
                <w:position w:val="-58"/>
              </w:rPr>
              <w:drawing>
                <wp:anchor distT="0" distB="0" distL="0" distR="0" simplePos="0" relativeHeight="251685888" behindDoc="0" locked="0" layoutInCell="1" allowOverlap="1">
                  <wp:simplePos x="0" y="0"/>
                  <wp:positionH relativeFrom="column">
                    <wp:posOffset>0</wp:posOffset>
                  </wp:positionH>
                  <wp:positionV relativeFrom="paragraph">
                    <wp:posOffset>44450</wp:posOffset>
                  </wp:positionV>
                  <wp:extent cx="2619375" cy="1844040"/>
                  <wp:effectExtent l="0" t="0" r="9525" b="3810"/>
                  <wp:wrapTopAndBottom/>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2"/>
                          <a:stretch>
                            <a:fillRect/>
                          </a:stretch>
                        </pic:blipFill>
                        <pic:spPr>
                          <a:xfrm>
                            <a:off x="0" y="0"/>
                            <a:ext cx="2619755" cy="1844040"/>
                          </a:xfrm>
                          <a:prstGeom prst="rect">
                            <a:avLst/>
                          </a:prstGeom>
                        </pic:spPr>
                      </pic:pic>
                    </a:graphicData>
                  </a:graphic>
                </wp:anchor>
              </w:drawing>
            </w:r>
          </w:p>
        </w:tc>
      </w:tr>
      <w:tr w14:paraId="2ECE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424" w:type="dxa"/>
          </w:tcPr>
          <w:p w14:paraId="60B07BF5">
            <w:pPr>
              <w:pStyle w:val="15"/>
              <w:numPr>
                <w:ilvl w:val="0"/>
                <w:numId w:val="0"/>
              </w:numPr>
              <w:jc w:val="center"/>
              <w:rPr>
                <w:rFonts w:hint="eastAsia" w:eastAsia="仿宋_GB2312"/>
                <w:spacing w:val="0"/>
              </w:rPr>
            </w:pPr>
            <w:r>
              <w:rPr>
                <w:rFonts w:hint="eastAsia" w:eastAsia="仿宋_GB2312"/>
                <w:spacing w:val="0"/>
              </w:rPr>
              <w:t>幼龄树覆膜</w:t>
            </w:r>
            <w:r>
              <w:rPr>
                <w:position w:val="-100"/>
              </w:rPr>
              <w:drawing>
                <wp:anchor distT="0" distB="0" distL="0" distR="0" simplePos="0" relativeHeight="251689984" behindDoc="0" locked="0" layoutInCell="1" allowOverlap="1">
                  <wp:simplePos x="0" y="0"/>
                  <wp:positionH relativeFrom="column">
                    <wp:posOffset>269240</wp:posOffset>
                  </wp:positionH>
                  <wp:positionV relativeFrom="paragraph">
                    <wp:posOffset>61595</wp:posOffset>
                  </wp:positionV>
                  <wp:extent cx="2127250" cy="3192145"/>
                  <wp:effectExtent l="0" t="0" r="6350" b="8255"/>
                  <wp:wrapTopAndBottom/>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3"/>
                          <a:stretch>
                            <a:fillRect/>
                          </a:stretch>
                        </pic:blipFill>
                        <pic:spPr>
                          <a:xfrm>
                            <a:off x="0" y="0"/>
                            <a:ext cx="2127504" cy="3192779"/>
                          </a:xfrm>
                          <a:prstGeom prst="rect">
                            <a:avLst/>
                          </a:prstGeom>
                        </pic:spPr>
                      </pic:pic>
                    </a:graphicData>
                  </a:graphic>
                </wp:anchor>
              </w:drawing>
            </w:r>
          </w:p>
        </w:tc>
        <w:tc>
          <w:tcPr>
            <w:tcW w:w="4424" w:type="dxa"/>
          </w:tcPr>
          <w:p w14:paraId="774691EB">
            <w:pPr>
              <w:pStyle w:val="15"/>
              <w:numPr>
                <w:ilvl w:val="0"/>
                <w:numId w:val="0"/>
              </w:numPr>
              <w:jc w:val="center"/>
              <w:rPr>
                <w:rFonts w:hint="eastAsia" w:ascii="Times New Roman" w:eastAsia="仿宋_GB2312"/>
                <w:b w:val="0"/>
                <w:bCs w:val="0"/>
                <w:sz w:val="32"/>
                <w:szCs w:val="32"/>
                <w:vertAlign w:val="baseline"/>
                <w:lang w:eastAsia="zh-CN"/>
              </w:rPr>
            </w:pPr>
            <w:r>
              <w:rPr>
                <w:rFonts w:hint="eastAsia" w:eastAsia="仿宋_GB2312"/>
              </w:rPr>
              <w:t>间作玉米（右上）、树盘耕除杂草</w:t>
            </w:r>
            <w:r>
              <w:drawing>
                <wp:anchor distT="0" distB="0" distL="0" distR="0" simplePos="0" relativeHeight="251691008" behindDoc="0" locked="0" layoutInCell="1" allowOverlap="1">
                  <wp:simplePos x="0" y="0"/>
                  <wp:positionH relativeFrom="column">
                    <wp:posOffset>290195</wp:posOffset>
                  </wp:positionH>
                  <wp:positionV relativeFrom="paragraph">
                    <wp:posOffset>111760</wp:posOffset>
                  </wp:positionV>
                  <wp:extent cx="2206625" cy="2997835"/>
                  <wp:effectExtent l="0" t="0" r="3175" b="12065"/>
                  <wp:wrapTopAndBottom/>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4"/>
                          <a:stretch>
                            <a:fillRect/>
                          </a:stretch>
                        </pic:blipFill>
                        <pic:spPr>
                          <a:xfrm>
                            <a:off x="0" y="0"/>
                            <a:ext cx="2206625" cy="2997835"/>
                          </a:xfrm>
                          <a:prstGeom prst="rect">
                            <a:avLst/>
                          </a:prstGeom>
                        </pic:spPr>
                      </pic:pic>
                    </a:graphicData>
                  </a:graphic>
                </wp:anchor>
              </w:drawing>
            </w:r>
          </w:p>
        </w:tc>
      </w:tr>
    </w:tbl>
    <w:p w14:paraId="5C40EA14">
      <w:pPr>
        <w:pStyle w:val="15"/>
        <w:numPr>
          <w:ilvl w:val="0"/>
          <w:numId w:val="0"/>
        </w:numPr>
        <w:ind w:firstLine="640" w:firstLineChars="200"/>
        <w:rPr>
          <w:rFonts w:hint="eastAsia" w:eastAsia="仿宋_GB2312"/>
        </w:rPr>
      </w:pPr>
      <w:r>
        <w:rPr>
          <w:rFonts w:hint="eastAsia" w:eastAsia="仿宋_GB2312"/>
        </w:rPr>
        <w:t>5 月西林日均温回升至 20℃-25℃，咖啡进入新梢快速生长期（新梢是次年结果枝的基础），同时 3 年及以上投产树进入 “花芽分化期”（花芽分化需充足氮、磷，缺素会导致开花少）；5 月是西林 “雨季来临前”，土壤湿度逐渐升高，根系吸收功能从冬季休眠中恢复，此时追肥（复合肥）可快速被根系吸收，为新梢生长和花芽分化提供 “启动养分”；若推迟到 6 月雨季初，新梢已进入缓慢生长期，养分无法及时利用，易导致枝条徒长。</w:t>
      </w:r>
    </w:p>
    <w:p w14:paraId="377E2AF7">
      <w:pPr>
        <w:pStyle w:val="15"/>
        <w:numPr>
          <w:ilvl w:val="0"/>
          <w:numId w:val="0"/>
        </w:numPr>
        <w:ind w:firstLine="640" w:firstLineChars="200"/>
        <w:rPr>
          <w:rFonts w:hint="eastAsia" w:eastAsia="仿宋_GB2312"/>
        </w:rPr>
      </w:pPr>
      <w:r>
        <w:rPr>
          <w:rFonts w:hint="eastAsia" w:eastAsia="仿宋_GB2312"/>
        </w:rPr>
        <w:t>生长需求：7 月是咖啡 “需肥最高峰”—— 投产树幼果进入快速膨大期（果实发育需大量钾、磷，缺钾会导致裂果，缺磷会导致果实小），同时未投产树（1-2 年生）进入新梢二次生长（需氮促进枝条木质化）；气候适配：7 月是西林雨季核心期（月均降水 200-300mm），土壤湿润，根系吸收效率最高，此时增加追肥量（如 3 年生树 7 月施 150g 复合肥，比 5 月多 50g），可直接满足幼果和新梢的 “双需求”；若此时缺肥，会导致幼果落果率增加 20% 以上，或新梢木质化不足（冬季易冻害）。</w:t>
      </w:r>
    </w:p>
    <w:p w14:paraId="63730C7E">
      <w:pPr>
        <w:pStyle w:val="15"/>
        <w:numPr>
          <w:ilvl w:val="0"/>
          <w:numId w:val="0"/>
        </w:numPr>
        <w:ind w:firstLine="640" w:firstLineChars="200"/>
        <w:rPr>
          <w:rFonts w:hint="eastAsia" w:eastAsia="仿宋_GB2312"/>
        </w:rPr>
      </w:pPr>
      <w:r>
        <w:rPr>
          <w:rFonts w:hint="eastAsia" w:eastAsia="仿宋_GB2312"/>
        </w:rPr>
        <w:t>生长需求：9 月投产树果实进入成熟期（需磷、钾促进糖分积累，提升风味），同时所有树体需储备养分（氮、磷、钾）应对后续旱季（11 - 次年 2 月，根系吸收功能减弱）和来年春季生长；气候适配：9 月是西林 “雨季结束前”，土壤仍保持湿润，此时追肥可让养分在旱季前被树体吸收储存（如转化为枝干中的淀粉）；若推迟到 10 月旱季，土壤干燥，根系吸收能力下降，养分易滞留土壤（红壤易固定磷，滞留后次年无法吸收），造成浪费。</w:t>
      </w:r>
    </w:p>
    <w:p w14:paraId="0C26A34B">
      <w:pPr>
        <w:pStyle w:val="15"/>
        <w:numPr>
          <w:ilvl w:val="0"/>
          <w:numId w:val="0"/>
        </w:numPr>
        <w:ind w:firstLine="640" w:firstLineChars="200"/>
        <w:rPr>
          <w:rFonts w:hint="eastAsia" w:eastAsia="仿宋_GB2312"/>
        </w:rPr>
      </w:pPr>
      <w:r>
        <w:rPr>
          <w:rFonts w:hint="eastAsia" w:eastAsia="仿宋_GB2312"/>
        </w:rPr>
        <w:t>20 天施尿素 20g：缓苗后根系首次恢复吸收，尿素（高氮）可促进新叶萌发（避免叶片发黄），用量仅 20g 是因幼苗根系细弱（根团直径 20</w:t>
      </w:r>
      <w:r>
        <w:rPr>
          <w:rFonts w:hint="eastAsia" w:eastAsia="仿宋_GB2312"/>
          <w:lang w:eastAsia="zh-CN"/>
        </w:rPr>
        <w:t>～</w:t>
      </w:r>
      <w:r>
        <w:rPr>
          <w:rFonts w:hint="eastAsia" w:eastAsia="仿宋_GB2312"/>
        </w:rPr>
        <w:t>25cm），过量易烧根；7/9 月各施复合肥 20g：此时幼苗进入新梢生长，复合肥（15-15-15）提供均衡氮磷钾，避免单施氮肥导致枝条徒长（细弱易倒伏），20g 用量刚好满足 1-2 个月的需求，不造成养分积累。</w:t>
      </w:r>
    </w:p>
    <w:p w14:paraId="3EAE0FFA">
      <w:pPr>
        <w:pStyle w:val="15"/>
        <w:numPr>
          <w:ilvl w:val="0"/>
          <w:numId w:val="0"/>
        </w:numPr>
        <w:ind w:firstLine="640" w:firstLineChars="200"/>
        <w:rPr>
          <w:rFonts w:hint="eastAsia" w:eastAsia="仿宋_GB2312"/>
        </w:rPr>
      </w:pPr>
      <w:r>
        <w:rPr>
          <w:rFonts w:hint="eastAsia" w:eastAsia="仿宋_GB2312"/>
        </w:rPr>
        <w:t>2 年生（5 月 50g、7 月 75g、9 月 50g 复合肥）：“增量促枝，为投产过渡”</w:t>
      </w:r>
      <w:r>
        <w:rPr>
          <w:rFonts w:hint="eastAsia" w:eastAsia="仿宋_GB2312"/>
          <w:lang w:eastAsia="zh-CN"/>
        </w:rPr>
        <w:t>。</w:t>
      </w:r>
    </w:p>
    <w:p w14:paraId="73A5CCF3">
      <w:pPr>
        <w:pStyle w:val="15"/>
        <w:numPr>
          <w:ilvl w:val="0"/>
          <w:numId w:val="0"/>
        </w:numPr>
        <w:ind w:firstLine="640" w:firstLineChars="200"/>
        <w:rPr>
          <w:rFonts w:hint="eastAsia" w:eastAsia="仿宋_GB2312"/>
        </w:rPr>
      </w:pPr>
      <w:r>
        <w:rPr>
          <w:rFonts w:hint="eastAsia" w:eastAsia="仿宋_GB2312"/>
        </w:rPr>
        <w:t>2 年生树是 “营养生长向生殖生长过渡”，需促进枝条木质化、扩大树冠（为次年初产打基础），同时避免过早开花（开花会消耗养分，影响树冠扩大）；总量比定植当年增加 2-3 倍：树冠已扩大至 0.8</w:t>
      </w:r>
      <w:r>
        <w:rPr>
          <w:rFonts w:hint="eastAsia" w:eastAsia="仿宋_GB2312"/>
          <w:lang w:eastAsia="zh-CN"/>
        </w:rPr>
        <w:t>～</w:t>
      </w:r>
      <w:r>
        <w:rPr>
          <w:rFonts w:hint="eastAsia" w:eastAsia="仿宋_GB2312"/>
        </w:rPr>
        <w:t>1.2m，根系范围达 1.0</w:t>
      </w:r>
      <w:r>
        <w:rPr>
          <w:rFonts w:hint="eastAsia" w:eastAsia="仿宋_GB2312"/>
          <w:lang w:eastAsia="zh-CN"/>
        </w:rPr>
        <w:t>～</w:t>
      </w:r>
      <w:r>
        <w:rPr>
          <w:rFonts w:hint="eastAsia" w:eastAsia="仿宋_GB2312"/>
        </w:rPr>
        <w:t>1.5m，需肥量提升；7 月用量最高（75g）：7 月新梢二次生长旺盛，</w:t>
      </w:r>
      <w:r>
        <w:rPr>
          <w:rFonts w:hint="eastAsia" w:eastAsia="仿宋_GB2312"/>
          <w:lang w:eastAsia="zh-CN"/>
        </w:rPr>
        <w:t>需要</w:t>
      </w:r>
      <w:r>
        <w:rPr>
          <w:rFonts w:hint="eastAsia" w:eastAsia="仿宋_GB2312"/>
        </w:rPr>
        <w:t>更多养分促进枝条木质化（木质化不足易受冻害），同时为来年花芽分化储备磷、钾。</w:t>
      </w:r>
    </w:p>
    <w:p w14:paraId="056A5748">
      <w:pPr>
        <w:pStyle w:val="15"/>
        <w:numPr>
          <w:ilvl w:val="0"/>
          <w:numId w:val="0"/>
        </w:numPr>
        <w:ind w:firstLine="640" w:firstLineChars="200"/>
        <w:rPr>
          <w:rFonts w:hint="eastAsia" w:eastAsia="仿宋_GB2312"/>
        </w:rPr>
      </w:pPr>
      <w:r>
        <w:rPr>
          <w:rFonts w:hint="eastAsia" w:eastAsia="仿宋_GB2312"/>
        </w:rPr>
        <w:t xml:space="preserve"> 3 年及以上（5 月 100g、7 月 150g、9 月 100g 复合肥）：“足量保产，兼顾品质”</w:t>
      </w:r>
      <w:r>
        <w:rPr>
          <w:rFonts w:hint="eastAsia" w:eastAsia="仿宋_GB2312"/>
          <w:lang w:eastAsia="zh-CN"/>
        </w:rPr>
        <w:t>。</w:t>
      </w:r>
      <w:r>
        <w:rPr>
          <w:rFonts w:hint="eastAsia" w:eastAsia="仿宋_GB2312"/>
        </w:rPr>
        <w:t>3 年及以上树进入 “盛产期”，核心需求是 “保障开花坐果量 + 提升果实品质 + 维持树体健康”；总量大幅提升：树冠达 1.5</w:t>
      </w:r>
      <w:r>
        <w:rPr>
          <w:rFonts w:hint="eastAsia" w:eastAsia="仿宋_GB2312"/>
          <w:lang w:eastAsia="zh-CN"/>
        </w:rPr>
        <w:t>～</w:t>
      </w:r>
      <w:r>
        <w:rPr>
          <w:rFonts w:hint="eastAsia" w:eastAsia="仿宋_GB2312"/>
        </w:rPr>
        <w:t>2.5m（罗布斯塔更大），根系范围 2.0</w:t>
      </w:r>
      <w:r>
        <w:rPr>
          <w:rFonts w:hint="eastAsia" w:eastAsia="仿宋_GB2312"/>
          <w:lang w:eastAsia="zh-CN"/>
        </w:rPr>
        <w:t>～</w:t>
      </w:r>
      <w:r>
        <w:rPr>
          <w:rFonts w:hint="eastAsia" w:eastAsia="仿宋_GB2312"/>
        </w:rPr>
        <w:t>3.0m，需肥量是 2 年生的 2 倍以上；7 月用量最高（150g）：7 月幼果膨大需肥峰值，多施 50g 可补充钾、磷，减少裂果（裂果率从 15% 降至 5% 以下），同时促进果实糖分积累（蔗糖含量提升 1-2 个单位）；5 月、9 月用量稍低（100g）：5 月花芽分化需均衡养分，9 月果实成熟需储备养分，无需过量（避免枝条徒长或果实贪青晚熟）。</w:t>
      </w:r>
    </w:p>
    <w:p w14:paraId="7701C261">
      <w:pPr>
        <w:pStyle w:val="15"/>
        <w:numPr>
          <w:ilvl w:val="0"/>
          <w:numId w:val="0"/>
        </w:numPr>
        <w:ind w:firstLine="640" w:firstLineChars="200"/>
        <w:rPr>
          <w:rFonts w:hint="eastAsia" w:eastAsia="仿宋_GB2312"/>
        </w:rPr>
      </w:pPr>
      <w:r>
        <w:rPr>
          <w:rFonts w:hint="eastAsia" w:eastAsia="仿宋_GB2312"/>
        </w:rPr>
        <w:t>前 3 年 “半环状施肥法”（滴水线外，30×20×10</w:t>
      </w:r>
      <w:r>
        <w:rPr>
          <w:rFonts w:hint="eastAsia" w:eastAsia="仿宋_GB2312"/>
          <w:lang w:eastAsia="zh-CN"/>
        </w:rPr>
        <w:t>～</w:t>
      </w:r>
      <w:r>
        <w:rPr>
          <w:rFonts w:hint="eastAsia" w:eastAsia="仿宋_GB2312"/>
        </w:rPr>
        <w:t>15cm 沟）：适配 “小树浅根”，精准供肥</w:t>
      </w:r>
      <w:r>
        <w:rPr>
          <w:rFonts w:hint="eastAsia" w:eastAsia="仿宋_GB2312"/>
          <w:lang w:eastAsia="zh-CN"/>
        </w:rPr>
        <w:t>。</w:t>
      </w:r>
      <w:r>
        <w:rPr>
          <w:rFonts w:hint="eastAsia" w:eastAsia="仿宋_GB2312"/>
        </w:rPr>
        <w:t>根系适配：1-3 年生树根系浅（主要分布在 0-30cm 土层）、范围小（根系半径 = 树冠滴水线半径，约 0.5-1.0m），半环状施肥沟（沿滴水线外侧）刚好对应 “根系最活跃的吸收区”（滴水线外是根系延伸的前沿，须根最多）；沟规格适配：浅沟（10-15cm）：避免挖到深层主根（主根深 30cm 以下），防止伤根；小沟（30×20cm）：用量少（20-75g），小沟可让肥料与土壤充分拌匀，浓度均匀（避免局部浓度过高烧根）；操作优势：半环状沟施工简单，适合小树间距大（如卡蒂姆 1.0×1.2m）的地块，人工操作效率高。</w:t>
      </w:r>
    </w:p>
    <w:p w14:paraId="772F6344">
      <w:pPr>
        <w:pStyle w:val="15"/>
        <w:numPr>
          <w:ilvl w:val="0"/>
          <w:numId w:val="0"/>
        </w:numPr>
        <w:ind w:firstLine="640" w:firstLineChars="200"/>
        <w:rPr>
          <w:rFonts w:hint="eastAsia" w:eastAsia="仿宋_GB2312"/>
        </w:rPr>
      </w:pPr>
      <w:r>
        <w:rPr>
          <w:rFonts w:hint="eastAsia" w:eastAsia="仿宋_GB2312"/>
        </w:rPr>
        <w:t>3 年及以上 “条沟施肥法”（滴水线外，50×10×20cm 沟，封行后株间 / 行间）：适配 “大树深根 + 密植”，高效保肥</w:t>
      </w:r>
      <w:r>
        <w:rPr>
          <w:rFonts w:hint="eastAsia" w:eastAsia="仿宋_GB2312"/>
          <w:lang w:eastAsia="zh-CN"/>
        </w:rPr>
        <w:t>。</w:t>
      </w:r>
      <w:r>
        <w:rPr>
          <w:rFonts w:hint="eastAsia" w:eastAsia="仿宋_GB2312"/>
        </w:rPr>
        <w:t>根系适配：3 年以上树根系深（吸收根达 30</w:t>
      </w:r>
      <w:r>
        <w:rPr>
          <w:rFonts w:hint="eastAsia" w:eastAsia="仿宋_GB2312"/>
          <w:lang w:eastAsia="zh-CN"/>
        </w:rPr>
        <w:t>～</w:t>
      </w:r>
      <w:r>
        <w:rPr>
          <w:rFonts w:hint="eastAsia" w:eastAsia="仿宋_GB2312"/>
        </w:rPr>
        <w:t>40cm 土层）、范围广（根系半径 1.5</w:t>
      </w:r>
      <w:r>
        <w:rPr>
          <w:rFonts w:hint="eastAsia" w:eastAsia="仿宋_GB2312"/>
          <w:lang w:eastAsia="zh-CN"/>
        </w:rPr>
        <w:t>～</w:t>
      </w:r>
      <w:r>
        <w:rPr>
          <w:rFonts w:hint="eastAsia" w:eastAsia="仿宋_GB2312"/>
        </w:rPr>
        <w:t>2.5m），条沟深 20cm 可将肥料施至 “深层吸收根区”（红壤深层易缺水，深施可让养分随雨季降水下渗，被深层根系吸收）；沟规格适配：深沟（20cm）：红壤易固定磷，深施可减少磷的固定（固定率从 60% 降至 30%），提升磷利用率；长条沟（50cm）：用量大（100</w:t>
      </w:r>
      <w:r>
        <w:rPr>
          <w:rFonts w:hint="eastAsia" w:eastAsia="仿宋_GB2312"/>
          <w:lang w:eastAsia="zh-CN"/>
        </w:rPr>
        <w:t>～</w:t>
      </w:r>
      <w:r>
        <w:rPr>
          <w:rFonts w:hint="eastAsia" w:eastAsia="仿宋_GB2312"/>
        </w:rPr>
        <w:t>150g），长条沟可让肥料均匀分布，避免局部浓度过高；封行后调整：3 年以上树进入盛产期，树冠封行（行间树冠交接），根系在株间、行间密集，此时在株间 / 行间开沟施肥，可让养分被相邻树体共同吸收，避免单株施肥导致的养分浪费。</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8848"/>
      </w:tblGrid>
      <w:tr w14:paraId="5D5D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848" w:type="dxa"/>
          </w:tcPr>
          <w:p w14:paraId="0917AD5E">
            <w:pPr>
              <w:pStyle w:val="15"/>
              <w:numPr>
                <w:ilvl w:val="0"/>
                <w:numId w:val="0"/>
              </w:numPr>
              <w:jc w:val="center"/>
              <w:rPr>
                <w:rFonts w:hint="eastAsia" w:ascii="Times New Roman" w:eastAsia="仿宋_GB2312"/>
                <w:b w:val="0"/>
                <w:bCs w:val="0"/>
                <w:sz w:val="32"/>
                <w:szCs w:val="32"/>
                <w:vertAlign w:val="baseline"/>
                <w:lang w:eastAsia="zh-CN"/>
              </w:rPr>
            </w:pPr>
            <w:r>
              <w:rPr>
                <w:rFonts w:hint="eastAsia" w:ascii="Times New Roman" w:eastAsia="仿宋_GB2312"/>
                <w:b w:val="0"/>
                <w:bCs w:val="0"/>
                <w:sz w:val="32"/>
                <w:szCs w:val="32"/>
                <w:vertAlign w:val="baseline"/>
                <w:lang w:eastAsia="zh-CN"/>
              </w:rPr>
              <w:t>施追肥（左上、左下）、施基肥（右）</w:t>
            </w:r>
            <w:r>
              <w:rPr>
                <w:position w:val="-94"/>
              </w:rPr>
              <w:drawing>
                <wp:anchor distT="0" distB="0" distL="0" distR="0" simplePos="0" relativeHeight="251686912" behindDoc="0" locked="0" layoutInCell="1" allowOverlap="1">
                  <wp:simplePos x="0" y="0"/>
                  <wp:positionH relativeFrom="column">
                    <wp:posOffset>737235</wp:posOffset>
                  </wp:positionH>
                  <wp:positionV relativeFrom="paragraph">
                    <wp:posOffset>34290</wp:posOffset>
                  </wp:positionV>
                  <wp:extent cx="4178300" cy="3012440"/>
                  <wp:effectExtent l="0" t="0" r="12700" b="16510"/>
                  <wp:wrapTopAndBottom/>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5"/>
                          <a:stretch>
                            <a:fillRect/>
                          </a:stretch>
                        </pic:blipFill>
                        <pic:spPr>
                          <a:xfrm>
                            <a:off x="0" y="0"/>
                            <a:ext cx="4178807" cy="3012947"/>
                          </a:xfrm>
                          <a:prstGeom prst="rect">
                            <a:avLst/>
                          </a:prstGeom>
                        </pic:spPr>
                      </pic:pic>
                    </a:graphicData>
                  </a:graphic>
                </wp:anchor>
              </w:drawing>
            </w:r>
          </w:p>
        </w:tc>
      </w:tr>
      <w:tr w14:paraId="62F2D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848" w:type="dxa"/>
          </w:tcPr>
          <w:p w14:paraId="571D8E62">
            <w:pPr>
              <w:pStyle w:val="15"/>
              <w:numPr>
                <w:ilvl w:val="0"/>
                <w:numId w:val="0"/>
              </w:numPr>
              <w:jc w:val="both"/>
              <w:rPr>
                <w:rFonts w:hint="eastAsia" w:ascii="Times New Roman" w:eastAsia="仿宋_GB2312"/>
                <w:b w:val="0"/>
                <w:bCs w:val="0"/>
                <w:sz w:val="32"/>
                <w:szCs w:val="32"/>
                <w:vertAlign w:val="baseline"/>
                <w:lang w:eastAsia="zh-CN"/>
              </w:rPr>
            </w:pPr>
            <w:r>
              <w:rPr>
                <w:rFonts w:hint="eastAsia" w:ascii="Times New Roman" w:eastAsia="仿宋_GB2312"/>
                <w:b w:val="0"/>
                <w:bCs w:val="0"/>
                <w:sz w:val="32"/>
                <w:szCs w:val="32"/>
                <w:vertAlign w:val="baseline"/>
                <w:lang w:eastAsia="zh-CN"/>
              </w:rPr>
              <w:t>幼龄树环状施肥法</w:t>
            </w:r>
            <w:r>
              <w:rPr>
                <w:rFonts w:hint="eastAsia" w:eastAsia="仿宋_GB2312"/>
                <w:b w:val="0"/>
                <w:bCs w:val="0"/>
                <w:sz w:val="32"/>
                <w:szCs w:val="32"/>
                <w:vertAlign w:val="baseline"/>
                <w:lang w:val="en-US" w:eastAsia="zh-CN"/>
              </w:rPr>
              <w:t xml:space="preserve">                 </w:t>
            </w:r>
            <w:r>
              <w:rPr>
                <w:rFonts w:hint="eastAsia" w:ascii="Times New Roman" w:eastAsia="仿宋_GB2312"/>
                <w:b w:val="0"/>
                <w:bCs w:val="0"/>
                <w:sz w:val="32"/>
                <w:szCs w:val="32"/>
                <w:vertAlign w:val="baseline"/>
                <w:lang w:eastAsia="zh-CN"/>
              </w:rPr>
              <w:t>成龄树采用条沟施肥法</w:t>
            </w:r>
            <w:r>
              <w:drawing>
                <wp:anchor distT="0" distB="0" distL="0" distR="0" simplePos="0" relativeHeight="251688960" behindDoc="0" locked="0" layoutInCell="1" allowOverlap="1">
                  <wp:simplePos x="0" y="0"/>
                  <wp:positionH relativeFrom="column">
                    <wp:posOffset>3644900</wp:posOffset>
                  </wp:positionH>
                  <wp:positionV relativeFrom="paragraph">
                    <wp:posOffset>-3047365</wp:posOffset>
                  </wp:positionV>
                  <wp:extent cx="1469390" cy="2086610"/>
                  <wp:effectExtent l="0" t="0" r="16510" b="8890"/>
                  <wp:wrapTopAndBottom/>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6"/>
                          <a:stretch>
                            <a:fillRect/>
                          </a:stretch>
                        </pic:blipFill>
                        <pic:spPr>
                          <a:xfrm>
                            <a:off x="0" y="0"/>
                            <a:ext cx="1469390" cy="2086610"/>
                          </a:xfrm>
                          <a:prstGeom prst="rect">
                            <a:avLst/>
                          </a:prstGeom>
                        </pic:spPr>
                      </pic:pic>
                    </a:graphicData>
                  </a:graphic>
                </wp:anchor>
              </w:drawing>
            </w:r>
            <w:r>
              <w:rPr>
                <w:position w:val="-75"/>
              </w:rPr>
              <w:drawing>
                <wp:anchor distT="0" distB="0" distL="0" distR="0" simplePos="0" relativeHeight="251687936" behindDoc="0" locked="0" layoutInCell="1" allowOverlap="1">
                  <wp:simplePos x="0" y="0"/>
                  <wp:positionH relativeFrom="column">
                    <wp:posOffset>85090</wp:posOffset>
                  </wp:positionH>
                  <wp:positionV relativeFrom="paragraph">
                    <wp:posOffset>96520</wp:posOffset>
                  </wp:positionV>
                  <wp:extent cx="2622550" cy="2016125"/>
                  <wp:effectExtent l="0" t="0" r="6350" b="3175"/>
                  <wp:wrapTopAndBottom/>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7"/>
                          <a:stretch>
                            <a:fillRect/>
                          </a:stretch>
                        </pic:blipFill>
                        <pic:spPr>
                          <a:xfrm>
                            <a:off x="0" y="0"/>
                            <a:ext cx="2622550" cy="2016125"/>
                          </a:xfrm>
                          <a:prstGeom prst="rect">
                            <a:avLst/>
                          </a:prstGeom>
                        </pic:spPr>
                      </pic:pic>
                    </a:graphicData>
                  </a:graphic>
                </wp:anchor>
              </w:drawing>
            </w:r>
          </w:p>
        </w:tc>
      </w:tr>
    </w:tbl>
    <w:p w14:paraId="26D91325">
      <w:pPr>
        <w:pStyle w:val="15"/>
        <w:numPr>
          <w:ilvl w:val="0"/>
          <w:numId w:val="0"/>
        </w:numPr>
        <w:ind w:firstLine="643" w:firstLineChars="200"/>
        <w:rPr>
          <w:rFonts w:hint="eastAsia" w:ascii="仿宋_GB2312" w:eastAsia="仿宋_GB2312"/>
          <w:b/>
          <w:bCs/>
          <w:sz w:val="32"/>
          <w:szCs w:val="32"/>
          <w:lang w:eastAsia="zh-CN"/>
        </w:rPr>
      </w:pPr>
    </w:p>
    <w:p w14:paraId="1134C001">
      <w:pPr>
        <w:pStyle w:val="15"/>
        <w:numPr>
          <w:ilvl w:val="0"/>
          <w:numId w:val="0"/>
        </w:numPr>
        <w:ind w:firstLine="643" w:firstLineChars="200"/>
        <w:rPr>
          <w:rFonts w:hint="eastAsia" w:ascii="仿宋_GB2312" w:eastAsia="仿宋_GB2312"/>
          <w:b/>
          <w:bCs/>
          <w:lang w:val="en-US" w:eastAsia="zh-CN"/>
        </w:rPr>
      </w:pPr>
      <w:r>
        <w:rPr>
          <w:rFonts w:hint="eastAsia" w:ascii="仿宋_GB2312" w:eastAsia="仿宋_GB2312"/>
          <w:b/>
          <w:bCs/>
          <w:sz w:val="32"/>
          <w:szCs w:val="32"/>
          <w:lang w:eastAsia="zh-CN"/>
        </w:rPr>
        <w:t>（</w:t>
      </w:r>
      <w:r>
        <w:rPr>
          <w:rFonts w:hint="eastAsia" w:ascii="仿宋_GB2312" w:eastAsia="仿宋_GB2312"/>
          <w:b/>
          <w:bCs/>
          <w:sz w:val="32"/>
          <w:szCs w:val="32"/>
          <w:lang w:val="en-US" w:eastAsia="zh-CN"/>
        </w:rPr>
        <w:t>六</w:t>
      </w:r>
      <w:r>
        <w:rPr>
          <w:rFonts w:hint="eastAsia" w:ascii="仿宋_GB2312" w:eastAsia="仿宋_GB2312"/>
          <w:b/>
          <w:bCs/>
          <w:sz w:val="32"/>
          <w:szCs w:val="32"/>
          <w:lang w:eastAsia="zh-CN"/>
        </w:rPr>
        <w:t>）</w:t>
      </w:r>
      <w:r>
        <w:rPr>
          <w:rFonts w:hint="eastAsia" w:ascii="仿宋_GB2312" w:eastAsia="仿宋_GB2312"/>
          <w:b/>
          <w:bCs/>
          <w:lang w:val="en-US" w:eastAsia="zh-CN"/>
        </w:rPr>
        <w:t>修枝</w:t>
      </w:r>
    </w:p>
    <w:p w14:paraId="4C8F0937">
      <w:pPr>
        <w:pStyle w:val="15"/>
        <w:numPr>
          <w:ilvl w:val="0"/>
          <w:numId w:val="0"/>
        </w:numPr>
        <w:ind w:firstLine="640" w:firstLineChars="200"/>
        <w:rPr>
          <w:rFonts w:hint="eastAsia" w:eastAsia="仿宋_GB2312"/>
        </w:rPr>
      </w:pPr>
      <w:r>
        <w:rPr>
          <w:rFonts w:hint="eastAsia" w:eastAsia="仿宋_GB2312"/>
        </w:rPr>
        <w:t>控高 1.8m：适配山地人工管理，平衡 “光合面积” 与 “操作效率”</w:t>
      </w:r>
      <w:r>
        <w:rPr>
          <w:rFonts w:hint="eastAsia" w:eastAsia="仿宋_GB2312"/>
          <w:lang w:eastAsia="zh-CN"/>
        </w:rPr>
        <w:t>。</w:t>
      </w:r>
      <w:r>
        <w:rPr>
          <w:rFonts w:hint="eastAsia" w:eastAsia="仿宋_GB2312"/>
        </w:rPr>
        <w:t>解决采摘难题：西林咖啡多种植在 600</w:t>
      </w:r>
      <w:r>
        <w:rPr>
          <w:rFonts w:hint="eastAsia" w:eastAsia="仿宋_GB2312"/>
          <w:lang w:eastAsia="zh-CN"/>
        </w:rPr>
        <w:t>～</w:t>
      </w:r>
      <w:r>
        <w:rPr>
          <w:rFonts w:hint="eastAsia" w:eastAsia="仿宋_GB2312"/>
        </w:rPr>
        <w:t>1000m 坡地，无大型机械化采摘条件，依赖人工逐果采摘 —— 株高超 1.8m 时，采摘人员需登高（如踩梯子），效率降低 50% 以上，且易踩伤下层枝条；1.8m 高度刚好适配成年人站立采摘（伸手可及树冠顶部），每亩采摘时间从 2 天缩短至 1 天，同时减少枝条损伤。避免冠层光照不均：过高的树体（＞2.0m）会导致 “上层枝叶遮挡下层”，下层叶片光照强度＜500μmol/m²・s（咖啡光合临界值），光合产物不足，下部果实小、甜度低（蔗糖含量比上层低 2-3 个单位）；1.8m 截顶可让冠层呈 “矮化紧凑” 状，叶片均匀分布在 1.0</w:t>
      </w:r>
      <w:r>
        <w:rPr>
          <w:rFonts w:hint="eastAsia" w:eastAsia="仿宋_GB2312"/>
          <w:lang w:eastAsia="zh-CN"/>
        </w:rPr>
        <w:t>～</w:t>
      </w:r>
      <w:r>
        <w:rPr>
          <w:rFonts w:hint="eastAsia" w:eastAsia="仿宋_GB2312"/>
        </w:rPr>
        <w:t>1.8m 高度，光照利用率提升 30%，果实大小与甜度更均匀。截顶后，主干顶端会萌发新顶芽（“顶端优势” 作用），若不及时清除，新顶芽会快速长高（1 个月可长 20-30cm），导致 “截顶白做”；及时修除新顶芽，可打破 “顶端优势”，引导养分向侧枝分配，促进侧枝萌发为结果枝（侧枝数量比不除顶芽多 30%）。</w:t>
      </w:r>
    </w:p>
    <w:p w14:paraId="5A0588B5">
      <w:pPr>
        <w:pStyle w:val="15"/>
        <w:numPr>
          <w:ilvl w:val="0"/>
          <w:numId w:val="0"/>
        </w:numPr>
        <w:ind w:firstLine="640" w:firstLineChars="200"/>
        <w:rPr>
          <w:rFonts w:hint="eastAsia" w:eastAsia="仿宋_GB2312"/>
        </w:rPr>
      </w:pPr>
      <w:r>
        <w:rPr>
          <w:rFonts w:hint="eastAsia" w:eastAsia="仿宋_GB2312"/>
        </w:rPr>
        <w:t>株型高干、不紧凑品种（如萨奇姆、罗布斯塔）：定向留芽：这类品种易从主干、分枝上萌发大量腋芽（尤其雨季），若不清理，会形成 “杂乱枝条”——①争夺养分（每根无效芽每天消耗的养分相当于 1 个小果实）；②导致冠层过密（通风差，湿度高，炭疽病发生率增加 40%）。规定 “离主干 15cm 外留 3-5 条二分枝，每条留 2 条三分枝”，是因为：15cm 内的腋芽靠近主干，易与主干争夺养分；3-5 条二分枝可形成 “主结果枝层”，每条留 2 条三分枝可作为 “次结果枝”，既保证当年结果量，又避免枝条过密，是 “产量与通风” 的平衡点。2-4 月开花期：留 “结果枝”+“储备枝”：抹除一分枝上的 “弱小枝芽”：这类枝芽无法开花结果，仅消耗养分，抹除后养分集中供给 “节位结果枝”（当年结果的核心），坐果率提升 15%</w:t>
      </w:r>
      <w:r>
        <w:rPr>
          <w:rFonts w:hint="eastAsia" w:eastAsia="仿宋_GB2312"/>
          <w:lang w:eastAsia="zh-CN"/>
        </w:rPr>
        <w:t>～</w:t>
      </w:r>
      <w:r>
        <w:rPr>
          <w:rFonts w:hint="eastAsia" w:eastAsia="仿宋_GB2312"/>
        </w:rPr>
        <w:t>20%；保留 “一分枝生长嫩枝”：嫩枝会在当年生长为 “次年结果枝”，若不保留，次年无新结果枝，会出现 “产量断层”（次年减产 50% 以上），这是西林区别于 “短期掠夺式种植” 的关键 —— 兼顾当年与长期收益。</w:t>
      </w:r>
    </w:p>
    <w:p w14:paraId="73327044">
      <w:pPr>
        <w:pStyle w:val="15"/>
        <w:numPr>
          <w:ilvl w:val="0"/>
          <w:numId w:val="0"/>
        </w:numPr>
        <w:ind w:firstLine="640" w:firstLineChars="200"/>
        <w:rPr>
          <w:rFonts w:hint="eastAsia" w:eastAsia="仿宋_GB2312"/>
        </w:rPr>
      </w:pPr>
      <w:r>
        <w:rPr>
          <w:rFonts w:hint="eastAsia" w:eastAsia="仿宋_GB2312"/>
        </w:rPr>
        <w:t>6 月雨季初期、9 月雨季末期：清 “无效芽”：雨季高温高湿，腋芽萌发快（7 天可长 5</w:t>
      </w:r>
      <w:r>
        <w:rPr>
          <w:rFonts w:hint="eastAsia" w:eastAsia="仿宋_GB2312"/>
          <w:lang w:eastAsia="zh-CN"/>
        </w:rPr>
        <w:t>～</w:t>
      </w:r>
      <w:r>
        <w:rPr>
          <w:rFonts w:hint="eastAsia" w:eastAsia="仿宋_GB2312"/>
        </w:rPr>
        <w:t>10cm），此时抹除 “分枝下位、主干基部的直生芽”：直生芽会徒长（只长高不结果），争夺主枝养分，且易形成 “下层杂乱枝条”，遮挡结果枝光照；清理后可维持冠层通风，减少病害（如煤烟病，依赖高湿弱光传播）。</w:t>
      </w:r>
    </w:p>
    <w:p w14:paraId="21F4C5B6">
      <w:pPr>
        <w:pStyle w:val="15"/>
        <w:numPr>
          <w:ilvl w:val="0"/>
          <w:numId w:val="0"/>
        </w:numPr>
        <w:ind w:firstLine="640" w:firstLineChars="200"/>
        <w:rPr>
          <w:rFonts w:hint="eastAsia" w:eastAsia="仿宋_GB2312"/>
        </w:rPr>
      </w:pPr>
      <w:r>
        <w:rPr>
          <w:rFonts w:hint="eastAsia" w:eastAsia="仿宋_GB2312"/>
          <w:lang w:eastAsia="zh-CN"/>
        </w:rPr>
        <w:t>高秆</w:t>
      </w:r>
      <w:r>
        <w:rPr>
          <w:rFonts w:hint="eastAsia" w:eastAsia="仿宋_GB2312"/>
        </w:rPr>
        <w:t>苗（如罗布斯塔实生苗）分枝部位高（＞1.0m），单主干细弱（直径＜1.0cm），在山地坡地易因风力、采收压力倒伏（倒伏率＞30%）；后备杆设计逻辑：保留 1-2 条直生枝作为 “后备新杆”，可形成 “主杆 + 后备杆” 的 “支撑结构”——①若原主干受损（如折断），后备杆可快速替代，避免整株报废；②多主干分散风阻，抗风能力提升 50%；③总数不</w:t>
      </w:r>
      <w:r>
        <w:rPr>
          <w:rFonts w:hint="eastAsia" w:eastAsia="仿宋_GB2312"/>
          <w:lang w:eastAsia="zh-CN"/>
        </w:rPr>
        <w:t>超过</w:t>
      </w:r>
      <w:r>
        <w:rPr>
          <w:rFonts w:hint="eastAsia" w:eastAsia="仿宋_GB2312"/>
        </w:rPr>
        <w:t xml:space="preserve"> 3 条，是避免主干过多导致养分分散（如 4 条主干会使每条主干养分不足，结果枝减少）。</w:t>
      </w:r>
    </w:p>
    <w:p w14:paraId="1321B2F1">
      <w:pPr>
        <w:pStyle w:val="15"/>
        <w:numPr>
          <w:ilvl w:val="0"/>
          <w:numId w:val="0"/>
        </w:numPr>
        <w:ind w:firstLine="640" w:firstLineChars="200"/>
        <w:rPr>
          <w:rFonts w:hint="eastAsia" w:ascii="Times New Roman" w:eastAsia="仿宋_GB2312"/>
          <w:b w:val="0"/>
          <w:bCs w:val="0"/>
          <w:lang w:val="en-US" w:eastAsia="zh-CN"/>
        </w:rPr>
      </w:pPr>
      <w:r>
        <w:rPr>
          <w:rFonts w:hint="eastAsia" w:eastAsia="仿宋_GB2312"/>
        </w:rPr>
        <w:t>幼树主干整形（留 1 条</w:t>
      </w:r>
      <w:r>
        <w:rPr>
          <w:rFonts w:hint="eastAsia" w:eastAsia="仿宋_GB2312"/>
          <w:lang w:eastAsia="zh-CN"/>
        </w:rPr>
        <w:t>主干</w:t>
      </w:r>
      <w:r>
        <w:rPr>
          <w:rFonts w:hint="eastAsia" w:eastAsia="仿宋_GB2312"/>
        </w:rPr>
        <w:t>，除其余直生枝）：集中养分 “养壮主干”，为后续丰产打基础</w:t>
      </w:r>
      <w:r>
        <w:rPr>
          <w:rFonts w:hint="eastAsia" w:eastAsia="仿宋_GB2312"/>
          <w:lang w:eastAsia="zh-CN"/>
        </w:rPr>
        <w:t>。</w:t>
      </w:r>
      <w:r>
        <w:rPr>
          <w:rFonts w:hint="eastAsia" w:eastAsia="仿宋_GB2312"/>
        </w:rPr>
        <w:t>幼树核心需求：1-2 年生幼树需快速长壮主干（直径≥1.5cm），达到 1.8m 截顶高度（适配后续修枝），若过早分枝，养分会分散到侧枝，导致主干细弱（3 年生主干直径＜1.2cm），无法支撑盛产期的冠层与果实重量；整形作用：只留 1 条主杆，所有养分集中供给主干生长，3 年生主干直径可达 1.8</w:t>
      </w:r>
      <w:r>
        <w:rPr>
          <w:rFonts w:hint="eastAsia" w:eastAsia="仿宋_GB2312"/>
          <w:lang w:eastAsia="zh-CN"/>
        </w:rPr>
        <w:t>～</w:t>
      </w:r>
      <w:r>
        <w:rPr>
          <w:rFonts w:hint="eastAsia" w:eastAsia="仿宋_GB2312"/>
        </w:rPr>
        <w:t>2.0cm，比不整形的粗 30%，且主干高度达标（1.8m），可按时截顶，进入盛产期（比不整形的早半年投产）。</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424"/>
        <w:gridCol w:w="4424"/>
      </w:tblGrid>
      <w:tr w14:paraId="56D5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424" w:type="dxa"/>
          </w:tcPr>
          <w:p w14:paraId="456C3743">
            <w:pPr>
              <w:pStyle w:val="15"/>
              <w:numPr>
                <w:ilvl w:val="0"/>
                <w:numId w:val="0"/>
              </w:numPr>
              <w:jc w:val="center"/>
              <w:rPr>
                <w:rFonts w:hint="eastAsia" w:ascii="仿宋_GB2312" w:eastAsia="仿宋_GB2312"/>
                <w:b/>
                <w:bCs/>
                <w:sz w:val="32"/>
                <w:szCs w:val="32"/>
                <w:vertAlign w:val="baseline"/>
                <w:lang w:eastAsia="zh-CN"/>
              </w:rPr>
            </w:pPr>
            <w:r>
              <w:rPr>
                <w:rFonts w:hint="eastAsia" w:ascii="Times New Roman" w:eastAsia="仿宋_GB2312"/>
                <w:b w:val="0"/>
                <w:bCs w:val="0"/>
                <w:sz w:val="32"/>
                <w:szCs w:val="32"/>
                <w:vertAlign w:val="baseline"/>
                <w:lang w:eastAsia="zh-CN"/>
              </w:rPr>
              <w:t>修剪前</w:t>
            </w:r>
            <w:r>
              <w:rPr>
                <w:position w:val="-81"/>
              </w:rPr>
              <w:drawing>
                <wp:anchor distT="0" distB="0" distL="0" distR="0" simplePos="0" relativeHeight="251695104" behindDoc="0" locked="0" layoutInCell="1" allowOverlap="1">
                  <wp:simplePos x="0" y="0"/>
                  <wp:positionH relativeFrom="column">
                    <wp:posOffset>290195</wp:posOffset>
                  </wp:positionH>
                  <wp:positionV relativeFrom="paragraph">
                    <wp:posOffset>120650</wp:posOffset>
                  </wp:positionV>
                  <wp:extent cx="2186940" cy="2121535"/>
                  <wp:effectExtent l="0" t="0" r="3810" b="12065"/>
                  <wp:wrapTopAndBottom/>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8"/>
                          <a:stretch>
                            <a:fillRect/>
                          </a:stretch>
                        </pic:blipFill>
                        <pic:spPr>
                          <a:xfrm>
                            <a:off x="0" y="0"/>
                            <a:ext cx="2186940" cy="2121535"/>
                          </a:xfrm>
                          <a:prstGeom prst="rect">
                            <a:avLst/>
                          </a:prstGeom>
                        </pic:spPr>
                      </pic:pic>
                    </a:graphicData>
                  </a:graphic>
                </wp:anchor>
              </w:drawing>
            </w:r>
          </w:p>
        </w:tc>
        <w:tc>
          <w:tcPr>
            <w:tcW w:w="4424" w:type="dxa"/>
          </w:tcPr>
          <w:p w14:paraId="11967C82">
            <w:pPr>
              <w:pStyle w:val="15"/>
              <w:numPr>
                <w:ilvl w:val="0"/>
                <w:numId w:val="0"/>
              </w:numPr>
              <w:jc w:val="center"/>
              <w:rPr>
                <w:rFonts w:hint="eastAsia" w:ascii="仿宋_GB2312" w:eastAsia="仿宋_GB2312"/>
                <w:b/>
                <w:bCs/>
                <w:sz w:val="32"/>
                <w:szCs w:val="32"/>
                <w:vertAlign w:val="baseline"/>
                <w:lang w:eastAsia="zh-CN"/>
              </w:rPr>
            </w:pPr>
            <w:r>
              <w:drawing>
                <wp:anchor distT="0" distB="0" distL="0" distR="0" simplePos="0" relativeHeight="251696128" behindDoc="0" locked="0" layoutInCell="1" allowOverlap="1">
                  <wp:simplePos x="0" y="0"/>
                  <wp:positionH relativeFrom="column">
                    <wp:posOffset>287655</wp:posOffset>
                  </wp:positionH>
                  <wp:positionV relativeFrom="paragraph">
                    <wp:posOffset>120650</wp:posOffset>
                  </wp:positionV>
                  <wp:extent cx="2254250" cy="2033905"/>
                  <wp:effectExtent l="0" t="0" r="12700" b="4445"/>
                  <wp:wrapTopAndBottom/>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9"/>
                          <a:stretch>
                            <a:fillRect/>
                          </a:stretch>
                        </pic:blipFill>
                        <pic:spPr>
                          <a:xfrm>
                            <a:off x="0" y="0"/>
                            <a:ext cx="2254250" cy="2033905"/>
                          </a:xfrm>
                          <a:prstGeom prst="rect">
                            <a:avLst/>
                          </a:prstGeom>
                        </pic:spPr>
                      </pic:pic>
                    </a:graphicData>
                  </a:graphic>
                </wp:anchor>
              </w:drawing>
            </w:r>
            <w:r>
              <w:rPr>
                <w:rFonts w:hint="eastAsia" w:ascii="Times New Roman" w:eastAsia="仿宋_GB2312"/>
                <w:b w:val="0"/>
                <w:bCs w:val="0"/>
                <w:sz w:val="32"/>
                <w:szCs w:val="32"/>
                <w:vertAlign w:val="baseline"/>
                <w:lang w:eastAsia="zh-CN"/>
              </w:rPr>
              <w:t>修剪后</w:t>
            </w:r>
          </w:p>
        </w:tc>
      </w:tr>
      <w:tr w14:paraId="773A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424" w:type="dxa"/>
          </w:tcPr>
          <w:p w14:paraId="668D0D0F">
            <w:pPr>
              <w:pStyle w:val="15"/>
              <w:numPr>
                <w:ilvl w:val="0"/>
                <w:numId w:val="0"/>
              </w:numPr>
              <w:jc w:val="center"/>
              <w:rPr>
                <w:rFonts w:hint="eastAsia" w:ascii="仿宋_GB2312" w:eastAsia="仿宋_GB2312"/>
                <w:b/>
                <w:bCs/>
                <w:sz w:val="32"/>
                <w:szCs w:val="32"/>
                <w:vertAlign w:val="baseline"/>
                <w:lang w:eastAsia="zh-CN"/>
              </w:rPr>
            </w:pPr>
            <w:r>
              <w:rPr>
                <w:rFonts w:hint="eastAsia" w:eastAsia="仿宋_GB2312"/>
                <w:spacing w:val="0"/>
              </w:rPr>
              <w:t>抹芽前</w:t>
            </w:r>
            <w:r>
              <w:rPr>
                <w:position w:val="-88"/>
              </w:rPr>
              <w:drawing>
                <wp:anchor distT="0" distB="0" distL="0" distR="0" simplePos="0" relativeHeight="251697152" behindDoc="0" locked="0" layoutInCell="1" allowOverlap="1">
                  <wp:simplePos x="0" y="0"/>
                  <wp:positionH relativeFrom="column">
                    <wp:posOffset>307340</wp:posOffset>
                  </wp:positionH>
                  <wp:positionV relativeFrom="paragraph">
                    <wp:posOffset>95250</wp:posOffset>
                  </wp:positionV>
                  <wp:extent cx="2172970" cy="2808605"/>
                  <wp:effectExtent l="0" t="0" r="17780" b="10795"/>
                  <wp:wrapTopAndBottom/>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40"/>
                          <a:stretch>
                            <a:fillRect/>
                          </a:stretch>
                        </pic:blipFill>
                        <pic:spPr>
                          <a:xfrm>
                            <a:off x="0" y="0"/>
                            <a:ext cx="2173224" cy="2808732"/>
                          </a:xfrm>
                          <a:prstGeom prst="rect">
                            <a:avLst/>
                          </a:prstGeom>
                        </pic:spPr>
                      </pic:pic>
                    </a:graphicData>
                  </a:graphic>
                </wp:anchor>
              </w:drawing>
            </w:r>
          </w:p>
        </w:tc>
        <w:tc>
          <w:tcPr>
            <w:tcW w:w="4424" w:type="dxa"/>
          </w:tcPr>
          <w:p w14:paraId="40AE5A5B">
            <w:pPr>
              <w:pStyle w:val="15"/>
              <w:numPr>
                <w:ilvl w:val="0"/>
                <w:numId w:val="0"/>
              </w:numPr>
              <w:jc w:val="center"/>
              <w:rPr>
                <w:rFonts w:hint="eastAsia" w:ascii="仿宋_GB2312" w:eastAsia="仿宋_GB2312"/>
                <w:b/>
                <w:bCs/>
                <w:sz w:val="32"/>
                <w:szCs w:val="32"/>
                <w:vertAlign w:val="baseline"/>
                <w:lang w:eastAsia="zh-CN"/>
              </w:rPr>
            </w:pPr>
            <w:r>
              <w:rPr>
                <w:rFonts w:hint="eastAsia" w:ascii="Times New Roman" w:eastAsia="仿宋_GB2312"/>
                <w:b w:val="0"/>
                <w:bCs w:val="0"/>
                <w:sz w:val="32"/>
                <w:szCs w:val="32"/>
                <w:vertAlign w:val="baseline"/>
                <w:lang w:eastAsia="zh-CN"/>
              </w:rPr>
              <w:t>抹芽后</w:t>
            </w:r>
            <w:r>
              <w:drawing>
                <wp:anchor distT="0" distB="0" distL="0" distR="0" simplePos="0" relativeHeight="251698176" behindDoc="0" locked="0" layoutInCell="1" allowOverlap="1">
                  <wp:simplePos x="0" y="0"/>
                  <wp:positionH relativeFrom="column">
                    <wp:posOffset>308610</wp:posOffset>
                  </wp:positionH>
                  <wp:positionV relativeFrom="paragraph">
                    <wp:posOffset>116840</wp:posOffset>
                  </wp:positionV>
                  <wp:extent cx="2037715" cy="2808605"/>
                  <wp:effectExtent l="0" t="0" r="635" b="10795"/>
                  <wp:wrapTopAndBottom/>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41"/>
                          <a:stretch>
                            <a:fillRect/>
                          </a:stretch>
                        </pic:blipFill>
                        <pic:spPr>
                          <a:xfrm>
                            <a:off x="0" y="0"/>
                            <a:ext cx="2037715" cy="2808605"/>
                          </a:xfrm>
                          <a:prstGeom prst="rect">
                            <a:avLst/>
                          </a:prstGeom>
                        </pic:spPr>
                      </pic:pic>
                    </a:graphicData>
                  </a:graphic>
                </wp:anchor>
              </w:drawing>
            </w:r>
          </w:p>
        </w:tc>
      </w:tr>
    </w:tbl>
    <w:p w14:paraId="5CD502CD">
      <w:pPr>
        <w:pStyle w:val="15"/>
        <w:numPr>
          <w:ilvl w:val="0"/>
          <w:numId w:val="0"/>
        </w:numPr>
        <w:ind w:firstLine="643" w:firstLineChars="200"/>
        <w:rPr>
          <w:rFonts w:hint="eastAsia" w:ascii="仿宋_GB2312" w:eastAsia="仿宋_GB2312"/>
          <w:b/>
          <w:bCs/>
          <w:sz w:val="32"/>
          <w:szCs w:val="32"/>
          <w:lang w:eastAsia="zh-CN"/>
        </w:rPr>
      </w:pPr>
    </w:p>
    <w:p w14:paraId="3980AF7F">
      <w:pPr>
        <w:pStyle w:val="15"/>
        <w:numPr>
          <w:ilvl w:val="0"/>
          <w:numId w:val="0"/>
        </w:numPr>
        <w:ind w:firstLine="643" w:firstLineChars="200"/>
        <w:rPr>
          <w:rFonts w:hint="eastAsia" w:ascii="仿宋_GB2312" w:eastAsia="仿宋_GB2312"/>
          <w:b/>
          <w:bCs/>
          <w:sz w:val="32"/>
          <w:szCs w:val="32"/>
          <w:lang w:val="en-US" w:eastAsia="zh-CN"/>
        </w:rPr>
      </w:pPr>
      <w:r>
        <w:rPr>
          <w:rFonts w:hint="eastAsia" w:ascii="仿宋_GB2312" w:eastAsia="仿宋_GB2312"/>
          <w:b/>
          <w:bCs/>
          <w:sz w:val="32"/>
          <w:szCs w:val="32"/>
          <w:lang w:eastAsia="zh-CN"/>
        </w:rPr>
        <w:t>（</w:t>
      </w:r>
      <w:r>
        <w:rPr>
          <w:rFonts w:hint="eastAsia" w:ascii="仿宋_GB2312" w:eastAsia="仿宋_GB2312"/>
          <w:b/>
          <w:bCs/>
          <w:sz w:val="32"/>
          <w:szCs w:val="32"/>
          <w:lang w:val="en-US" w:eastAsia="zh-CN"/>
        </w:rPr>
        <w:t>七</w:t>
      </w:r>
      <w:r>
        <w:rPr>
          <w:rFonts w:hint="eastAsia" w:ascii="仿宋_GB2312" w:eastAsia="仿宋_GB2312"/>
          <w:b/>
          <w:bCs/>
          <w:sz w:val="32"/>
          <w:szCs w:val="32"/>
          <w:lang w:eastAsia="zh-CN"/>
        </w:rPr>
        <w:t>）</w:t>
      </w:r>
      <w:r>
        <w:rPr>
          <w:rFonts w:hint="eastAsia" w:ascii="仿宋_GB2312" w:eastAsia="仿宋_GB2312"/>
          <w:b/>
          <w:bCs/>
        </w:rPr>
        <w:t>主要病虫害防治</w:t>
      </w:r>
    </w:p>
    <w:p w14:paraId="762FE0A0">
      <w:pPr>
        <w:pStyle w:val="15"/>
        <w:numPr>
          <w:ilvl w:val="0"/>
          <w:numId w:val="0"/>
        </w:numPr>
        <w:ind w:firstLine="640" w:firstLineChars="200"/>
        <w:rPr>
          <w:rFonts w:hint="eastAsia" w:ascii="Times New Roman" w:eastAsia="仿宋_GB2312"/>
          <w:b w:val="0"/>
          <w:bCs w:val="0"/>
          <w:sz w:val="32"/>
          <w:szCs w:val="32"/>
          <w:lang w:eastAsia="zh-CN"/>
        </w:rPr>
      </w:pPr>
      <w:r>
        <w:rPr>
          <w:rFonts w:hint="eastAsia" w:eastAsia="仿宋_GB2312"/>
        </w:rPr>
        <w:t>炭疽病、煤烟病、天牛等为西林句町咖啡主要病虫害</w:t>
      </w:r>
      <w:r>
        <w:rPr>
          <w:rFonts w:hint="eastAsia" w:eastAsia="仿宋_GB2312"/>
          <w:lang w:eastAsia="zh-CN"/>
        </w:rPr>
        <w:t>。</w:t>
      </w:r>
      <w:r>
        <w:rPr>
          <w:rFonts w:hint="eastAsia" w:eastAsia="仿宋_GB2312"/>
        </w:rPr>
        <w:t>其他病虫害防治应符合NY/T 1698的规定</w:t>
      </w:r>
      <w:r>
        <w:rPr>
          <w:rFonts w:hint="eastAsia" w:eastAsia="仿宋_GB2312"/>
          <w:lang w:eastAsia="zh-CN"/>
        </w:rPr>
        <w:t>。</w:t>
      </w:r>
    </w:p>
    <w:tbl>
      <w:tblPr>
        <w:tblStyle w:val="1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Layout w:type="autofit"/>
        <w:tblCellMar>
          <w:top w:w="0" w:type="dxa"/>
          <w:left w:w="0" w:type="dxa"/>
          <w:bottom w:w="0" w:type="dxa"/>
          <w:right w:w="0" w:type="dxa"/>
        </w:tblCellMar>
      </w:tblPr>
      <w:tblGrid>
        <w:gridCol w:w="1565"/>
        <w:gridCol w:w="2765"/>
        <w:gridCol w:w="1382"/>
        <w:gridCol w:w="2938"/>
      </w:tblGrid>
      <w:tr w14:paraId="7C5167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CellMar>
            <w:top w:w="0" w:type="dxa"/>
            <w:left w:w="0" w:type="dxa"/>
            <w:bottom w:w="0" w:type="dxa"/>
            <w:right w:w="0" w:type="dxa"/>
          </w:tblCellMar>
        </w:tblPrEx>
        <w:trPr>
          <w:tblHeader/>
          <w:jc w:val="center"/>
        </w:trPr>
        <w:tc>
          <w:tcPr>
            <w:tcW w:w="905" w:type="pct"/>
            <w:tcBorders>
              <w:top w:val="single" w:color="auto" w:sz="8" w:space="0"/>
              <w:left w:val="single" w:color="auto" w:sz="8" w:space="0"/>
              <w:bottom w:val="single" w:color="auto" w:sz="8" w:space="0"/>
              <w:right w:val="single" w:color="auto" w:sz="4" w:space="0"/>
            </w:tcBorders>
            <w:shd w:val="clear"/>
            <w:vAlign w:val="center"/>
          </w:tcPr>
          <w:p w14:paraId="5597A955">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防治对象</w:t>
            </w:r>
          </w:p>
        </w:tc>
        <w:tc>
          <w:tcPr>
            <w:tcW w:w="1598" w:type="pct"/>
            <w:tcBorders>
              <w:top w:val="single" w:color="auto" w:sz="8" w:space="0"/>
              <w:left w:val="single" w:color="auto" w:sz="4" w:space="0"/>
              <w:bottom w:val="single" w:color="auto" w:sz="8" w:space="0"/>
              <w:right w:val="single" w:color="auto" w:sz="4" w:space="0"/>
            </w:tcBorders>
            <w:shd w:val="clear"/>
            <w:vAlign w:val="center"/>
          </w:tcPr>
          <w:p w14:paraId="68DA501F">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推荐药剂及其规格</w:t>
            </w:r>
          </w:p>
        </w:tc>
        <w:tc>
          <w:tcPr>
            <w:tcW w:w="799" w:type="pct"/>
            <w:tcBorders>
              <w:top w:val="single" w:color="auto" w:sz="8" w:space="0"/>
              <w:left w:val="single" w:color="auto" w:sz="4" w:space="0"/>
              <w:bottom w:val="single" w:color="auto" w:sz="8" w:space="0"/>
              <w:right w:val="single" w:color="auto" w:sz="4" w:space="0"/>
            </w:tcBorders>
            <w:shd w:val="clear"/>
            <w:vAlign w:val="center"/>
          </w:tcPr>
          <w:p w14:paraId="6BEA3841">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稀释倍数</w:t>
            </w:r>
          </w:p>
        </w:tc>
        <w:tc>
          <w:tcPr>
            <w:tcW w:w="1698" w:type="pct"/>
            <w:tcBorders>
              <w:top w:val="single" w:color="auto" w:sz="8" w:space="0"/>
              <w:left w:val="single" w:color="auto" w:sz="4" w:space="0"/>
              <w:bottom w:val="single" w:color="auto" w:sz="8" w:space="0"/>
              <w:right w:val="single" w:color="auto" w:sz="8" w:space="0"/>
            </w:tcBorders>
            <w:shd w:val="clear"/>
            <w:vAlign w:val="center"/>
          </w:tcPr>
          <w:p w14:paraId="0A1F5C97">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使用方法</w:t>
            </w:r>
          </w:p>
        </w:tc>
      </w:tr>
      <w:tr w14:paraId="09207B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05" w:type="pct"/>
            <w:vMerge w:val="restart"/>
            <w:tcBorders>
              <w:top w:val="single" w:color="auto" w:sz="8" w:space="0"/>
              <w:left w:val="single" w:color="auto" w:sz="8" w:space="0"/>
              <w:bottom w:val="single" w:color="auto" w:sz="4" w:space="0"/>
              <w:right w:val="single" w:color="auto" w:sz="4" w:space="0"/>
            </w:tcBorders>
            <w:shd w:val="clear"/>
            <w:vAlign w:val="center"/>
          </w:tcPr>
          <w:p w14:paraId="57E322B8">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咖啡炭疽病</w:t>
            </w:r>
          </w:p>
        </w:tc>
        <w:tc>
          <w:tcPr>
            <w:tcW w:w="1598" w:type="pct"/>
            <w:tcBorders>
              <w:top w:val="single" w:color="auto" w:sz="8" w:space="0"/>
              <w:left w:val="single" w:color="auto" w:sz="4" w:space="0"/>
              <w:bottom w:val="single" w:color="auto" w:sz="4" w:space="0"/>
              <w:right w:val="single" w:color="auto" w:sz="4" w:space="0"/>
            </w:tcBorders>
            <w:shd w:val="clear"/>
            <w:vAlign w:val="center"/>
          </w:tcPr>
          <w:p w14:paraId="5FC92A97">
            <w:pPr>
              <w:pStyle w:val="9"/>
              <w:keepNext w:val="0"/>
              <w:keepLines w:val="0"/>
              <w:widowControl/>
              <w:suppressLineNumbers w:val="0"/>
              <w:autoSpaceDE w:val="0"/>
              <w:autoSpaceDN w:val="0"/>
              <w:adjustRightInd/>
              <w:spacing w:before="0" w:beforeAutospacing="0" w:after="0" w:afterAutospacing="0" w:line="240" w:lineRule="auto"/>
              <w:ind w:left="0" w:right="0" w:firstLine="90" w:firstLineChars="5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0.5</w:t>
            </w:r>
            <w:bookmarkStart w:id="0" w:name="OLE_LINK14"/>
            <w:bookmarkStart w:id="1" w:name="OLE_LINK13"/>
            <w:r>
              <w:rPr>
                <w:rFonts w:hint="eastAsia" w:ascii="宋体" w:hAnsi="Times New Roman" w:eastAsia="宋体" w:cs="Times New Roman"/>
                <w:kern w:val="0"/>
                <w:sz w:val="18"/>
                <w:szCs w:val="20"/>
                <w:bdr w:val="none" w:color="auto" w:sz="0" w:space="0"/>
                <w:lang w:val="en-US" w:eastAsia="zh-CN" w:bidi="ar"/>
              </w:rPr>
              <w:t>％</w:t>
            </w:r>
            <w:bookmarkEnd w:id="0"/>
            <w:bookmarkEnd w:id="1"/>
            <w:r>
              <w:rPr>
                <w:rFonts w:hint="eastAsia" w:ascii="宋体" w:hAnsi="Times New Roman" w:eastAsia="宋体" w:cs="Times New Roman"/>
                <w:kern w:val="0"/>
                <w:sz w:val="18"/>
                <w:szCs w:val="20"/>
                <w:bdr w:val="none" w:color="auto" w:sz="0" w:space="0"/>
                <w:lang w:val="en-US" w:eastAsia="zh-CN" w:bidi="ar"/>
              </w:rPr>
              <w:t>～1.0％波尔多液</w:t>
            </w:r>
          </w:p>
        </w:tc>
        <w:tc>
          <w:tcPr>
            <w:tcW w:w="799" w:type="pct"/>
            <w:tcBorders>
              <w:top w:val="single" w:color="auto" w:sz="8" w:space="0"/>
              <w:left w:val="single" w:color="auto" w:sz="4" w:space="0"/>
              <w:bottom w:val="single" w:color="auto" w:sz="4" w:space="0"/>
              <w:right w:val="single" w:color="auto" w:sz="4" w:space="0"/>
            </w:tcBorders>
            <w:shd w:val="clear"/>
            <w:vAlign w:val="center"/>
          </w:tcPr>
          <w:p w14:paraId="5694D1DA">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250</w:t>
            </w:r>
            <w:bookmarkStart w:id="4" w:name="_GoBack"/>
            <w:r>
              <w:rPr>
                <w:rFonts w:hint="eastAsia" w:ascii="宋体" w:hAnsi="Times New Roman" w:eastAsia="宋体" w:cs="Times New Roman"/>
                <w:kern w:val="0"/>
                <w:sz w:val="18"/>
                <w:szCs w:val="20"/>
                <w:bdr w:val="none" w:color="auto" w:sz="0" w:space="0"/>
                <w:lang w:val="en-US" w:eastAsia="zh-CN" w:bidi="ar"/>
              </w:rPr>
              <w:t>～</w:t>
            </w:r>
            <w:bookmarkEnd w:id="4"/>
            <w:r>
              <w:rPr>
                <w:rFonts w:hint="eastAsia" w:ascii="宋体" w:hAnsi="Times New Roman" w:eastAsia="宋体" w:cs="Times New Roman"/>
                <w:kern w:val="0"/>
                <w:sz w:val="18"/>
                <w:szCs w:val="20"/>
                <w:bdr w:val="none" w:color="auto" w:sz="0" w:space="0"/>
                <w:lang w:val="en-US" w:eastAsia="zh-CN" w:bidi="ar"/>
              </w:rPr>
              <w:t>500</w:t>
            </w:r>
          </w:p>
        </w:tc>
        <w:tc>
          <w:tcPr>
            <w:tcW w:w="1698" w:type="pct"/>
            <w:vMerge w:val="restart"/>
            <w:tcBorders>
              <w:top w:val="single" w:color="auto" w:sz="8" w:space="0"/>
              <w:left w:val="single" w:color="auto" w:sz="4" w:space="0"/>
              <w:bottom w:val="single" w:color="auto" w:sz="4" w:space="0"/>
              <w:right w:val="single" w:color="auto" w:sz="8" w:space="0"/>
            </w:tcBorders>
            <w:shd w:val="clear"/>
            <w:vAlign w:val="center"/>
          </w:tcPr>
          <w:p w14:paraId="4072AFED">
            <w:pPr>
              <w:pStyle w:val="9"/>
              <w:keepNext w:val="0"/>
              <w:keepLines w:val="0"/>
              <w:widowControl/>
              <w:suppressLineNumbers w:val="0"/>
              <w:autoSpaceDE w:val="0"/>
              <w:autoSpaceDN w:val="0"/>
              <w:adjustRightInd/>
              <w:spacing w:before="0" w:beforeAutospacing="0" w:after="0" w:afterAutospacing="0" w:line="240" w:lineRule="auto"/>
              <w:ind w:left="0" w:right="0" w:firstLine="180" w:firstLineChars="100"/>
              <w:jc w:val="both"/>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在发病初期，每隔7</w:t>
            </w:r>
            <w:r>
              <w:rPr>
                <w:rFonts w:hint="eastAsia" w:ascii="宋体" w:hAnsi="Times New Roman" w:eastAsia="宋体" w:cs="Times New Roman"/>
                <w:kern w:val="0"/>
                <w:sz w:val="18"/>
                <w:szCs w:val="20"/>
                <w:bdr w:val="none" w:color="auto" w:sz="0" w:space="0"/>
                <w:vertAlign w:val="superscript"/>
                <w:lang w:val="en-US" w:eastAsia="zh-CN" w:bidi="ar"/>
              </w:rPr>
              <w:t xml:space="preserve"> </w:t>
            </w:r>
            <w:r>
              <w:rPr>
                <w:rFonts w:hint="eastAsia" w:ascii="宋体" w:hAnsi="Times New Roman" w:eastAsia="宋体" w:cs="Times New Roman"/>
                <w:kern w:val="0"/>
                <w:sz w:val="18"/>
                <w:szCs w:val="20"/>
                <w:bdr w:val="none" w:color="auto" w:sz="0" w:space="0"/>
                <w:lang w:val="en-US" w:eastAsia="zh-CN" w:bidi="ar"/>
              </w:rPr>
              <w:t>d～10</w:t>
            </w:r>
            <w:r>
              <w:rPr>
                <w:rFonts w:hint="eastAsia" w:ascii="宋体" w:hAnsi="Times New Roman" w:eastAsia="宋体" w:cs="Times New Roman"/>
                <w:kern w:val="0"/>
                <w:sz w:val="18"/>
                <w:szCs w:val="20"/>
                <w:bdr w:val="none" w:color="auto" w:sz="0" w:space="0"/>
                <w:vertAlign w:val="superscript"/>
                <w:lang w:val="en-US" w:eastAsia="zh-CN" w:bidi="ar"/>
              </w:rPr>
              <w:t xml:space="preserve"> </w:t>
            </w:r>
            <w:r>
              <w:rPr>
                <w:rFonts w:hint="eastAsia" w:ascii="宋体" w:hAnsi="Times New Roman" w:eastAsia="宋体" w:cs="Times New Roman"/>
                <w:kern w:val="0"/>
                <w:sz w:val="18"/>
                <w:szCs w:val="20"/>
                <w:bdr w:val="none" w:color="auto" w:sz="0" w:space="0"/>
                <w:lang w:val="en-US" w:eastAsia="zh-CN" w:bidi="ar"/>
              </w:rPr>
              <w:t>d喷施树体，喷施1次，连喷2次； 在病害流行期，每隔7</w:t>
            </w:r>
            <w:r>
              <w:rPr>
                <w:rFonts w:hint="eastAsia" w:ascii="宋体" w:hAnsi="Times New Roman" w:eastAsia="宋体" w:cs="Times New Roman"/>
                <w:kern w:val="0"/>
                <w:sz w:val="18"/>
                <w:szCs w:val="20"/>
                <w:bdr w:val="none" w:color="auto" w:sz="0" w:space="0"/>
                <w:vertAlign w:val="superscript"/>
                <w:lang w:val="en-US" w:eastAsia="zh-CN" w:bidi="ar"/>
              </w:rPr>
              <w:t xml:space="preserve"> </w:t>
            </w:r>
            <w:r>
              <w:rPr>
                <w:rFonts w:hint="eastAsia" w:ascii="宋体" w:hAnsi="Times New Roman" w:eastAsia="宋体" w:cs="Times New Roman"/>
                <w:kern w:val="0"/>
                <w:sz w:val="18"/>
                <w:szCs w:val="20"/>
                <w:bdr w:val="none" w:color="auto" w:sz="0" w:space="0"/>
                <w:lang w:val="en-US" w:eastAsia="zh-CN" w:bidi="ar"/>
              </w:rPr>
              <w:t>d～10</w:t>
            </w:r>
            <w:r>
              <w:rPr>
                <w:rFonts w:hint="eastAsia" w:ascii="宋体" w:hAnsi="Times New Roman" w:eastAsia="宋体" w:cs="Times New Roman"/>
                <w:kern w:val="0"/>
                <w:sz w:val="18"/>
                <w:szCs w:val="20"/>
                <w:bdr w:val="none" w:color="auto" w:sz="0" w:space="0"/>
                <w:vertAlign w:val="superscript"/>
                <w:lang w:val="en-US" w:eastAsia="zh-CN" w:bidi="ar"/>
              </w:rPr>
              <w:t xml:space="preserve"> </w:t>
            </w:r>
            <w:r>
              <w:rPr>
                <w:rFonts w:hint="eastAsia" w:ascii="宋体" w:hAnsi="Times New Roman" w:eastAsia="宋体" w:cs="Times New Roman"/>
                <w:kern w:val="0"/>
                <w:sz w:val="18"/>
                <w:szCs w:val="20"/>
                <w:bdr w:val="none" w:color="auto" w:sz="0" w:space="0"/>
                <w:lang w:val="en-US" w:eastAsia="zh-CN" w:bidi="ar"/>
              </w:rPr>
              <w:t>d喷施1次，连喷2～3次</w:t>
            </w:r>
          </w:p>
        </w:tc>
      </w:tr>
      <w:tr w14:paraId="365D34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05" w:type="pct"/>
            <w:vMerge w:val="continue"/>
            <w:tcBorders>
              <w:top w:val="single" w:color="auto" w:sz="8" w:space="0"/>
              <w:left w:val="single" w:color="auto" w:sz="8" w:space="0"/>
              <w:bottom w:val="single" w:color="auto" w:sz="4" w:space="0"/>
              <w:right w:val="single" w:color="auto" w:sz="4" w:space="0"/>
            </w:tcBorders>
            <w:shd w:val="clear"/>
            <w:vAlign w:val="center"/>
          </w:tcPr>
          <w:p w14:paraId="75E1AE0C">
            <w:pPr>
              <w:rPr>
                <w:rFonts w:hint="default" w:ascii="Calibri" w:hAnsi="Calibri" w:cs="Times New Roman"/>
                <w:sz w:val="20"/>
                <w:szCs w:val="20"/>
              </w:rPr>
            </w:pPr>
          </w:p>
        </w:tc>
        <w:tc>
          <w:tcPr>
            <w:tcW w:w="1598" w:type="pct"/>
            <w:tcBorders>
              <w:top w:val="single" w:color="auto" w:sz="4" w:space="0"/>
              <w:left w:val="single" w:color="auto" w:sz="4" w:space="0"/>
              <w:bottom w:val="single" w:color="auto" w:sz="4" w:space="0"/>
              <w:right w:val="single" w:color="auto" w:sz="4" w:space="0"/>
            </w:tcBorders>
            <w:shd w:val="clear"/>
            <w:vAlign w:val="center"/>
          </w:tcPr>
          <w:p w14:paraId="0EAE101B">
            <w:pPr>
              <w:pStyle w:val="9"/>
              <w:keepNext w:val="0"/>
              <w:keepLines w:val="0"/>
              <w:widowControl/>
              <w:suppressLineNumbers w:val="0"/>
              <w:autoSpaceDE w:val="0"/>
              <w:autoSpaceDN w:val="0"/>
              <w:adjustRightInd/>
              <w:spacing w:before="0" w:beforeAutospacing="0" w:after="0" w:afterAutospacing="0" w:line="240" w:lineRule="auto"/>
              <w:ind w:left="0" w:right="0" w:firstLine="90" w:firstLineChars="5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25％多菌灵可湿性粉剂</w:t>
            </w:r>
          </w:p>
        </w:tc>
        <w:tc>
          <w:tcPr>
            <w:tcW w:w="799" w:type="pct"/>
            <w:tcBorders>
              <w:top w:val="single" w:color="auto" w:sz="4" w:space="0"/>
              <w:left w:val="single" w:color="auto" w:sz="4" w:space="0"/>
              <w:bottom w:val="single" w:color="auto" w:sz="4" w:space="0"/>
              <w:right w:val="single" w:color="auto" w:sz="4" w:space="0"/>
            </w:tcBorders>
            <w:shd w:val="clear"/>
            <w:vAlign w:val="center"/>
          </w:tcPr>
          <w:p w14:paraId="41A978DD">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250～500</w:t>
            </w:r>
          </w:p>
        </w:tc>
        <w:tc>
          <w:tcPr>
            <w:tcW w:w="1698" w:type="pct"/>
            <w:vMerge w:val="continue"/>
            <w:tcBorders>
              <w:top w:val="single" w:color="auto" w:sz="8" w:space="0"/>
              <w:left w:val="single" w:color="auto" w:sz="4" w:space="0"/>
              <w:bottom w:val="single" w:color="auto" w:sz="4" w:space="0"/>
              <w:right w:val="single" w:color="auto" w:sz="8" w:space="0"/>
            </w:tcBorders>
            <w:shd w:val="clear"/>
            <w:vAlign w:val="center"/>
          </w:tcPr>
          <w:p w14:paraId="4BEDB69F">
            <w:pPr>
              <w:rPr>
                <w:rFonts w:hint="default" w:ascii="Calibri" w:hAnsi="Calibri" w:cs="Times New Roman"/>
                <w:sz w:val="20"/>
                <w:szCs w:val="20"/>
              </w:rPr>
            </w:pPr>
          </w:p>
        </w:tc>
      </w:tr>
      <w:tr w14:paraId="5B171D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05" w:type="pct"/>
            <w:vMerge w:val="continue"/>
            <w:tcBorders>
              <w:top w:val="single" w:color="auto" w:sz="8" w:space="0"/>
              <w:left w:val="single" w:color="auto" w:sz="8" w:space="0"/>
              <w:bottom w:val="single" w:color="auto" w:sz="4" w:space="0"/>
              <w:right w:val="single" w:color="auto" w:sz="4" w:space="0"/>
            </w:tcBorders>
            <w:shd w:val="clear"/>
            <w:vAlign w:val="center"/>
          </w:tcPr>
          <w:p w14:paraId="24C93EC4">
            <w:pPr>
              <w:rPr>
                <w:rFonts w:hint="default" w:ascii="Calibri" w:hAnsi="Calibri" w:cs="Times New Roman"/>
                <w:sz w:val="20"/>
                <w:szCs w:val="20"/>
              </w:rPr>
            </w:pPr>
          </w:p>
        </w:tc>
        <w:tc>
          <w:tcPr>
            <w:tcW w:w="1598" w:type="pct"/>
            <w:tcBorders>
              <w:top w:val="single" w:color="auto" w:sz="4" w:space="0"/>
              <w:left w:val="single" w:color="auto" w:sz="4" w:space="0"/>
              <w:bottom w:val="single" w:color="auto" w:sz="4" w:space="0"/>
              <w:right w:val="single" w:color="auto" w:sz="4" w:space="0"/>
            </w:tcBorders>
            <w:shd w:val="clear"/>
            <w:vAlign w:val="center"/>
          </w:tcPr>
          <w:p w14:paraId="6F04C64B">
            <w:pPr>
              <w:pStyle w:val="9"/>
              <w:keepNext w:val="0"/>
              <w:keepLines w:val="0"/>
              <w:widowControl/>
              <w:suppressLineNumbers w:val="0"/>
              <w:autoSpaceDE w:val="0"/>
              <w:autoSpaceDN w:val="0"/>
              <w:adjustRightInd/>
              <w:spacing w:before="0" w:beforeAutospacing="0" w:after="0" w:afterAutospacing="0" w:line="240" w:lineRule="auto"/>
              <w:ind w:left="0" w:right="0" w:firstLine="90" w:firstLineChars="5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10％多抗霉可湿性粉剂</w:t>
            </w:r>
          </w:p>
        </w:tc>
        <w:tc>
          <w:tcPr>
            <w:tcW w:w="799" w:type="pct"/>
            <w:tcBorders>
              <w:top w:val="single" w:color="auto" w:sz="4" w:space="0"/>
              <w:left w:val="single" w:color="auto" w:sz="4" w:space="0"/>
              <w:bottom w:val="single" w:color="auto" w:sz="4" w:space="0"/>
              <w:right w:val="single" w:color="auto" w:sz="4" w:space="0"/>
            </w:tcBorders>
            <w:shd w:val="clear"/>
            <w:vAlign w:val="center"/>
          </w:tcPr>
          <w:p w14:paraId="44EF0C77">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bookmarkStart w:id="2" w:name="OLE_LINK11"/>
            <w:bookmarkStart w:id="3" w:name="OLE_LINK10"/>
            <w:r>
              <w:rPr>
                <w:rFonts w:hint="eastAsia" w:ascii="宋体" w:hAnsi="Times New Roman" w:eastAsia="宋体" w:cs="Times New Roman"/>
                <w:kern w:val="0"/>
                <w:sz w:val="18"/>
                <w:szCs w:val="20"/>
                <w:bdr w:val="none" w:color="auto" w:sz="0" w:space="0"/>
                <w:lang w:val="en-US" w:eastAsia="zh-CN" w:bidi="ar"/>
              </w:rPr>
              <w:t>1 000</w:t>
            </w:r>
            <w:bookmarkEnd w:id="2"/>
            <w:bookmarkEnd w:id="3"/>
          </w:p>
        </w:tc>
        <w:tc>
          <w:tcPr>
            <w:tcW w:w="1698" w:type="pct"/>
            <w:vMerge w:val="continue"/>
            <w:tcBorders>
              <w:top w:val="single" w:color="auto" w:sz="8" w:space="0"/>
              <w:left w:val="single" w:color="auto" w:sz="4" w:space="0"/>
              <w:bottom w:val="single" w:color="auto" w:sz="4" w:space="0"/>
              <w:right w:val="single" w:color="auto" w:sz="8" w:space="0"/>
            </w:tcBorders>
            <w:shd w:val="clear"/>
            <w:vAlign w:val="center"/>
          </w:tcPr>
          <w:p w14:paraId="6AD0919E">
            <w:pPr>
              <w:rPr>
                <w:rFonts w:hint="default" w:ascii="Calibri" w:hAnsi="Calibri" w:cs="Times New Roman"/>
                <w:sz w:val="20"/>
                <w:szCs w:val="20"/>
              </w:rPr>
            </w:pPr>
          </w:p>
        </w:tc>
      </w:tr>
      <w:tr w14:paraId="068BBD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CellMar>
            <w:top w:w="0" w:type="dxa"/>
            <w:left w:w="0" w:type="dxa"/>
            <w:bottom w:w="0" w:type="dxa"/>
            <w:right w:w="0" w:type="dxa"/>
          </w:tblCellMar>
        </w:tblPrEx>
        <w:trPr>
          <w:jc w:val="center"/>
        </w:trPr>
        <w:tc>
          <w:tcPr>
            <w:tcW w:w="905" w:type="pct"/>
            <w:vMerge w:val="continue"/>
            <w:tcBorders>
              <w:top w:val="single" w:color="auto" w:sz="8" w:space="0"/>
              <w:left w:val="single" w:color="auto" w:sz="8" w:space="0"/>
              <w:bottom w:val="single" w:color="auto" w:sz="4" w:space="0"/>
              <w:right w:val="single" w:color="auto" w:sz="4" w:space="0"/>
            </w:tcBorders>
            <w:shd w:val="clear"/>
            <w:vAlign w:val="center"/>
          </w:tcPr>
          <w:p w14:paraId="31317E15">
            <w:pPr>
              <w:rPr>
                <w:rFonts w:hint="default" w:ascii="Calibri" w:hAnsi="Calibri" w:cs="Times New Roman"/>
                <w:sz w:val="20"/>
                <w:szCs w:val="20"/>
              </w:rPr>
            </w:pPr>
          </w:p>
        </w:tc>
        <w:tc>
          <w:tcPr>
            <w:tcW w:w="1598" w:type="pct"/>
            <w:tcBorders>
              <w:top w:val="single" w:color="auto" w:sz="4" w:space="0"/>
              <w:left w:val="single" w:color="auto" w:sz="4" w:space="0"/>
              <w:bottom w:val="single" w:color="auto" w:sz="4" w:space="0"/>
              <w:right w:val="single" w:color="auto" w:sz="4" w:space="0"/>
            </w:tcBorders>
            <w:shd w:val="clear"/>
            <w:vAlign w:val="center"/>
          </w:tcPr>
          <w:p w14:paraId="33CB7EC1">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80％代森锰锌可湿性粉剂</w:t>
            </w:r>
          </w:p>
        </w:tc>
        <w:tc>
          <w:tcPr>
            <w:tcW w:w="799" w:type="pct"/>
            <w:tcBorders>
              <w:top w:val="single" w:color="auto" w:sz="4" w:space="0"/>
              <w:left w:val="single" w:color="auto" w:sz="4" w:space="0"/>
              <w:bottom w:val="single" w:color="auto" w:sz="4" w:space="0"/>
              <w:right w:val="single" w:color="auto" w:sz="4" w:space="0"/>
            </w:tcBorders>
            <w:shd w:val="clear"/>
            <w:vAlign w:val="center"/>
          </w:tcPr>
          <w:p w14:paraId="25C645FA">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800</w:t>
            </w:r>
          </w:p>
        </w:tc>
        <w:tc>
          <w:tcPr>
            <w:tcW w:w="1698" w:type="pct"/>
            <w:vMerge w:val="continue"/>
            <w:tcBorders>
              <w:top w:val="single" w:color="auto" w:sz="8" w:space="0"/>
              <w:left w:val="single" w:color="auto" w:sz="4" w:space="0"/>
              <w:bottom w:val="single" w:color="auto" w:sz="4" w:space="0"/>
              <w:right w:val="single" w:color="auto" w:sz="8" w:space="0"/>
            </w:tcBorders>
            <w:shd w:val="clear"/>
            <w:vAlign w:val="center"/>
          </w:tcPr>
          <w:p w14:paraId="3591A6D8">
            <w:pPr>
              <w:rPr>
                <w:rFonts w:hint="default" w:ascii="Calibri" w:hAnsi="Calibri" w:cs="Times New Roman"/>
                <w:sz w:val="20"/>
                <w:szCs w:val="20"/>
              </w:rPr>
            </w:pPr>
          </w:p>
        </w:tc>
      </w:tr>
      <w:tr w14:paraId="663B84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CellMar>
            <w:top w:w="0" w:type="dxa"/>
            <w:left w:w="0" w:type="dxa"/>
            <w:bottom w:w="0" w:type="dxa"/>
            <w:right w:w="0" w:type="dxa"/>
          </w:tblCellMar>
        </w:tblPrEx>
        <w:trPr>
          <w:jc w:val="center"/>
        </w:trPr>
        <w:tc>
          <w:tcPr>
            <w:tcW w:w="905" w:type="pct"/>
            <w:vMerge w:val="restart"/>
            <w:tcBorders>
              <w:top w:val="single" w:color="auto" w:sz="4" w:space="0"/>
              <w:left w:val="single" w:color="auto" w:sz="8" w:space="0"/>
              <w:bottom w:val="single" w:color="auto" w:sz="4" w:space="0"/>
              <w:right w:val="single" w:color="auto" w:sz="4" w:space="0"/>
            </w:tcBorders>
            <w:shd w:val="clear"/>
            <w:vAlign w:val="center"/>
          </w:tcPr>
          <w:p w14:paraId="75707066">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咖啡煤烟病</w:t>
            </w:r>
          </w:p>
        </w:tc>
        <w:tc>
          <w:tcPr>
            <w:tcW w:w="1598" w:type="pct"/>
            <w:tcBorders>
              <w:top w:val="single" w:color="auto" w:sz="4" w:space="0"/>
              <w:left w:val="single" w:color="auto" w:sz="4" w:space="0"/>
              <w:bottom w:val="single" w:color="auto" w:sz="4" w:space="0"/>
              <w:right w:val="single" w:color="auto" w:sz="4" w:space="0"/>
            </w:tcBorders>
            <w:shd w:val="clear"/>
            <w:vAlign w:val="center"/>
          </w:tcPr>
          <w:p w14:paraId="28BABB23">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80％乙蒜素乳油</w:t>
            </w:r>
          </w:p>
        </w:tc>
        <w:tc>
          <w:tcPr>
            <w:tcW w:w="799" w:type="pct"/>
            <w:tcBorders>
              <w:top w:val="single" w:color="auto" w:sz="4" w:space="0"/>
              <w:left w:val="single" w:color="auto" w:sz="4" w:space="0"/>
              <w:bottom w:val="single" w:color="auto" w:sz="4" w:space="0"/>
              <w:right w:val="single" w:color="auto" w:sz="4" w:space="0"/>
            </w:tcBorders>
            <w:shd w:val="clear"/>
            <w:vAlign w:val="center"/>
          </w:tcPr>
          <w:p w14:paraId="57140A5F">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800～1</w:t>
            </w:r>
            <w:r>
              <w:rPr>
                <w:rFonts w:hint="eastAsia" w:ascii="宋体" w:hAnsi="Times New Roman" w:eastAsia="宋体" w:cs="Times New Roman"/>
                <w:kern w:val="0"/>
                <w:sz w:val="18"/>
                <w:szCs w:val="20"/>
                <w:bdr w:val="none" w:color="auto" w:sz="0" w:space="0"/>
                <w:vertAlign w:val="superscript"/>
                <w:lang w:val="en-US" w:eastAsia="zh-CN" w:bidi="ar"/>
              </w:rPr>
              <w:t xml:space="preserve"> </w:t>
            </w:r>
            <w:r>
              <w:rPr>
                <w:rFonts w:hint="eastAsia" w:ascii="宋体" w:hAnsi="Times New Roman" w:eastAsia="宋体" w:cs="Times New Roman"/>
                <w:kern w:val="0"/>
                <w:sz w:val="18"/>
                <w:szCs w:val="20"/>
                <w:bdr w:val="none" w:color="auto" w:sz="0" w:space="0"/>
                <w:lang w:val="en-US" w:eastAsia="zh-CN" w:bidi="ar"/>
              </w:rPr>
              <w:t>000</w:t>
            </w:r>
          </w:p>
        </w:tc>
        <w:tc>
          <w:tcPr>
            <w:tcW w:w="1698" w:type="pct"/>
            <w:vMerge w:val="restart"/>
            <w:tcBorders>
              <w:top w:val="single" w:color="auto" w:sz="4" w:space="0"/>
              <w:left w:val="single" w:color="auto" w:sz="4" w:space="0"/>
              <w:bottom w:val="single" w:color="auto" w:sz="4" w:space="0"/>
              <w:right w:val="single" w:color="auto" w:sz="8" w:space="0"/>
            </w:tcBorders>
            <w:shd w:val="clear"/>
            <w:vAlign w:val="center"/>
          </w:tcPr>
          <w:p w14:paraId="4F0BD0E9">
            <w:pPr>
              <w:pStyle w:val="9"/>
              <w:keepNext w:val="0"/>
              <w:keepLines w:val="0"/>
              <w:widowControl/>
              <w:suppressLineNumbers w:val="0"/>
              <w:autoSpaceDE w:val="0"/>
              <w:autoSpaceDN w:val="0"/>
              <w:adjustRightInd/>
              <w:spacing w:before="0" w:beforeAutospacing="0" w:after="0" w:afterAutospacing="0" w:line="240" w:lineRule="auto"/>
              <w:ind w:left="0" w:right="0" w:firstLine="180" w:firstLineChars="100"/>
              <w:jc w:val="both"/>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在媒介害虫发生初期进行全园喷雾，每隔10</w:t>
            </w:r>
            <w:r>
              <w:rPr>
                <w:rFonts w:hint="eastAsia" w:ascii="宋体" w:hAnsi="Times New Roman" w:eastAsia="宋体" w:cs="Times New Roman"/>
                <w:kern w:val="0"/>
                <w:sz w:val="18"/>
                <w:szCs w:val="20"/>
                <w:bdr w:val="none" w:color="auto" w:sz="0" w:space="0"/>
                <w:vertAlign w:val="superscript"/>
                <w:lang w:val="en-US" w:eastAsia="zh-CN" w:bidi="ar"/>
              </w:rPr>
              <w:t xml:space="preserve"> </w:t>
            </w:r>
            <w:r>
              <w:rPr>
                <w:rFonts w:hint="eastAsia" w:ascii="宋体" w:hAnsi="Times New Roman" w:eastAsia="宋体" w:cs="Times New Roman"/>
                <w:kern w:val="0"/>
                <w:sz w:val="18"/>
                <w:szCs w:val="20"/>
                <w:bdr w:val="none" w:color="auto" w:sz="0" w:space="0"/>
                <w:lang w:val="en-US" w:eastAsia="zh-CN" w:bidi="ar"/>
              </w:rPr>
              <w:t>d～15</w:t>
            </w:r>
            <w:r>
              <w:rPr>
                <w:rFonts w:hint="eastAsia" w:ascii="宋体" w:hAnsi="Times New Roman" w:eastAsia="宋体" w:cs="Times New Roman"/>
                <w:kern w:val="0"/>
                <w:sz w:val="18"/>
                <w:szCs w:val="20"/>
                <w:bdr w:val="none" w:color="auto" w:sz="0" w:space="0"/>
                <w:vertAlign w:val="superscript"/>
                <w:lang w:val="en-US" w:eastAsia="zh-CN" w:bidi="ar"/>
              </w:rPr>
              <w:t xml:space="preserve"> </w:t>
            </w:r>
            <w:r>
              <w:rPr>
                <w:rFonts w:hint="eastAsia" w:ascii="宋体" w:hAnsi="Times New Roman" w:eastAsia="宋体" w:cs="Times New Roman"/>
                <w:kern w:val="0"/>
                <w:sz w:val="18"/>
                <w:szCs w:val="20"/>
                <w:bdr w:val="none" w:color="auto" w:sz="0" w:space="0"/>
                <w:lang w:val="en-US" w:eastAsia="zh-CN" w:bidi="ar"/>
              </w:rPr>
              <w:t>d喷1次，连喷2～3次</w:t>
            </w:r>
          </w:p>
        </w:tc>
      </w:tr>
      <w:tr w14:paraId="018619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05" w:type="pct"/>
            <w:vMerge w:val="continue"/>
            <w:tcBorders>
              <w:top w:val="single" w:color="auto" w:sz="4" w:space="0"/>
              <w:left w:val="single" w:color="auto" w:sz="8" w:space="0"/>
              <w:bottom w:val="single" w:color="auto" w:sz="4" w:space="0"/>
              <w:right w:val="single" w:color="auto" w:sz="4" w:space="0"/>
            </w:tcBorders>
            <w:shd w:val="clear"/>
            <w:vAlign w:val="center"/>
          </w:tcPr>
          <w:p w14:paraId="0298CD8F">
            <w:pPr>
              <w:rPr>
                <w:rFonts w:hint="default" w:ascii="Calibri" w:hAnsi="Calibri" w:cs="Times New Roman"/>
                <w:sz w:val="20"/>
                <w:szCs w:val="20"/>
              </w:rPr>
            </w:pPr>
          </w:p>
        </w:tc>
        <w:tc>
          <w:tcPr>
            <w:tcW w:w="1598" w:type="pct"/>
            <w:tcBorders>
              <w:top w:val="single" w:color="auto" w:sz="4" w:space="0"/>
              <w:left w:val="single" w:color="auto" w:sz="4" w:space="0"/>
              <w:bottom w:val="single" w:color="auto" w:sz="4" w:space="0"/>
              <w:right w:val="single" w:color="auto" w:sz="4" w:space="0"/>
            </w:tcBorders>
            <w:shd w:val="clear"/>
            <w:vAlign w:val="center"/>
          </w:tcPr>
          <w:p w14:paraId="3C5540FE">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36％硫菌灵</w:t>
            </w:r>
          </w:p>
        </w:tc>
        <w:tc>
          <w:tcPr>
            <w:tcW w:w="799" w:type="pct"/>
            <w:tcBorders>
              <w:top w:val="single" w:color="auto" w:sz="4" w:space="0"/>
              <w:left w:val="single" w:color="auto" w:sz="4" w:space="0"/>
              <w:bottom w:val="single" w:color="auto" w:sz="4" w:space="0"/>
              <w:right w:val="single" w:color="auto" w:sz="4" w:space="0"/>
            </w:tcBorders>
            <w:shd w:val="clear"/>
            <w:vAlign w:val="center"/>
          </w:tcPr>
          <w:p w14:paraId="158492A2">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600～800</w:t>
            </w:r>
          </w:p>
        </w:tc>
        <w:tc>
          <w:tcPr>
            <w:tcW w:w="1698" w:type="pct"/>
            <w:vMerge w:val="continue"/>
            <w:tcBorders>
              <w:top w:val="single" w:color="auto" w:sz="4" w:space="0"/>
              <w:left w:val="single" w:color="auto" w:sz="4" w:space="0"/>
              <w:bottom w:val="single" w:color="auto" w:sz="4" w:space="0"/>
              <w:right w:val="single" w:color="auto" w:sz="8" w:space="0"/>
            </w:tcBorders>
            <w:shd w:val="clear"/>
            <w:vAlign w:val="center"/>
          </w:tcPr>
          <w:p w14:paraId="6A675883">
            <w:pPr>
              <w:rPr>
                <w:rFonts w:hint="default" w:ascii="Calibri" w:hAnsi="Calibri" w:cs="Times New Roman"/>
                <w:sz w:val="20"/>
                <w:szCs w:val="20"/>
              </w:rPr>
            </w:pPr>
          </w:p>
        </w:tc>
      </w:tr>
      <w:tr w14:paraId="20F865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05" w:type="pct"/>
            <w:vMerge w:val="restart"/>
            <w:tcBorders>
              <w:top w:val="single" w:color="auto" w:sz="4" w:space="0"/>
              <w:left w:val="single" w:color="auto" w:sz="8" w:space="0"/>
              <w:bottom w:val="single" w:color="auto" w:sz="8" w:space="0"/>
              <w:right w:val="single" w:color="auto" w:sz="4" w:space="0"/>
            </w:tcBorders>
            <w:shd w:val="clear"/>
            <w:vAlign w:val="center"/>
          </w:tcPr>
          <w:p w14:paraId="4F47D22E">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天牛</w:t>
            </w:r>
          </w:p>
        </w:tc>
        <w:tc>
          <w:tcPr>
            <w:tcW w:w="1598" w:type="pct"/>
            <w:tcBorders>
              <w:top w:val="single" w:color="auto" w:sz="4" w:space="0"/>
              <w:left w:val="single" w:color="auto" w:sz="4" w:space="0"/>
              <w:bottom w:val="single" w:color="auto" w:sz="4" w:space="0"/>
              <w:right w:val="single" w:color="auto" w:sz="4" w:space="0"/>
            </w:tcBorders>
            <w:shd w:val="clear"/>
            <w:vAlign w:val="center"/>
          </w:tcPr>
          <w:p w14:paraId="40056CD3">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高效氯氰菊酯</w:t>
            </w:r>
          </w:p>
        </w:tc>
        <w:tc>
          <w:tcPr>
            <w:tcW w:w="799" w:type="pct"/>
            <w:tcBorders>
              <w:top w:val="single" w:color="auto" w:sz="4" w:space="0"/>
              <w:left w:val="single" w:color="auto" w:sz="4" w:space="0"/>
              <w:bottom w:val="single" w:color="auto" w:sz="4" w:space="0"/>
              <w:right w:val="single" w:color="auto" w:sz="4" w:space="0"/>
            </w:tcBorders>
            <w:shd w:val="clear"/>
            <w:vAlign w:val="center"/>
          </w:tcPr>
          <w:p w14:paraId="44662204">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1</w:t>
            </w:r>
            <w:r>
              <w:rPr>
                <w:rFonts w:hint="eastAsia" w:ascii="宋体" w:hAnsi="Times New Roman" w:eastAsia="宋体" w:cs="Times New Roman"/>
                <w:kern w:val="0"/>
                <w:sz w:val="18"/>
                <w:szCs w:val="20"/>
                <w:bdr w:val="none" w:color="auto" w:sz="0" w:space="0"/>
                <w:vertAlign w:val="superscript"/>
                <w:lang w:val="en-US" w:eastAsia="zh-CN" w:bidi="ar"/>
              </w:rPr>
              <w:t xml:space="preserve"> </w:t>
            </w:r>
            <w:r>
              <w:rPr>
                <w:rFonts w:hint="eastAsia" w:ascii="宋体" w:hAnsi="Times New Roman" w:eastAsia="宋体" w:cs="Times New Roman"/>
                <w:kern w:val="0"/>
                <w:sz w:val="18"/>
                <w:szCs w:val="20"/>
                <w:bdr w:val="none" w:color="auto" w:sz="0" w:space="0"/>
                <w:lang w:val="en-US" w:eastAsia="zh-CN" w:bidi="ar"/>
              </w:rPr>
              <w:t>200～1</w:t>
            </w:r>
            <w:r>
              <w:rPr>
                <w:rFonts w:hint="eastAsia" w:ascii="宋体" w:hAnsi="Times New Roman" w:eastAsia="宋体" w:cs="Times New Roman"/>
                <w:kern w:val="0"/>
                <w:sz w:val="18"/>
                <w:szCs w:val="20"/>
                <w:bdr w:val="none" w:color="auto" w:sz="0" w:space="0"/>
                <w:vertAlign w:val="superscript"/>
                <w:lang w:val="en-US" w:eastAsia="zh-CN" w:bidi="ar"/>
              </w:rPr>
              <w:t xml:space="preserve"> </w:t>
            </w:r>
            <w:r>
              <w:rPr>
                <w:rFonts w:hint="eastAsia" w:ascii="宋体" w:hAnsi="Times New Roman" w:eastAsia="宋体" w:cs="Times New Roman"/>
                <w:kern w:val="0"/>
                <w:sz w:val="18"/>
                <w:szCs w:val="20"/>
                <w:bdr w:val="none" w:color="auto" w:sz="0" w:space="0"/>
                <w:lang w:val="en-US" w:eastAsia="zh-CN" w:bidi="ar"/>
              </w:rPr>
              <w:t>500</w:t>
            </w:r>
          </w:p>
        </w:tc>
        <w:tc>
          <w:tcPr>
            <w:tcW w:w="1698" w:type="pct"/>
            <w:vMerge w:val="restart"/>
            <w:tcBorders>
              <w:top w:val="single" w:color="auto" w:sz="4" w:space="0"/>
              <w:left w:val="single" w:color="auto" w:sz="4" w:space="0"/>
              <w:bottom w:val="single" w:color="auto" w:sz="4" w:space="0"/>
              <w:right w:val="single" w:color="auto" w:sz="8" w:space="0"/>
            </w:tcBorders>
            <w:shd w:val="clear"/>
            <w:vAlign w:val="center"/>
          </w:tcPr>
          <w:p w14:paraId="0D9BDDC6">
            <w:pPr>
              <w:pStyle w:val="9"/>
              <w:keepNext w:val="0"/>
              <w:keepLines w:val="0"/>
              <w:widowControl/>
              <w:suppressLineNumbers w:val="0"/>
              <w:autoSpaceDE w:val="0"/>
              <w:autoSpaceDN w:val="0"/>
              <w:adjustRightInd/>
              <w:spacing w:before="0" w:beforeAutospacing="0" w:after="0" w:afterAutospacing="0" w:line="240" w:lineRule="auto"/>
              <w:ind w:left="0" w:right="0" w:firstLine="90" w:firstLineChars="50"/>
              <w:jc w:val="both"/>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喷淋2～3年生幼树树干</w:t>
            </w:r>
          </w:p>
        </w:tc>
      </w:tr>
      <w:tr w14:paraId="74DA7D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CellMar>
            <w:top w:w="0" w:type="dxa"/>
            <w:left w:w="0" w:type="dxa"/>
            <w:bottom w:w="0" w:type="dxa"/>
            <w:right w:w="0" w:type="dxa"/>
          </w:tblCellMar>
        </w:tblPrEx>
        <w:trPr>
          <w:jc w:val="center"/>
        </w:trPr>
        <w:tc>
          <w:tcPr>
            <w:tcW w:w="905" w:type="pct"/>
            <w:vMerge w:val="continue"/>
            <w:tcBorders>
              <w:top w:val="single" w:color="auto" w:sz="4" w:space="0"/>
              <w:left w:val="single" w:color="auto" w:sz="8" w:space="0"/>
              <w:bottom w:val="single" w:color="auto" w:sz="8" w:space="0"/>
              <w:right w:val="single" w:color="auto" w:sz="4" w:space="0"/>
            </w:tcBorders>
            <w:shd w:val="clear"/>
            <w:vAlign w:val="center"/>
          </w:tcPr>
          <w:p w14:paraId="490F0241">
            <w:pPr>
              <w:rPr>
                <w:rFonts w:hint="default" w:ascii="Calibri" w:hAnsi="Calibri" w:cs="Times New Roman"/>
                <w:sz w:val="20"/>
                <w:szCs w:val="20"/>
              </w:rPr>
            </w:pPr>
          </w:p>
        </w:tc>
        <w:tc>
          <w:tcPr>
            <w:tcW w:w="1598" w:type="pct"/>
            <w:tcBorders>
              <w:top w:val="single" w:color="auto" w:sz="4" w:space="0"/>
              <w:left w:val="single" w:color="auto" w:sz="4" w:space="0"/>
              <w:bottom w:val="single" w:color="auto" w:sz="4" w:space="0"/>
              <w:right w:val="single" w:color="auto" w:sz="4" w:space="0"/>
            </w:tcBorders>
            <w:shd w:val="clear"/>
            <w:vAlign w:val="center"/>
          </w:tcPr>
          <w:p w14:paraId="212B4548">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40％噻虫啉</w:t>
            </w:r>
          </w:p>
        </w:tc>
        <w:tc>
          <w:tcPr>
            <w:tcW w:w="799" w:type="pct"/>
            <w:tcBorders>
              <w:top w:val="single" w:color="auto" w:sz="4" w:space="0"/>
              <w:left w:val="single" w:color="auto" w:sz="4" w:space="0"/>
              <w:bottom w:val="single" w:color="auto" w:sz="4" w:space="0"/>
              <w:right w:val="single" w:color="auto" w:sz="4" w:space="0"/>
            </w:tcBorders>
            <w:shd w:val="clear"/>
            <w:vAlign w:val="center"/>
          </w:tcPr>
          <w:p w14:paraId="3C083E80">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3 000～4 000</w:t>
            </w:r>
          </w:p>
        </w:tc>
        <w:tc>
          <w:tcPr>
            <w:tcW w:w="1698" w:type="pct"/>
            <w:vMerge w:val="continue"/>
            <w:tcBorders>
              <w:top w:val="single" w:color="auto" w:sz="4" w:space="0"/>
              <w:left w:val="single" w:color="auto" w:sz="4" w:space="0"/>
              <w:bottom w:val="single" w:color="auto" w:sz="4" w:space="0"/>
              <w:right w:val="single" w:color="auto" w:sz="8" w:space="0"/>
            </w:tcBorders>
            <w:shd w:val="clear"/>
            <w:vAlign w:val="center"/>
          </w:tcPr>
          <w:p w14:paraId="4B73338B">
            <w:pPr>
              <w:rPr>
                <w:rFonts w:hint="default" w:ascii="Calibri" w:hAnsi="Calibri" w:cs="Times New Roman"/>
                <w:sz w:val="20"/>
                <w:szCs w:val="20"/>
              </w:rPr>
            </w:pPr>
          </w:p>
        </w:tc>
      </w:tr>
      <w:tr w14:paraId="66699B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tblCellMar>
            <w:top w:w="0" w:type="dxa"/>
            <w:left w:w="0" w:type="dxa"/>
            <w:bottom w:w="0" w:type="dxa"/>
            <w:right w:w="0" w:type="dxa"/>
          </w:tblCellMar>
        </w:tblPrEx>
        <w:trPr>
          <w:jc w:val="center"/>
        </w:trPr>
        <w:tc>
          <w:tcPr>
            <w:tcW w:w="905" w:type="pct"/>
            <w:vMerge w:val="continue"/>
            <w:tcBorders>
              <w:top w:val="single" w:color="auto" w:sz="4" w:space="0"/>
              <w:left w:val="single" w:color="auto" w:sz="8" w:space="0"/>
              <w:bottom w:val="single" w:color="auto" w:sz="8" w:space="0"/>
              <w:right w:val="single" w:color="auto" w:sz="4" w:space="0"/>
            </w:tcBorders>
            <w:shd w:val="clear"/>
            <w:vAlign w:val="center"/>
          </w:tcPr>
          <w:p w14:paraId="249F0F16">
            <w:pPr>
              <w:rPr>
                <w:rFonts w:hint="default" w:ascii="Calibri" w:hAnsi="Calibri" w:cs="Times New Roman"/>
                <w:sz w:val="20"/>
                <w:szCs w:val="20"/>
              </w:rPr>
            </w:pPr>
          </w:p>
        </w:tc>
        <w:tc>
          <w:tcPr>
            <w:tcW w:w="1598" w:type="pct"/>
            <w:tcBorders>
              <w:top w:val="single" w:color="auto" w:sz="4" w:space="0"/>
              <w:left w:val="single" w:color="auto" w:sz="4" w:space="0"/>
              <w:bottom w:val="single" w:color="auto" w:sz="8" w:space="0"/>
              <w:right w:val="single" w:color="auto" w:sz="4" w:space="0"/>
            </w:tcBorders>
            <w:shd w:val="clear"/>
            <w:vAlign w:val="center"/>
          </w:tcPr>
          <w:p w14:paraId="10BD8157">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虫线清</w:t>
            </w:r>
          </w:p>
        </w:tc>
        <w:tc>
          <w:tcPr>
            <w:tcW w:w="799" w:type="pct"/>
            <w:tcBorders>
              <w:top w:val="single" w:color="auto" w:sz="4" w:space="0"/>
              <w:left w:val="single" w:color="auto" w:sz="4" w:space="0"/>
              <w:bottom w:val="single" w:color="auto" w:sz="8" w:space="0"/>
              <w:right w:val="single" w:color="auto" w:sz="4" w:space="0"/>
            </w:tcBorders>
            <w:shd w:val="clear"/>
            <w:vAlign w:val="center"/>
          </w:tcPr>
          <w:p w14:paraId="722B0052">
            <w:pPr>
              <w:pStyle w:val="9"/>
              <w:keepNext w:val="0"/>
              <w:keepLines w:val="0"/>
              <w:widowControl/>
              <w:suppressLineNumbers w:val="0"/>
              <w:autoSpaceDE w:val="0"/>
              <w:autoSpaceDN w:val="0"/>
              <w:adjustRightInd/>
              <w:spacing w:before="0" w:beforeAutospacing="0" w:after="0" w:afterAutospacing="0" w:line="240" w:lineRule="auto"/>
              <w:ind w:left="0" w:right="0"/>
              <w:jc w:val="center"/>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1</w:t>
            </w:r>
            <w:r>
              <w:rPr>
                <w:rFonts w:hint="eastAsia" w:ascii="宋体" w:hAnsi="Times New Roman" w:eastAsia="宋体" w:cs="Times New Roman"/>
                <w:kern w:val="0"/>
                <w:sz w:val="18"/>
                <w:szCs w:val="20"/>
                <w:bdr w:val="none" w:color="auto" w:sz="0" w:space="0"/>
                <w:vertAlign w:val="superscript"/>
                <w:lang w:val="en-US" w:eastAsia="zh-CN" w:bidi="ar"/>
              </w:rPr>
              <w:t xml:space="preserve"> </w:t>
            </w:r>
            <w:r>
              <w:rPr>
                <w:rFonts w:hint="eastAsia" w:ascii="宋体" w:hAnsi="Times New Roman" w:eastAsia="宋体" w:cs="Times New Roman"/>
                <w:kern w:val="0"/>
                <w:sz w:val="18"/>
                <w:szCs w:val="20"/>
                <w:bdr w:val="none" w:color="auto" w:sz="0" w:space="0"/>
                <w:lang w:val="en-US" w:eastAsia="zh-CN" w:bidi="ar"/>
              </w:rPr>
              <w:t>200～1</w:t>
            </w:r>
            <w:r>
              <w:rPr>
                <w:rFonts w:hint="eastAsia" w:ascii="宋体" w:hAnsi="Times New Roman" w:eastAsia="宋体" w:cs="Times New Roman"/>
                <w:kern w:val="0"/>
                <w:sz w:val="18"/>
                <w:szCs w:val="20"/>
                <w:bdr w:val="none" w:color="auto" w:sz="0" w:space="0"/>
                <w:vertAlign w:val="superscript"/>
                <w:lang w:val="en-US" w:eastAsia="zh-CN" w:bidi="ar"/>
              </w:rPr>
              <w:t xml:space="preserve"> </w:t>
            </w:r>
            <w:r>
              <w:rPr>
                <w:rFonts w:hint="eastAsia" w:ascii="宋体" w:hAnsi="Times New Roman" w:eastAsia="宋体" w:cs="Times New Roman"/>
                <w:kern w:val="0"/>
                <w:sz w:val="18"/>
                <w:szCs w:val="20"/>
                <w:bdr w:val="none" w:color="auto" w:sz="0" w:space="0"/>
                <w:lang w:val="en-US" w:eastAsia="zh-CN" w:bidi="ar"/>
              </w:rPr>
              <w:t>500</w:t>
            </w:r>
          </w:p>
        </w:tc>
        <w:tc>
          <w:tcPr>
            <w:tcW w:w="1698" w:type="pct"/>
            <w:tcBorders>
              <w:top w:val="single" w:color="auto" w:sz="4" w:space="0"/>
              <w:left w:val="single" w:color="auto" w:sz="4" w:space="0"/>
              <w:bottom w:val="single" w:color="auto" w:sz="8" w:space="0"/>
              <w:right w:val="single" w:color="auto" w:sz="8" w:space="0"/>
            </w:tcBorders>
            <w:shd w:val="clear"/>
            <w:vAlign w:val="center"/>
          </w:tcPr>
          <w:p w14:paraId="32B93085">
            <w:pPr>
              <w:pStyle w:val="9"/>
              <w:keepNext w:val="0"/>
              <w:keepLines w:val="0"/>
              <w:widowControl/>
              <w:suppressLineNumbers w:val="0"/>
              <w:autoSpaceDE w:val="0"/>
              <w:autoSpaceDN w:val="0"/>
              <w:adjustRightInd/>
              <w:spacing w:before="0" w:beforeAutospacing="0" w:after="0" w:afterAutospacing="0" w:line="240" w:lineRule="auto"/>
              <w:ind w:left="0" w:right="0" w:firstLine="90" w:firstLineChars="50"/>
              <w:jc w:val="both"/>
              <w:rPr>
                <w:bdr w:val="none" w:color="auto" w:sz="0" w:space="0"/>
                <w:lang w:val="en-US"/>
              </w:rPr>
            </w:pPr>
            <w:r>
              <w:rPr>
                <w:rFonts w:hint="eastAsia" w:ascii="宋体" w:hAnsi="Times New Roman" w:eastAsia="宋体" w:cs="Times New Roman"/>
                <w:kern w:val="0"/>
                <w:sz w:val="18"/>
                <w:szCs w:val="20"/>
                <w:bdr w:val="none" w:color="auto" w:sz="0" w:space="0"/>
                <w:lang w:val="en-US" w:eastAsia="zh-CN" w:bidi="ar"/>
              </w:rPr>
              <w:t>逐株喷淋地面50</w:t>
            </w:r>
            <w:r>
              <w:rPr>
                <w:rFonts w:hint="eastAsia" w:ascii="宋体" w:hAnsi="Times New Roman" w:eastAsia="宋体" w:cs="Times New Roman"/>
                <w:kern w:val="0"/>
                <w:sz w:val="18"/>
                <w:szCs w:val="20"/>
                <w:bdr w:val="none" w:color="auto" w:sz="0" w:space="0"/>
                <w:vertAlign w:val="superscript"/>
                <w:lang w:val="en-US" w:eastAsia="zh-CN" w:bidi="ar"/>
              </w:rPr>
              <w:t xml:space="preserve"> </w:t>
            </w:r>
            <w:r>
              <w:rPr>
                <w:rFonts w:hint="eastAsia" w:ascii="宋体" w:hAnsi="Times New Roman" w:eastAsia="宋体" w:cs="Times New Roman"/>
                <w:kern w:val="0"/>
                <w:sz w:val="18"/>
                <w:szCs w:val="20"/>
                <w:bdr w:val="none" w:color="auto" w:sz="0" w:space="0"/>
                <w:lang w:val="en-US" w:eastAsia="zh-CN" w:bidi="ar"/>
              </w:rPr>
              <w:t>cm～80</w:t>
            </w:r>
            <w:r>
              <w:rPr>
                <w:rFonts w:hint="eastAsia" w:ascii="宋体" w:hAnsi="Times New Roman" w:eastAsia="宋体" w:cs="Times New Roman"/>
                <w:kern w:val="0"/>
                <w:sz w:val="18"/>
                <w:szCs w:val="20"/>
                <w:bdr w:val="none" w:color="auto" w:sz="0" w:space="0"/>
                <w:vertAlign w:val="superscript"/>
                <w:lang w:val="en-US" w:eastAsia="zh-CN" w:bidi="ar"/>
              </w:rPr>
              <w:t xml:space="preserve"> </w:t>
            </w:r>
            <w:r>
              <w:rPr>
                <w:rFonts w:hint="eastAsia" w:ascii="宋体" w:hAnsi="Times New Roman" w:eastAsia="宋体" w:cs="Times New Roman"/>
                <w:kern w:val="0"/>
                <w:sz w:val="18"/>
                <w:szCs w:val="20"/>
                <w:bdr w:val="none" w:color="auto" w:sz="0" w:space="0"/>
                <w:lang w:val="en-US" w:eastAsia="zh-CN" w:bidi="ar"/>
              </w:rPr>
              <w:t>cm高的树干1～2次</w:t>
            </w:r>
          </w:p>
        </w:tc>
      </w:tr>
    </w:tbl>
    <w:p w14:paraId="7DB607F8">
      <w:pPr>
        <w:pStyle w:val="15"/>
        <w:numPr>
          <w:ilvl w:val="0"/>
          <w:numId w:val="0"/>
        </w:numPr>
        <w:ind w:firstLine="640" w:firstLineChars="200"/>
        <w:rPr>
          <w:rFonts w:hint="eastAsia" w:ascii="Times New Roman" w:eastAsia="仿宋_GB2312"/>
          <w:b w:val="0"/>
          <w:bCs w:val="0"/>
          <w:sz w:val="32"/>
          <w:szCs w:val="32"/>
          <w:lang w:eastAsia="zh-CN"/>
        </w:rPr>
      </w:pPr>
      <w:r>
        <w:rPr>
          <w:rFonts w:hint="eastAsia" w:ascii="Times New Roman" w:eastAsia="仿宋_GB2312"/>
          <w:b w:val="0"/>
          <w:bCs w:val="0"/>
          <w:sz w:val="32"/>
          <w:szCs w:val="32"/>
          <w:lang w:eastAsia="zh-CN"/>
        </w:rPr>
        <w:drawing>
          <wp:anchor distT="0" distB="0" distL="114300" distR="114300" simplePos="0" relativeHeight="251694080" behindDoc="0" locked="0" layoutInCell="1" allowOverlap="1">
            <wp:simplePos x="0" y="0"/>
            <wp:positionH relativeFrom="column">
              <wp:posOffset>68580</wp:posOffset>
            </wp:positionH>
            <wp:positionV relativeFrom="paragraph">
              <wp:posOffset>240030</wp:posOffset>
            </wp:positionV>
            <wp:extent cx="5477510" cy="1393190"/>
            <wp:effectExtent l="0" t="0" r="8890" b="16510"/>
            <wp:wrapTopAndBottom/>
            <wp:docPr id="29" name="图片 29" descr="0543ee41-d9bb-49dc-8cf3-e5fbb4cefe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543ee41-d9bb-49dc-8cf3-e5fbb4cefef3"/>
                    <pic:cNvPicPr>
                      <a:picLocks noChangeAspect="1"/>
                    </pic:cNvPicPr>
                  </pic:nvPicPr>
                  <pic:blipFill>
                    <a:blip r:embed="rId42"/>
                    <a:stretch>
                      <a:fillRect/>
                    </a:stretch>
                  </pic:blipFill>
                  <pic:spPr>
                    <a:xfrm>
                      <a:off x="0" y="0"/>
                      <a:ext cx="5477510" cy="1393190"/>
                    </a:xfrm>
                    <a:prstGeom prst="rect">
                      <a:avLst/>
                    </a:prstGeom>
                  </pic:spPr>
                </pic:pic>
              </a:graphicData>
            </a:graphic>
          </wp:anchor>
        </w:drawing>
      </w:r>
    </w:p>
    <w:p w14:paraId="65D1C47D">
      <w:pPr>
        <w:numPr>
          <w:ilvl w:val="0"/>
          <w:numId w:val="3"/>
        </w:numPr>
        <w:overflowPunct w:val="0"/>
        <w:topLinePunct/>
        <w:spacing w:line="560" w:lineRule="exact"/>
        <w:ind w:firstLine="448" w:firstLineChars="140"/>
        <w:outlineLvl w:val="0"/>
        <w:rPr>
          <w:rFonts w:eastAsia="黑体"/>
          <w:bCs/>
          <w:sz w:val="32"/>
          <w:szCs w:val="32"/>
        </w:rPr>
      </w:pPr>
      <w:r>
        <w:rPr>
          <w:rFonts w:hint="eastAsia" w:eastAsia="黑体"/>
          <w:bCs/>
          <w:sz w:val="32"/>
          <w:szCs w:val="32"/>
        </w:rPr>
        <w:t>重大意见分歧的处理依据和结果</w:t>
      </w:r>
    </w:p>
    <w:p w14:paraId="71F0DD8D">
      <w:pPr>
        <w:overflowPunct w:val="0"/>
        <w:topLinePunct/>
        <w:spacing w:line="560" w:lineRule="exact"/>
        <w:ind w:firstLine="640"/>
        <w:rPr>
          <w:rFonts w:eastAsia="仿宋_GB2312"/>
          <w:sz w:val="32"/>
          <w:szCs w:val="32"/>
        </w:rPr>
      </w:pPr>
      <w:r>
        <w:rPr>
          <w:rFonts w:hint="eastAsia" w:eastAsia="仿宋_GB2312"/>
          <w:sz w:val="32"/>
          <w:szCs w:val="32"/>
        </w:rPr>
        <w:t>本标准研制过程中无重大分歧意见。</w:t>
      </w:r>
    </w:p>
    <w:p w14:paraId="36CFC2B5">
      <w:pPr>
        <w:numPr>
          <w:ilvl w:val="0"/>
          <w:numId w:val="3"/>
        </w:numPr>
        <w:overflowPunct w:val="0"/>
        <w:topLinePunct/>
        <w:spacing w:line="560" w:lineRule="exact"/>
        <w:ind w:left="600"/>
        <w:outlineLvl w:val="0"/>
        <w:rPr>
          <w:rFonts w:eastAsia="黑体"/>
          <w:bCs/>
          <w:sz w:val="32"/>
          <w:szCs w:val="32"/>
        </w:rPr>
      </w:pPr>
      <w:r>
        <w:rPr>
          <w:rFonts w:hint="eastAsia" w:eastAsia="黑体"/>
          <w:bCs/>
          <w:sz w:val="32"/>
          <w:szCs w:val="32"/>
        </w:rPr>
        <w:t>实施标准的措施</w:t>
      </w:r>
    </w:p>
    <w:p w14:paraId="22CAC234">
      <w:p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（一）标准报批发布后，成立标准宣贯工作组</w:t>
      </w:r>
    </w:p>
    <w:p w14:paraId="074E930B">
      <w:pPr>
        <w:spacing w:line="560" w:lineRule="exact"/>
        <w:ind w:firstLine="640" w:firstLineChars="200"/>
        <w:rPr>
          <w:rFonts w:ascii="仿宋_GB2312" w:eastAsia="仿宋_GB2312"/>
          <w:bCs/>
          <w:sz w:val="32"/>
          <w:szCs w:val="32"/>
        </w:rPr>
      </w:pPr>
      <w:r>
        <w:rPr>
          <w:rFonts w:hint="eastAsia" w:ascii="仿宋_GB2312" w:eastAsia="仿宋_GB2312"/>
          <w:bCs/>
          <w:sz w:val="32"/>
          <w:szCs w:val="32"/>
        </w:rPr>
        <w:t>本标准发布后，成立以标准主要起草人为成员的标准宣贯工作组，主要负责标准的宣贯实施培训计划制定、标准实施交流会策划、标准实施信息反馈收集和标准实施效果评估等工作，并根据标准实施信息反馈和标准实施效果评估情况，及时组织标准复审修订。</w:t>
      </w:r>
    </w:p>
    <w:p w14:paraId="02378F9A">
      <w:p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（二）组织开展标准宣贯培训</w:t>
      </w:r>
    </w:p>
    <w:p w14:paraId="32CAE365">
      <w:pPr>
        <w:spacing w:line="560" w:lineRule="exact"/>
        <w:ind w:firstLine="640" w:firstLineChars="200"/>
        <w:rPr>
          <w:rFonts w:ascii="仿宋_GB2312" w:eastAsia="仿宋_GB2312"/>
          <w:bCs/>
          <w:sz w:val="32"/>
          <w:szCs w:val="32"/>
        </w:rPr>
      </w:pPr>
      <w:r>
        <w:rPr>
          <w:rFonts w:hint="eastAsia" w:ascii="仿宋_GB2312" w:eastAsia="仿宋_GB2312"/>
          <w:bCs/>
          <w:sz w:val="32"/>
          <w:szCs w:val="32"/>
        </w:rPr>
        <w:t>标准发布实施后，标准宣贯工作小组制作标准解读宣贯培训PPT课件和标准核心技术明白书，并按标准宣贯培训计划深入各市县咖啡生产基地、加工企业等开展标准宣贯培训，对标准进行逐条解读，让咖啡的管理人员和相关技术人员掌握标准核心技术内容，助力标准实施落地，推动</w:t>
      </w:r>
      <w:r>
        <w:rPr>
          <w:rFonts w:hint="eastAsia" w:ascii="仿宋_GB2312" w:eastAsia="仿宋_GB2312"/>
          <w:bCs/>
          <w:sz w:val="32"/>
          <w:szCs w:val="32"/>
          <w:lang w:eastAsia="zh-CN"/>
        </w:rPr>
        <w:t>西林句町咖啡</w:t>
      </w:r>
      <w:r>
        <w:rPr>
          <w:rFonts w:ascii="仿宋_GB2312" w:eastAsia="仿宋_GB2312"/>
          <w:bCs/>
          <w:sz w:val="32"/>
          <w:szCs w:val="32"/>
        </w:rPr>
        <w:t>产业</w:t>
      </w:r>
      <w:r>
        <w:rPr>
          <w:rFonts w:hint="eastAsia" w:ascii="仿宋_GB2312" w:eastAsia="仿宋_GB2312"/>
          <w:bCs/>
          <w:sz w:val="32"/>
          <w:szCs w:val="32"/>
        </w:rPr>
        <w:t>高质量发展。</w:t>
      </w:r>
    </w:p>
    <w:p w14:paraId="285E05CC">
      <w:p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（三）开展标准实施交流会，收集标准实施反馈信息</w:t>
      </w:r>
    </w:p>
    <w:p w14:paraId="522E17E8">
      <w:pPr>
        <w:spacing w:line="560" w:lineRule="exact"/>
        <w:ind w:firstLine="640" w:firstLineChars="200"/>
        <w:rPr>
          <w:rFonts w:ascii="仿宋_GB2312" w:eastAsia="仿宋_GB2312"/>
          <w:bCs/>
          <w:sz w:val="32"/>
          <w:szCs w:val="32"/>
        </w:rPr>
      </w:pPr>
      <w:r>
        <w:rPr>
          <w:rFonts w:hint="eastAsia" w:ascii="仿宋_GB2312" w:eastAsia="仿宋_GB2312"/>
          <w:bCs/>
          <w:sz w:val="32"/>
          <w:szCs w:val="32"/>
        </w:rPr>
        <w:t>标准起草小组深入各市县</w:t>
      </w:r>
      <w:r>
        <w:rPr>
          <w:rFonts w:hint="eastAsia" w:ascii="仿宋_GB2312" w:eastAsia="仿宋_GB2312"/>
          <w:bCs/>
          <w:sz w:val="32"/>
          <w:szCs w:val="32"/>
          <w:lang w:eastAsia="zh-CN"/>
        </w:rPr>
        <w:t>西林句町咖啡种植</w:t>
      </w:r>
      <w:r>
        <w:rPr>
          <w:rFonts w:hint="eastAsia" w:ascii="仿宋_GB2312" w:eastAsia="仿宋_GB2312"/>
          <w:bCs/>
          <w:sz w:val="32"/>
          <w:szCs w:val="32"/>
        </w:rPr>
        <w:t>生产基地、加工企业的管理人员和相关技术人员召开标准实施交流会，听取标准实施过程中存在的问题并做好记录和解答，对存在的问题组织专家团队进行研讨，为标准的复审修订做准备。</w:t>
      </w:r>
    </w:p>
    <w:p w14:paraId="6E223D92">
      <w:p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（四）开展标准实施效果评估</w:t>
      </w:r>
    </w:p>
    <w:p w14:paraId="2E69E5AC">
      <w:pPr>
        <w:spacing w:line="560" w:lineRule="exact"/>
        <w:ind w:firstLine="640" w:firstLineChars="200"/>
        <w:rPr>
          <w:rFonts w:ascii="仿宋_GB2312" w:eastAsia="仿宋_GB2312"/>
          <w:bCs/>
          <w:sz w:val="32"/>
          <w:szCs w:val="32"/>
        </w:rPr>
      </w:pPr>
      <w:r>
        <w:rPr>
          <w:rFonts w:hint="eastAsia" w:ascii="仿宋_GB2312" w:eastAsia="仿宋_GB2312"/>
          <w:bCs/>
          <w:sz w:val="32"/>
          <w:szCs w:val="32"/>
        </w:rPr>
        <w:t>标准实施满2年，每年标准宣贯工作组采取网络调查、问卷调查、实地调研、召开座谈会或论证会、专家咨询等方式开展标准实施效果评估，并形成标准实施效果评估报告，为标准的复审修订做准备。</w:t>
      </w:r>
    </w:p>
    <w:p w14:paraId="1194CCE4">
      <w:pPr>
        <w:numPr>
          <w:ilvl w:val="0"/>
          <w:numId w:val="3"/>
        </w:numPr>
        <w:overflowPunct w:val="0"/>
        <w:topLinePunct/>
        <w:spacing w:line="560" w:lineRule="exact"/>
        <w:ind w:left="600"/>
        <w:outlineLvl w:val="0"/>
        <w:rPr>
          <w:rFonts w:eastAsia="黑体"/>
          <w:bCs/>
          <w:sz w:val="32"/>
          <w:szCs w:val="32"/>
        </w:rPr>
      </w:pPr>
      <w:r>
        <w:rPr>
          <w:rFonts w:hint="eastAsia" w:eastAsia="黑体"/>
          <w:bCs/>
          <w:sz w:val="32"/>
          <w:szCs w:val="32"/>
        </w:rPr>
        <w:t>其他应当说明的事项</w:t>
      </w:r>
    </w:p>
    <w:p w14:paraId="3419E784">
      <w:pPr>
        <w:spacing w:line="560" w:lineRule="exact"/>
        <w:ind w:firstLine="640" w:firstLineChars="200"/>
        <w:rPr>
          <w:rFonts w:ascii="仿宋_GB2312" w:eastAsia="仿宋_GB2312"/>
          <w:bCs/>
          <w:sz w:val="32"/>
          <w:szCs w:val="32"/>
        </w:rPr>
      </w:pPr>
      <w:r>
        <w:rPr>
          <w:rFonts w:hint="eastAsia" w:ascii="仿宋_GB2312" w:eastAsia="仿宋_GB2312"/>
          <w:bCs/>
          <w:sz w:val="32"/>
          <w:szCs w:val="32"/>
          <w:lang w:val="zh-CN"/>
        </w:rPr>
        <w:t>无。</w:t>
      </w:r>
    </w:p>
    <w:p w14:paraId="360DD5EF">
      <w:pPr>
        <w:overflowPunct w:val="0"/>
        <w:topLinePunct/>
        <w:spacing w:line="560" w:lineRule="exact"/>
        <w:ind w:firstLine="640"/>
        <w:rPr>
          <w:rFonts w:eastAsia="仿宋_GB2312"/>
          <w:sz w:val="32"/>
          <w:szCs w:val="32"/>
        </w:rPr>
      </w:pPr>
    </w:p>
    <w:p w14:paraId="416F92E3">
      <w:pPr>
        <w:overflowPunct w:val="0"/>
        <w:topLinePunct/>
        <w:spacing w:line="560" w:lineRule="exact"/>
        <w:jc w:val="center"/>
        <w:rPr>
          <w:rFonts w:eastAsia="仿宋_GB2312"/>
          <w:sz w:val="32"/>
          <w:szCs w:val="32"/>
        </w:rPr>
      </w:pPr>
      <w:r>
        <w:rPr>
          <w:rFonts w:hint="eastAsia" w:eastAsia="仿宋_GB2312"/>
          <w:sz w:val="32"/>
          <w:szCs w:val="32"/>
        </w:rPr>
        <w:t xml:space="preserve">                 团体标准《</w:t>
      </w:r>
      <w:r>
        <w:rPr>
          <w:rFonts w:hint="eastAsia" w:eastAsia="仿宋_GB2312"/>
          <w:sz w:val="32"/>
          <w:szCs w:val="32"/>
          <w:lang w:eastAsia="zh-CN"/>
        </w:rPr>
        <w:t>西林句町咖啡种植管理规范</w:t>
      </w:r>
      <w:r>
        <w:rPr>
          <w:rFonts w:hint="eastAsia" w:eastAsia="仿宋_GB2312"/>
          <w:sz w:val="32"/>
          <w:szCs w:val="32"/>
        </w:rPr>
        <w:t>》</w:t>
      </w:r>
    </w:p>
    <w:p w14:paraId="77C42D10">
      <w:pPr>
        <w:overflowPunct w:val="0"/>
        <w:topLinePunct/>
        <w:spacing w:line="560" w:lineRule="exact"/>
        <w:jc w:val="center"/>
        <w:rPr>
          <w:rFonts w:eastAsia="仿宋_GB2312"/>
          <w:sz w:val="32"/>
          <w:szCs w:val="32"/>
        </w:rPr>
      </w:pPr>
      <w:r>
        <w:rPr>
          <w:rFonts w:hint="eastAsia" w:eastAsia="仿宋_GB2312"/>
          <w:sz w:val="32"/>
          <w:szCs w:val="32"/>
        </w:rPr>
        <w:t xml:space="preserve">                 标准编制工作组</w:t>
      </w:r>
    </w:p>
    <w:p w14:paraId="0B27C4C1">
      <w:pPr>
        <w:overflowPunct w:val="0"/>
        <w:topLinePunct/>
        <w:jc w:val="center"/>
        <w:rPr>
          <w:rFonts w:ascii="宋体" w:hAnsi="宋体"/>
          <w:b/>
          <w:bCs/>
          <w:sz w:val="30"/>
          <w:szCs w:val="30"/>
        </w:rPr>
      </w:pPr>
      <w:r>
        <w:rPr>
          <w:rFonts w:hint="eastAsia" w:eastAsia="仿宋_GB2312"/>
          <w:sz w:val="32"/>
          <w:szCs w:val="32"/>
        </w:rPr>
        <w:t xml:space="preserve">                  2025年11月4日</w:t>
      </w:r>
    </w:p>
    <w:sectPr>
      <w:type w:val="continuous"/>
      <w:pgSz w:w="11906" w:h="16838"/>
      <w:pgMar w:top="1474" w:right="1800" w:bottom="1474"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宋体">
    <w:panose1 w:val="02010600030101010101"/>
    <w:charset w:val="86"/>
    <w:family w:val="auto"/>
    <w:pitch w:val="variable"/>
    <w:sig w:usb0="00000203" w:usb1="288F0000" w:usb2="00000006" w:usb3="00000000" w:csb0="00040001" w:csb1="00000000"/>
  </w:font>
  <w:font w:name="@黑体">
    <w:panose1 w:val="02010609060101010101"/>
    <w:charset w:val="86"/>
    <w:family w:val="auto"/>
    <w:pitch w:val="fixed"/>
    <w:sig w:usb0="800002BF" w:usb1="38CF7CFA" w:usb2="00000016" w:usb3="00000000" w:csb0="00040001" w:csb1="00000000"/>
  </w:font>
  <w:font w:name="FangSong_GB2312">
    <w:altName w:val="仿宋_GB2312"/>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510058"/>
    </w:sdtPr>
    <w:sdtContent>
      <w:p w14:paraId="18B188B4">
        <w:pPr>
          <w:pStyle w:val="7"/>
          <w:jc w:val="center"/>
        </w:pPr>
        <w:r>
          <w:fldChar w:fldCharType="begin"/>
        </w:r>
        <w:r>
          <w:instrText xml:space="preserve">PAGE   \* MERGEFORMAT</w:instrText>
        </w:r>
        <w:r>
          <w:fldChar w:fldCharType="separate"/>
        </w:r>
        <w:r>
          <w:rPr>
            <w:lang w:val="zh-CN"/>
          </w:rPr>
          <w:t>16</w:t>
        </w:r>
        <w:r>
          <w:fldChar w:fldCharType="end"/>
        </w:r>
      </w:p>
    </w:sdtContent>
  </w:sdt>
  <w:p w14:paraId="76375C43">
    <w:pPr>
      <w:pStyle w:val="7"/>
    </w:pPr>
  </w:p>
  <w:p w14:paraId="52CBADDB"/>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40CA90"/>
    <w:multiLevelType w:val="singleLevel"/>
    <w:tmpl w:val="9040CA90"/>
    <w:lvl w:ilvl="0" w:tentative="0">
      <w:start w:val="1"/>
      <w:numFmt w:val="chineseCounting"/>
      <w:suff w:val="nothing"/>
      <w:lvlText w:val="%1、"/>
      <w:lvlJc w:val="left"/>
      <w:pPr>
        <w:tabs>
          <w:tab w:val="left" w:pos="0"/>
        </w:tabs>
        <w:ind w:left="150"/>
      </w:pPr>
      <w:rPr>
        <w:rFonts w:hint="eastAsia"/>
      </w:rPr>
    </w:lvl>
  </w:abstractNum>
  <w:abstractNum w:abstractNumId="1">
    <w:nsid w:val="CAB34781"/>
    <w:multiLevelType w:val="multilevel"/>
    <w:tmpl w:val="CAB34781"/>
    <w:lvl w:ilvl="0" w:tentative="0">
      <w:start w:val="1"/>
      <w:numFmt w:val="decimal"/>
      <w:pStyle w:val="39"/>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5"/>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DDBD496D"/>
    <w:multiLevelType w:val="singleLevel"/>
    <w:tmpl w:val="DDBD496D"/>
    <w:lvl w:ilvl="0" w:tentative="0">
      <w:start w:val="1"/>
      <w:numFmt w:val="chineseCounting"/>
      <w:suff w:val="nothing"/>
      <w:lvlText w:val="（%1）"/>
      <w:lvlJc w:val="left"/>
      <w:rPr>
        <w:rFonts w:hint="eastAsia"/>
      </w:rPr>
    </w:lvl>
  </w:abstractNum>
  <w:abstractNum w:abstractNumId="3">
    <w:nsid w:val="4817A397"/>
    <w:multiLevelType w:val="singleLevel"/>
    <w:tmpl w:val="4817A397"/>
    <w:lvl w:ilvl="0" w:tentative="0">
      <w:start w:val="1"/>
      <w:numFmt w:val="chineseCounting"/>
      <w:suff w:val="nothing"/>
      <w:lvlText w:val="（%1）"/>
      <w:lvlJc w:val="left"/>
      <w:pPr>
        <w:ind w:left="300"/>
      </w:pPr>
      <w:rPr>
        <w:rFonts w:hint="eastAsia"/>
      </w:rPr>
    </w:lvl>
  </w:abstractNum>
  <w:abstractNum w:abstractNumId="4">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19"/>
      <w:suff w:val="nothing"/>
      <w:lvlText w:val="%1%2　"/>
      <w:lvlJc w:val="left"/>
      <w:pPr>
        <w:ind w:left="1277" w:firstLine="0"/>
      </w:pPr>
      <w:rPr>
        <w:rFonts w:hint="eastAsia" w:ascii="黑体" w:eastAsia="黑体"/>
        <w:b w:val="0"/>
        <w:i w:val="0"/>
        <w:sz w:val="21"/>
      </w:rPr>
    </w:lvl>
    <w:lvl w:ilvl="2" w:tentative="0">
      <w:start w:val="1"/>
      <w:numFmt w:val="decimal"/>
      <w:pStyle w:val="20"/>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33"/>
      <w:suff w:val="nothing"/>
      <w:lvlText w:val="%1%2.%3.%4　"/>
      <w:lvlJc w:val="left"/>
      <w:pPr>
        <w:ind w:left="567"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wMWM2OGNjYmU4NTFlMTllYWNiZDQ3ZGI3OTk1MGMifQ=="/>
  </w:docVars>
  <w:rsids>
    <w:rsidRoot w:val="00172A27"/>
    <w:rsid w:val="000201E8"/>
    <w:rsid w:val="0002623B"/>
    <w:rsid w:val="0003164D"/>
    <w:rsid w:val="0005098D"/>
    <w:rsid w:val="00086C03"/>
    <w:rsid w:val="000874C3"/>
    <w:rsid w:val="000C07EA"/>
    <w:rsid w:val="000D046F"/>
    <w:rsid w:val="000E0009"/>
    <w:rsid w:val="000F7DFC"/>
    <w:rsid w:val="001220F8"/>
    <w:rsid w:val="0013492F"/>
    <w:rsid w:val="00134A0F"/>
    <w:rsid w:val="00143621"/>
    <w:rsid w:val="0016317C"/>
    <w:rsid w:val="00172A27"/>
    <w:rsid w:val="00175F58"/>
    <w:rsid w:val="0018254B"/>
    <w:rsid w:val="001914EA"/>
    <w:rsid w:val="001E64BD"/>
    <w:rsid w:val="00221D41"/>
    <w:rsid w:val="002D2D19"/>
    <w:rsid w:val="002D3FC3"/>
    <w:rsid w:val="002D6FFF"/>
    <w:rsid w:val="002F7696"/>
    <w:rsid w:val="00354C03"/>
    <w:rsid w:val="00355651"/>
    <w:rsid w:val="00362EBA"/>
    <w:rsid w:val="00367D4E"/>
    <w:rsid w:val="00367DC2"/>
    <w:rsid w:val="00397D46"/>
    <w:rsid w:val="003A1EF7"/>
    <w:rsid w:val="003C5604"/>
    <w:rsid w:val="003D0813"/>
    <w:rsid w:val="00406244"/>
    <w:rsid w:val="0041430F"/>
    <w:rsid w:val="00426395"/>
    <w:rsid w:val="00436712"/>
    <w:rsid w:val="004831F7"/>
    <w:rsid w:val="00490B26"/>
    <w:rsid w:val="004972B4"/>
    <w:rsid w:val="004A2D55"/>
    <w:rsid w:val="004A3A28"/>
    <w:rsid w:val="004B195E"/>
    <w:rsid w:val="004B3BAA"/>
    <w:rsid w:val="004D3EF1"/>
    <w:rsid w:val="004D4E56"/>
    <w:rsid w:val="004F42C8"/>
    <w:rsid w:val="004F7FA0"/>
    <w:rsid w:val="00510CC1"/>
    <w:rsid w:val="00523FC7"/>
    <w:rsid w:val="0053221A"/>
    <w:rsid w:val="00532C8C"/>
    <w:rsid w:val="00544CFC"/>
    <w:rsid w:val="00553D54"/>
    <w:rsid w:val="0057664B"/>
    <w:rsid w:val="005A69BD"/>
    <w:rsid w:val="005B1031"/>
    <w:rsid w:val="00671380"/>
    <w:rsid w:val="00671B27"/>
    <w:rsid w:val="00694BE5"/>
    <w:rsid w:val="0069736E"/>
    <w:rsid w:val="006E0284"/>
    <w:rsid w:val="006E346D"/>
    <w:rsid w:val="00701455"/>
    <w:rsid w:val="00752513"/>
    <w:rsid w:val="00760595"/>
    <w:rsid w:val="00760D66"/>
    <w:rsid w:val="00785835"/>
    <w:rsid w:val="007A07E8"/>
    <w:rsid w:val="007A4CB7"/>
    <w:rsid w:val="007C7D2A"/>
    <w:rsid w:val="007F7CC5"/>
    <w:rsid w:val="0080535C"/>
    <w:rsid w:val="00811617"/>
    <w:rsid w:val="0081272A"/>
    <w:rsid w:val="008416BF"/>
    <w:rsid w:val="00852518"/>
    <w:rsid w:val="008A7BD2"/>
    <w:rsid w:val="008D09D0"/>
    <w:rsid w:val="008E7FD7"/>
    <w:rsid w:val="00977440"/>
    <w:rsid w:val="00984889"/>
    <w:rsid w:val="00996C5F"/>
    <w:rsid w:val="009B7FE2"/>
    <w:rsid w:val="009E0ACE"/>
    <w:rsid w:val="009E4EBB"/>
    <w:rsid w:val="009E5456"/>
    <w:rsid w:val="00A22F84"/>
    <w:rsid w:val="00A258B9"/>
    <w:rsid w:val="00A32432"/>
    <w:rsid w:val="00A32DDD"/>
    <w:rsid w:val="00A61082"/>
    <w:rsid w:val="00A77CB1"/>
    <w:rsid w:val="00AB1114"/>
    <w:rsid w:val="00AE187F"/>
    <w:rsid w:val="00AF68B2"/>
    <w:rsid w:val="00B25F6F"/>
    <w:rsid w:val="00B33209"/>
    <w:rsid w:val="00B427BC"/>
    <w:rsid w:val="00B45219"/>
    <w:rsid w:val="00B55F00"/>
    <w:rsid w:val="00B64D9B"/>
    <w:rsid w:val="00BC1F78"/>
    <w:rsid w:val="00C32C5C"/>
    <w:rsid w:val="00C52781"/>
    <w:rsid w:val="00C63A6B"/>
    <w:rsid w:val="00C73CB3"/>
    <w:rsid w:val="00C94156"/>
    <w:rsid w:val="00CB18EA"/>
    <w:rsid w:val="00CB24A8"/>
    <w:rsid w:val="00CE02C4"/>
    <w:rsid w:val="00CE3A1E"/>
    <w:rsid w:val="00CE7251"/>
    <w:rsid w:val="00D2209B"/>
    <w:rsid w:val="00D35705"/>
    <w:rsid w:val="00D51942"/>
    <w:rsid w:val="00D5225A"/>
    <w:rsid w:val="00D72E68"/>
    <w:rsid w:val="00DD345C"/>
    <w:rsid w:val="00DF03BD"/>
    <w:rsid w:val="00DF6F18"/>
    <w:rsid w:val="00E05B40"/>
    <w:rsid w:val="00E07E1F"/>
    <w:rsid w:val="00E6082F"/>
    <w:rsid w:val="00E7687A"/>
    <w:rsid w:val="00E87C5F"/>
    <w:rsid w:val="00E9151D"/>
    <w:rsid w:val="00E9493F"/>
    <w:rsid w:val="00EB402C"/>
    <w:rsid w:val="00F207B2"/>
    <w:rsid w:val="00F24A3A"/>
    <w:rsid w:val="00F35B7B"/>
    <w:rsid w:val="00F42D73"/>
    <w:rsid w:val="00F47A9C"/>
    <w:rsid w:val="00F526A2"/>
    <w:rsid w:val="00F90AA1"/>
    <w:rsid w:val="00F968B0"/>
    <w:rsid w:val="00FD2421"/>
    <w:rsid w:val="00FD646C"/>
    <w:rsid w:val="024F656F"/>
    <w:rsid w:val="034833B0"/>
    <w:rsid w:val="06B31595"/>
    <w:rsid w:val="06CF0ED4"/>
    <w:rsid w:val="08295516"/>
    <w:rsid w:val="08C84D21"/>
    <w:rsid w:val="09E11E22"/>
    <w:rsid w:val="09E558C4"/>
    <w:rsid w:val="0A3E3315"/>
    <w:rsid w:val="0BBD163C"/>
    <w:rsid w:val="0C405504"/>
    <w:rsid w:val="0D29452E"/>
    <w:rsid w:val="0D8B1EDE"/>
    <w:rsid w:val="11421D1E"/>
    <w:rsid w:val="1319085D"/>
    <w:rsid w:val="142E34B0"/>
    <w:rsid w:val="163F43DA"/>
    <w:rsid w:val="16672DD8"/>
    <w:rsid w:val="1C6D2903"/>
    <w:rsid w:val="1EA21346"/>
    <w:rsid w:val="1F8E7B35"/>
    <w:rsid w:val="1FF12682"/>
    <w:rsid w:val="1FF6720A"/>
    <w:rsid w:val="2020255F"/>
    <w:rsid w:val="224505A2"/>
    <w:rsid w:val="2347675C"/>
    <w:rsid w:val="23D91976"/>
    <w:rsid w:val="26F7703F"/>
    <w:rsid w:val="2A250477"/>
    <w:rsid w:val="2CF12CCC"/>
    <w:rsid w:val="2E6761C9"/>
    <w:rsid w:val="2F30195C"/>
    <w:rsid w:val="30875597"/>
    <w:rsid w:val="32742FD4"/>
    <w:rsid w:val="33AC5637"/>
    <w:rsid w:val="34176890"/>
    <w:rsid w:val="35661758"/>
    <w:rsid w:val="362D721C"/>
    <w:rsid w:val="376A7EC8"/>
    <w:rsid w:val="37B84192"/>
    <w:rsid w:val="39367E6D"/>
    <w:rsid w:val="39F9378A"/>
    <w:rsid w:val="3A066555"/>
    <w:rsid w:val="3EB763B3"/>
    <w:rsid w:val="40B76A90"/>
    <w:rsid w:val="427654FD"/>
    <w:rsid w:val="42913E3D"/>
    <w:rsid w:val="431C4173"/>
    <w:rsid w:val="45193B1A"/>
    <w:rsid w:val="45D564FC"/>
    <w:rsid w:val="46EC5343"/>
    <w:rsid w:val="476D46F8"/>
    <w:rsid w:val="4A2470FB"/>
    <w:rsid w:val="4A3E4D64"/>
    <w:rsid w:val="4C51113D"/>
    <w:rsid w:val="4C9B2270"/>
    <w:rsid w:val="4D4B1102"/>
    <w:rsid w:val="4E815E55"/>
    <w:rsid w:val="4F2002A2"/>
    <w:rsid w:val="50990A0A"/>
    <w:rsid w:val="5103330E"/>
    <w:rsid w:val="52804383"/>
    <w:rsid w:val="57D52F63"/>
    <w:rsid w:val="58AC1B63"/>
    <w:rsid w:val="5A8F2AAE"/>
    <w:rsid w:val="5B4B2413"/>
    <w:rsid w:val="5C9A643B"/>
    <w:rsid w:val="5D834AFB"/>
    <w:rsid w:val="5E476F2E"/>
    <w:rsid w:val="5F6E40AC"/>
    <w:rsid w:val="5FBC1319"/>
    <w:rsid w:val="60EB57D7"/>
    <w:rsid w:val="612C0848"/>
    <w:rsid w:val="64D81260"/>
    <w:rsid w:val="68157353"/>
    <w:rsid w:val="6A144E09"/>
    <w:rsid w:val="6B9C2A21"/>
    <w:rsid w:val="6EBF1AED"/>
    <w:rsid w:val="6FB20070"/>
    <w:rsid w:val="722D2A5F"/>
    <w:rsid w:val="741B30AD"/>
    <w:rsid w:val="74EA05EB"/>
    <w:rsid w:val="754F00AF"/>
    <w:rsid w:val="76632955"/>
    <w:rsid w:val="76FE1881"/>
    <w:rsid w:val="7FC241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iPriority="99"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Theme="minorEastAsia" w:cstheme="minorBidi"/>
      <w:kern w:val="2"/>
      <w:sz w:val="15"/>
      <w:szCs w:val="15"/>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12">
    <w:name w:val="Default Paragraph Font"/>
    <w:semiHidden/>
    <w:unhideWhenUsed/>
    <w:qFormat/>
    <w:uiPriority w:val="1"/>
  </w:style>
  <w:style w:type="table" w:default="1" w:styleId="1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3">
    <w:name w:val="annotation text"/>
    <w:basedOn w:val="1"/>
    <w:unhideWhenUsed/>
    <w:qFormat/>
    <w:uiPriority w:val="99"/>
    <w:pPr>
      <w:jc w:val="left"/>
    </w:pPr>
  </w:style>
  <w:style w:type="paragraph" w:styleId="4">
    <w:name w:val="index 6"/>
    <w:basedOn w:val="1"/>
    <w:next w:val="1"/>
    <w:unhideWhenUsed/>
    <w:qFormat/>
    <w:uiPriority w:val="99"/>
    <w:pPr>
      <w:ind w:left="2100"/>
    </w:pPr>
  </w:style>
  <w:style w:type="paragraph" w:styleId="5">
    <w:name w:val="Body Text"/>
    <w:basedOn w:val="1"/>
    <w:semiHidden/>
    <w:qFormat/>
    <w:uiPriority w:val="0"/>
    <w:rPr>
      <w:rFonts w:ascii="FangSong_GB2312" w:hAnsi="FangSong_GB2312" w:eastAsia="FangSong_GB2312" w:cs="FangSong_GB2312"/>
      <w:sz w:val="28"/>
      <w:szCs w:val="28"/>
      <w:lang w:val="en-US" w:eastAsia="en-US" w:bidi="ar-SA"/>
    </w:rPr>
  </w:style>
  <w:style w:type="paragraph" w:styleId="6">
    <w:name w:val="Balloon Text"/>
    <w:basedOn w:val="1"/>
    <w:link w:val="23"/>
    <w:qFormat/>
    <w:uiPriority w:val="0"/>
    <w:rPr>
      <w:sz w:val="18"/>
      <w:szCs w:val="18"/>
    </w:rPr>
  </w:style>
  <w:style w:type="paragraph" w:styleId="7">
    <w:name w:val="footer"/>
    <w:basedOn w:val="1"/>
    <w:link w:val="26"/>
    <w:qFormat/>
    <w:uiPriority w:val="99"/>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99"/>
    <w:pPr>
      <w:spacing w:before="100" w:beforeAutospacing="1" w:after="100" w:afterAutospacing="1"/>
      <w:jc w:val="left"/>
    </w:pPr>
    <w:rPr>
      <w:kern w:val="0"/>
      <w:sz w:val="24"/>
    </w:rPr>
  </w:style>
  <w:style w:type="table" w:styleId="11">
    <w:name w:val="Table Grid"/>
    <w:basedOn w:val="1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3">
    <w:name w:val="Strong"/>
    <w:basedOn w:val="12"/>
    <w:qFormat/>
    <w:uiPriority w:val="0"/>
    <w:rPr>
      <w:b/>
    </w:rPr>
  </w:style>
  <w:style w:type="character" w:styleId="14">
    <w:name w:val="annotation reference"/>
    <w:basedOn w:val="12"/>
    <w:qFormat/>
    <w:uiPriority w:val="0"/>
    <w:rPr>
      <w:sz w:val="21"/>
      <w:szCs w:val="21"/>
    </w:rPr>
  </w:style>
  <w:style w:type="paragraph" w:customStyle="1" w:styleId="15">
    <w:name w:val="BodyText2"/>
    <w:basedOn w:val="1"/>
    <w:qFormat/>
    <w:uiPriority w:val="0"/>
    <w:pPr>
      <w:spacing w:after="120" w:line="480" w:lineRule="auto"/>
      <w:textAlignment w:val="baseline"/>
    </w:pPr>
    <w:rPr>
      <w:rFonts w:eastAsia="宋体"/>
      <w:sz w:val="32"/>
      <w:szCs w:val="32"/>
    </w:rPr>
  </w:style>
  <w:style w:type="paragraph" w:customStyle="1" w:styleId="16">
    <w:name w:val="Default"/>
    <w:next w:val="4"/>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7">
    <w:name w:val="标准文件_段"/>
    <w:link w:val="2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
    <w:name w:val="段"/>
    <w:qFormat/>
    <w:uiPriority w:val="0"/>
    <w:pPr>
      <w:tabs>
        <w:tab w:val="center" w:pos="4201"/>
        <w:tab w:val="right" w:leader="dot" w:pos="9298"/>
      </w:tabs>
      <w:autoSpaceDE w:val="0"/>
      <w:autoSpaceDN w:val="0"/>
      <w:ind w:firstLine="420" w:firstLineChars="200"/>
      <w:jc w:val="both"/>
    </w:pPr>
    <w:rPr>
      <w:rFonts w:ascii="宋体" w:hAnsi="Calibri" w:eastAsia="宋体" w:cs="Times New Roman"/>
      <w:sz w:val="21"/>
      <w:lang w:val="en-US" w:eastAsia="zh-CN" w:bidi="ar-SA"/>
    </w:rPr>
  </w:style>
  <w:style w:type="paragraph" w:customStyle="1" w:styleId="19">
    <w:name w:val="标准文件_章标题"/>
    <w:next w:val="17"/>
    <w:qFormat/>
    <w:uiPriority w:val="0"/>
    <w:pPr>
      <w:numPr>
        <w:ilvl w:val="1"/>
        <w:numId w:val="1"/>
      </w:numPr>
      <w:spacing w:beforeLines="100" w:afterLines="100"/>
      <w:jc w:val="both"/>
      <w:outlineLvl w:val="0"/>
    </w:pPr>
    <w:rPr>
      <w:rFonts w:ascii="黑体" w:hAnsi="Times New Roman" w:eastAsia="黑体" w:cs="Times New Roman"/>
      <w:sz w:val="21"/>
      <w:lang w:val="en-US" w:eastAsia="zh-CN" w:bidi="ar-SA"/>
    </w:rPr>
  </w:style>
  <w:style w:type="paragraph" w:customStyle="1" w:styleId="20">
    <w:name w:val="标准文件_一级条标题"/>
    <w:basedOn w:val="19"/>
    <w:next w:val="17"/>
    <w:qFormat/>
    <w:uiPriority w:val="0"/>
    <w:pPr>
      <w:numPr>
        <w:ilvl w:val="2"/>
      </w:numPr>
      <w:spacing w:beforeLines="50" w:afterLines="50"/>
      <w:outlineLvl w:val="1"/>
    </w:pPr>
  </w:style>
  <w:style w:type="character" w:customStyle="1" w:styleId="21">
    <w:name w:val="15"/>
    <w:basedOn w:val="12"/>
    <w:qFormat/>
    <w:uiPriority w:val="0"/>
    <w:rPr>
      <w:rFonts w:hint="default" w:ascii="Times New Roman" w:hAnsi="Times New Roman" w:cs="Times New Roman"/>
      <w:i/>
      <w:iCs/>
    </w:rPr>
  </w:style>
  <w:style w:type="character" w:customStyle="1" w:styleId="22">
    <w:name w:val="页眉 Char"/>
    <w:basedOn w:val="12"/>
    <w:link w:val="8"/>
    <w:qFormat/>
    <w:uiPriority w:val="0"/>
    <w:rPr>
      <w:rFonts w:eastAsiaTheme="minorEastAsia" w:cstheme="minorBidi"/>
      <w:kern w:val="2"/>
      <w:sz w:val="18"/>
      <w:szCs w:val="18"/>
    </w:rPr>
  </w:style>
  <w:style w:type="character" w:customStyle="1" w:styleId="23">
    <w:name w:val="批注框文本 Char"/>
    <w:basedOn w:val="12"/>
    <w:link w:val="6"/>
    <w:qFormat/>
    <w:uiPriority w:val="0"/>
    <w:rPr>
      <w:rFonts w:eastAsiaTheme="minorEastAsia" w:cstheme="minorBidi"/>
      <w:kern w:val="2"/>
      <w:sz w:val="18"/>
      <w:szCs w:val="18"/>
    </w:rPr>
  </w:style>
  <w:style w:type="character" w:customStyle="1" w:styleId="24">
    <w:name w:val="标准文件_段 Char"/>
    <w:link w:val="17"/>
    <w:qFormat/>
    <w:uiPriority w:val="0"/>
    <w:rPr>
      <w:rFonts w:ascii="宋体"/>
      <w:sz w:val="21"/>
    </w:rPr>
  </w:style>
  <w:style w:type="paragraph" w:customStyle="1" w:styleId="25">
    <w:name w:val="修订1"/>
    <w:hidden/>
    <w:unhideWhenUsed/>
    <w:qFormat/>
    <w:uiPriority w:val="99"/>
    <w:rPr>
      <w:rFonts w:ascii="Times New Roman" w:hAnsi="Times New Roman" w:eastAsiaTheme="minorEastAsia" w:cstheme="minorBidi"/>
      <w:kern w:val="2"/>
      <w:sz w:val="15"/>
      <w:szCs w:val="15"/>
      <w:lang w:val="en-US" w:eastAsia="zh-CN" w:bidi="ar-SA"/>
    </w:rPr>
  </w:style>
  <w:style w:type="character" w:customStyle="1" w:styleId="26">
    <w:name w:val="页脚 Char"/>
    <w:basedOn w:val="12"/>
    <w:link w:val="7"/>
    <w:qFormat/>
    <w:uiPriority w:val="99"/>
    <w:rPr>
      <w:rFonts w:eastAsiaTheme="minorEastAsia" w:cstheme="minorBidi"/>
      <w:kern w:val="2"/>
      <w:sz w:val="18"/>
      <w:szCs w:val="18"/>
    </w:rPr>
  </w:style>
  <w:style w:type="paragraph" w:customStyle="1" w:styleId="27">
    <w:name w:val="修订2"/>
    <w:hidden/>
    <w:unhideWhenUsed/>
    <w:qFormat/>
    <w:uiPriority w:val="99"/>
    <w:rPr>
      <w:rFonts w:ascii="Times New Roman" w:hAnsi="Times New Roman" w:eastAsiaTheme="minorEastAsia" w:cstheme="minorBidi"/>
      <w:kern w:val="2"/>
      <w:sz w:val="15"/>
      <w:szCs w:val="15"/>
      <w:lang w:val="en-US" w:eastAsia="zh-CN" w:bidi="ar-SA"/>
    </w:rPr>
  </w:style>
  <w:style w:type="paragraph" w:customStyle="1" w:styleId="28">
    <w:name w:val="标准文件_一级无标题"/>
    <w:qFormat/>
    <w:uiPriority w:val="0"/>
    <w:rPr>
      <w:rFonts w:ascii="宋体" w:hAnsi="宋体" w:eastAsia="黑体" w:cs="Times New Roman"/>
      <w:lang w:val="en-US" w:eastAsia="zh-CN" w:bidi="ar-SA"/>
    </w:rPr>
  </w:style>
  <w:style w:type="character" w:customStyle="1" w:styleId="29">
    <w:name w:val="标准文件_术语条一 Char"/>
    <w:link w:val="30"/>
    <w:qFormat/>
    <w:uiPriority w:val="0"/>
    <w:rPr>
      <w:b/>
    </w:rPr>
  </w:style>
  <w:style w:type="paragraph" w:customStyle="1" w:styleId="30">
    <w:name w:val="标准文件_术语条一"/>
    <w:basedOn w:val="28"/>
    <w:next w:val="17"/>
    <w:link w:val="29"/>
    <w:qFormat/>
    <w:uiPriority w:val="0"/>
    <w:rPr>
      <w:b/>
    </w:rPr>
  </w:style>
  <w:style w:type="paragraph" w:customStyle="1" w:styleId="31">
    <w:name w:val="标准文件_术语条二"/>
    <w:basedOn w:val="32"/>
    <w:next w:val="17"/>
    <w:qFormat/>
    <w:uiPriority w:val="0"/>
    <w:pPr>
      <w:ind w:left="567"/>
    </w:pPr>
  </w:style>
  <w:style w:type="paragraph" w:customStyle="1" w:styleId="32">
    <w:name w:val="标准文件_二级无标题"/>
    <w:basedOn w:val="33"/>
    <w:qFormat/>
    <w:uiPriority w:val="0"/>
    <w:pPr>
      <w:spacing w:beforeLines="0" w:afterLines="0"/>
      <w:outlineLvl w:val="9"/>
    </w:pPr>
    <w:rPr>
      <w:rFonts w:ascii="宋体" w:eastAsia="宋体"/>
    </w:rPr>
  </w:style>
  <w:style w:type="paragraph" w:customStyle="1" w:styleId="33">
    <w:name w:val="标准文件_二级条标题"/>
    <w:next w:val="17"/>
    <w:qFormat/>
    <w:uiPriority w:val="0"/>
    <w:pPr>
      <w:widowControl w:val="0"/>
      <w:numPr>
        <w:ilvl w:val="3"/>
        <w:numId w:val="1"/>
      </w:numPr>
      <w:spacing w:beforeLines="50" w:afterLines="50"/>
      <w:ind w:left="0"/>
      <w:jc w:val="both"/>
      <w:outlineLvl w:val="2"/>
    </w:pPr>
    <w:rPr>
      <w:rFonts w:ascii="黑体" w:hAnsi="Times New Roman" w:eastAsia="黑体" w:cs="Times New Roman"/>
      <w:sz w:val="21"/>
      <w:lang w:val="en-US" w:eastAsia="zh-CN" w:bidi="ar-SA"/>
    </w:rPr>
  </w:style>
  <w:style w:type="paragraph" w:customStyle="1" w:styleId="34">
    <w:name w:val="修订3"/>
    <w:hidden/>
    <w:unhideWhenUsed/>
    <w:qFormat/>
    <w:uiPriority w:val="99"/>
    <w:rPr>
      <w:rFonts w:ascii="Times New Roman" w:hAnsi="Times New Roman" w:eastAsiaTheme="minorEastAsia" w:cstheme="minorBidi"/>
      <w:kern w:val="2"/>
      <w:sz w:val="15"/>
      <w:szCs w:val="15"/>
      <w:lang w:val="en-US" w:eastAsia="zh-CN" w:bidi="ar-SA"/>
    </w:rPr>
  </w:style>
  <w:style w:type="paragraph" w:customStyle="1" w:styleId="35">
    <w:name w:val="修订4"/>
    <w:hidden/>
    <w:unhideWhenUsed/>
    <w:qFormat/>
    <w:uiPriority w:val="99"/>
    <w:rPr>
      <w:rFonts w:ascii="Times New Roman" w:hAnsi="Times New Roman" w:eastAsiaTheme="minorEastAsia" w:cstheme="minorBidi"/>
      <w:kern w:val="2"/>
      <w:sz w:val="15"/>
      <w:szCs w:val="15"/>
      <w:lang w:val="en-US" w:eastAsia="zh-CN" w:bidi="ar-SA"/>
    </w:rPr>
  </w:style>
  <w:style w:type="paragraph" w:customStyle="1" w:styleId="36">
    <w:name w:val="修订5"/>
    <w:hidden/>
    <w:unhideWhenUsed/>
    <w:qFormat/>
    <w:uiPriority w:val="99"/>
    <w:rPr>
      <w:rFonts w:ascii="Times New Roman" w:hAnsi="Times New Roman" w:eastAsiaTheme="minorEastAsia" w:cstheme="minorBidi"/>
      <w:kern w:val="2"/>
      <w:sz w:val="15"/>
      <w:szCs w:val="15"/>
      <w:lang w:val="en-US" w:eastAsia="zh-CN" w:bidi="ar-SA"/>
    </w:rPr>
  </w:style>
  <w:style w:type="paragraph" w:customStyle="1" w:styleId="37">
    <w:name w:val="标准文件_表格"/>
    <w:basedOn w:val="17"/>
    <w:qFormat/>
    <w:uiPriority w:val="0"/>
    <w:pPr>
      <w:jc w:val="center"/>
    </w:pPr>
    <w:rPr>
      <w:rFonts w:hint="eastAsia"/>
      <w:sz w:val="18"/>
    </w:rPr>
  </w:style>
  <w:style w:type="paragraph" w:customStyle="1" w:styleId="38">
    <w:name w:val="正文1"/>
    <w:basedOn w:val="1"/>
    <w:qFormat/>
    <w:uiPriority w:val="0"/>
    <w:pPr>
      <w:widowControl/>
    </w:pPr>
    <w:rPr>
      <w:rFonts w:ascii="Calibri" w:hAnsi="Calibri" w:eastAsia="宋体" w:cs="Times New Roman"/>
      <w:sz w:val="21"/>
      <w:szCs w:val="21"/>
    </w:rPr>
  </w:style>
  <w:style w:type="paragraph" w:customStyle="1" w:styleId="39">
    <w:name w:val="标准文件_正文表标题"/>
    <w:basedOn w:val="1"/>
    <w:next w:val="1"/>
    <w:qFormat/>
    <w:uiPriority w:val="0"/>
    <w:pPr>
      <w:widowControl/>
      <w:numPr>
        <w:ilvl w:val="0"/>
        <w:numId w:val="2"/>
      </w:numPr>
      <w:tabs>
        <w:tab w:val="left" w:pos="0"/>
      </w:tabs>
      <w:spacing w:beforeLines="50"/>
      <w:jc w:val="center"/>
    </w:pPr>
    <w:rPr>
      <w:rFonts w:hint="eastAsia" w:ascii="黑体" w:eastAsia="黑体" w:cs="Times New Roman"/>
      <w:kern w:val="0"/>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numbering" Target="numbering.xml"/><Relationship Id="rId42" Type="http://schemas.openxmlformats.org/officeDocument/2006/relationships/image" Target="media/image38.pn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ef9c08be-9ecb-4391-904a-0c93f7508b17</errorID>
      <errorWord>《西林句町咖啡种植管理规范种植管理规范》（征求意见稿）</errorWord>
      <group>L1_Knowledge</group>
      <groupName>知识性问题</groupName>
      <ability>L2_Knowledge</ability>
      <abilityName>其他知识</abilityName>
      <candidateList>
        <item>《西林句町咖啡种植管理规范种植管理规范（征求意见稿）》</item>
      </candidateList>
      <explain>疑似政策文件、法律法规名称等书写不规范，请注意检查。</explain>
      <paraID>20CC1377</paraID>
      <start>10</start>
      <end>37</end>
      <status>ignored</status>
      <modifiedWord/>
      <trackRevisions>false</trackRevisions>
    </reviewItem>
    <reviewItem>
      <errorID>a9605bc8-36df-49a4-a5c9-5a4b6cbc2235</errorID>
      <errorWord>指定</errorWord>
      <group>L1_Word</group>
      <groupName>字词问题</groupName>
      <ability>L2_Typo</ability>
      <abilityName>字词错误</abilityName>
      <candidateList>
        <item>制定</item>
      </candidateList>
      <explain>〈动〉定出（法律、规程、政策等）：～宪法｜～学会章程。</explain>
      <paraID>7F50A046</paraID>
      <start>20</start>
      <end>24</end>
      <status>modified</status>
      <modifiedWord>制定</modifiedWord>
      <trackRevisions>true</trackRevisions>
    </reviewItem>
    <reviewItem>
      <errorID>34143b5f-2b81-4ee8-bbca-247fdee5b26f</errorID>
      <errorWord>，对</errorWord>
      <group>L1_Word</group>
      <groupName>字词问题</groupName>
      <ability>L2_Typo</ability>
      <abilityName>字词错误</abilityName>
      <candidateList>
        <item>，</item>
      </candidateList>
      <explain/>
      <paraID>6150FD08</paraID>
      <start>57</start>
      <end>60</end>
      <status>modified</status>
      <modifiedWord>，</modifiedWord>
      <trackRevisions>true</trackRevisions>
    </reviewItem>
    <reviewItem>
      <errorID>9a2609fe-2d0c-43ca-8143-d89b70029869</errorID>
      <errorWord>-</errorWord>
      <group>L1_Knowledge</group>
      <groupName>知识性问题</groupName>
      <ability>L2_Knowledge</ability>
      <abilityName>其他知识</abilityName>
      <candidateList>
        <item>～</item>
      </candidateList>
      <explain>连接号使用不恰当</explain>
      <paraID>3836CB37</paraID>
      <start>140</start>
      <end>142</end>
      <status>modified</status>
      <modifiedWord>～</modifiedWord>
      <trackRevisions>true</trackRevisions>
    </reviewItem>
    <reviewItem>
      <errorID>35e4fd7c-78b0-41e2-b773-af27c009e13a</errorID>
      <errorWord>—</errorWord>
      <group>L1_Knowledge</group>
      <groupName>知识性问题</groupName>
      <ability>L2_Knowledge</ability>
      <abilityName>其他知识</abilityName>
      <candidateList>
        <item>～</item>
      </candidateList>
      <explain>连接号使用不恰当</explain>
      <paraID> 6B51228</paraID>
      <start>63</start>
      <end>65</end>
      <status>modified</status>
      <modifiedWord>～</modifiedWord>
      <trackRevisions>true</trackRevisions>
    </reviewItem>
    <reviewItem>
      <errorID>28506e76-8ebe-46c6-a93c-7f4faf9025e2</errorID>
      <errorWord>大大</errorWord>
      <group>L1_Word</group>
      <groupName>字词问题</groupName>
      <ability>L2_Typo</ability>
      <abilityName>字词错误</abilityName>
      <candidateList>
        <item>大幅</item>
      </candidateList>
      <explain>“大大～提升”搭配不当，建议修改为“大幅～提升”。</explain>
      <paraID> 6B51228</paraID>
      <start>78</start>
      <end>82</end>
      <status>modified</status>
      <modifiedWord>大幅</modifiedWord>
      <trackRevisions>true</trackRevisions>
    </reviewItem>
    <reviewItem>
      <errorID>a615e042-b89c-45e2-8480-4bf668a7cc8e</errorID>
      <errorWord>高杆</errorWord>
      <group>L1_Word</group>
      <groupName>字词问题</groupName>
      <ability>L2_Alias</ability>
      <abilityName>也作/曾用词</abilityName>
      <candidateList>
        <item>高秆</item>
      </candidateList>
      <explain>词汇[高杆]为不规范表述或旧称，其规范书面表述为[高秆]。</explain>
      <paraID> 6B51228</paraID>
      <start>262</start>
      <end>266</end>
      <status>modified</status>
      <modifiedWord>高秆</modifiedWord>
      <trackRevisions>true</trackRevisions>
    </reviewItem>
    <reviewItem>
      <errorID>1fcebb6b-103e-4726-838a-c910007e1196</errorID>
      <errorWord>高杆</errorWord>
      <group>L1_Word</group>
      <groupName>字词问题</groupName>
      <ability>L2_Alias</ability>
      <abilityName>也作/曾用词</abilityName>
      <candidateList>
        <item>高秆</item>
      </candidateList>
      <explain>词汇[高杆]为不规范表述或旧称，其规范书面表述为[高秆]。</explain>
      <paraID> 6B51228</paraID>
      <start>321</start>
      <end>325</end>
      <status>modified</status>
      <modifiedWord>高秆</modifiedWord>
      <trackRevisions>true</trackRevisions>
    </reviewItem>
    <reviewItem>
      <errorID>2240ce43-e760-42a1-a287-e646f1f9b4b6</errorID>
      <errorWord>主杆</errorWord>
      <group>L1_Word</group>
      <groupName>字词问题</groupName>
      <ability>L2_Typo</ability>
      <abilityName>字词错误</abilityName>
      <candidateList>
        <item>主干</item>
      </candidateList>
      <explain/>
      <paraID> 6B51228</paraID>
      <start>389</start>
      <end>393</end>
      <status>modified</status>
      <modifiedWord>主干</modifiedWord>
      <trackRevisions>true</trackRevisions>
    </reviewItem>
    <reviewItem>
      <errorID>92d422ba-3855-4c38-b98f-e8a45c0f1b40</errorID>
      <errorWord>~</errorWord>
      <group>L1_Format</group>
      <groupName>格式问题</groupName>
      <ability>L2_HalfPunc</ability>
      <abilityName>全半角检查</abilityName>
      <candidateList>
        <item>～</item>
      </candidateList>
      <explain>文本全半角错误。</explain>
      <paraID> 6B51228</paraID>
      <start>439</start>
      <end>441</end>
      <status>modified</status>
      <modifiedWord>～</modifiedWord>
      <trackRevisions>true</trackRevisions>
    </reviewItem>
    <reviewItem>
      <errorID>8489e475-6ec6-49d4-b968-526ede074e9d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2D351F05</paraID>
      <start>7</start>
      <end>8</end>
      <status>ignored</status>
      <modifiedWord/>
      <trackRevisions>false</trackRevisions>
    </reviewItem>
    <reviewItem>
      <errorID>fd776f1a-04ab-4ef4-96ee-8f98b3bd1a63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1D325340</paraID>
      <start>7</start>
      <end>8</end>
      <status>ignored</status>
      <modifiedWord/>
      <trackRevisions>false</trackRevisions>
    </reviewItem>
    <reviewItem>
      <errorID>77140196-486b-4b75-a6e3-16188e798ad6</errorID>
      <errorWord>《西林句町咖啡种植管理规范》（草案）</errorWord>
      <group>L1_Knowledge</group>
      <groupName>知识性问题</groupName>
      <ability>L2_Knowledge</ability>
      <abilityName>其他知识</abilityName>
      <candidateList>
        <item>《西林句町咖啡种植管理规范（草案）》</item>
      </candidateList>
      <explain>疑似政策文件、法律法规名称等书写不规范，请注意检查。</explain>
      <paraID>1D325340</paraID>
      <start>179</start>
      <end>197</end>
      <status>ignored</status>
      <modifiedWord/>
      <trackRevisions>false</trackRevisions>
    </reviewItem>
    <reviewItem>
      <errorID>663dcff6-3283-4139-a1f9-5d481674af02</errorID>
      <errorWord>《西林句町咖啡种植管理规范》（征求意见稿）</errorWord>
      <group>L1_Knowledge</group>
      <groupName>知识性问题</groupName>
      <ability>L2_Knowledge</ability>
      <abilityName>其他知识</abilityName>
      <candidateList>
        <item>《西林句町咖啡种植管理规范（征求意见稿）》</item>
      </candidateList>
      <explain>疑似政策文件、法律法规名称等书写不规范，请注意检查。</explain>
      <paraID> AEE6F54</paraID>
      <start>173</start>
      <end>194</end>
      <status>ignored</status>
      <modifiedWord/>
      <trackRevisions>false</trackRevisions>
    </reviewItem>
    <reviewItem>
      <errorID>95bc5e81-c3a6-4262-bccb-018c3d9ad1ea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3BFDC62E</paraID>
      <start>0</start>
      <end>2</end>
      <status>ignored</status>
      <modifiedWord/>
      <trackRevisions>false</trackRevisions>
    </reviewItem>
    <reviewItem>
      <errorID>7f6fb21e-d15c-4e15-8c69-e882cee5ba70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24C2039A</paraID>
      <start>0</start>
      <end>2</end>
      <status>ignored</status>
      <modifiedWord/>
      <trackRevisions>false</trackRevisions>
    </reviewItem>
    <reviewItem>
      <errorID>a78d0b96-e1c5-4983-8b04-50d6b3de8a51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75B72379</paraID>
      <start>0</start>
      <end>2</end>
      <status>ignored</status>
      <modifiedWord/>
      <trackRevisions>false</trackRevisions>
    </reviewItem>
    <reviewItem>
      <errorID>b5c39b4d-a9ff-41b2-a68c-55344159dbc2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3A0F749</paraID>
      <start>0</start>
      <end>2</end>
      <status>ignored</status>
      <modifiedWord/>
      <trackRevisions>false</trackRevisions>
    </reviewItem>
    <reviewItem>
      <errorID>283dd4ca-dc44-49a5-afe6-8d9a89b9008c</errorID>
      <errorWord>-</errorWord>
      <group>L1_Knowledge</group>
      <groupName>知识性问题</groupName>
      <ability>L2_Knowledge</ability>
      <abilityName>其他知识</abilityName>
      <candidateList>
        <item>～</item>
      </candidateList>
      <explain>连接号使用不恰当</explain>
      <paraID>39FD74DC</paraID>
      <start>76</start>
      <end>78</end>
      <status>modified</status>
      <modifiedWord>～</modifiedWord>
      <trackRevisions>true</trackRevisions>
    </reviewItem>
    <reviewItem>
      <errorID>acfa4ff3-09f2-48c0-8c9f-e25bd3b3f09c</errorID>
      <errorWord>-</errorWord>
      <group>L1_Knowledge</group>
      <groupName>知识性问题</groupName>
      <ability>L2_Knowledge</ability>
      <abilityName>其他知识</abilityName>
      <candidateList>
        <item>～</item>
      </candidateList>
      <explain>连接号使用不恰当</explain>
      <paraID>788023FE</paraID>
      <start>15</start>
      <end>17</end>
      <status>modified</status>
      <modifiedWord>～</modifiedWord>
      <trackRevisions>true</trackRevisions>
    </reviewItem>
    <reviewItem>
      <errorID>d51dbd72-2a50-4ccc-a3f0-a9cb08eeb131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45C50BD</paraID>
      <start>30</start>
      <end>32</end>
      <status>modified</status>
      <modifiedWord>～</modifiedWord>
      <trackRevisions>true</trackRevisions>
    </reviewItem>
    <reviewItem>
      <errorID>186a843a-2f35-4735-a1c3-070476c4c183</errorID>
      <errorWord>-</errorWord>
      <group>L1_Knowledge</group>
      <groupName>知识性问题</groupName>
      <ability>L2_Knowledge</ability>
      <abilityName>其他知识</abilityName>
      <candidateList>
        <item>～</item>
      </candidateList>
      <explain>连接号使用不恰当</explain>
      <paraID> 45C50BD</paraID>
      <start>95</start>
      <end>97</end>
      <status>modified</status>
      <modifiedWord>～</modifiedWord>
      <trackRevisions>true</trackRevisions>
    </reviewItem>
    <reviewItem>
      <errorID>76e10e92-8be9-4638-86ad-76cfaf7e3304</errorID>
      <errorWord>-</errorWord>
      <group>L1_Knowledge</group>
      <groupName>知识性问题</groupName>
      <ability>L2_Knowledge</ability>
      <abilityName>其他知识</abilityName>
      <candidateList>
        <item>～</item>
      </candidateList>
      <explain>连接号使用不恰当</explain>
      <paraID>19DACC3B</paraID>
      <start>165</start>
      <end>167</end>
      <status>modified</status>
      <modifiedWord>～</modifiedWord>
      <trackRevisions>true</trackRevisions>
    </reviewItem>
    <reviewItem>
      <errorID>afe25792-6949-4a42-b0b1-1b1bd832833a</errorID>
      <errorWord>-</errorWord>
      <group>L1_Knowledge</group>
      <groupName>知识性问题</groupName>
      <ability>L2_Knowledge</ability>
      <abilityName>其他知识</abilityName>
      <candidateList>
        <item>～</item>
      </candidateList>
      <explain>连接号使用不恰当</explain>
      <paraID>406686BA</paraID>
      <start>166</start>
      <end>168</end>
      <status>modified</status>
      <modifiedWord>～</modifiedWord>
      <trackRevisions>true</trackRevisions>
    </reviewItem>
    <reviewItem>
      <errorID>5c71ec99-7a9f-400f-ae79-d84c4e8a8ec7</errorID>
      <errorWord>-</errorWord>
      <group>L1_Knowledge</group>
      <groupName>知识性问题</groupName>
      <ability>L2_Knowledge</ability>
      <abilityName>其他知识</abilityName>
      <candidateList>
        <item>～</item>
      </candidateList>
      <explain>连接号使用不恰当</explain>
      <paraID>406686BA</paraID>
      <start>194</start>
      <end>196</end>
      <status>modified</status>
      <modifiedWord>～</modifiedWord>
      <trackRevisions>true</trackRevisions>
    </reviewItem>
    <reviewItem>
      <errorID>7a6b0656-4199-427b-88c7-eff2c88b5967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438A76F2</paraID>
      <start>131</start>
      <end>133</end>
      <status>modified</status>
      <modifiedWord>～</modifiedWord>
      <trackRevisions>true</trackRevisions>
    </reviewItem>
    <reviewItem>
      <errorID>cdca477f-4226-4168-aa52-8db6492ae5b4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438A76F2</paraID>
      <start>150</start>
      <end>152</end>
      <status>modified</status>
      <modifiedWord>～</modifiedWord>
      <trackRevisions>true</trackRevisions>
    </reviewItem>
    <reviewItem>
      <errorID>88ef0732-7c27-4d88-8c5c-293f78bd28c0</errorID>
      <errorWord>-</errorWord>
      <group>L1_Knowledge</group>
      <groupName>知识性问题</groupName>
      <ability>L2_Knowledge</ability>
      <abilityName>其他知识</abilityName>
      <candidateList>
        <item>～</item>
      </candidateList>
      <explain>连接号使用不恰当</explain>
      <paraID>438A76F2</paraID>
      <start>261</start>
      <end>263</end>
      <status>modified</status>
      <modifiedWord>～</modifiedWord>
      <trackRevisions>true</trackRevisions>
    </reviewItem>
    <reviewItem>
      <errorID>aaedc793-28a8-4f97-84da-4a0dc9553732</errorID>
      <errorWord>-</errorWord>
      <group>L1_Knowledge</group>
      <groupName>知识性问题</groupName>
      <ability>L2_Knowledge</ability>
      <abilityName>其他知识</abilityName>
      <candidateList>
        <item>～</item>
      </candidateList>
      <explain>连接号使用不恰当</explain>
      <paraID>438A76F2</paraID>
      <start>568</start>
      <end>570</end>
      <status>modified</status>
      <modifiedWord>～</modifiedWord>
      <trackRevisions>true</trackRevisions>
    </reviewItem>
    <reviewItem>
      <errorID>b037f81e-d532-430a-a11c-fd3e855595a8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2FFB574E</paraID>
      <start>28</start>
      <end>30</end>
      <status>modified</status>
      <modifiedWord>～</modifiedWord>
      <trackRevisions>true</trackRevisions>
    </reviewItem>
    <reviewItem>
      <errorID>95b2f550-f859-4e69-8f63-07805ac70160</errorID>
      <errorWord>-</errorWord>
      <group>L1_Knowledge</group>
      <groupName>知识性问题</groupName>
      <ability>L2_Knowledge</ability>
      <abilityName>其他知识</abilityName>
      <candidateList>
        <item>～</item>
      </candidateList>
      <explain>连接号使用不恰当</explain>
      <paraID>2E1DE634</paraID>
      <start>7</start>
      <end>9</end>
      <status>modified</status>
      <modifiedWord>～</modifiedWord>
      <trackRevisions>true</trackRevisions>
    </reviewItem>
    <reviewItem>
      <errorID>a86e2c7a-a7eb-40a1-aa92-ccf91eb7da66</errorID>
      <errorWord>-</errorWord>
      <group>L1_Knowledge</group>
      <groupName>知识性问题</groupName>
      <ability>L2_Knowledge</ability>
      <abilityName>其他知识</abilityName>
      <candidateList>
        <item>～</item>
      </candidateList>
      <explain>连接号使用不恰当</explain>
      <paraID>28605934</paraID>
      <start>7</start>
      <end>9</end>
      <status>modified</status>
      <modifiedWord>～</modifiedWord>
      <trackRevisions>true</trackRevisions>
    </reviewItem>
    <reviewItem>
      <errorID>e83b2d47-7e7e-4f0b-ae0a-6dee10645fc0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28605934</paraID>
      <start>34</start>
      <end>36</end>
      <status>modified</status>
      <modifiedWord>～</modifiedWord>
      <trackRevisions>true</trackRevisions>
    </reviewItem>
    <reviewItem>
      <errorID>e94bf670-81d4-4300-bd07-35e3ae83021a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41017A7A</paraID>
      <start>9</start>
      <end>11</end>
      <status>modified</status>
      <modifiedWord>～</modifiedWord>
      <trackRevisions>true</trackRevisions>
    </reviewItem>
    <reviewItem>
      <errorID>d59e22e7-8858-4d42-8f0b-238a89192d03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7B226D71</paraID>
      <start>8</start>
      <end>10</end>
      <status>modified</status>
      <modifiedWord>～</modifiedWord>
      <trackRevisions>true</trackRevisions>
    </reviewItem>
    <reviewItem>
      <errorID>5812c1d1-6a5b-4d8d-8c18-39cfbc870f0b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7B226D71</paraID>
      <start>24</start>
      <end>26</end>
      <status>modified</status>
      <modifiedWord>～</modifiedWord>
      <trackRevisions>true</trackRevisions>
    </reviewItem>
    <reviewItem>
      <errorID>f6f3ca06-568d-47ed-a795-89193b967bc2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1457B10D</paraID>
      <start>23</start>
      <end>25</end>
      <status>modified</status>
      <modifiedWord>～</modifiedWord>
      <trackRevisions>true</trackRevisions>
    </reviewItem>
    <reviewItem>
      <errorID>096cd4bb-e860-4b54-b410-65e05a62b39e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5270612A</paraID>
      <start>17</start>
      <end>19</end>
      <status>modified</status>
      <modifiedWord>～</modifiedWord>
      <trackRevisions>true</trackRevisions>
    </reviewItem>
    <reviewItem>
      <errorID>a2d3a12f-1147-40cc-83aa-bf7fa03da962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2EC4AE3B</paraID>
      <start>216</start>
      <end>218</end>
      <status>modified</status>
      <modifiedWord>～</modifiedWord>
      <trackRevisions>true</trackRevisions>
    </reviewItem>
    <reviewItem>
      <errorID>8ee3f736-63e9-4861-b693-ac1bcd7e7c37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7263969D</paraID>
      <start>109</start>
      <end>111</end>
      <status>modified</status>
      <modifiedWord>～</modifiedWord>
      <trackRevisions>true</trackRevisions>
    </reviewItem>
    <reviewItem>
      <errorID>8f0cf941-5ade-4c34-aad6-0238a3fb46e4</errorID>
      <errorWord>-</errorWord>
      <group>L1_Knowledge</group>
      <groupName>知识性问题</groupName>
      <ability>L2_Knowledge</ability>
      <abilityName>其他知识</abilityName>
      <candidateList>
        <item>～</item>
      </candidateList>
      <explain>连接号使用不恰当</explain>
      <paraID>7263969D</paraID>
      <start>130</start>
      <end>132</end>
      <status>modified</status>
      <modifiedWord>～</modifiedWord>
      <trackRevisions>true</trackRevisions>
    </reviewItem>
    <reviewItem>
      <errorID>3d9f30ae-43a1-42d3-9c39-fb3df8240fbb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7263969D</paraID>
      <start>254</start>
      <end>256</end>
      <status>modified</status>
      <modifiedWord>～</modifiedWord>
      <trackRevisions>true</trackRevisions>
    </reviewItem>
    <reviewItem>
      <errorID>2803b764-5153-4735-91fb-07a1494270ce</errorID>
      <errorWord>-</errorWord>
      <group>L1_Knowledge</group>
      <groupName>知识性问题</groupName>
      <ability>L2_Knowledge</ability>
      <abilityName>其他知识</abilityName>
      <candidateList>
        <item>～</item>
      </candidateList>
      <explain>连接号使用不恰当</explain>
      <paraID>47D5A2C7</paraID>
      <start>63</start>
      <end>65</end>
      <status>modified</status>
      <modifiedWord>～</modifiedWord>
      <trackRevisions>true</trackRevisions>
    </reviewItem>
    <reviewItem>
      <errorID>4485bf40-f722-48d4-ba32-ac3b0fe0bf42</errorID>
      <errorWord>（</errorWord>
      <group>L1_Punc</group>
      <groupName>标点问题</groupName>
      <ability>L2_Punc</ability>
      <abilityName>标点符号检查</abilityName>
      <candidateList/>
      <explain/>
      <paraID>4116401C</paraID>
      <start>34</start>
      <end>35</end>
      <status>ignored</status>
      <modifiedWord/>
      <trackRevisions>false</trackRevisions>
    </reviewItem>
    <reviewItem>
      <errorID>19e948d6-6bd0-4c0a-aee6-8c0f1a99d7b2</errorID>
      <errorWord>-</errorWord>
      <group>L1_Knowledge</group>
      <groupName>知识性问题</groupName>
      <ability>L2_Knowledge</ability>
      <abilityName>其他知识</abilityName>
      <candidateList>
        <item>～</item>
      </candidateList>
      <explain>连接号使用不恰当</explain>
      <paraID>506780E3</paraID>
      <start>279</start>
      <end>281</end>
      <status>modified</status>
      <modifiedWord>～</modifiedWord>
      <trackRevisions>true</trackRevisions>
    </reviewItem>
    <reviewItem>
      <errorID>4ec64675-7ecb-4f24-ae58-36103ba99390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506780E3</paraID>
      <start>409</start>
      <end>411</end>
      <status>modified</status>
      <modifiedWord>～</modifiedWord>
      <trackRevisions>true</trackRevisions>
    </reviewItem>
    <reviewItem>
      <errorID>7d34f355-9eed-42bb-acdb-7cbb76696544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453EACE9</paraID>
      <start>144</start>
      <end>146</end>
      <status>modified</status>
      <modifiedWord>～</modifiedWord>
      <trackRevisions>true</trackRevisions>
    </reviewItem>
    <reviewItem>
      <errorID>6b17439d-f9f9-4441-aad8-8371ab3795df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453EACE9</paraID>
      <start>328</start>
      <end>330</end>
      <status>modified</status>
      <modifiedWord>～</modifiedWord>
      <trackRevisions>true</trackRevisions>
    </reviewItem>
    <reviewItem>
      <errorID>5ac5872f-3c5c-4f9d-a42e-8af6f0fc26c8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E2A8718</paraID>
      <start>13</start>
      <end>15</end>
      <status>modified</status>
      <modifiedWord>～</modifiedWord>
      <trackRevisions>true</trackRevisions>
    </reviewItem>
    <reviewItem>
      <errorID>82e19023-afc5-4c8f-b4d4-f54754142a6d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E2A8718</paraID>
      <start>26</start>
      <end>28</end>
      <status>modified</status>
      <modifiedWord>～</modifiedWord>
      <trackRevisions>true</trackRevisions>
    </reviewItem>
    <reviewItem>
      <errorID>2f976a3e-5a95-48d1-af91-cb145da5e8e9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2DDF01A1</paraID>
      <start>13</start>
      <end>15</end>
      <status>modified</status>
      <modifiedWord>～</modifiedWord>
      <trackRevisions>true</trackRevisions>
    </reviewItem>
    <reviewItem>
      <errorID>20453108-ee00-4e4b-8f58-6491d01e5de0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2DDF01A1</paraID>
      <start>26</start>
      <end>28</end>
      <status>modified</status>
      <modifiedWord>～</modifiedWord>
      <trackRevisions>true</trackRevisions>
    </reviewItem>
    <reviewItem>
      <errorID>99ce24a4-4a82-4a33-b747-6c905fb0205c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63C1B70F</paraID>
      <start>13</start>
      <end>15</end>
      <status>modified</status>
      <modifiedWord>～</modifiedWord>
      <trackRevisions>true</trackRevisions>
    </reviewItem>
    <reviewItem>
      <errorID>a5d23d51-e707-458a-8533-847212bd6d41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63C1B70F</paraID>
      <start>26</start>
      <end>28</end>
      <status>modified</status>
      <modifiedWord>～</modifiedWord>
      <trackRevisions>true</trackRevisions>
    </reviewItem>
    <reviewItem>
      <errorID>32198bfc-2d60-48da-937a-d4df19014aa2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58DEDB85</paraID>
      <start>174</start>
      <end>176</end>
      <status>modified</status>
      <modifiedWord>～</modifiedWord>
      <trackRevisions>true</trackRevisions>
    </reviewItem>
    <reviewItem>
      <errorID>105890c3-03fb-474f-80ad-74c81931241e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7C0CDB80</paraID>
      <start>264</start>
      <end>266</end>
      <status>modified</status>
      <modifiedWord>～</modifiedWord>
      <trackRevisions>true</trackRevisions>
    </reviewItem>
    <reviewItem>
      <errorID>70d2bfd5-f430-40a0-a47f-b8369e7c603d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7C0CDB80</paraID>
      <start>410</start>
      <end>412</end>
      <status>modified</status>
      <modifiedWord>～</modifiedWord>
      <trackRevisions>true</trackRevisions>
    </reviewItem>
    <reviewItem>
      <errorID>b52624ff-3287-47d6-af6c-d9757117ff9e</errorID>
      <errorWord>-</errorWord>
      <group>L1_Format</group>
      <groupName>格式问题</groupName>
      <ability>L2_HalfPunc</ability>
      <abilityName>全半角检查</abilityName>
      <candidateList>
        <item>－</item>
      </candidateList>
      <explain>文本全半角错误。</explain>
      <paraID> 6068866</paraID>
      <start>29</start>
      <end>31</end>
      <status>modified</status>
      <modifiedWord>－</modifiedWord>
      <trackRevisions>true</trackRevisions>
    </reviewItem>
    <reviewItem>
      <errorID>490055c5-8313-4c65-9a5f-51c62241d55d</errorID>
      <errorWord>-</errorWord>
      <group>L1_Format</group>
      <groupName>格式问题</groupName>
      <ability>L2_HalfPunc</ability>
      <abilityName>全半角检查</abilityName>
      <candidateList>
        <item>－</item>
      </candidateList>
      <explain>文本全半角错误。</explain>
      <paraID> 6068866</paraID>
      <start>82</start>
      <end>84</end>
      <status>modified</status>
      <modifiedWord>－</modifiedWord>
      <trackRevisions>true</trackRevisions>
    </reviewItem>
    <reviewItem>
      <errorID>e2f110ac-d5ef-44e1-b66e-ac8759da077a</errorID>
      <errorWord>-</errorWord>
      <group>L1_Format</group>
      <groupName>格式问题</groupName>
      <ability>L2_HalfPunc</ability>
      <abilityName>全半角检查</abilityName>
      <candidateList>
        <item>－</item>
      </candidateList>
      <explain>文本全半角错误。</explain>
      <paraID> 6068866</paraID>
      <start>122</start>
      <end>124</end>
      <status>modified</status>
      <modifiedWord>－</modifiedWord>
      <trackRevisions>true</trackRevisions>
    </reviewItem>
    <reviewItem>
      <errorID>e1c422f4-b5c4-476b-897f-2817894b9e9f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1A2A21C9</paraID>
      <start>7</start>
      <end>9</end>
      <status>modified</status>
      <modifiedWord>～</modifiedWord>
      <trackRevisions>true</trackRevisions>
    </reviewItem>
    <reviewItem>
      <errorID>3048cfb6-2461-4cf8-baa1-13ff98a80cb7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1A2A21C9</paraID>
      <start>20</start>
      <end>22</end>
      <status>modified</status>
      <modifiedWord>～</modifiedWord>
      <trackRevisions>true</trackRevisions>
    </reviewItem>
    <reviewItem>
      <errorID>ee6e3b92-fe2f-4a7a-a01b-a4630bd15f97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1A2A21C9</paraID>
      <start>39</start>
      <end>41</end>
      <status>modified</status>
      <modifiedWord>～</modifiedWord>
      <trackRevisions>true</trackRevisions>
    </reviewItem>
    <reviewItem>
      <errorID>d2b8bf0d-5429-42d7-b6a1-ce329d894274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F76598F</paraID>
      <start>6</start>
      <end>8</end>
      <status>modified</status>
      <modifiedWord>～</modifiedWord>
      <trackRevisions>true</trackRevisions>
    </reviewItem>
    <reviewItem>
      <errorID>b025e935-2336-4853-b851-4c22da6b6ec3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F76598F</paraID>
      <start>19</start>
      <end>21</end>
      <status>modified</status>
      <modifiedWord>～</modifiedWord>
      <trackRevisions>true</trackRevisions>
    </reviewItem>
    <reviewItem>
      <errorID>af74659b-3aec-43cc-9971-40307ce83637</errorID>
      <errorWord>-</errorWord>
      <group>L1_Knowledge</group>
      <groupName>知识性问题</groupName>
      <ability>L2_Knowledge</ability>
      <abilityName>其他知识</abilityName>
      <candidateList>
        <item>～</item>
      </candidateList>
      <explain>连接号使用不恰当</explain>
      <paraID>1A29608B</paraID>
      <start>27</start>
      <end>29</end>
      <status>modified</status>
      <modifiedWord>～</modifiedWord>
      <trackRevisions>true</trackRevisions>
    </reviewItem>
    <reviewItem>
      <errorID>8f93d718-e811-4298-8194-2d384fca5bb9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1A29608B</paraID>
      <start>41</start>
      <end>43</end>
      <status>modified</status>
      <modifiedWord>～</modifiedWord>
      <trackRevisions>true</trackRevisions>
    </reviewItem>
    <reviewItem>
      <errorID>428583d7-bff0-4a5f-b632-ed2eedb2630f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1A29608B</paraID>
      <start>60</start>
      <end>62</end>
      <status>modified</status>
      <modifiedWord>～</modifiedWord>
      <trackRevisions>true</trackRevisions>
    </reviewItem>
    <reviewItem>
      <errorID>7ea8877f-a617-4d65-a284-181c55d6976c</errorID>
      <errorWord>-</errorWord>
      <group>L1_Knowledge</group>
      <groupName>知识性问题</groupName>
      <ability>L2_Knowledge</ability>
      <abilityName>其他知识</abilityName>
      <candidateList>
        <item>～</item>
      </candidateList>
      <explain>连接号使用不恰当</explain>
      <paraID>1A29608B</paraID>
      <start>89</start>
      <end>91</end>
      <status>modified</status>
      <modifiedWord>～</modifiedWord>
      <trackRevisions>true</trackRevisions>
    </reviewItem>
    <reviewItem>
      <errorID>0d0d9ef4-db1c-4d8d-a641-a783de039170</errorID>
      <errorWord>-</errorWord>
      <group>L1_Knowledge</group>
      <groupName>知识性问题</groupName>
      <ability>L2_Knowledge</ability>
      <abilityName>其他知识</abilityName>
      <candidateList>
        <item>～</item>
      </candidateList>
      <explain>连接号使用不恰当</explain>
      <paraID>29201D23</paraID>
      <start>18</start>
      <end>20</end>
      <status>modified</status>
      <modifiedWord>～</modifiedWord>
      <trackRevisions>true</trackRevisions>
    </reviewItem>
    <reviewItem>
      <errorID>f3a394af-1a45-45ca-a29f-8304ae1eea0d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291C311E</paraID>
      <start>7</start>
      <end>9</end>
      <status>modified</status>
      <modifiedWord>～</modifiedWord>
      <trackRevisions>true</trackRevisions>
    </reviewItem>
    <reviewItem>
      <errorID>8d3e8d3a-5af1-4435-b47c-38f2f48e30f2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291C311E</paraID>
      <start>20</start>
      <end>22</end>
      <status>modified</status>
      <modifiedWord>～</modifiedWord>
      <trackRevisions>true</trackRevisions>
    </reviewItem>
    <reviewItem>
      <errorID>7f63c6af-922b-4776-923c-0ebc46719a44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6195B0FA</paraID>
      <start>6</start>
      <end>8</end>
      <status>modified</status>
      <modifiedWord>～</modifiedWord>
      <trackRevisions>true</trackRevisions>
    </reviewItem>
    <reviewItem>
      <errorID>96ffe9bc-a24a-491a-9cc4-87e817c04c7a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6195B0FA</paraID>
      <start>19</start>
      <end>21</end>
      <status>modified</status>
      <modifiedWord>～</modifiedWord>
      <trackRevisions>true</trackRevisions>
    </reviewItem>
    <reviewItem>
      <errorID>4025f571-cba1-405c-b0a6-c13f247e4080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74A03870</paraID>
      <start>7</start>
      <end>9</end>
      <status>modified</status>
      <modifiedWord>～</modifiedWord>
      <trackRevisions>true</trackRevisions>
    </reviewItem>
    <reviewItem>
      <errorID>0984e77f-e39e-4d4a-ac79-f456b4a5780b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15171E6D</paraID>
      <start>6</start>
      <end>8</end>
      <status>modified</status>
      <modifiedWord>～</modifiedWord>
      <trackRevisions>true</trackRevisions>
    </reviewItem>
    <reviewItem>
      <errorID>237aa4e0-a972-4d40-ae75-6b01a8b22059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15171E6D</paraID>
      <start>19</start>
      <end>21</end>
      <status>modified</status>
      <modifiedWord>～</modifiedWord>
      <trackRevisions>true</trackRevisions>
    </reviewItem>
    <reviewItem>
      <errorID>5c1d9b7e-d85e-4584-8f66-0e7665006367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7B0D96D5</paraID>
      <start>15</start>
      <end>17</end>
      <status>modified</status>
      <modifiedWord>～</modifiedWord>
      <trackRevisions>true</trackRevisions>
    </reviewItem>
    <reviewItem>
      <errorID>1f20b1e6-49cb-4f1d-ad10-23411ac22a67</errorID>
      <errorWord>-</errorWord>
      <group>L1_Knowledge</group>
      <groupName>知识性问题</groupName>
      <ability>L2_Knowledge</ability>
      <abilityName>其他知识</abilityName>
      <candidateList>
        <item>～</item>
      </candidateList>
      <explain>连接号使用不恰当</explain>
      <paraID>51CB89D6</paraID>
      <start>48</start>
      <end>50</end>
      <status>modified</status>
      <modifiedWord>～</modifiedWord>
      <trackRevisions>true</trackRevisions>
    </reviewItem>
    <reviewItem>
      <errorID>68e84d9b-5cac-4a6a-b09c-7ccd319f395b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49E6EDA5</paraID>
      <start>79</start>
      <end>81</end>
      <status>modified</status>
      <modifiedWord>～</modifiedWord>
      <trackRevisions>true</trackRevisions>
    </reviewItem>
    <reviewItem>
      <errorID>11845b9b-12ee-476a-9ef9-be9f335c2535</errorID>
      <errorWord>-</errorWord>
      <group>L1_Knowledge</group>
      <groupName>知识性问题</groupName>
      <ability>L2_Knowledge</ability>
      <abilityName>其他知识</abilityName>
      <candidateList>
        <item>～</item>
      </candidateList>
      <explain>连接号使用不恰当</explain>
      <paraID>49E6EDA5</paraID>
      <start>229</start>
      <end>231</end>
      <status>modified</status>
      <modifiedWord>～</modifiedWord>
      <trackRevisions>true</trackRevisions>
    </reviewItem>
    <reviewItem>
      <errorID>20507458-04c4-4d14-995d-8bf1f2782a8e</errorID>
      <errorWord>矮杆作物</errorWord>
      <group>L1_Word</group>
      <groupName>字词问题</groupName>
      <ability>L2_Typo</ability>
      <abilityName>字词错误</abilityName>
      <candidateList>
        <item>矮秆作物</item>
      </candidateList>
      <explain>存在发音相同字词的误用。</explain>
      <paraID>4E32CFD8</paraID>
      <start>4</start>
      <end>12</end>
      <status>modified</status>
      <modifiedWord>矮秆作物</modifiedWord>
      <trackRevisions>true</trackRevisions>
    </reviewItem>
    <reviewItem>
      <errorID>ab84d3ff-1584-4afc-a392-99fe7826a9a2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4E32CFD8</paraID>
      <start>44</start>
      <end>46</end>
      <status>modified</status>
      <modifiedWord>～</modifiedWord>
      <trackRevisions>true</trackRevisions>
    </reviewItem>
    <reviewItem>
      <errorID>f148b589-e298-4825-9502-e632505a7edf</errorID>
      <errorWord>高杆</errorWord>
      <group>L1_Word</group>
      <groupName>字词问题</groupName>
      <ability>L2_Alias</ability>
      <abilityName>也作/曾用词</abilityName>
      <candidateList>
        <item>高秆</item>
      </candidateList>
      <explain>词汇[高杆]为不规范表述或旧称，其规范书面表述为[高秆]。</explain>
      <paraID>4E32CFD8</paraID>
      <start>74</start>
      <end>78</end>
      <status>modified</status>
      <modifiedWord>高秆</modifiedWord>
      <trackRevisions>true</trackRevisions>
    </reviewItem>
    <reviewItem>
      <errorID>afea0263-d5c3-47a2-9db4-4da545de0088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4E32CFD8</paraID>
      <start>140</start>
      <end>142</end>
      <status>modified</status>
      <modifiedWord>～</modifiedWord>
      <trackRevisions>true</trackRevisions>
    </reviewItem>
    <reviewItem>
      <errorID>693a6a8e-175d-45f4-a0c6-c9c1854deef8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4E32CFD8</paraID>
      <start>152</start>
      <end>154</end>
      <status>modified</status>
      <modifiedWord>～</modifiedWord>
      <trackRevisions>true</trackRevisions>
    </reviewItem>
    <reviewItem>
      <errorID>dddc4cbc-cfcb-4f74-a36d-be5d010ab10a</errorID>
      <errorWord>-</errorWord>
      <group>L1_Knowledge</group>
      <groupName>知识性问题</groupName>
      <ability>L2_Knowledge</ability>
      <abilityName>其他知识</abilityName>
      <candidateList>
        <item>～</item>
      </candidateList>
      <explain>连接号使用不恰当</explain>
      <paraID>4E32CFD8</paraID>
      <start>204</start>
      <end>206</end>
      <status>modified</status>
      <modifiedWord>～</modifiedWord>
      <trackRevisions>true</trackRevisions>
    </reviewItem>
    <reviewItem>
      <errorID>21fcfd43-623e-4bf0-9ce7-edd36bf3f90a</errorID>
      <errorWord>-</errorWord>
      <group>L1_Knowledge</group>
      <groupName>知识性问题</groupName>
      <ability>L2_Knowledge</ability>
      <abilityName>其他知识</abilityName>
      <candidateList>
        <item>～</item>
      </candidateList>
      <explain>连接号使用不恰当</explain>
      <paraID>4E32CFD8</paraID>
      <start>242</start>
      <end>244</end>
      <status>modified</status>
      <modifiedWord>～</modifiedWord>
      <trackRevisions>true</trackRevisions>
    </reviewItem>
    <reviewItem>
      <errorID>c4da6df6-0da1-4793-a347-37f117ea48a7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C26A34B</paraID>
      <start>70</start>
      <end>72</end>
      <status>modified</status>
      <modifiedWord>～</modifiedWord>
      <trackRevisions>true</trackRevisions>
    </reviewItem>
    <reviewItem>
      <errorID>aea65dbc-e02b-437e-ba36-2e91aea80e63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73A5CCF3</paraID>
      <start>96</start>
      <end>98</end>
      <status>modified</status>
      <modifiedWord>～</modifiedWord>
      <trackRevisions>true</trackRevisions>
    </reviewItem>
    <reviewItem>
      <errorID>906b5415-02e6-4a74-9ce3-ff69c8ebbe36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73A5CCF3</paraID>
      <start>112</start>
      <end>114</end>
      <status>modified</status>
      <modifiedWord>～</modifiedWord>
      <trackRevisions>true</trackRevisions>
    </reviewItem>
    <reviewItem>
      <errorID>30414a1e-113f-4337-a12a-4d66838a136f</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73A5CCF3</paraID>
      <start>150</start>
      <end>153</end>
      <status>modified</status>
      <modifiedWord>需要</modifiedWord>
      <trackRevisions>true</trackRevisions>
    </reviewItem>
    <reviewItem>
      <errorID>d64259c0-b774-46f8-8aae-e394b016ce33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56A5748</paraID>
      <start>116</start>
      <end>118</end>
      <status>modified</status>
      <modifiedWord>～</modifiedWord>
      <trackRevisions>true</trackRevisions>
    </reviewItem>
    <reviewItem>
      <errorID>ad5dc840-da43-43f1-a483-68e10edd7723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56A5748</paraID>
      <start>139</start>
      <end>141</end>
      <status>modified</status>
      <modifiedWord>～</modifiedWord>
      <trackRevisions>true</trackRevisions>
    </reviewItem>
    <reviewItem>
      <errorID>c3d2e0c9-038c-49a1-ab64-54ad39967eb3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7701C261</paraID>
      <start>28</start>
      <end>30</end>
      <status>modified</status>
      <modifiedWord>～</modifiedWord>
      <trackRevisions>true</trackRevisions>
    </reviewItem>
    <reviewItem>
      <errorID>54048d8c-c2af-49bf-85b9-cc1a7d0601e4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772F6344</paraID>
      <start>87</start>
      <end>89</end>
      <status>modified</status>
      <modifiedWord>～</modifiedWord>
      <trackRevisions>true</trackRevisions>
    </reviewItem>
    <reviewItem>
      <errorID>e847196e-3102-46f1-8b73-61b9bfc121a0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772F6344</paraID>
      <start>110</start>
      <end>112</end>
      <status>modified</status>
      <modifiedWord>～</modifiedWord>
      <trackRevisions>true</trackRevisions>
    </reviewItem>
    <reviewItem>
      <errorID>751893ad-6c7c-40f2-b6a6-accb77edf780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772F6344</paraID>
      <start>247</start>
      <end>249</end>
      <status>modified</status>
      <modifiedWord>～</modifiedWord>
      <trackRevisions>true</trackRevisions>
    </reviewItem>
    <reviewItem>
      <errorID>a4b902df-0efb-4cec-82e5-26fd740799f7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4C8F0937</paraID>
      <start>55</start>
      <end>57</end>
      <status>modified</status>
      <modifiedWord>～</modifiedWord>
      <trackRevisions>true</trackRevisions>
    </reviewItem>
    <reviewItem>
      <errorID>4858502d-debe-4323-8655-47042f94b5d6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4C8F0937</paraID>
      <start>327</start>
      <end>329</end>
      <status>modified</status>
      <modifiedWord>～</modifiedWord>
      <trackRevisions>true</trackRevisions>
    </reviewItem>
    <reviewItem>
      <errorID>b1e898c9-dd15-4521-bb5a-ba8e22779c4e</errorID>
      <errorWord>-</errorWord>
      <group>L1_Knowledge</group>
      <groupName>知识性问题</groupName>
      <ability>L2_Knowledge</ability>
      <abilityName>其他知识</abilityName>
      <candidateList>
        <item>～</item>
      </candidateList>
      <explain>连接号使用不恰当</explain>
      <paraID>5A0588B5</paraID>
      <start>357</start>
      <end>359</end>
      <status>modified</status>
      <modifiedWord>～</modifiedWord>
      <trackRevisions>true</trackRevisions>
    </reviewItem>
    <reviewItem>
      <errorID>dadb0e78-8a6f-4cf7-939a-25ad34f336ef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73327044</paraID>
      <start>44</start>
      <end>46</end>
      <status>modified</status>
      <modifiedWord>～</modifiedWord>
      <trackRevisions>true</trackRevisions>
    </reviewItem>
    <reviewItem>
      <errorID>d46ef2cb-578f-4fd5-b79e-0e3e819ca736</errorID>
      <errorWord>高杆</errorWord>
      <group>L1_Word</group>
      <groupName>字词问题</groupName>
      <ability>L2_Alias</ability>
      <abilityName>也作/曾用词</abilityName>
      <candidateList>
        <item>高秆</item>
      </candidateList>
      <explain>词汇[高杆]为不规范表述或旧称，其规范书面表述为[高秆]。</explain>
      <paraID>21F4C5B6</paraID>
      <start>0</start>
      <end>4</end>
      <status>modified</status>
      <modifiedWord>高秆</modifiedWord>
      <trackRevisions>true</trackRevisions>
    </reviewItem>
    <reviewItem>
      <errorID>3d0b7848-829e-4be3-a2a7-4a48fc78f692</errorID>
      <errorWord>超</errorWord>
      <group>L1_Word</group>
      <groupName>字词问题</groupName>
      <ability>L2_Typo</ability>
      <abilityName>字词错误</abilityName>
      <candidateList>
        <item>超过</item>
      </candidateList>
      <explain/>
      <paraID>21F4C5B6</paraID>
      <start>177</start>
      <end>180</end>
      <status>modified</status>
      <modifiedWord>超过</modifiedWord>
      <trackRevisions>true</trackRevisions>
    </reviewItem>
    <reviewItem>
      <errorID>280ad0cb-245b-484b-bdb1-3e89aafadf3e</errorID>
      <errorWord>主杆</errorWord>
      <group>L1_Word</group>
      <groupName>字词问题</groupName>
      <ability>L2_Typo</ability>
      <abilityName>字词错误</abilityName>
      <candidateList>
        <item>主干</item>
      </candidateList>
      <explain>存在发音相同字词的误用。</explain>
      <paraID>1321B2F1</paraID>
      <start>12</start>
      <end>16</end>
      <status>modified</status>
      <modifiedWord>主干</modifiedWord>
      <trackRevisions>true</trackRevisions>
    </reviewItem>
    <reviewItem>
      <errorID>a15e4f83-fc61-465b-b9ea-b9b1e9a596fc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1321B2F1</paraID>
      <start>195</start>
      <end>197</end>
      <status>modified</status>
      <modifiedWord>～</modifiedWord>
      <trackRevisions>true</trackRevisions>
    </reviewItem>
    <reviewItem>
      <errorID>40cd2baf-f86d-4d74-b60e-7583d071168e</errorID>
      <errorWord>～</errorWord>
      <group>L1_Format</group>
      <groupName>格式问题</groupName>
      <ability>L2_HalfPunc</ability>
      <abilityName>全半角检查</abilityName>
      <candidateList>
        <item>~</item>
      </candidateList>
      <explain>文本全半角错误。</explain>
      <paraID>41A978DD</paraID>
      <start>3</start>
      <end>4</end>
      <status>ignored</status>
      <modifiedWord/>
      <trackRevisions>false</trackRevisions>
    </reviewItem>
    <reviewItem>
      <errorID>1782ab80-4e56-4323-96b1-0bf9ee3a81de</errorID>
      <errorWord>～</errorWord>
      <group>L1_Format</group>
      <groupName>格式问题</groupName>
      <ability>L2_HalfPunc</ability>
      <abilityName>全半角检查</abilityName>
      <candidateList>
        <item>~</item>
      </candidateList>
      <explain>文本全半角错误。</explain>
      <paraID>57140A5F</paraID>
      <start>3</start>
      <end>4</end>
      <status>ignored</status>
      <modifiedWord/>
      <trackRevisions>false</trackRevisions>
    </reviewItem>
    <reviewItem>
      <errorID>f424d3a2-7535-422f-ae63-480dd4391998</errorID>
      <errorWord>～</errorWord>
      <group>L1_Format</group>
      <groupName>格式问题</groupName>
      <ability>L2_HalfPunc</ability>
      <abilityName>全半角检查</abilityName>
      <candidateList>
        <item>~</item>
      </candidateList>
      <explain>文本全半角错误。</explain>
      <paraID>158492A2</paraID>
      <start>3</start>
      <end>4</end>
      <status>ignored</status>
      <modifiedWord/>
      <trackRevisions>false</trackRevisions>
    </reviewItem>
    <reviewItem>
      <errorID>3b8a1085-bf2e-4adb-8d4e-e60445681a1a</errorID>
      <errorWord>～</errorWord>
      <group>L1_Format</group>
      <groupName>格式问题</groupName>
      <ability>L2_HalfPunc</ability>
      <abilityName>全半角检查</abilityName>
      <candidateList>
        <item>~</item>
      </candidateList>
      <explain>文本全半角错误。</explain>
      <paraID>44662204</paraID>
      <start>5</start>
      <end>6</end>
      <status>ignored</status>
      <modifiedWord/>
      <trackRevisions>false</trackRevisions>
    </reviewItem>
    <reviewItem>
      <errorID>587c6459-5cab-4d06-8a50-5bf3c8468db7</errorID>
      <errorWord>～</errorWord>
      <group>L1_Format</group>
      <groupName>格式问题</groupName>
      <ability>L2_HalfPunc</ability>
      <abilityName>全半角检查</abilityName>
      <candidateList>
        <item>~</item>
      </candidateList>
      <explain>文本全半角错误。</explain>
      <paraID>3C083E80</paraID>
      <start>5</start>
      <end>6</end>
      <status>ignored</status>
      <modifiedWord/>
      <trackRevisions>false</trackRevisions>
    </reviewItem>
    <reviewItem>
      <errorID>b62155ec-fd76-427f-a501-1181bc383585</errorID>
      <errorWord>～</errorWord>
      <group>L1_Format</group>
      <groupName>格式问题</groupName>
      <ability>L2_HalfPunc</ability>
      <abilityName>全半角检查</abilityName>
      <candidateList>
        <item>~</item>
      </candidateList>
      <explain>文本全半角错误。</explain>
      <paraID>722B0052</paraID>
      <start>5</start>
      <end>6</end>
      <status>ignored</status>
      <modifiedWord/>
      <trackRevisions>false</trackRevisions>
    </reviewItem>
  </reviewItems>
  <config/>
</contractReview>
</file>

<file path=customXml/itemProps1.xml><?xml version="1.0" encoding="utf-8"?>
<ds:datastoreItem xmlns:ds="http://schemas.openxmlformats.org/officeDocument/2006/customXml" ds:itemID="{2c73b4ef-af4c-4a3b-89a7-7d81cdd18da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47</Pages>
  <Words>8072</Words>
  <Characters>8676</Characters>
  <Lines>12</Lines>
  <Paragraphs>22</Paragraphs>
  <TotalTime>8</TotalTime>
  <ScaleCrop>false</ScaleCrop>
  <LinksUpToDate>false</LinksUpToDate>
  <CharactersWithSpaces>8932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2025-04-16T13:11:00Z</dcterms:created>
  <dc:creator>Administrator</dc:creator>
  <cp:lastModifiedBy>树年强</cp:lastModifiedBy>
  <cp:lastPrinted>2025-03-05T01:34:00Z</cp:lastPrinted>
  <dcterms:modified xsi:type="dcterms:W3CDTF">2025-11-07T11:06:32Z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1DEDB43A07A948C8BDA6664743A11D45_13</vt:lpwstr>
  </property>
  <property fmtid="{D5CDD505-2E9C-101B-9397-08002B2CF9AE}" pid="4" name="KSOTemplateDocerSaveRecord">
    <vt:lpwstr>eyJoZGlkIjoiZmEyNzZmZTUxYTFhYTQ0ZTQ3NjFiYzg5YTQ0YTU4YTgiLCJ1c2VySWQiOiI2Mzk4NzAxMjYifQ==</vt:lpwstr>
  </property>
</Properties>
</file>