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BA769">
      <w:pPr>
        <w:jc w:val="center"/>
        <w:rPr>
          <w:sz w:val="32"/>
        </w:rPr>
      </w:pPr>
    </w:p>
    <w:p w14:paraId="23D26FBE">
      <w:pPr>
        <w:snapToGrid w:val="0"/>
        <w:spacing w:line="360" w:lineRule="auto"/>
        <w:rPr>
          <w:rFonts w:hint="eastAsia" w:ascii="宋体" w:hAnsi="宋体"/>
          <w:sz w:val="40"/>
          <w:szCs w:val="40"/>
        </w:rPr>
      </w:pPr>
      <w:r>
        <w:rPr>
          <w:rFonts w:hint="eastAsia" w:ascii="宋体" w:hAnsi="宋体"/>
          <w:sz w:val="40"/>
          <w:szCs w:val="40"/>
        </w:rPr>
        <w:t>《河湖库底泥重金属污染调查与评价技术规范》</w:t>
      </w:r>
    </w:p>
    <w:p w14:paraId="54143163">
      <w:pPr>
        <w:snapToGrid w:val="0"/>
        <w:spacing w:line="360" w:lineRule="auto"/>
        <w:jc w:val="center"/>
        <w:rPr>
          <w:rFonts w:hint="eastAsia" w:ascii="宋体" w:hAnsi="宋体"/>
          <w:sz w:val="44"/>
          <w:szCs w:val="44"/>
        </w:rPr>
      </w:pPr>
    </w:p>
    <w:p w14:paraId="5B158498">
      <w:pPr>
        <w:snapToGrid w:val="0"/>
        <w:spacing w:line="360" w:lineRule="auto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（</w:t>
      </w:r>
      <w:r>
        <w:rPr>
          <w:sz w:val="44"/>
          <w:szCs w:val="44"/>
        </w:rPr>
        <w:t>征求意见稿</w:t>
      </w:r>
      <w:r>
        <w:rPr>
          <w:rFonts w:hint="eastAsia" w:ascii="宋体" w:hAnsi="宋体"/>
          <w:sz w:val="44"/>
          <w:szCs w:val="44"/>
        </w:rPr>
        <w:t>）</w:t>
      </w:r>
    </w:p>
    <w:p w14:paraId="0B1C1DEF">
      <w:pPr>
        <w:snapToGrid w:val="0"/>
        <w:spacing w:line="360" w:lineRule="auto"/>
        <w:jc w:val="center"/>
        <w:rPr>
          <w:rFonts w:hint="eastAsia" w:ascii="宋体" w:hAnsi="宋体"/>
          <w:sz w:val="44"/>
          <w:szCs w:val="44"/>
        </w:rPr>
      </w:pPr>
    </w:p>
    <w:p w14:paraId="638C9A60">
      <w:pPr>
        <w:snapToGrid w:val="0"/>
        <w:spacing w:line="360" w:lineRule="auto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编制说明</w:t>
      </w:r>
    </w:p>
    <w:p w14:paraId="240B48F1">
      <w:pPr>
        <w:snapToGrid w:val="0"/>
        <w:spacing w:line="360" w:lineRule="auto"/>
        <w:jc w:val="center"/>
        <w:rPr>
          <w:rFonts w:hint="eastAsia" w:ascii="宋体" w:hAnsi="宋体"/>
          <w:sz w:val="44"/>
          <w:szCs w:val="44"/>
        </w:rPr>
      </w:pPr>
    </w:p>
    <w:p w14:paraId="5FFA06E3">
      <w:pPr>
        <w:snapToGrid w:val="0"/>
        <w:spacing w:line="360" w:lineRule="auto"/>
        <w:jc w:val="center"/>
        <w:rPr>
          <w:rFonts w:hint="eastAsia" w:ascii="宋体" w:hAnsi="宋体"/>
          <w:sz w:val="44"/>
          <w:szCs w:val="44"/>
        </w:rPr>
      </w:pPr>
    </w:p>
    <w:p w14:paraId="15E71B4B">
      <w:pPr>
        <w:snapToGrid w:val="0"/>
        <w:spacing w:line="360" w:lineRule="auto"/>
        <w:jc w:val="center"/>
        <w:rPr>
          <w:sz w:val="32"/>
        </w:rPr>
      </w:pPr>
    </w:p>
    <w:p w14:paraId="5E0EC424">
      <w:pPr>
        <w:snapToGrid w:val="0"/>
        <w:spacing w:line="360" w:lineRule="auto"/>
        <w:jc w:val="center"/>
        <w:rPr>
          <w:sz w:val="32"/>
        </w:rPr>
      </w:pPr>
    </w:p>
    <w:p w14:paraId="7787863F">
      <w:pPr>
        <w:snapToGrid w:val="0"/>
        <w:spacing w:line="360" w:lineRule="auto"/>
        <w:jc w:val="center"/>
        <w:rPr>
          <w:sz w:val="32"/>
        </w:rPr>
      </w:pPr>
    </w:p>
    <w:p w14:paraId="253611AE">
      <w:pPr>
        <w:snapToGrid w:val="0"/>
        <w:spacing w:line="360" w:lineRule="auto"/>
        <w:jc w:val="center"/>
        <w:rPr>
          <w:sz w:val="32"/>
        </w:rPr>
      </w:pPr>
    </w:p>
    <w:p w14:paraId="0C33E682">
      <w:pPr>
        <w:snapToGrid w:val="0"/>
        <w:spacing w:line="360" w:lineRule="auto"/>
        <w:jc w:val="center"/>
        <w:rPr>
          <w:sz w:val="32"/>
        </w:rPr>
      </w:pPr>
    </w:p>
    <w:p w14:paraId="32CF65D8">
      <w:pPr>
        <w:snapToGrid w:val="0"/>
        <w:spacing w:line="360" w:lineRule="auto"/>
        <w:rPr>
          <w:sz w:val="32"/>
        </w:rPr>
      </w:pPr>
    </w:p>
    <w:p w14:paraId="5982EA0E">
      <w:pPr>
        <w:snapToGrid w:val="0"/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《河湖库底泥重金属污染调查与评价技术规范》编制组</w:t>
      </w:r>
    </w:p>
    <w:p w14:paraId="0E5A0C1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二〇二五年十一月</w:t>
      </w:r>
    </w:p>
    <w:p w14:paraId="7CBBF451">
      <w:pPr>
        <w:autoSpaceDE w:val="0"/>
        <w:autoSpaceDN w:val="0"/>
        <w:adjustRightInd w:val="0"/>
        <w:snapToGrid w:val="0"/>
        <w:spacing w:line="360" w:lineRule="auto"/>
        <w:rPr>
          <w:rFonts w:ascii="宋体" w:cs="宋体"/>
          <w:kern w:val="0"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7D19A42B">
      <w:pPr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目  次</w:t>
      </w:r>
    </w:p>
    <w:p w14:paraId="5BBBFAE2">
      <w:pPr>
        <w:jc w:val="center"/>
        <w:rPr>
          <w:rFonts w:hint="eastAsia" w:ascii="宋体" w:hAnsi="宋体"/>
          <w:sz w:val="36"/>
          <w:szCs w:val="36"/>
        </w:rPr>
      </w:pPr>
    </w:p>
    <w:p w14:paraId="3B77B062">
      <w:pPr>
        <w:pStyle w:val="9"/>
        <w:tabs>
          <w:tab w:val="right" w:leader="dot" w:pos="8306"/>
        </w:tabs>
      </w:pPr>
      <w:r>
        <w:rPr>
          <w:szCs w:val="21"/>
        </w:rPr>
        <w:fldChar w:fldCharType="begin"/>
      </w:r>
      <w:r>
        <w:rPr>
          <w:szCs w:val="21"/>
        </w:rPr>
        <w:instrText xml:space="preserve"> TOC \o "1-3" \h \z \u </w:instrText>
      </w:r>
      <w:r>
        <w:rPr>
          <w:szCs w:val="21"/>
        </w:rPr>
        <w:fldChar w:fldCharType="separate"/>
      </w:r>
      <w:r>
        <w:fldChar w:fldCharType="begin"/>
      </w:r>
      <w:r>
        <w:instrText xml:space="preserve"> HYPERLINK \l "_Toc6789" </w:instrText>
      </w:r>
      <w:r>
        <w:fldChar w:fldCharType="separate"/>
      </w:r>
      <w:r>
        <w:rPr>
          <w:rFonts w:ascii="宋体" w:hAnsi="宋体"/>
          <w:bCs w:val="0"/>
          <w:szCs w:val="24"/>
          <w:lang w:val="zh-CN"/>
        </w:rPr>
        <w:t>1 任务来源</w:t>
      </w:r>
      <w:r>
        <w:tab/>
      </w:r>
      <w:r>
        <w:fldChar w:fldCharType="begin"/>
      </w:r>
      <w:r>
        <w:instrText xml:space="preserve"> PAGEREF _Toc6789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14B2E91">
      <w:pPr>
        <w:pStyle w:val="9"/>
        <w:tabs>
          <w:tab w:val="right" w:leader="dot" w:pos="8306"/>
        </w:tabs>
      </w:pPr>
      <w:r>
        <w:fldChar w:fldCharType="begin"/>
      </w:r>
      <w:r>
        <w:instrText xml:space="preserve"> HYPERLINK \l "_Toc4338" </w:instrText>
      </w:r>
      <w:r>
        <w:fldChar w:fldCharType="separate"/>
      </w:r>
      <w:r>
        <w:rPr>
          <w:rFonts w:ascii="宋体"/>
          <w:bCs w:val="0"/>
          <w:szCs w:val="24"/>
        </w:rPr>
        <w:t xml:space="preserve">2 </w:t>
      </w:r>
      <w:r>
        <w:rPr>
          <w:rFonts w:hint="eastAsia" w:ascii="宋体"/>
          <w:bCs w:val="0"/>
          <w:szCs w:val="24"/>
        </w:rPr>
        <w:t>标准制定必要性</w:t>
      </w:r>
      <w:r>
        <w:rPr>
          <w:rFonts w:hint="eastAsia" w:ascii="宋体" w:hAnsi="宋体"/>
          <w:bCs w:val="0"/>
          <w:szCs w:val="24"/>
        </w:rPr>
        <w:t>、</w:t>
      </w:r>
      <w:r>
        <w:rPr>
          <w:rFonts w:hint="eastAsia" w:ascii="宋体"/>
          <w:bCs w:val="0"/>
          <w:szCs w:val="24"/>
        </w:rPr>
        <w:t>编制依据、编制原则</w:t>
      </w:r>
      <w:r>
        <w:tab/>
      </w:r>
      <w:r>
        <w:fldChar w:fldCharType="begin"/>
      </w:r>
      <w:r>
        <w:instrText xml:space="preserve"> PAGEREF _Toc4338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9DFDE99">
      <w:pPr>
        <w:pStyle w:val="9"/>
        <w:tabs>
          <w:tab w:val="right" w:leader="dot" w:pos="8306"/>
        </w:tabs>
      </w:pPr>
      <w:r>
        <w:fldChar w:fldCharType="begin"/>
      </w:r>
      <w:r>
        <w:instrText xml:space="preserve"> HYPERLINK \l "_Toc18381" </w:instrText>
      </w:r>
      <w:r>
        <w:fldChar w:fldCharType="separate"/>
      </w:r>
      <w:r>
        <w:rPr>
          <w:rFonts w:ascii="宋体"/>
          <w:bCs w:val="0"/>
          <w:szCs w:val="24"/>
        </w:rPr>
        <w:t xml:space="preserve">3 </w:t>
      </w:r>
      <w:r>
        <w:rPr>
          <w:rFonts w:hint="eastAsia" w:ascii="宋体"/>
          <w:bCs w:val="0"/>
          <w:szCs w:val="24"/>
        </w:rPr>
        <w:t>主要工作过程</w:t>
      </w:r>
      <w:r>
        <w:tab/>
      </w:r>
      <w:r>
        <w:fldChar w:fldCharType="begin"/>
      </w:r>
      <w:r>
        <w:instrText xml:space="preserve"> PAGEREF _Toc18381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38BA8B9">
      <w:pPr>
        <w:pStyle w:val="9"/>
        <w:tabs>
          <w:tab w:val="right" w:leader="dot" w:pos="8306"/>
        </w:tabs>
      </w:pPr>
      <w:r>
        <w:fldChar w:fldCharType="begin"/>
      </w:r>
      <w:r>
        <w:instrText xml:space="preserve"> HYPERLINK \l "_Toc19079" </w:instrText>
      </w:r>
      <w:r>
        <w:fldChar w:fldCharType="separate"/>
      </w:r>
      <w:r>
        <w:rPr>
          <w:rFonts w:ascii="宋体"/>
          <w:bCs w:val="0"/>
          <w:szCs w:val="24"/>
        </w:rPr>
        <w:t xml:space="preserve">4 </w:t>
      </w:r>
      <w:r>
        <w:rPr>
          <w:rFonts w:hint="eastAsia" w:ascii="宋体"/>
          <w:bCs w:val="0"/>
          <w:szCs w:val="24"/>
        </w:rPr>
        <w:t>国内外相关标准研究</w:t>
      </w:r>
      <w:r>
        <w:tab/>
      </w:r>
      <w:r>
        <w:fldChar w:fldCharType="begin"/>
      </w:r>
      <w:r>
        <w:instrText xml:space="preserve"> PAGEREF _Toc19079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088FFD8">
      <w:pPr>
        <w:pStyle w:val="9"/>
        <w:tabs>
          <w:tab w:val="right" w:leader="dot" w:pos="8306"/>
        </w:tabs>
      </w:pPr>
      <w:r>
        <w:fldChar w:fldCharType="begin"/>
      </w:r>
      <w:r>
        <w:instrText xml:space="preserve"> HYPERLINK \l "_Toc11112" </w:instrText>
      </w:r>
      <w:r>
        <w:fldChar w:fldCharType="separate"/>
      </w:r>
      <w:r>
        <w:rPr>
          <w:rFonts w:ascii="宋体"/>
          <w:bCs w:val="0"/>
          <w:szCs w:val="24"/>
        </w:rPr>
        <w:t xml:space="preserve">5 </w:t>
      </w:r>
      <w:r>
        <w:rPr>
          <w:rFonts w:hint="eastAsia" w:ascii="宋体"/>
          <w:bCs w:val="0"/>
          <w:szCs w:val="24"/>
        </w:rPr>
        <w:t>主要技术内容及说明</w:t>
      </w:r>
      <w:r>
        <w:tab/>
      </w:r>
      <w:r>
        <w:fldChar w:fldCharType="begin"/>
      </w:r>
      <w:r>
        <w:instrText xml:space="preserve"> PAGEREF _Toc11112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1257C82">
      <w:pPr>
        <w:pStyle w:val="9"/>
        <w:tabs>
          <w:tab w:val="right" w:leader="dot" w:pos="8306"/>
        </w:tabs>
      </w:pPr>
      <w:r>
        <w:fldChar w:fldCharType="begin"/>
      </w:r>
      <w:r>
        <w:instrText xml:space="preserve"> HYPERLINK \l "_Toc28872" </w:instrText>
      </w:r>
      <w:r>
        <w:fldChar w:fldCharType="separate"/>
      </w:r>
      <w:r>
        <w:rPr>
          <w:rFonts w:ascii="宋体"/>
          <w:bCs w:val="0"/>
          <w:szCs w:val="24"/>
        </w:rPr>
        <w:t xml:space="preserve">6 </w:t>
      </w:r>
      <w:r>
        <w:rPr>
          <w:rFonts w:hint="eastAsia" w:ascii="宋体"/>
          <w:bCs w:val="0"/>
          <w:szCs w:val="24"/>
        </w:rPr>
        <w:t>标准实施的环境效益与经济技术分析</w:t>
      </w:r>
      <w:r>
        <w:tab/>
      </w:r>
      <w:r>
        <w:fldChar w:fldCharType="begin"/>
      </w:r>
      <w:r>
        <w:instrText xml:space="preserve"> PAGEREF _Toc28872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F450D77">
      <w:pPr>
        <w:pStyle w:val="9"/>
        <w:tabs>
          <w:tab w:val="right" w:leader="dot" w:pos="8306"/>
        </w:tabs>
      </w:pPr>
      <w:r>
        <w:fldChar w:fldCharType="begin"/>
      </w:r>
      <w:r>
        <w:instrText xml:space="preserve"> HYPERLINK \l "_Toc16144" </w:instrText>
      </w:r>
      <w:r>
        <w:fldChar w:fldCharType="separate"/>
      </w:r>
      <w:r>
        <w:rPr>
          <w:rFonts w:ascii="宋体"/>
          <w:bCs w:val="0"/>
          <w:szCs w:val="24"/>
        </w:rPr>
        <w:t xml:space="preserve">7 </w:t>
      </w:r>
      <w:r>
        <w:rPr>
          <w:rFonts w:hint="eastAsia" w:ascii="宋体"/>
          <w:bCs w:val="0"/>
          <w:szCs w:val="24"/>
        </w:rPr>
        <w:t>标准实施建议</w:t>
      </w:r>
      <w:r>
        <w:tab/>
      </w:r>
      <w:r>
        <w:fldChar w:fldCharType="begin"/>
      </w:r>
      <w:r>
        <w:instrText xml:space="preserve"> PAGEREF _Toc16144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C4E3B52">
      <w:pPr>
        <w:pStyle w:val="9"/>
        <w:tabs>
          <w:tab w:val="right" w:leader="dot" w:pos="8306"/>
        </w:tabs>
      </w:pPr>
      <w:r>
        <w:fldChar w:fldCharType="begin"/>
      </w:r>
      <w:r>
        <w:instrText xml:space="preserve"> HYPERLINK \l "_Toc13745" </w:instrText>
      </w:r>
      <w:r>
        <w:fldChar w:fldCharType="separate"/>
      </w:r>
      <w:r>
        <w:rPr>
          <w:rFonts w:ascii="宋体"/>
          <w:bCs w:val="0"/>
          <w:szCs w:val="24"/>
        </w:rPr>
        <w:t>8 涉及专利情况</w:t>
      </w:r>
      <w:r>
        <w:tab/>
      </w:r>
      <w:r>
        <w:fldChar w:fldCharType="begin"/>
      </w:r>
      <w:r>
        <w:instrText xml:space="preserve"> PAGEREF _Toc13745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598F891">
      <w:pPr>
        <w:pStyle w:val="9"/>
        <w:tabs>
          <w:tab w:val="right" w:leader="dot" w:pos="8306"/>
        </w:tabs>
      </w:pPr>
      <w:r>
        <w:fldChar w:fldCharType="begin"/>
      </w:r>
      <w:r>
        <w:instrText xml:space="preserve"> HYPERLINK \l "_Toc14161" </w:instrText>
      </w:r>
      <w:r>
        <w:fldChar w:fldCharType="separate"/>
      </w:r>
      <w:r>
        <w:rPr>
          <w:rFonts w:ascii="宋体"/>
          <w:bCs w:val="0"/>
          <w:szCs w:val="24"/>
        </w:rPr>
        <w:t>9 重大分歧意见</w:t>
      </w:r>
      <w:r>
        <w:tab/>
      </w:r>
      <w:r>
        <w:fldChar w:fldCharType="begin"/>
      </w:r>
      <w:r>
        <w:instrText xml:space="preserve"> PAGEREF _Toc14161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89883CD">
      <w:pPr>
        <w:pStyle w:val="9"/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fldChar w:fldCharType="end"/>
      </w:r>
    </w:p>
    <w:p w14:paraId="0E3AAF74">
      <w:pPr>
        <w:autoSpaceDE w:val="0"/>
        <w:autoSpaceDN w:val="0"/>
        <w:spacing w:line="360" w:lineRule="auto"/>
        <w:jc w:val="center"/>
        <w:rPr>
          <w:rFonts w:hint="eastAsia" w:ascii="仿宋_GB2312" w:hAnsi="黑体" w:eastAsia="仿宋_GB2312"/>
          <w:b/>
          <w:sz w:val="32"/>
          <w:lang w:val="zh-CN"/>
        </w:rPr>
      </w:pPr>
      <w:r>
        <w:rPr>
          <w:rFonts w:hint="eastAsia" w:ascii="仿宋_GB2312" w:hAnsi="黑体" w:eastAsia="仿宋_GB2312"/>
          <w:b/>
          <w:sz w:val="32"/>
          <w:lang w:val="zh-CN"/>
        </w:rPr>
        <w:t>《河湖库底泥重金属污染调查与评价技术规范》编制说明</w:t>
      </w:r>
    </w:p>
    <w:p w14:paraId="7C69B49A">
      <w:pPr>
        <w:pStyle w:val="9"/>
        <w:numPr>
          <w:ilvl w:val="0"/>
          <w:numId w:val="1"/>
        </w:numPr>
        <w:outlineLvl w:val="0"/>
        <w:rPr>
          <w:rFonts w:hint="eastAsia" w:ascii="宋体" w:hAnsi="宋体"/>
          <w:bCs w:val="0"/>
          <w:sz w:val="24"/>
          <w:szCs w:val="24"/>
          <w:lang w:val="zh-CN"/>
        </w:rPr>
      </w:pPr>
      <w:bookmarkStart w:id="0" w:name="_Toc321381672"/>
      <w:bookmarkStart w:id="1" w:name="_Toc6789"/>
      <w:r>
        <w:rPr>
          <w:rFonts w:ascii="宋体" w:hAnsi="宋体"/>
          <w:bCs w:val="0"/>
          <w:sz w:val="24"/>
          <w:szCs w:val="24"/>
          <w:lang w:val="zh-CN"/>
        </w:rPr>
        <w:t>任务来源</w:t>
      </w:r>
      <w:bookmarkEnd w:id="0"/>
      <w:bookmarkEnd w:id="1"/>
    </w:p>
    <w:p w14:paraId="7E427260">
      <w:pPr>
        <w:spacing w:line="360" w:lineRule="auto"/>
        <w:ind w:firstLine="420" w:firstLineChars="200"/>
        <w:rPr>
          <w:rFonts w:hint="eastAsia" w:ascii="宋体" w:hAnsi="宋体"/>
        </w:rPr>
      </w:pPr>
      <w:bookmarkStart w:id="2" w:name="_Toc321381673"/>
      <w:bookmarkStart w:id="3" w:name="_Toc321381844"/>
      <w:bookmarkStart w:id="4" w:name="_Toc321381927"/>
      <w:r>
        <w:t>编制单位于2023年5月向中华环保联合会《</w:t>
      </w:r>
      <w:r>
        <w:rPr>
          <w:rFonts w:hint="eastAsia"/>
        </w:rPr>
        <w:t>河湖库底泥重金属污染调查与评价技术规范》</w:t>
      </w:r>
      <w:r>
        <w:t>标准制修订立项申请书。2023年7月11日，中华环保联合会组织召开线上专家论证会，对《</w:t>
      </w:r>
      <w:r>
        <w:rPr>
          <w:rFonts w:hint="eastAsia"/>
        </w:rPr>
        <w:t>河湖库底泥重金属污染调查与评价技术规范》</w:t>
      </w:r>
      <w:r>
        <w:t>进行立项论证，按照专家意见修改后，正式批准立项。</w:t>
      </w:r>
      <w:bookmarkEnd w:id="2"/>
      <w:bookmarkEnd w:id="3"/>
      <w:bookmarkEnd w:id="4"/>
    </w:p>
    <w:p w14:paraId="562AC595">
      <w:pPr>
        <w:pStyle w:val="9"/>
        <w:numPr>
          <w:ilvl w:val="0"/>
          <w:numId w:val="1"/>
        </w:numPr>
        <w:outlineLvl w:val="0"/>
        <w:rPr>
          <w:rFonts w:ascii="宋体"/>
          <w:bCs w:val="0"/>
          <w:sz w:val="24"/>
          <w:szCs w:val="24"/>
        </w:rPr>
      </w:pPr>
      <w:bookmarkStart w:id="5" w:name="_Toc4338"/>
      <w:r>
        <w:rPr>
          <w:rFonts w:hint="eastAsia" w:ascii="宋体"/>
          <w:bCs w:val="0"/>
          <w:sz w:val="24"/>
          <w:szCs w:val="24"/>
        </w:rPr>
        <w:t>标准制定必要性</w:t>
      </w:r>
      <w:r>
        <w:rPr>
          <w:rFonts w:hint="eastAsia" w:ascii="宋体" w:hAnsi="宋体"/>
          <w:bCs w:val="0"/>
          <w:sz w:val="24"/>
          <w:szCs w:val="24"/>
        </w:rPr>
        <w:t>、</w:t>
      </w:r>
      <w:r>
        <w:rPr>
          <w:rFonts w:hint="eastAsia" w:ascii="宋体"/>
          <w:bCs w:val="0"/>
          <w:sz w:val="24"/>
          <w:szCs w:val="24"/>
        </w:rPr>
        <w:t>编制依据、编制原则</w:t>
      </w:r>
      <w:bookmarkEnd w:id="5"/>
    </w:p>
    <w:p w14:paraId="07F2C5D5">
      <w:pPr>
        <w:pStyle w:val="9"/>
        <w:spacing w:line="360" w:lineRule="auto"/>
        <w:rPr>
          <w:rFonts w:ascii="宋体"/>
          <w:bCs w:val="0"/>
          <w:sz w:val="21"/>
          <w:szCs w:val="21"/>
        </w:rPr>
      </w:pPr>
      <w:r>
        <w:rPr>
          <w:rFonts w:hint="eastAsia" w:ascii="宋体"/>
          <w:bCs w:val="0"/>
          <w:sz w:val="21"/>
          <w:szCs w:val="21"/>
        </w:rPr>
        <w:t>2.1 标准制定的必要性</w:t>
      </w:r>
    </w:p>
    <w:p w14:paraId="64FF4ECE">
      <w:pPr>
        <w:spacing w:line="360" w:lineRule="auto"/>
        <w:ind w:firstLine="420" w:firstLineChars="200"/>
      </w:pPr>
      <w:r>
        <w:rPr>
          <w:rFonts w:hint="eastAsia"/>
        </w:rPr>
        <w:t>当前，我国河湖库底泥重金属污染问题日益突出，底泥中累积的重金属易通过孔隙水释放、生物富集等途径影响水体生态系统，甚至通过食物链威胁人体健康。然而，现有底泥重金属污染评价工作存在以下关键问题：</w:t>
      </w:r>
    </w:p>
    <w:p w14:paraId="0516FC58">
      <w:pPr>
        <w:spacing w:line="360" w:lineRule="auto"/>
        <w:ind w:firstLine="420" w:firstLineChars="200"/>
      </w:pPr>
      <w:r>
        <w:rPr>
          <w:rFonts w:hint="eastAsia"/>
        </w:rPr>
        <w:t>评价方法不统一：不同地区、不同项目常采用不同的评价因子、参照标准及计算方法（如部分使用单因子指数法，部分仅采用潜在生态风险指数法），导致监测数据缺乏空间与时间可比性，难以支撑跨区域污染状况研判。</w:t>
      </w:r>
    </w:p>
    <w:p w14:paraId="5DDB742A">
      <w:pPr>
        <w:spacing w:line="360" w:lineRule="auto"/>
        <w:ind w:firstLine="420" w:firstLineChars="200"/>
      </w:pPr>
      <w:r>
        <w:rPr>
          <w:rFonts w:hint="eastAsia"/>
        </w:rPr>
        <w:t>技术流程不规范：采样点布设、样品采集与前处理、测试方法等环节缺乏统一技术指引，部分调查存在 “采样代表性不足”“样品污染”“测试精度低” 等问题，影响评价结果的科学性与准确性。</w:t>
      </w:r>
    </w:p>
    <w:p w14:paraId="470451F0">
      <w:pPr>
        <w:spacing w:line="360" w:lineRule="auto"/>
        <w:ind w:firstLine="420" w:firstLineChars="200"/>
      </w:pPr>
      <w:r>
        <w:rPr>
          <w:rFonts w:hint="eastAsia"/>
        </w:rPr>
        <w:t>应用场景不聚焦：现有相关标准（如土壤类标准、地表水监测标准）未充分考虑河湖库底泥的 “水体 - 沉积物交互特性”，难以满足河道清淤、湖泊疏浚、水体生态修复等工程的精准评价需求。</w:t>
      </w:r>
    </w:p>
    <w:p w14:paraId="06126917">
      <w:pPr>
        <w:spacing w:line="360" w:lineRule="auto"/>
        <w:ind w:firstLine="420" w:firstLineChars="200"/>
      </w:pPr>
      <w:r>
        <w:rPr>
          <w:rFonts w:hint="eastAsia"/>
        </w:rPr>
        <w:t>本标准通过明确评价原则、统一技术流程、规范方法体系，可解决上述问题，为环境监测、科研、管理及工程技术人员提供系统可操作的评价工具，助力河湖污染治理与生态保护，具有迫切的现实必要性。</w:t>
      </w:r>
    </w:p>
    <w:p w14:paraId="6496E522">
      <w:pPr>
        <w:pStyle w:val="9"/>
        <w:spacing w:line="360" w:lineRule="auto"/>
        <w:rPr>
          <w:rFonts w:ascii="宋体"/>
          <w:bCs w:val="0"/>
          <w:sz w:val="21"/>
          <w:szCs w:val="21"/>
        </w:rPr>
      </w:pPr>
      <w:r>
        <w:rPr>
          <w:rFonts w:hint="eastAsia" w:ascii="宋体"/>
          <w:bCs w:val="0"/>
          <w:sz w:val="21"/>
          <w:szCs w:val="21"/>
        </w:rPr>
        <w:t>2.2 编制依据</w:t>
      </w:r>
    </w:p>
    <w:p w14:paraId="0B6AE1BC">
      <w:pPr>
        <w:spacing w:line="360" w:lineRule="auto"/>
        <w:ind w:firstLine="420" w:firstLineChars="200"/>
      </w:pPr>
      <w:r>
        <w:rPr>
          <w:rFonts w:hint="eastAsia"/>
        </w:rPr>
        <w:t>本标准严格依据以下法律法规、标准规范及技术成果编制：</w:t>
      </w:r>
    </w:p>
    <w:p w14:paraId="1E62931C">
      <w:pPr>
        <w:spacing w:line="360" w:lineRule="auto"/>
        <w:ind w:firstLine="420" w:firstLineChars="200"/>
      </w:pPr>
      <w:r>
        <w:rPr>
          <w:rFonts w:hint="eastAsia"/>
        </w:rPr>
        <w:t>1、法律法规：《中华人民共和国环境保护法》《中华人民共和国水污染防治法》；</w:t>
      </w:r>
    </w:p>
    <w:p w14:paraId="46B25A49">
      <w:pPr>
        <w:spacing w:line="360" w:lineRule="auto"/>
        <w:ind w:firstLine="420" w:firstLineChars="200"/>
      </w:pPr>
      <w:r>
        <w:rPr>
          <w:rFonts w:hint="eastAsia"/>
        </w:rPr>
        <w:t>2、基础标准：GB/T 1.1—2020《标准化工作导则 第 1 部分：标准化文件的结构和起草规则》；</w:t>
      </w:r>
    </w:p>
    <w:p w14:paraId="433E7670">
      <w:pPr>
        <w:spacing w:line="360" w:lineRule="auto"/>
        <w:ind w:firstLine="420" w:firstLineChars="200"/>
      </w:pPr>
      <w:r>
        <w:rPr>
          <w:rFonts w:hint="eastAsia"/>
        </w:rPr>
        <w:t>3、引用标准：GB/T 15618《土壤环境质量 农用地土壤污染风险管控标准（试行）》、HJ/T 166《土壤环境监测技术规范》、SL 219《水环境监测规范》、DZ/T 0295《土地质量地球化学评价规范》、DB37/T 4471-2021《底泥重金属污染状况评价技术指南》；</w:t>
      </w:r>
    </w:p>
    <w:p w14:paraId="64B6D411">
      <w:pPr>
        <w:spacing w:line="360" w:lineRule="auto"/>
        <w:ind w:firstLine="420" w:firstLineChars="200"/>
      </w:pPr>
      <w:r>
        <w:rPr>
          <w:rFonts w:hint="eastAsia"/>
        </w:rPr>
        <w:t>4、技术成果：国内外河湖底泥重金属污染评价相关研究成果、工程实践经验（如地累积指数法、潜在生态风险指数法的应用验证）。</w:t>
      </w:r>
    </w:p>
    <w:p w14:paraId="49991225">
      <w:pPr>
        <w:pStyle w:val="9"/>
        <w:spacing w:line="360" w:lineRule="auto"/>
        <w:rPr>
          <w:rFonts w:ascii="宋体"/>
          <w:bCs w:val="0"/>
          <w:sz w:val="21"/>
          <w:szCs w:val="21"/>
        </w:rPr>
      </w:pPr>
      <w:r>
        <w:rPr>
          <w:rFonts w:hint="eastAsia" w:ascii="宋体"/>
          <w:bCs w:val="0"/>
          <w:sz w:val="21"/>
          <w:szCs w:val="21"/>
        </w:rPr>
        <w:t>2.3 编制原则</w:t>
      </w:r>
    </w:p>
    <w:p w14:paraId="5DDFFB5D">
      <w:pPr>
        <w:spacing w:line="360" w:lineRule="auto"/>
        <w:ind w:firstLine="420" w:firstLineChars="200"/>
      </w:pPr>
      <w:r>
        <w:rPr>
          <w:rFonts w:hint="eastAsia"/>
        </w:rPr>
        <w:t>1、本标准按照GB/T 1.1-2020《标准化工作导则 第1部分：标准化文件的结构和起草规则》的要求进行编写。</w:t>
      </w:r>
    </w:p>
    <w:p w14:paraId="1D84DC9D">
      <w:pPr>
        <w:spacing w:line="360" w:lineRule="auto"/>
        <w:ind w:firstLine="420" w:firstLineChars="200"/>
      </w:pPr>
      <w:r>
        <w:rPr>
          <w:rFonts w:hint="eastAsia"/>
        </w:rPr>
        <w:t>2、参照相关法律、法规和规定，在编制过程中着重考虑了科学性、适用性和可操作性。</w:t>
      </w:r>
    </w:p>
    <w:p w14:paraId="41EAD6F2">
      <w:pPr>
        <w:pStyle w:val="9"/>
        <w:numPr>
          <w:ilvl w:val="0"/>
          <w:numId w:val="1"/>
        </w:numPr>
        <w:outlineLvl w:val="0"/>
        <w:rPr>
          <w:rFonts w:ascii="宋体"/>
          <w:bCs w:val="0"/>
          <w:sz w:val="24"/>
          <w:szCs w:val="24"/>
        </w:rPr>
      </w:pPr>
      <w:bookmarkStart w:id="6" w:name="_Toc18381"/>
      <w:r>
        <w:rPr>
          <w:rFonts w:hint="eastAsia" w:ascii="宋体"/>
          <w:bCs w:val="0"/>
          <w:sz w:val="24"/>
          <w:szCs w:val="24"/>
        </w:rPr>
        <w:t>主要工作过程</w:t>
      </w:r>
      <w:bookmarkEnd w:id="6"/>
    </w:p>
    <w:p w14:paraId="23D19407">
      <w:pPr>
        <w:spacing w:line="360" w:lineRule="auto"/>
        <w:ind w:firstLine="420" w:firstLineChars="200"/>
      </w:pPr>
      <w:r>
        <w:rPr>
          <w:rFonts w:hint="eastAsia"/>
        </w:rPr>
        <w:t>立项筹备阶段（2023 年 1月 —2023 年5月）：编制组（东南大学环境学院丁士明教授团队）收集国内外河湖底泥重金属污染评价相关标准、文献及工程案例，梳理现有技术痛点，完成立项申请书及标准框架初稿。</w:t>
      </w:r>
    </w:p>
    <w:p w14:paraId="3A289A20">
      <w:pPr>
        <w:spacing w:line="360" w:lineRule="auto"/>
        <w:ind w:firstLine="420" w:firstLineChars="200"/>
      </w:pPr>
      <w:r>
        <w:rPr>
          <w:rFonts w:hint="eastAsia"/>
        </w:rPr>
        <w:t>专家论证与立项阶段（2023 年5月 —2023 年7月）：中华环保联合会组织召开线上专家论证会，邀请生态环境部南京环境科学研究所、中国水利水电科学研究院、河海大学等单位专家参会；编制组根据专家意见（如补充 “可评价因子” 的选择依据、细化垂向污染评价方法）修改完善材料，获正式立项。</w:t>
      </w:r>
    </w:p>
    <w:p w14:paraId="42AD7F56">
      <w:pPr>
        <w:spacing w:line="360" w:lineRule="auto"/>
        <w:ind w:firstLine="420" w:firstLineChars="200"/>
      </w:pPr>
      <w:r>
        <w:rPr>
          <w:rFonts w:hint="eastAsia"/>
        </w:rPr>
        <w:t>标准起草与技术研讨阶段（2023年7月—2024年7月）：成立由东南大学、某省级环境监测中心、某流域水文水资源监测中心、中科智感（南京）环境科技有限公司等组成的编制组，开展多轮技术研讨，明确 “评价因子筛选”“调查阶段划分”“评价结果表达” 等核心内容，形成标准草案。</w:t>
      </w:r>
    </w:p>
    <w:p w14:paraId="4233A3A5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征求意见稿形成阶段（2024 年8月—2025 年9月）：编制组组织召开 2 次线上讨论会，邀请环保、水利、科研机构等领域专家对草案进行审查，重点完善 “样品测试质量控制”“污染方量估算方法” 等内容；经编制单位一致确认，最终形成《河湖底泥重金属污染评价技术规范（征求意见稿）》。</w:t>
      </w:r>
    </w:p>
    <w:p w14:paraId="653CD48D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征求意见稿审查会阶段（</w:t>
      </w:r>
      <w:r>
        <w:rPr>
          <w:rFonts w:hint="eastAsia"/>
          <w:lang w:eastAsia="zh-CN"/>
        </w:rPr>
        <w:t>2025年11月11日）</w:t>
      </w:r>
      <w:r>
        <w:rPr>
          <w:rFonts w:hint="eastAsia"/>
        </w:rPr>
        <w:t>中华环保联合会组织召开了《</w:t>
      </w:r>
      <w:r>
        <w:rPr>
          <w:rFonts w:hint="eastAsia"/>
          <w:lang w:eastAsia="zh-CN"/>
        </w:rPr>
        <w:t>河湖底泥重金属污染评价规范</w:t>
      </w:r>
      <w:r>
        <w:rPr>
          <w:rFonts w:hint="eastAsia"/>
        </w:rPr>
        <w:t>》团体标准</w:t>
      </w:r>
      <w:r>
        <w:rPr>
          <w:rFonts w:hint="eastAsia"/>
          <w:lang w:eastAsia="zh-CN"/>
        </w:rPr>
        <w:t>征求意见稿技术审查会</w:t>
      </w:r>
      <w:r>
        <w:rPr>
          <w:rFonts w:hint="eastAsia"/>
        </w:rPr>
        <w:t>，会议邀请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位专家组成专家组（名单附后）。</w:t>
      </w:r>
      <w:r>
        <w:rPr>
          <w:rFonts w:hint="eastAsia"/>
          <w:lang w:val="en-US" w:eastAsia="zh-CN"/>
        </w:rPr>
        <w:t>专家组提前审阅了相关材料，听取了编制组汇报，经质询和讨论，专家建议将标准名称修改为《河湖库底泥重金属污染调查与评价技术规范》。</w:t>
      </w:r>
      <w:bookmarkStart w:id="19" w:name="_GoBack"/>
      <w:bookmarkEnd w:id="19"/>
    </w:p>
    <w:p w14:paraId="740AFAB8">
      <w:pPr>
        <w:pStyle w:val="9"/>
        <w:numPr>
          <w:ilvl w:val="0"/>
          <w:numId w:val="1"/>
        </w:numPr>
        <w:outlineLvl w:val="0"/>
        <w:rPr>
          <w:rFonts w:ascii="宋体"/>
          <w:bCs w:val="0"/>
          <w:sz w:val="24"/>
          <w:szCs w:val="24"/>
        </w:rPr>
      </w:pPr>
      <w:bookmarkStart w:id="7" w:name="_Toc19079"/>
      <w:r>
        <w:rPr>
          <w:rFonts w:hint="eastAsia"/>
        </w:rPr>
        <w:fldChar w:fldCharType="begin"/>
      </w:r>
      <w:r>
        <w:instrText xml:space="preserve"> HYPERLINK \l "_Toc234978610" </w:instrText>
      </w:r>
      <w:r>
        <w:rPr>
          <w:rFonts w:hint="eastAsia"/>
        </w:rPr>
        <w:fldChar w:fldCharType="separate"/>
      </w:r>
      <w:r>
        <w:rPr>
          <w:rFonts w:hint="eastAsia" w:ascii="宋体"/>
          <w:bCs w:val="0"/>
          <w:sz w:val="24"/>
          <w:szCs w:val="24"/>
        </w:rPr>
        <w:t>国内外相关标准研究</w:t>
      </w:r>
      <w:r>
        <w:rPr>
          <w:rFonts w:hint="eastAsia" w:ascii="宋体"/>
          <w:bCs w:val="0"/>
          <w:sz w:val="24"/>
          <w:szCs w:val="24"/>
        </w:rPr>
        <w:fldChar w:fldCharType="end"/>
      </w:r>
      <w:bookmarkEnd w:id="7"/>
    </w:p>
    <w:p w14:paraId="6AA72846">
      <w:pPr>
        <w:pStyle w:val="20"/>
        <w:widowControl/>
        <w:spacing w:line="360" w:lineRule="auto"/>
        <w:rPr>
          <w:szCs w:val="21"/>
        </w:rPr>
      </w:pPr>
      <w:r>
        <w:rPr>
          <w:rFonts w:hint="eastAsia"/>
          <w:szCs w:val="21"/>
        </w:rPr>
        <w:t>国内外暂无专门针对河湖库底泥重金属污染调查与评价的专项标准，本标准参考了土壤、水环境监测等相关领域的国家标准（如 GB/T 15618、HJ/T 166）、行业标准（如 SL 219、DZ/T 0295）及地方标准（如 DB37/T 4471-2021），填补了该领域专项技术规范的空白，确保技术内容既符合我国实际情况，又与相关领域标准有效衔接。</w:t>
      </w:r>
    </w:p>
    <w:p w14:paraId="3858F6F0">
      <w:pPr>
        <w:pStyle w:val="9"/>
        <w:numPr>
          <w:ilvl w:val="0"/>
          <w:numId w:val="1"/>
        </w:numPr>
        <w:outlineLvl w:val="0"/>
        <w:rPr>
          <w:rFonts w:ascii="宋体"/>
          <w:bCs w:val="0"/>
          <w:sz w:val="24"/>
          <w:szCs w:val="24"/>
        </w:rPr>
      </w:pPr>
      <w:bookmarkStart w:id="8" w:name="_Toc11112"/>
      <w:r>
        <w:rPr>
          <w:rFonts w:hint="eastAsia"/>
        </w:rPr>
        <w:fldChar w:fldCharType="begin"/>
      </w:r>
      <w:r>
        <w:instrText xml:space="preserve"> HYPERLINK \l "_Toc234978613" </w:instrText>
      </w:r>
      <w:r>
        <w:rPr>
          <w:rFonts w:hint="eastAsia"/>
        </w:rPr>
        <w:fldChar w:fldCharType="separate"/>
      </w:r>
      <w:r>
        <w:rPr>
          <w:rFonts w:hint="eastAsia" w:ascii="宋体"/>
          <w:bCs w:val="0"/>
          <w:sz w:val="24"/>
          <w:szCs w:val="24"/>
        </w:rPr>
        <w:t>主要技术内容及说明</w:t>
      </w:r>
      <w:r>
        <w:rPr>
          <w:rFonts w:hint="eastAsia" w:ascii="宋体"/>
          <w:bCs w:val="0"/>
          <w:sz w:val="24"/>
          <w:szCs w:val="24"/>
        </w:rPr>
        <w:fldChar w:fldCharType="end"/>
      </w:r>
      <w:bookmarkEnd w:id="8"/>
    </w:p>
    <w:p w14:paraId="50E37809">
      <w:pPr>
        <w:pStyle w:val="9"/>
        <w:spacing w:line="360" w:lineRule="auto"/>
        <w:rPr>
          <w:rFonts w:ascii="宋体"/>
          <w:bCs w:val="0"/>
          <w:sz w:val="21"/>
          <w:szCs w:val="21"/>
        </w:rPr>
      </w:pPr>
      <w:r>
        <w:rPr>
          <w:rFonts w:hint="eastAsia" w:ascii="宋体"/>
          <w:bCs w:val="0"/>
          <w:sz w:val="21"/>
          <w:szCs w:val="21"/>
        </w:rPr>
        <w:t>5.1 应用范围</w:t>
      </w:r>
    </w:p>
    <w:p w14:paraId="73199606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标准适用于环境常规监测与污染评估（如河湖底泥重金属污染现状调查）、工程专项评价（如河道清淤、湖泊疏浚、水体生态修复项目中的底泥污染状况评价），明确排除深海沉积物、工业废渣堆积区底泥等特殊场景（需另行制定专项规范）。</w:t>
      </w:r>
    </w:p>
    <w:p w14:paraId="5EAC2929">
      <w:pPr>
        <w:pStyle w:val="9"/>
        <w:spacing w:line="360" w:lineRule="auto"/>
        <w:rPr>
          <w:rFonts w:ascii="宋体"/>
          <w:bCs w:val="0"/>
          <w:sz w:val="21"/>
          <w:szCs w:val="21"/>
        </w:rPr>
      </w:pPr>
      <w:r>
        <w:rPr>
          <w:rFonts w:hint="eastAsia" w:ascii="宋体"/>
          <w:bCs w:val="0"/>
          <w:sz w:val="21"/>
          <w:szCs w:val="21"/>
        </w:rPr>
        <w:t>5.2 核心数据来源说明</w:t>
      </w:r>
    </w:p>
    <w:p w14:paraId="139AACDD">
      <w:pPr>
        <w:widowControl/>
        <w:spacing w:line="360" w:lineRule="auto"/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5.2.1背景值数据来源</w:t>
      </w:r>
    </w:p>
    <w:p w14:paraId="64279CE5"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区域专项调查数据：优先采用评价区域内已完成的底泥背景值专项调查成果，例如地方生态环境部门组织开展的“流域底泥环境质量背景调查”“未受污染河段/湖库底泥基线监测”等专项工作形成的数据报告，确保背景值与评价区域的自然地理、水文地质条件高度匹配。</w:t>
      </w:r>
    </w:p>
    <w:p w14:paraId="2609AEDD"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权威文献与数据库数据：若评价区域无专项背景调查数据，可引用国内核心期刊发表的相关研究成果、学术专著中记载的同类型水域（如同一气候带、同一流域类型）底泥背景值数据，或国家生态环境监测总站、中科院相关研究所建立的全国/区域底泥环境质量数据库中的公开数据。</w:t>
      </w:r>
    </w:p>
    <w:p w14:paraId="3B5B6601"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历史监测数据追溯：收集评价水域及周边长期积累的底泥监测数据，筛选其中未受明显污染影响时期（如污染源未建成运行、人类活动干扰较小阶段）的有效数据，经统计分析后确定背景值范围。</w:t>
      </w:r>
    </w:p>
    <w:p w14:paraId="7EF577E8">
      <w:pPr>
        <w:widowControl/>
        <w:spacing w:line="360" w:lineRule="auto"/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5.2.2评价参比值数据来源</w:t>
      </w:r>
    </w:p>
    <w:p w14:paraId="790208DC"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9" w:name="_Toc12991"/>
      <w:bookmarkStart w:id="10" w:name="_Toc23448"/>
      <w:bookmarkStart w:id="11" w:name="_Toc4479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重金属背景值：以《中国土壤元素背景值》（中国环境监测总站编著，1990 年）为基础数据源，结合全国多区域河湖库底泥实测背景值数据（编制组实测数据及文献汇总数据）进行整合修正。针对不同 pH 条件下重金属迁移转化特性的差异，参考 DZ/T 0295《土地质量地球化学评价规范》中关于 pH 分区的划分标准，将底泥 pH 划分为≤5.5、5.5＜pH≤6.5、6.5＜pH≤7.5、pH＞7.5 四个区间，分别统计各区间内未受明显人为污染的底泥重金属含量均值 ± 标准差，取 95% 置信区间上限值作为对应 pH 区间的背景值参照值（详见附录 A 表 A.1）。</w:t>
      </w:r>
      <w:bookmarkEnd w:id="9"/>
      <w:bookmarkEnd w:id="10"/>
      <w:bookmarkEnd w:id="11"/>
    </w:p>
    <w:p w14:paraId="6DD7C849"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农用地土壤污染风险筛选值与管制值：风险值引用 GB/T 15618《土壤环境质量 农用地土壤污染风险管控标准（试行）》中的核心数据（详见附录A表A.2）。该标准是我国土壤污染风险管控的基础性标准，其筛选值、管制值的确定基于全国大范围土壤调查数据、农作物质量安全数据及生态毒理试验数据，经过多轮专家论证和实地验证，具有广泛的适用性和权威性。</w:t>
      </w:r>
    </w:p>
    <w:p w14:paraId="31D2804F">
      <w:pPr>
        <w:widowControl/>
        <w:spacing w:line="360" w:lineRule="auto"/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5.2.3分级标准数据来源</w:t>
      </w:r>
    </w:p>
    <w:p w14:paraId="5EF10373">
      <w:pPr>
        <w:spacing w:line="360" w:lineRule="auto"/>
        <w:ind w:firstLine="420" w:firstLineChars="200"/>
      </w:pPr>
      <w:r>
        <w:rPr>
          <w:rFonts w:hint="eastAsia"/>
        </w:rPr>
        <w:t>单因子污染指数分级数据：基于单因子指数法的核心原理，结合编制组获取的全国多区域底泥重金属实测数据分布特征确定。通过对1200余组实测数据的统计分析，计算不同污染程度下（无污染、轻微污染、轻度污染、中度污染、重度污染）重金属实测浓度与背景值的比值范围，结合国内外同类评价标准（如DB37/T 4471-2021）的分级区间，经专家论证后确定最终分级阈值（详见附录A表A.3）。</w:t>
      </w:r>
    </w:p>
    <w:p w14:paraId="2B9C37AF">
      <w:pPr>
        <w:spacing w:line="360" w:lineRule="auto"/>
        <w:ind w:firstLine="420" w:firstLineChars="200"/>
      </w:pPr>
      <w:r>
        <w:rPr>
          <w:rFonts w:hint="eastAsia"/>
        </w:rPr>
        <w:t>地累积指数分级数据：基于重金属的累积效应与生态毒性研究，参考《沉积物重金属地累积指数分级方法优化》与《地累积指数法在流域底泥污染评价中的应用范式》中关于 “重金属人为累积与污染程度关联” 的研究数据，结合本标准适用场景优化分级区间（详见标准表 2）。</w:t>
      </w:r>
    </w:p>
    <w:p w14:paraId="6ED968C4">
      <w:pPr>
        <w:spacing w:line="360" w:lineRule="auto"/>
        <w:ind w:firstLine="420" w:firstLineChars="200"/>
      </w:pPr>
      <w:r>
        <w:rPr>
          <w:rFonts w:hint="eastAsia"/>
        </w:rPr>
        <w:t>潜在生态风险分级数据：基于重金属的生态毒性响应与复合污染效应研究，参考《沉积物重金属潜在生态风险评价方法改进》与《流域底泥重金属污染生态风险分级标准》中关于 “重金属生物有效性与生态危害关联” 的研究数据，确定分级标准（详见标准表 3）。</w:t>
      </w:r>
    </w:p>
    <w:p w14:paraId="4664467D">
      <w:pPr>
        <w:widowControl/>
        <w:spacing w:line="360" w:lineRule="auto"/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5.2.4毒性响应系数数据来源</w:t>
      </w:r>
    </w:p>
    <w:p w14:paraId="6B208606"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重金属毒性响应系数（Tri）主要参考瑞典科学家 Hakanson 提出的潜在生态风险指数法中推荐的毒性响应系数基础数据，该系数是基于重金属的环境地球化学性质、生物毒性试验数据（如鱼类、底栖生物的急性毒性 LD50 值）及生态危害案例总结得出，是国际上广泛认可和应用的核心参数（详见附录 A 表 A.4）。</w:t>
      </w:r>
    </w:p>
    <w:p w14:paraId="74EABF97">
      <w:pPr>
        <w:pStyle w:val="9"/>
        <w:spacing w:line="360" w:lineRule="auto"/>
        <w:rPr>
          <w:rFonts w:ascii="宋体"/>
          <w:bCs w:val="0"/>
          <w:sz w:val="21"/>
          <w:szCs w:val="21"/>
        </w:rPr>
      </w:pPr>
      <w:r>
        <w:rPr>
          <w:rFonts w:hint="eastAsia" w:ascii="宋体"/>
          <w:bCs w:val="0"/>
          <w:sz w:val="21"/>
          <w:szCs w:val="21"/>
        </w:rPr>
        <w:t>5.3 主要技术内容</w:t>
      </w:r>
    </w:p>
    <w:p w14:paraId="4B4C9488">
      <w:pPr>
        <w:widowControl/>
        <w:spacing w:line="360" w:lineRule="auto"/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5.3.1术语与定义</w:t>
      </w:r>
    </w:p>
    <w:p w14:paraId="53EB05C3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明确底泥、单因子指数法、潜在生态风险指数法、地累积指数法 4 项核心术语（见标准第3章），其中：</w:t>
      </w:r>
    </w:p>
    <w:p w14:paraId="7A48FA4E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“底泥”定义强调“物理、化学及生物作用”与“水体传输沉积”特性，区分于土壤；</w:t>
      </w:r>
    </w:p>
    <w:p w14:paraId="5CB774D3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三种评价方法的定义均明确其核心原理（如潜在生态风险指数法强调“重金属毒性水平、水生生物敏感性”），为后续方法应用奠定基础。</w:t>
      </w:r>
    </w:p>
    <w:p w14:paraId="0509B17A">
      <w:pPr>
        <w:widowControl/>
        <w:spacing w:line="360" w:lineRule="auto"/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5.3.2评价原则与因子</w:t>
      </w:r>
    </w:p>
    <w:p w14:paraId="557D62EC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评价原则：确立 4 项核心原则（见标准第 4 章）：</w:t>
      </w:r>
    </w:p>
    <w:p w14:paraId="50FC15F4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科学性原则：反映底泥重金属污染状况及其潜在生态风险。</w:t>
      </w:r>
    </w:p>
    <w:p w14:paraId="14DB07DF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系统性原则：确保评价工作的完整性和连贯性。</w:t>
      </w:r>
    </w:p>
    <w:p w14:paraId="43ADB987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代表性原则：反映不同水文条件、污染源分布和水域功能区的底泥污染特征。</w:t>
      </w:r>
    </w:p>
    <w:p w14:paraId="21AB8B89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可操作性原则：评价技术和方法应成熟可靠、经济适用，便于在实际工作中推广和应用。评价原则：</w:t>
      </w:r>
    </w:p>
    <w:p w14:paraId="4D14BBBE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评价因子：采用“必选+辅助”模式（见标准第 6 章）：</w:t>
      </w:r>
    </w:p>
    <w:p w14:paraId="2F7351F9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必选因子：镉（Cd）、汞（Hg）、砷（As）、铅（Pb）、铬（Cr）、铜（Cu）、镍（Ni）、锌（Zn）8 种元素（基于国内外普遍关注、对生态与人体健康风险高的特性筛选）；</w:t>
      </w:r>
    </w:p>
    <w:p w14:paraId="761C9126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辅助因子：辅助因子：锑（Sb）、钴（Co）、钒（V）等（根据区域工业特征、污染源类型补充，如锑矿周边区域增测 Sb）。</w:t>
      </w:r>
    </w:p>
    <w:p w14:paraId="40F95AE3">
      <w:pPr>
        <w:widowControl/>
        <w:spacing w:line="360" w:lineRule="auto"/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5.3.3调查与测试技术规程</w:t>
      </w:r>
    </w:p>
    <w:p w14:paraId="39208883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1、调查准备与资料收集（见标准第5.1节）：</w:t>
      </w:r>
    </w:p>
    <w:p w14:paraId="1E866B7D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调查前应收集评价水域的基础资料，包括水系分布、水文特征、历史排污口、周边土地利用、历史监测数据等，并进行现场踏勘，初步掌握底泥淤积、颜色、气味等宏观特征。</w:t>
      </w:r>
    </w:p>
    <w:p w14:paraId="25D6680A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2、采样点布设（见标准第 5.2 节）：</w:t>
      </w:r>
    </w:p>
    <w:p w14:paraId="2D620201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河流：按水面宽度确定断面采样点数量（≤50m 设1个，50~100m 设2个，＞100m 设 3 个），污染区域采用 “二分法” 加密；</w:t>
      </w:r>
    </w:p>
    <w:p w14:paraId="23F3A6F3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湖泊（水库）：采用网格布点法（面积≥100km² 设≥20个点，10~100km² 设≥10 个点，＜10km² 设≥3 个点），污染区域周边加密。</w:t>
      </w:r>
    </w:p>
    <w:p w14:paraId="55586FCC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3、样品采集（见标准第 5.3 节）：</w:t>
      </w:r>
    </w:p>
    <w:p w14:paraId="3CC5D5CD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表层样：用抓斗式/彼得森采泥器采集 0~10cm 或 0~20cm 样品，去除杂物后混匀保存；</w:t>
      </w:r>
    </w:p>
    <w:p w14:paraId="0CA7FA82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柱状样：用重力式/活塞式采泥器采集（覆盖污染层 + 未污染层 20~50cm），按 1~2cm 或 5~10cm 分层切割，单独包装。</w:t>
      </w:r>
    </w:p>
    <w:p w14:paraId="23420952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4、样品测试（见标准第 6.3. 节）：</w:t>
      </w:r>
    </w:p>
    <w:p w14:paraId="376C5C31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前处理：冷冻干燥、研磨、过 100 目 / 200 目尼龙筛；</w:t>
      </w:r>
    </w:p>
    <w:p w14:paraId="53198FA1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总量分析：酸消解法（</w:t>
      </w:r>
      <w:r>
        <w:rPr>
          <w:szCs w:val="21"/>
        </w:rPr>
        <w:t>HNO₃-HF-HClO₄</w:t>
      </w:r>
      <w:r>
        <w:rPr>
          <w:rFonts w:hint="eastAsia"/>
          <w:szCs w:val="21"/>
        </w:rPr>
        <w:t>）</w:t>
      </w:r>
      <w:r>
        <w:rPr>
          <w:szCs w:val="21"/>
        </w:rPr>
        <w:t xml:space="preserve">+ </w:t>
      </w:r>
      <w:r>
        <w:rPr>
          <w:rFonts w:hint="eastAsia"/>
          <w:szCs w:val="21"/>
        </w:rPr>
        <w:t>原子吸收光谱法（</w:t>
      </w:r>
      <w:r>
        <w:rPr>
          <w:szCs w:val="21"/>
        </w:rPr>
        <w:t>AAS</w:t>
      </w:r>
      <w:r>
        <w:rPr>
          <w:rFonts w:hint="eastAsia"/>
          <w:szCs w:val="21"/>
        </w:rPr>
        <w:t>）</w:t>
      </w:r>
      <w:r>
        <w:rPr>
          <w:szCs w:val="21"/>
        </w:rPr>
        <w:t xml:space="preserve">/ </w:t>
      </w:r>
      <w:r>
        <w:rPr>
          <w:rFonts w:hint="eastAsia"/>
          <w:szCs w:val="21"/>
        </w:rPr>
        <w:t>电感耦合等离子体质谱法（</w:t>
      </w:r>
      <w:r>
        <w:rPr>
          <w:szCs w:val="21"/>
        </w:rPr>
        <w:t>ICP-MS</w:t>
      </w:r>
      <w:r>
        <w:rPr>
          <w:rFonts w:hint="eastAsia"/>
          <w:szCs w:val="21"/>
        </w:rPr>
        <w:t>）</w:t>
      </w:r>
      <w:r>
        <w:rPr>
          <w:szCs w:val="21"/>
        </w:rPr>
        <w:t>/</w:t>
      </w:r>
      <w:r>
        <w:rPr>
          <w:rFonts w:hint="eastAsia"/>
          <w:szCs w:val="21"/>
        </w:rPr>
        <w:t>原子荧光光谱法（</w:t>
      </w:r>
      <w:r>
        <w:rPr>
          <w:szCs w:val="21"/>
        </w:rPr>
        <w:t>AFS</w:t>
      </w:r>
      <w:r>
        <w:rPr>
          <w:rFonts w:hint="eastAsia"/>
          <w:szCs w:val="21"/>
        </w:rPr>
        <w:t>，用于</w:t>
      </w:r>
      <w:r>
        <w:rPr>
          <w:szCs w:val="21"/>
        </w:rPr>
        <w:t>As</w:t>
      </w:r>
      <w:r>
        <w:rPr>
          <w:rFonts w:hint="eastAsia"/>
          <w:szCs w:val="21"/>
        </w:rPr>
        <w:t>、</w:t>
      </w:r>
      <w:r>
        <w:rPr>
          <w:szCs w:val="21"/>
        </w:rPr>
        <w:t>Hg</w:t>
      </w:r>
      <w:r>
        <w:rPr>
          <w:rFonts w:hint="eastAsia"/>
          <w:szCs w:val="21"/>
        </w:rPr>
        <w:t>）；</w:t>
      </w:r>
    </w:p>
    <w:p w14:paraId="16A7E670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形态分析：连续提取法（Tessier法或BCR法）分析重金属形态（可交换态、碳酸盐结合态等）；</w:t>
      </w:r>
    </w:p>
    <w:p w14:paraId="42400D16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理化性质：同步测定 pH、有机质（OM）、粒度（影响重金属迁移转化）。</w:t>
      </w:r>
    </w:p>
    <w:p w14:paraId="2E42D9E3">
      <w:pPr>
        <w:widowControl/>
        <w:spacing w:line="360" w:lineRule="auto"/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5.3.4评价方法体系</w:t>
      </w:r>
    </w:p>
    <w:p w14:paraId="55ADAB96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推荐“多方法综合评价”（见标准第7章、第8章），三种核心方法的技术要点如下：</w:t>
      </w:r>
    </w:p>
    <w:p w14:paraId="029C7655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1、单因子污染指数法：</w:t>
      </w:r>
    </w:p>
    <w:p w14:paraId="1509E480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该方法通过将重金属实测浓度与评价标准进行比较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，直观反映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单一重金属的污染程度。</w:t>
      </w:r>
    </w:p>
    <w:p w14:paraId="378FC4F6">
      <w:pPr>
        <w:ind w:firstLine="720"/>
        <w:rPr>
          <w:color w:val="000000" w:themeColor="text1"/>
          <w14:textFill>
            <w14:solidFill>
              <w14:schemeClr w14:val="tx1"/>
            </w14:solidFill>
          </w14:textFill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36"/>
                  <w:szCs w:val="36"/>
                  <w14:textFill>
                    <w14:solidFill>
                      <w14:schemeClr w14:val="tx1"/>
                    </w14:solidFill>
                  </w14:textFill>
                </w:rPr>
              </m:ctrlPr>
            </m:sSubPr>
            <m:e>
              <m:r>
                <m:rPr/>
                <w:rPr>
                  <w:rFonts w:ascii="Cambria Math" w:hAnsi="Cambria Math"/>
                  <w:color w:val="000000" w:themeColor="text1"/>
                  <w:sz w:val="36"/>
                  <w:szCs w:val="36"/>
                  <w14:textFill>
                    <w14:solidFill>
                      <w14:schemeClr w14:val="tx1"/>
                    </w14:solidFill>
                  </w14:textFill>
                </w:rPr>
                <m:t>P</m:t>
              </m:r>
              <m:ctrlPr>
                <w:rPr>
                  <w:rFonts w:ascii="Cambria Math" w:hAnsi="Cambria Math"/>
                  <w:i/>
                  <w:color w:val="000000" w:themeColor="text1"/>
                  <w:sz w:val="36"/>
                  <w:szCs w:val="36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b>
              <m:r>
                <m:rPr/>
                <w:rPr>
                  <w:rFonts w:ascii="Cambria Math" w:hAnsi="Cambria Math"/>
                  <w:color w:val="000000" w:themeColor="text1"/>
                  <w:sz w:val="36"/>
                  <w:szCs w:val="36"/>
                  <w14:textFill>
                    <w14:solidFill>
                      <w14:schemeClr w14:val="tx1"/>
                    </w14:solidFill>
                  </w14:textFill>
                </w:rPr>
                <m:t>i=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color w:val="000000" w:themeColor="text1"/>
                      <w:sz w:val="36"/>
                      <w:szCs w:val="36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C</m:t>
                      </m: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i</m:t>
                      </m: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  <w:color w:val="000000" w:themeColor="text1"/>
                      <w:sz w:val="36"/>
                      <w:szCs w:val="36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C</m:t>
                      </m: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S</m:t>
                      </m: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  <w:color w:val="000000" w:themeColor="text1"/>
                      <w:sz w:val="36"/>
                      <w:szCs w:val="36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ctrlPr>
                <w:rPr>
                  <w:rFonts w:ascii="Cambria Math" w:hAnsi="Cambria Math"/>
                  <w:i/>
                  <w:color w:val="000000" w:themeColor="text1"/>
                  <w:sz w:val="36"/>
                  <w:szCs w:val="36"/>
                  <w14:textFill>
                    <w14:solidFill>
                      <w14:schemeClr w14:val="tx1"/>
                    </w14:solidFill>
                  </w14:textFill>
                </w:rPr>
              </m:ctrlPr>
            </m:sub>
          </m:sSub>
        </m:oMath>
      </m:oMathPara>
    </w:p>
    <w:p w14:paraId="2183EFA1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式中：</w:t>
      </w:r>
    </w:p>
    <w:p w14:paraId="51FAC1E3">
      <w:pPr>
        <w:spacing w:line="360" w:lineRule="auto"/>
        <w:ind w:firstLine="420" w:firstLineChars="200"/>
        <w:jc w:val="left"/>
      </w:pPr>
      <w:r>
        <w:rPr>
          <w:i/>
          <w:iCs/>
        </w:rPr>
        <w:t>P</w:t>
      </w:r>
      <w:r>
        <w:rPr>
          <w:vertAlign w:val="subscript"/>
        </w:rPr>
        <w:t>i</w:t>
      </w:r>
      <w:r>
        <w:t>—污染物</w:t>
      </w:r>
      <w:r>
        <w:rPr>
          <w:i/>
          <w:iCs/>
        </w:rPr>
        <w:t>i</w:t>
      </w:r>
      <w:r>
        <w:t>的单项污染指数；</w:t>
      </w:r>
    </w:p>
    <w:p w14:paraId="52D2BD9D">
      <w:pPr>
        <w:spacing w:line="360" w:lineRule="auto"/>
        <w:ind w:firstLine="420" w:firstLineChars="200"/>
        <w:jc w:val="left"/>
      </w:pPr>
      <w:r>
        <w:rPr>
          <w:i/>
          <w:iCs/>
        </w:rPr>
        <w:t>C</w:t>
      </w:r>
      <w:r>
        <w:rPr>
          <w:vertAlign w:val="subscript"/>
        </w:rPr>
        <w:t>i</w:t>
      </w:r>
      <w:r>
        <w:t>—污染物</w:t>
      </w:r>
      <w:r>
        <w:rPr>
          <w:i/>
          <w:iCs/>
        </w:rPr>
        <w:t>i</w:t>
      </w:r>
      <w:r>
        <w:t>的实测浓度 (mg/kg)；</w:t>
      </w:r>
    </w:p>
    <w:p w14:paraId="2D98992E">
      <w:pPr>
        <w:spacing w:line="360" w:lineRule="auto"/>
        <w:ind w:firstLine="420" w:firstLineChars="200"/>
        <w:jc w:val="left"/>
      </w:pPr>
      <w:r>
        <w:rPr>
          <w:i/>
          <w:iCs/>
        </w:rPr>
        <w:t>C</w:t>
      </w:r>
      <w:r>
        <w:rPr>
          <w:vertAlign w:val="subscript"/>
        </w:rPr>
        <w:t>s</w:t>
      </w:r>
      <w:r>
        <w:t>—污染物</w:t>
      </w:r>
      <w:r>
        <w:rPr>
          <w:i/>
          <w:iCs/>
        </w:rPr>
        <w:t>i</w:t>
      </w:r>
      <w:r>
        <w:t>的评价标准值(mg/kg)。</w:t>
      </w:r>
    </w:p>
    <w:p w14:paraId="43790A51">
      <w:pPr>
        <w:spacing w:line="360" w:lineRule="auto"/>
        <w:ind w:firstLine="420" w:firstLineChars="200"/>
        <w:jc w:val="left"/>
      </w:pPr>
      <w:r>
        <w:t>背景值（</w:t>
      </w:r>
      <w:r>
        <w:rPr>
          <w:i/>
          <w:iCs/>
        </w:rPr>
        <w:t>C</w:t>
      </w:r>
      <w:r>
        <w:rPr>
          <w:vertAlign w:val="subscript"/>
        </w:rPr>
        <w:t>s</w:t>
      </w:r>
      <w:r>
        <w:t>）优先采用研究区域的底泥背景值；若无背景值数据，可参照表附录A。</w:t>
      </w:r>
    </w:p>
    <w:tbl>
      <w:tblPr>
        <w:tblStyle w:val="11"/>
        <w:tblpPr w:leftFromText="180" w:rightFromText="180" w:vertAnchor="text" w:horzAnchor="margin" w:tblpY="185"/>
        <w:tblW w:w="8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3"/>
        <w:gridCol w:w="3052"/>
        <w:gridCol w:w="2400"/>
      </w:tblGrid>
      <w:tr w14:paraId="46064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803" w:type="dxa"/>
            <w:shd w:val="clear" w:color="auto" w:fill="FFFFFF"/>
            <w:vAlign w:val="center"/>
          </w:tcPr>
          <w:p w14:paraId="4FB66835">
            <w:pPr>
              <w:pStyle w:val="27"/>
              <w:jc w:val="center"/>
              <w:rPr>
                <w:rFonts w:ascii="Times New Roman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ascii="Times New Roman"/>
                <w:snapToGrid w:val="0"/>
                <w:color w:val="000000"/>
                <w:szCs w:val="21"/>
                <w:lang w:eastAsia="en-US"/>
              </w:rPr>
              <w:t>单因子指数 (</w:t>
            </w:r>
            <w:r>
              <w:rPr>
                <w:rFonts w:ascii="Times New Roman"/>
                <w:i/>
                <w:iCs/>
                <w:snapToGrid w:val="0"/>
                <w:color w:val="000000"/>
                <w:szCs w:val="21"/>
                <w:lang w:eastAsia="en-US"/>
              </w:rPr>
              <w:t>P</w:t>
            </w:r>
            <w:r>
              <w:rPr>
                <w:rFonts w:ascii="Times New Roman"/>
                <w:snapToGrid w:val="0"/>
                <w:color w:val="000000"/>
                <w:szCs w:val="21"/>
                <w:vertAlign w:val="subscript"/>
                <w:lang w:eastAsia="en-US"/>
              </w:rPr>
              <w:t>i</w:t>
            </w:r>
            <w:r>
              <w:rPr>
                <w:rFonts w:ascii="Times New Roman"/>
                <w:snapToGrid w:val="0"/>
                <w:color w:val="000000"/>
                <w:szCs w:val="21"/>
                <w:lang w:eastAsia="en-US"/>
              </w:rPr>
              <w:t>)</w:t>
            </w:r>
          </w:p>
        </w:tc>
        <w:tc>
          <w:tcPr>
            <w:tcW w:w="3052" w:type="dxa"/>
            <w:shd w:val="clear" w:color="auto" w:fill="FFFFFF"/>
            <w:vAlign w:val="center"/>
          </w:tcPr>
          <w:p w14:paraId="3F4FEDB9">
            <w:pPr>
              <w:pStyle w:val="27"/>
              <w:jc w:val="center"/>
              <w:rPr>
                <w:rFonts w:ascii="Times New Roman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ascii="Times New Roman"/>
                <w:snapToGrid w:val="0"/>
                <w:color w:val="000000"/>
                <w:szCs w:val="21"/>
                <w:lang w:eastAsia="en-US"/>
              </w:rPr>
              <w:t>污染等级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7C7773BC">
            <w:pPr>
              <w:pStyle w:val="27"/>
              <w:jc w:val="center"/>
              <w:rPr>
                <w:rFonts w:ascii="Times New Roman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ascii="Times New Roman"/>
                <w:snapToGrid w:val="0"/>
                <w:color w:val="000000"/>
                <w:szCs w:val="21"/>
                <w:lang w:eastAsia="en-US"/>
              </w:rPr>
              <w:t>污染等级表示方式</w:t>
            </w:r>
          </w:p>
        </w:tc>
      </w:tr>
      <w:tr w14:paraId="6565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803" w:type="dxa"/>
            <w:shd w:val="clear" w:color="auto" w:fill="FFFFFF"/>
            <w:vAlign w:val="center"/>
          </w:tcPr>
          <w:p w14:paraId="26303C8C">
            <w:pPr>
              <w:pStyle w:val="27"/>
              <w:jc w:val="center"/>
              <w:rPr>
                <w:rFonts w:ascii="Times New Roman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ascii="Times New Roman"/>
                <w:i/>
                <w:iCs/>
                <w:snapToGrid w:val="0"/>
                <w:color w:val="000000"/>
                <w:szCs w:val="21"/>
                <w:lang w:eastAsia="en-US"/>
              </w:rPr>
              <w:t>P</w:t>
            </w:r>
            <w:r>
              <w:rPr>
                <w:rFonts w:ascii="Times New Roman"/>
                <w:snapToGrid w:val="0"/>
                <w:color w:val="000000"/>
                <w:szCs w:val="21"/>
                <w:vertAlign w:val="subscript"/>
                <w:lang w:eastAsia="en-US"/>
              </w:rPr>
              <w:t>i</w:t>
            </w:r>
            <w:r>
              <w:rPr>
                <w:rFonts w:ascii="Times New Roman"/>
                <w:snapToGrid w:val="0"/>
                <w:color w:val="000000"/>
                <w:szCs w:val="21"/>
                <w:lang w:eastAsia="en-US"/>
              </w:rPr>
              <w:t xml:space="preserve"> ≤ 1.0</w:t>
            </w:r>
          </w:p>
        </w:tc>
        <w:tc>
          <w:tcPr>
            <w:tcW w:w="3052" w:type="dxa"/>
            <w:shd w:val="clear" w:color="auto" w:fill="FFFFFF"/>
            <w:vAlign w:val="center"/>
          </w:tcPr>
          <w:p w14:paraId="666F3A41">
            <w:pPr>
              <w:pStyle w:val="27"/>
              <w:jc w:val="center"/>
              <w:rPr>
                <w:rFonts w:ascii="Times New Roman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ascii="Times New Roman"/>
                <w:snapToGrid w:val="0"/>
                <w:color w:val="000000"/>
                <w:szCs w:val="21"/>
                <w:lang w:eastAsia="en-US"/>
              </w:rPr>
              <w:t>无污染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0BCEE51D">
            <w:pPr>
              <w:pStyle w:val="27"/>
              <w:jc w:val="center"/>
              <w:rPr>
                <w:rFonts w:ascii="Times New Roman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ascii="Times New Roman"/>
                <w:snapToGrid w:val="0"/>
                <w:color w:val="000000"/>
                <w:szCs w:val="21"/>
                <w:lang w:eastAsia="en-US"/>
              </w:rPr>
              <w:t>I</w:t>
            </w:r>
          </w:p>
        </w:tc>
      </w:tr>
      <w:tr w14:paraId="5043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803" w:type="dxa"/>
            <w:shd w:val="clear" w:color="auto" w:fill="FFFFFF"/>
            <w:vAlign w:val="center"/>
          </w:tcPr>
          <w:p w14:paraId="14FF4C88">
            <w:pPr>
              <w:pStyle w:val="27"/>
              <w:jc w:val="center"/>
              <w:rPr>
                <w:rFonts w:ascii="Times New Roman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ascii="Times New Roman"/>
                <w:snapToGrid w:val="0"/>
                <w:color w:val="000000"/>
                <w:szCs w:val="21"/>
                <w:lang w:eastAsia="en-US"/>
              </w:rPr>
              <w:t xml:space="preserve">1.0 &lt; </w:t>
            </w:r>
            <w:r>
              <w:rPr>
                <w:rFonts w:ascii="Times New Roman"/>
                <w:i/>
                <w:iCs/>
                <w:snapToGrid w:val="0"/>
                <w:color w:val="000000"/>
                <w:szCs w:val="21"/>
                <w:lang w:eastAsia="en-US"/>
              </w:rPr>
              <w:t>P</w:t>
            </w:r>
            <w:r>
              <w:rPr>
                <w:rFonts w:ascii="Times New Roman"/>
                <w:snapToGrid w:val="0"/>
                <w:color w:val="000000"/>
                <w:szCs w:val="21"/>
                <w:vertAlign w:val="subscript"/>
                <w:lang w:eastAsia="en-US"/>
              </w:rPr>
              <w:t>i</w:t>
            </w:r>
            <w:r>
              <w:rPr>
                <w:rFonts w:ascii="Times New Roman"/>
                <w:snapToGrid w:val="0"/>
                <w:color w:val="000000"/>
                <w:szCs w:val="21"/>
                <w:lang w:eastAsia="en-US"/>
              </w:rPr>
              <w:t xml:space="preserve"> ≤ 2.0</w:t>
            </w:r>
          </w:p>
        </w:tc>
        <w:tc>
          <w:tcPr>
            <w:tcW w:w="3052" w:type="dxa"/>
            <w:shd w:val="clear" w:color="auto" w:fill="FFFFFF"/>
            <w:vAlign w:val="center"/>
          </w:tcPr>
          <w:p w14:paraId="3B9813C2">
            <w:pPr>
              <w:pStyle w:val="27"/>
              <w:jc w:val="center"/>
              <w:rPr>
                <w:rFonts w:ascii="Times New Roman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ascii="Times New Roman"/>
                <w:snapToGrid w:val="0"/>
                <w:color w:val="000000"/>
                <w:szCs w:val="21"/>
                <w:lang w:eastAsia="en-US"/>
              </w:rPr>
              <w:t>轻微污染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1835C776">
            <w:pPr>
              <w:pStyle w:val="27"/>
              <w:jc w:val="center"/>
              <w:rPr>
                <w:rFonts w:ascii="Times New Roman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ascii="Times New Roman"/>
                <w:snapToGrid w:val="0"/>
                <w:color w:val="000000"/>
                <w:szCs w:val="21"/>
                <w:lang w:eastAsia="en-US"/>
              </w:rPr>
              <w:t>II</w:t>
            </w:r>
          </w:p>
        </w:tc>
      </w:tr>
      <w:tr w14:paraId="468F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803" w:type="dxa"/>
            <w:shd w:val="clear" w:color="auto" w:fill="FFFFFF"/>
            <w:vAlign w:val="center"/>
          </w:tcPr>
          <w:p w14:paraId="34409A74">
            <w:pPr>
              <w:pStyle w:val="27"/>
              <w:jc w:val="center"/>
              <w:rPr>
                <w:rFonts w:ascii="Times New Roman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ascii="Times New Roman"/>
                <w:snapToGrid w:val="0"/>
                <w:color w:val="000000"/>
                <w:szCs w:val="21"/>
                <w:lang w:eastAsia="en-US"/>
              </w:rPr>
              <w:t xml:space="preserve">2.0 &lt; </w:t>
            </w:r>
            <w:r>
              <w:rPr>
                <w:rFonts w:ascii="Times New Roman"/>
                <w:i/>
                <w:iCs/>
                <w:snapToGrid w:val="0"/>
                <w:color w:val="000000"/>
                <w:szCs w:val="21"/>
                <w:lang w:eastAsia="en-US"/>
              </w:rPr>
              <w:t>P</w:t>
            </w:r>
            <w:r>
              <w:rPr>
                <w:rFonts w:ascii="Times New Roman"/>
                <w:snapToGrid w:val="0"/>
                <w:color w:val="000000"/>
                <w:szCs w:val="21"/>
                <w:vertAlign w:val="subscript"/>
                <w:lang w:eastAsia="en-US"/>
              </w:rPr>
              <w:t>i</w:t>
            </w:r>
            <w:r>
              <w:rPr>
                <w:rFonts w:ascii="Times New Roman"/>
                <w:snapToGrid w:val="0"/>
                <w:color w:val="000000"/>
                <w:szCs w:val="21"/>
                <w:lang w:eastAsia="en-US"/>
              </w:rPr>
              <w:t xml:space="preserve"> ≤ 3.0</w:t>
            </w:r>
          </w:p>
        </w:tc>
        <w:tc>
          <w:tcPr>
            <w:tcW w:w="3052" w:type="dxa"/>
            <w:shd w:val="clear" w:color="auto" w:fill="FFFFFF"/>
            <w:vAlign w:val="center"/>
          </w:tcPr>
          <w:p w14:paraId="3599C74D">
            <w:pPr>
              <w:pStyle w:val="27"/>
              <w:jc w:val="center"/>
              <w:rPr>
                <w:rFonts w:ascii="Times New Roman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ascii="Times New Roman"/>
                <w:snapToGrid w:val="0"/>
                <w:color w:val="000000"/>
                <w:szCs w:val="21"/>
                <w:lang w:eastAsia="en-US"/>
              </w:rPr>
              <w:t>轻度污染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7ACCDC96">
            <w:pPr>
              <w:pStyle w:val="27"/>
              <w:jc w:val="center"/>
              <w:rPr>
                <w:rFonts w:ascii="Times New Roman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ascii="Times New Roman"/>
                <w:snapToGrid w:val="0"/>
                <w:color w:val="000000"/>
                <w:szCs w:val="21"/>
              </w:rPr>
              <w:t>Ⅲ</w:t>
            </w:r>
          </w:p>
        </w:tc>
      </w:tr>
      <w:tr w14:paraId="1EA7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2803" w:type="dxa"/>
            <w:shd w:val="clear" w:color="auto" w:fill="FFFFFF"/>
            <w:vAlign w:val="center"/>
          </w:tcPr>
          <w:p w14:paraId="484DDCD0">
            <w:pPr>
              <w:pStyle w:val="27"/>
              <w:jc w:val="center"/>
              <w:rPr>
                <w:rFonts w:ascii="Times New Roman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ascii="Times New Roman"/>
                <w:snapToGrid w:val="0"/>
                <w:color w:val="000000"/>
                <w:szCs w:val="21"/>
                <w:lang w:eastAsia="en-US"/>
              </w:rPr>
              <w:t xml:space="preserve">3.0 &lt; </w:t>
            </w:r>
            <w:r>
              <w:rPr>
                <w:rFonts w:ascii="Times New Roman"/>
                <w:i/>
                <w:iCs/>
                <w:snapToGrid w:val="0"/>
                <w:color w:val="000000"/>
                <w:szCs w:val="21"/>
                <w:lang w:eastAsia="en-US"/>
              </w:rPr>
              <w:t>P</w:t>
            </w:r>
            <w:r>
              <w:rPr>
                <w:rFonts w:ascii="Times New Roman"/>
                <w:snapToGrid w:val="0"/>
                <w:color w:val="000000"/>
                <w:szCs w:val="21"/>
                <w:vertAlign w:val="subscript"/>
                <w:lang w:eastAsia="en-US"/>
              </w:rPr>
              <w:t>i</w:t>
            </w:r>
            <w:r>
              <w:rPr>
                <w:rFonts w:ascii="Times New Roman"/>
                <w:snapToGrid w:val="0"/>
                <w:color w:val="000000"/>
                <w:szCs w:val="21"/>
                <w:lang w:eastAsia="en-US"/>
              </w:rPr>
              <w:t xml:space="preserve"> ≤ 5.0</w:t>
            </w:r>
          </w:p>
        </w:tc>
        <w:tc>
          <w:tcPr>
            <w:tcW w:w="3052" w:type="dxa"/>
            <w:shd w:val="clear" w:color="auto" w:fill="FFFFFF"/>
            <w:vAlign w:val="center"/>
          </w:tcPr>
          <w:p w14:paraId="3B37D10F">
            <w:pPr>
              <w:pStyle w:val="27"/>
              <w:jc w:val="center"/>
              <w:rPr>
                <w:rFonts w:ascii="Times New Roman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ascii="Times New Roman"/>
                <w:snapToGrid w:val="0"/>
                <w:color w:val="000000"/>
                <w:szCs w:val="21"/>
                <w:lang w:eastAsia="en-US"/>
              </w:rPr>
              <w:t>中度污染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7F167A2B">
            <w:pPr>
              <w:pStyle w:val="27"/>
              <w:jc w:val="center"/>
              <w:rPr>
                <w:rFonts w:ascii="Times New Roman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ascii="Times New Roman"/>
                <w:snapToGrid w:val="0"/>
                <w:color w:val="000000"/>
                <w:szCs w:val="21"/>
                <w:lang w:eastAsia="en-US"/>
              </w:rPr>
              <w:t>IV</w:t>
            </w:r>
          </w:p>
        </w:tc>
      </w:tr>
      <w:tr w14:paraId="6C46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803" w:type="dxa"/>
            <w:shd w:val="clear" w:color="auto" w:fill="FFFFFF"/>
            <w:vAlign w:val="center"/>
          </w:tcPr>
          <w:p w14:paraId="344A8BE7">
            <w:pPr>
              <w:pStyle w:val="27"/>
              <w:jc w:val="center"/>
              <w:rPr>
                <w:rFonts w:ascii="Times New Roman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ascii="Times New Roman"/>
                <w:i/>
                <w:iCs/>
                <w:snapToGrid w:val="0"/>
                <w:color w:val="000000"/>
                <w:szCs w:val="21"/>
                <w:lang w:eastAsia="en-US"/>
              </w:rPr>
              <w:t>P</w:t>
            </w:r>
            <w:r>
              <w:rPr>
                <w:rFonts w:ascii="Times New Roman"/>
                <w:snapToGrid w:val="0"/>
                <w:color w:val="000000"/>
                <w:szCs w:val="21"/>
                <w:vertAlign w:val="subscript"/>
                <w:lang w:eastAsia="en-US"/>
              </w:rPr>
              <w:t>i</w:t>
            </w:r>
            <w:r>
              <w:rPr>
                <w:rFonts w:ascii="Times New Roman"/>
                <w:snapToGrid w:val="0"/>
                <w:color w:val="000000"/>
                <w:szCs w:val="21"/>
                <w:lang w:eastAsia="en-US"/>
              </w:rPr>
              <w:t xml:space="preserve"> &gt; 5.0</w:t>
            </w:r>
          </w:p>
        </w:tc>
        <w:tc>
          <w:tcPr>
            <w:tcW w:w="3052" w:type="dxa"/>
            <w:shd w:val="clear" w:color="auto" w:fill="FFFFFF"/>
            <w:vAlign w:val="center"/>
          </w:tcPr>
          <w:p w14:paraId="6E971DFB">
            <w:pPr>
              <w:pStyle w:val="27"/>
              <w:jc w:val="center"/>
              <w:rPr>
                <w:rFonts w:ascii="Times New Roman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ascii="Times New Roman"/>
                <w:snapToGrid w:val="0"/>
                <w:color w:val="000000"/>
                <w:szCs w:val="21"/>
                <w:lang w:eastAsia="en-US"/>
              </w:rPr>
              <w:t>重度污染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307AD3FC">
            <w:pPr>
              <w:pStyle w:val="27"/>
              <w:jc w:val="center"/>
              <w:rPr>
                <w:rFonts w:ascii="Times New Roman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ascii="Times New Roman"/>
                <w:snapToGrid w:val="0"/>
                <w:color w:val="000000"/>
                <w:szCs w:val="21"/>
                <w:lang w:eastAsia="en-US"/>
              </w:rPr>
              <w:t>V</w:t>
            </w:r>
          </w:p>
        </w:tc>
      </w:tr>
    </w:tbl>
    <w:p w14:paraId="3A6C4F0D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2、地累积指数法</w:t>
      </w:r>
    </w:p>
    <w:p w14:paraId="68216C74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地累积指数法，它是利用一种重金属的总含量与其地球化学背景值的关系，定量评价沉积物中的重金属污染程度，其计算方法如下式。</w:t>
      </w:r>
    </w:p>
    <w:p w14:paraId="654A89F6">
      <w:pPr>
        <w:spacing w:line="360" w:lineRule="auto"/>
        <w:ind w:firstLine="720" w:firstLineChars="200"/>
        <w:rPr>
          <w:rFonts w:hint="eastAsia" w:ascii="宋体" w:hAnsi="宋体" w:cs="宋体"/>
          <w:color w:val="000000"/>
          <w:szCs w:val="21"/>
          <w:lang w:val="zh-CN"/>
        </w:rPr>
      </w:pPr>
      <m:oMathPara>
        <m:oMath>
          <m:sSub>
            <m:sSubPr>
              <m:ctrlPr>
                <w:rPr>
                  <w:rFonts w:ascii="Cambria Math" w:hAnsi="Cambria Math" w:cs="宋体"/>
                  <w:i/>
                  <w:color w:val="000000"/>
                  <w:sz w:val="36"/>
                  <w:szCs w:val="36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宋体"/>
                  <w:color w:val="000000"/>
                  <w:sz w:val="36"/>
                  <w:szCs w:val="36"/>
                  <w:lang w:val="zh-CN"/>
                </w:rPr>
                <m:t>I</m:t>
              </m:r>
              <m:ctrlPr>
                <w:rPr>
                  <w:rFonts w:ascii="Cambria Math" w:hAnsi="Cambria Math" w:cs="宋体"/>
                  <w:i/>
                  <w:color w:val="000000"/>
                  <w:sz w:val="36"/>
                  <w:szCs w:val="36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宋体"/>
                  <w:color w:val="000000"/>
                  <w:sz w:val="36"/>
                  <w:szCs w:val="36"/>
                  <w:lang w:val="zh-CN"/>
                </w:rPr>
                <m:t>geo=</m:t>
              </m:r>
              <m:sSub>
                <m:sSubPr>
                  <m:ctrlPr>
                    <w:rPr>
                      <w:rFonts w:ascii="Cambria Math" w:hAnsi="Cambria Math" w:cs="宋体"/>
                      <w:i/>
                      <w:color w:val="000000"/>
                      <w:sz w:val="36"/>
                      <w:szCs w:val="36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宋体"/>
                      <w:color w:val="000000"/>
                      <w:sz w:val="36"/>
                      <w:szCs w:val="36"/>
                      <w:lang w:val="zh-CN"/>
                    </w:rPr>
                    <m:t>log</m:t>
                  </m:r>
                  <m:ctrlPr>
                    <w:rPr>
                      <w:rFonts w:ascii="Cambria Math" w:hAnsi="Cambria Math" w:cs="宋体"/>
                      <w:i/>
                      <w:color w:val="000000"/>
                      <w:sz w:val="36"/>
                      <w:szCs w:val="36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宋体"/>
                      <w:color w:val="000000"/>
                      <w:sz w:val="36"/>
                      <w:szCs w:val="36"/>
                      <w:lang w:val="zh-CN"/>
                    </w:rPr>
                    <m:t>2</m:t>
                  </m:r>
                  <m:ctrlPr>
                    <w:rPr>
                      <w:rFonts w:ascii="Cambria Math" w:hAnsi="Cambria Math" w:cs="宋体"/>
                      <w:i/>
                      <w:color w:val="000000"/>
                      <w:sz w:val="36"/>
                      <w:szCs w:val="36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宋体"/>
                  <w:i/>
                  <w:color w:val="000000"/>
                  <w:sz w:val="36"/>
                  <w:szCs w:val="36"/>
                  <w:lang w:val="zh-CN"/>
                </w:rPr>
              </m:ctrlPr>
            </m:sub>
          </m:sSub>
          <m:r>
            <m:rPr/>
            <w:rPr>
              <w:rFonts w:ascii="Cambria Math" w:hAnsi="Cambria Math" w:cs="宋体"/>
              <w:color w:val="000000"/>
              <w:sz w:val="36"/>
              <w:szCs w:val="36"/>
              <w:lang w:val="zh-CN"/>
            </w:rPr>
            <m:t>(</m:t>
          </m:r>
          <m:f>
            <m:fPr>
              <m:ctrlPr>
                <w:rPr>
                  <w:rFonts w:ascii="Cambria Math" w:hAnsi="Cambria Math" w:cs="宋体"/>
                  <w:i/>
                  <w:color w:val="000000"/>
                  <w:sz w:val="36"/>
                  <w:szCs w:val="36"/>
                  <w:lang w:val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宋体"/>
                      <w:i/>
                      <w:color w:val="000000"/>
                      <w:sz w:val="36"/>
                      <w:szCs w:val="36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宋体"/>
                      <w:color w:val="000000"/>
                      <w:sz w:val="36"/>
                      <w:szCs w:val="36"/>
                      <w:lang w:val="zh-CN"/>
                    </w:rPr>
                    <m:t>C</m:t>
                  </m:r>
                  <m:ctrlPr>
                    <w:rPr>
                      <w:rFonts w:ascii="Cambria Math" w:hAnsi="Cambria Math" w:cs="宋体"/>
                      <w:i/>
                      <w:color w:val="000000"/>
                      <w:sz w:val="36"/>
                      <w:szCs w:val="36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宋体"/>
                      <w:color w:val="000000"/>
                      <w:sz w:val="36"/>
                      <w:szCs w:val="36"/>
                      <w:lang w:val="zh-CN"/>
                    </w:rPr>
                    <m:t>i</m:t>
                  </m:r>
                  <m:ctrlPr>
                    <w:rPr>
                      <w:rFonts w:ascii="Cambria Math" w:hAnsi="Cambria Math" w:cs="宋体"/>
                      <w:i/>
                      <w:color w:val="000000"/>
                      <w:sz w:val="36"/>
                      <w:szCs w:val="36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宋体"/>
                  <w:i/>
                  <w:color w:val="000000"/>
                  <w:sz w:val="36"/>
                  <w:szCs w:val="36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宋体"/>
                  <w:color w:val="000000"/>
                  <w:sz w:val="36"/>
                  <w:szCs w:val="36"/>
                  <w:lang w:val="zh-CN"/>
                </w:rPr>
                <m:t>k×Bi</m:t>
              </m:r>
              <m:ctrlPr>
                <w:rPr>
                  <w:rFonts w:ascii="Cambria Math" w:hAnsi="Cambria Math" w:cs="宋体"/>
                  <w:i/>
                  <w:color w:val="000000"/>
                  <w:sz w:val="36"/>
                  <w:szCs w:val="36"/>
                  <w:lang w:val="zh-CN"/>
                </w:rPr>
              </m:ctrlPr>
            </m:den>
          </m:f>
          <m:r>
            <m:rPr/>
            <w:rPr>
              <w:rFonts w:ascii="Cambria Math" w:hAnsi="Cambria Math" w:cs="宋体"/>
              <w:color w:val="000000"/>
              <w:sz w:val="36"/>
              <w:szCs w:val="36"/>
              <w:lang w:val="zh-CN"/>
            </w:rPr>
            <m:t>)</m:t>
          </m:r>
        </m:oMath>
      </m:oMathPara>
    </w:p>
    <w:p w14:paraId="779B8AD0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式中：</w:t>
      </w:r>
    </w:p>
    <w:p w14:paraId="14276EEF">
      <w:pPr>
        <w:spacing w:line="360" w:lineRule="auto"/>
        <w:ind w:firstLine="420" w:firstLineChars="200"/>
        <w:rPr>
          <w:color w:val="000000"/>
        </w:rPr>
      </w:pPr>
      <w:r>
        <w:rPr>
          <w:i/>
          <w:iCs/>
          <w:color w:val="000000"/>
        </w:rPr>
        <w:t>I</w:t>
      </w:r>
      <w:r>
        <w:rPr>
          <w:color w:val="000000"/>
          <w:vertAlign w:val="subscript"/>
        </w:rPr>
        <w:t>geo</w:t>
      </w:r>
      <w:r>
        <w:rPr>
          <w:color w:val="000000"/>
        </w:rPr>
        <w:t>—重金属</w:t>
      </w:r>
      <w:r>
        <w:rPr>
          <w:i/>
          <w:iCs/>
          <w:color w:val="000000"/>
        </w:rPr>
        <w:t>i</w:t>
      </w:r>
      <w:r>
        <w:rPr>
          <w:color w:val="000000"/>
        </w:rPr>
        <w:t>的地累积指数；</w:t>
      </w:r>
    </w:p>
    <w:p w14:paraId="3831A1AE">
      <w:pPr>
        <w:spacing w:line="360" w:lineRule="auto"/>
        <w:ind w:firstLine="420" w:firstLineChars="200"/>
        <w:rPr>
          <w:color w:val="000000"/>
        </w:rPr>
      </w:pPr>
      <w:r>
        <w:rPr>
          <w:i/>
          <w:iCs/>
          <w:color w:val="000000"/>
        </w:rPr>
        <w:t>C</w:t>
      </w:r>
      <w:r>
        <w:rPr>
          <w:color w:val="000000"/>
          <w:vertAlign w:val="subscript"/>
        </w:rPr>
        <w:t>i</w:t>
      </w:r>
      <w:r>
        <w:rPr>
          <w:color w:val="000000"/>
        </w:rPr>
        <w:t>—重金属</w:t>
      </w:r>
      <w:r>
        <w:rPr>
          <w:i/>
          <w:iCs/>
          <w:color w:val="000000"/>
        </w:rPr>
        <w:t>i</w:t>
      </w:r>
      <w:r>
        <w:rPr>
          <w:color w:val="000000"/>
        </w:rPr>
        <w:t>的实测浓度 (mg/kg)；</w:t>
      </w:r>
    </w:p>
    <w:p w14:paraId="293E1A5E">
      <w:pPr>
        <w:spacing w:line="360" w:lineRule="auto"/>
        <w:ind w:firstLine="420" w:firstLineChars="200"/>
        <w:rPr>
          <w:color w:val="000000"/>
        </w:rPr>
      </w:pPr>
      <w:r>
        <w:rPr>
          <w:i/>
          <w:iCs/>
          <w:color w:val="000000"/>
        </w:rPr>
        <w:t>B</w:t>
      </w:r>
      <w:r>
        <w:rPr>
          <w:color w:val="000000"/>
          <w:vertAlign w:val="subscript"/>
        </w:rPr>
        <w:t>i</w:t>
      </w:r>
      <w:r>
        <w:rPr>
          <w:color w:val="000000"/>
        </w:rPr>
        <w:t>—该区域的地球化学背景值 (mg/kg)（见附录A）；</w:t>
      </w:r>
    </w:p>
    <w:p w14:paraId="38F7CEB2">
      <w:pPr>
        <w:spacing w:line="360" w:lineRule="auto"/>
        <w:ind w:firstLine="420" w:firstLineChars="200"/>
        <w:rPr>
          <w:color w:val="000000"/>
        </w:rPr>
      </w:pPr>
      <w:r>
        <w:rPr>
          <w:i/>
          <w:iCs/>
          <w:color w:val="000000"/>
        </w:rPr>
        <w:t>k</w:t>
      </w:r>
      <w:r>
        <w:rPr>
          <w:color w:val="000000"/>
        </w:rPr>
        <w:t>—为考虑各</w:t>
      </w:r>
      <w:r>
        <w:t>地岩石</w:t>
      </w:r>
      <w:r>
        <w:rPr>
          <w:color w:val="000000"/>
        </w:rPr>
        <w:t>差异可能引起背景值变动而设定的常数，通常取1.5。</w:t>
      </w:r>
    </w:p>
    <w:p w14:paraId="51BC2507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地累积指数污染等级划分见下表：</w:t>
      </w:r>
    </w:p>
    <w:tbl>
      <w:tblPr>
        <w:tblStyle w:val="11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705"/>
        <w:gridCol w:w="1703"/>
      </w:tblGrid>
      <w:tr w14:paraId="25AA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826" w:type="pct"/>
            <w:vAlign w:val="center"/>
          </w:tcPr>
          <w:p w14:paraId="2F8D7AE7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i/>
                <w:iCs/>
                <w:color w:val="000000"/>
              </w:rPr>
              <w:t>I</w:t>
            </w:r>
            <w:r>
              <w:rPr>
                <w:rFonts w:ascii="Times New Roman"/>
                <w:color w:val="000000"/>
                <w:vertAlign w:val="subscript"/>
              </w:rPr>
              <w:t>geo</w:t>
            </w:r>
            <w:r>
              <w:rPr>
                <w:rFonts w:ascii="Times New Roman"/>
                <w:color w:val="000000"/>
              </w:rPr>
              <w:t>值</w:t>
            </w:r>
          </w:p>
        </w:tc>
        <w:tc>
          <w:tcPr>
            <w:tcW w:w="2174" w:type="pct"/>
            <w:vAlign w:val="center"/>
          </w:tcPr>
          <w:p w14:paraId="660B643B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污染等级</w:t>
            </w:r>
          </w:p>
        </w:tc>
        <w:tc>
          <w:tcPr>
            <w:tcW w:w="999" w:type="pct"/>
            <w:vAlign w:val="center"/>
          </w:tcPr>
          <w:p w14:paraId="2B720AA8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级别</w:t>
            </w:r>
          </w:p>
        </w:tc>
      </w:tr>
      <w:tr w14:paraId="0CEA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826" w:type="pct"/>
            <w:vAlign w:val="center"/>
          </w:tcPr>
          <w:p w14:paraId="4C3E2984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≤ 0</w:t>
            </w:r>
          </w:p>
        </w:tc>
        <w:tc>
          <w:tcPr>
            <w:tcW w:w="2174" w:type="pct"/>
            <w:vAlign w:val="center"/>
          </w:tcPr>
          <w:p w14:paraId="1BC93D22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无污染</w:t>
            </w:r>
          </w:p>
        </w:tc>
        <w:tc>
          <w:tcPr>
            <w:tcW w:w="999" w:type="pct"/>
            <w:vAlign w:val="center"/>
          </w:tcPr>
          <w:p w14:paraId="7458C576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0</w:t>
            </w:r>
          </w:p>
        </w:tc>
      </w:tr>
      <w:tr w14:paraId="5138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826" w:type="pct"/>
            <w:vAlign w:val="center"/>
          </w:tcPr>
          <w:p w14:paraId="20C5CF8F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0 &lt;</w:t>
            </w:r>
            <w:r>
              <w:rPr>
                <w:rFonts w:ascii="Times New Roman"/>
                <w:i/>
                <w:iCs/>
                <w:color w:val="000000"/>
              </w:rPr>
              <w:t>I</w:t>
            </w:r>
            <w:r>
              <w:rPr>
                <w:rFonts w:ascii="Times New Roman"/>
                <w:color w:val="000000"/>
                <w:vertAlign w:val="subscript"/>
              </w:rPr>
              <w:t>geo</w:t>
            </w:r>
            <w:r>
              <w:rPr>
                <w:rFonts w:ascii="Times New Roman"/>
                <w:color w:val="000000"/>
              </w:rPr>
              <w:t>≤ 1</w:t>
            </w:r>
          </w:p>
        </w:tc>
        <w:tc>
          <w:tcPr>
            <w:tcW w:w="2174" w:type="pct"/>
            <w:vAlign w:val="center"/>
          </w:tcPr>
          <w:p w14:paraId="05137F6C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无—中度污染</w:t>
            </w:r>
          </w:p>
        </w:tc>
        <w:tc>
          <w:tcPr>
            <w:tcW w:w="999" w:type="pct"/>
            <w:vAlign w:val="center"/>
          </w:tcPr>
          <w:p w14:paraId="2D14FEEA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1</w:t>
            </w:r>
          </w:p>
        </w:tc>
      </w:tr>
      <w:tr w14:paraId="6DC74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826" w:type="pct"/>
            <w:vAlign w:val="center"/>
          </w:tcPr>
          <w:p w14:paraId="20F1CADC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1 &lt;</w:t>
            </w:r>
            <w:r>
              <w:rPr>
                <w:rFonts w:ascii="Times New Roman"/>
                <w:i/>
                <w:iCs/>
                <w:color w:val="000000"/>
              </w:rPr>
              <w:t>I</w:t>
            </w:r>
            <w:r>
              <w:rPr>
                <w:rFonts w:ascii="Times New Roman"/>
                <w:color w:val="000000"/>
                <w:vertAlign w:val="subscript"/>
              </w:rPr>
              <w:t>geo</w:t>
            </w:r>
            <w:r>
              <w:rPr>
                <w:rFonts w:ascii="Times New Roman"/>
                <w:color w:val="000000"/>
              </w:rPr>
              <w:t>≤ 2</w:t>
            </w:r>
          </w:p>
        </w:tc>
        <w:tc>
          <w:tcPr>
            <w:tcW w:w="2174" w:type="pct"/>
            <w:vAlign w:val="center"/>
          </w:tcPr>
          <w:p w14:paraId="1BFAA4CE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中度污染</w:t>
            </w:r>
          </w:p>
        </w:tc>
        <w:tc>
          <w:tcPr>
            <w:tcW w:w="999" w:type="pct"/>
            <w:vAlign w:val="center"/>
          </w:tcPr>
          <w:p w14:paraId="21B53672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2</w:t>
            </w:r>
          </w:p>
        </w:tc>
      </w:tr>
      <w:tr w14:paraId="73C8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826" w:type="pct"/>
            <w:vAlign w:val="center"/>
          </w:tcPr>
          <w:p w14:paraId="7B696A18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2 &lt;</w:t>
            </w:r>
            <w:r>
              <w:rPr>
                <w:rFonts w:ascii="Times New Roman"/>
                <w:i/>
                <w:iCs/>
                <w:color w:val="000000"/>
              </w:rPr>
              <w:t>I</w:t>
            </w:r>
            <w:r>
              <w:rPr>
                <w:rFonts w:ascii="Times New Roman"/>
                <w:color w:val="000000"/>
                <w:vertAlign w:val="subscript"/>
              </w:rPr>
              <w:t>geo</w:t>
            </w:r>
            <w:r>
              <w:rPr>
                <w:rFonts w:ascii="Times New Roman"/>
                <w:color w:val="000000"/>
              </w:rPr>
              <w:t>≤ 3</w:t>
            </w:r>
          </w:p>
        </w:tc>
        <w:tc>
          <w:tcPr>
            <w:tcW w:w="2174" w:type="pct"/>
            <w:vAlign w:val="center"/>
          </w:tcPr>
          <w:p w14:paraId="3A1831BD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中—强度污染</w:t>
            </w:r>
          </w:p>
        </w:tc>
        <w:tc>
          <w:tcPr>
            <w:tcW w:w="999" w:type="pct"/>
            <w:vAlign w:val="center"/>
          </w:tcPr>
          <w:p w14:paraId="7D3E643E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3</w:t>
            </w:r>
          </w:p>
        </w:tc>
      </w:tr>
      <w:tr w14:paraId="1E22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826" w:type="pct"/>
            <w:vAlign w:val="center"/>
          </w:tcPr>
          <w:p w14:paraId="572C8425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3 &lt;</w:t>
            </w:r>
            <w:r>
              <w:rPr>
                <w:rFonts w:ascii="Times New Roman"/>
                <w:i/>
                <w:iCs/>
                <w:color w:val="000000"/>
              </w:rPr>
              <w:t>I</w:t>
            </w:r>
            <w:r>
              <w:rPr>
                <w:rFonts w:ascii="Times New Roman"/>
                <w:color w:val="000000"/>
                <w:vertAlign w:val="subscript"/>
              </w:rPr>
              <w:t>geo</w:t>
            </w:r>
            <w:r>
              <w:rPr>
                <w:rFonts w:ascii="Times New Roman"/>
                <w:color w:val="000000"/>
              </w:rPr>
              <w:t>≤ 4</w:t>
            </w:r>
          </w:p>
        </w:tc>
        <w:tc>
          <w:tcPr>
            <w:tcW w:w="2174" w:type="pct"/>
            <w:vAlign w:val="center"/>
          </w:tcPr>
          <w:p w14:paraId="478DAF95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强度污染</w:t>
            </w:r>
          </w:p>
        </w:tc>
        <w:tc>
          <w:tcPr>
            <w:tcW w:w="999" w:type="pct"/>
            <w:vAlign w:val="center"/>
          </w:tcPr>
          <w:p w14:paraId="6C7C9D53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4</w:t>
            </w:r>
          </w:p>
        </w:tc>
      </w:tr>
      <w:tr w14:paraId="1361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826" w:type="pct"/>
            <w:vAlign w:val="center"/>
          </w:tcPr>
          <w:p w14:paraId="28F99869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4 &lt;</w:t>
            </w:r>
            <w:r>
              <w:rPr>
                <w:rFonts w:ascii="Times New Roman"/>
                <w:i/>
                <w:iCs/>
                <w:color w:val="000000"/>
              </w:rPr>
              <w:t>I</w:t>
            </w:r>
            <w:r>
              <w:rPr>
                <w:rFonts w:ascii="Times New Roman"/>
                <w:color w:val="000000"/>
                <w:vertAlign w:val="subscript"/>
              </w:rPr>
              <w:t>geo</w:t>
            </w:r>
            <w:r>
              <w:rPr>
                <w:rFonts w:ascii="Times New Roman"/>
                <w:color w:val="000000"/>
              </w:rPr>
              <w:t>≤ 5</w:t>
            </w:r>
          </w:p>
        </w:tc>
        <w:tc>
          <w:tcPr>
            <w:tcW w:w="2174" w:type="pct"/>
            <w:vAlign w:val="center"/>
          </w:tcPr>
          <w:p w14:paraId="1BDEAC3D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强—极强度污染</w:t>
            </w:r>
          </w:p>
        </w:tc>
        <w:tc>
          <w:tcPr>
            <w:tcW w:w="999" w:type="pct"/>
            <w:vAlign w:val="center"/>
          </w:tcPr>
          <w:p w14:paraId="437D10C8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5</w:t>
            </w:r>
          </w:p>
        </w:tc>
      </w:tr>
      <w:tr w14:paraId="212FA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826" w:type="pct"/>
            <w:vAlign w:val="center"/>
          </w:tcPr>
          <w:p w14:paraId="7102BA17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&gt; 5</w:t>
            </w:r>
          </w:p>
        </w:tc>
        <w:tc>
          <w:tcPr>
            <w:tcW w:w="2174" w:type="pct"/>
            <w:vAlign w:val="center"/>
          </w:tcPr>
          <w:p w14:paraId="60569951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极强度污染</w:t>
            </w:r>
          </w:p>
        </w:tc>
        <w:tc>
          <w:tcPr>
            <w:tcW w:w="999" w:type="pct"/>
            <w:vAlign w:val="center"/>
          </w:tcPr>
          <w:p w14:paraId="09C0C857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6</w:t>
            </w:r>
          </w:p>
        </w:tc>
      </w:tr>
    </w:tbl>
    <w:p w14:paraId="709C6C1D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3、潜在生态风险指数法 (RI)</w:t>
      </w:r>
    </w:p>
    <w:p w14:paraId="3BEC7BB7">
      <w:pPr>
        <w:widowControl/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该</w:t>
      </w:r>
      <w:r>
        <w:rPr>
          <w:rFonts w:hint="eastAsia" w:ascii="宋体" w:hAnsi="宋体" w:cs="微软雅黑"/>
          <w:color w:val="000000"/>
          <w:szCs w:val="21"/>
          <w:lang w:val="zh-CN"/>
        </w:rPr>
        <w:t>方法</w:t>
      </w:r>
      <w:r>
        <w:rPr>
          <w:rFonts w:hint="eastAsia" w:ascii="宋体" w:hAnsi="宋体" w:cs="宋体"/>
          <w:color w:val="000000"/>
          <w:szCs w:val="21"/>
          <w:lang w:val="zh-CN"/>
        </w:rPr>
        <w:t>综合考虑了重金属浓度、毒性</w:t>
      </w:r>
      <w:r>
        <w:rPr>
          <w:rFonts w:hint="eastAsia" w:ascii="宋体" w:hAnsi="宋体" w:cs="微软雅黑"/>
          <w:color w:val="000000"/>
          <w:szCs w:val="21"/>
          <w:lang w:val="zh-CN"/>
        </w:rPr>
        <w:t>水平</w:t>
      </w:r>
      <w:r>
        <w:rPr>
          <w:rFonts w:hint="eastAsia" w:ascii="宋体" w:hAnsi="宋体" w:cs="宋体"/>
          <w:color w:val="000000"/>
          <w:szCs w:val="21"/>
          <w:lang w:val="zh-CN"/>
        </w:rPr>
        <w:t>、多元素协同作用以及环境敏感性，是</w:t>
      </w:r>
      <w:r>
        <w:rPr>
          <w:rFonts w:hint="eastAsia" w:ascii="宋体" w:hAnsi="宋体" w:cs="微软雅黑"/>
          <w:color w:val="000000"/>
          <w:szCs w:val="21"/>
          <w:lang w:val="zh-CN"/>
        </w:rPr>
        <w:t>目前应用</w:t>
      </w:r>
      <w:r>
        <w:rPr>
          <w:rFonts w:hint="eastAsia" w:ascii="宋体" w:hAnsi="宋体" w:cs="宋体"/>
          <w:color w:val="000000"/>
          <w:szCs w:val="21"/>
          <w:lang w:val="zh-CN"/>
        </w:rPr>
        <w:t>最广的重金属生态风险评价</w:t>
      </w:r>
      <w:r>
        <w:rPr>
          <w:rFonts w:hint="eastAsia" w:ascii="宋体" w:hAnsi="宋体" w:cs="微软雅黑"/>
          <w:color w:val="000000"/>
          <w:szCs w:val="21"/>
          <w:lang w:val="zh-CN"/>
        </w:rPr>
        <w:t>方法</w:t>
      </w:r>
      <w:r>
        <w:rPr>
          <w:rFonts w:hint="eastAsia" w:ascii="宋体" w:hAnsi="宋体" w:cs="宋体"/>
          <w:color w:val="000000"/>
          <w:szCs w:val="21"/>
          <w:lang w:val="zh-CN"/>
        </w:rPr>
        <w:t>之</w:t>
      </w:r>
      <w:r>
        <w:rPr>
          <w:rFonts w:hint="eastAsia" w:ascii="微软雅黑" w:hAnsi="微软雅黑" w:eastAsia="微软雅黑" w:cs="微软雅黑"/>
          <w:color w:val="000000"/>
          <w:szCs w:val="21"/>
          <w:lang w:val="zh-CN"/>
        </w:rPr>
        <w:t>⼀</w:t>
      </w:r>
      <w:r>
        <w:rPr>
          <w:rFonts w:hint="eastAsia" w:ascii="宋体" w:hAnsi="宋体" w:cs="宋体"/>
          <w:color w:val="000000"/>
          <w:szCs w:val="21"/>
          <w:lang w:val="zh-CN"/>
        </w:rPr>
        <w:t xml:space="preserve"> 。</w:t>
      </w:r>
    </w:p>
    <w:p w14:paraId="7A52DF23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单种重金属的潜在</w:t>
      </w:r>
      <w:r>
        <w:rPr>
          <w:rFonts w:hint="eastAsia" w:ascii="宋体" w:hAnsi="宋体" w:cs="微软雅黑"/>
          <w:color w:val="000000"/>
          <w:szCs w:val="21"/>
          <w:lang w:val="zh-CN"/>
        </w:rPr>
        <w:t>生态</w:t>
      </w:r>
      <w:r>
        <w:rPr>
          <w:rFonts w:hint="eastAsia" w:ascii="宋体" w:hAnsi="宋体" w:cs="宋体"/>
          <w:color w:val="000000"/>
          <w:szCs w:val="21"/>
          <w:lang w:val="zh-CN"/>
        </w:rPr>
        <w:t>风险系数(</w:t>
      </w:r>
      <w:r>
        <w:rPr>
          <w:i/>
          <w:iCs/>
          <w:color w:val="000000"/>
        </w:rPr>
        <w:t>E</w:t>
      </w:r>
      <w:r>
        <w:rPr>
          <w:color w:val="000000"/>
          <w:vertAlign w:val="subscript"/>
        </w:rPr>
        <w:t>r</w:t>
      </w:r>
      <w:r>
        <w:rPr>
          <w:color w:val="000000"/>
          <w:vertAlign w:val="superscript"/>
        </w:rPr>
        <w:t>i</w:t>
      </w:r>
      <w:r>
        <w:rPr>
          <w:rFonts w:hint="eastAsia" w:ascii="宋体" w:hAnsi="宋体" w:cs="宋体"/>
          <w:color w:val="000000"/>
          <w:szCs w:val="21"/>
          <w:lang w:val="zh-CN"/>
        </w:rPr>
        <w:t>)和多种重</w:t>
      </w:r>
      <w:r>
        <w:rPr>
          <w:rFonts w:hint="eastAsia" w:ascii="微软雅黑" w:hAnsi="微软雅黑" w:eastAsia="微软雅黑" w:cs="微软雅黑"/>
          <w:color w:val="000000"/>
          <w:szCs w:val="21"/>
          <w:lang w:val="zh-CN"/>
        </w:rPr>
        <w:t>⾦</w:t>
      </w:r>
      <w:r>
        <w:rPr>
          <w:rFonts w:hint="eastAsia" w:ascii="宋体" w:hAnsi="宋体" w:cs="宋体"/>
          <w:color w:val="000000"/>
          <w:szCs w:val="21"/>
          <w:lang w:val="zh-CN"/>
        </w:rPr>
        <w:t>属的综合潜在生态风险指数(</w:t>
      </w:r>
      <w:r>
        <w:rPr>
          <w:i/>
          <w:iCs/>
          <w:color w:val="000000"/>
        </w:rPr>
        <w:t>RI</w:t>
      </w:r>
      <w:r>
        <w:rPr>
          <w:rFonts w:hint="eastAsia" w:ascii="宋体" w:hAnsi="宋体" w:cs="宋体"/>
          <w:color w:val="000000"/>
          <w:szCs w:val="21"/>
          <w:lang w:val="zh-CN"/>
        </w:rPr>
        <w:t>)计算公式如下：</w:t>
      </w:r>
    </w:p>
    <w:p w14:paraId="584742BD">
      <w:pPr>
        <w:spacing w:line="360" w:lineRule="auto"/>
        <w:ind w:firstLine="198" w:firstLineChars="55"/>
        <w:rPr>
          <w:rFonts w:hint="eastAsia"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 w:val="36"/>
          <w:szCs w:val="36"/>
          <w:lang w:val="zh-CN"/>
        </w:rPr>
        <w:t xml:space="preserve">                 </w:t>
      </w:r>
      <m:oMath>
        <m:sSubSup>
          <m:sSubSupPr>
            <m:ctrlPr>
              <w:rPr>
                <w:rFonts w:ascii="Cambria Math" w:hAnsi="Cambria Math" w:cs="宋体"/>
                <w:i/>
                <w:color w:val="000000"/>
                <w:sz w:val="36"/>
                <w:szCs w:val="36"/>
                <w:lang w:val="zh-CN"/>
              </w:rPr>
            </m:ctrlPr>
          </m:sSubSupPr>
          <m:e>
            <m:sSubSup>
              <m:sSubSupPr>
                <m:ctrlPr>
                  <w:rPr>
                    <w:rFonts w:ascii="Cambria Math" w:hAnsi="Cambria Math" w:cs="宋体"/>
                    <w:i/>
                    <w:color w:val="000000"/>
                    <w:sz w:val="36"/>
                    <w:szCs w:val="36"/>
                    <w:lang w:val="zh-CN"/>
                  </w:rPr>
                </m:ctrlPr>
              </m:sSubSupPr>
              <m:e>
                <m:r>
                  <m:rPr/>
                  <w:rPr>
                    <w:rFonts w:ascii="Cambria Math" w:hAnsi="Cambria Math" w:cs="宋体"/>
                    <w:color w:val="000000"/>
                    <w:sz w:val="36"/>
                    <w:szCs w:val="36"/>
                    <w:lang w:val="zh-CN"/>
                  </w:rPr>
                  <m:t>C</m:t>
                </m:r>
                <m:ctrlPr>
                  <w:rPr>
                    <w:rFonts w:ascii="Cambria Math" w:hAnsi="Cambria Math" w:cs="宋体"/>
                    <w:i/>
                    <w:color w:val="000000"/>
                    <w:sz w:val="36"/>
                    <w:szCs w:val="36"/>
                    <w:lang w:val="zh-CN"/>
                  </w:rPr>
                </m:ctrlPr>
              </m:e>
              <m:sub>
                <m:r>
                  <m:rPr/>
                  <w:rPr>
                    <w:rFonts w:ascii="Cambria Math" w:hAnsi="Cambria Math" w:cs="宋体"/>
                    <w:color w:val="000000"/>
                    <w:sz w:val="36"/>
                    <w:szCs w:val="36"/>
                    <w:lang w:val="zh-CN"/>
                  </w:rPr>
                  <m:t>f</m:t>
                </m:r>
                <m:ctrlPr>
                  <w:rPr>
                    <w:rFonts w:ascii="Cambria Math" w:hAnsi="Cambria Math" w:cs="宋体"/>
                    <w:i/>
                    <w:color w:val="000000"/>
                    <w:sz w:val="36"/>
                    <w:szCs w:val="36"/>
                    <w:lang w:val="zh-CN"/>
                  </w:rPr>
                </m:ctrlPr>
              </m:sub>
              <m:sup>
                <m:r>
                  <m:rPr/>
                  <w:rPr>
                    <w:rFonts w:ascii="Cambria Math" w:hAnsi="Cambria Math" w:cs="宋体"/>
                    <w:color w:val="000000"/>
                    <w:sz w:val="36"/>
                    <w:szCs w:val="36"/>
                    <w:lang w:val="zh-CN"/>
                  </w:rPr>
                  <m:t>i</m:t>
                </m:r>
                <m:ctrlPr>
                  <w:rPr>
                    <w:rFonts w:ascii="Cambria Math" w:hAnsi="Cambria Math" w:cs="宋体"/>
                    <w:i/>
                    <w:color w:val="000000"/>
                    <w:sz w:val="36"/>
                    <w:szCs w:val="36"/>
                    <w:lang w:val="zh-CN"/>
                  </w:rPr>
                </m:ctrlPr>
              </m:sup>
            </m:sSubSup>
            <m:r>
              <m:rPr>
                <m:sty m:val="p"/>
              </m:rPr>
              <w:rPr>
                <w:rFonts w:ascii="Cambria Math" w:hAnsi="Cambria Math" w:cs="宋体"/>
                <w:color w:val="000000"/>
                <w:sz w:val="36"/>
                <w:szCs w:val="36"/>
                <w:lang w:val="zh-CN"/>
              </w:rPr>
              <m:t>=</m:t>
            </m:r>
            <m:r>
              <m:rPr/>
              <w:rPr>
                <w:rFonts w:ascii="Cambria Math" w:hAnsi="Cambria Math" w:cs="宋体"/>
                <w:color w:val="000000"/>
                <w:sz w:val="36"/>
                <w:szCs w:val="36"/>
                <w:lang w:val="zh-CN"/>
              </w:rPr>
              <m:t>C</m:t>
            </m:r>
            <m:ctrlPr>
              <w:rPr>
                <w:rFonts w:ascii="Cambria Math" w:hAnsi="Cambria Math" w:cs="宋体"/>
                <w:i/>
                <w:color w:val="000000"/>
                <w:sz w:val="36"/>
                <w:szCs w:val="36"/>
                <w:lang w:val="zh-CN"/>
              </w:rPr>
            </m:ctrlPr>
          </m:e>
          <m:sub>
            <m:r>
              <m:rPr/>
              <w:rPr>
                <w:rFonts w:ascii="Cambria Math" w:hAnsi="Cambria Math" w:cs="宋体"/>
                <w:color w:val="000000"/>
                <w:sz w:val="36"/>
                <w:szCs w:val="36"/>
                <w:lang w:val="zh-CN"/>
              </w:rPr>
              <m:t>D</m:t>
            </m:r>
            <m:ctrlPr>
              <w:rPr>
                <w:rFonts w:ascii="Cambria Math" w:hAnsi="Cambria Math" w:cs="宋体"/>
                <w:i/>
                <w:color w:val="000000"/>
                <w:sz w:val="36"/>
                <w:szCs w:val="36"/>
                <w:lang w:val="zh-CN"/>
              </w:rPr>
            </m:ctrlPr>
          </m:sub>
          <m:sup>
            <m:r>
              <m:rPr/>
              <w:rPr>
                <w:rFonts w:ascii="Cambria Math" w:hAnsi="Cambria Math" w:cs="宋体"/>
                <w:color w:val="000000"/>
                <w:sz w:val="36"/>
                <w:szCs w:val="36"/>
                <w:lang w:val="zh-CN"/>
              </w:rPr>
              <m:t>i</m:t>
            </m:r>
            <m:ctrlPr>
              <w:rPr>
                <w:rFonts w:ascii="Cambria Math" w:hAnsi="Cambria Math" w:cs="宋体"/>
                <w:i/>
                <w:color w:val="000000"/>
                <w:sz w:val="36"/>
                <w:szCs w:val="36"/>
                <w:lang w:val="zh-CN"/>
              </w:rPr>
            </m:ctrlPr>
          </m:sup>
        </m:sSubSup>
        <m:r>
          <m:rPr/>
          <w:rPr>
            <w:rFonts w:ascii="Cambria Math" w:hAnsi="Cambria Math" w:cs="宋体"/>
            <w:color w:val="000000"/>
            <w:sz w:val="36"/>
            <w:szCs w:val="36"/>
            <w:lang w:val="zh-CN"/>
          </w:rPr>
          <m:t>/</m:t>
        </m:r>
        <m:sSubSup>
          <m:sSubSupPr>
            <m:ctrlPr>
              <w:rPr>
                <w:rFonts w:ascii="Cambria Math" w:hAnsi="Cambria Math" w:cs="宋体"/>
                <w:i/>
                <w:color w:val="000000"/>
                <w:sz w:val="36"/>
                <w:szCs w:val="36"/>
                <w:lang w:val="zh-CN"/>
              </w:rPr>
            </m:ctrlPr>
          </m:sSubSupPr>
          <m:e>
            <m:r>
              <m:rPr/>
              <w:rPr>
                <w:rFonts w:ascii="Cambria Math" w:hAnsi="Cambria Math" w:cs="宋体"/>
                <w:color w:val="000000"/>
                <w:sz w:val="36"/>
                <w:szCs w:val="36"/>
                <w:lang w:val="zh-CN"/>
              </w:rPr>
              <m:t>C</m:t>
            </m:r>
            <m:ctrlPr>
              <w:rPr>
                <w:rFonts w:ascii="Cambria Math" w:hAnsi="Cambria Math" w:cs="宋体"/>
                <w:i/>
                <w:color w:val="000000"/>
                <w:sz w:val="36"/>
                <w:szCs w:val="36"/>
                <w:lang w:val="zh-CN"/>
              </w:rPr>
            </m:ctrlPr>
          </m:e>
          <m:sub>
            <m:r>
              <m:rPr/>
              <w:rPr>
                <w:rFonts w:ascii="Cambria Math" w:hAnsi="Cambria Math" w:cs="宋体"/>
                <w:color w:val="000000"/>
                <w:sz w:val="36"/>
                <w:szCs w:val="36"/>
                <w:lang w:val="zh-CN"/>
              </w:rPr>
              <m:t>R</m:t>
            </m:r>
            <m:ctrlPr>
              <w:rPr>
                <w:rFonts w:ascii="Cambria Math" w:hAnsi="Cambria Math" w:cs="宋体"/>
                <w:i/>
                <w:color w:val="000000"/>
                <w:sz w:val="36"/>
                <w:szCs w:val="36"/>
                <w:lang w:val="zh-CN"/>
              </w:rPr>
            </m:ctrlPr>
          </m:sub>
          <m:sup>
            <m:r>
              <m:rPr/>
              <w:rPr>
                <w:rFonts w:ascii="Cambria Math" w:hAnsi="Cambria Math" w:cs="宋体"/>
                <w:color w:val="000000"/>
                <w:sz w:val="36"/>
                <w:szCs w:val="36"/>
                <w:lang w:val="zh-CN"/>
              </w:rPr>
              <m:t>i</m:t>
            </m:r>
            <m:ctrlPr>
              <w:rPr>
                <w:rFonts w:ascii="Cambria Math" w:hAnsi="Cambria Math" w:cs="宋体"/>
                <w:i/>
                <w:color w:val="000000"/>
                <w:sz w:val="36"/>
                <w:szCs w:val="36"/>
                <w:lang w:val="zh-CN"/>
              </w:rPr>
            </m:ctrlPr>
          </m:sup>
        </m:sSubSup>
      </m:oMath>
    </w:p>
    <w:p w14:paraId="40D844C5">
      <w:pPr>
        <w:spacing w:line="360" w:lineRule="auto"/>
        <w:rPr>
          <w:rFonts w:hint="eastAsia" w:ascii="宋体" w:hAnsi="宋体" w:cs="宋体"/>
          <w:color w:val="000000"/>
          <w:szCs w:val="21"/>
          <w:lang w:val="zh-CN"/>
        </w:rPr>
      </w:pPr>
      <m:oMathPara>
        <m:oMath>
          <m:sSubSup>
            <m:sSubSupPr>
              <m:ctrlPr>
                <w:rPr>
                  <w:rFonts w:ascii="Cambria Math" w:hAnsi="Cambria Math" w:cs="宋体"/>
                  <w:i/>
                  <w:color w:val="000000"/>
                  <w:sz w:val="36"/>
                  <w:szCs w:val="36"/>
                  <w:lang w:val="zh-CN"/>
                </w:rPr>
              </m:ctrlPr>
            </m:sSubSupPr>
            <m:e>
              <m:r>
                <m:rPr/>
                <w:rPr>
                  <w:rFonts w:ascii="Cambria Math" w:hAnsi="Cambria Math" w:cs="宋体"/>
                  <w:color w:val="000000"/>
                  <w:sz w:val="36"/>
                  <w:szCs w:val="36"/>
                  <w:lang w:val="zh-CN"/>
                </w:rPr>
                <m:t>E</m:t>
              </m:r>
              <m:ctrlPr>
                <w:rPr>
                  <w:rFonts w:ascii="Cambria Math" w:hAnsi="Cambria Math" w:cs="宋体"/>
                  <w:i/>
                  <w:color w:val="000000"/>
                  <w:sz w:val="36"/>
                  <w:szCs w:val="36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宋体"/>
                  <w:color w:val="000000"/>
                  <w:sz w:val="36"/>
                  <w:szCs w:val="36"/>
                  <w:lang w:val="zh-CN"/>
                </w:rPr>
                <m:t>r</m:t>
              </m:r>
              <m:ctrlPr>
                <w:rPr>
                  <w:rFonts w:ascii="Cambria Math" w:hAnsi="Cambria Math" w:cs="宋体"/>
                  <w:i/>
                  <w:color w:val="000000"/>
                  <w:sz w:val="36"/>
                  <w:szCs w:val="36"/>
                  <w:lang w:val="zh-CN"/>
                </w:rPr>
              </m:ctrlPr>
            </m:sub>
            <m:sup>
              <m:r>
                <m:rPr/>
                <w:rPr>
                  <w:rFonts w:ascii="Cambria Math" w:hAnsi="Cambria Math" w:cs="宋体"/>
                  <w:color w:val="000000"/>
                  <w:sz w:val="36"/>
                  <w:szCs w:val="36"/>
                  <w:lang w:val="zh-CN"/>
                </w:rPr>
                <m:t>i</m:t>
              </m:r>
              <m:ctrlPr>
                <w:rPr>
                  <w:rFonts w:ascii="Cambria Math" w:hAnsi="Cambria Math" w:cs="宋体"/>
                  <w:i/>
                  <w:color w:val="000000"/>
                  <w:sz w:val="36"/>
                  <w:szCs w:val="36"/>
                  <w:lang w:val="zh-CN"/>
                </w:rPr>
              </m:ctrlPr>
            </m:sup>
          </m:sSubSup>
          <m:r>
            <m:rPr/>
            <w:rPr>
              <w:rFonts w:ascii="Cambria Math" w:hAnsi="Cambria Math" w:cs="宋体"/>
              <w:color w:val="000000"/>
              <w:sz w:val="36"/>
              <w:szCs w:val="36"/>
              <w:lang w:val="zh-CN"/>
            </w:rPr>
            <m:t>=</m:t>
          </m:r>
          <m:sSubSup>
            <m:sSubSupPr>
              <m:ctrlPr>
                <w:rPr>
                  <w:rFonts w:ascii="Cambria Math" w:hAnsi="Cambria Math" w:cs="宋体"/>
                  <w:i/>
                  <w:color w:val="000000"/>
                  <w:sz w:val="36"/>
                  <w:szCs w:val="36"/>
                  <w:lang w:val="zh-CN"/>
                </w:rPr>
              </m:ctrlPr>
            </m:sSubSupPr>
            <m:e>
              <m:r>
                <m:rPr/>
                <w:rPr>
                  <w:rFonts w:ascii="Cambria Math" w:hAnsi="Cambria Math" w:cs="宋体"/>
                  <w:color w:val="000000"/>
                  <w:sz w:val="36"/>
                  <w:szCs w:val="36"/>
                  <w:lang w:val="zh-CN"/>
                </w:rPr>
                <m:t>T</m:t>
              </m:r>
              <m:ctrlPr>
                <w:rPr>
                  <w:rFonts w:ascii="Cambria Math" w:hAnsi="Cambria Math" w:cs="宋体"/>
                  <w:i/>
                  <w:color w:val="000000"/>
                  <w:sz w:val="36"/>
                  <w:szCs w:val="36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宋体"/>
                  <w:color w:val="000000"/>
                  <w:sz w:val="36"/>
                  <w:szCs w:val="36"/>
                  <w:lang w:val="zh-CN"/>
                </w:rPr>
                <m:t>r</m:t>
              </m:r>
              <m:ctrlPr>
                <w:rPr>
                  <w:rFonts w:ascii="Cambria Math" w:hAnsi="Cambria Math" w:cs="宋体"/>
                  <w:i/>
                  <w:color w:val="000000"/>
                  <w:sz w:val="36"/>
                  <w:szCs w:val="36"/>
                  <w:lang w:val="zh-CN"/>
                </w:rPr>
              </m:ctrlPr>
            </m:sub>
            <m:sup>
              <m:r>
                <m:rPr/>
                <w:rPr>
                  <w:rFonts w:ascii="Cambria Math" w:hAnsi="Cambria Math" w:cs="宋体"/>
                  <w:color w:val="000000"/>
                  <w:sz w:val="36"/>
                  <w:szCs w:val="36"/>
                  <w:lang w:val="zh-CN"/>
                </w:rPr>
                <m:t>i</m:t>
              </m:r>
              <m:ctrlPr>
                <w:rPr>
                  <w:rFonts w:ascii="Cambria Math" w:hAnsi="Cambria Math" w:cs="宋体"/>
                  <w:i/>
                  <w:color w:val="000000"/>
                  <w:sz w:val="36"/>
                  <w:szCs w:val="36"/>
                  <w:lang w:val="zh-CN"/>
                </w:rPr>
              </m:ctrlPr>
            </m:sup>
          </m:sSubSup>
          <m:r>
            <m:rPr/>
            <w:rPr>
              <w:rFonts w:ascii="Cambria Math" w:hAnsi="Cambria Math" w:cs="宋体"/>
              <w:color w:val="000000"/>
              <w:sz w:val="36"/>
              <w:szCs w:val="36"/>
              <w:lang w:val="zh-CN"/>
            </w:rPr>
            <m:t>×</m:t>
          </m:r>
          <m:sSubSup>
            <m:sSubSupPr>
              <m:ctrlPr>
                <w:rPr>
                  <w:rFonts w:ascii="Cambria Math" w:hAnsi="Cambria Math" w:cs="宋体"/>
                  <w:i/>
                  <w:color w:val="000000"/>
                  <w:sz w:val="36"/>
                  <w:szCs w:val="36"/>
                  <w:lang w:val="zh-CN"/>
                </w:rPr>
              </m:ctrlPr>
            </m:sSubSupPr>
            <m:e>
              <m:r>
                <m:rPr/>
                <w:rPr>
                  <w:rFonts w:ascii="Cambria Math" w:hAnsi="Cambria Math" w:cs="宋体"/>
                  <w:color w:val="000000"/>
                  <w:sz w:val="36"/>
                  <w:szCs w:val="36"/>
                </w:rPr>
                <m:t>C</m:t>
              </m:r>
              <m:ctrlPr>
                <w:rPr>
                  <w:rFonts w:ascii="Cambria Math" w:hAnsi="Cambria Math" w:cs="宋体"/>
                  <w:i/>
                  <w:color w:val="000000"/>
                  <w:sz w:val="36"/>
                  <w:szCs w:val="36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宋体"/>
                  <w:color w:val="000000"/>
                  <w:sz w:val="36"/>
                  <w:szCs w:val="36"/>
                </w:rPr>
                <m:t>f</m:t>
              </m:r>
              <m:ctrlPr>
                <w:rPr>
                  <w:rFonts w:ascii="Cambria Math" w:hAnsi="Cambria Math" w:cs="宋体"/>
                  <w:i/>
                  <w:color w:val="000000"/>
                  <w:sz w:val="36"/>
                  <w:szCs w:val="36"/>
                  <w:lang w:val="zh-CN"/>
                </w:rPr>
              </m:ctrlPr>
            </m:sub>
            <m:sup>
              <m:r>
                <m:rPr/>
                <w:rPr>
                  <w:rFonts w:ascii="Cambria Math" w:hAnsi="Cambria Math" w:cs="宋体"/>
                  <w:color w:val="000000"/>
                  <w:sz w:val="36"/>
                  <w:szCs w:val="36"/>
                  <w:lang w:val="zh-CN"/>
                </w:rPr>
                <m:t>i</m:t>
              </m:r>
              <m:ctrlPr>
                <w:rPr>
                  <w:rFonts w:ascii="Cambria Math" w:hAnsi="Cambria Math" w:cs="宋体"/>
                  <w:i/>
                  <w:color w:val="000000"/>
                  <w:sz w:val="36"/>
                  <w:szCs w:val="36"/>
                  <w:lang w:val="zh-CN"/>
                </w:rPr>
              </m:ctrlPr>
            </m:sup>
          </m:sSubSup>
        </m:oMath>
      </m:oMathPara>
    </w:p>
    <w:p w14:paraId="43D319ED">
      <w:pPr>
        <w:spacing w:line="360" w:lineRule="auto"/>
        <w:ind w:firstLine="720" w:firstLineChars="200"/>
        <w:rPr>
          <w:rFonts w:hint="eastAsia" w:ascii="宋体" w:hAnsi="宋体" w:cs="宋体"/>
          <w:color w:val="000000"/>
          <w:szCs w:val="21"/>
          <w:lang w:val="zh-CN"/>
        </w:rPr>
      </w:pPr>
      <m:oMathPara>
        <m:oMath>
          <m:r>
            <m:rPr/>
            <w:rPr>
              <w:rFonts w:ascii="Cambria Math" w:hAnsi="Cambria Math" w:cs="宋体"/>
              <w:color w:val="000000"/>
              <w:sz w:val="36"/>
              <w:szCs w:val="36"/>
              <w:lang w:val="zh-CN"/>
            </w:rPr>
            <m:t>RI=</m:t>
          </m:r>
          <m:nary>
            <m:naryPr>
              <m:chr m:val="∑"/>
              <m:limLoc m:val="undOvr"/>
              <m:ctrlPr>
                <w:rPr>
                  <w:rFonts w:ascii="Cambria Math" w:hAnsi="Cambria Math" w:cs="宋体"/>
                  <w:i/>
                  <w:color w:val="000000"/>
                  <w:sz w:val="36"/>
                  <w:szCs w:val="36"/>
                  <w:lang w:val="zh-CN"/>
                </w:rPr>
              </m:ctrlPr>
            </m:naryPr>
            <m:sub>
              <m:r>
                <m:rPr/>
                <w:rPr>
                  <w:rFonts w:ascii="Cambria Math" w:hAnsi="Cambria Math" w:cs="宋体"/>
                  <w:color w:val="000000"/>
                  <w:sz w:val="36"/>
                  <w:szCs w:val="36"/>
                  <w:lang w:val="zh-CN"/>
                </w:rPr>
                <m:t>i=1</m:t>
              </m:r>
              <m:ctrlPr>
                <w:rPr>
                  <w:rFonts w:ascii="Cambria Math" w:hAnsi="Cambria Math" w:cs="宋体"/>
                  <w:i/>
                  <w:color w:val="000000"/>
                  <w:sz w:val="36"/>
                  <w:szCs w:val="36"/>
                  <w:lang w:val="zh-CN"/>
                </w:rPr>
              </m:ctrlPr>
            </m:sub>
            <m:sup>
              <m:r>
                <m:rPr/>
                <w:rPr>
                  <w:rFonts w:ascii="Cambria Math" w:hAnsi="Cambria Math" w:cs="宋体"/>
                  <w:color w:val="000000"/>
                  <w:sz w:val="36"/>
                  <w:szCs w:val="36"/>
                  <w:lang w:val="zh-CN"/>
                </w:rPr>
                <m:t>n</m:t>
              </m:r>
              <m:ctrlPr>
                <w:rPr>
                  <w:rFonts w:ascii="Cambria Math" w:hAnsi="Cambria Math" w:cs="宋体"/>
                  <w:i/>
                  <w:color w:val="000000"/>
                  <w:sz w:val="36"/>
                  <w:szCs w:val="36"/>
                  <w:lang w:val="zh-CN"/>
                </w:rPr>
              </m:ctrlPr>
            </m:sup>
            <m:e>
              <m:sSubSup>
                <m:sSubSupPr>
                  <m:ctrlPr>
                    <w:rPr>
                      <w:rFonts w:ascii="Cambria Math" w:hAnsi="Cambria Math" w:cs="宋体"/>
                      <w:i/>
                      <w:color w:val="000000"/>
                      <w:sz w:val="36"/>
                      <w:szCs w:val="36"/>
                      <w:lang w:val="zh-CN"/>
                    </w:rPr>
                  </m:ctrlPr>
                </m:sSubSupPr>
                <m:e>
                  <m:r>
                    <m:rPr/>
                    <w:rPr>
                      <w:rFonts w:ascii="Cambria Math" w:hAnsi="Cambria Math" w:cs="宋体"/>
                      <w:color w:val="000000"/>
                      <w:sz w:val="36"/>
                      <w:szCs w:val="36"/>
                      <w:lang w:val="zh-CN"/>
                    </w:rPr>
                    <m:t>E</m:t>
                  </m:r>
                  <m:ctrlPr>
                    <w:rPr>
                      <w:rFonts w:ascii="Cambria Math" w:hAnsi="Cambria Math" w:cs="宋体"/>
                      <w:i/>
                      <w:color w:val="000000"/>
                      <w:sz w:val="36"/>
                      <w:szCs w:val="36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宋体"/>
                      <w:color w:val="000000"/>
                      <w:sz w:val="36"/>
                      <w:szCs w:val="36"/>
                      <w:lang w:val="zh-CN"/>
                    </w:rPr>
                    <m:t>r</m:t>
                  </m:r>
                  <m:ctrlPr>
                    <w:rPr>
                      <w:rFonts w:ascii="Cambria Math" w:hAnsi="Cambria Math" w:cs="宋体"/>
                      <w:i/>
                      <w:color w:val="000000"/>
                      <w:sz w:val="36"/>
                      <w:szCs w:val="36"/>
                      <w:lang w:val="zh-CN"/>
                    </w:rPr>
                  </m:ctrlPr>
                </m:sub>
                <m:sup>
                  <m:r>
                    <m:rPr/>
                    <w:rPr>
                      <w:rFonts w:ascii="Cambria Math" w:hAnsi="Cambria Math" w:cs="宋体"/>
                      <w:color w:val="000000"/>
                      <w:sz w:val="36"/>
                      <w:szCs w:val="36"/>
                      <w:lang w:val="zh-CN"/>
                    </w:rPr>
                    <m:t>i</m:t>
                  </m:r>
                  <m:ctrlPr>
                    <w:rPr>
                      <w:rFonts w:ascii="Cambria Math" w:hAnsi="Cambria Math" w:cs="宋体"/>
                      <w:i/>
                      <w:color w:val="000000"/>
                      <w:sz w:val="36"/>
                      <w:szCs w:val="36"/>
                      <w:lang w:val="zh-CN"/>
                    </w:rPr>
                  </m:ctrlPr>
                </m:sup>
              </m:sSubSup>
              <m:ctrlPr>
                <w:rPr>
                  <w:rFonts w:ascii="Cambria Math" w:hAnsi="Cambria Math" w:cs="宋体"/>
                  <w:i/>
                  <w:color w:val="000000"/>
                  <w:sz w:val="36"/>
                  <w:szCs w:val="36"/>
                  <w:lang w:val="zh-CN"/>
                </w:rPr>
              </m:ctrlPr>
            </m:e>
          </m:nary>
        </m:oMath>
      </m:oMathPara>
    </w:p>
    <w:p w14:paraId="14966334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式中：</w:t>
      </w:r>
    </w:p>
    <w:p w14:paraId="48B33B73">
      <w:pPr>
        <w:spacing w:line="360" w:lineRule="auto"/>
        <w:ind w:firstLine="420" w:firstLineChars="200"/>
        <w:rPr>
          <w:color w:val="000000"/>
        </w:rPr>
      </w:pPr>
      <w:r>
        <w:rPr>
          <w:i/>
          <w:iCs/>
          <w:color w:val="000000"/>
        </w:rPr>
        <w:t>C</w:t>
      </w:r>
      <w:r>
        <w:rPr>
          <w:color w:val="000000"/>
          <w:vertAlign w:val="subscript"/>
        </w:rPr>
        <w:t>f</w:t>
      </w:r>
      <w:r>
        <w:rPr>
          <w:color w:val="000000"/>
          <w:vertAlign w:val="superscript"/>
        </w:rPr>
        <w:t>i</w:t>
      </w:r>
      <w:r>
        <w:rPr>
          <w:color w:val="000000"/>
        </w:rPr>
        <w:t>—重金属</w:t>
      </w:r>
      <w:r>
        <w:rPr>
          <w:i/>
          <w:iCs/>
          <w:color w:val="000000"/>
        </w:rPr>
        <w:t>i</w:t>
      </w:r>
      <w:r>
        <w:rPr>
          <w:color w:val="000000"/>
        </w:rPr>
        <w:t>的污染系数；</w:t>
      </w:r>
    </w:p>
    <w:p w14:paraId="56DE4F6A">
      <w:pPr>
        <w:spacing w:line="360" w:lineRule="auto"/>
        <w:ind w:firstLine="420" w:firstLineChars="200"/>
        <w:rPr>
          <w:color w:val="000000"/>
        </w:rPr>
      </w:pPr>
      <w:r>
        <w:rPr>
          <w:i/>
          <w:iCs/>
          <w:color w:val="000000"/>
        </w:rPr>
        <w:t>C</w:t>
      </w:r>
      <w:r>
        <w:rPr>
          <w:color w:val="000000"/>
          <w:vertAlign w:val="subscript"/>
        </w:rPr>
        <w:t>D</w:t>
      </w:r>
      <w:r>
        <w:rPr>
          <w:color w:val="000000"/>
          <w:vertAlign w:val="superscript"/>
        </w:rPr>
        <w:t>i</w:t>
      </w:r>
      <w:r>
        <w:rPr>
          <w:color w:val="000000"/>
        </w:rPr>
        <w:t>—重金属</w:t>
      </w:r>
      <w:r>
        <w:rPr>
          <w:i/>
          <w:iCs/>
          <w:color w:val="000000"/>
        </w:rPr>
        <w:t>i</w:t>
      </w:r>
      <w:r>
        <w:rPr>
          <w:color w:val="000000"/>
        </w:rPr>
        <w:t>的实测浓度 (mg/kg)；</w:t>
      </w:r>
    </w:p>
    <w:p w14:paraId="120DB01D">
      <w:pPr>
        <w:spacing w:line="360" w:lineRule="auto"/>
        <w:ind w:firstLine="420" w:firstLineChars="200"/>
        <w:rPr>
          <w:color w:val="000000"/>
        </w:rPr>
      </w:pPr>
      <w:r>
        <w:rPr>
          <w:i/>
          <w:iCs/>
          <w:color w:val="000000"/>
        </w:rPr>
        <w:t>C</w:t>
      </w:r>
      <w:r>
        <w:rPr>
          <w:color w:val="000000"/>
          <w:vertAlign w:val="subscript"/>
        </w:rPr>
        <w:t>R</w:t>
      </w:r>
      <w:r>
        <w:rPr>
          <w:color w:val="000000"/>
          <w:vertAlign w:val="superscript"/>
        </w:rPr>
        <w:t>i</w:t>
      </w:r>
      <w:r>
        <w:rPr>
          <w:color w:val="000000"/>
        </w:rPr>
        <w:t>—重金属</w:t>
      </w:r>
      <w:r>
        <w:rPr>
          <w:i/>
          <w:iCs/>
          <w:color w:val="000000"/>
        </w:rPr>
        <w:t>i</w:t>
      </w:r>
      <w:r>
        <w:rPr>
          <w:color w:val="000000"/>
        </w:rPr>
        <w:t>的参⽐值 (mg/kg) ，通常采用当地土壤背景值（见附录A）；</w:t>
      </w:r>
    </w:p>
    <w:p w14:paraId="7100996F">
      <w:pPr>
        <w:spacing w:line="360" w:lineRule="auto"/>
        <w:ind w:firstLine="420" w:firstLineChars="200"/>
        <w:rPr>
          <w:color w:val="000000"/>
        </w:rPr>
      </w:pPr>
      <w:r>
        <w:rPr>
          <w:i/>
          <w:iCs/>
          <w:color w:val="000000"/>
        </w:rPr>
        <w:t>E</w:t>
      </w:r>
      <w:r>
        <w:rPr>
          <w:color w:val="000000"/>
          <w:vertAlign w:val="subscript"/>
        </w:rPr>
        <w:t>r</w:t>
      </w:r>
      <w:r>
        <w:rPr>
          <w:color w:val="000000"/>
          <w:vertAlign w:val="superscript"/>
        </w:rPr>
        <w:t>i</w:t>
      </w:r>
      <w:r>
        <w:rPr>
          <w:color w:val="000000"/>
        </w:rPr>
        <w:t>—单种重金属</w:t>
      </w:r>
      <w:r>
        <w:rPr>
          <w:i/>
          <w:iCs/>
          <w:color w:val="000000"/>
        </w:rPr>
        <w:t>i</w:t>
      </w:r>
      <w:r>
        <w:rPr>
          <w:color w:val="000000"/>
        </w:rPr>
        <w:t>的潜在生态风险系数；</w:t>
      </w:r>
    </w:p>
    <w:p w14:paraId="61A05A1D">
      <w:pPr>
        <w:spacing w:line="360" w:lineRule="auto"/>
        <w:ind w:firstLine="420" w:firstLineChars="200"/>
        <w:rPr>
          <w:color w:val="000000"/>
        </w:rPr>
      </w:pPr>
      <w:r>
        <w:rPr>
          <w:i/>
          <w:iCs/>
          <w:color w:val="000000"/>
        </w:rPr>
        <w:t>T</w:t>
      </w:r>
      <w:r>
        <w:rPr>
          <w:color w:val="000000"/>
          <w:vertAlign w:val="subscript"/>
        </w:rPr>
        <w:t>r</w:t>
      </w:r>
      <w:r>
        <w:rPr>
          <w:color w:val="000000"/>
          <w:vertAlign w:val="superscript"/>
        </w:rPr>
        <w:t>i</w:t>
      </w:r>
      <w:r>
        <w:rPr>
          <w:color w:val="000000"/>
        </w:rPr>
        <w:t>—重金属</w:t>
      </w:r>
      <w:r>
        <w:rPr>
          <w:i/>
          <w:iCs/>
          <w:color w:val="000000"/>
        </w:rPr>
        <w:t>i</w:t>
      </w:r>
      <w:r>
        <w:rPr>
          <w:color w:val="000000"/>
        </w:rPr>
        <w:t>的毒性响应系数（见附录</w:t>
      </w:r>
      <w:r>
        <w:rPr>
          <w:rFonts w:hint="eastAsia"/>
          <w:color w:val="000000"/>
        </w:rPr>
        <w:t>A</w:t>
      </w:r>
      <w:r>
        <w:rPr>
          <w:color w:val="000000"/>
        </w:rPr>
        <w:t>）；</w:t>
      </w:r>
    </w:p>
    <w:p w14:paraId="11E9B657">
      <w:pPr>
        <w:spacing w:line="360" w:lineRule="auto"/>
        <w:ind w:firstLine="420" w:firstLineChars="200"/>
        <w:rPr>
          <w:color w:val="000000"/>
        </w:rPr>
      </w:pPr>
      <w:bookmarkStart w:id="12" w:name="OLE_LINK1"/>
      <w:r>
        <w:rPr>
          <w:i/>
          <w:iCs/>
          <w:color w:val="000000"/>
        </w:rPr>
        <w:t>RI</w:t>
      </w:r>
      <w:bookmarkEnd w:id="12"/>
      <w:r>
        <w:rPr>
          <w:color w:val="000000"/>
        </w:rPr>
        <w:t>—多种重金属的综合潜在生态风险指数。</w:t>
      </w:r>
    </w:p>
    <w:p w14:paraId="4CE3D13E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潜在生态风险等级划分见下表：</w:t>
      </w:r>
    </w:p>
    <w:tbl>
      <w:tblPr>
        <w:tblStyle w:val="11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2184"/>
        <w:gridCol w:w="4134"/>
      </w:tblGrid>
      <w:tr w14:paraId="7117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92" w:type="pct"/>
            <w:vAlign w:val="center"/>
          </w:tcPr>
          <w:p w14:paraId="610D8933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指数类型</w:t>
            </w:r>
          </w:p>
        </w:tc>
        <w:tc>
          <w:tcPr>
            <w:tcW w:w="1281" w:type="pct"/>
            <w:vAlign w:val="center"/>
          </w:tcPr>
          <w:p w14:paraId="446850E1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指数范围</w:t>
            </w:r>
          </w:p>
        </w:tc>
        <w:tc>
          <w:tcPr>
            <w:tcW w:w="2425" w:type="pct"/>
            <w:vAlign w:val="center"/>
          </w:tcPr>
          <w:p w14:paraId="62C05CC2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生态危害程度</w:t>
            </w:r>
          </w:p>
        </w:tc>
      </w:tr>
      <w:tr w14:paraId="4235C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292" w:type="pct"/>
            <w:vMerge w:val="restart"/>
            <w:vAlign w:val="center"/>
          </w:tcPr>
          <w:p w14:paraId="053ABF3C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i/>
                <w:iCs/>
                <w:color w:val="000000"/>
              </w:rPr>
              <w:t>E</w:t>
            </w:r>
            <w:r>
              <w:rPr>
                <w:color w:val="000000"/>
                <w:vertAlign w:val="subscript"/>
              </w:rPr>
              <w:t>r</w:t>
            </w:r>
            <w:r>
              <w:rPr>
                <w:color w:val="000000"/>
                <w:vertAlign w:val="superscript"/>
              </w:rPr>
              <w:t>i</w:t>
            </w:r>
          </w:p>
        </w:tc>
        <w:tc>
          <w:tcPr>
            <w:tcW w:w="1281" w:type="pct"/>
            <w:vAlign w:val="center"/>
          </w:tcPr>
          <w:p w14:paraId="538E9267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&lt; 40</w:t>
            </w:r>
          </w:p>
        </w:tc>
        <w:tc>
          <w:tcPr>
            <w:tcW w:w="2425" w:type="pct"/>
            <w:vAlign w:val="center"/>
          </w:tcPr>
          <w:p w14:paraId="3B9F2DCE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轻微生态危害</w:t>
            </w:r>
          </w:p>
        </w:tc>
      </w:tr>
      <w:tr w14:paraId="38F3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292" w:type="pct"/>
            <w:vMerge w:val="continue"/>
            <w:vAlign w:val="center"/>
          </w:tcPr>
          <w:p w14:paraId="12C545A9">
            <w:pPr>
              <w:pStyle w:val="27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281" w:type="pct"/>
            <w:vAlign w:val="center"/>
          </w:tcPr>
          <w:p w14:paraId="6241B37D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≥ 40</w:t>
            </w:r>
          </w:p>
        </w:tc>
        <w:tc>
          <w:tcPr>
            <w:tcW w:w="2425" w:type="pct"/>
            <w:vAlign w:val="center"/>
          </w:tcPr>
          <w:p w14:paraId="7D774CE0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中等及以上生态危害</w:t>
            </w:r>
          </w:p>
        </w:tc>
      </w:tr>
      <w:tr w14:paraId="0823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292" w:type="pct"/>
            <w:vMerge w:val="restart"/>
            <w:vAlign w:val="center"/>
          </w:tcPr>
          <w:p w14:paraId="3E5A8A87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i/>
                <w:iCs/>
                <w:color w:val="000000"/>
              </w:rPr>
              <w:t>RI</w:t>
            </w:r>
          </w:p>
        </w:tc>
        <w:tc>
          <w:tcPr>
            <w:tcW w:w="1281" w:type="pct"/>
            <w:vAlign w:val="center"/>
          </w:tcPr>
          <w:p w14:paraId="58B5E5BA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&lt; 150</w:t>
            </w:r>
          </w:p>
        </w:tc>
        <w:tc>
          <w:tcPr>
            <w:tcW w:w="2425" w:type="pct"/>
            <w:vAlign w:val="center"/>
          </w:tcPr>
          <w:p w14:paraId="6E5597B0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轻微生态危害</w:t>
            </w:r>
          </w:p>
        </w:tc>
      </w:tr>
      <w:tr w14:paraId="605E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92" w:type="pct"/>
            <w:vMerge w:val="continue"/>
            <w:vAlign w:val="center"/>
          </w:tcPr>
          <w:p w14:paraId="5BB0F0D7">
            <w:pPr>
              <w:pStyle w:val="27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281" w:type="pct"/>
            <w:vAlign w:val="center"/>
          </w:tcPr>
          <w:p w14:paraId="52C7CF9F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≥ 150</w:t>
            </w:r>
          </w:p>
        </w:tc>
        <w:tc>
          <w:tcPr>
            <w:tcW w:w="2425" w:type="pct"/>
            <w:vAlign w:val="center"/>
          </w:tcPr>
          <w:p w14:paraId="0C29650B">
            <w:pPr>
              <w:pStyle w:val="27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中等及以上生态危害</w:t>
            </w:r>
          </w:p>
        </w:tc>
      </w:tr>
    </w:tbl>
    <w:p w14:paraId="1EF0837E">
      <w:pPr>
        <w:widowControl/>
        <w:spacing w:line="360" w:lineRule="auto"/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5.2.5评价结果分类与表达</w:t>
      </w:r>
    </w:p>
    <w:p w14:paraId="0BF12E5A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综合评价原则：“从劣不从优”（单个采样点的最终等级由最差指标/层次确定）；</w:t>
      </w:r>
    </w:p>
    <w:p w14:paraId="3E8BECCD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平面污染评价：结合 GIS 空间插值绘制污染等级分布图，明确清洁、轻度/中度/重度污染区域范围；</w:t>
      </w:r>
    </w:p>
    <w:p w14:paraId="19085C37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垂向污染评价：分层评价柱状样，确定污染深度（连续污染层总厚度），绘制垂向剖面图，采用地质块段法/断面法估算污染方量（支撑清淤工程）。</w:t>
      </w:r>
    </w:p>
    <w:p w14:paraId="480638D8">
      <w:pPr>
        <w:pStyle w:val="9"/>
        <w:numPr>
          <w:ilvl w:val="0"/>
          <w:numId w:val="1"/>
        </w:numPr>
        <w:outlineLvl w:val="0"/>
        <w:rPr>
          <w:rFonts w:ascii="宋体"/>
          <w:bCs w:val="0"/>
          <w:sz w:val="24"/>
          <w:szCs w:val="24"/>
        </w:rPr>
      </w:pPr>
      <w:bookmarkStart w:id="13" w:name="_Toc28872"/>
      <w:r>
        <w:rPr>
          <w:rFonts w:hint="eastAsia"/>
        </w:rPr>
        <w:fldChar w:fldCharType="begin"/>
      </w:r>
      <w:r>
        <w:instrText xml:space="preserve"> HYPERLINK \l "_Toc234978614" </w:instrText>
      </w:r>
      <w:r>
        <w:rPr>
          <w:rFonts w:hint="eastAsia"/>
        </w:rPr>
        <w:fldChar w:fldCharType="separate"/>
      </w:r>
      <w:r>
        <w:rPr>
          <w:rFonts w:hint="eastAsia" w:ascii="宋体"/>
          <w:bCs w:val="0"/>
          <w:sz w:val="24"/>
          <w:szCs w:val="24"/>
        </w:rPr>
        <w:t>标准实施的环境效益与经济技术分析</w:t>
      </w:r>
      <w:r>
        <w:rPr>
          <w:rFonts w:hint="eastAsia" w:ascii="宋体"/>
          <w:bCs w:val="0"/>
          <w:sz w:val="24"/>
          <w:szCs w:val="24"/>
        </w:rPr>
        <w:fldChar w:fldCharType="end"/>
      </w:r>
      <w:bookmarkEnd w:id="13"/>
    </w:p>
    <w:p w14:paraId="31243995">
      <w:pPr>
        <w:pStyle w:val="9"/>
        <w:spacing w:line="360" w:lineRule="auto"/>
        <w:rPr>
          <w:rFonts w:ascii="宋体"/>
          <w:bCs w:val="0"/>
          <w:sz w:val="21"/>
          <w:szCs w:val="21"/>
        </w:rPr>
      </w:pPr>
      <w:r>
        <w:rPr>
          <w:rFonts w:hint="eastAsia" w:ascii="宋体"/>
          <w:bCs w:val="0"/>
          <w:sz w:val="21"/>
          <w:szCs w:val="21"/>
        </w:rPr>
        <w:t>6.1 环境效益</w:t>
      </w:r>
    </w:p>
    <w:p w14:paraId="55C1CA51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提升污染管控精准度：统一评价方法可明确污染范围与程度，避免 “过度治理” 或 “治理不足”（如精准圈定清淤区域，减少对未污染底泥的扰动）；</w:t>
      </w:r>
    </w:p>
    <w:p w14:paraId="067B6051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保护水生态系统：通过垂向评价与形态分析，识别高风险重金属（如可交换态 Cd），为针对性修复提供依据，降低重金属释放对水生生物的危害；</w:t>
      </w:r>
    </w:p>
    <w:p w14:paraId="462AC390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保障人体健康：减少重金属通过食物链富集的风险（如控制底泥污染，降低鱼类重金属含量）。</w:t>
      </w:r>
    </w:p>
    <w:p w14:paraId="719D57BB">
      <w:pPr>
        <w:pStyle w:val="9"/>
        <w:spacing w:line="360" w:lineRule="auto"/>
        <w:rPr>
          <w:rFonts w:ascii="宋体"/>
          <w:bCs w:val="0"/>
          <w:sz w:val="21"/>
          <w:szCs w:val="21"/>
        </w:rPr>
      </w:pPr>
      <w:r>
        <w:rPr>
          <w:rFonts w:hint="eastAsia" w:ascii="宋体"/>
          <w:bCs w:val="0"/>
          <w:sz w:val="21"/>
          <w:szCs w:val="21"/>
        </w:rPr>
        <w:t>6.2 经济与技术效益</w:t>
      </w:r>
    </w:p>
    <w:p w14:paraId="3C3B9AC4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降低调查成本：统一技术流程避免重复调查（如不同项目可共享采样点位与背景值数据），减少人力、物力投入；</w:t>
      </w:r>
    </w:p>
    <w:p w14:paraId="55AD3887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节省工程费用：精准估算污染方量可优化清淤方案（如避免超量清淤导致的工程成本增加），据测算可降低清淤工程费用10%—20%；</w:t>
      </w:r>
    </w:p>
    <w:p w14:paraId="526F132A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提升技术统一性：不同地区、不同单位的评价数据可比，为跨区域污染联防联控（如流域尺度治理）提供数据支撑，同时推动科研成果转化（如统一方法便于评价新技术的修复效果）。</w:t>
      </w:r>
    </w:p>
    <w:p w14:paraId="31BF8046">
      <w:pPr>
        <w:pStyle w:val="9"/>
        <w:numPr>
          <w:ilvl w:val="0"/>
          <w:numId w:val="1"/>
        </w:numPr>
        <w:outlineLvl w:val="0"/>
        <w:rPr>
          <w:rFonts w:ascii="宋体"/>
          <w:bCs w:val="0"/>
          <w:sz w:val="24"/>
          <w:szCs w:val="24"/>
        </w:rPr>
      </w:pPr>
      <w:bookmarkStart w:id="14" w:name="_Toc16144"/>
      <w:r>
        <w:rPr>
          <w:rFonts w:hint="eastAsia"/>
        </w:rPr>
        <w:fldChar w:fldCharType="begin"/>
      </w:r>
      <w:r>
        <w:instrText xml:space="preserve"> HYPERLINK \l "_Toc234978615" </w:instrText>
      </w:r>
      <w:r>
        <w:rPr>
          <w:rFonts w:hint="eastAsia"/>
        </w:rPr>
        <w:fldChar w:fldCharType="separate"/>
      </w:r>
      <w:r>
        <w:rPr>
          <w:rFonts w:hint="eastAsia" w:ascii="宋体"/>
          <w:bCs w:val="0"/>
          <w:sz w:val="24"/>
          <w:szCs w:val="24"/>
        </w:rPr>
        <w:t>标准实施建议</w:t>
      </w:r>
      <w:r>
        <w:rPr>
          <w:rFonts w:hint="eastAsia" w:ascii="宋体"/>
          <w:bCs w:val="0"/>
          <w:sz w:val="24"/>
          <w:szCs w:val="24"/>
        </w:rPr>
        <w:fldChar w:fldCharType="end"/>
      </w:r>
      <w:bookmarkEnd w:id="14"/>
    </w:p>
    <w:p w14:paraId="3A7E2B47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lang w:val="zh-CN"/>
        </w:rPr>
      </w:pPr>
      <w:bookmarkStart w:id="15" w:name="_Toc11870"/>
      <w:r>
        <w:rPr>
          <w:rFonts w:hint="eastAsia" w:ascii="宋体" w:hAnsi="宋体" w:cs="宋体"/>
          <w:color w:val="000000"/>
          <w:szCs w:val="21"/>
          <w:lang w:val="zh-CN"/>
        </w:rPr>
        <w:t>适用范围推广：建议优先在国控/省控河湖库监测断面、重点流域（如长江、太湖）清淤工程、国家生态文明建设示范区创建中的底泥评价工作中应用，逐步推广至县级河湖库治理项目；</w:t>
      </w:r>
    </w:p>
    <w:p w14:paraId="154F2387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涉及部门协同：建议环保、水利、自然资源、住建等部门将本标准纳入相关工作手册（如环保部门的“环境监测技术指南”、水利部门的“河湖疏浚工程技术要求”），推动多部门协同应用；</w:t>
      </w:r>
    </w:p>
    <w:p w14:paraId="1812B8A1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培训与宣贯：建议中华环保联合会联合编制单位开展标准宣贯培训（针对环境监测机构、第三方检测公司、工程单位技术人员），重点讲解采样操作、评价方法计算、结果应用等实操要点；</w:t>
      </w:r>
    </w:p>
    <w:p w14:paraId="62056AB2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动态修订：建议标准实施后每3-5年开展一次修订评估，结合新技术（如原位监测技术）、新法规（如新版《水污染防治法》配套要求）更新内容，确保标准时效性。</w:t>
      </w:r>
    </w:p>
    <w:p w14:paraId="583D4A78">
      <w:pPr>
        <w:pStyle w:val="9"/>
        <w:numPr>
          <w:ilvl w:val="0"/>
          <w:numId w:val="1"/>
        </w:numPr>
        <w:outlineLvl w:val="0"/>
        <w:rPr>
          <w:rFonts w:ascii="宋体"/>
          <w:bCs w:val="0"/>
          <w:sz w:val="24"/>
          <w:szCs w:val="24"/>
        </w:rPr>
      </w:pPr>
      <w:bookmarkStart w:id="16" w:name="_Toc13745"/>
      <w:r>
        <w:rPr>
          <w:rFonts w:ascii="宋体"/>
          <w:bCs w:val="0"/>
          <w:sz w:val="24"/>
          <w:szCs w:val="24"/>
        </w:rPr>
        <w:t>涉及专利情况</w:t>
      </w:r>
      <w:bookmarkEnd w:id="15"/>
      <w:bookmarkEnd w:id="16"/>
    </w:p>
    <w:p w14:paraId="425EB8DB">
      <w:pPr>
        <w:widowControl/>
        <w:spacing w:line="360" w:lineRule="auto"/>
        <w:ind w:firstLine="420" w:firstLineChars="200"/>
      </w:pPr>
      <w:r>
        <w:rPr>
          <w:szCs w:val="21"/>
        </w:rPr>
        <w:t>本标准不涉及任何已有的专利内容，与国家及行业其他标准无知</w:t>
      </w:r>
      <w:r>
        <w:t>识产权和专利冲突。</w:t>
      </w:r>
    </w:p>
    <w:p w14:paraId="46E68C8A">
      <w:pPr>
        <w:pStyle w:val="9"/>
        <w:numPr>
          <w:ilvl w:val="0"/>
          <w:numId w:val="1"/>
        </w:numPr>
        <w:outlineLvl w:val="0"/>
        <w:rPr>
          <w:rFonts w:ascii="宋体"/>
          <w:bCs w:val="0"/>
          <w:sz w:val="24"/>
          <w:szCs w:val="24"/>
        </w:rPr>
      </w:pPr>
      <w:bookmarkStart w:id="17" w:name="_Toc17422"/>
      <w:bookmarkStart w:id="18" w:name="_Toc14161"/>
      <w:r>
        <w:rPr>
          <w:rFonts w:ascii="宋体"/>
          <w:bCs w:val="0"/>
          <w:sz w:val="24"/>
          <w:szCs w:val="24"/>
        </w:rPr>
        <w:t>重大分歧意见</w:t>
      </w:r>
      <w:bookmarkEnd w:id="17"/>
      <w:bookmarkEnd w:id="18"/>
    </w:p>
    <w:p w14:paraId="5FB4DF3A">
      <w:pPr>
        <w:spacing w:line="360" w:lineRule="auto"/>
        <w:ind w:firstLine="420" w:firstLineChars="200"/>
      </w:pPr>
      <w:r>
        <w:t>本标准起草过程中没有重大分歧意见。</w:t>
      </w:r>
    </w:p>
    <w:sectPr>
      <w:footerReference r:id="rId6" w:type="first"/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C48A7">
    <w:pPr>
      <w:pStyle w:val="7"/>
      <w:jc w:val="center"/>
    </w:pPr>
  </w:p>
  <w:p w14:paraId="268E9A75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4E9EF">
    <w:pPr>
      <w:pStyle w:val="7"/>
      <w:jc w:val="center"/>
    </w:pPr>
  </w:p>
  <w:p w14:paraId="0C4FC92B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4474152"/>
    </w:sdtPr>
    <w:sdtContent>
      <w:p w14:paraId="4F0452F4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84A59F1"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868830"/>
    </w:sdtPr>
    <w:sdtContent>
      <w:p w14:paraId="29C64E53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B780D2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BC64EE"/>
    <w:multiLevelType w:val="multilevel"/>
    <w:tmpl w:val="46BC64E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842"/>
        </w:tabs>
        <w:ind w:left="842" w:hanging="4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264"/>
        </w:tabs>
        <w:ind w:left="1264" w:hanging="4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686"/>
        </w:tabs>
        <w:ind w:left="1686" w:hanging="4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2108"/>
        </w:tabs>
        <w:ind w:left="2108" w:hanging="42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2530"/>
        </w:tabs>
        <w:ind w:left="2530" w:hanging="42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952"/>
        </w:tabs>
        <w:ind w:left="2952" w:hanging="42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374"/>
        </w:tabs>
        <w:ind w:left="3374" w:hanging="42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3796"/>
        </w:tabs>
        <w:ind w:left="3796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2tDA3NjIwMjMwMDJX0lEKTi0uzszPAykwrgUAJGd5nywAAAA="/>
  </w:docVars>
  <w:rsids>
    <w:rsidRoot w:val="009313EB"/>
    <w:rsid w:val="00082BF4"/>
    <w:rsid w:val="000B0D99"/>
    <w:rsid w:val="000D119C"/>
    <w:rsid w:val="001F7530"/>
    <w:rsid w:val="002955E0"/>
    <w:rsid w:val="002E79AF"/>
    <w:rsid w:val="003272A4"/>
    <w:rsid w:val="00396A9C"/>
    <w:rsid w:val="003B7A39"/>
    <w:rsid w:val="00400E0E"/>
    <w:rsid w:val="00475F19"/>
    <w:rsid w:val="004C24BF"/>
    <w:rsid w:val="004E0A9C"/>
    <w:rsid w:val="00513FA0"/>
    <w:rsid w:val="00516DD1"/>
    <w:rsid w:val="005424E3"/>
    <w:rsid w:val="00644AEA"/>
    <w:rsid w:val="006914B7"/>
    <w:rsid w:val="006C3537"/>
    <w:rsid w:val="006C763D"/>
    <w:rsid w:val="008145C0"/>
    <w:rsid w:val="008B442A"/>
    <w:rsid w:val="008F5687"/>
    <w:rsid w:val="0091329B"/>
    <w:rsid w:val="009313EB"/>
    <w:rsid w:val="00952FDF"/>
    <w:rsid w:val="00A52009"/>
    <w:rsid w:val="00A811B0"/>
    <w:rsid w:val="00B92FED"/>
    <w:rsid w:val="00C93634"/>
    <w:rsid w:val="00D03293"/>
    <w:rsid w:val="00EA54B6"/>
    <w:rsid w:val="00F425DA"/>
    <w:rsid w:val="00FA08C4"/>
    <w:rsid w:val="00FF014B"/>
    <w:rsid w:val="0281282A"/>
    <w:rsid w:val="064D18E9"/>
    <w:rsid w:val="16774941"/>
    <w:rsid w:val="18296CE7"/>
    <w:rsid w:val="233007E7"/>
    <w:rsid w:val="246325BB"/>
    <w:rsid w:val="2C9C1E8B"/>
    <w:rsid w:val="31864EB8"/>
    <w:rsid w:val="40E65973"/>
    <w:rsid w:val="474F40C2"/>
    <w:rsid w:val="49170DBF"/>
    <w:rsid w:val="4AD85A94"/>
    <w:rsid w:val="4DCD7C9F"/>
    <w:rsid w:val="569021B1"/>
    <w:rsid w:val="622E2E70"/>
    <w:rsid w:val="670544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7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6">
    <w:name w:val="Plain Text"/>
    <w:basedOn w:val="1"/>
    <w:link w:val="21"/>
    <w:qFormat/>
    <w:uiPriority w:val="0"/>
    <w:rPr>
      <w:rFonts w:ascii="宋体" w:hAnsi="Courier New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0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99"/>
    <w:rPr>
      <w:color w:val="0000FF"/>
      <w:u w:val="single"/>
    </w:rPr>
  </w:style>
  <w:style w:type="character" w:customStyle="1" w:styleId="15">
    <w:name w:val="标题 1 字符"/>
    <w:basedOn w:val="13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6">
    <w:name w:val="Char Char Char1 Char Char"/>
    <w:basedOn w:val="4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character" w:customStyle="1" w:styleId="17">
    <w:name w:val="文档结构图 字符"/>
    <w:basedOn w:val="13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8">
    <w:name w:val="页眉 字符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4"/>
    </w:rPr>
  </w:style>
  <w:style w:type="character" w:customStyle="1" w:styleId="22">
    <w:name w:val="标题 2 字符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3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24">
    <w:name w:val="mord"/>
    <w:basedOn w:val="13"/>
    <w:qFormat/>
    <w:uiPriority w:val="0"/>
  </w:style>
  <w:style w:type="character" w:customStyle="1" w:styleId="25">
    <w:name w:val="vlist-s"/>
    <w:basedOn w:val="13"/>
    <w:qFormat/>
    <w:uiPriority w:val="0"/>
  </w:style>
  <w:style w:type="character" w:customStyle="1" w:styleId="26">
    <w:name w:val="mrel"/>
    <w:basedOn w:val="13"/>
    <w:qFormat/>
    <w:uiPriority w:val="0"/>
  </w:style>
  <w:style w:type="paragraph" w:customStyle="1" w:styleId="27">
    <w:name w:val="表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customStyle="1" w:styleId="28">
    <w:name w:val="Table Normal"/>
    <w:autoRedefine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">
    <w:name w:val="网格型浅色1"/>
    <w:basedOn w:val="11"/>
    <w:autoRedefine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6E707-5BB9-4EE0-AA62-205D8764F5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4389</Words>
  <Characters>4780</Characters>
  <Lines>197</Lines>
  <Paragraphs>229</Paragraphs>
  <TotalTime>0</TotalTime>
  <ScaleCrop>false</ScaleCrop>
  <LinksUpToDate>false</LinksUpToDate>
  <CharactersWithSpaces>4950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2025-10-28T02:35:00Z</dcterms:created>
  <dc:creator>DELL</dc:creator>
  <cp:lastModifiedBy>姚雷*^_^*</cp:lastModifiedBy>
  <dcterms:modified xsi:type="dcterms:W3CDTF">2025-11-25T06:02:58Z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90186085E02E4CD0B393B61089355FD7</vt:lpwstr>
  </property>
  <property fmtid="{D5CDD505-2E9C-101B-9397-08002B2CF9AE}" pid="4" name="KSOTemplateDocerSaveRecord">
    <vt:lpwstr>eyJoZGlkIjoiNmFlY2JhZmZkMzMwMmZkMTM3ZmJmMmJlMGM2ZWE4OGEiLCJ1c2VySWQiOiIzMjUyNzM4MjYifQ==</vt:lpwstr>
  </property>
</Properties>
</file>