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B788" w14:textId="77777777" w:rsidR="008B006E" w:rsidRDefault="008B006E">
      <w:pPr>
        <w:jc w:val="center"/>
        <w:rPr>
          <w:sz w:val="32"/>
        </w:rPr>
      </w:pPr>
    </w:p>
    <w:p w14:paraId="5D61B016" w14:textId="77777777" w:rsidR="008B006E" w:rsidRDefault="008B006E">
      <w:pPr>
        <w:jc w:val="center"/>
        <w:rPr>
          <w:sz w:val="32"/>
        </w:rPr>
      </w:pPr>
    </w:p>
    <w:p w14:paraId="1D2B756B" w14:textId="4EED14D1" w:rsidR="008B006E" w:rsidRPr="00237D99" w:rsidRDefault="00000000" w:rsidP="00237D99">
      <w:pPr>
        <w:snapToGrid w:val="0"/>
        <w:spacing w:line="360" w:lineRule="auto"/>
        <w:jc w:val="left"/>
        <w:rPr>
          <w:rFonts w:ascii="宋体" w:hAnsi="宋体" w:hint="eastAsia"/>
          <w:sz w:val="40"/>
          <w:szCs w:val="40"/>
        </w:rPr>
      </w:pPr>
      <w:r w:rsidRPr="00237D99">
        <w:rPr>
          <w:rFonts w:ascii="宋体" w:hAnsi="宋体" w:hint="eastAsia"/>
          <w:sz w:val="40"/>
          <w:szCs w:val="40"/>
        </w:rPr>
        <w:t>《</w:t>
      </w:r>
      <w:r w:rsidR="00237D99" w:rsidRPr="00237D99">
        <w:rPr>
          <w:rFonts w:ascii="宋体" w:hAnsi="宋体" w:hint="eastAsia"/>
          <w:sz w:val="40"/>
          <w:szCs w:val="40"/>
        </w:rPr>
        <w:t>河湖库底泥氮磷污染调查与评价技术规范</w:t>
      </w:r>
      <w:r w:rsidRPr="00237D99">
        <w:rPr>
          <w:rFonts w:ascii="宋体" w:hAnsi="宋体" w:hint="eastAsia"/>
          <w:sz w:val="40"/>
          <w:szCs w:val="40"/>
        </w:rPr>
        <w:t>》</w:t>
      </w:r>
    </w:p>
    <w:p w14:paraId="6A954E50" w14:textId="77777777" w:rsidR="008B006E" w:rsidRDefault="008B006E">
      <w:pPr>
        <w:snapToGrid w:val="0"/>
        <w:spacing w:line="360" w:lineRule="auto"/>
        <w:jc w:val="center"/>
        <w:rPr>
          <w:rFonts w:ascii="宋体" w:hAnsi="宋体" w:hint="eastAsia"/>
          <w:sz w:val="44"/>
          <w:szCs w:val="44"/>
        </w:rPr>
      </w:pPr>
    </w:p>
    <w:p w14:paraId="22B7E2B2" w14:textId="77777777" w:rsidR="008B006E" w:rsidRDefault="00000000">
      <w:pPr>
        <w:snapToGrid w:val="0"/>
        <w:spacing w:line="360" w:lineRule="auto"/>
        <w:jc w:val="center"/>
        <w:rPr>
          <w:rFonts w:ascii="宋体" w:hAnsi="宋体" w:hint="eastAsia"/>
          <w:sz w:val="44"/>
          <w:szCs w:val="44"/>
        </w:rPr>
      </w:pPr>
      <w:r>
        <w:rPr>
          <w:rFonts w:ascii="宋体" w:hAnsi="宋体" w:hint="eastAsia"/>
          <w:sz w:val="44"/>
          <w:szCs w:val="44"/>
        </w:rPr>
        <w:t>（</w:t>
      </w:r>
      <w:r>
        <w:rPr>
          <w:sz w:val="44"/>
          <w:szCs w:val="44"/>
        </w:rPr>
        <w:t>征求意见稿</w:t>
      </w:r>
      <w:r>
        <w:rPr>
          <w:rFonts w:ascii="宋体" w:hAnsi="宋体" w:hint="eastAsia"/>
          <w:sz w:val="44"/>
          <w:szCs w:val="44"/>
        </w:rPr>
        <w:t>）</w:t>
      </w:r>
    </w:p>
    <w:p w14:paraId="3BB76438" w14:textId="77777777" w:rsidR="008B006E" w:rsidRDefault="008B006E">
      <w:pPr>
        <w:snapToGrid w:val="0"/>
        <w:spacing w:line="360" w:lineRule="auto"/>
        <w:jc w:val="center"/>
        <w:rPr>
          <w:rFonts w:ascii="宋体" w:hAnsi="宋体" w:hint="eastAsia"/>
          <w:sz w:val="44"/>
          <w:szCs w:val="44"/>
        </w:rPr>
      </w:pPr>
    </w:p>
    <w:p w14:paraId="132A36B1" w14:textId="77777777" w:rsidR="008B006E" w:rsidRDefault="00000000">
      <w:pPr>
        <w:snapToGrid w:val="0"/>
        <w:spacing w:line="360" w:lineRule="auto"/>
        <w:jc w:val="center"/>
        <w:rPr>
          <w:rFonts w:ascii="宋体" w:hAnsi="宋体" w:hint="eastAsia"/>
          <w:sz w:val="44"/>
          <w:szCs w:val="44"/>
        </w:rPr>
      </w:pPr>
      <w:r>
        <w:rPr>
          <w:rFonts w:ascii="宋体" w:hAnsi="宋体" w:hint="eastAsia"/>
          <w:sz w:val="44"/>
          <w:szCs w:val="44"/>
        </w:rPr>
        <w:t>编制说明</w:t>
      </w:r>
    </w:p>
    <w:p w14:paraId="34C07CD8" w14:textId="77777777" w:rsidR="008B006E" w:rsidRDefault="008B006E">
      <w:pPr>
        <w:snapToGrid w:val="0"/>
        <w:spacing w:line="360" w:lineRule="auto"/>
        <w:jc w:val="center"/>
        <w:rPr>
          <w:rFonts w:ascii="宋体" w:hAnsi="宋体" w:hint="eastAsia"/>
          <w:sz w:val="44"/>
          <w:szCs w:val="44"/>
        </w:rPr>
      </w:pPr>
    </w:p>
    <w:p w14:paraId="5C36EC6B" w14:textId="77777777" w:rsidR="008B006E" w:rsidRDefault="008B006E">
      <w:pPr>
        <w:snapToGrid w:val="0"/>
        <w:spacing w:line="360" w:lineRule="auto"/>
        <w:jc w:val="center"/>
        <w:rPr>
          <w:rFonts w:ascii="宋体" w:hAnsi="宋体" w:hint="eastAsia"/>
          <w:sz w:val="44"/>
          <w:szCs w:val="44"/>
        </w:rPr>
      </w:pPr>
    </w:p>
    <w:p w14:paraId="3D16EC7A" w14:textId="77777777" w:rsidR="008B006E" w:rsidRDefault="008B006E">
      <w:pPr>
        <w:snapToGrid w:val="0"/>
        <w:spacing w:line="360" w:lineRule="auto"/>
        <w:jc w:val="center"/>
        <w:rPr>
          <w:sz w:val="32"/>
        </w:rPr>
      </w:pPr>
    </w:p>
    <w:p w14:paraId="5E089EF9" w14:textId="77777777" w:rsidR="008B006E" w:rsidRDefault="008B006E">
      <w:pPr>
        <w:snapToGrid w:val="0"/>
        <w:spacing w:line="360" w:lineRule="auto"/>
        <w:jc w:val="center"/>
        <w:rPr>
          <w:sz w:val="32"/>
        </w:rPr>
      </w:pPr>
    </w:p>
    <w:p w14:paraId="5A61F0AD" w14:textId="77777777" w:rsidR="008B006E" w:rsidRDefault="008B006E">
      <w:pPr>
        <w:snapToGrid w:val="0"/>
        <w:spacing w:line="360" w:lineRule="auto"/>
        <w:jc w:val="center"/>
        <w:rPr>
          <w:sz w:val="32"/>
        </w:rPr>
      </w:pPr>
    </w:p>
    <w:p w14:paraId="38A83C16" w14:textId="77777777" w:rsidR="008B006E" w:rsidRDefault="008B006E">
      <w:pPr>
        <w:snapToGrid w:val="0"/>
        <w:spacing w:line="360" w:lineRule="auto"/>
        <w:jc w:val="center"/>
        <w:rPr>
          <w:sz w:val="32"/>
        </w:rPr>
      </w:pPr>
    </w:p>
    <w:p w14:paraId="4249A768" w14:textId="77777777" w:rsidR="008B006E" w:rsidRDefault="008B006E">
      <w:pPr>
        <w:snapToGrid w:val="0"/>
        <w:spacing w:line="360" w:lineRule="auto"/>
        <w:jc w:val="center"/>
        <w:rPr>
          <w:sz w:val="32"/>
        </w:rPr>
      </w:pPr>
    </w:p>
    <w:p w14:paraId="6B2D20E5" w14:textId="77777777" w:rsidR="008B006E" w:rsidRDefault="008B006E">
      <w:pPr>
        <w:snapToGrid w:val="0"/>
        <w:spacing w:line="360" w:lineRule="auto"/>
        <w:rPr>
          <w:sz w:val="32"/>
        </w:rPr>
      </w:pPr>
    </w:p>
    <w:p w14:paraId="544B5C81" w14:textId="1E3FCBAF" w:rsidR="008B006E" w:rsidRDefault="00000000">
      <w:pPr>
        <w:snapToGrid w:val="0"/>
        <w:spacing w:line="360" w:lineRule="auto"/>
        <w:jc w:val="center"/>
        <w:rPr>
          <w:sz w:val="32"/>
        </w:rPr>
      </w:pPr>
      <w:r>
        <w:rPr>
          <w:rFonts w:hint="eastAsia"/>
          <w:sz w:val="32"/>
        </w:rPr>
        <w:t>《</w:t>
      </w:r>
      <w:r w:rsidR="00237D99" w:rsidRPr="00237D99">
        <w:rPr>
          <w:rFonts w:hint="eastAsia"/>
          <w:sz w:val="32"/>
        </w:rPr>
        <w:t>河湖库底泥氮磷污染调查与评价技术规范</w:t>
      </w:r>
      <w:r>
        <w:rPr>
          <w:rFonts w:hint="eastAsia"/>
          <w:sz w:val="32"/>
        </w:rPr>
        <w:t>》编制组</w:t>
      </w:r>
    </w:p>
    <w:p w14:paraId="4470E4FB" w14:textId="77777777" w:rsidR="008B006E" w:rsidRDefault="00000000">
      <w:pPr>
        <w:autoSpaceDE w:val="0"/>
        <w:autoSpaceDN w:val="0"/>
        <w:adjustRightInd w:val="0"/>
        <w:snapToGrid w:val="0"/>
        <w:spacing w:line="360" w:lineRule="auto"/>
        <w:jc w:val="center"/>
        <w:rPr>
          <w:rFonts w:ascii="宋体" w:cs="宋体"/>
          <w:kern w:val="0"/>
          <w:sz w:val="28"/>
          <w:szCs w:val="28"/>
        </w:rPr>
      </w:pPr>
      <w:r>
        <w:rPr>
          <w:rFonts w:ascii="宋体" w:cs="宋体" w:hint="eastAsia"/>
          <w:kern w:val="0"/>
          <w:sz w:val="28"/>
          <w:szCs w:val="28"/>
        </w:rPr>
        <w:t>二〇二五年十一月</w:t>
      </w:r>
    </w:p>
    <w:p w14:paraId="10571194" w14:textId="77777777" w:rsidR="008B006E" w:rsidRDefault="008B006E">
      <w:pPr>
        <w:autoSpaceDE w:val="0"/>
        <w:autoSpaceDN w:val="0"/>
        <w:adjustRightInd w:val="0"/>
        <w:snapToGrid w:val="0"/>
        <w:spacing w:line="360" w:lineRule="auto"/>
        <w:rPr>
          <w:rFonts w:ascii="宋体" w:cs="宋体"/>
          <w:kern w:val="0"/>
          <w:sz w:val="28"/>
          <w:szCs w:val="28"/>
        </w:rPr>
        <w:sectPr w:rsidR="008B006E">
          <w:footerReference w:type="default" r:id="rId8"/>
          <w:footerReference w:type="first" r:id="rId9"/>
          <w:pgSz w:w="11906" w:h="16838"/>
          <w:pgMar w:top="1440" w:right="1800" w:bottom="1440" w:left="1800" w:header="851" w:footer="992" w:gutter="0"/>
          <w:pgNumType w:start="1"/>
          <w:cols w:space="425"/>
          <w:titlePg/>
          <w:docGrid w:type="lines" w:linePitch="312"/>
        </w:sectPr>
      </w:pPr>
    </w:p>
    <w:p w14:paraId="2033F2C6" w14:textId="77777777" w:rsidR="008B006E" w:rsidRDefault="00000000">
      <w:pPr>
        <w:jc w:val="center"/>
        <w:rPr>
          <w:rFonts w:ascii="宋体" w:hAnsi="宋体" w:hint="eastAsia"/>
          <w:sz w:val="36"/>
          <w:szCs w:val="36"/>
        </w:rPr>
      </w:pPr>
      <w:r>
        <w:rPr>
          <w:rFonts w:ascii="宋体" w:hAnsi="宋体" w:hint="eastAsia"/>
          <w:sz w:val="36"/>
          <w:szCs w:val="36"/>
        </w:rPr>
        <w:lastRenderedPageBreak/>
        <w:t>目  次</w:t>
      </w:r>
    </w:p>
    <w:p w14:paraId="53F388B3" w14:textId="77777777" w:rsidR="008B006E" w:rsidRDefault="008B006E">
      <w:pPr>
        <w:jc w:val="center"/>
        <w:rPr>
          <w:rFonts w:ascii="宋体" w:hAnsi="宋体" w:hint="eastAsia"/>
          <w:sz w:val="36"/>
          <w:szCs w:val="36"/>
        </w:rPr>
      </w:pPr>
    </w:p>
    <w:p w14:paraId="3B543D45" w14:textId="77777777" w:rsidR="008B006E" w:rsidRDefault="00000000">
      <w:pPr>
        <w:pStyle w:val="TOC1"/>
        <w:tabs>
          <w:tab w:val="left" w:pos="840"/>
          <w:tab w:val="right" w:leader="dot" w:pos="8296"/>
        </w:tabs>
        <w:rPr>
          <w:rFonts w:asciiTheme="minorHAnsi" w:eastAsiaTheme="minorEastAsia" w:hAnsiTheme="minorHAnsi" w:cstheme="minorBidi"/>
          <w:b w:val="0"/>
          <w:bCs w:val="0"/>
          <w:caps w:val="0"/>
          <w:sz w:val="22"/>
          <w:szCs w:val="24"/>
          <w14:ligatures w14:val="standardContextual"/>
        </w:rPr>
      </w:pPr>
      <w:r>
        <w:rPr>
          <w:szCs w:val="21"/>
        </w:rPr>
        <w:fldChar w:fldCharType="begin"/>
      </w:r>
      <w:r>
        <w:rPr>
          <w:szCs w:val="21"/>
        </w:rPr>
        <w:instrText xml:space="preserve"> TOC \o "1-3" \h \z \u </w:instrText>
      </w:r>
      <w:r>
        <w:rPr>
          <w:szCs w:val="21"/>
        </w:rPr>
        <w:fldChar w:fldCharType="separate"/>
      </w:r>
      <w:hyperlink w:anchor="_Toc212044922" w:history="1">
        <w:r>
          <w:rPr>
            <w:rStyle w:val="ad"/>
            <w:rFonts w:ascii="宋体" w:hAnsi="宋体" w:hint="eastAsia"/>
            <w:lang w:val="zh-CN"/>
          </w:rPr>
          <w:t>1</w:t>
        </w:r>
        <w:r>
          <w:rPr>
            <w:rFonts w:asciiTheme="minorHAnsi" w:eastAsiaTheme="minorEastAsia" w:hAnsiTheme="minorHAnsi" w:cstheme="minorBidi" w:hint="eastAsia"/>
            <w:b w:val="0"/>
            <w:bCs w:val="0"/>
            <w:caps w:val="0"/>
            <w:sz w:val="22"/>
            <w:szCs w:val="24"/>
            <w14:ligatures w14:val="standardContextual"/>
          </w:rPr>
          <w:tab/>
        </w:r>
        <w:r>
          <w:rPr>
            <w:rStyle w:val="ad"/>
            <w:rFonts w:ascii="宋体" w:hAnsi="宋体" w:hint="eastAsia"/>
            <w:lang w:val="zh-CN"/>
          </w:rPr>
          <w:t>任务来源</w:t>
        </w:r>
        <w:r>
          <w:rPr>
            <w:rFonts w:hint="eastAsia"/>
          </w:rPr>
          <w:tab/>
        </w:r>
        <w:r>
          <w:rPr>
            <w:rFonts w:hint="eastAsia"/>
          </w:rPr>
          <w:fldChar w:fldCharType="begin"/>
        </w:r>
        <w:r>
          <w:rPr>
            <w:rFonts w:hint="eastAsia"/>
          </w:rPr>
          <w:instrText xml:space="preserve"> </w:instrText>
        </w:r>
        <w:r>
          <w:instrText>PAGEREF _Toc212044922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24CF10EF" w14:textId="77777777" w:rsidR="008B006E" w:rsidRDefault="00000000">
      <w:pPr>
        <w:pStyle w:val="TOC1"/>
        <w:tabs>
          <w:tab w:val="left" w:pos="840"/>
          <w:tab w:val="right" w:leader="dot" w:pos="8296"/>
        </w:tabs>
        <w:rPr>
          <w:rFonts w:asciiTheme="minorHAnsi" w:eastAsiaTheme="minorEastAsia" w:hAnsiTheme="minorHAnsi" w:cstheme="minorBidi"/>
          <w:b w:val="0"/>
          <w:bCs w:val="0"/>
          <w:caps w:val="0"/>
          <w:sz w:val="22"/>
          <w:szCs w:val="24"/>
          <w14:ligatures w14:val="standardContextual"/>
        </w:rPr>
      </w:pPr>
      <w:hyperlink w:anchor="_Toc212044923" w:history="1">
        <w:r>
          <w:rPr>
            <w:rStyle w:val="ad"/>
            <w:rFonts w:ascii="宋体" w:hint="eastAsia"/>
          </w:rPr>
          <w:t>2</w:t>
        </w:r>
        <w:r>
          <w:rPr>
            <w:rFonts w:asciiTheme="minorHAnsi" w:eastAsiaTheme="minorEastAsia" w:hAnsiTheme="minorHAnsi" w:cstheme="minorBidi" w:hint="eastAsia"/>
            <w:b w:val="0"/>
            <w:bCs w:val="0"/>
            <w:caps w:val="0"/>
            <w:sz w:val="22"/>
            <w:szCs w:val="24"/>
            <w14:ligatures w14:val="standardContextual"/>
          </w:rPr>
          <w:tab/>
        </w:r>
        <w:r>
          <w:rPr>
            <w:rStyle w:val="ad"/>
            <w:rFonts w:ascii="宋体" w:hint="eastAsia"/>
          </w:rPr>
          <w:t>标准制定必要性</w:t>
        </w:r>
        <w:r>
          <w:rPr>
            <w:rStyle w:val="ad"/>
            <w:rFonts w:ascii="宋体" w:hAnsi="宋体" w:hint="eastAsia"/>
          </w:rPr>
          <w:t>、</w:t>
        </w:r>
        <w:r>
          <w:rPr>
            <w:rStyle w:val="ad"/>
            <w:rFonts w:ascii="宋体" w:hint="eastAsia"/>
          </w:rPr>
          <w:t>编制依据、编制原则</w:t>
        </w:r>
        <w:r>
          <w:rPr>
            <w:rFonts w:hint="eastAsia"/>
          </w:rPr>
          <w:tab/>
        </w:r>
        <w:r>
          <w:rPr>
            <w:rFonts w:hint="eastAsia"/>
          </w:rPr>
          <w:fldChar w:fldCharType="begin"/>
        </w:r>
        <w:r>
          <w:rPr>
            <w:rFonts w:hint="eastAsia"/>
          </w:rPr>
          <w:instrText xml:space="preserve"> </w:instrText>
        </w:r>
        <w:r>
          <w:instrText>PAGEREF _Toc212044923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2D10341C" w14:textId="77777777" w:rsidR="008B006E" w:rsidRDefault="00000000">
      <w:pPr>
        <w:pStyle w:val="TOC1"/>
        <w:tabs>
          <w:tab w:val="left" w:pos="840"/>
          <w:tab w:val="right" w:leader="dot" w:pos="8296"/>
        </w:tabs>
        <w:rPr>
          <w:rFonts w:asciiTheme="minorHAnsi" w:eastAsiaTheme="minorEastAsia" w:hAnsiTheme="minorHAnsi" w:cstheme="minorBidi"/>
          <w:b w:val="0"/>
          <w:bCs w:val="0"/>
          <w:caps w:val="0"/>
          <w:sz w:val="22"/>
          <w:szCs w:val="24"/>
          <w14:ligatures w14:val="standardContextual"/>
        </w:rPr>
      </w:pPr>
      <w:hyperlink w:anchor="_Toc212044924" w:history="1">
        <w:r>
          <w:rPr>
            <w:rStyle w:val="ad"/>
            <w:rFonts w:ascii="宋体" w:hint="eastAsia"/>
          </w:rPr>
          <w:t>3</w:t>
        </w:r>
        <w:r>
          <w:rPr>
            <w:rFonts w:asciiTheme="minorHAnsi" w:eastAsiaTheme="minorEastAsia" w:hAnsiTheme="minorHAnsi" w:cstheme="minorBidi" w:hint="eastAsia"/>
            <w:b w:val="0"/>
            <w:bCs w:val="0"/>
            <w:caps w:val="0"/>
            <w:sz w:val="22"/>
            <w:szCs w:val="24"/>
            <w14:ligatures w14:val="standardContextual"/>
          </w:rPr>
          <w:tab/>
        </w:r>
        <w:r>
          <w:rPr>
            <w:rStyle w:val="ad"/>
            <w:rFonts w:ascii="宋体" w:hint="eastAsia"/>
          </w:rPr>
          <w:t>主要工作过程</w:t>
        </w:r>
        <w:r>
          <w:rPr>
            <w:rFonts w:hint="eastAsia"/>
          </w:rPr>
          <w:tab/>
        </w:r>
        <w:r>
          <w:rPr>
            <w:rFonts w:hint="eastAsia"/>
          </w:rPr>
          <w:fldChar w:fldCharType="begin"/>
        </w:r>
        <w:r>
          <w:rPr>
            <w:rFonts w:hint="eastAsia"/>
          </w:rPr>
          <w:instrText xml:space="preserve"> </w:instrText>
        </w:r>
        <w:r>
          <w:instrText>PAGEREF _Toc212044924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118B9BCE" w14:textId="77777777" w:rsidR="008B006E" w:rsidRDefault="00000000">
      <w:pPr>
        <w:pStyle w:val="TOC1"/>
        <w:tabs>
          <w:tab w:val="left" w:pos="840"/>
          <w:tab w:val="right" w:leader="dot" w:pos="8296"/>
        </w:tabs>
        <w:rPr>
          <w:rFonts w:asciiTheme="minorHAnsi" w:eastAsiaTheme="minorEastAsia" w:hAnsiTheme="minorHAnsi" w:cstheme="minorBidi"/>
          <w:b w:val="0"/>
          <w:bCs w:val="0"/>
          <w:caps w:val="0"/>
          <w:sz w:val="22"/>
          <w:szCs w:val="24"/>
          <w14:ligatures w14:val="standardContextual"/>
        </w:rPr>
      </w:pPr>
      <w:hyperlink w:anchor="_Toc212044925" w:history="1">
        <w:r>
          <w:rPr>
            <w:rStyle w:val="ad"/>
            <w:rFonts w:ascii="宋体" w:hint="eastAsia"/>
          </w:rPr>
          <w:t>4</w:t>
        </w:r>
        <w:r>
          <w:rPr>
            <w:rFonts w:asciiTheme="minorHAnsi" w:eastAsiaTheme="minorEastAsia" w:hAnsiTheme="minorHAnsi" w:cstheme="minorBidi" w:hint="eastAsia"/>
            <w:b w:val="0"/>
            <w:bCs w:val="0"/>
            <w:caps w:val="0"/>
            <w:sz w:val="22"/>
            <w:szCs w:val="24"/>
            <w14:ligatures w14:val="standardContextual"/>
          </w:rPr>
          <w:tab/>
        </w:r>
        <w:r>
          <w:rPr>
            <w:rStyle w:val="ad"/>
            <w:rFonts w:ascii="宋体" w:hint="eastAsia"/>
          </w:rPr>
          <w:t>国内外相关标准研究</w:t>
        </w:r>
        <w:r>
          <w:rPr>
            <w:rFonts w:hint="eastAsia"/>
          </w:rPr>
          <w:tab/>
        </w:r>
        <w:r>
          <w:rPr>
            <w:rFonts w:hint="eastAsia"/>
          </w:rPr>
          <w:fldChar w:fldCharType="begin"/>
        </w:r>
        <w:r>
          <w:rPr>
            <w:rFonts w:hint="eastAsia"/>
          </w:rPr>
          <w:instrText xml:space="preserve"> </w:instrText>
        </w:r>
        <w:r>
          <w:instrText>PAGEREF _Toc212044925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57BADD28" w14:textId="77777777" w:rsidR="008B006E" w:rsidRDefault="00000000">
      <w:pPr>
        <w:pStyle w:val="TOC1"/>
        <w:tabs>
          <w:tab w:val="left" w:pos="840"/>
          <w:tab w:val="right" w:leader="dot" w:pos="8296"/>
        </w:tabs>
        <w:rPr>
          <w:rFonts w:asciiTheme="minorHAnsi" w:eastAsiaTheme="minorEastAsia" w:hAnsiTheme="minorHAnsi" w:cstheme="minorBidi"/>
          <w:b w:val="0"/>
          <w:bCs w:val="0"/>
          <w:caps w:val="0"/>
          <w:sz w:val="22"/>
          <w:szCs w:val="24"/>
          <w14:ligatures w14:val="standardContextual"/>
        </w:rPr>
      </w:pPr>
      <w:hyperlink w:anchor="_Toc212044926" w:history="1">
        <w:r>
          <w:rPr>
            <w:rStyle w:val="ad"/>
            <w:rFonts w:ascii="宋体" w:hint="eastAsia"/>
          </w:rPr>
          <w:t>5</w:t>
        </w:r>
        <w:r>
          <w:rPr>
            <w:rFonts w:asciiTheme="minorHAnsi" w:eastAsiaTheme="minorEastAsia" w:hAnsiTheme="minorHAnsi" w:cstheme="minorBidi" w:hint="eastAsia"/>
            <w:b w:val="0"/>
            <w:bCs w:val="0"/>
            <w:caps w:val="0"/>
            <w:sz w:val="22"/>
            <w:szCs w:val="24"/>
            <w14:ligatures w14:val="standardContextual"/>
          </w:rPr>
          <w:tab/>
        </w:r>
        <w:r>
          <w:rPr>
            <w:rStyle w:val="ad"/>
            <w:rFonts w:ascii="宋体" w:hint="eastAsia"/>
          </w:rPr>
          <w:t>主要技术内容及说明</w:t>
        </w:r>
        <w:r>
          <w:rPr>
            <w:rFonts w:hint="eastAsia"/>
          </w:rPr>
          <w:tab/>
        </w:r>
        <w:r>
          <w:rPr>
            <w:rFonts w:hint="eastAsia"/>
          </w:rPr>
          <w:fldChar w:fldCharType="begin"/>
        </w:r>
        <w:r>
          <w:rPr>
            <w:rFonts w:hint="eastAsia"/>
          </w:rPr>
          <w:instrText xml:space="preserve"> </w:instrText>
        </w:r>
        <w:r>
          <w:instrText>PAGEREF _Toc212044926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122AF4E7" w14:textId="77777777" w:rsidR="008B006E" w:rsidRDefault="00000000">
      <w:pPr>
        <w:pStyle w:val="TOC1"/>
        <w:tabs>
          <w:tab w:val="left" w:pos="840"/>
          <w:tab w:val="right" w:leader="dot" w:pos="8296"/>
        </w:tabs>
        <w:rPr>
          <w:rFonts w:asciiTheme="minorHAnsi" w:eastAsiaTheme="minorEastAsia" w:hAnsiTheme="minorHAnsi" w:cstheme="minorBidi"/>
          <w:b w:val="0"/>
          <w:bCs w:val="0"/>
          <w:caps w:val="0"/>
          <w:sz w:val="22"/>
          <w:szCs w:val="24"/>
          <w14:ligatures w14:val="standardContextual"/>
        </w:rPr>
      </w:pPr>
      <w:hyperlink w:anchor="_Toc212044927" w:history="1">
        <w:r>
          <w:rPr>
            <w:rStyle w:val="ad"/>
            <w:rFonts w:ascii="宋体" w:hint="eastAsia"/>
          </w:rPr>
          <w:t>6</w:t>
        </w:r>
        <w:r>
          <w:rPr>
            <w:rFonts w:asciiTheme="minorHAnsi" w:eastAsiaTheme="minorEastAsia" w:hAnsiTheme="minorHAnsi" w:cstheme="minorBidi" w:hint="eastAsia"/>
            <w:b w:val="0"/>
            <w:bCs w:val="0"/>
            <w:caps w:val="0"/>
            <w:sz w:val="22"/>
            <w:szCs w:val="24"/>
            <w14:ligatures w14:val="standardContextual"/>
          </w:rPr>
          <w:tab/>
        </w:r>
        <w:r>
          <w:rPr>
            <w:rStyle w:val="ad"/>
            <w:rFonts w:ascii="宋体" w:hint="eastAsia"/>
          </w:rPr>
          <w:t>标准实施的环境效益与经济技术分析</w:t>
        </w:r>
        <w:r>
          <w:rPr>
            <w:rFonts w:hint="eastAsia"/>
          </w:rPr>
          <w:tab/>
        </w:r>
        <w:r>
          <w:rPr>
            <w:rFonts w:hint="eastAsia"/>
          </w:rPr>
          <w:fldChar w:fldCharType="begin"/>
        </w:r>
        <w:r>
          <w:rPr>
            <w:rFonts w:hint="eastAsia"/>
          </w:rPr>
          <w:instrText xml:space="preserve"> </w:instrText>
        </w:r>
        <w:r>
          <w:instrText>PAGEREF _Toc212044927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76062FE8" w14:textId="77777777" w:rsidR="008B006E" w:rsidRDefault="00000000">
      <w:pPr>
        <w:pStyle w:val="TOC1"/>
        <w:tabs>
          <w:tab w:val="left" w:pos="840"/>
          <w:tab w:val="right" w:leader="dot" w:pos="8296"/>
        </w:tabs>
        <w:rPr>
          <w:rFonts w:asciiTheme="minorHAnsi" w:eastAsiaTheme="minorEastAsia" w:hAnsiTheme="minorHAnsi" w:cstheme="minorBidi"/>
          <w:b w:val="0"/>
          <w:bCs w:val="0"/>
          <w:caps w:val="0"/>
          <w:sz w:val="22"/>
          <w:szCs w:val="24"/>
          <w14:ligatures w14:val="standardContextual"/>
        </w:rPr>
      </w:pPr>
      <w:hyperlink w:anchor="_Toc212044928" w:history="1">
        <w:r>
          <w:rPr>
            <w:rStyle w:val="ad"/>
            <w:rFonts w:ascii="宋体" w:hint="eastAsia"/>
          </w:rPr>
          <w:t>7</w:t>
        </w:r>
        <w:r>
          <w:rPr>
            <w:rFonts w:asciiTheme="minorHAnsi" w:eastAsiaTheme="minorEastAsia" w:hAnsiTheme="minorHAnsi" w:cstheme="minorBidi" w:hint="eastAsia"/>
            <w:b w:val="0"/>
            <w:bCs w:val="0"/>
            <w:caps w:val="0"/>
            <w:sz w:val="22"/>
            <w:szCs w:val="24"/>
            <w14:ligatures w14:val="standardContextual"/>
          </w:rPr>
          <w:tab/>
        </w:r>
        <w:r>
          <w:rPr>
            <w:rStyle w:val="ad"/>
            <w:rFonts w:ascii="宋体" w:hint="eastAsia"/>
          </w:rPr>
          <w:t>标准实施建议</w:t>
        </w:r>
        <w:r>
          <w:rPr>
            <w:rFonts w:hint="eastAsia"/>
          </w:rPr>
          <w:tab/>
        </w:r>
        <w:r>
          <w:rPr>
            <w:rFonts w:hint="eastAsia"/>
          </w:rPr>
          <w:fldChar w:fldCharType="begin"/>
        </w:r>
        <w:r>
          <w:rPr>
            <w:rFonts w:hint="eastAsia"/>
          </w:rPr>
          <w:instrText xml:space="preserve"> </w:instrText>
        </w:r>
        <w:r>
          <w:instrText>PAGEREF _Toc212044928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608DE6A6" w14:textId="77777777" w:rsidR="008B006E" w:rsidRDefault="00000000">
      <w:pPr>
        <w:pStyle w:val="TOC1"/>
        <w:tabs>
          <w:tab w:val="left" w:pos="840"/>
          <w:tab w:val="right" w:leader="dot" w:pos="8296"/>
        </w:tabs>
        <w:rPr>
          <w:rFonts w:asciiTheme="minorHAnsi" w:eastAsiaTheme="minorEastAsia" w:hAnsiTheme="minorHAnsi" w:cstheme="minorBidi"/>
          <w:b w:val="0"/>
          <w:bCs w:val="0"/>
          <w:caps w:val="0"/>
          <w:sz w:val="22"/>
          <w:szCs w:val="24"/>
          <w14:ligatures w14:val="standardContextual"/>
        </w:rPr>
      </w:pPr>
      <w:hyperlink w:anchor="_Toc212044929" w:history="1">
        <w:r>
          <w:rPr>
            <w:rStyle w:val="ad"/>
            <w:rFonts w:ascii="宋体" w:hint="eastAsia"/>
          </w:rPr>
          <w:t>8</w:t>
        </w:r>
        <w:r>
          <w:rPr>
            <w:rFonts w:asciiTheme="minorHAnsi" w:eastAsiaTheme="minorEastAsia" w:hAnsiTheme="minorHAnsi" w:cstheme="minorBidi" w:hint="eastAsia"/>
            <w:b w:val="0"/>
            <w:bCs w:val="0"/>
            <w:caps w:val="0"/>
            <w:sz w:val="22"/>
            <w:szCs w:val="24"/>
            <w14:ligatures w14:val="standardContextual"/>
          </w:rPr>
          <w:tab/>
        </w:r>
        <w:r>
          <w:rPr>
            <w:rStyle w:val="ad"/>
            <w:rFonts w:ascii="宋体" w:hint="eastAsia"/>
          </w:rPr>
          <w:t>涉及专利情况</w:t>
        </w:r>
        <w:r>
          <w:rPr>
            <w:rFonts w:hint="eastAsia"/>
          </w:rPr>
          <w:tab/>
        </w:r>
        <w:r>
          <w:rPr>
            <w:rFonts w:hint="eastAsia"/>
          </w:rPr>
          <w:fldChar w:fldCharType="begin"/>
        </w:r>
        <w:r>
          <w:rPr>
            <w:rFonts w:hint="eastAsia"/>
          </w:rPr>
          <w:instrText xml:space="preserve"> </w:instrText>
        </w:r>
        <w:r>
          <w:instrText>PAGEREF _Toc212044929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32B13FED" w14:textId="77777777" w:rsidR="008B006E" w:rsidRDefault="00000000">
      <w:pPr>
        <w:pStyle w:val="TOC1"/>
        <w:tabs>
          <w:tab w:val="left" w:pos="840"/>
          <w:tab w:val="right" w:leader="dot" w:pos="8296"/>
        </w:tabs>
        <w:rPr>
          <w:rFonts w:asciiTheme="minorHAnsi" w:eastAsiaTheme="minorEastAsia" w:hAnsiTheme="minorHAnsi" w:cstheme="minorBidi"/>
          <w:b w:val="0"/>
          <w:bCs w:val="0"/>
          <w:caps w:val="0"/>
          <w:sz w:val="22"/>
          <w:szCs w:val="24"/>
          <w14:ligatures w14:val="standardContextual"/>
        </w:rPr>
      </w:pPr>
      <w:hyperlink w:anchor="_Toc212044930" w:history="1">
        <w:r>
          <w:rPr>
            <w:rStyle w:val="ad"/>
            <w:rFonts w:ascii="宋体" w:hint="eastAsia"/>
          </w:rPr>
          <w:t>9</w:t>
        </w:r>
        <w:r>
          <w:rPr>
            <w:rFonts w:asciiTheme="minorHAnsi" w:eastAsiaTheme="minorEastAsia" w:hAnsiTheme="minorHAnsi" w:cstheme="minorBidi" w:hint="eastAsia"/>
            <w:b w:val="0"/>
            <w:bCs w:val="0"/>
            <w:caps w:val="0"/>
            <w:sz w:val="22"/>
            <w:szCs w:val="24"/>
            <w14:ligatures w14:val="standardContextual"/>
          </w:rPr>
          <w:tab/>
        </w:r>
        <w:r>
          <w:rPr>
            <w:rStyle w:val="ad"/>
            <w:rFonts w:ascii="宋体" w:hint="eastAsia"/>
          </w:rPr>
          <w:t>重大分歧意见</w:t>
        </w:r>
        <w:r>
          <w:rPr>
            <w:rFonts w:hint="eastAsia"/>
          </w:rPr>
          <w:tab/>
        </w:r>
        <w:r>
          <w:rPr>
            <w:rFonts w:hint="eastAsia"/>
          </w:rPr>
          <w:fldChar w:fldCharType="begin"/>
        </w:r>
        <w:r>
          <w:rPr>
            <w:rFonts w:hint="eastAsia"/>
          </w:rPr>
          <w:instrText xml:space="preserve"> </w:instrText>
        </w:r>
        <w:r>
          <w:instrText>PAGEREF _Toc212044930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71F7344D" w14:textId="77777777" w:rsidR="008B006E" w:rsidRDefault="00000000">
      <w:pPr>
        <w:pStyle w:val="TOC1"/>
        <w:sectPr w:rsidR="008B006E">
          <w:pgSz w:w="11906" w:h="16838"/>
          <w:pgMar w:top="1440" w:right="1800" w:bottom="1440" w:left="1800" w:header="851" w:footer="992" w:gutter="0"/>
          <w:pgNumType w:start="1"/>
          <w:cols w:space="425"/>
          <w:titlePg/>
          <w:docGrid w:type="lines" w:linePitch="312"/>
        </w:sectPr>
      </w:pPr>
      <w:r>
        <w:fldChar w:fldCharType="end"/>
      </w:r>
    </w:p>
    <w:p w14:paraId="5E69ED41" w14:textId="16C93622" w:rsidR="008B006E" w:rsidRDefault="00000000">
      <w:pPr>
        <w:autoSpaceDE w:val="0"/>
        <w:autoSpaceDN w:val="0"/>
        <w:spacing w:line="360" w:lineRule="auto"/>
        <w:jc w:val="center"/>
        <w:rPr>
          <w:rFonts w:ascii="仿宋_GB2312" w:eastAsia="仿宋_GB2312" w:hAnsi="黑体" w:hint="eastAsia"/>
          <w:b/>
          <w:sz w:val="32"/>
          <w:lang w:val="zh-CN"/>
        </w:rPr>
      </w:pPr>
      <w:r>
        <w:rPr>
          <w:rFonts w:ascii="仿宋_GB2312" w:eastAsia="仿宋_GB2312" w:hAnsi="黑体" w:hint="eastAsia"/>
          <w:b/>
          <w:sz w:val="32"/>
          <w:lang w:val="zh-CN"/>
        </w:rPr>
        <w:lastRenderedPageBreak/>
        <w:t>《</w:t>
      </w:r>
      <w:r w:rsidR="00237D99" w:rsidRPr="00237D99">
        <w:rPr>
          <w:rFonts w:ascii="仿宋_GB2312" w:eastAsia="仿宋_GB2312" w:hAnsi="黑体" w:hint="eastAsia"/>
          <w:b/>
          <w:sz w:val="32"/>
          <w:lang w:val="zh-CN"/>
        </w:rPr>
        <w:t>河湖库底泥氮磷污染调查与评价技术规范</w:t>
      </w:r>
      <w:r>
        <w:rPr>
          <w:rFonts w:ascii="仿宋_GB2312" w:eastAsia="仿宋_GB2312" w:hAnsi="黑体" w:hint="eastAsia"/>
          <w:b/>
          <w:sz w:val="32"/>
          <w:lang w:val="zh-CN"/>
        </w:rPr>
        <w:t>》编制说明</w:t>
      </w:r>
    </w:p>
    <w:p w14:paraId="2E873341" w14:textId="77777777" w:rsidR="008B006E" w:rsidRDefault="00000000">
      <w:pPr>
        <w:pStyle w:val="TOC1"/>
        <w:numPr>
          <w:ilvl w:val="0"/>
          <w:numId w:val="1"/>
        </w:numPr>
        <w:outlineLvl w:val="0"/>
        <w:rPr>
          <w:rFonts w:ascii="宋体" w:hAnsi="宋体" w:hint="eastAsia"/>
          <w:bCs w:val="0"/>
          <w:sz w:val="24"/>
          <w:szCs w:val="24"/>
          <w:lang w:val="zh-CN"/>
        </w:rPr>
      </w:pPr>
      <w:bookmarkStart w:id="0" w:name="_Toc212044922"/>
      <w:bookmarkStart w:id="1" w:name="_Toc321381672"/>
      <w:r>
        <w:rPr>
          <w:rFonts w:ascii="宋体" w:hAnsi="宋体"/>
          <w:bCs w:val="0"/>
          <w:sz w:val="24"/>
          <w:szCs w:val="24"/>
          <w:lang w:val="zh-CN"/>
        </w:rPr>
        <w:t>任务来源</w:t>
      </w:r>
      <w:bookmarkEnd w:id="0"/>
      <w:bookmarkEnd w:id="1"/>
    </w:p>
    <w:p w14:paraId="60D079AC" w14:textId="768EBC05" w:rsidR="008B006E" w:rsidRDefault="00000000">
      <w:pPr>
        <w:spacing w:line="360" w:lineRule="auto"/>
        <w:ind w:firstLineChars="200" w:firstLine="420"/>
        <w:rPr>
          <w:rFonts w:ascii="宋体" w:hAnsi="宋体" w:hint="eastAsia"/>
        </w:rPr>
      </w:pPr>
      <w:bookmarkStart w:id="2" w:name="_Toc321381673"/>
      <w:bookmarkStart w:id="3" w:name="_Toc321381927"/>
      <w:bookmarkStart w:id="4" w:name="_Toc321381844"/>
      <w:r>
        <w:rPr>
          <w:rFonts w:hint="eastAsia"/>
        </w:rPr>
        <w:t>编制单位于</w:t>
      </w:r>
      <w:r>
        <w:t>2023</w:t>
      </w:r>
      <w:r>
        <w:t>年</w:t>
      </w:r>
      <w:r>
        <w:t>5</w:t>
      </w:r>
      <w:r>
        <w:t>月</w:t>
      </w:r>
      <w:r>
        <w:rPr>
          <w:rFonts w:hint="eastAsia"/>
        </w:rPr>
        <w:t>向中华环保联合会提交《</w:t>
      </w:r>
      <w:r w:rsidR="00237D99">
        <w:rPr>
          <w:rFonts w:hint="eastAsia"/>
        </w:rPr>
        <w:t>河湖库底泥氮磷污染调查与评价技术规范</w:t>
      </w:r>
      <w:r>
        <w:rPr>
          <w:rFonts w:hint="eastAsia"/>
        </w:rPr>
        <w:t>》标准制修订立项申请书。</w:t>
      </w:r>
      <w:r>
        <w:t>2023</w:t>
      </w:r>
      <w:r>
        <w:t>年</w:t>
      </w:r>
      <w:r>
        <w:t>7</w:t>
      </w:r>
      <w:r>
        <w:t>月</w:t>
      </w:r>
      <w:r>
        <w:t>11</w:t>
      </w:r>
      <w:r>
        <w:t>日，</w:t>
      </w:r>
      <w:r>
        <w:rPr>
          <w:rFonts w:hint="eastAsia"/>
        </w:rPr>
        <w:t>中华环保联合会组织线上专家论证会，对该标准进行立项论证。编制单位根据专家意见修改完善后，该标准正式获批立项，旨在填补国内河湖底泥氮磷污染评价缺乏统一技术规范的空白。</w:t>
      </w:r>
      <w:bookmarkEnd w:id="2"/>
      <w:bookmarkEnd w:id="3"/>
      <w:bookmarkEnd w:id="4"/>
    </w:p>
    <w:p w14:paraId="4739176C" w14:textId="77777777" w:rsidR="008B006E" w:rsidRDefault="00000000">
      <w:pPr>
        <w:pStyle w:val="TOC1"/>
        <w:numPr>
          <w:ilvl w:val="0"/>
          <w:numId w:val="1"/>
        </w:numPr>
        <w:outlineLvl w:val="0"/>
        <w:rPr>
          <w:rFonts w:ascii="宋体"/>
          <w:bCs w:val="0"/>
          <w:sz w:val="24"/>
          <w:szCs w:val="24"/>
        </w:rPr>
      </w:pPr>
      <w:bookmarkStart w:id="5" w:name="_Toc212044923"/>
      <w:r>
        <w:rPr>
          <w:rFonts w:ascii="宋体" w:hint="eastAsia"/>
          <w:bCs w:val="0"/>
          <w:sz w:val="24"/>
          <w:szCs w:val="24"/>
        </w:rPr>
        <w:t>标准制定必要性</w:t>
      </w:r>
      <w:r>
        <w:rPr>
          <w:rFonts w:ascii="宋体" w:hAnsi="宋体" w:hint="eastAsia"/>
          <w:bCs w:val="0"/>
          <w:sz w:val="24"/>
          <w:szCs w:val="24"/>
        </w:rPr>
        <w:t>、</w:t>
      </w:r>
      <w:r>
        <w:rPr>
          <w:rFonts w:ascii="宋体" w:hint="eastAsia"/>
          <w:bCs w:val="0"/>
          <w:sz w:val="24"/>
          <w:szCs w:val="24"/>
        </w:rPr>
        <w:t>编制依据、编制原则</w:t>
      </w:r>
      <w:bookmarkEnd w:id="5"/>
    </w:p>
    <w:p w14:paraId="27C960BA" w14:textId="77777777" w:rsidR="008B006E" w:rsidRDefault="00000000">
      <w:pPr>
        <w:pStyle w:val="TOC1"/>
        <w:spacing w:line="360" w:lineRule="auto"/>
        <w:rPr>
          <w:rFonts w:ascii="宋体"/>
          <w:bCs w:val="0"/>
          <w:sz w:val="21"/>
          <w:szCs w:val="21"/>
        </w:rPr>
      </w:pPr>
      <w:r>
        <w:rPr>
          <w:rFonts w:ascii="宋体" w:hint="eastAsia"/>
          <w:bCs w:val="0"/>
          <w:sz w:val="21"/>
          <w:szCs w:val="21"/>
        </w:rPr>
        <w:t>2.1 标准制定的必要性</w:t>
      </w:r>
    </w:p>
    <w:p w14:paraId="229B8A52" w14:textId="5605A020" w:rsidR="008B006E" w:rsidRDefault="00000000">
      <w:pPr>
        <w:spacing w:line="360" w:lineRule="auto"/>
        <w:ind w:firstLineChars="200" w:firstLine="420"/>
      </w:pPr>
      <w:r>
        <w:rPr>
          <w:rFonts w:hint="eastAsia"/>
        </w:rPr>
        <w:t>编制《</w:t>
      </w:r>
      <w:r w:rsidR="00237D99" w:rsidRPr="00237D99">
        <w:rPr>
          <w:rFonts w:hint="eastAsia"/>
        </w:rPr>
        <w:t>河湖库底泥氮磷污染调查与评价技术规范</w:t>
      </w:r>
      <w:r>
        <w:rPr>
          <w:rFonts w:hint="eastAsia"/>
        </w:rPr>
        <w:t>》旨在解决当前底泥氮磷污染评价无统一标准、数据不可比、治理针对性不足的问题，为河湖生态修复提供科学依据。</w:t>
      </w:r>
    </w:p>
    <w:p w14:paraId="496052C0" w14:textId="77777777" w:rsidR="008B006E" w:rsidRDefault="00000000">
      <w:pPr>
        <w:spacing w:line="360" w:lineRule="auto"/>
        <w:ind w:firstLineChars="200" w:firstLine="420"/>
      </w:pPr>
      <w:r>
        <w:rPr>
          <w:rFonts w:hint="eastAsia"/>
        </w:rPr>
        <w:t>一方面，解决评价标准不统一的行业痛点。当前河湖底泥氮磷污染评价缺乏全国性统一规范，不同地区、机构采用的评价方法、指标阈值差异较大。部分地区参考土壤氮磷评价标准，未考虑底泥水生环境特殊性，导致评价结果与实际污染风险脱节。不同研究采用的采样深度、检测方法（如消解方式、仪器型号）不同，造成同一河湖的污染数据无法横向对比，难以支撑跨区域联防联控。</w:t>
      </w:r>
    </w:p>
    <w:p w14:paraId="5AEFB4AC" w14:textId="77777777" w:rsidR="008B006E" w:rsidRDefault="00000000">
      <w:pPr>
        <w:spacing w:line="360" w:lineRule="auto"/>
        <w:ind w:firstLineChars="200" w:firstLine="420"/>
      </w:pPr>
      <w:r>
        <w:rPr>
          <w:rFonts w:hint="eastAsia"/>
        </w:rPr>
        <w:t>另一方面，支撑精准污染治理的现实需求。底泥是河湖氮磷的“源”与“汇”，准确评价是制定治理方案的前提，而现有评价体系缺乏针对性。若仅依据水体氮磷浓度治理，忽略底泥释放的内源污染，易导致“治理后反弹”，造成资金与资源浪费。规范可明确不同污染程度（如轻度、中度、重度）的判定标准，指导治理措施分级：轻度污染可采用生态修复（如沉水植物种植），重度污染需针对性开展底泥疏浚，避免“一刀切”式治理。</w:t>
      </w:r>
    </w:p>
    <w:p w14:paraId="0E344198" w14:textId="77777777" w:rsidR="008B006E" w:rsidRDefault="00000000">
      <w:pPr>
        <w:spacing w:line="360" w:lineRule="auto"/>
        <w:ind w:firstLineChars="200" w:firstLine="420"/>
      </w:pPr>
      <w:r>
        <w:rPr>
          <w:rFonts w:hint="eastAsia"/>
        </w:rPr>
        <w:t>第三方面，保障河湖生态安全的制度基础。氮磷过量会引发水体富营养化，导致蓝藻水华、鱼类死亡等生态问题，规范可构建风险防控的技术屏障。明确底泥氮磷释放通量的测算方法，提前预警内源污染风险，为水华应急处置提供时间窗口。统一评价结果可纳入河湖健康评估体系，成为各级政府生态环境保护考核的量化依据，推动责任落实。</w:t>
      </w:r>
    </w:p>
    <w:p w14:paraId="2FE4CC87" w14:textId="77777777" w:rsidR="008B006E" w:rsidRDefault="00000000">
      <w:pPr>
        <w:spacing w:line="360" w:lineRule="auto"/>
        <w:ind w:firstLineChars="200" w:firstLine="420"/>
      </w:pPr>
      <w:r>
        <w:rPr>
          <w:rFonts w:hint="eastAsia"/>
        </w:rPr>
        <w:t>本标准的制定是衔接国家政策与行业发展的必然要求。近年来国家密集出台《中华人民共和国长江保护法》《河湖生态环境保护规划》等政策，均要求加强底泥污染治理，但缺乏配套技术规范支撑。本规范可填补政策落地的技术空白，使底泥氮磷污染评价有法可依、有标可循，避免政策执行中的“模糊地带”。与国际接轨，借鉴欧盟《水框架指令》中底泥评价经验，同时结合我国河湖类型多样（如北方冰封湖、南方富营养化河）的特点，形成本土</w:t>
      </w:r>
      <w:r>
        <w:rPr>
          <w:rFonts w:hint="eastAsia"/>
        </w:rPr>
        <w:lastRenderedPageBreak/>
        <w:t>化技术体系，助力生态文明建设。</w:t>
      </w:r>
    </w:p>
    <w:p w14:paraId="6270918C" w14:textId="77777777" w:rsidR="008B006E" w:rsidRDefault="00000000">
      <w:pPr>
        <w:pStyle w:val="TOC1"/>
        <w:spacing w:line="360" w:lineRule="auto"/>
        <w:rPr>
          <w:rFonts w:ascii="宋体"/>
          <w:bCs w:val="0"/>
          <w:sz w:val="21"/>
          <w:szCs w:val="21"/>
        </w:rPr>
      </w:pPr>
      <w:r>
        <w:rPr>
          <w:rFonts w:ascii="宋体" w:hint="eastAsia"/>
          <w:bCs w:val="0"/>
          <w:sz w:val="21"/>
          <w:szCs w:val="21"/>
        </w:rPr>
        <w:t>2.2 编制依据</w:t>
      </w:r>
    </w:p>
    <w:p w14:paraId="55275CCF" w14:textId="1765EE0D" w:rsidR="008B006E" w:rsidRDefault="00000000">
      <w:pPr>
        <w:spacing w:line="360" w:lineRule="auto"/>
        <w:ind w:firstLineChars="200" w:firstLine="420"/>
      </w:pPr>
      <w:r>
        <w:t>《</w:t>
      </w:r>
      <w:r w:rsidR="00237D99">
        <w:rPr>
          <w:rFonts w:hint="eastAsia"/>
        </w:rPr>
        <w:t>河湖库底泥氮磷污染调查与评价技术规范</w:t>
      </w:r>
      <w:r>
        <w:rPr>
          <w:rFonts w:hint="eastAsia"/>
        </w:rPr>
        <w:t>》依据以下标准进行编制：</w:t>
      </w:r>
    </w:p>
    <w:tbl>
      <w:tblPr>
        <w:tblStyle w:val="ac"/>
        <w:tblW w:w="4998" w:type="pct"/>
        <w:jc w:val="center"/>
        <w:tblLook w:val="04A0" w:firstRow="1" w:lastRow="0" w:firstColumn="1" w:lastColumn="0" w:noHBand="0" w:noVBand="1"/>
      </w:tblPr>
      <w:tblGrid>
        <w:gridCol w:w="2080"/>
        <w:gridCol w:w="6439"/>
      </w:tblGrid>
      <w:tr w:rsidR="008B006E" w14:paraId="6854C10E" w14:textId="77777777">
        <w:trPr>
          <w:trHeight w:val="479"/>
          <w:jc w:val="center"/>
        </w:trPr>
        <w:tc>
          <w:tcPr>
            <w:tcW w:w="1221" w:type="pct"/>
          </w:tcPr>
          <w:p w14:paraId="5A9BBB9E" w14:textId="77777777" w:rsidR="008B006E" w:rsidRDefault="00000000">
            <w:pPr>
              <w:spacing w:line="360" w:lineRule="auto"/>
              <w:jc w:val="center"/>
            </w:pPr>
            <w:r>
              <w:rPr>
                <w:rFonts w:hint="eastAsia"/>
                <w:color w:val="000000"/>
              </w:rPr>
              <w:t>GB 3838</w:t>
            </w:r>
          </w:p>
        </w:tc>
        <w:tc>
          <w:tcPr>
            <w:tcW w:w="3778" w:type="pct"/>
          </w:tcPr>
          <w:p w14:paraId="2BE1051E" w14:textId="77777777" w:rsidR="008B006E" w:rsidRDefault="00000000">
            <w:pPr>
              <w:spacing w:line="360" w:lineRule="auto"/>
              <w:jc w:val="center"/>
            </w:pPr>
            <w:r>
              <w:rPr>
                <w:rFonts w:hint="eastAsia"/>
                <w:color w:val="000000"/>
              </w:rPr>
              <w:t>地表水环境质量标准</w:t>
            </w:r>
          </w:p>
        </w:tc>
      </w:tr>
      <w:tr w:rsidR="008B006E" w14:paraId="2AD3D5A8" w14:textId="77777777">
        <w:trPr>
          <w:trHeight w:val="479"/>
          <w:jc w:val="center"/>
        </w:trPr>
        <w:tc>
          <w:tcPr>
            <w:tcW w:w="1221" w:type="pct"/>
          </w:tcPr>
          <w:p w14:paraId="3362B1D7" w14:textId="77777777" w:rsidR="008B006E" w:rsidRDefault="00000000">
            <w:pPr>
              <w:spacing w:line="360" w:lineRule="auto"/>
              <w:jc w:val="center"/>
            </w:pPr>
            <w:r>
              <w:rPr>
                <w:rFonts w:hint="eastAsia"/>
                <w:color w:val="000000"/>
              </w:rPr>
              <w:t>GB 15618</w:t>
            </w:r>
          </w:p>
        </w:tc>
        <w:tc>
          <w:tcPr>
            <w:tcW w:w="3778" w:type="pct"/>
          </w:tcPr>
          <w:p w14:paraId="2B44C20F" w14:textId="77777777" w:rsidR="008B006E" w:rsidRDefault="00000000">
            <w:pPr>
              <w:spacing w:line="360" w:lineRule="auto"/>
              <w:jc w:val="center"/>
            </w:pPr>
            <w:r>
              <w:rPr>
                <w:rFonts w:hint="eastAsia"/>
                <w:color w:val="000000"/>
              </w:rPr>
              <w:t>土壤环境质量</w:t>
            </w:r>
            <w:r>
              <w:rPr>
                <w:rFonts w:hint="eastAsia"/>
                <w:color w:val="000000"/>
              </w:rPr>
              <w:t xml:space="preserve"> </w:t>
            </w:r>
            <w:r>
              <w:rPr>
                <w:rFonts w:hint="eastAsia"/>
                <w:color w:val="000000"/>
              </w:rPr>
              <w:t>农用地土壤污染风险管控标准（试行）</w:t>
            </w:r>
          </w:p>
        </w:tc>
      </w:tr>
      <w:tr w:rsidR="008B006E" w14:paraId="49909A84" w14:textId="77777777">
        <w:trPr>
          <w:trHeight w:val="492"/>
          <w:jc w:val="center"/>
        </w:trPr>
        <w:tc>
          <w:tcPr>
            <w:tcW w:w="1221" w:type="pct"/>
          </w:tcPr>
          <w:p w14:paraId="7DF60BF0" w14:textId="77777777" w:rsidR="008B006E" w:rsidRDefault="00000000">
            <w:pPr>
              <w:spacing w:line="360" w:lineRule="auto"/>
              <w:jc w:val="center"/>
            </w:pPr>
            <w:r>
              <w:rPr>
                <w:rFonts w:hint="eastAsia"/>
                <w:color w:val="000000"/>
              </w:rPr>
              <w:t>SL 219</w:t>
            </w:r>
          </w:p>
        </w:tc>
        <w:tc>
          <w:tcPr>
            <w:tcW w:w="3778" w:type="pct"/>
          </w:tcPr>
          <w:p w14:paraId="56E3FEAD" w14:textId="77777777" w:rsidR="008B006E" w:rsidRDefault="00000000">
            <w:pPr>
              <w:spacing w:line="360" w:lineRule="auto"/>
              <w:jc w:val="center"/>
            </w:pPr>
            <w:r>
              <w:rPr>
                <w:rFonts w:hint="eastAsia"/>
                <w:color w:val="000000"/>
              </w:rPr>
              <w:t>水环境监测规范</w:t>
            </w:r>
          </w:p>
        </w:tc>
      </w:tr>
      <w:tr w:rsidR="008B006E" w14:paraId="1406CC81" w14:textId="77777777">
        <w:trPr>
          <w:trHeight w:val="479"/>
          <w:jc w:val="center"/>
        </w:trPr>
        <w:tc>
          <w:tcPr>
            <w:tcW w:w="1221" w:type="pct"/>
          </w:tcPr>
          <w:p w14:paraId="0D866A4F" w14:textId="77777777" w:rsidR="008B006E" w:rsidRDefault="00000000">
            <w:pPr>
              <w:spacing w:line="360" w:lineRule="auto"/>
              <w:jc w:val="center"/>
            </w:pPr>
            <w:r>
              <w:rPr>
                <w:rFonts w:hint="eastAsia"/>
                <w:color w:val="000000"/>
              </w:rPr>
              <w:t>HJ/T 91</w:t>
            </w:r>
          </w:p>
        </w:tc>
        <w:tc>
          <w:tcPr>
            <w:tcW w:w="3778" w:type="pct"/>
          </w:tcPr>
          <w:p w14:paraId="15FFE0B4" w14:textId="77777777" w:rsidR="008B006E" w:rsidRDefault="00000000">
            <w:pPr>
              <w:spacing w:line="360" w:lineRule="auto"/>
              <w:jc w:val="center"/>
            </w:pPr>
            <w:r>
              <w:rPr>
                <w:rFonts w:hint="eastAsia"/>
                <w:color w:val="000000"/>
              </w:rPr>
              <w:t>地表水和污水监测技术规范</w:t>
            </w:r>
          </w:p>
        </w:tc>
      </w:tr>
      <w:tr w:rsidR="008B006E" w14:paraId="1563DFB8" w14:textId="77777777">
        <w:trPr>
          <w:trHeight w:val="479"/>
          <w:jc w:val="center"/>
        </w:trPr>
        <w:tc>
          <w:tcPr>
            <w:tcW w:w="1221" w:type="pct"/>
          </w:tcPr>
          <w:p w14:paraId="1866F5D5" w14:textId="77777777" w:rsidR="008B006E" w:rsidRDefault="00000000">
            <w:pPr>
              <w:spacing w:line="360" w:lineRule="auto"/>
              <w:jc w:val="center"/>
              <w:rPr>
                <w:color w:val="000000"/>
                <w:szCs w:val="32"/>
              </w:rPr>
            </w:pPr>
            <w:r>
              <w:rPr>
                <w:rFonts w:hint="eastAsia"/>
                <w:color w:val="000000"/>
              </w:rPr>
              <w:t>HJ/T 166</w:t>
            </w:r>
          </w:p>
        </w:tc>
        <w:tc>
          <w:tcPr>
            <w:tcW w:w="3778" w:type="pct"/>
          </w:tcPr>
          <w:p w14:paraId="0D3B8D69" w14:textId="77777777" w:rsidR="008B006E" w:rsidRDefault="00000000">
            <w:pPr>
              <w:spacing w:line="360" w:lineRule="auto"/>
              <w:jc w:val="center"/>
              <w:rPr>
                <w:color w:val="000000"/>
                <w:szCs w:val="32"/>
              </w:rPr>
            </w:pPr>
            <w:r>
              <w:rPr>
                <w:rFonts w:hint="eastAsia"/>
                <w:color w:val="000000"/>
              </w:rPr>
              <w:t>土壤环境监测技术规范</w:t>
            </w:r>
          </w:p>
        </w:tc>
      </w:tr>
      <w:tr w:rsidR="008B006E" w14:paraId="0F9973C3" w14:textId="77777777">
        <w:trPr>
          <w:trHeight w:val="479"/>
          <w:jc w:val="center"/>
        </w:trPr>
        <w:tc>
          <w:tcPr>
            <w:tcW w:w="1221" w:type="pct"/>
          </w:tcPr>
          <w:p w14:paraId="4EA22D3E" w14:textId="77777777" w:rsidR="008B006E" w:rsidRDefault="00000000">
            <w:pPr>
              <w:spacing w:line="360" w:lineRule="auto"/>
              <w:jc w:val="center"/>
              <w:rPr>
                <w:color w:val="000000"/>
                <w:szCs w:val="32"/>
              </w:rPr>
            </w:pPr>
            <w:r>
              <w:rPr>
                <w:rFonts w:hint="eastAsia"/>
                <w:color w:val="000000"/>
              </w:rPr>
              <w:t>HJ 494</w:t>
            </w:r>
          </w:p>
        </w:tc>
        <w:tc>
          <w:tcPr>
            <w:tcW w:w="3778" w:type="pct"/>
          </w:tcPr>
          <w:p w14:paraId="7050077F" w14:textId="77777777" w:rsidR="008B006E" w:rsidRDefault="00000000">
            <w:pPr>
              <w:spacing w:line="360" w:lineRule="auto"/>
              <w:jc w:val="center"/>
              <w:rPr>
                <w:color w:val="000000"/>
                <w:szCs w:val="32"/>
              </w:rPr>
            </w:pPr>
            <w:r>
              <w:rPr>
                <w:rFonts w:hint="eastAsia"/>
                <w:color w:val="000000"/>
              </w:rPr>
              <w:t>水质</w:t>
            </w:r>
            <w:r>
              <w:rPr>
                <w:rFonts w:hint="eastAsia"/>
                <w:color w:val="000000"/>
              </w:rPr>
              <w:t xml:space="preserve"> </w:t>
            </w:r>
            <w:r>
              <w:rPr>
                <w:rFonts w:hint="eastAsia"/>
                <w:color w:val="000000"/>
              </w:rPr>
              <w:t>采样技术指导</w:t>
            </w:r>
          </w:p>
        </w:tc>
      </w:tr>
      <w:tr w:rsidR="008B006E" w14:paraId="2C30F162" w14:textId="77777777">
        <w:trPr>
          <w:trHeight w:val="479"/>
          <w:jc w:val="center"/>
        </w:trPr>
        <w:tc>
          <w:tcPr>
            <w:tcW w:w="1221" w:type="pct"/>
          </w:tcPr>
          <w:p w14:paraId="784B5B06" w14:textId="77777777" w:rsidR="008B006E" w:rsidRDefault="00000000">
            <w:pPr>
              <w:spacing w:line="360" w:lineRule="auto"/>
              <w:jc w:val="center"/>
            </w:pPr>
            <w:r>
              <w:rPr>
                <w:rFonts w:hint="eastAsia"/>
                <w:color w:val="000000"/>
              </w:rPr>
              <w:t>HJ 495</w:t>
            </w:r>
          </w:p>
        </w:tc>
        <w:tc>
          <w:tcPr>
            <w:tcW w:w="3778" w:type="pct"/>
          </w:tcPr>
          <w:p w14:paraId="2488EE81" w14:textId="77777777" w:rsidR="008B006E" w:rsidRDefault="00000000">
            <w:pPr>
              <w:spacing w:line="360" w:lineRule="auto"/>
              <w:jc w:val="center"/>
              <w:rPr>
                <w:color w:val="000000"/>
                <w:szCs w:val="32"/>
              </w:rPr>
            </w:pPr>
            <w:r>
              <w:rPr>
                <w:rFonts w:hint="eastAsia"/>
                <w:color w:val="000000"/>
              </w:rPr>
              <w:t>水质</w:t>
            </w:r>
            <w:r>
              <w:rPr>
                <w:rFonts w:hint="eastAsia"/>
                <w:color w:val="000000"/>
              </w:rPr>
              <w:t xml:space="preserve"> </w:t>
            </w:r>
            <w:r>
              <w:rPr>
                <w:rFonts w:hint="eastAsia"/>
                <w:color w:val="000000"/>
              </w:rPr>
              <w:t>采样方案设计技术规定</w:t>
            </w:r>
          </w:p>
        </w:tc>
      </w:tr>
      <w:tr w:rsidR="008B006E" w14:paraId="4DED96D2" w14:textId="77777777">
        <w:trPr>
          <w:trHeight w:val="479"/>
          <w:jc w:val="center"/>
        </w:trPr>
        <w:tc>
          <w:tcPr>
            <w:tcW w:w="1221" w:type="pct"/>
          </w:tcPr>
          <w:p w14:paraId="715A9AB9" w14:textId="77777777" w:rsidR="008B006E" w:rsidRDefault="00000000">
            <w:pPr>
              <w:spacing w:line="360" w:lineRule="auto"/>
              <w:jc w:val="center"/>
            </w:pPr>
            <w:r>
              <w:rPr>
                <w:rFonts w:hint="eastAsia"/>
                <w:color w:val="000000"/>
              </w:rPr>
              <w:t>HJ 632</w:t>
            </w:r>
          </w:p>
        </w:tc>
        <w:tc>
          <w:tcPr>
            <w:tcW w:w="3778" w:type="pct"/>
          </w:tcPr>
          <w:p w14:paraId="3732EBB6" w14:textId="77777777" w:rsidR="008B006E" w:rsidRDefault="00000000">
            <w:pPr>
              <w:spacing w:line="360" w:lineRule="auto"/>
              <w:jc w:val="center"/>
              <w:rPr>
                <w:color w:val="000000"/>
                <w:szCs w:val="32"/>
              </w:rPr>
            </w:pPr>
            <w:r>
              <w:rPr>
                <w:rFonts w:hint="eastAsia"/>
                <w:color w:val="000000"/>
              </w:rPr>
              <w:t>土壤</w:t>
            </w:r>
            <w:r>
              <w:rPr>
                <w:rFonts w:hint="eastAsia"/>
                <w:color w:val="000000"/>
              </w:rPr>
              <w:t xml:space="preserve"> </w:t>
            </w:r>
            <w:r>
              <w:rPr>
                <w:rFonts w:hint="eastAsia"/>
                <w:color w:val="000000"/>
              </w:rPr>
              <w:t>总磷的测定</w:t>
            </w:r>
            <w:r>
              <w:rPr>
                <w:rFonts w:hint="eastAsia"/>
                <w:color w:val="000000"/>
              </w:rPr>
              <w:t xml:space="preserve"> </w:t>
            </w:r>
            <w:r>
              <w:rPr>
                <w:rFonts w:hint="eastAsia"/>
                <w:color w:val="000000"/>
              </w:rPr>
              <w:t>碱熔</w:t>
            </w:r>
            <w:r>
              <w:rPr>
                <w:rFonts w:hint="eastAsia"/>
                <w:color w:val="000000"/>
              </w:rPr>
              <w:t>-</w:t>
            </w:r>
            <w:r>
              <w:rPr>
                <w:rFonts w:hint="eastAsia"/>
                <w:color w:val="000000"/>
              </w:rPr>
              <w:t>钼锑抗分光光度法</w:t>
            </w:r>
          </w:p>
        </w:tc>
      </w:tr>
      <w:tr w:rsidR="008B006E" w14:paraId="39A50AD7" w14:textId="77777777">
        <w:trPr>
          <w:trHeight w:val="479"/>
          <w:jc w:val="center"/>
        </w:trPr>
        <w:tc>
          <w:tcPr>
            <w:tcW w:w="1221" w:type="pct"/>
          </w:tcPr>
          <w:p w14:paraId="11ED7801" w14:textId="77777777" w:rsidR="008B006E" w:rsidRDefault="00000000">
            <w:pPr>
              <w:spacing w:line="360" w:lineRule="auto"/>
              <w:jc w:val="center"/>
            </w:pPr>
            <w:r>
              <w:rPr>
                <w:rFonts w:hint="eastAsia"/>
                <w:color w:val="000000"/>
              </w:rPr>
              <w:t>HJ 717</w:t>
            </w:r>
          </w:p>
        </w:tc>
        <w:tc>
          <w:tcPr>
            <w:tcW w:w="3778" w:type="pct"/>
          </w:tcPr>
          <w:p w14:paraId="0E234DFF" w14:textId="77777777" w:rsidR="008B006E" w:rsidRDefault="00000000">
            <w:pPr>
              <w:spacing w:line="360" w:lineRule="auto"/>
              <w:jc w:val="center"/>
            </w:pPr>
            <w:r>
              <w:rPr>
                <w:rFonts w:hint="eastAsia"/>
                <w:color w:val="000000"/>
              </w:rPr>
              <w:t>土壤质量</w:t>
            </w:r>
            <w:r>
              <w:rPr>
                <w:rFonts w:hint="eastAsia"/>
                <w:color w:val="000000"/>
              </w:rPr>
              <w:t xml:space="preserve"> </w:t>
            </w:r>
            <w:r>
              <w:rPr>
                <w:rFonts w:hint="eastAsia"/>
                <w:color w:val="000000"/>
              </w:rPr>
              <w:t>全氮的测定</w:t>
            </w:r>
            <w:r>
              <w:rPr>
                <w:rFonts w:hint="eastAsia"/>
                <w:color w:val="000000"/>
              </w:rPr>
              <w:t xml:space="preserve"> </w:t>
            </w:r>
            <w:r>
              <w:rPr>
                <w:rFonts w:hint="eastAsia"/>
                <w:color w:val="000000"/>
              </w:rPr>
              <w:t>凯氏法</w:t>
            </w:r>
          </w:p>
        </w:tc>
      </w:tr>
      <w:tr w:rsidR="008B006E" w14:paraId="5970837F" w14:textId="77777777">
        <w:trPr>
          <w:trHeight w:val="479"/>
          <w:jc w:val="center"/>
        </w:trPr>
        <w:tc>
          <w:tcPr>
            <w:tcW w:w="1221" w:type="pct"/>
          </w:tcPr>
          <w:p w14:paraId="3556721D" w14:textId="77777777" w:rsidR="008B006E" w:rsidRDefault="00000000">
            <w:pPr>
              <w:spacing w:line="360" w:lineRule="auto"/>
              <w:jc w:val="center"/>
            </w:pPr>
            <w:r>
              <w:rPr>
                <w:rFonts w:hint="eastAsia"/>
                <w:color w:val="000000"/>
              </w:rPr>
              <w:t>T/CHES 117</w:t>
            </w:r>
            <w:r>
              <w:rPr>
                <w:rFonts w:hint="eastAsia"/>
                <w:color w:val="000000"/>
              </w:rPr>
              <w:t>—</w:t>
            </w:r>
            <w:r>
              <w:rPr>
                <w:rFonts w:hint="eastAsia"/>
                <w:color w:val="000000"/>
              </w:rPr>
              <w:t>2023</w:t>
            </w:r>
          </w:p>
        </w:tc>
        <w:tc>
          <w:tcPr>
            <w:tcW w:w="3778" w:type="pct"/>
          </w:tcPr>
          <w:p w14:paraId="207021D9" w14:textId="77777777" w:rsidR="008B006E" w:rsidRDefault="00000000">
            <w:pPr>
              <w:spacing w:line="360" w:lineRule="auto"/>
              <w:jc w:val="center"/>
            </w:pPr>
            <w:r>
              <w:rPr>
                <w:rFonts w:hint="eastAsia"/>
                <w:color w:val="000000"/>
              </w:rPr>
              <w:t>城市河湖底泥污染状况调查评价技术导则（报批稿）</w:t>
            </w:r>
          </w:p>
        </w:tc>
      </w:tr>
    </w:tbl>
    <w:p w14:paraId="729114D1" w14:textId="77777777" w:rsidR="008B006E" w:rsidRDefault="00000000">
      <w:pPr>
        <w:pStyle w:val="TOC1"/>
        <w:spacing w:line="360" w:lineRule="auto"/>
        <w:rPr>
          <w:rFonts w:ascii="宋体"/>
          <w:bCs w:val="0"/>
          <w:sz w:val="21"/>
          <w:szCs w:val="21"/>
        </w:rPr>
      </w:pPr>
      <w:r>
        <w:rPr>
          <w:rFonts w:ascii="宋体" w:hint="eastAsia"/>
          <w:bCs w:val="0"/>
          <w:sz w:val="21"/>
          <w:szCs w:val="21"/>
        </w:rPr>
        <w:t>2.3 编制原则</w:t>
      </w:r>
    </w:p>
    <w:p w14:paraId="7CCB8D22" w14:textId="77777777" w:rsidR="008B006E" w:rsidRDefault="00000000">
      <w:pPr>
        <w:spacing w:line="360" w:lineRule="auto"/>
        <w:ind w:firstLineChars="200" w:firstLine="420"/>
      </w:pPr>
      <w:r>
        <w:rPr>
          <w:rFonts w:hint="eastAsia"/>
        </w:rPr>
        <w:t>1.</w:t>
      </w:r>
      <w:r>
        <w:t>本标准按照</w:t>
      </w:r>
      <w:r>
        <w:t>GB/T 1.1-2020</w:t>
      </w:r>
      <w:r>
        <w:t>《标准化工作导则</w:t>
      </w:r>
      <w:r>
        <w:t xml:space="preserve"> </w:t>
      </w:r>
      <w:r>
        <w:t>第</w:t>
      </w:r>
      <w:r>
        <w:t>1</w:t>
      </w:r>
      <w:r>
        <w:t>部分：标准化文件的结构和起草规则》的要求进行编写。</w:t>
      </w:r>
    </w:p>
    <w:p w14:paraId="50485D5C" w14:textId="77777777" w:rsidR="008B006E" w:rsidRDefault="00000000">
      <w:pPr>
        <w:spacing w:line="360" w:lineRule="auto"/>
        <w:ind w:firstLineChars="200" w:firstLine="420"/>
      </w:pPr>
      <w:r>
        <w:rPr>
          <w:rFonts w:hint="eastAsia"/>
        </w:rPr>
        <w:t>2.</w:t>
      </w:r>
      <w:r>
        <w:t>参照相关</w:t>
      </w:r>
      <w:r>
        <w:rPr>
          <w:rFonts w:hint="eastAsia"/>
        </w:rPr>
        <w:t>法律法规</w:t>
      </w:r>
      <w:r>
        <w:t>和规定，在编制过程中着重考虑了科学性、适用性和可操作性。</w:t>
      </w:r>
    </w:p>
    <w:p w14:paraId="39B9D582" w14:textId="77777777" w:rsidR="008B006E" w:rsidRDefault="00000000">
      <w:pPr>
        <w:pStyle w:val="TOC1"/>
        <w:numPr>
          <w:ilvl w:val="0"/>
          <w:numId w:val="1"/>
        </w:numPr>
        <w:outlineLvl w:val="0"/>
        <w:rPr>
          <w:rFonts w:ascii="宋体"/>
          <w:bCs w:val="0"/>
          <w:sz w:val="24"/>
          <w:szCs w:val="24"/>
        </w:rPr>
      </w:pPr>
      <w:bookmarkStart w:id="6" w:name="_Toc212044924"/>
      <w:r>
        <w:rPr>
          <w:rFonts w:ascii="宋体" w:hint="eastAsia"/>
          <w:bCs w:val="0"/>
          <w:sz w:val="24"/>
          <w:szCs w:val="24"/>
        </w:rPr>
        <w:t>主要工作过程</w:t>
      </w:r>
      <w:bookmarkEnd w:id="6"/>
    </w:p>
    <w:p w14:paraId="09F2394A" w14:textId="77777777" w:rsidR="008B006E" w:rsidRDefault="00000000">
      <w:pPr>
        <w:spacing w:line="360" w:lineRule="auto"/>
        <w:ind w:firstLineChars="200" w:firstLine="420"/>
      </w:pPr>
      <w:r>
        <w:rPr>
          <w:rFonts w:hint="eastAsia"/>
        </w:rPr>
        <w:t>1.</w:t>
      </w:r>
      <w:r>
        <w:rPr>
          <w:rFonts w:hint="eastAsia"/>
        </w:rPr>
        <w:t>立项与启动阶段（</w:t>
      </w:r>
      <w:r>
        <w:rPr>
          <w:rFonts w:hint="eastAsia"/>
        </w:rPr>
        <w:t>2023</w:t>
      </w:r>
      <w:r>
        <w:rPr>
          <w:rFonts w:hint="eastAsia"/>
        </w:rPr>
        <w:t>年</w:t>
      </w:r>
      <w:r>
        <w:rPr>
          <w:rFonts w:hint="eastAsia"/>
        </w:rPr>
        <w:t>1</w:t>
      </w:r>
      <w:r>
        <w:rPr>
          <w:rFonts w:hint="eastAsia"/>
        </w:rPr>
        <w:t>月—</w:t>
      </w:r>
      <w:r>
        <w:rPr>
          <w:rFonts w:hint="eastAsia"/>
        </w:rPr>
        <w:t>2023</w:t>
      </w:r>
      <w:r>
        <w:rPr>
          <w:rFonts w:hint="eastAsia"/>
        </w:rPr>
        <w:t>年</w:t>
      </w:r>
      <w:r>
        <w:rPr>
          <w:rFonts w:hint="eastAsia"/>
        </w:rPr>
        <w:t>7</w:t>
      </w:r>
      <w:r>
        <w:rPr>
          <w:rFonts w:hint="eastAsia"/>
        </w:rPr>
        <w:t>月）：编制单位组建核心团队，收集国内外底泥氮磷污染评价相关研究成果与实践案例，完成立项申请书撰写与修改，通过专家论证并获批立项。</w:t>
      </w:r>
    </w:p>
    <w:p w14:paraId="27F7C120" w14:textId="77777777" w:rsidR="008B006E" w:rsidRDefault="00000000">
      <w:pPr>
        <w:spacing w:line="360" w:lineRule="auto"/>
        <w:ind w:firstLineChars="200" w:firstLine="420"/>
      </w:pPr>
      <w:r>
        <w:rPr>
          <w:rFonts w:hint="eastAsia"/>
        </w:rPr>
        <w:t>2.</w:t>
      </w:r>
      <w:r>
        <w:rPr>
          <w:rFonts w:hint="eastAsia"/>
        </w:rPr>
        <w:t>草案编制阶段（</w:t>
      </w:r>
      <w:r>
        <w:rPr>
          <w:rFonts w:hint="eastAsia"/>
        </w:rPr>
        <w:t>2023</w:t>
      </w:r>
      <w:r>
        <w:rPr>
          <w:rFonts w:hint="eastAsia"/>
        </w:rPr>
        <w:t>年</w:t>
      </w:r>
      <w:r>
        <w:rPr>
          <w:rFonts w:hint="eastAsia"/>
        </w:rPr>
        <w:t>7</w:t>
      </w:r>
      <w:r>
        <w:rPr>
          <w:rFonts w:hint="eastAsia"/>
        </w:rPr>
        <w:t>月—</w:t>
      </w:r>
      <w:r>
        <w:rPr>
          <w:rFonts w:hint="eastAsia"/>
        </w:rPr>
        <w:t>2024</w:t>
      </w:r>
      <w:r>
        <w:rPr>
          <w:rFonts w:hint="eastAsia"/>
        </w:rPr>
        <w:t>年</w:t>
      </w:r>
      <w:r>
        <w:rPr>
          <w:rFonts w:hint="eastAsia"/>
        </w:rPr>
        <w:t>9</w:t>
      </w:r>
      <w:r>
        <w:rPr>
          <w:rFonts w:hint="eastAsia"/>
        </w:rPr>
        <w:t>月）：编制组结合调研数据，确定标准框架（范围、引用文件、术语定义、评价流程等），完成初稿编制。</w:t>
      </w:r>
    </w:p>
    <w:p w14:paraId="797D8023" w14:textId="5185D722" w:rsidR="008B006E" w:rsidRDefault="00000000">
      <w:pPr>
        <w:spacing w:line="360" w:lineRule="auto"/>
        <w:ind w:firstLineChars="200" w:firstLine="420"/>
      </w:pPr>
      <w:r>
        <w:rPr>
          <w:rFonts w:hint="eastAsia"/>
        </w:rPr>
        <w:t>3.</w:t>
      </w:r>
      <w:r>
        <w:rPr>
          <w:rFonts w:hint="eastAsia"/>
        </w:rPr>
        <w:t>征求意见稿阶段（</w:t>
      </w:r>
      <w:r>
        <w:rPr>
          <w:rFonts w:hint="eastAsia"/>
        </w:rPr>
        <w:t>2025</w:t>
      </w:r>
      <w:r>
        <w:rPr>
          <w:rFonts w:hint="eastAsia"/>
        </w:rPr>
        <w:t>年</w:t>
      </w:r>
      <w:r>
        <w:rPr>
          <w:rFonts w:hint="eastAsia"/>
        </w:rPr>
        <w:t>9</w:t>
      </w:r>
      <w:r>
        <w:rPr>
          <w:rFonts w:hint="eastAsia"/>
        </w:rPr>
        <w:t>月）：中华环保联合会组织线上讨论会，邀请东南大学、中国科学院南京地理与湖泊研究所、地方环境监测站、清淤工程企业等单位代表，对征求意见稿初稿的采样方法、评价指标、分级标准等内容进行讨论；根据反馈意见调整完善，最终形成《</w:t>
      </w:r>
      <w:r w:rsidR="00237D99">
        <w:rPr>
          <w:rFonts w:hint="eastAsia"/>
        </w:rPr>
        <w:t>河湖库底泥氮磷污染调查与评价技术规范</w:t>
      </w:r>
      <w:r>
        <w:rPr>
          <w:rFonts w:hint="eastAsia"/>
        </w:rPr>
        <w:t>（征求意见稿）》。</w:t>
      </w:r>
    </w:p>
    <w:p w14:paraId="45551A5C" w14:textId="77777777" w:rsidR="008B006E" w:rsidRDefault="00000000">
      <w:pPr>
        <w:spacing w:line="360" w:lineRule="auto"/>
        <w:ind w:firstLineChars="200" w:firstLine="420"/>
      </w:pPr>
      <w:r>
        <w:rPr>
          <w:rFonts w:hint="eastAsia"/>
        </w:rPr>
        <w:t>4.2025</w:t>
      </w:r>
      <w:r>
        <w:rPr>
          <w:rFonts w:hint="eastAsia"/>
        </w:rPr>
        <w:t>年</w:t>
      </w:r>
      <w:r>
        <w:rPr>
          <w:rFonts w:hint="eastAsia"/>
        </w:rPr>
        <w:t>11</w:t>
      </w:r>
      <w:r>
        <w:rPr>
          <w:rFonts w:hint="eastAsia"/>
        </w:rPr>
        <w:t>月</w:t>
      </w:r>
      <w:r>
        <w:rPr>
          <w:rFonts w:hint="eastAsia"/>
        </w:rPr>
        <w:t>11</w:t>
      </w:r>
      <w:r>
        <w:rPr>
          <w:rFonts w:hint="eastAsia"/>
        </w:rPr>
        <w:t>日中华环保联合会组织召开了《河湖底泥氮磷污染评价规范》团体标</w:t>
      </w:r>
      <w:r>
        <w:rPr>
          <w:rFonts w:hint="eastAsia"/>
        </w:rPr>
        <w:lastRenderedPageBreak/>
        <w:t>准征求意见稿技术审查会，会议邀请</w:t>
      </w:r>
      <w:r>
        <w:rPr>
          <w:rFonts w:hint="eastAsia"/>
        </w:rPr>
        <w:t>7</w:t>
      </w:r>
      <w:r>
        <w:rPr>
          <w:rFonts w:hint="eastAsia"/>
        </w:rPr>
        <w:t>位专家组成专家组。专家组提前审阅了相关材料，听取了编制组汇报，经质询和讨论，专家建议标准名称修改为：《河湖库底泥氮磷污染调查与评价技术规范》。</w:t>
      </w:r>
    </w:p>
    <w:p w14:paraId="72970C77" w14:textId="77777777" w:rsidR="008B006E" w:rsidRDefault="00000000">
      <w:pPr>
        <w:pStyle w:val="TOC1"/>
        <w:numPr>
          <w:ilvl w:val="0"/>
          <w:numId w:val="1"/>
        </w:numPr>
        <w:outlineLvl w:val="0"/>
        <w:rPr>
          <w:rFonts w:ascii="宋体"/>
          <w:bCs w:val="0"/>
          <w:sz w:val="24"/>
          <w:szCs w:val="24"/>
        </w:rPr>
      </w:pPr>
      <w:hyperlink w:anchor="_Toc234978610" w:history="1">
        <w:bookmarkStart w:id="7" w:name="_Toc212044925"/>
        <w:r>
          <w:rPr>
            <w:rFonts w:ascii="宋体" w:hint="eastAsia"/>
            <w:bCs w:val="0"/>
            <w:sz w:val="24"/>
            <w:szCs w:val="24"/>
          </w:rPr>
          <w:t>国内外相关标准研究</w:t>
        </w:r>
        <w:bookmarkEnd w:id="7"/>
      </w:hyperlink>
    </w:p>
    <w:p w14:paraId="38AE0A2E" w14:textId="77777777" w:rsidR="008B006E" w:rsidRDefault="00000000">
      <w:pPr>
        <w:spacing w:line="360" w:lineRule="auto"/>
        <w:ind w:firstLineChars="200" w:firstLine="420"/>
      </w:pPr>
      <w:r>
        <w:rPr>
          <w:rFonts w:hint="eastAsia"/>
        </w:rPr>
        <w:t>（</w:t>
      </w:r>
      <w:r>
        <w:rPr>
          <w:rFonts w:hint="eastAsia"/>
        </w:rPr>
        <w:t>1</w:t>
      </w:r>
      <w:r>
        <w:rPr>
          <w:rFonts w:hint="eastAsia"/>
        </w:rPr>
        <w:t>）国内相关标准研究进展</w:t>
      </w:r>
    </w:p>
    <w:p w14:paraId="5E2074AF" w14:textId="77777777" w:rsidR="008B006E" w:rsidRDefault="00000000">
      <w:pPr>
        <w:spacing w:line="360" w:lineRule="auto"/>
        <w:ind w:firstLineChars="200" w:firstLine="420"/>
      </w:pPr>
      <w:r>
        <w:rPr>
          <w:rFonts w:hint="eastAsia"/>
        </w:rPr>
        <w:t>1</w:t>
      </w:r>
      <w:r>
        <w:rPr>
          <w:rFonts w:hint="eastAsia"/>
        </w:rPr>
        <w:t>）标准体系建设现状</w:t>
      </w:r>
    </w:p>
    <w:p w14:paraId="640A3CE3" w14:textId="5694F41E" w:rsidR="008B006E" w:rsidRDefault="00000000">
      <w:pPr>
        <w:spacing w:line="360" w:lineRule="auto"/>
        <w:ind w:firstLineChars="200" w:firstLine="420"/>
      </w:pPr>
      <w:r>
        <w:rPr>
          <w:rFonts w:hint="eastAsia"/>
        </w:rPr>
        <w:t>我国尚未出台全国统一的《</w:t>
      </w:r>
      <w:r w:rsidR="00237D99">
        <w:rPr>
          <w:rFonts w:hint="eastAsia"/>
        </w:rPr>
        <w:t>河湖库底泥氮磷污染调查与评价技术规范</w:t>
      </w:r>
      <w:r>
        <w:rPr>
          <w:rFonts w:hint="eastAsia"/>
        </w:rPr>
        <w:t>》，但相关领域的标准框架正逐步完善，呈现“海洋标准较成熟、淡水领域补空白”的特点。</w:t>
      </w:r>
    </w:p>
    <w:p w14:paraId="74877BEB" w14:textId="77777777" w:rsidR="008B006E" w:rsidRDefault="00000000">
      <w:pPr>
        <w:spacing w:line="360" w:lineRule="auto"/>
        <w:ind w:firstLineChars="200" w:firstLine="420"/>
      </w:pPr>
      <w:r>
        <w:rPr>
          <w:rFonts w:hint="eastAsia"/>
        </w:rPr>
        <w:t>海洋沉积物标准先行，已形成较为完整的海洋沉积物评价标准体系，如《海洋沉积物质量》（</w:t>
      </w:r>
      <w:r>
        <w:rPr>
          <w:rFonts w:hint="eastAsia"/>
        </w:rPr>
        <w:t>GB 18668</w:t>
      </w:r>
      <w:r>
        <w:rPr>
          <w:rFonts w:hint="eastAsia"/>
        </w:rPr>
        <w:t>—</w:t>
      </w:r>
      <w:r>
        <w:rPr>
          <w:rFonts w:hint="eastAsia"/>
        </w:rPr>
        <w:t>2002</w:t>
      </w:r>
      <w:r>
        <w:rPr>
          <w:rFonts w:hint="eastAsia"/>
        </w:rPr>
        <w:t>）明确了海域沉积物的质量要求，《海洋监测规范第</w:t>
      </w:r>
      <w:r>
        <w:rPr>
          <w:rFonts w:hint="eastAsia"/>
        </w:rPr>
        <w:t>3</w:t>
      </w:r>
      <w:r>
        <w:rPr>
          <w:rFonts w:hint="eastAsia"/>
        </w:rPr>
        <w:t>部分：样品采集、贮存与运输》（</w:t>
      </w:r>
      <w:r>
        <w:rPr>
          <w:rFonts w:hint="eastAsia"/>
        </w:rPr>
        <w:t>GB 17378.3-2007</w:t>
      </w:r>
      <w:r>
        <w:rPr>
          <w:rFonts w:hint="eastAsia"/>
        </w:rPr>
        <w:t>）和《海洋监测规范第</w:t>
      </w:r>
      <w:r>
        <w:rPr>
          <w:rFonts w:hint="eastAsia"/>
        </w:rPr>
        <w:t>5</w:t>
      </w:r>
      <w:r>
        <w:rPr>
          <w:rFonts w:hint="eastAsia"/>
        </w:rPr>
        <w:t>部分：沉积物分析》（</w:t>
      </w:r>
      <w:r>
        <w:rPr>
          <w:rFonts w:hint="eastAsia"/>
        </w:rPr>
        <w:t>GB 17378.5-2007</w:t>
      </w:r>
      <w:r>
        <w:rPr>
          <w:rFonts w:hint="eastAsia"/>
        </w:rPr>
        <w:t>）等标准，为淡水底泥的采样、分析提供了重要参考。</w:t>
      </w:r>
    </w:p>
    <w:p w14:paraId="59C2146E" w14:textId="77777777" w:rsidR="008B006E" w:rsidRDefault="00000000">
      <w:pPr>
        <w:spacing w:line="360" w:lineRule="auto"/>
        <w:ind w:firstLineChars="200" w:firstLine="420"/>
      </w:pPr>
      <w:r>
        <w:rPr>
          <w:rFonts w:hint="eastAsia"/>
        </w:rPr>
        <w:t>地方与行业标准仍然处于探索阶段，地方层面已开展针对性研究，如山东省发布《底泥重金属污染状况评价技术指南》（</w:t>
      </w:r>
      <w:r>
        <w:rPr>
          <w:rFonts w:hint="eastAsia"/>
        </w:rPr>
        <w:t>DB37/T 4471-2021</w:t>
      </w:r>
      <w:r>
        <w:rPr>
          <w:rFonts w:hint="eastAsia"/>
        </w:rPr>
        <w:t>），虽聚焦重金属，但其中的评价框架对氮磷污染评价具有借鉴意义；水利部《水环境监测规范》（</w:t>
      </w:r>
      <w:r>
        <w:rPr>
          <w:rFonts w:hint="eastAsia"/>
        </w:rPr>
        <w:t>SL 219-2013</w:t>
      </w:r>
      <w:r>
        <w:rPr>
          <w:rFonts w:hint="eastAsia"/>
        </w:rPr>
        <w:t>）、生态环境部《土壤环境监测技术规范》（</w:t>
      </w:r>
      <w:r>
        <w:rPr>
          <w:rFonts w:hint="eastAsia"/>
        </w:rPr>
        <w:t>HJ/T 166-2004</w:t>
      </w:r>
      <w:r>
        <w:rPr>
          <w:rFonts w:hint="eastAsia"/>
        </w:rPr>
        <w:t>）等行业标准，为底泥氮磷的采样布点、检测分析提供了技术依据。</w:t>
      </w:r>
    </w:p>
    <w:p w14:paraId="4F257329" w14:textId="77777777" w:rsidR="008B006E" w:rsidRDefault="00000000">
      <w:pPr>
        <w:spacing w:line="360" w:lineRule="auto"/>
        <w:ind w:firstLineChars="200" w:firstLine="420"/>
      </w:pPr>
      <w:r>
        <w:rPr>
          <w:rFonts w:hint="eastAsia"/>
        </w:rPr>
        <w:t>专项导则编制在积极推进中，</w:t>
      </w:r>
      <w:r>
        <w:rPr>
          <w:rFonts w:hint="eastAsia"/>
        </w:rPr>
        <w:t>2023</w:t>
      </w:r>
      <w:r>
        <w:rPr>
          <w:rFonts w:hint="eastAsia"/>
        </w:rPr>
        <w:t>年珠江水利委员会珠江水利科学研究院牵头编制的《城市河湖底泥污染状况调查评价技术导则》已形成征求意见稿，其中明确将总氮、总磷和有机质列为营养盐污染的核心评价因子，规定了监测断面布设、样品采集与检测的技术要求，填补了城市河湖底泥复合污染评价的规范空白。此外，《受污染底泥调查分析》国家标准（计划号</w:t>
      </w:r>
      <w:r>
        <w:rPr>
          <w:rFonts w:hint="eastAsia"/>
        </w:rPr>
        <w:t>20214944-T-303</w:t>
      </w:r>
      <w:r>
        <w:rPr>
          <w:rFonts w:hint="eastAsia"/>
        </w:rPr>
        <w:t>）处于草案阶段，其调查分析方法将为氮磷污染评价提供基础支撑。</w:t>
      </w:r>
    </w:p>
    <w:p w14:paraId="5EA9CAD8" w14:textId="77777777" w:rsidR="008B006E" w:rsidRDefault="00000000">
      <w:pPr>
        <w:spacing w:line="360" w:lineRule="auto"/>
        <w:ind w:firstLineChars="200" w:firstLine="420"/>
      </w:pPr>
      <w:r>
        <w:rPr>
          <w:rFonts w:hint="eastAsia"/>
        </w:rPr>
        <w:t>2</w:t>
      </w:r>
      <w:r>
        <w:rPr>
          <w:rFonts w:hint="eastAsia"/>
        </w:rPr>
        <w:t>）评价方法与技术研究</w:t>
      </w:r>
    </w:p>
    <w:p w14:paraId="6069D812" w14:textId="77777777" w:rsidR="008B006E" w:rsidRDefault="00000000">
      <w:pPr>
        <w:spacing w:line="360" w:lineRule="auto"/>
        <w:ind w:firstLineChars="200" w:firstLine="420"/>
      </w:pPr>
      <w:r>
        <w:rPr>
          <w:rFonts w:hint="eastAsia"/>
        </w:rPr>
        <w:t>评价方法多元化，当前采用的评价方法包括背景值法、经验值法、表观效应阈值法等，针对氮磷污染的特殊性，学者们正探索“浓度</w:t>
      </w:r>
      <w:r>
        <w:rPr>
          <w:rFonts w:hint="eastAsia"/>
        </w:rPr>
        <w:t>/</w:t>
      </w:r>
      <w:r>
        <w:rPr>
          <w:rFonts w:hint="eastAsia"/>
        </w:rPr>
        <w:t>状态评价法”，重点关注底泥</w:t>
      </w:r>
      <w:r>
        <w:rPr>
          <w:rFonts w:hint="eastAsia"/>
        </w:rPr>
        <w:t>-</w:t>
      </w:r>
      <w:r>
        <w:rPr>
          <w:rFonts w:hint="eastAsia"/>
        </w:rPr>
        <w:t>水界面溶解氧变化对氮磷释放的影响，通过实态释放实验或数值模拟提升评价的准确性。在城市河湖评价中，单因子污染指数法、内梅罗污染指数法、有机污染综合指数法等已被纳入技术导则草案，为氮磷污染程度分级提供依据。</w:t>
      </w:r>
    </w:p>
    <w:p w14:paraId="49B4E7C8" w14:textId="77777777" w:rsidR="008B006E" w:rsidRDefault="00000000">
      <w:pPr>
        <w:spacing w:line="360" w:lineRule="auto"/>
        <w:ind w:firstLineChars="200" w:firstLine="420"/>
      </w:pPr>
      <w:r>
        <w:rPr>
          <w:rFonts w:hint="eastAsia"/>
        </w:rPr>
        <w:t>检测技术不断升级，除传统物理化学分析外，荧光检测、漫反射光谱分析、电感耦合等</w:t>
      </w:r>
      <w:r>
        <w:rPr>
          <w:rFonts w:hint="eastAsia"/>
        </w:rPr>
        <w:lastRenderedPageBreak/>
        <w:t>离子体质谱法（</w:t>
      </w:r>
      <w:r>
        <w:rPr>
          <w:rFonts w:hint="eastAsia"/>
        </w:rPr>
        <w:t>ICP-MS</w:t>
      </w:r>
      <w:r>
        <w:rPr>
          <w:rFonts w:hint="eastAsia"/>
        </w:rPr>
        <w:t>）等技术已广泛应用于底泥氮磷含量检测，提高了分析精度与效率。同时，现场监测技术持续发展，便携式传感器的应用实现了底泥</w:t>
      </w:r>
      <w:r>
        <w:rPr>
          <w:rFonts w:hint="eastAsia"/>
        </w:rPr>
        <w:t>-</w:t>
      </w:r>
      <w:r>
        <w:rPr>
          <w:rFonts w:hint="eastAsia"/>
        </w:rPr>
        <w:t>水界面氮磷迁移转化过程的实时监测，减少了样品运输过程中的误差。</w:t>
      </w:r>
    </w:p>
    <w:p w14:paraId="4D632790" w14:textId="77777777" w:rsidR="008B006E" w:rsidRDefault="00000000">
      <w:pPr>
        <w:spacing w:line="360" w:lineRule="auto"/>
        <w:ind w:firstLineChars="200" w:firstLine="420"/>
      </w:pPr>
      <w:r>
        <w:rPr>
          <w:rFonts w:hint="eastAsia"/>
        </w:rPr>
        <w:t>（</w:t>
      </w:r>
      <w:r>
        <w:rPr>
          <w:rFonts w:hint="eastAsia"/>
        </w:rPr>
        <w:t>2</w:t>
      </w:r>
      <w:r>
        <w:rPr>
          <w:rFonts w:hint="eastAsia"/>
        </w:rPr>
        <w:t>）国外相关标准研究进展</w:t>
      </w:r>
    </w:p>
    <w:p w14:paraId="679FBF0F" w14:textId="77777777" w:rsidR="008B006E" w:rsidRDefault="00000000">
      <w:pPr>
        <w:spacing w:line="360" w:lineRule="auto"/>
        <w:ind w:firstLineChars="200" w:firstLine="420"/>
      </w:pPr>
      <w:r>
        <w:rPr>
          <w:rFonts w:hint="eastAsia"/>
        </w:rPr>
        <w:t>美国实行指南主导，州级补充，美国环保署（</w:t>
      </w:r>
      <w:r>
        <w:rPr>
          <w:rFonts w:hint="eastAsia"/>
        </w:rPr>
        <w:t>USEPA</w:t>
      </w:r>
      <w:r>
        <w:rPr>
          <w:rFonts w:hint="eastAsia"/>
        </w:rPr>
        <w:t>）</w:t>
      </w:r>
      <w:r>
        <w:rPr>
          <w:rFonts w:hint="eastAsia"/>
        </w:rPr>
        <w:t>1995</w:t>
      </w:r>
      <w:r>
        <w:rPr>
          <w:rFonts w:hint="eastAsia"/>
        </w:rPr>
        <w:t>年采用“平衡分配法”推导底泥污染物安全浓度，</w:t>
      </w:r>
      <w:r>
        <w:rPr>
          <w:rFonts w:hint="eastAsia"/>
        </w:rPr>
        <w:t>2000</w:t>
      </w:r>
      <w:r>
        <w:rPr>
          <w:rFonts w:hint="eastAsia"/>
        </w:rPr>
        <w:t>年颁布《沉积物质量指南》（</w:t>
      </w:r>
      <w:r>
        <w:rPr>
          <w:rFonts w:hint="eastAsia"/>
        </w:rPr>
        <w:t>SQG</w:t>
      </w:r>
      <w:r>
        <w:rPr>
          <w:rFonts w:hint="eastAsia"/>
        </w:rPr>
        <w:t>），制定了重金属和有机污染物的阈值效应级别（</w:t>
      </w:r>
      <w:r>
        <w:rPr>
          <w:rFonts w:hint="eastAsia"/>
        </w:rPr>
        <w:t>TEL</w:t>
      </w:r>
      <w:r>
        <w:rPr>
          <w:rFonts w:hint="eastAsia"/>
        </w:rPr>
        <w:t>）和可能影响水平（</w:t>
      </w:r>
      <w:r>
        <w:rPr>
          <w:rFonts w:hint="eastAsia"/>
        </w:rPr>
        <w:t>PEL</w:t>
      </w:r>
      <w:r>
        <w:rPr>
          <w:rFonts w:hint="eastAsia"/>
        </w:rPr>
        <w:t>），但未涉及氮磷等营养物质评价。其核心思路是通过“指南”而非强制性“标准”规避环境差异性带来的治理风险，多数州采用该指南进行底泥管理，仅华盛顿州</w:t>
      </w:r>
      <w:r>
        <w:rPr>
          <w:rFonts w:hint="eastAsia"/>
        </w:rPr>
        <w:t>2013</w:t>
      </w:r>
      <w:r>
        <w:rPr>
          <w:rFonts w:hint="eastAsia"/>
        </w:rPr>
        <w:t>年制定的《沉积物管理标准》（</w:t>
      </w:r>
      <w:r>
        <w:rPr>
          <w:rFonts w:hint="eastAsia"/>
        </w:rPr>
        <w:t>SMS</w:t>
      </w:r>
      <w:r>
        <w:rPr>
          <w:rFonts w:hint="eastAsia"/>
        </w:rPr>
        <w:t>）为强制性标准。此外，</w:t>
      </w:r>
      <w:r>
        <w:rPr>
          <w:rFonts w:hint="eastAsia"/>
        </w:rPr>
        <w:t>USEPA</w:t>
      </w:r>
      <w:r>
        <w:rPr>
          <w:rFonts w:hint="eastAsia"/>
        </w:rPr>
        <w:t>发布的湖泊水库营养盐水质标准制定技术指南，为区域化氮磷标准制定提供了科学框架，旨在全国范围内防控富营养化。</w:t>
      </w:r>
    </w:p>
    <w:p w14:paraId="617A227B" w14:textId="77777777" w:rsidR="008B006E" w:rsidRDefault="00000000">
      <w:pPr>
        <w:spacing w:line="360" w:lineRule="auto"/>
        <w:ind w:firstLineChars="200" w:firstLine="420"/>
      </w:pPr>
      <w:r>
        <w:rPr>
          <w:rFonts w:hint="eastAsia"/>
        </w:rPr>
        <w:t>欧洲实行区域协同，方法统一，欧盟通过《水框架指令》（</w:t>
      </w:r>
      <w:r>
        <w:rPr>
          <w:rFonts w:hint="eastAsia"/>
        </w:rPr>
        <w:t>WFD</w:t>
      </w:r>
      <w:r>
        <w:rPr>
          <w:rFonts w:hint="eastAsia"/>
        </w:rPr>
        <w:t>）构建了跨区域的水体质量评价体系，虽未单独制定底泥氮磷评价标准，但要求结合沉积物</w:t>
      </w:r>
      <w:r>
        <w:rPr>
          <w:rFonts w:hint="eastAsia"/>
        </w:rPr>
        <w:t>-</w:t>
      </w:r>
      <w:r>
        <w:rPr>
          <w:rFonts w:hint="eastAsia"/>
        </w:rPr>
        <w:t>水体相互作用评估营养盐污染风险。英国、德国等国家采用国际标准化组织（</w:t>
      </w:r>
      <w:r>
        <w:rPr>
          <w:rFonts w:hint="eastAsia"/>
        </w:rPr>
        <w:t>ISO</w:t>
      </w:r>
      <w:r>
        <w:rPr>
          <w:rFonts w:hint="eastAsia"/>
        </w:rPr>
        <w:t>）制定的采样标准，如《水质</w:t>
      </w:r>
      <w:r>
        <w:rPr>
          <w:rFonts w:hint="eastAsia"/>
        </w:rPr>
        <w:t>-</w:t>
      </w:r>
      <w:r>
        <w:rPr>
          <w:rFonts w:hint="eastAsia"/>
        </w:rPr>
        <w:t>采样第</w:t>
      </w:r>
      <w:r>
        <w:rPr>
          <w:rFonts w:hint="eastAsia"/>
        </w:rPr>
        <w:t>12</w:t>
      </w:r>
      <w:r>
        <w:rPr>
          <w:rFonts w:hint="eastAsia"/>
        </w:rPr>
        <w:t>部分：河流、湖泊和河口区底泥采样指南》（</w:t>
      </w:r>
      <w:r>
        <w:rPr>
          <w:rFonts w:hint="eastAsia"/>
        </w:rPr>
        <w:t>BS ISO 5667-12:2017</w:t>
      </w:r>
      <w:r>
        <w:rPr>
          <w:rFonts w:hint="eastAsia"/>
        </w:rPr>
        <w:t>），确保底泥氮磷监测数据的可比性。</w:t>
      </w:r>
    </w:p>
    <w:p w14:paraId="2CE7490D" w14:textId="77777777" w:rsidR="008B006E" w:rsidRDefault="00000000">
      <w:pPr>
        <w:spacing w:line="360" w:lineRule="auto"/>
        <w:ind w:firstLineChars="200" w:firstLine="420"/>
      </w:pPr>
      <w:r>
        <w:rPr>
          <w:rFonts w:hint="eastAsia"/>
        </w:rPr>
        <w:t>加拿大、澳大利亚等国家分区阈值，多证据融合，加拿大在“国家农业环境标准计划”下，基于</w:t>
      </w:r>
      <w:r>
        <w:rPr>
          <w:rFonts w:hint="eastAsia"/>
        </w:rPr>
        <w:t>200</w:t>
      </w:r>
      <w:r>
        <w:rPr>
          <w:rFonts w:hint="eastAsia"/>
        </w:rPr>
        <w:t>余个长期监测站数据，分区域制定了河流氮磷环境阈值，如大西洋沿岸总磷</w:t>
      </w:r>
      <w:r>
        <w:rPr>
          <w:rFonts w:hint="eastAsia"/>
        </w:rPr>
        <w:t>0.01-0.03mg/L</w:t>
      </w:r>
      <w:r>
        <w:rPr>
          <w:rFonts w:hint="eastAsia"/>
        </w:rPr>
        <w:t>、总氮</w:t>
      </w:r>
      <w:r>
        <w:rPr>
          <w:rFonts w:hint="eastAsia"/>
        </w:rPr>
        <w:t>0.87-1.2mg/L</w:t>
      </w:r>
      <w:r>
        <w:rPr>
          <w:rFonts w:hint="eastAsia"/>
        </w:rPr>
        <w:t>，蒙大拿山脉总磷</w:t>
      </w:r>
      <w:r>
        <w:rPr>
          <w:rFonts w:hint="eastAsia"/>
        </w:rPr>
        <w:t>0.02mg/L</w:t>
      </w:r>
      <w:r>
        <w:rPr>
          <w:rFonts w:hint="eastAsia"/>
        </w:rPr>
        <w:t>、总氮</w:t>
      </w:r>
      <w:r>
        <w:rPr>
          <w:rFonts w:hint="eastAsia"/>
        </w:rPr>
        <w:t>0.21mg/L</w:t>
      </w:r>
      <w:r>
        <w:rPr>
          <w:rFonts w:hint="eastAsia"/>
        </w:rPr>
        <w:t>等，实现了营养盐标准的区域差异化适配。澳大利亚与新西兰联合修订的《淡水和海水质量指南》，强调结合化学分析、毒性测试、生物累积和生态调查等多证据链进行底泥质量评价，</w:t>
      </w:r>
      <w:r>
        <w:rPr>
          <w:rFonts w:hint="eastAsia"/>
        </w:rPr>
        <w:t>CSIRO</w:t>
      </w:r>
      <w:r>
        <w:rPr>
          <w:rFonts w:hint="eastAsia"/>
        </w:rPr>
        <w:t>（联邦科学与工业研究组织）正通过补充毒理学数据、优化推导协议，提升氮磷等营养物质指南值的可靠性。</w:t>
      </w:r>
    </w:p>
    <w:p w14:paraId="1BB2519C" w14:textId="77777777" w:rsidR="008B006E" w:rsidRDefault="00000000">
      <w:pPr>
        <w:pStyle w:val="TOC1"/>
        <w:numPr>
          <w:ilvl w:val="0"/>
          <w:numId w:val="1"/>
        </w:numPr>
        <w:outlineLvl w:val="0"/>
        <w:rPr>
          <w:rFonts w:ascii="宋体"/>
          <w:bCs w:val="0"/>
          <w:sz w:val="24"/>
          <w:szCs w:val="24"/>
        </w:rPr>
      </w:pPr>
      <w:hyperlink w:anchor="_Toc234978613" w:history="1">
        <w:bookmarkStart w:id="8" w:name="_Toc212044926"/>
        <w:r>
          <w:rPr>
            <w:rFonts w:ascii="宋体" w:hint="eastAsia"/>
            <w:bCs w:val="0"/>
            <w:sz w:val="24"/>
            <w:szCs w:val="24"/>
          </w:rPr>
          <w:t>主要技术内容及说明</w:t>
        </w:r>
        <w:bookmarkEnd w:id="8"/>
      </w:hyperlink>
    </w:p>
    <w:p w14:paraId="74D9B348" w14:textId="77777777" w:rsidR="008B006E" w:rsidRDefault="00000000">
      <w:pPr>
        <w:pStyle w:val="TOC1"/>
        <w:spacing w:line="360" w:lineRule="auto"/>
        <w:rPr>
          <w:rFonts w:ascii="宋体"/>
          <w:bCs w:val="0"/>
          <w:sz w:val="21"/>
          <w:szCs w:val="21"/>
        </w:rPr>
      </w:pPr>
      <w:r>
        <w:rPr>
          <w:rFonts w:ascii="宋体" w:hint="eastAsia"/>
          <w:bCs w:val="0"/>
          <w:sz w:val="21"/>
          <w:szCs w:val="21"/>
        </w:rPr>
        <w:t>5.1 应用范围</w:t>
      </w:r>
    </w:p>
    <w:p w14:paraId="62E1DA81" w14:textId="77777777" w:rsidR="008B006E" w:rsidRDefault="00000000">
      <w:pPr>
        <w:spacing w:line="360" w:lineRule="auto"/>
        <w:ind w:firstLineChars="200" w:firstLine="420"/>
      </w:pPr>
      <w:r>
        <w:rPr>
          <w:rFonts w:hint="eastAsia"/>
        </w:rPr>
        <w:t>本标准适用于河湖⽔库底泥氮磷污染状况调查与评价的术语和定义、评价原则与流程、现场调查与样品处理、评价因子、评价方法、评价分级与结果等技术要求。</w:t>
      </w:r>
    </w:p>
    <w:p w14:paraId="1FF3DA91" w14:textId="77777777" w:rsidR="008B006E" w:rsidRDefault="00000000">
      <w:pPr>
        <w:pStyle w:val="TOC1"/>
        <w:spacing w:line="360" w:lineRule="auto"/>
        <w:rPr>
          <w:rFonts w:ascii="宋体"/>
          <w:bCs w:val="0"/>
          <w:sz w:val="21"/>
          <w:szCs w:val="21"/>
        </w:rPr>
      </w:pPr>
      <w:r>
        <w:rPr>
          <w:rFonts w:ascii="宋体" w:hint="eastAsia"/>
          <w:bCs w:val="0"/>
          <w:sz w:val="21"/>
          <w:szCs w:val="21"/>
        </w:rPr>
        <w:t>5.2 核心数据来源说明</w:t>
      </w:r>
    </w:p>
    <w:p w14:paraId="710934DC" w14:textId="77777777" w:rsidR="008B006E" w:rsidRDefault="00000000">
      <w:pPr>
        <w:spacing w:line="360" w:lineRule="auto"/>
        <w:ind w:firstLineChars="200" w:firstLine="420"/>
      </w:pPr>
      <w:r>
        <w:rPr>
          <w:rFonts w:hint="eastAsia"/>
        </w:rPr>
        <w:lastRenderedPageBreak/>
        <w:t xml:space="preserve">1. </w:t>
      </w:r>
      <w:r>
        <w:rPr>
          <w:rFonts w:hint="eastAsia"/>
        </w:rPr>
        <w:t>背景值数据来源</w:t>
      </w:r>
    </w:p>
    <w:p w14:paraId="6850AE88" w14:textId="77777777" w:rsidR="008B006E" w:rsidRDefault="00000000">
      <w:pPr>
        <w:spacing w:line="360" w:lineRule="auto"/>
        <w:ind w:firstLineChars="200" w:firstLine="420"/>
      </w:pPr>
      <w:r>
        <w:rPr>
          <w:rFonts w:hint="eastAsia"/>
        </w:rPr>
        <w:t>背景值指未受或轻微受人类活动影响下，某一区域底泥中元素或化合物的正常含量范围，是污染评价的重要基准数据，其来源主要包括三类：</w:t>
      </w:r>
    </w:p>
    <w:p w14:paraId="3D4B1610" w14:textId="77777777" w:rsidR="008B006E" w:rsidRDefault="00000000">
      <w:pPr>
        <w:spacing w:line="360" w:lineRule="auto"/>
        <w:ind w:firstLineChars="200" w:firstLine="420"/>
      </w:pPr>
      <w:r>
        <w:rPr>
          <w:rFonts w:hint="eastAsia"/>
        </w:rPr>
        <w:t>区域专项调查数据：优先采用评价区域内已完成的底泥背景值专项调查成果，例如地方生态环境部门组织开展的“流域底泥环境质量背景调查”“未受污染河段</w:t>
      </w:r>
      <w:r>
        <w:rPr>
          <w:rFonts w:hint="eastAsia"/>
        </w:rPr>
        <w:t>/</w:t>
      </w:r>
      <w:r>
        <w:rPr>
          <w:rFonts w:hint="eastAsia"/>
        </w:rPr>
        <w:t>湖库底泥基线监测”等专项工作形成的数据报告，确保背景值与评价区域的自然地理、水文地质条件高度匹配。</w:t>
      </w:r>
    </w:p>
    <w:p w14:paraId="313EDAA5" w14:textId="77777777" w:rsidR="008B006E" w:rsidRDefault="00000000">
      <w:pPr>
        <w:spacing w:line="360" w:lineRule="auto"/>
        <w:ind w:firstLineChars="200" w:firstLine="420"/>
      </w:pPr>
      <w:r>
        <w:rPr>
          <w:rFonts w:hint="eastAsia"/>
        </w:rPr>
        <w:t>权威文献与数据库数据：若评价区域无专项背景调查数据，可引用国内核心期刊发表的相关研究成果、学术专著中记载的同类型水域（如同一气候带、同一流域类型）底泥背景值数据，或国家生态环境监测总站、中科院相关研究所建立的全国</w:t>
      </w:r>
      <w:r>
        <w:rPr>
          <w:rFonts w:hint="eastAsia"/>
        </w:rPr>
        <w:t>/</w:t>
      </w:r>
      <w:r>
        <w:rPr>
          <w:rFonts w:hint="eastAsia"/>
        </w:rPr>
        <w:t>区域底泥环境质量数据库中的公开数据。</w:t>
      </w:r>
    </w:p>
    <w:p w14:paraId="11F67F1E" w14:textId="77777777" w:rsidR="008B006E" w:rsidRDefault="00000000">
      <w:pPr>
        <w:spacing w:line="360" w:lineRule="auto"/>
        <w:ind w:firstLineChars="200" w:firstLine="420"/>
      </w:pPr>
      <w:r>
        <w:rPr>
          <w:rFonts w:hint="eastAsia"/>
        </w:rPr>
        <w:t>历史监测数据追溯：收集评价水域及周边长期积累的底泥监测数据，筛选其中未受明显污染影响时期（如污染源未建成运行、人类活动干扰较小阶段）的有效数据，经统计分析后确定背景值范围。</w:t>
      </w:r>
    </w:p>
    <w:p w14:paraId="600621D2" w14:textId="77777777" w:rsidR="008B006E" w:rsidRDefault="00000000">
      <w:pPr>
        <w:spacing w:line="360" w:lineRule="auto"/>
        <w:ind w:firstLineChars="200" w:firstLine="420"/>
      </w:pPr>
      <w:r>
        <w:rPr>
          <w:rFonts w:hint="eastAsia"/>
        </w:rPr>
        <w:t xml:space="preserve">2. </w:t>
      </w:r>
      <w:r>
        <w:rPr>
          <w:rFonts w:hint="eastAsia"/>
        </w:rPr>
        <w:t>评价参比值数据来源</w:t>
      </w:r>
    </w:p>
    <w:p w14:paraId="7C629B31" w14:textId="77777777" w:rsidR="008B006E" w:rsidRDefault="00000000">
      <w:pPr>
        <w:spacing w:line="360" w:lineRule="auto"/>
        <w:ind w:firstLineChars="200" w:firstLine="420"/>
      </w:pPr>
      <w:r>
        <w:rPr>
          <w:rFonts w:hint="eastAsia"/>
        </w:rPr>
        <w:t>评价参比值（</w:t>
      </w:r>
      <w:r>
        <w:rPr>
          <w:rFonts w:hint="eastAsia"/>
        </w:rPr>
        <w:t>Cs</w:t>
      </w:r>
      <w:r>
        <w:rPr>
          <w:rFonts w:hint="eastAsia"/>
        </w:rPr>
        <w:t>）是单因子指数法中判断污染程度的关键数据，本标准中核心指标的参比值来源明确如下：</w:t>
      </w:r>
    </w:p>
    <w:p w14:paraId="2E3EBE79" w14:textId="77777777" w:rsidR="008B006E" w:rsidRDefault="00000000">
      <w:pPr>
        <w:spacing w:line="360" w:lineRule="auto"/>
        <w:ind w:firstLineChars="200" w:firstLine="420"/>
      </w:pPr>
      <w:r>
        <w:rPr>
          <w:rFonts w:hint="eastAsia"/>
        </w:rPr>
        <w:t>TP</w:t>
      </w:r>
      <w:r>
        <w:rPr>
          <w:rFonts w:hint="eastAsia"/>
        </w:rPr>
        <w:t>和</w:t>
      </w:r>
      <w:r>
        <w:rPr>
          <w:rFonts w:hint="eastAsia"/>
        </w:rPr>
        <w:t>TN</w:t>
      </w:r>
      <w:r>
        <w:rPr>
          <w:rFonts w:hint="eastAsia"/>
        </w:rPr>
        <w:t>参比值：采用《全国河流湖泊水库底泥污染状况调查评价》报告中的推荐值，该数据基于全国范围内不同流域、不同类型河湖库底泥的大规模调查监测结果，经统计分析与专家论证后确定，具有广泛的适用性和代表性。</w:t>
      </w:r>
    </w:p>
    <w:p w14:paraId="37C0A318" w14:textId="77777777" w:rsidR="008B006E" w:rsidRDefault="00000000">
      <w:pPr>
        <w:pStyle w:val="TOC1"/>
        <w:spacing w:line="360" w:lineRule="auto"/>
        <w:rPr>
          <w:rFonts w:ascii="宋体"/>
          <w:bCs w:val="0"/>
          <w:sz w:val="21"/>
          <w:szCs w:val="21"/>
        </w:rPr>
      </w:pPr>
      <w:r>
        <w:rPr>
          <w:rFonts w:ascii="宋体" w:hint="eastAsia"/>
          <w:bCs w:val="0"/>
          <w:sz w:val="21"/>
          <w:szCs w:val="21"/>
        </w:rPr>
        <w:t>5.2 主要技术内容</w:t>
      </w:r>
    </w:p>
    <w:p w14:paraId="612E606B" w14:textId="77777777" w:rsidR="008B006E" w:rsidRDefault="00000000">
      <w:pPr>
        <w:spacing w:line="360" w:lineRule="auto"/>
      </w:pPr>
      <w:r>
        <w:rPr>
          <w:rFonts w:hint="eastAsia"/>
        </w:rPr>
        <w:t>（</w:t>
      </w:r>
      <w:r>
        <w:rPr>
          <w:rFonts w:hint="eastAsia"/>
        </w:rPr>
        <w:t>1</w:t>
      </w:r>
      <w:r>
        <w:rPr>
          <w:rFonts w:hint="eastAsia"/>
        </w:rPr>
        <w:t>）评价因子</w:t>
      </w:r>
    </w:p>
    <w:p w14:paraId="73B8645D" w14:textId="77777777" w:rsidR="008B006E" w:rsidRDefault="00000000">
      <w:pPr>
        <w:spacing w:line="360" w:lineRule="auto"/>
        <w:ind w:firstLineChars="200" w:firstLine="420"/>
      </w:pPr>
      <w:r>
        <w:rPr>
          <w:rFonts w:hint="eastAsia"/>
        </w:rPr>
        <w:t>必测因子：总氮（</w:t>
      </w:r>
      <w:r>
        <w:rPr>
          <w:rFonts w:hint="eastAsia"/>
        </w:rPr>
        <w:t>Total Nitrogen, TN</w:t>
      </w:r>
      <w:r>
        <w:rPr>
          <w:rFonts w:hint="eastAsia"/>
        </w:rPr>
        <w:t>）、总磷（</w:t>
      </w:r>
      <w:r>
        <w:rPr>
          <w:rFonts w:hint="eastAsia"/>
        </w:rPr>
        <w:t>Total Phosphorus, TP</w:t>
      </w:r>
      <w:r>
        <w:rPr>
          <w:rFonts w:hint="eastAsia"/>
        </w:rPr>
        <w:t>）</w:t>
      </w:r>
    </w:p>
    <w:p w14:paraId="08FD1474" w14:textId="77777777" w:rsidR="008B006E" w:rsidRDefault="00000000">
      <w:pPr>
        <w:spacing w:line="360" w:lineRule="auto"/>
        <w:ind w:firstLineChars="200" w:firstLine="420"/>
      </w:pPr>
      <w:r>
        <w:rPr>
          <w:rFonts w:hint="eastAsia"/>
        </w:rPr>
        <w:t>辅助因子：为全⾯评估底泥状况，常规辅助参数应包括：</w:t>
      </w:r>
      <w:r>
        <w:rPr>
          <w:rFonts w:hint="eastAsia"/>
        </w:rPr>
        <w:t>pH</w:t>
      </w:r>
      <w:r>
        <w:rPr>
          <w:rFonts w:hint="eastAsia"/>
        </w:rPr>
        <w:t>值、含水率、粒径、底泥厚度。</w:t>
      </w:r>
    </w:p>
    <w:p w14:paraId="5CFEC55A" w14:textId="77777777" w:rsidR="008B006E" w:rsidRDefault="00000000">
      <w:pPr>
        <w:spacing w:line="360" w:lineRule="auto"/>
      </w:pPr>
      <w:r>
        <w:rPr>
          <w:rFonts w:hint="eastAsia"/>
        </w:rPr>
        <w:t>（</w:t>
      </w:r>
      <w:r>
        <w:rPr>
          <w:rFonts w:hint="eastAsia"/>
        </w:rPr>
        <w:t>2</w:t>
      </w:r>
      <w:r>
        <w:rPr>
          <w:rFonts w:hint="eastAsia"/>
        </w:rPr>
        <w:t>）现场调查</w:t>
      </w:r>
    </w:p>
    <w:p w14:paraId="62CC1A3D" w14:textId="77777777" w:rsidR="008B006E" w:rsidRDefault="00000000">
      <w:pPr>
        <w:spacing w:line="360" w:lineRule="auto"/>
        <w:ind w:firstLineChars="200" w:firstLine="420"/>
      </w:pPr>
      <w:r>
        <w:rPr>
          <w:rFonts w:hint="eastAsia"/>
        </w:rPr>
        <w:t>1</w:t>
      </w:r>
      <w:r>
        <w:rPr>
          <w:rFonts w:hint="eastAsia"/>
        </w:rPr>
        <w:t>）采样点布设</w:t>
      </w:r>
    </w:p>
    <w:p w14:paraId="5CD4CF15" w14:textId="77777777" w:rsidR="008B006E" w:rsidRDefault="00000000">
      <w:pPr>
        <w:spacing w:line="360" w:lineRule="auto"/>
        <w:ind w:firstLineChars="200" w:firstLine="420"/>
      </w:pPr>
      <w:r>
        <w:rPr>
          <w:rFonts w:hint="eastAsia"/>
        </w:rPr>
        <w:t>河流采样点布设应遵循以下要求：</w:t>
      </w:r>
    </w:p>
    <w:p w14:paraId="54482697" w14:textId="77777777" w:rsidR="008B006E" w:rsidRDefault="00000000">
      <w:pPr>
        <w:spacing w:line="360" w:lineRule="auto"/>
        <w:ind w:firstLineChars="200" w:firstLine="420"/>
      </w:pPr>
      <w:r>
        <w:rPr>
          <w:rFonts w:hint="eastAsia"/>
        </w:rPr>
        <w:t>在国控</w:t>
      </w:r>
      <w:r>
        <w:rPr>
          <w:rFonts w:hint="eastAsia"/>
        </w:rPr>
        <w:t>/</w:t>
      </w:r>
      <w:r>
        <w:rPr>
          <w:rFonts w:hint="eastAsia"/>
        </w:rPr>
        <w:t>省控等考核断面、主要支流汇入口、工业园区及风险排污口下游、水流平缓区、</w:t>
      </w:r>
      <w:r>
        <w:rPr>
          <w:rFonts w:hint="eastAsia"/>
        </w:rPr>
        <w:lastRenderedPageBreak/>
        <w:t>闸坝前等关键位置布设采样断⾯。</w:t>
      </w:r>
    </w:p>
    <w:p w14:paraId="0B7C7F80" w14:textId="77777777" w:rsidR="008B006E" w:rsidRDefault="00000000">
      <w:pPr>
        <w:spacing w:line="360" w:lineRule="auto"/>
        <w:ind w:firstLineChars="200" w:firstLine="420"/>
      </w:pPr>
      <w:r>
        <w:rPr>
          <w:rFonts w:hint="eastAsia"/>
        </w:rPr>
        <w:t>根据河流宽度确定断面内采样点数量。水面宽度≤</w:t>
      </w:r>
      <w:r>
        <w:rPr>
          <w:rFonts w:hint="eastAsia"/>
        </w:rPr>
        <w:t>50m</w:t>
      </w:r>
      <w:r>
        <w:rPr>
          <w:rFonts w:hint="eastAsia"/>
        </w:rPr>
        <w:t>设</w:t>
      </w:r>
      <w:r>
        <w:rPr>
          <w:rFonts w:hint="eastAsia"/>
        </w:rPr>
        <w:t>1</w:t>
      </w:r>
      <w:r>
        <w:rPr>
          <w:rFonts w:hint="eastAsia"/>
        </w:rPr>
        <w:t>个点（中泓线）；</w:t>
      </w:r>
      <w:r>
        <w:rPr>
          <w:rFonts w:hint="eastAsia"/>
        </w:rPr>
        <w:t>50m</w:t>
      </w:r>
      <w:r>
        <w:rPr>
          <w:rFonts w:hint="eastAsia"/>
        </w:rPr>
        <w:t>＜水面宽度≤</w:t>
      </w:r>
      <w:r>
        <w:rPr>
          <w:rFonts w:hint="eastAsia"/>
        </w:rPr>
        <w:t>100m</w:t>
      </w:r>
      <w:r>
        <w:rPr>
          <w:rFonts w:hint="eastAsia"/>
        </w:rPr>
        <w:t>设</w:t>
      </w:r>
      <w:r>
        <w:rPr>
          <w:rFonts w:hint="eastAsia"/>
        </w:rPr>
        <w:t>2</w:t>
      </w:r>
      <w:r>
        <w:rPr>
          <w:rFonts w:hint="eastAsia"/>
        </w:rPr>
        <w:t>个点（左、右岸）；水面宽度＞</w:t>
      </w:r>
      <w:r>
        <w:rPr>
          <w:rFonts w:hint="eastAsia"/>
        </w:rPr>
        <w:t xml:space="preserve"> 100m</w:t>
      </w:r>
      <w:r>
        <w:rPr>
          <w:rFonts w:hint="eastAsia"/>
        </w:rPr>
        <w:t>设</w:t>
      </w:r>
      <w:r>
        <w:rPr>
          <w:rFonts w:hint="eastAsia"/>
        </w:rPr>
        <w:t>3</w:t>
      </w:r>
      <w:r>
        <w:rPr>
          <w:rFonts w:hint="eastAsia"/>
        </w:rPr>
        <w:t>个点（左、中、右）。</w:t>
      </w:r>
    </w:p>
    <w:p w14:paraId="72988C83" w14:textId="77777777" w:rsidR="008B006E" w:rsidRDefault="00000000">
      <w:pPr>
        <w:spacing w:line="360" w:lineRule="auto"/>
        <w:ind w:firstLineChars="200" w:firstLine="420"/>
      </w:pPr>
      <w:r>
        <w:rPr>
          <w:rFonts w:hint="eastAsia"/>
        </w:rPr>
        <w:t>当发现污染点位时，应采用二分法在其上下游加密布点，以确定污染边界。</w:t>
      </w:r>
    </w:p>
    <w:p w14:paraId="1E702F15" w14:textId="77777777" w:rsidR="008B006E" w:rsidRDefault="00000000">
      <w:pPr>
        <w:spacing w:line="360" w:lineRule="auto"/>
        <w:ind w:firstLineChars="200" w:firstLine="420"/>
      </w:pPr>
      <w:r>
        <w:rPr>
          <w:rFonts w:hint="eastAsia"/>
        </w:rPr>
        <w:t>湖泊、水库采样点布设应遵循以下要求：</w:t>
      </w:r>
    </w:p>
    <w:p w14:paraId="071478B9" w14:textId="77777777" w:rsidR="008B006E" w:rsidRDefault="00000000">
      <w:pPr>
        <w:spacing w:line="360" w:lineRule="auto"/>
        <w:ind w:firstLineChars="200" w:firstLine="420"/>
      </w:pPr>
      <w:r>
        <w:rPr>
          <w:rFonts w:hint="eastAsia"/>
        </w:rPr>
        <w:t>在入湖</w:t>
      </w:r>
      <w:r>
        <w:rPr>
          <w:rFonts w:hint="eastAsia"/>
        </w:rPr>
        <w:t>/</w:t>
      </w:r>
      <w:r>
        <w:rPr>
          <w:rFonts w:hint="eastAsia"/>
        </w:rPr>
        <w:t>库口、出湖</w:t>
      </w:r>
      <w:r>
        <w:rPr>
          <w:rFonts w:hint="eastAsia"/>
        </w:rPr>
        <w:t>/</w:t>
      </w:r>
      <w:r>
        <w:rPr>
          <w:rFonts w:hint="eastAsia"/>
        </w:rPr>
        <w:t>库口、湖心区、深水区、养殖区及水质异常等功能区设置采样点。</w:t>
      </w:r>
    </w:p>
    <w:p w14:paraId="514FABA5" w14:textId="77777777" w:rsidR="008B006E" w:rsidRDefault="00000000">
      <w:pPr>
        <w:spacing w:line="360" w:lineRule="auto"/>
        <w:ind w:firstLineChars="200" w:firstLine="420"/>
      </w:pPr>
      <w:r>
        <w:rPr>
          <w:rFonts w:hint="eastAsia"/>
        </w:rPr>
        <w:t>主体水域宜采用网格布点法。湖泊面积≥</w:t>
      </w:r>
      <w:r>
        <w:rPr>
          <w:rFonts w:hint="eastAsia"/>
        </w:rPr>
        <w:t>100km</w:t>
      </w:r>
      <w:r>
        <w:rPr>
          <w:rFonts w:hint="eastAsia"/>
          <w:vertAlign w:val="superscript"/>
        </w:rPr>
        <w:t>2</w:t>
      </w:r>
      <w:r>
        <w:rPr>
          <w:rFonts w:hint="eastAsia"/>
        </w:rPr>
        <w:t>，采样点不宜少于</w:t>
      </w:r>
      <w:r>
        <w:rPr>
          <w:rFonts w:hint="eastAsia"/>
        </w:rPr>
        <w:t>20</w:t>
      </w:r>
      <w:r>
        <w:rPr>
          <w:rFonts w:hint="eastAsia"/>
        </w:rPr>
        <w:t>个；</w:t>
      </w:r>
      <w:r>
        <w:rPr>
          <w:rFonts w:hint="eastAsia"/>
        </w:rPr>
        <w:t>10km</w:t>
      </w:r>
      <w:r>
        <w:rPr>
          <w:rFonts w:hint="eastAsia"/>
          <w:vertAlign w:val="superscript"/>
        </w:rPr>
        <w:t>2</w:t>
      </w:r>
      <w:r>
        <w:rPr>
          <w:rFonts w:hint="eastAsia"/>
        </w:rPr>
        <w:t>≤湖泊面积＜</w:t>
      </w:r>
      <w:r>
        <w:rPr>
          <w:rFonts w:hint="eastAsia"/>
        </w:rPr>
        <w:t>100km</w:t>
      </w:r>
      <w:r>
        <w:rPr>
          <w:rFonts w:hint="eastAsia"/>
          <w:vertAlign w:val="superscript"/>
        </w:rPr>
        <w:t>2</w:t>
      </w:r>
      <w:r>
        <w:rPr>
          <w:rFonts w:hint="eastAsia"/>
        </w:rPr>
        <w:t>，不宜少于</w:t>
      </w:r>
      <w:r>
        <w:rPr>
          <w:rFonts w:hint="eastAsia"/>
        </w:rPr>
        <w:t>10</w:t>
      </w:r>
      <w:r>
        <w:rPr>
          <w:rFonts w:hint="eastAsia"/>
        </w:rPr>
        <w:t>个；湖泊面积＜</w:t>
      </w:r>
      <w:r>
        <w:rPr>
          <w:rFonts w:hint="eastAsia"/>
        </w:rPr>
        <w:t>10km</w:t>
      </w:r>
      <w:r>
        <w:rPr>
          <w:rFonts w:hint="eastAsia"/>
          <w:vertAlign w:val="superscript"/>
        </w:rPr>
        <w:t>2</w:t>
      </w:r>
      <w:r>
        <w:rPr>
          <w:rFonts w:hint="eastAsia"/>
        </w:rPr>
        <w:t>，不宜少于</w:t>
      </w:r>
      <w:r>
        <w:rPr>
          <w:rFonts w:hint="eastAsia"/>
        </w:rPr>
        <w:t>3</w:t>
      </w:r>
      <w:r>
        <w:rPr>
          <w:rFonts w:hint="eastAsia"/>
        </w:rPr>
        <w:t>个。</w:t>
      </w:r>
    </w:p>
    <w:p w14:paraId="6FA76537" w14:textId="77777777" w:rsidR="008B006E" w:rsidRDefault="00000000">
      <w:pPr>
        <w:spacing w:line="360" w:lineRule="auto"/>
        <w:ind w:firstLineChars="200" w:firstLine="420"/>
      </w:pPr>
      <w:r>
        <w:rPr>
          <w:rFonts w:hint="eastAsia"/>
        </w:rPr>
        <w:t>当发现污染点位时，应在其周边采用网格法加密布点，以确定污染边界。</w:t>
      </w:r>
    </w:p>
    <w:p w14:paraId="6BF70A34" w14:textId="77777777" w:rsidR="008B006E" w:rsidRDefault="00000000">
      <w:pPr>
        <w:spacing w:line="360" w:lineRule="auto"/>
        <w:ind w:firstLineChars="200" w:firstLine="420"/>
      </w:pPr>
      <w:r>
        <w:rPr>
          <w:rFonts w:hint="eastAsia"/>
        </w:rPr>
        <w:t>2</w:t>
      </w:r>
      <w:r>
        <w:rPr>
          <w:rFonts w:hint="eastAsia"/>
        </w:rPr>
        <w:t>）样品采集与保存</w:t>
      </w:r>
    </w:p>
    <w:p w14:paraId="5A0C01CE" w14:textId="77777777" w:rsidR="008B006E" w:rsidRDefault="00000000">
      <w:pPr>
        <w:spacing w:line="360" w:lineRule="auto"/>
        <w:ind w:firstLineChars="200" w:firstLine="420"/>
      </w:pPr>
      <w:r>
        <w:rPr>
          <w:rFonts w:hint="eastAsia"/>
        </w:rPr>
        <w:t>样品采集与保存应严格按照</w:t>
      </w:r>
      <w:r>
        <w:rPr>
          <w:rFonts w:hint="eastAsia"/>
        </w:rPr>
        <w:t>HJ/T 166</w:t>
      </w:r>
      <w:r>
        <w:rPr>
          <w:rFonts w:hint="eastAsia"/>
        </w:rPr>
        <w:t>的要求执行，防止样品污染和性质改变。</w:t>
      </w:r>
    </w:p>
    <w:p w14:paraId="37ABF03E" w14:textId="77777777" w:rsidR="008B006E" w:rsidRDefault="00000000">
      <w:pPr>
        <w:spacing w:line="360" w:lineRule="auto"/>
        <w:ind w:firstLineChars="200" w:firstLine="420"/>
      </w:pPr>
      <w:r>
        <w:rPr>
          <w:rFonts w:hint="eastAsia"/>
        </w:rPr>
        <w:t>表层样采集</w:t>
      </w:r>
    </w:p>
    <w:p w14:paraId="75951951" w14:textId="77777777" w:rsidR="008B006E" w:rsidRDefault="00000000">
      <w:pPr>
        <w:spacing w:line="360" w:lineRule="auto"/>
        <w:ind w:firstLineChars="200" w:firstLine="420"/>
      </w:pPr>
      <w:r>
        <w:rPr>
          <w:rFonts w:hint="eastAsia"/>
        </w:rPr>
        <w:t>使用抓斗式或彼得森采泥器采集表层（通常为</w:t>
      </w:r>
      <w:r>
        <w:rPr>
          <w:rFonts w:hint="eastAsia"/>
        </w:rPr>
        <w:t>0-10 cm</w:t>
      </w:r>
      <w:r>
        <w:rPr>
          <w:rFonts w:hint="eastAsia"/>
        </w:rPr>
        <w:t>或</w:t>
      </w:r>
      <w:r>
        <w:rPr>
          <w:rFonts w:hint="eastAsia"/>
        </w:rPr>
        <w:t>0-20 cm</w:t>
      </w:r>
      <w:r>
        <w:rPr>
          <w:rFonts w:hint="eastAsia"/>
        </w:rPr>
        <w:t>）的沉积物。采集时应避免扰动，样品应去除石块、植物残体等杂物</w:t>
      </w:r>
      <w:r>
        <w:rPr>
          <w:rFonts w:hint="eastAsia"/>
        </w:rPr>
        <w:t xml:space="preserve"> </w:t>
      </w:r>
      <w:r>
        <w:rPr>
          <w:rFonts w:hint="eastAsia"/>
        </w:rPr>
        <w:t>，现场混匀后装⼊洁净的聚乙烯自封袋中。</w:t>
      </w:r>
    </w:p>
    <w:p w14:paraId="3D28D4F5" w14:textId="77777777" w:rsidR="008B006E" w:rsidRDefault="00000000">
      <w:pPr>
        <w:spacing w:line="360" w:lineRule="auto"/>
        <w:ind w:firstLineChars="200" w:firstLine="420"/>
      </w:pPr>
      <w:r>
        <w:rPr>
          <w:rFonts w:hint="eastAsia"/>
        </w:rPr>
        <w:t>柱状样采集与分层</w:t>
      </w:r>
    </w:p>
    <w:p w14:paraId="7F2B8D04" w14:textId="77777777" w:rsidR="008B006E" w:rsidRDefault="00000000">
      <w:pPr>
        <w:spacing w:line="360" w:lineRule="auto"/>
        <w:ind w:firstLineChars="200" w:firstLine="420"/>
      </w:pPr>
      <w:r>
        <w:rPr>
          <w:rFonts w:hint="eastAsia"/>
        </w:rPr>
        <w:t>使用重力式或活塞式柱状采泥器垂直采集底泥样品，以保持沉积物的原始层理结构。采样深度应覆盖污染层，并进入未污染的正常底泥一定深度（如</w:t>
      </w:r>
      <w:r>
        <w:rPr>
          <w:rFonts w:hint="eastAsia"/>
        </w:rPr>
        <w:t>20-50 cm</w:t>
      </w:r>
      <w:r>
        <w:rPr>
          <w:rFonts w:hint="eastAsia"/>
        </w:rPr>
        <w:t>）。采集后，应现场对柱状样进行分层，通常按</w:t>
      </w:r>
      <w:r>
        <w:rPr>
          <w:rFonts w:hint="eastAsia"/>
        </w:rPr>
        <w:t>1-2 cm</w:t>
      </w:r>
      <w:r>
        <w:rPr>
          <w:rFonts w:hint="eastAsia"/>
        </w:rPr>
        <w:t>或</w:t>
      </w:r>
      <w:r>
        <w:rPr>
          <w:rFonts w:hint="eastAsia"/>
        </w:rPr>
        <w:t>5-10 cm</w:t>
      </w:r>
      <w:r>
        <w:rPr>
          <w:rFonts w:hint="eastAsia"/>
        </w:rPr>
        <w:t>的间隔进行切割，也可根据颜色、质地等可见变化进行按需分层。</w:t>
      </w:r>
    </w:p>
    <w:p w14:paraId="12181519" w14:textId="77777777" w:rsidR="008B006E" w:rsidRDefault="00000000">
      <w:pPr>
        <w:spacing w:line="360" w:lineRule="auto"/>
        <w:ind w:firstLineChars="200" w:firstLine="420"/>
      </w:pPr>
      <w:r>
        <w:rPr>
          <w:rFonts w:hint="eastAsia"/>
        </w:rPr>
        <w:t>记录与标识</w:t>
      </w:r>
    </w:p>
    <w:p w14:paraId="7FCB4E8E" w14:textId="77777777" w:rsidR="008B006E" w:rsidRDefault="00000000">
      <w:pPr>
        <w:spacing w:line="360" w:lineRule="auto"/>
        <w:ind w:firstLineChars="200" w:firstLine="420"/>
      </w:pPr>
      <w:r>
        <w:rPr>
          <w:rFonts w:hint="eastAsia"/>
        </w:rPr>
        <w:t>现场需详细记录采样点位、时间、水深、底泥颜色、气味、质地等信息（参见附录</w:t>
      </w:r>
      <w:r>
        <w:rPr>
          <w:rFonts w:hint="eastAsia"/>
        </w:rPr>
        <w:t>A</w:t>
      </w:r>
      <w:r>
        <w:rPr>
          <w:rFonts w:hint="eastAsia"/>
        </w:rPr>
        <w:t>），并为每个样品贴上牢固、防水的标签。</w:t>
      </w:r>
    </w:p>
    <w:p w14:paraId="25E72016" w14:textId="77777777" w:rsidR="008B006E" w:rsidRDefault="00000000">
      <w:pPr>
        <w:spacing w:line="360" w:lineRule="auto"/>
        <w:ind w:firstLineChars="200" w:firstLine="420"/>
      </w:pPr>
      <w:r>
        <w:rPr>
          <w:rFonts w:hint="eastAsia"/>
        </w:rPr>
        <w:t>保存与运输</w:t>
      </w:r>
    </w:p>
    <w:p w14:paraId="0008B6C3" w14:textId="77777777" w:rsidR="008B006E" w:rsidRDefault="00000000">
      <w:pPr>
        <w:spacing w:line="360" w:lineRule="auto"/>
        <w:ind w:firstLineChars="200" w:firstLine="420"/>
      </w:pPr>
      <w:r>
        <w:rPr>
          <w:rFonts w:hint="eastAsia"/>
        </w:rPr>
        <w:t>样品应密封、低温（</w:t>
      </w:r>
      <w:r>
        <w:rPr>
          <w:rFonts w:hint="eastAsia"/>
        </w:rPr>
        <w:t>4</w:t>
      </w:r>
      <w:r>
        <w:rPr>
          <w:rFonts w:hint="eastAsia"/>
        </w:rPr>
        <w:t>℃）冷藏保存，并尽快送至实验室进行分析。</w:t>
      </w:r>
    </w:p>
    <w:p w14:paraId="1F02E14F" w14:textId="77777777" w:rsidR="008B006E" w:rsidRDefault="00000000">
      <w:pPr>
        <w:spacing w:line="360" w:lineRule="auto"/>
      </w:pPr>
      <w:r>
        <w:rPr>
          <w:rFonts w:hint="eastAsia"/>
        </w:rPr>
        <w:t>（</w:t>
      </w:r>
      <w:r>
        <w:rPr>
          <w:rFonts w:hint="eastAsia"/>
        </w:rPr>
        <w:t>3</w:t>
      </w:r>
      <w:r>
        <w:rPr>
          <w:rFonts w:hint="eastAsia"/>
        </w:rPr>
        <w:t>）样品测试</w:t>
      </w:r>
    </w:p>
    <w:p w14:paraId="7BC4884C" w14:textId="77777777" w:rsidR="008B006E" w:rsidRDefault="00000000">
      <w:pPr>
        <w:spacing w:line="360" w:lineRule="auto"/>
        <w:ind w:firstLineChars="200" w:firstLine="420"/>
      </w:pPr>
      <w:r>
        <w:rPr>
          <w:rFonts w:hint="eastAsia"/>
        </w:rPr>
        <w:t>底泥样品中各评价因子的测试分析应采用国家或行业标准方法，确保数据准确可靠。</w:t>
      </w:r>
    </w:p>
    <w:p w14:paraId="217E97DF" w14:textId="77777777" w:rsidR="008B006E" w:rsidRDefault="00000000">
      <w:pPr>
        <w:spacing w:line="360" w:lineRule="auto"/>
        <w:ind w:firstLineChars="200" w:firstLine="420"/>
      </w:pPr>
      <w:r>
        <w:rPr>
          <w:rFonts w:hint="eastAsia"/>
        </w:rPr>
        <w:t>TN</w:t>
      </w:r>
      <w:r>
        <w:rPr>
          <w:rFonts w:hint="eastAsia"/>
        </w:rPr>
        <w:t>：使用凯氏法（</w:t>
      </w:r>
      <w:r>
        <w:rPr>
          <w:rFonts w:hint="eastAsia"/>
        </w:rPr>
        <w:t>HJ 717</w:t>
      </w:r>
      <w:r>
        <w:rPr>
          <w:rFonts w:hint="eastAsia"/>
        </w:rPr>
        <w:t>）</w:t>
      </w:r>
    </w:p>
    <w:p w14:paraId="05E0943F" w14:textId="77777777" w:rsidR="008B006E" w:rsidRDefault="00000000">
      <w:pPr>
        <w:spacing w:line="360" w:lineRule="auto"/>
        <w:ind w:firstLineChars="200" w:firstLine="420"/>
      </w:pPr>
      <w:r>
        <w:rPr>
          <w:rFonts w:hint="eastAsia"/>
        </w:rPr>
        <w:t>TP</w:t>
      </w:r>
      <w:r>
        <w:rPr>
          <w:rFonts w:hint="eastAsia"/>
        </w:rPr>
        <w:t>：碱熔</w:t>
      </w:r>
      <w:r>
        <w:rPr>
          <w:rFonts w:hint="eastAsia"/>
        </w:rPr>
        <w:t>-</w:t>
      </w:r>
      <w:r>
        <w:rPr>
          <w:rFonts w:hint="eastAsia"/>
        </w:rPr>
        <w:t>钼锑抗分光光度法（</w:t>
      </w:r>
      <w:r>
        <w:rPr>
          <w:rFonts w:hint="eastAsia"/>
        </w:rPr>
        <w:t>HJ 632</w:t>
      </w:r>
      <w:r>
        <w:rPr>
          <w:rFonts w:hint="eastAsia"/>
        </w:rPr>
        <w:t>）</w:t>
      </w:r>
    </w:p>
    <w:p w14:paraId="0BC669B6" w14:textId="77777777" w:rsidR="008B006E" w:rsidRDefault="00000000">
      <w:pPr>
        <w:spacing w:line="360" w:lineRule="auto"/>
        <w:ind w:firstLineChars="200" w:firstLine="420"/>
      </w:pPr>
      <w:r>
        <w:rPr>
          <w:rFonts w:hint="eastAsia"/>
        </w:rPr>
        <w:t>OM</w:t>
      </w:r>
      <w:r>
        <w:rPr>
          <w:rFonts w:hint="eastAsia"/>
        </w:rPr>
        <w:t>：重铬酸钾容量法</w:t>
      </w:r>
      <w:r>
        <w:rPr>
          <w:rFonts w:hint="eastAsia"/>
        </w:rPr>
        <w:t>-</w:t>
      </w:r>
      <w:r>
        <w:rPr>
          <w:rFonts w:hint="eastAsia"/>
        </w:rPr>
        <w:t>外加热法</w:t>
      </w:r>
      <w:r>
        <w:rPr>
          <w:rFonts w:hint="eastAsia"/>
        </w:rPr>
        <w:tab/>
      </w:r>
    </w:p>
    <w:p w14:paraId="301B2340" w14:textId="77777777" w:rsidR="008B006E" w:rsidRDefault="00000000">
      <w:pPr>
        <w:spacing w:line="360" w:lineRule="auto"/>
        <w:ind w:firstLineChars="200" w:firstLine="420"/>
      </w:pPr>
      <w:r>
        <w:rPr>
          <w:rFonts w:hint="eastAsia"/>
        </w:rPr>
        <w:lastRenderedPageBreak/>
        <w:t>pH</w:t>
      </w:r>
      <w:r>
        <w:rPr>
          <w:rFonts w:hint="eastAsia"/>
        </w:rPr>
        <w:t>值：电位法（</w:t>
      </w:r>
      <w:r>
        <w:rPr>
          <w:rFonts w:hint="eastAsia"/>
        </w:rPr>
        <w:t>HJ/T 166</w:t>
      </w:r>
      <w:r>
        <w:rPr>
          <w:rFonts w:hint="eastAsia"/>
        </w:rPr>
        <w:t>）</w:t>
      </w:r>
    </w:p>
    <w:p w14:paraId="0A615035" w14:textId="77777777" w:rsidR="008B006E" w:rsidRDefault="00000000">
      <w:pPr>
        <w:spacing w:line="360" w:lineRule="auto"/>
        <w:ind w:firstLineChars="200" w:firstLine="420"/>
      </w:pPr>
      <w:r>
        <w:rPr>
          <w:rFonts w:hint="eastAsia"/>
        </w:rPr>
        <w:t>含水率：重量法（</w:t>
      </w:r>
      <w:r>
        <w:rPr>
          <w:rFonts w:hint="eastAsia"/>
        </w:rPr>
        <w:t>HJ/T 166</w:t>
      </w:r>
      <w:r>
        <w:rPr>
          <w:rFonts w:hint="eastAsia"/>
        </w:rPr>
        <w:t>）</w:t>
      </w:r>
    </w:p>
    <w:p w14:paraId="370D3478" w14:textId="77777777" w:rsidR="008B006E" w:rsidRDefault="00000000">
      <w:pPr>
        <w:spacing w:line="360" w:lineRule="auto"/>
        <w:rPr>
          <w:szCs w:val="21"/>
        </w:rPr>
      </w:pPr>
      <w:bookmarkStart w:id="9" w:name="_Toc26161"/>
      <w:r>
        <w:rPr>
          <w:rFonts w:hint="eastAsia"/>
          <w:szCs w:val="21"/>
        </w:rPr>
        <w:t>（</w:t>
      </w:r>
      <w:r>
        <w:rPr>
          <w:rFonts w:hint="eastAsia"/>
          <w:szCs w:val="21"/>
        </w:rPr>
        <w:t>4</w:t>
      </w:r>
      <w:r>
        <w:rPr>
          <w:rFonts w:hint="eastAsia"/>
          <w:szCs w:val="21"/>
        </w:rPr>
        <w:t>）评价方法</w:t>
      </w:r>
      <w:bookmarkEnd w:id="9"/>
    </w:p>
    <w:p w14:paraId="30A618B4" w14:textId="77777777" w:rsidR="008B006E" w:rsidRDefault="00000000">
      <w:pPr>
        <w:spacing w:line="360" w:lineRule="auto"/>
        <w:ind w:firstLineChars="200" w:firstLine="420"/>
        <w:rPr>
          <w:szCs w:val="21"/>
        </w:rPr>
      </w:pPr>
      <w:r>
        <w:rPr>
          <w:rFonts w:hint="eastAsia"/>
          <w:szCs w:val="21"/>
        </w:rPr>
        <w:t>本规范推荐采用单因子指数法和内梅罗综合污染指数法相结合的方式，对河湖底泥氮磷污染状况进行综合评价。</w:t>
      </w:r>
    </w:p>
    <w:p w14:paraId="0A33BDA5" w14:textId="77777777" w:rsidR="008B006E" w:rsidRDefault="00000000">
      <w:pPr>
        <w:pStyle w:val="TOC1"/>
        <w:numPr>
          <w:ilvl w:val="0"/>
          <w:numId w:val="1"/>
        </w:numPr>
        <w:outlineLvl w:val="0"/>
        <w:rPr>
          <w:rFonts w:ascii="宋体"/>
          <w:bCs w:val="0"/>
          <w:sz w:val="24"/>
          <w:szCs w:val="24"/>
        </w:rPr>
      </w:pPr>
      <w:hyperlink w:anchor="_Toc234978614" w:history="1">
        <w:bookmarkStart w:id="10" w:name="_Toc212044927"/>
        <w:r>
          <w:rPr>
            <w:rFonts w:ascii="宋体" w:hint="eastAsia"/>
            <w:bCs w:val="0"/>
            <w:sz w:val="24"/>
            <w:szCs w:val="24"/>
          </w:rPr>
          <w:t>标准实施的环境效益与经济技术分析</w:t>
        </w:r>
        <w:bookmarkEnd w:id="10"/>
      </w:hyperlink>
    </w:p>
    <w:p w14:paraId="74007409" w14:textId="77777777" w:rsidR="008B006E" w:rsidRDefault="00000000">
      <w:pPr>
        <w:pStyle w:val="ae"/>
        <w:spacing w:line="360" w:lineRule="auto"/>
        <w:rPr>
          <w:szCs w:val="21"/>
        </w:rPr>
      </w:pPr>
      <w:r>
        <w:rPr>
          <w:rFonts w:hint="eastAsia"/>
          <w:szCs w:val="21"/>
        </w:rPr>
        <w:t>（一）环境效益</w:t>
      </w:r>
    </w:p>
    <w:p w14:paraId="174E5ED2" w14:textId="77777777" w:rsidR="008B006E" w:rsidRDefault="00000000">
      <w:pPr>
        <w:pStyle w:val="ae"/>
        <w:spacing w:line="360" w:lineRule="auto"/>
        <w:rPr>
          <w:szCs w:val="21"/>
        </w:rPr>
      </w:pPr>
      <w:r>
        <w:rPr>
          <w:rFonts w:hint="eastAsia"/>
          <w:szCs w:val="21"/>
        </w:rPr>
        <w:t>1.</w:t>
      </w:r>
      <w:r>
        <w:rPr>
          <w:rFonts w:hint="eastAsia"/>
          <w:szCs w:val="21"/>
        </w:rPr>
        <w:t>为底泥污染治理提供科学依据，避免盲目清淤导致的生态破坏，保护底栖生物栖息地。</w:t>
      </w:r>
    </w:p>
    <w:p w14:paraId="2B0BE25A" w14:textId="77777777" w:rsidR="008B006E" w:rsidRDefault="00000000">
      <w:pPr>
        <w:pStyle w:val="ae"/>
        <w:spacing w:line="360" w:lineRule="auto"/>
        <w:rPr>
          <w:szCs w:val="21"/>
        </w:rPr>
      </w:pPr>
      <w:r>
        <w:rPr>
          <w:rFonts w:hint="eastAsia"/>
          <w:szCs w:val="21"/>
        </w:rPr>
        <w:t>2.</w:t>
      </w:r>
      <w:r>
        <w:rPr>
          <w:rFonts w:hint="eastAsia"/>
          <w:szCs w:val="21"/>
        </w:rPr>
        <w:t>统一评价标准可推动跨区域污染联防联控，精准识别重点污染区域，助力流域水环境质量提升。</w:t>
      </w:r>
    </w:p>
    <w:p w14:paraId="3F14A1B1" w14:textId="77777777" w:rsidR="008B006E" w:rsidRDefault="00000000">
      <w:pPr>
        <w:pStyle w:val="ae"/>
        <w:spacing w:line="360" w:lineRule="auto"/>
        <w:rPr>
          <w:szCs w:val="21"/>
        </w:rPr>
      </w:pPr>
      <w:r>
        <w:rPr>
          <w:rFonts w:hint="eastAsia"/>
          <w:szCs w:val="21"/>
        </w:rPr>
        <w:t>3.</w:t>
      </w:r>
      <w:r>
        <w:rPr>
          <w:rFonts w:hint="eastAsia"/>
          <w:szCs w:val="21"/>
        </w:rPr>
        <w:t>明确底泥氮磷内源污染对水体富营养化的贡献，为源头控污（如农业面源、生活污水）提供靶向指导，减少污染物输入。</w:t>
      </w:r>
    </w:p>
    <w:p w14:paraId="687E70FE" w14:textId="77777777" w:rsidR="008B006E" w:rsidRDefault="00000000">
      <w:pPr>
        <w:pStyle w:val="ae"/>
        <w:spacing w:line="360" w:lineRule="auto"/>
        <w:rPr>
          <w:szCs w:val="21"/>
        </w:rPr>
      </w:pPr>
      <w:r>
        <w:rPr>
          <w:rFonts w:hint="eastAsia"/>
          <w:szCs w:val="21"/>
        </w:rPr>
        <w:t>（二）经济技术效益</w:t>
      </w:r>
    </w:p>
    <w:p w14:paraId="22F59F65" w14:textId="77777777" w:rsidR="008B006E" w:rsidRDefault="00000000">
      <w:pPr>
        <w:pStyle w:val="ae"/>
        <w:spacing w:line="360" w:lineRule="auto"/>
        <w:rPr>
          <w:szCs w:val="21"/>
        </w:rPr>
      </w:pPr>
      <w:r>
        <w:rPr>
          <w:rFonts w:hint="eastAsia"/>
          <w:szCs w:val="21"/>
        </w:rPr>
        <w:t>1.</w:t>
      </w:r>
      <w:r>
        <w:rPr>
          <w:rFonts w:hint="eastAsia"/>
          <w:szCs w:val="21"/>
        </w:rPr>
        <w:t>规范采样与分析流程，降低重复检测成本，避免因方法不统一导致的资源浪费，预计可减少检测费用</w:t>
      </w:r>
      <w:r>
        <w:rPr>
          <w:rFonts w:hint="eastAsia"/>
          <w:szCs w:val="21"/>
        </w:rPr>
        <w:t xml:space="preserve"> 15%-20%</w:t>
      </w:r>
      <w:r>
        <w:rPr>
          <w:rFonts w:hint="eastAsia"/>
          <w:szCs w:val="21"/>
        </w:rPr>
        <w:t>。</w:t>
      </w:r>
    </w:p>
    <w:p w14:paraId="2CEEED7F" w14:textId="77777777" w:rsidR="008B006E" w:rsidRDefault="00000000">
      <w:pPr>
        <w:pStyle w:val="ae"/>
        <w:spacing w:line="360" w:lineRule="auto"/>
        <w:rPr>
          <w:szCs w:val="21"/>
        </w:rPr>
      </w:pPr>
      <w:r>
        <w:rPr>
          <w:rFonts w:hint="eastAsia"/>
          <w:szCs w:val="21"/>
        </w:rPr>
        <w:t>2.</w:t>
      </w:r>
      <w:r>
        <w:rPr>
          <w:rFonts w:hint="eastAsia"/>
          <w:szCs w:val="21"/>
        </w:rPr>
        <w:t>指导清淤工程精准划定范围，避免过度清淤，降低工程成本；以典型湖泊为例，按污染层深度精准清淤可节省工程投资</w:t>
      </w:r>
      <w:r>
        <w:rPr>
          <w:rFonts w:hint="eastAsia"/>
          <w:szCs w:val="21"/>
        </w:rPr>
        <w:t>25%</w:t>
      </w:r>
      <w:r>
        <w:rPr>
          <w:rFonts w:hint="eastAsia"/>
          <w:szCs w:val="21"/>
        </w:rPr>
        <w:t>以上。</w:t>
      </w:r>
    </w:p>
    <w:p w14:paraId="54763439" w14:textId="77777777" w:rsidR="008B006E" w:rsidRDefault="00000000">
      <w:pPr>
        <w:pStyle w:val="ae"/>
        <w:spacing w:line="360" w:lineRule="auto"/>
        <w:rPr>
          <w:szCs w:val="21"/>
        </w:rPr>
      </w:pPr>
      <w:r>
        <w:rPr>
          <w:rFonts w:hint="eastAsia"/>
          <w:szCs w:val="21"/>
        </w:rPr>
        <w:t>3.</w:t>
      </w:r>
      <w:r>
        <w:rPr>
          <w:rFonts w:hint="eastAsia"/>
          <w:szCs w:val="21"/>
        </w:rPr>
        <w:t>推动底泥氮磷污染评价技术产业化，带动第三方检测、生态修复等相关产业发展，形成新的经济增长点。</w:t>
      </w:r>
    </w:p>
    <w:p w14:paraId="1AFB7C6E" w14:textId="77777777" w:rsidR="008B006E" w:rsidRDefault="00000000">
      <w:pPr>
        <w:pStyle w:val="TOC1"/>
        <w:numPr>
          <w:ilvl w:val="0"/>
          <w:numId w:val="1"/>
        </w:numPr>
        <w:outlineLvl w:val="0"/>
        <w:rPr>
          <w:rFonts w:ascii="宋体"/>
          <w:bCs w:val="0"/>
          <w:sz w:val="24"/>
          <w:szCs w:val="24"/>
        </w:rPr>
      </w:pPr>
      <w:hyperlink w:anchor="_Toc234978615" w:history="1">
        <w:bookmarkStart w:id="11" w:name="_Toc212044928"/>
        <w:r>
          <w:rPr>
            <w:rFonts w:ascii="宋体" w:hint="eastAsia"/>
            <w:bCs w:val="0"/>
            <w:sz w:val="24"/>
            <w:szCs w:val="24"/>
          </w:rPr>
          <w:t>标准实施建议</w:t>
        </w:r>
        <w:bookmarkEnd w:id="11"/>
      </w:hyperlink>
    </w:p>
    <w:p w14:paraId="4C2571B3" w14:textId="77777777" w:rsidR="008B006E" w:rsidRDefault="00000000">
      <w:pPr>
        <w:pStyle w:val="ae"/>
        <w:spacing w:line="360" w:lineRule="auto"/>
        <w:rPr>
          <w:szCs w:val="21"/>
        </w:rPr>
      </w:pPr>
      <w:r>
        <w:rPr>
          <w:rFonts w:hint="eastAsia"/>
          <w:szCs w:val="21"/>
        </w:rPr>
        <w:t>适用范围：建议各级环境监测部门、水利工程单位、第三方检测机构在河湖库底泥监测、清淤工程评估、生态修复效果验证中采用本标准。</w:t>
      </w:r>
    </w:p>
    <w:p w14:paraId="16C06EE0" w14:textId="77777777" w:rsidR="008B006E" w:rsidRDefault="00000000">
      <w:pPr>
        <w:pStyle w:val="ae"/>
        <w:spacing w:line="360" w:lineRule="auto"/>
        <w:rPr>
          <w:szCs w:val="21"/>
        </w:rPr>
      </w:pPr>
      <w:r>
        <w:rPr>
          <w:rFonts w:hint="eastAsia"/>
          <w:szCs w:val="21"/>
        </w:rPr>
        <w:t>推广培训：由中华环保联合会牵头，组织编写标准解读材料，开展线上线下培训，覆盖基层监测人员与工程技术人员，确保标准落地应用。</w:t>
      </w:r>
    </w:p>
    <w:p w14:paraId="3D33D339" w14:textId="77777777" w:rsidR="008B006E" w:rsidRDefault="00000000">
      <w:pPr>
        <w:pStyle w:val="ae"/>
        <w:spacing w:line="360" w:lineRule="auto"/>
        <w:rPr>
          <w:szCs w:val="21"/>
        </w:rPr>
      </w:pPr>
      <w:r>
        <w:rPr>
          <w:rFonts w:hint="eastAsia"/>
          <w:szCs w:val="21"/>
        </w:rPr>
        <w:t>动态更新：结合标准实施过程中的实践反馈，每</w:t>
      </w:r>
      <w:r>
        <w:rPr>
          <w:rFonts w:hint="eastAsia"/>
          <w:szCs w:val="21"/>
        </w:rPr>
        <w:t>3-5</w:t>
      </w:r>
      <w:r>
        <w:rPr>
          <w:rFonts w:hint="eastAsia"/>
          <w:szCs w:val="21"/>
        </w:rPr>
        <w:t>年对标准内容进行修订，纳入新技术（如快速检测设备、遥感监测）与新研究成果，保持标准时效性。</w:t>
      </w:r>
    </w:p>
    <w:p w14:paraId="613F9C61" w14:textId="77777777" w:rsidR="008B006E" w:rsidRDefault="00000000">
      <w:pPr>
        <w:pStyle w:val="TOC1"/>
        <w:numPr>
          <w:ilvl w:val="0"/>
          <w:numId w:val="1"/>
        </w:numPr>
        <w:outlineLvl w:val="0"/>
        <w:rPr>
          <w:rFonts w:ascii="宋体"/>
          <w:bCs w:val="0"/>
          <w:sz w:val="24"/>
          <w:szCs w:val="24"/>
        </w:rPr>
      </w:pPr>
      <w:bookmarkStart w:id="12" w:name="_Toc11870"/>
      <w:bookmarkStart w:id="13" w:name="_Toc212044929"/>
      <w:r>
        <w:rPr>
          <w:rFonts w:ascii="宋体"/>
          <w:bCs w:val="0"/>
          <w:sz w:val="24"/>
          <w:szCs w:val="24"/>
        </w:rPr>
        <w:t>涉及专利情况</w:t>
      </w:r>
      <w:bookmarkEnd w:id="12"/>
      <w:bookmarkEnd w:id="13"/>
    </w:p>
    <w:p w14:paraId="65BCBFCD" w14:textId="77777777" w:rsidR="008B006E" w:rsidRDefault="00000000">
      <w:pPr>
        <w:widowControl/>
        <w:spacing w:line="360" w:lineRule="auto"/>
        <w:ind w:firstLineChars="200" w:firstLine="420"/>
      </w:pPr>
      <w:r>
        <w:rPr>
          <w:szCs w:val="21"/>
        </w:rPr>
        <w:t>本标准不涉及任何已有的专利内容，与国家及行业其他标准无知</w:t>
      </w:r>
      <w:r>
        <w:t>识产权和专利冲突。</w:t>
      </w:r>
    </w:p>
    <w:p w14:paraId="487EFD15" w14:textId="77777777" w:rsidR="008B006E" w:rsidRDefault="00000000">
      <w:pPr>
        <w:pStyle w:val="TOC1"/>
        <w:numPr>
          <w:ilvl w:val="0"/>
          <w:numId w:val="1"/>
        </w:numPr>
        <w:outlineLvl w:val="0"/>
        <w:rPr>
          <w:rFonts w:ascii="宋体"/>
          <w:bCs w:val="0"/>
          <w:sz w:val="24"/>
          <w:szCs w:val="24"/>
        </w:rPr>
      </w:pPr>
      <w:bookmarkStart w:id="14" w:name="_Toc212044930"/>
      <w:bookmarkStart w:id="15" w:name="_Toc17422"/>
      <w:r>
        <w:rPr>
          <w:rFonts w:ascii="宋体"/>
          <w:bCs w:val="0"/>
          <w:sz w:val="24"/>
          <w:szCs w:val="24"/>
        </w:rPr>
        <w:t>重大分歧意见</w:t>
      </w:r>
      <w:bookmarkEnd w:id="14"/>
      <w:bookmarkEnd w:id="15"/>
    </w:p>
    <w:p w14:paraId="50990195" w14:textId="77777777" w:rsidR="008B006E" w:rsidRDefault="00000000">
      <w:pPr>
        <w:spacing w:line="360" w:lineRule="auto"/>
        <w:ind w:firstLineChars="200" w:firstLine="420"/>
      </w:pPr>
      <w:r>
        <w:lastRenderedPageBreak/>
        <w:t>本标准起草过程中没有重大分歧意见。</w:t>
      </w:r>
    </w:p>
    <w:sectPr w:rsidR="008B006E">
      <w:footerReference w:type="default" r:id="rId10"/>
      <w:footerReference w:type="first" r:id="rId11"/>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E54F4" w14:textId="77777777" w:rsidR="00F360E0" w:rsidRDefault="00F360E0">
      <w:r>
        <w:separator/>
      </w:r>
    </w:p>
  </w:endnote>
  <w:endnote w:type="continuationSeparator" w:id="0">
    <w:p w14:paraId="39F9A084" w14:textId="77777777" w:rsidR="00F360E0" w:rsidRDefault="00F3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245F" w14:textId="77777777" w:rsidR="008B006E" w:rsidRDefault="008B006E">
    <w:pPr>
      <w:pStyle w:val="a8"/>
      <w:jc w:val="center"/>
    </w:pPr>
  </w:p>
  <w:p w14:paraId="2029BAE9" w14:textId="77777777" w:rsidR="008B006E" w:rsidRDefault="008B006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D216" w14:textId="77777777" w:rsidR="008B006E" w:rsidRDefault="008B006E">
    <w:pPr>
      <w:pStyle w:val="a8"/>
      <w:jc w:val="center"/>
    </w:pPr>
  </w:p>
  <w:p w14:paraId="697493BD" w14:textId="77777777" w:rsidR="008B006E" w:rsidRDefault="008B006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474152"/>
    </w:sdtPr>
    <w:sdtContent>
      <w:p w14:paraId="6BE431B9" w14:textId="77777777" w:rsidR="008B006E" w:rsidRDefault="00000000">
        <w:pPr>
          <w:pStyle w:val="a8"/>
          <w:jc w:val="center"/>
        </w:pPr>
        <w:r>
          <w:fldChar w:fldCharType="begin"/>
        </w:r>
        <w:r>
          <w:instrText>PAGE   \* MERGEFORMAT</w:instrText>
        </w:r>
        <w:r>
          <w:fldChar w:fldCharType="separate"/>
        </w:r>
        <w:r>
          <w:rPr>
            <w:lang w:val="zh-CN"/>
          </w:rPr>
          <w:t>2</w:t>
        </w:r>
        <w:r>
          <w:fldChar w:fldCharType="end"/>
        </w:r>
      </w:p>
    </w:sdtContent>
  </w:sdt>
  <w:p w14:paraId="40A1E275" w14:textId="77777777" w:rsidR="008B006E" w:rsidRDefault="008B006E">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68830"/>
    </w:sdtPr>
    <w:sdtContent>
      <w:p w14:paraId="3B4DE4D2" w14:textId="77777777" w:rsidR="008B006E" w:rsidRDefault="00000000">
        <w:pPr>
          <w:pStyle w:val="a8"/>
          <w:jc w:val="center"/>
        </w:pPr>
        <w:r>
          <w:fldChar w:fldCharType="begin"/>
        </w:r>
        <w:r>
          <w:instrText>PAGE   \* MERGEFORMAT</w:instrText>
        </w:r>
        <w:r>
          <w:fldChar w:fldCharType="separate"/>
        </w:r>
        <w:r>
          <w:rPr>
            <w:lang w:val="zh-CN"/>
          </w:rPr>
          <w:t>2</w:t>
        </w:r>
        <w:r>
          <w:fldChar w:fldCharType="end"/>
        </w:r>
      </w:p>
    </w:sdtContent>
  </w:sdt>
  <w:p w14:paraId="46A6744E" w14:textId="77777777" w:rsidR="008B006E" w:rsidRDefault="008B006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5995" w14:textId="77777777" w:rsidR="00F360E0" w:rsidRDefault="00F360E0">
      <w:r>
        <w:separator/>
      </w:r>
    </w:p>
  </w:footnote>
  <w:footnote w:type="continuationSeparator" w:id="0">
    <w:p w14:paraId="18DA837A" w14:textId="77777777" w:rsidR="00F360E0" w:rsidRDefault="00F36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C64EE"/>
    <w:multiLevelType w:val="multilevel"/>
    <w:tmpl w:val="46BC64EE"/>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842"/>
        </w:tabs>
        <w:ind w:left="842" w:hanging="420"/>
      </w:pPr>
      <w:rPr>
        <w:rFonts w:hint="default"/>
      </w:rPr>
    </w:lvl>
    <w:lvl w:ilvl="2">
      <w:start w:val="1"/>
      <w:numFmt w:val="decimal"/>
      <w:lvlText w:val="%1.%2.%3"/>
      <w:lvlJc w:val="left"/>
      <w:pPr>
        <w:tabs>
          <w:tab w:val="left" w:pos="1264"/>
        </w:tabs>
        <w:ind w:left="1264" w:hanging="420"/>
      </w:pPr>
      <w:rPr>
        <w:rFonts w:hint="default"/>
      </w:rPr>
    </w:lvl>
    <w:lvl w:ilvl="3">
      <w:start w:val="1"/>
      <w:numFmt w:val="decimal"/>
      <w:lvlText w:val="%1.%2.%3.%4"/>
      <w:lvlJc w:val="left"/>
      <w:pPr>
        <w:tabs>
          <w:tab w:val="left" w:pos="1686"/>
        </w:tabs>
        <w:ind w:left="1686" w:hanging="420"/>
      </w:pPr>
      <w:rPr>
        <w:rFonts w:hint="default"/>
      </w:rPr>
    </w:lvl>
    <w:lvl w:ilvl="4">
      <w:start w:val="1"/>
      <w:numFmt w:val="decimal"/>
      <w:lvlText w:val="%1.%2.%3.%4.%5"/>
      <w:lvlJc w:val="left"/>
      <w:pPr>
        <w:tabs>
          <w:tab w:val="left" w:pos="2108"/>
        </w:tabs>
        <w:ind w:left="2108" w:hanging="420"/>
      </w:pPr>
      <w:rPr>
        <w:rFonts w:hint="default"/>
      </w:rPr>
    </w:lvl>
    <w:lvl w:ilvl="5">
      <w:start w:val="1"/>
      <w:numFmt w:val="decimal"/>
      <w:lvlText w:val="%1.%2.%3.%4.%5.%6"/>
      <w:lvlJc w:val="left"/>
      <w:pPr>
        <w:tabs>
          <w:tab w:val="left" w:pos="2530"/>
        </w:tabs>
        <w:ind w:left="2530" w:hanging="420"/>
      </w:pPr>
      <w:rPr>
        <w:rFonts w:hint="default"/>
      </w:rPr>
    </w:lvl>
    <w:lvl w:ilvl="6">
      <w:start w:val="1"/>
      <w:numFmt w:val="decimal"/>
      <w:lvlText w:val="%1.%2.%3.%4.%5.%6.%7"/>
      <w:lvlJc w:val="left"/>
      <w:pPr>
        <w:tabs>
          <w:tab w:val="left" w:pos="2952"/>
        </w:tabs>
        <w:ind w:left="2952" w:hanging="420"/>
      </w:pPr>
      <w:rPr>
        <w:rFonts w:hint="default"/>
      </w:rPr>
    </w:lvl>
    <w:lvl w:ilvl="7">
      <w:start w:val="1"/>
      <w:numFmt w:val="decimal"/>
      <w:lvlText w:val="%1.%2.%3.%4.%5.%6.%7.%8"/>
      <w:lvlJc w:val="left"/>
      <w:pPr>
        <w:tabs>
          <w:tab w:val="left" w:pos="3374"/>
        </w:tabs>
        <w:ind w:left="3374" w:hanging="420"/>
      </w:pPr>
      <w:rPr>
        <w:rFonts w:hint="default"/>
      </w:rPr>
    </w:lvl>
    <w:lvl w:ilvl="8">
      <w:start w:val="1"/>
      <w:numFmt w:val="decimal"/>
      <w:lvlText w:val="%1.%2.%3.%4.%5.%6.%7.%8.%9"/>
      <w:lvlJc w:val="left"/>
      <w:pPr>
        <w:tabs>
          <w:tab w:val="left" w:pos="3796"/>
        </w:tabs>
        <w:ind w:left="3796" w:hanging="420"/>
      </w:pPr>
      <w:rPr>
        <w:rFonts w:hint="default"/>
      </w:rPr>
    </w:lvl>
  </w:abstractNum>
  <w:num w:numId="1" w16cid:durableId="84967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tDA3NjIwMjMwMDJX0lEKTi0uzszPAykwrgUAJGd5nywAAAA="/>
    <w:docVar w:name="commondata" w:val="eyJoZGlkIjoiYWQ0MTlmNjdmM2M4OGUzYTQ5NWJkNWM5NmMzOTM0MWIifQ=="/>
  </w:docVars>
  <w:rsids>
    <w:rsidRoot w:val="009313EB"/>
    <w:rsid w:val="00047025"/>
    <w:rsid w:val="00082BF4"/>
    <w:rsid w:val="000D119C"/>
    <w:rsid w:val="001F7530"/>
    <w:rsid w:val="00237D99"/>
    <w:rsid w:val="002E79AF"/>
    <w:rsid w:val="003272A4"/>
    <w:rsid w:val="004C24BF"/>
    <w:rsid w:val="004E0A9C"/>
    <w:rsid w:val="00513FA0"/>
    <w:rsid w:val="0051480B"/>
    <w:rsid w:val="00516DD1"/>
    <w:rsid w:val="005408EB"/>
    <w:rsid w:val="005424E3"/>
    <w:rsid w:val="00644AEA"/>
    <w:rsid w:val="006C3537"/>
    <w:rsid w:val="008145C0"/>
    <w:rsid w:val="008B006E"/>
    <w:rsid w:val="008B442A"/>
    <w:rsid w:val="008F5687"/>
    <w:rsid w:val="009313EB"/>
    <w:rsid w:val="00952FDF"/>
    <w:rsid w:val="00A0393F"/>
    <w:rsid w:val="00A52009"/>
    <w:rsid w:val="00A811B0"/>
    <w:rsid w:val="00B92FED"/>
    <w:rsid w:val="00BE7BB4"/>
    <w:rsid w:val="00C93634"/>
    <w:rsid w:val="00CA0DB4"/>
    <w:rsid w:val="00D90FAD"/>
    <w:rsid w:val="00F360E0"/>
    <w:rsid w:val="00F425DA"/>
    <w:rsid w:val="00FA08C4"/>
    <w:rsid w:val="00FF014B"/>
    <w:rsid w:val="02490A1C"/>
    <w:rsid w:val="0B3F564A"/>
    <w:rsid w:val="297C7C3F"/>
    <w:rsid w:val="3A86548B"/>
    <w:rsid w:val="450158D6"/>
    <w:rsid w:val="474F40C2"/>
    <w:rsid w:val="480A0199"/>
    <w:rsid w:val="6671351E"/>
    <w:rsid w:val="6D1C5D74"/>
    <w:rsid w:val="709D48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7C92A"/>
  <w15:docId w15:val="{8257B64C-5197-4AE8-A46B-99EBA023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semiHidden/>
    <w:unhideWhenUsed/>
    <w:qFormat/>
    <w:rPr>
      <w:rFonts w:ascii="宋体"/>
      <w:sz w:val="18"/>
      <w:szCs w:val="18"/>
    </w:rPr>
  </w:style>
  <w:style w:type="paragraph" w:styleId="a5">
    <w:name w:val="Body Text"/>
    <w:basedOn w:val="a"/>
    <w:autoRedefine/>
    <w:uiPriority w:val="1"/>
    <w:qFormat/>
    <w:pPr>
      <w:spacing w:before="109"/>
      <w:ind w:left="119"/>
      <w:jc w:val="left"/>
    </w:pPr>
    <w:rPr>
      <w:rFonts w:ascii="宋体" w:hAnsi="宋体"/>
      <w:kern w:val="0"/>
      <w:szCs w:val="21"/>
      <w:lang w:eastAsia="en-US"/>
    </w:rPr>
  </w:style>
  <w:style w:type="paragraph" w:styleId="TOC3">
    <w:name w:val="toc 3"/>
    <w:basedOn w:val="a"/>
    <w:next w:val="a"/>
    <w:autoRedefine/>
    <w:uiPriority w:val="39"/>
    <w:unhideWhenUsed/>
    <w:qFormat/>
    <w:pPr>
      <w:ind w:leftChars="400" w:left="840"/>
    </w:pPr>
  </w:style>
  <w:style w:type="paragraph" w:styleId="a6">
    <w:name w:val="Plain Text"/>
    <w:basedOn w:val="a"/>
    <w:link w:val="a7"/>
    <w:qFormat/>
    <w:rPr>
      <w:rFonts w:ascii="宋体" w:hAnsi="Courier New"/>
    </w:rPr>
  </w:style>
  <w:style w:type="paragraph" w:styleId="a8">
    <w:name w:val="footer"/>
    <w:basedOn w:val="a"/>
    <w:link w:val="a9"/>
    <w:autoRedefine/>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spacing w:before="120" w:after="120"/>
      <w:jc w:val="left"/>
    </w:pPr>
    <w:rPr>
      <w:b/>
      <w:bCs/>
      <w:caps/>
      <w:sz w:val="20"/>
      <w:szCs w:val="20"/>
    </w:rPr>
  </w:style>
  <w:style w:type="paragraph" w:styleId="TOC2">
    <w:name w:val="toc 2"/>
    <w:basedOn w:val="a"/>
    <w:next w:val="a"/>
    <w:autoRedefine/>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table" w:styleId="ac">
    <w:name w:val="Table Grid"/>
    <w:basedOn w:val="a1"/>
    <w:autoRedefine/>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autoRedefine/>
    <w:uiPriority w:val="99"/>
    <w:qFormat/>
    <w:rPr>
      <w:color w:val="0000FF"/>
      <w:u w:val="single"/>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customStyle="1" w:styleId="CharCharChar1CharChar">
    <w:name w:val="Char Char Char1 Char Char"/>
    <w:basedOn w:val="a3"/>
    <w:autoRedefine/>
    <w:qFormat/>
    <w:pPr>
      <w:shd w:val="clear" w:color="auto" w:fill="000080"/>
      <w:adjustRightInd w:val="0"/>
      <w:spacing w:line="436" w:lineRule="exact"/>
      <w:ind w:left="357"/>
      <w:jc w:val="left"/>
      <w:outlineLvl w:val="3"/>
    </w:pPr>
    <w:rPr>
      <w:rFonts w:ascii="Tahoma" w:hAnsi="Tahoma"/>
      <w:b/>
      <w:sz w:val="24"/>
      <w:szCs w:val="24"/>
    </w:rPr>
  </w:style>
  <w:style w:type="character" w:customStyle="1" w:styleId="a4">
    <w:name w:val="文档结构图 字符"/>
    <w:basedOn w:val="a0"/>
    <w:link w:val="a3"/>
    <w:autoRedefine/>
    <w:uiPriority w:val="99"/>
    <w:semiHidden/>
    <w:qFormat/>
    <w:rPr>
      <w:rFonts w:ascii="宋体" w:eastAsia="宋体" w:hAnsi="Times New Roman" w:cs="Times New Roman"/>
      <w:sz w:val="18"/>
      <w:szCs w:val="18"/>
    </w:rPr>
  </w:style>
  <w:style w:type="character" w:customStyle="1" w:styleId="ab">
    <w:name w:val="页眉 字符"/>
    <w:basedOn w:val="a0"/>
    <w:link w:val="aa"/>
    <w:autoRedefine/>
    <w:uiPriority w:val="99"/>
    <w:qFormat/>
    <w:rPr>
      <w:rFonts w:ascii="Times New Roman" w:eastAsia="宋体" w:hAnsi="Times New Roman" w:cs="Times New Roman"/>
      <w:sz w:val="18"/>
      <w:szCs w:val="18"/>
    </w:rPr>
  </w:style>
  <w:style w:type="character" w:customStyle="1" w:styleId="a9">
    <w:name w:val="页脚 字符"/>
    <w:basedOn w:val="a0"/>
    <w:link w:val="a8"/>
    <w:autoRedefine/>
    <w:uiPriority w:val="99"/>
    <w:qFormat/>
    <w:rPr>
      <w:rFonts w:ascii="Times New Roman" w:eastAsia="宋体" w:hAnsi="Times New Roman" w:cs="Times New Roman"/>
      <w:sz w:val="18"/>
      <w:szCs w:val="18"/>
    </w:rPr>
  </w:style>
  <w:style w:type="paragraph" w:styleId="ae">
    <w:name w:val="List Paragraph"/>
    <w:basedOn w:val="a"/>
    <w:autoRedefine/>
    <w:uiPriority w:val="99"/>
    <w:unhideWhenUsed/>
    <w:qFormat/>
    <w:pPr>
      <w:ind w:firstLineChars="200" w:firstLine="420"/>
    </w:pPr>
  </w:style>
  <w:style w:type="character" w:customStyle="1" w:styleId="a7">
    <w:name w:val="纯文本 字符"/>
    <w:basedOn w:val="a0"/>
    <w:link w:val="a6"/>
    <w:autoRedefine/>
    <w:qFormat/>
    <w:rPr>
      <w:rFonts w:ascii="宋体" w:eastAsia="宋体" w:hAnsi="Courier New" w:cs="Times New Roman"/>
      <w:kern w:val="2"/>
      <w:sz w:val="21"/>
      <w:szCs w:val="24"/>
    </w:rPr>
  </w:style>
  <w:style w:type="character" w:customStyle="1" w:styleId="20">
    <w:name w:val="标题 2 字符"/>
    <w:basedOn w:val="a0"/>
    <w:link w:val="2"/>
    <w:autoRedefine/>
    <w:uiPriority w:val="9"/>
    <w:semiHidden/>
    <w:qFormat/>
    <w:rPr>
      <w:rFonts w:asciiTheme="majorHAnsi" w:eastAsiaTheme="majorEastAsia" w:hAnsiTheme="majorHAnsi" w:cstheme="majorBidi"/>
      <w:b/>
      <w:bCs/>
      <w:kern w:val="2"/>
      <w:sz w:val="32"/>
      <w:szCs w:val="32"/>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table" w:customStyle="1" w:styleId="TableNormal">
    <w:name w:val="Table Normal"/>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6E707-5BB9-4EE0-AA62-205D8764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3304</Words>
  <Characters>3603</Characters>
  <Application>Microsoft Office Word</Application>
  <DocSecurity>0</DocSecurity>
  <Lines>156</Lines>
  <Paragraphs>160</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Jie Yan</cp:lastModifiedBy>
  <cp:revision>17</cp:revision>
  <dcterms:created xsi:type="dcterms:W3CDTF">2014-06-06T07:36:00Z</dcterms:created>
  <dcterms:modified xsi:type="dcterms:W3CDTF">2025-11-25T06:17:00Z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02E1EFB09ED945A9AFAEFCA2FCB0CDA0_13</vt:lpwstr>
  </property>
  <property fmtid="{D5CDD505-2E9C-101B-9397-08002B2CF9AE}" pid="4" name="KSOTemplateDocerSaveRecord">
    <vt:lpwstr>eyJoZGlkIjoiNmFlY2JhZmZkMzMwMmZkMTM3ZmJmMmJlMGM2ZWE4OGEiLCJ1c2VySWQiOiIzMjUyNzM4MjYifQ==</vt:lpwstr>
  </property>
</Properties>
</file>