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4310">
      <w:pPr>
        <w:jc w:val="center"/>
      </w:pPr>
    </w:p>
    <w:p w14:paraId="21A490A9">
      <w:pPr>
        <w:jc w:val="center"/>
      </w:pPr>
    </w:p>
    <w:p w14:paraId="414E60B0">
      <w:pPr>
        <w:jc w:val="center"/>
      </w:pPr>
    </w:p>
    <w:p w14:paraId="76E009BD">
      <w:pPr>
        <w:jc w:val="center"/>
      </w:pPr>
    </w:p>
    <w:p w14:paraId="0BE294A5">
      <w:pPr>
        <w:jc w:val="center"/>
      </w:pPr>
    </w:p>
    <w:p w14:paraId="0E6D3085">
      <w:pPr>
        <w:jc w:val="center"/>
      </w:pPr>
    </w:p>
    <w:p w14:paraId="0DEB2919">
      <w:pPr>
        <w:jc w:val="center"/>
      </w:pPr>
    </w:p>
    <w:p w14:paraId="11946233">
      <w:pPr>
        <w:jc w:val="center"/>
      </w:pPr>
    </w:p>
    <w:p w14:paraId="04880843">
      <w:pPr>
        <w:jc w:val="center"/>
      </w:pPr>
    </w:p>
    <w:p w14:paraId="71B19B9F">
      <w:pPr>
        <w:jc w:val="center"/>
      </w:pPr>
    </w:p>
    <w:p w14:paraId="45AC2630">
      <w:pPr>
        <w:jc w:val="center"/>
      </w:pPr>
    </w:p>
    <w:p w14:paraId="7841C9FD">
      <w:pPr>
        <w:jc w:val="center"/>
      </w:pPr>
    </w:p>
    <w:p w14:paraId="0EEEE4DA">
      <w:pPr>
        <w:jc w:val="center"/>
      </w:pPr>
    </w:p>
    <w:p w14:paraId="2A3E161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节能环保型一二次融合成套环网箱</w:t>
      </w:r>
      <w:r>
        <w:rPr>
          <w:rFonts w:hint="eastAsia" w:ascii="迷你简小标宋" w:hAnsi="宋体" w:eastAsia="迷你简小标宋"/>
          <w:sz w:val="44"/>
          <w:szCs w:val="44"/>
        </w:rPr>
        <w:t>》</w:t>
      </w:r>
    </w:p>
    <w:p w14:paraId="69F0C85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（征求意见稿）</w:t>
      </w:r>
    </w:p>
    <w:p w14:paraId="5543775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8454EF9">
      <w:pPr>
        <w:jc w:val="center"/>
      </w:pPr>
    </w:p>
    <w:p w14:paraId="35F35331">
      <w:pPr>
        <w:jc w:val="center"/>
      </w:pPr>
    </w:p>
    <w:p w14:paraId="52CB4322">
      <w:pPr>
        <w:jc w:val="center"/>
      </w:pPr>
    </w:p>
    <w:p w14:paraId="5ADB625D">
      <w:pPr>
        <w:jc w:val="center"/>
      </w:pPr>
    </w:p>
    <w:p w14:paraId="2D598305">
      <w:pPr>
        <w:jc w:val="center"/>
      </w:pPr>
    </w:p>
    <w:p w14:paraId="5E042C9C">
      <w:pPr>
        <w:jc w:val="center"/>
      </w:pPr>
    </w:p>
    <w:p w14:paraId="3AA483EF">
      <w:pPr>
        <w:jc w:val="both"/>
      </w:pPr>
    </w:p>
    <w:p w14:paraId="546631ED">
      <w:pPr>
        <w:jc w:val="center"/>
      </w:pPr>
    </w:p>
    <w:p w14:paraId="6F964396">
      <w:pPr>
        <w:jc w:val="center"/>
      </w:pPr>
    </w:p>
    <w:p w14:paraId="72ABC04F">
      <w:pPr>
        <w:jc w:val="center"/>
      </w:pPr>
    </w:p>
    <w:p w14:paraId="41FD896A">
      <w:pPr>
        <w:jc w:val="center"/>
      </w:pPr>
    </w:p>
    <w:p w14:paraId="368D84F2">
      <w:pPr>
        <w:jc w:val="center"/>
      </w:pPr>
    </w:p>
    <w:p w14:paraId="6E31FECB">
      <w:pPr>
        <w:jc w:val="center"/>
      </w:pPr>
    </w:p>
    <w:p w14:paraId="0F08AB82">
      <w:pPr>
        <w:jc w:val="center"/>
      </w:pPr>
    </w:p>
    <w:p w14:paraId="5AA8542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B0F8F2">
      <w:pPr>
        <w:jc w:val="center"/>
        <w:rPr>
          <w:rFonts w:ascii="宋体" w:hAnsi="宋体" w:eastAsia="宋体"/>
          <w:sz w:val="28"/>
          <w:szCs w:val="28"/>
        </w:rPr>
      </w:pPr>
    </w:p>
    <w:p w14:paraId="4E4B05C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0362D2A3"/>
    <w:p w14:paraId="70AA447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《</w:t>
      </w:r>
      <w:r>
        <w:rPr>
          <w:rFonts w:hint="eastAsia" w:ascii="方正大标宋简体" w:hAnsi="黑体" w:eastAsia="方正大标宋简体"/>
          <w:spacing w:val="-14"/>
          <w:sz w:val="28"/>
          <w:szCs w:val="36"/>
          <w:lang w:eastAsia="zh-CN"/>
        </w:rPr>
        <w:t>节能环保型一二次融合成套环网箱</w:t>
      </w: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》团体标准</w:t>
      </w:r>
    </w:p>
    <w:p w14:paraId="4F11D69C">
      <w:pPr>
        <w:jc w:val="center"/>
        <w:rPr>
          <w:rFonts w:ascii="方正大标宋简体" w:hAnsi="黑体" w:eastAsia="方正大标宋简体"/>
          <w:sz w:val="28"/>
          <w:szCs w:val="36"/>
        </w:rPr>
      </w:pPr>
      <w:r>
        <w:rPr>
          <w:rFonts w:hint="eastAsia" w:ascii="方正大标宋简体" w:hAnsi="黑体" w:eastAsia="方正大标宋简体"/>
          <w:sz w:val="28"/>
          <w:szCs w:val="36"/>
        </w:rPr>
        <w:t>（征求意见稿）编制说明</w:t>
      </w:r>
    </w:p>
    <w:p w14:paraId="7A62F3DD">
      <w:pPr>
        <w:jc w:val="center"/>
        <w:rPr>
          <w:rFonts w:ascii="黑体" w:hAnsi="黑体" w:eastAsia="黑体"/>
          <w:sz w:val="36"/>
          <w:szCs w:val="36"/>
        </w:rPr>
      </w:pPr>
    </w:p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一、任务来源，主要起草单位</w:t>
      </w:r>
    </w:p>
    <w:p w14:paraId="4F84D72B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bookmarkStart w:id="0" w:name="_Hlk529782780"/>
      <w:r>
        <w:rPr>
          <w:rFonts w:hint="eastAsia" w:ascii="华文宋体" w:hAnsi="华文宋体" w:eastAsia="华文宋体"/>
          <w:sz w:val="24"/>
          <w:szCs w:val="24"/>
        </w:rPr>
        <w:t>中国中小企业协会</w:t>
      </w:r>
      <w:bookmarkEnd w:id="0"/>
      <w:r>
        <w:rPr>
          <w:rFonts w:hint="eastAsia" w:ascii="华文宋体" w:hAnsi="华文宋体" w:eastAsia="华文宋体"/>
          <w:sz w:val="24"/>
          <w:szCs w:val="24"/>
        </w:rPr>
        <w:t>下达的202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年团体标准修订编制计划，将《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节能环保型一二次融合成套环网箱</w:t>
      </w:r>
      <w:r>
        <w:rPr>
          <w:rFonts w:hint="eastAsia" w:ascii="华文宋体" w:hAnsi="华文宋体" w:eastAsia="华文宋体"/>
          <w:sz w:val="24"/>
          <w:szCs w:val="24"/>
        </w:rPr>
        <w:t>》列为标准编制项目，并于2</w:t>
      </w:r>
      <w:r>
        <w:rPr>
          <w:rFonts w:ascii="华文宋体" w:hAnsi="华文宋体" w:eastAsia="华文宋体"/>
          <w:sz w:val="24"/>
          <w:szCs w:val="24"/>
        </w:rPr>
        <w:t>0</w:t>
      </w:r>
      <w:r>
        <w:rPr>
          <w:rFonts w:hint="eastAsia" w:ascii="华文宋体" w:hAnsi="华文宋体" w:eastAsia="华文宋体"/>
          <w:sz w:val="24"/>
          <w:szCs w:val="24"/>
        </w:rPr>
        <w:t>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hint="eastAsia" w:ascii="华文宋体" w:hAnsi="华文宋体" w:eastAsia="华文宋体"/>
          <w:sz w:val="24"/>
          <w:szCs w:val="24"/>
        </w:rPr>
        <w:t>月在全国团体标准信息平台上进行了立项公告。</w:t>
      </w:r>
    </w:p>
    <w:p w14:paraId="105490F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起草单位为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江苏伟拓力电力工程技术有限公司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5170AD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二、制定标准的必要性和意义</w:t>
      </w:r>
    </w:p>
    <w:p w14:paraId="7B7F934B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1、项目必要性</w:t>
      </w:r>
    </w:p>
    <w:p w14:paraId="0019793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必要性：传统环网箱的运维困境已成为电网运营的沉重负担：一是故障处置效率低，二次设备故障后需厂家人员现场配置参数，平均消缺时间超 8 小时；二是能耗成本高，老旧设备空载损耗较新设备高 3 倍以上；三是环保处置难，含 SF₆的报废设备需专业机构处理，单台处置成本超 5000 元。节能环保型环网箱通过三大创新破解难题：采用标准化插件设计，故障部件实现 “即插即用”，消缺时间缩短至 1 小时内；优化电磁结构使空载损耗降低 60%，单台设备年节电超 200 度；无 SF₆设计省去后续环保处置成本，全生命周期运维成本降低 55%，大幅减轻基层供电班组压力</w:t>
      </w:r>
      <w:r>
        <w:rPr>
          <w:rFonts w:ascii="华文宋体" w:hAnsi="华文宋体" w:eastAsia="华文宋体"/>
          <w:sz w:val="24"/>
          <w:szCs w:val="24"/>
        </w:rPr>
        <w:t>。</w:t>
      </w:r>
    </w:p>
    <w:p w14:paraId="4C1A3742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可行性：户外环网箱作为配电网 “毛细血管”，传统产品因防护不足导致故障频发：在南方湿热地区，因潮气侵入引发的设备故障占比达 62%；北方高寒环境下，机械操作机构卡涩问题导致停电抢修平均时长超 4 小时。节能环保型环网箱通过技术升级破解这一痛点：操作机构与传感单元防护等级提升至 IP65，箱体机械强度达 IK10，可抵御 - 40℃至 70℃的极端温度与盐雾腐蚀。同时采用 “一次设备独立运行 + 二次模块即插即用” 设计，即使二次控制器故障也不会影响主回路供电，设备综合故障率从 0.5% 降至 0.15%，配电网供电可靠率提升至 99.98% 以上，有效减少民生用电中断损失。</w:t>
      </w:r>
    </w:p>
    <w:p w14:paraId="67EFDD55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2、项目意义</w:t>
      </w:r>
    </w:p>
    <w:p w14:paraId="35640309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  <w:lang w:eastAsia="zh-CN"/>
        </w:rPr>
        <w:t>传统环网箱因材料选用与结构设计缺陷，存在显著环境负担：SF₆绝缘气体的全球变暖潜能值是 CO₂的 23500 倍，且在生产环节产生大量碳排放；电缆、航插等部件的塑料材质回收率不足 30%，设备报废后形成固体废弃物污染。节能环保型产品通过双重路径实现低碳转型：在绝缘技术上采用干燥空气、氮气等环保替代气体，完全消除 SF₆排放风险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6066F95C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</w:t>
      </w:r>
    </w:p>
    <w:p w14:paraId="56CD69A4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3、应用前景</w:t>
      </w:r>
    </w:p>
    <w:p w14:paraId="79421DD9">
      <w:pPr>
        <w:ind w:firstLine="480" w:firstLineChars="200"/>
        <w:rPr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随着技术的不断进步，工业电扇在节能、智能控制、降噪等方面会不断优化和创新，其应用场景也将不断拓展和深化，以满足不同行业和用户的需求。同时，随着全球工业化进程的加速以及对工业生产环境要求的日益提高，工业电扇市场有望继续保持增长态势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p w14:paraId="7C006C2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ascii="华文宋体" w:hAnsi="华文宋体" w:eastAsia="华文宋体"/>
          <w:sz w:val="24"/>
          <w:szCs w:val="24"/>
        </w:rPr>
        <w:t>月，完成《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节能环保型一二次融合成套环网箱</w:t>
      </w:r>
      <w:r>
        <w:rPr>
          <w:rFonts w:ascii="华文宋体" w:hAnsi="华文宋体" w:eastAsia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ascii="华文宋体" w:hAnsi="华文宋体" w:eastAsia="华文宋体"/>
          <w:sz w:val="24"/>
          <w:szCs w:val="24"/>
        </w:rPr>
        <w:t>月，标准编制起草组对国内外的相关行业、标准、科研成果、专著等开展广泛、深入的调研，在此基础上完成《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节能环保型一二次融合成套环网箱</w:t>
      </w:r>
      <w:r>
        <w:rPr>
          <w:rFonts w:ascii="华文宋体" w:hAnsi="华文宋体" w:eastAsia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>月提交《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节能环保型一二次融合成套环网箱</w:t>
      </w:r>
      <w:r>
        <w:rPr>
          <w:rFonts w:ascii="华文宋体" w:hAnsi="华文宋体" w:eastAsia="华文宋体"/>
          <w:sz w:val="24"/>
          <w:szCs w:val="24"/>
        </w:rPr>
        <w:t>》标准征求意见稿及征求意见稿编制说明，拟定于202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>月在网上公示征求意见稿，广泛征求各方意见和建议。</w:t>
      </w:r>
    </w:p>
    <w:p w14:paraId="412F5803">
      <w:pPr>
        <w:ind w:firstLine="480" w:firstLineChars="200"/>
        <w:rPr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制定小组将根据各方意见和建议对标准进行修改后形成送审稿，拟定</w:t>
      </w:r>
      <w:r>
        <w:rPr>
          <w:rFonts w:ascii="华文宋体" w:hAnsi="华文宋体" w:eastAsia="华文宋体"/>
          <w:sz w:val="24"/>
          <w:szCs w:val="24"/>
        </w:rPr>
        <w:t xml:space="preserve"> 20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25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>月召开专家审查会并根据审查专家的意见与建议对送审稿进行补充、完善，完成报批稿后发布。</w:t>
      </w:r>
    </w:p>
    <w:p w14:paraId="37293B2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p w14:paraId="2F82F1E3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本标准依据相关行业标准，标准编制遵循“前瞻性、实用性、</w:t>
      </w:r>
      <w:r>
        <w:rPr>
          <w:rFonts w:ascii="华文宋体" w:hAnsi="华文宋体" w:eastAsia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>
      <w:pPr>
        <w:ind w:firstLine="480" w:firstLineChars="200"/>
        <w:rPr>
          <w:rFonts w:ascii="华文宋体" w:hAnsi="华文宋体" w:eastAsia="华文宋体"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本标准符合现行相关法律、法规、规章及相关标准，与强制性标准协调一致。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p w14:paraId="725B1357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</w:t>
      </w:r>
      <w:r>
        <w:rPr>
          <w:rFonts w:hint="eastAsia" w:ascii="华文宋体" w:hAnsi="华文宋体" w:eastAsia="华文宋体"/>
          <w:b/>
          <w:sz w:val="24"/>
          <w:szCs w:val="24"/>
        </w:rPr>
        <w:t>标准</w:t>
      </w:r>
      <w:r>
        <w:rPr>
          <w:rFonts w:ascii="华文宋体" w:hAnsi="华文宋体" w:eastAsia="华文宋体"/>
          <w:b/>
          <w:sz w:val="24"/>
          <w:szCs w:val="24"/>
        </w:rPr>
        <w:t>适用范围的确定</w:t>
      </w:r>
    </w:p>
    <w:p w14:paraId="2B01F0BC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本标准适用于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节能环保型一二次融合成套环网箱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EC2F4A1">
      <w:pPr>
        <w:topLinePunct/>
        <w:spacing w:line="360" w:lineRule="auto"/>
        <w:ind w:firstLine="48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2、规范性引用文件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5A0D7D1B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列出了本文件引用的标准文件。 </w:t>
      </w:r>
    </w:p>
    <w:p w14:paraId="4C58195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 xml:space="preserve">3、术语和定义 </w:t>
      </w:r>
    </w:p>
    <w:p w14:paraId="7456BD01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列出了本文件所界定的术语和定义。</w:t>
      </w:r>
    </w:p>
    <w:p w14:paraId="00E5B195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5、技术要求</w:t>
      </w:r>
    </w:p>
    <w:p w14:paraId="51710138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根据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节能环保型一二次融合成套环网箱</w:t>
      </w:r>
      <w:r>
        <w:rPr>
          <w:rFonts w:hint="eastAsia" w:ascii="华文宋体" w:hAnsi="华文宋体" w:eastAsia="华文宋体"/>
          <w:sz w:val="24"/>
          <w:szCs w:val="24"/>
        </w:rPr>
        <w:t>制造水平及使用情况，确定主要技术内容。技术要求主要包括外观、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单相接地故障、结构及配置、互感器准确度、成套化准确度</w:t>
      </w:r>
      <w:r>
        <w:rPr>
          <w:rFonts w:hint="eastAsia" w:ascii="华文宋体" w:hAnsi="华文宋体" w:eastAsia="华文宋体"/>
          <w:sz w:val="24"/>
          <w:szCs w:val="24"/>
        </w:rPr>
        <w:t>等方面。</w:t>
      </w:r>
    </w:p>
    <w:p w14:paraId="5E17087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6、试验方法</w:t>
      </w:r>
    </w:p>
    <w:p w14:paraId="42CA498A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针对技术要求，提供了相应的试验方法。</w:t>
      </w:r>
    </w:p>
    <w:p w14:paraId="70D250E9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7、检验规则</w:t>
      </w:r>
    </w:p>
    <w:p w14:paraId="0DA2865A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规定了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节能环保型一二次融合成套环网箱</w:t>
      </w:r>
      <w:r>
        <w:rPr>
          <w:rFonts w:hint="eastAsia" w:ascii="华文宋体" w:hAnsi="华文宋体" w:eastAsia="华文宋体"/>
          <w:sz w:val="24"/>
          <w:szCs w:val="24"/>
        </w:rPr>
        <w:t>的检验规则。</w:t>
      </w:r>
    </w:p>
    <w:p w14:paraId="6F9C5760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8、标志、包装、运输、贮存</w:t>
      </w:r>
    </w:p>
    <w:p w14:paraId="7A68DDFB">
      <w:pPr>
        <w:spacing w:line="360" w:lineRule="auto"/>
        <w:ind w:firstLine="480" w:firstLineChars="200"/>
        <w:rPr>
          <w:rFonts w:hint="default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</w:rPr>
        <w:t>对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节能环保型一二次融合成套环网箱</w:t>
      </w:r>
      <w:r>
        <w:rPr>
          <w:rFonts w:hint="eastAsia" w:ascii="华文宋体" w:hAnsi="华文宋体" w:eastAsia="华文宋体"/>
          <w:sz w:val="24"/>
          <w:szCs w:val="24"/>
        </w:rPr>
        <w:t>的标志、包装、运输及贮存的相关要求作出规范。</w:t>
      </w:r>
    </w:p>
    <w:p w14:paraId="24316A74">
      <w:pPr>
        <w:ind w:firstLine="56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六、重大意见分歧的处理依据和结果</w:t>
      </w:r>
    </w:p>
    <w:p w14:paraId="16CDB99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七、其他事项说明</w:t>
      </w:r>
    </w:p>
    <w:p w14:paraId="5DAB9E6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本标准不涉及专利、商标等知识产权问题。</w:t>
      </w:r>
    </w:p>
    <w:p w14:paraId="43908296">
      <w:pPr>
        <w:ind w:firstLine="480" w:firstLineChars="200"/>
        <w:rPr>
          <w:sz w:val="24"/>
          <w:szCs w:val="24"/>
        </w:rPr>
      </w:pPr>
    </w:p>
    <w:p w14:paraId="6B215294">
      <w:pPr>
        <w:ind w:firstLine="480" w:firstLineChars="200"/>
        <w:rPr>
          <w:sz w:val="24"/>
          <w:szCs w:val="24"/>
        </w:rPr>
      </w:pPr>
    </w:p>
    <w:p w14:paraId="153EA85F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《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节能环保型一二次融合成套环网箱</w:t>
      </w:r>
      <w:r>
        <w:rPr>
          <w:rFonts w:ascii="仿宋_GB2312" w:hAnsi="仿宋" w:eastAsia="仿宋_GB2312"/>
          <w:sz w:val="24"/>
          <w:szCs w:val="24"/>
        </w:rPr>
        <w:t>》编制起草组</w:t>
      </w:r>
    </w:p>
    <w:p w14:paraId="78298997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</w:t>
      </w:r>
      <w:r>
        <w:rPr>
          <w:rFonts w:ascii="仿宋_GB2312" w:hAnsi="仿宋" w:eastAsia="仿宋_GB2312"/>
          <w:sz w:val="24"/>
          <w:szCs w:val="24"/>
        </w:rPr>
        <w:t>年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11</w:t>
      </w:r>
      <w:r>
        <w:rPr>
          <w:rFonts w:ascii="仿宋_GB2312" w:hAnsi="仿宋" w:eastAsia="仿宋_GB2312"/>
          <w:sz w:val="24"/>
          <w:szCs w:val="24"/>
        </w:rPr>
        <w:t>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04</w:t>
      </w:r>
      <w:bookmarkStart w:id="1" w:name="_GoBack"/>
      <w:bookmarkEnd w:id="1"/>
      <w:r>
        <w:rPr>
          <w:rFonts w:ascii="仿宋_GB2312" w:hAnsi="仿宋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  <w:docPartObj>
        <w:docPartGallery w:val="autotext"/>
      </w:docPartObj>
    </w:sdtPr>
    <w:sdtContent>
      <w:p w14:paraId="3B9C1C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EA1E91"/>
    <w:rsid w:val="00FD05E7"/>
    <w:rsid w:val="07634E43"/>
    <w:rsid w:val="21D5536C"/>
    <w:rsid w:val="49F918DB"/>
    <w:rsid w:val="6C3652EF"/>
    <w:rsid w:val="76B5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1795</Words>
  <Characters>1837</Characters>
  <Lines>13</Lines>
  <Paragraphs>3</Paragraphs>
  <TotalTime>2</TotalTime>
  <ScaleCrop>false</ScaleCrop>
  <LinksUpToDate>false</LinksUpToDate>
  <CharactersWithSpaces>1852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2025-11-04T01:19:55Z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0F1283A55CED4513A9DCBD1976AE36FC_12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