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37A66B">
      <w:pPr>
        <w:keepNext w:val="0"/>
        <w:keepLines w:val="0"/>
        <w:pageBreakBefore w:val="0"/>
        <w:kinsoku/>
        <w:overflowPunct/>
        <w:topLinePunct w:val="0"/>
        <w:bidi w:val="0"/>
        <w:spacing w:line="600" w:lineRule="exact"/>
        <w:jc w:val="center"/>
        <w:rPr>
          <w:rFonts w:hint="eastAsia" w:ascii="方正小标宋简体" w:hAnsi="宋体" w:eastAsia="方正小标宋简体"/>
          <w:color w:val="000000"/>
          <w:sz w:val="44"/>
          <w:szCs w:val="32"/>
        </w:rPr>
      </w:pPr>
      <w:r>
        <w:rPr>
          <w:rFonts w:hint="eastAsia" w:ascii="方正小标宋简体" w:hAnsi="宋体" w:eastAsia="方正小标宋简体"/>
          <w:color w:val="000000"/>
          <w:sz w:val="44"/>
          <w:szCs w:val="32"/>
        </w:rPr>
        <w:t>团体标准《香子含笑培育技术规程》</w:t>
      </w:r>
    </w:p>
    <w:p w14:paraId="67EFCAD8">
      <w:pPr>
        <w:keepNext w:val="0"/>
        <w:keepLines w:val="0"/>
        <w:pageBreakBefore w:val="0"/>
        <w:kinsoku/>
        <w:overflowPunct/>
        <w:topLinePunct w:val="0"/>
        <w:bidi w:val="0"/>
        <w:spacing w:line="600" w:lineRule="exact"/>
        <w:jc w:val="center"/>
        <w:rPr>
          <w:rFonts w:ascii="方正小标宋简体" w:hAnsi="宋体" w:eastAsia="方正小标宋简体"/>
          <w:color w:val="000000"/>
          <w:sz w:val="44"/>
          <w:szCs w:val="32"/>
        </w:rPr>
      </w:pPr>
      <w:r>
        <w:rPr>
          <w:rFonts w:hint="eastAsia" w:ascii="方正小标宋简体" w:hAnsi="宋体" w:eastAsia="方正小标宋简体"/>
          <w:color w:val="000000"/>
          <w:sz w:val="44"/>
          <w:szCs w:val="32"/>
        </w:rPr>
        <w:t>（征求意见稿）编制说明</w:t>
      </w:r>
    </w:p>
    <w:p w14:paraId="0D5136F0">
      <w:pPr>
        <w:keepNext w:val="0"/>
        <w:keepLines w:val="0"/>
        <w:pageBreakBefore w:val="0"/>
        <w:kinsoku/>
        <w:overflowPunct/>
        <w:topLinePunct w:val="0"/>
        <w:autoSpaceDE w:val="0"/>
        <w:autoSpaceDN w:val="0"/>
        <w:bidi w:val="0"/>
        <w:adjustRightInd w:val="0"/>
        <w:spacing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一、任务来源、起草单位、主要起草人</w:t>
      </w:r>
    </w:p>
    <w:p w14:paraId="7FB55DF0">
      <w:pPr>
        <w:keepNext w:val="0"/>
        <w:keepLines w:val="0"/>
        <w:pageBreakBefore w:val="0"/>
        <w:kinsoku/>
        <w:overflowPunct/>
        <w:topLinePunct w:val="0"/>
        <w:bidi w:val="0"/>
        <w:ind w:firstLine="640" w:firstLineChars="200"/>
        <w:rPr>
          <w:rFonts w:ascii="仿宋_GB2312" w:hAnsi="宋体" w:eastAsia="仿宋_GB2312"/>
          <w:sz w:val="32"/>
          <w:szCs w:val="28"/>
        </w:rPr>
      </w:pPr>
      <w:r>
        <w:rPr>
          <w:rFonts w:hint="eastAsia" w:ascii="仿宋_GB2312" w:hAnsi="宋体" w:eastAsia="仿宋_GB2312"/>
          <w:sz w:val="32"/>
          <w:szCs w:val="28"/>
        </w:rPr>
        <w:t>根据《广西标准化协会关于</w:t>
      </w:r>
      <w:r>
        <w:rPr>
          <w:rFonts w:hint="eastAsia" w:ascii="仿宋_GB2312" w:hAnsi="宋体" w:eastAsia="仿宋_GB2312"/>
          <w:sz w:val="32"/>
          <w:szCs w:val="28"/>
          <w:highlight w:val="none"/>
        </w:rPr>
        <w:t>下达20</w:t>
      </w:r>
      <w:r>
        <w:rPr>
          <w:rFonts w:hint="eastAsia" w:ascii="仿宋_GB2312" w:hAnsi="宋体"/>
          <w:sz w:val="32"/>
          <w:szCs w:val="28"/>
          <w:highlight w:val="none"/>
          <w:lang w:val="en-US" w:eastAsia="zh-CN"/>
        </w:rPr>
        <w:t>25</w:t>
      </w:r>
      <w:r>
        <w:rPr>
          <w:rFonts w:hint="eastAsia" w:ascii="仿宋_GB2312" w:hAnsi="宋体" w:eastAsia="仿宋_GB2312"/>
          <w:sz w:val="32"/>
          <w:szCs w:val="28"/>
          <w:highlight w:val="none"/>
        </w:rPr>
        <w:t>年第</w:t>
      </w:r>
      <w:r>
        <w:rPr>
          <w:rFonts w:hint="eastAsia" w:ascii="仿宋_GB2312" w:hAnsi="宋体"/>
          <w:sz w:val="32"/>
          <w:szCs w:val="28"/>
          <w:highlight w:val="none"/>
          <w:lang w:val="en-US" w:eastAsia="zh-CN"/>
        </w:rPr>
        <w:t>二十四</w:t>
      </w:r>
      <w:r>
        <w:rPr>
          <w:rFonts w:hint="eastAsia" w:ascii="仿宋_GB2312" w:hAnsi="宋体" w:eastAsia="仿宋_GB2312"/>
          <w:sz w:val="32"/>
          <w:szCs w:val="28"/>
          <w:highlight w:val="none"/>
        </w:rPr>
        <w:t>批团体标准制修订项目计划的通知》（桂标协〔20</w:t>
      </w:r>
      <w:r>
        <w:rPr>
          <w:rFonts w:hint="eastAsia" w:ascii="仿宋_GB2312" w:hAnsi="宋体"/>
          <w:sz w:val="32"/>
          <w:szCs w:val="28"/>
          <w:highlight w:val="none"/>
          <w:lang w:val="en-US" w:eastAsia="zh-CN"/>
        </w:rPr>
        <w:t>25</w:t>
      </w:r>
      <w:r>
        <w:rPr>
          <w:rFonts w:hint="eastAsia" w:ascii="仿宋_GB2312" w:hAnsi="宋体" w:eastAsia="仿宋_GB2312"/>
          <w:sz w:val="32"/>
          <w:szCs w:val="28"/>
          <w:highlight w:val="none"/>
        </w:rPr>
        <w:t>〕</w:t>
      </w:r>
      <w:r>
        <w:rPr>
          <w:rFonts w:hint="eastAsia" w:ascii="仿宋_GB2312" w:hAnsi="宋体"/>
          <w:sz w:val="32"/>
          <w:szCs w:val="28"/>
          <w:highlight w:val="none"/>
          <w:lang w:val="en-US" w:eastAsia="zh-CN"/>
        </w:rPr>
        <w:t>209</w:t>
      </w:r>
      <w:r>
        <w:rPr>
          <w:rFonts w:hint="eastAsia" w:ascii="仿宋_GB2312" w:hAnsi="宋体" w:eastAsia="仿宋_GB2312"/>
          <w:sz w:val="32"/>
          <w:szCs w:val="28"/>
          <w:highlight w:val="none"/>
        </w:rPr>
        <w:t>号）文件精神，由</w:t>
      </w:r>
      <w:r>
        <w:rPr>
          <w:rFonts w:hint="eastAsia" w:ascii="仿宋_GB2312" w:hAnsi="宋体"/>
          <w:sz w:val="32"/>
          <w:szCs w:val="28"/>
          <w:highlight w:val="none"/>
          <w:lang w:val="en-US" w:eastAsia="zh-CN"/>
        </w:rPr>
        <w:t>广西大学</w:t>
      </w:r>
      <w:r>
        <w:rPr>
          <w:rFonts w:hint="eastAsia" w:ascii="仿宋_GB2312" w:hAnsi="宋体" w:eastAsia="仿宋_GB2312"/>
          <w:sz w:val="32"/>
          <w:szCs w:val="28"/>
          <w:highlight w:val="none"/>
        </w:rPr>
        <w:t>提出，广西大学、广西壮族自治区国有高峰林场、广西壮族自治区国有七坡林场、</w:t>
      </w:r>
      <w:r>
        <w:rPr>
          <w:rFonts w:hint="eastAsia" w:ascii="仿宋_GB2312" w:hAnsi="宋体"/>
          <w:sz w:val="32"/>
          <w:szCs w:val="28"/>
          <w:highlight w:val="none"/>
          <w:lang w:eastAsia="zh-CN"/>
        </w:rPr>
        <w:t>广西壮族自治区南宁树木园</w:t>
      </w:r>
      <w:r>
        <w:rPr>
          <w:rFonts w:hint="eastAsia" w:ascii="仿宋_GB2312" w:hAnsi="宋体" w:eastAsia="仿宋_GB2312"/>
          <w:sz w:val="32"/>
          <w:szCs w:val="28"/>
          <w:highlight w:val="none"/>
        </w:rPr>
        <w:t>等</w:t>
      </w:r>
      <w:r>
        <w:rPr>
          <w:rFonts w:ascii="仿宋_GB2312" w:hAnsi="宋体" w:eastAsia="仿宋_GB2312"/>
          <w:sz w:val="32"/>
          <w:szCs w:val="28"/>
          <w:highlight w:val="none"/>
        </w:rPr>
        <w:t>单位</w:t>
      </w:r>
      <w:r>
        <w:rPr>
          <w:rFonts w:hint="eastAsia" w:ascii="仿宋_GB2312" w:hAnsi="宋体" w:eastAsia="仿宋_GB2312"/>
          <w:sz w:val="32"/>
          <w:szCs w:val="28"/>
          <w:highlight w:val="none"/>
        </w:rPr>
        <w:t>共同起草的团体标准《</w:t>
      </w:r>
      <w:r>
        <w:rPr>
          <w:rFonts w:hint="eastAsia" w:ascii="仿宋_GB2312" w:hAnsi="宋体"/>
          <w:sz w:val="32"/>
          <w:szCs w:val="28"/>
          <w:highlight w:val="none"/>
          <w:lang w:eastAsia="zh-CN"/>
        </w:rPr>
        <w:t>香子含笑培育</w:t>
      </w:r>
      <w:r>
        <w:rPr>
          <w:rFonts w:hint="eastAsia" w:ascii="仿宋_GB2312" w:hAnsi="宋体" w:eastAsia="仿宋_GB2312"/>
          <w:sz w:val="32"/>
          <w:szCs w:val="28"/>
          <w:highlight w:val="none"/>
        </w:rPr>
        <w:t>技术规程》（项目编号：20</w:t>
      </w:r>
      <w:r>
        <w:rPr>
          <w:rFonts w:hint="eastAsia" w:ascii="仿宋_GB2312" w:hAnsi="宋体"/>
          <w:sz w:val="32"/>
          <w:szCs w:val="28"/>
          <w:highlight w:val="none"/>
          <w:lang w:val="en-US" w:eastAsia="zh-CN"/>
        </w:rPr>
        <w:t>25</w:t>
      </w:r>
      <w:r>
        <w:rPr>
          <w:rFonts w:hint="eastAsia" w:ascii="仿宋_GB2312" w:hAnsi="宋体" w:eastAsia="仿宋_GB2312"/>
          <w:sz w:val="32"/>
          <w:szCs w:val="28"/>
          <w:highlight w:val="none"/>
        </w:rPr>
        <w:t>-</w:t>
      </w:r>
      <w:r>
        <w:rPr>
          <w:rFonts w:hint="eastAsia" w:ascii="仿宋_GB2312" w:hAnsi="宋体"/>
          <w:sz w:val="32"/>
          <w:szCs w:val="28"/>
          <w:highlight w:val="none"/>
          <w:lang w:val="en-US" w:eastAsia="zh-CN"/>
        </w:rPr>
        <w:t>2408</w:t>
      </w:r>
      <w:r>
        <w:rPr>
          <w:rFonts w:hint="eastAsia" w:ascii="仿宋_GB2312" w:hAnsi="宋体" w:eastAsia="仿宋_GB2312"/>
          <w:sz w:val="32"/>
          <w:szCs w:val="28"/>
          <w:highlight w:val="none"/>
        </w:rPr>
        <w:t>）已获批</w:t>
      </w:r>
      <w:r>
        <w:rPr>
          <w:rFonts w:hint="eastAsia" w:ascii="仿宋_GB2312" w:hAnsi="宋体" w:eastAsia="仿宋_GB2312"/>
          <w:sz w:val="32"/>
          <w:szCs w:val="28"/>
        </w:rPr>
        <w:t>立项。</w:t>
      </w:r>
    </w:p>
    <w:p w14:paraId="7B1E0684">
      <w:pPr>
        <w:keepNext w:val="0"/>
        <w:keepLines w:val="0"/>
        <w:pageBreakBefore w:val="0"/>
        <w:kinsoku/>
        <w:overflowPunct/>
        <w:topLinePunct w:val="0"/>
        <w:bidi w:val="0"/>
        <w:ind w:firstLine="640" w:firstLineChars="200"/>
        <w:rPr>
          <w:rFonts w:hint="eastAsia" w:ascii="仿宋_GB2312" w:hAnsi="宋体" w:eastAsia="仿宋_GB2312"/>
          <w:sz w:val="32"/>
          <w:szCs w:val="28"/>
        </w:rPr>
      </w:pPr>
      <w:r>
        <w:rPr>
          <w:rFonts w:hint="eastAsia" w:ascii="仿宋_GB2312" w:hAnsi="宋体" w:eastAsia="仿宋_GB2312"/>
          <w:sz w:val="32"/>
          <w:szCs w:val="28"/>
        </w:rPr>
        <w:t>为高质量编制团体标准《</w:t>
      </w:r>
      <w:r>
        <w:rPr>
          <w:rFonts w:hint="eastAsia" w:ascii="仿宋_GB2312" w:hAnsi="宋体"/>
          <w:sz w:val="32"/>
          <w:szCs w:val="28"/>
          <w:lang w:eastAsia="zh-CN"/>
        </w:rPr>
        <w:t>香子含笑培育</w:t>
      </w:r>
      <w:r>
        <w:rPr>
          <w:rFonts w:hint="eastAsia" w:ascii="仿宋_GB2312" w:hAnsi="宋体" w:eastAsia="仿宋_GB2312"/>
          <w:sz w:val="32"/>
          <w:szCs w:val="28"/>
        </w:rPr>
        <w:t>技术规程》，由起草单位成立标准编制工作组并进行如下分工：</w:t>
      </w:r>
    </w:p>
    <w:tbl>
      <w:tblPr>
        <w:tblStyle w:val="9"/>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1476"/>
        <w:gridCol w:w="1498"/>
        <w:gridCol w:w="2680"/>
        <w:gridCol w:w="2373"/>
      </w:tblGrid>
      <w:tr w14:paraId="5C20C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blHeader/>
        </w:trPr>
        <w:tc>
          <w:tcPr>
            <w:tcW w:w="625" w:type="pct"/>
            <w:tcBorders>
              <w:top w:val="single" w:color="auto" w:sz="8" w:space="0"/>
              <w:bottom w:val="single" w:color="auto" w:sz="8" w:space="0"/>
            </w:tcBorders>
            <w:noWrap w:val="0"/>
            <w:vAlign w:val="center"/>
          </w:tcPr>
          <w:p w14:paraId="063126B2">
            <w:pPr>
              <w:keepNext w:val="0"/>
              <w:keepLines w:val="0"/>
              <w:pageBreakBefore w:val="0"/>
              <w:kinsoku/>
              <w:overflowPunct/>
              <w:topLinePunct w:val="0"/>
              <w:bidi w:val="0"/>
              <w:ind w:firstLine="0" w:firstLineChars="0"/>
              <w:jc w:val="center"/>
              <w:rPr>
                <w:rFonts w:hint="eastAsia" w:ascii="仿宋_GB2312" w:hAnsi="Times New Roman" w:eastAsia="仿宋_GB2312"/>
                <w:b/>
                <w:sz w:val="24"/>
              </w:rPr>
            </w:pPr>
            <w:r>
              <w:rPr>
                <w:rFonts w:hint="eastAsia" w:ascii="仿宋_GB2312" w:hAnsi="Times New Roman" w:eastAsia="仿宋_GB2312"/>
                <w:b/>
                <w:sz w:val="24"/>
              </w:rPr>
              <w:t>姓名</w:t>
            </w:r>
          </w:p>
        </w:tc>
        <w:tc>
          <w:tcPr>
            <w:tcW w:w="804" w:type="pct"/>
            <w:tcBorders>
              <w:top w:val="single" w:color="auto" w:sz="8" w:space="0"/>
              <w:bottom w:val="single" w:color="auto" w:sz="8" w:space="0"/>
            </w:tcBorders>
            <w:noWrap w:val="0"/>
            <w:vAlign w:val="center"/>
          </w:tcPr>
          <w:p w14:paraId="3B276B0F">
            <w:pPr>
              <w:keepNext w:val="0"/>
              <w:keepLines w:val="0"/>
              <w:pageBreakBefore w:val="0"/>
              <w:kinsoku/>
              <w:overflowPunct/>
              <w:topLinePunct w:val="0"/>
              <w:bidi w:val="0"/>
              <w:ind w:firstLine="0" w:firstLineChars="0"/>
              <w:jc w:val="center"/>
              <w:rPr>
                <w:rFonts w:hint="eastAsia" w:ascii="仿宋_GB2312" w:hAnsi="Times New Roman" w:eastAsia="仿宋_GB2312"/>
                <w:b/>
                <w:sz w:val="24"/>
              </w:rPr>
            </w:pPr>
            <w:r>
              <w:rPr>
                <w:rFonts w:hint="eastAsia" w:ascii="仿宋_GB2312" w:hAnsi="Times New Roman" w:eastAsia="仿宋_GB2312"/>
                <w:b/>
                <w:sz w:val="24"/>
              </w:rPr>
              <w:t>职务/职称</w:t>
            </w:r>
          </w:p>
        </w:tc>
        <w:tc>
          <w:tcPr>
            <w:tcW w:w="816" w:type="pct"/>
            <w:tcBorders>
              <w:top w:val="single" w:color="auto" w:sz="8" w:space="0"/>
              <w:bottom w:val="single" w:color="auto" w:sz="8" w:space="0"/>
            </w:tcBorders>
            <w:noWrap w:val="0"/>
            <w:vAlign w:val="center"/>
          </w:tcPr>
          <w:p w14:paraId="527F7992">
            <w:pPr>
              <w:keepNext w:val="0"/>
              <w:keepLines w:val="0"/>
              <w:pageBreakBefore w:val="0"/>
              <w:kinsoku/>
              <w:overflowPunct/>
              <w:topLinePunct w:val="0"/>
              <w:bidi w:val="0"/>
              <w:ind w:firstLine="0" w:firstLineChars="0"/>
              <w:jc w:val="center"/>
              <w:rPr>
                <w:rFonts w:hint="eastAsia" w:ascii="仿宋_GB2312" w:hAnsi="Times New Roman" w:eastAsia="仿宋_GB2312"/>
                <w:b/>
                <w:sz w:val="24"/>
              </w:rPr>
            </w:pPr>
            <w:r>
              <w:rPr>
                <w:rFonts w:hint="eastAsia" w:ascii="仿宋_GB2312" w:hAnsi="Times New Roman" w:eastAsia="仿宋_GB2312"/>
                <w:b/>
                <w:sz w:val="24"/>
              </w:rPr>
              <w:t>从事专业</w:t>
            </w:r>
          </w:p>
        </w:tc>
        <w:tc>
          <w:tcPr>
            <w:tcW w:w="1460" w:type="pct"/>
            <w:tcBorders>
              <w:top w:val="single" w:color="auto" w:sz="8" w:space="0"/>
              <w:bottom w:val="single" w:color="auto" w:sz="8" w:space="0"/>
            </w:tcBorders>
            <w:noWrap w:val="0"/>
            <w:vAlign w:val="center"/>
          </w:tcPr>
          <w:p w14:paraId="6727FDC0">
            <w:pPr>
              <w:keepNext w:val="0"/>
              <w:keepLines w:val="0"/>
              <w:pageBreakBefore w:val="0"/>
              <w:kinsoku/>
              <w:overflowPunct/>
              <w:topLinePunct w:val="0"/>
              <w:bidi w:val="0"/>
              <w:ind w:firstLine="0" w:firstLineChars="0"/>
              <w:jc w:val="center"/>
              <w:rPr>
                <w:rFonts w:hint="eastAsia" w:ascii="仿宋_GB2312" w:hAnsi="Times New Roman" w:eastAsia="仿宋_GB2312"/>
                <w:b/>
                <w:sz w:val="24"/>
              </w:rPr>
            </w:pPr>
            <w:r>
              <w:rPr>
                <w:rFonts w:hint="eastAsia" w:ascii="仿宋_GB2312" w:hAnsi="Times New Roman" w:eastAsia="仿宋_GB2312"/>
                <w:b/>
                <w:sz w:val="24"/>
              </w:rPr>
              <w:t>工作单位</w:t>
            </w:r>
          </w:p>
        </w:tc>
        <w:tc>
          <w:tcPr>
            <w:tcW w:w="1293" w:type="pct"/>
            <w:tcBorders>
              <w:top w:val="single" w:color="auto" w:sz="8" w:space="0"/>
              <w:bottom w:val="single" w:color="auto" w:sz="8" w:space="0"/>
            </w:tcBorders>
            <w:noWrap w:val="0"/>
            <w:vAlign w:val="center"/>
          </w:tcPr>
          <w:p w14:paraId="6E99D62F">
            <w:pPr>
              <w:keepNext w:val="0"/>
              <w:keepLines w:val="0"/>
              <w:pageBreakBefore w:val="0"/>
              <w:kinsoku/>
              <w:overflowPunct/>
              <w:topLinePunct w:val="0"/>
              <w:bidi w:val="0"/>
              <w:ind w:firstLine="0" w:firstLineChars="0"/>
              <w:jc w:val="center"/>
              <w:rPr>
                <w:rFonts w:hint="eastAsia" w:ascii="仿宋_GB2312" w:hAnsi="Times New Roman" w:eastAsia="仿宋_GB2312"/>
                <w:b/>
                <w:sz w:val="24"/>
              </w:rPr>
            </w:pPr>
            <w:r>
              <w:rPr>
                <w:rFonts w:hint="eastAsia" w:ascii="仿宋_GB2312" w:hAnsi="Times New Roman" w:eastAsia="仿宋_GB2312"/>
                <w:b/>
                <w:sz w:val="24"/>
              </w:rPr>
              <w:t>责任分工</w:t>
            </w:r>
          </w:p>
        </w:tc>
      </w:tr>
      <w:tr w14:paraId="5A300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25" w:type="pct"/>
            <w:tcBorders>
              <w:top w:val="single" w:color="auto" w:sz="8" w:space="0"/>
              <w:bottom w:val="single" w:color="auto" w:sz="8" w:space="0"/>
            </w:tcBorders>
            <w:noWrap w:val="0"/>
            <w:vAlign w:val="center"/>
          </w:tcPr>
          <w:p w14:paraId="3183ECD1">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杨梅</w:t>
            </w:r>
          </w:p>
        </w:tc>
        <w:tc>
          <w:tcPr>
            <w:tcW w:w="804" w:type="pct"/>
            <w:tcBorders>
              <w:top w:val="single" w:color="auto" w:sz="8" w:space="0"/>
              <w:bottom w:val="single" w:color="auto" w:sz="8" w:space="0"/>
            </w:tcBorders>
            <w:noWrap w:val="0"/>
            <w:vAlign w:val="center"/>
          </w:tcPr>
          <w:p w14:paraId="013BE603">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教授</w:t>
            </w:r>
          </w:p>
        </w:tc>
        <w:tc>
          <w:tcPr>
            <w:tcW w:w="816" w:type="pct"/>
            <w:tcBorders>
              <w:top w:val="single" w:color="auto" w:sz="8" w:space="0"/>
              <w:bottom w:val="single" w:color="auto" w:sz="8" w:space="0"/>
            </w:tcBorders>
            <w:noWrap w:val="0"/>
            <w:vAlign w:val="center"/>
          </w:tcPr>
          <w:p w14:paraId="6987E8BB">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森林培育</w:t>
            </w:r>
          </w:p>
        </w:tc>
        <w:tc>
          <w:tcPr>
            <w:tcW w:w="1460" w:type="pct"/>
            <w:tcBorders>
              <w:top w:val="single" w:color="auto" w:sz="8" w:space="0"/>
              <w:bottom w:val="single" w:color="auto" w:sz="8" w:space="0"/>
            </w:tcBorders>
            <w:noWrap w:val="0"/>
            <w:vAlign w:val="center"/>
          </w:tcPr>
          <w:p w14:paraId="2E69AE43">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广西大学</w:t>
            </w:r>
          </w:p>
        </w:tc>
        <w:tc>
          <w:tcPr>
            <w:tcW w:w="1293" w:type="pct"/>
            <w:tcBorders>
              <w:top w:val="single" w:color="auto" w:sz="8" w:space="0"/>
              <w:bottom w:val="single" w:color="auto" w:sz="8" w:space="0"/>
            </w:tcBorders>
            <w:noWrap w:val="0"/>
            <w:vAlign w:val="center"/>
          </w:tcPr>
          <w:p w14:paraId="07D0C4CA">
            <w:pPr>
              <w:keepNext w:val="0"/>
              <w:keepLines w:val="0"/>
              <w:pageBreakBefore w:val="0"/>
              <w:kinsoku/>
              <w:overflowPunct/>
              <w:topLinePunct w:val="0"/>
              <w:bidi w:val="0"/>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项目统筹</w:t>
            </w:r>
          </w:p>
        </w:tc>
      </w:tr>
      <w:tr w14:paraId="22DEDF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25" w:type="pct"/>
            <w:tcBorders>
              <w:top w:val="single" w:color="auto" w:sz="8" w:space="0"/>
              <w:bottom w:val="single" w:color="auto" w:sz="8" w:space="0"/>
            </w:tcBorders>
            <w:noWrap w:val="0"/>
            <w:vAlign w:val="center"/>
          </w:tcPr>
          <w:p w14:paraId="74F1D000">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程辉</w:t>
            </w:r>
          </w:p>
        </w:tc>
        <w:tc>
          <w:tcPr>
            <w:tcW w:w="804" w:type="pct"/>
            <w:tcBorders>
              <w:top w:val="single" w:color="auto" w:sz="8" w:space="0"/>
              <w:bottom w:val="single" w:color="auto" w:sz="8" w:space="0"/>
            </w:tcBorders>
            <w:noWrap w:val="0"/>
            <w:vAlign w:val="center"/>
          </w:tcPr>
          <w:p w14:paraId="56F4C6E8">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博士研究生</w:t>
            </w:r>
          </w:p>
        </w:tc>
        <w:tc>
          <w:tcPr>
            <w:tcW w:w="816" w:type="pct"/>
            <w:tcBorders>
              <w:top w:val="single" w:color="auto" w:sz="8" w:space="0"/>
              <w:bottom w:val="single" w:color="auto" w:sz="8" w:space="0"/>
            </w:tcBorders>
            <w:noWrap w:val="0"/>
            <w:vAlign w:val="center"/>
          </w:tcPr>
          <w:p w14:paraId="7CFA7D2A">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生态学</w:t>
            </w:r>
          </w:p>
        </w:tc>
        <w:tc>
          <w:tcPr>
            <w:tcW w:w="1460" w:type="pct"/>
            <w:tcBorders>
              <w:top w:val="single" w:color="auto" w:sz="8" w:space="0"/>
              <w:bottom w:val="single" w:color="auto" w:sz="8" w:space="0"/>
            </w:tcBorders>
            <w:noWrap w:val="0"/>
            <w:vAlign w:val="center"/>
          </w:tcPr>
          <w:p w14:paraId="293BFE9E">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广西大学</w:t>
            </w:r>
          </w:p>
        </w:tc>
        <w:tc>
          <w:tcPr>
            <w:tcW w:w="1293" w:type="pct"/>
            <w:tcBorders>
              <w:top w:val="single" w:color="auto" w:sz="8" w:space="0"/>
              <w:bottom w:val="single" w:color="auto" w:sz="8" w:space="0"/>
            </w:tcBorders>
            <w:noWrap w:val="0"/>
            <w:vAlign w:val="center"/>
          </w:tcPr>
          <w:p w14:paraId="33B704C6">
            <w:pPr>
              <w:keepNext w:val="0"/>
              <w:keepLines w:val="0"/>
              <w:pageBreakBefore w:val="0"/>
              <w:kinsoku/>
              <w:overflowPunct/>
              <w:topLinePunct w:val="0"/>
              <w:bidi w:val="0"/>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指导项目设计、立项申报、组织撰写、验收、发布等。</w:t>
            </w:r>
          </w:p>
        </w:tc>
      </w:tr>
      <w:tr w14:paraId="4E3866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25" w:type="pct"/>
            <w:tcBorders>
              <w:top w:val="single" w:color="auto" w:sz="8" w:space="0"/>
              <w:bottom w:val="single" w:color="auto" w:sz="8" w:space="0"/>
            </w:tcBorders>
            <w:shd w:val="clear" w:color="auto" w:fill="auto"/>
            <w:noWrap w:val="0"/>
            <w:vAlign w:val="center"/>
          </w:tcPr>
          <w:p w14:paraId="091F53C7">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黄世芳</w:t>
            </w:r>
          </w:p>
        </w:tc>
        <w:tc>
          <w:tcPr>
            <w:tcW w:w="804" w:type="pct"/>
            <w:tcBorders>
              <w:top w:val="single" w:color="auto" w:sz="8" w:space="0"/>
              <w:bottom w:val="single" w:color="auto" w:sz="8" w:space="0"/>
            </w:tcBorders>
            <w:shd w:val="clear" w:color="auto" w:fill="auto"/>
            <w:noWrap w:val="0"/>
            <w:vAlign w:val="center"/>
          </w:tcPr>
          <w:p w14:paraId="52C83D0D">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高级工程师</w:t>
            </w:r>
          </w:p>
        </w:tc>
        <w:tc>
          <w:tcPr>
            <w:tcW w:w="816" w:type="pct"/>
            <w:tcBorders>
              <w:top w:val="single" w:color="auto" w:sz="8" w:space="0"/>
              <w:bottom w:val="single" w:color="auto" w:sz="8" w:space="0"/>
            </w:tcBorders>
            <w:shd w:val="clear" w:color="auto" w:fill="auto"/>
            <w:noWrap w:val="0"/>
            <w:vAlign w:val="center"/>
          </w:tcPr>
          <w:p w14:paraId="4A982BB0">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森林培育</w:t>
            </w:r>
          </w:p>
        </w:tc>
        <w:tc>
          <w:tcPr>
            <w:tcW w:w="1460" w:type="pct"/>
            <w:tcBorders>
              <w:top w:val="single" w:color="auto" w:sz="8" w:space="0"/>
              <w:bottom w:val="single" w:color="auto" w:sz="8" w:space="0"/>
            </w:tcBorders>
            <w:shd w:val="clear" w:color="auto" w:fill="auto"/>
            <w:noWrap w:val="0"/>
            <w:vAlign w:val="center"/>
          </w:tcPr>
          <w:p w14:paraId="037600BE">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广西壮族自治区国有高峰林场</w:t>
            </w:r>
          </w:p>
        </w:tc>
        <w:tc>
          <w:tcPr>
            <w:tcW w:w="1293" w:type="pct"/>
            <w:tcBorders>
              <w:top w:val="single" w:color="auto" w:sz="8" w:space="0"/>
              <w:bottom w:val="single" w:color="auto" w:sz="8" w:space="0"/>
            </w:tcBorders>
            <w:shd w:val="clear" w:color="auto" w:fill="auto"/>
            <w:noWrap w:val="0"/>
            <w:vAlign w:val="center"/>
          </w:tcPr>
          <w:p w14:paraId="719238A3">
            <w:pPr>
              <w:keepNext w:val="0"/>
              <w:keepLines w:val="0"/>
              <w:pageBreakBefore w:val="0"/>
              <w:kinsoku/>
              <w:overflowPunct/>
              <w:topLinePunct w:val="0"/>
              <w:bidi w:val="0"/>
              <w:ind w:firstLine="0" w:firstLine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数据资料收集、标准起草、撰写。</w:t>
            </w:r>
          </w:p>
        </w:tc>
      </w:tr>
      <w:tr w14:paraId="50365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25" w:type="pct"/>
            <w:tcBorders>
              <w:top w:val="single" w:color="auto" w:sz="8" w:space="0"/>
              <w:bottom w:val="single" w:color="auto" w:sz="8" w:space="0"/>
            </w:tcBorders>
            <w:noWrap w:val="0"/>
            <w:vAlign w:val="center"/>
          </w:tcPr>
          <w:p w14:paraId="35CDA383">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color w:val="000000"/>
                <w:sz w:val="24"/>
                <w:szCs w:val="24"/>
                <w:lang w:bidi="ar"/>
              </w:rPr>
            </w:pPr>
            <w:r>
              <w:rPr>
                <w:rFonts w:hint="eastAsia" w:ascii="仿宋_GB2312" w:hAnsi="仿宋_GB2312" w:eastAsia="仿宋_GB2312" w:cs="仿宋_GB2312"/>
                <w:i w:val="0"/>
                <w:iCs w:val="0"/>
                <w:color w:val="000000"/>
                <w:kern w:val="0"/>
                <w:sz w:val="24"/>
                <w:szCs w:val="24"/>
                <w:u w:val="none"/>
                <w:lang w:val="en-US" w:eastAsia="zh-CN" w:bidi="ar"/>
              </w:rPr>
              <w:t>徐圆圆</w:t>
            </w:r>
          </w:p>
        </w:tc>
        <w:tc>
          <w:tcPr>
            <w:tcW w:w="804" w:type="pct"/>
            <w:tcBorders>
              <w:top w:val="single" w:color="auto" w:sz="8" w:space="0"/>
              <w:bottom w:val="single" w:color="auto" w:sz="8" w:space="0"/>
            </w:tcBorders>
            <w:noWrap w:val="0"/>
            <w:vAlign w:val="center"/>
          </w:tcPr>
          <w:p w14:paraId="53B79816">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讲师</w:t>
            </w:r>
          </w:p>
        </w:tc>
        <w:tc>
          <w:tcPr>
            <w:tcW w:w="816" w:type="pct"/>
            <w:tcBorders>
              <w:top w:val="single" w:color="auto" w:sz="8" w:space="0"/>
              <w:bottom w:val="single" w:color="auto" w:sz="8" w:space="0"/>
            </w:tcBorders>
            <w:noWrap w:val="0"/>
            <w:vAlign w:val="center"/>
          </w:tcPr>
          <w:p w14:paraId="3E78EB28">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森林培育</w:t>
            </w:r>
          </w:p>
        </w:tc>
        <w:tc>
          <w:tcPr>
            <w:tcW w:w="1460" w:type="pct"/>
            <w:tcBorders>
              <w:top w:val="single" w:color="auto" w:sz="8" w:space="0"/>
              <w:bottom w:val="single" w:color="auto" w:sz="8" w:space="0"/>
            </w:tcBorders>
            <w:noWrap w:val="0"/>
            <w:vAlign w:val="center"/>
          </w:tcPr>
          <w:p w14:paraId="158627F9">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广西大学</w:t>
            </w:r>
          </w:p>
        </w:tc>
        <w:tc>
          <w:tcPr>
            <w:tcW w:w="1293" w:type="pct"/>
            <w:tcBorders>
              <w:top w:val="single" w:color="auto" w:sz="8" w:space="0"/>
              <w:bottom w:val="single" w:color="auto" w:sz="8" w:space="0"/>
            </w:tcBorders>
            <w:noWrap w:val="0"/>
            <w:vAlign w:val="center"/>
          </w:tcPr>
          <w:p w14:paraId="479E686E">
            <w:pPr>
              <w:keepNext w:val="0"/>
              <w:keepLines w:val="0"/>
              <w:pageBreakBefore w:val="0"/>
              <w:kinsoku/>
              <w:overflowPunct/>
              <w:topLinePunct w:val="0"/>
              <w:bidi w:val="0"/>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指导项目设计、立项申报、参与撰写等</w:t>
            </w:r>
          </w:p>
        </w:tc>
      </w:tr>
      <w:tr w14:paraId="54854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25" w:type="pct"/>
            <w:tcBorders>
              <w:top w:val="single" w:color="auto" w:sz="8" w:space="0"/>
              <w:bottom w:val="single" w:color="auto" w:sz="8" w:space="0"/>
            </w:tcBorders>
            <w:noWrap w:val="0"/>
            <w:vAlign w:val="center"/>
          </w:tcPr>
          <w:p w14:paraId="3F8D94A6">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肖翔升</w:t>
            </w:r>
          </w:p>
        </w:tc>
        <w:tc>
          <w:tcPr>
            <w:tcW w:w="804" w:type="pct"/>
            <w:tcBorders>
              <w:top w:val="single" w:color="auto" w:sz="8" w:space="0"/>
              <w:bottom w:val="single" w:color="auto" w:sz="8" w:space="0"/>
            </w:tcBorders>
            <w:noWrap w:val="0"/>
            <w:vAlign w:val="center"/>
          </w:tcPr>
          <w:p w14:paraId="303D71E6">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博士研究生</w:t>
            </w:r>
          </w:p>
        </w:tc>
        <w:tc>
          <w:tcPr>
            <w:tcW w:w="816" w:type="pct"/>
            <w:tcBorders>
              <w:top w:val="single" w:color="auto" w:sz="8" w:space="0"/>
              <w:bottom w:val="single" w:color="auto" w:sz="8" w:space="0"/>
            </w:tcBorders>
            <w:noWrap w:val="0"/>
            <w:vAlign w:val="center"/>
          </w:tcPr>
          <w:p w14:paraId="1B3588AC">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生态学</w:t>
            </w:r>
          </w:p>
        </w:tc>
        <w:tc>
          <w:tcPr>
            <w:tcW w:w="1460" w:type="pct"/>
            <w:tcBorders>
              <w:top w:val="single" w:color="auto" w:sz="8" w:space="0"/>
              <w:bottom w:val="single" w:color="auto" w:sz="8" w:space="0"/>
            </w:tcBorders>
            <w:noWrap w:val="0"/>
            <w:vAlign w:val="center"/>
          </w:tcPr>
          <w:p w14:paraId="68784B4D">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广西大学</w:t>
            </w:r>
          </w:p>
        </w:tc>
        <w:tc>
          <w:tcPr>
            <w:tcW w:w="1293" w:type="pct"/>
            <w:tcBorders>
              <w:top w:val="single" w:color="auto" w:sz="8" w:space="0"/>
              <w:bottom w:val="single" w:color="auto" w:sz="8" w:space="0"/>
            </w:tcBorders>
            <w:noWrap w:val="0"/>
            <w:vAlign w:val="center"/>
          </w:tcPr>
          <w:p w14:paraId="6858D0D3">
            <w:pPr>
              <w:keepNext w:val="0"/>
              <w:keepLines w:val="0"/>
              <w:pageBreakBefore w:val="0"/>
              <w:kinsoku/>
              <w:overflowPunct/>
              <w:topLinePunct w:val="0"/>
              <w:bidi w:val="0"/>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指导项目设计、立项申报、参与撰写等。</w:t>
            </w:r>
          </w:p>
        </w:tc>
      </w:tr>
      <w:tr w14:paraId="2E3EF7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25" w:type="pct"/>
            <w:tcBorders>
              <w:top w:val="single" w:color="auto" w:sz="8" w:space="0"/>
              <w:bottom w:val="single" w:color="auto" w:sz="8" w:space="0"/>
            </w:tcBorders>
            <w:shd w:val="clear" w:color="auto" w:fill="auto"/>
            <w:noWrap w:val="0"/>
            <w:vAlign w:val="center"/>
          </w:tcPr>
          <w:p w14:paraId="4C5994CF">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邓善宝</w:t>
            </w:r>
          </w:p>
        </w:tc>
        <w:tc>
          <w:tcPr>
            <w:tcW w:w="804" w:type="pct"/>
            <w:tcBorders>
              <w:top w:val="single" w:color="auto" w:sz="8" w:space="0"/>
              <w:bottom w:val="single" w:color="auto" w:sz="8" w:space="0"/>
            </w:tcBorders>
            <w:shd w:val="clear" w:color="auto" w:fill="auto"/>
            <w:noWrap w:val="0"/>
            <w:vAlign w:val="center"/>
          </w:tcPr>
          <w:p w14:paraId="72B60EDD">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高级工程师</w:t>
            </w:r>
          </w:p>
        </w:tc>
        <w:tc>
          <w:tcPr>
            <w:tcW w:w="816" w:type="pct"/>
            <w:tcBorders>
              <w:top w:val="single" w:color="auto" w:sz="8" w:space="0"/>
              <w:bottom w:val="single" w:color="auto" w:sz="8" w:space="0"/>
            </w:tcBorders>
            <w:shd w:val="clear" w:color="auto" w:fill="auto"/>
            <w:noWrap w:val="0"/>
            <w:vAlign w:val="center"/>
          </w:tcPr>
          <w:p w14:paraId="19089ECF">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林业</w:t>
            </w:r>
          </w:p>
        </w:tc>
        <w:tc>
          <w:tcPr>
            <w:tcW w:w="1460" w:type="pct"/>
            <w:tcBorders>
              <w:top w:val="single" w:color="auto" w:sz="8" w:space="0"/>
              <w:bottom w:val="single" w:color="auto" w:sz="8" w:space="0"/>
            </w:tcBorders>
            <w:shd w:val="clear" w:color="auto" w:fill="auto"/>
            <w:noWrap w:val="0"/>
            <w:vAlign w:val="center"/>
          </w:tcPr>
          <w:p w14:paraId="1F86B81D">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广西壮族自治区国有七坡林场</w:t>
            </w:r>
          </w:p>
        </w:tc>
        <w:tc>
          <w:tcPr>
            <w:tcW w:w="1293" w:type="pct"/>
            <w:tcBorders>
              <w:top w:val="single" w:color="auto" w:sz="8" w:space="0"/>
              <w:bottom w:val="single" w:color="auto" w:sz="8" w:space="0"/>
            </w:tcBorders>
            <w:shd w:val="clear" w:color="auto" w:fill="auto"/>
            <w:noWrap w:val="0"/>
            <w:vAlign w:val="center"/>
          </w:tcPr>
          <w:p w14:paraId="724C3406">
            <w:pPr>
              <w:keepNext w:val="0"/>
              <w:keepLines w:val="0"/>
              <w:pageBreakBefore w:val="0"/>
              <w:kinsoku/>
              <w:overflowPunct/>
              <w:topLinePunct w:val="0"/>
              <w:bidi w:val="0"/>
              <w:ind w:firstLine="0" w:firstLine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指导项目设计、立项申报、参与撰写等。</w:t>
            </w:r>
          </w:p>
        </w:tc>
      </w:tr>
      <w:tr w14:paraId="48902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25" w:type="pct"/>
            <w:tcBorders>
              <w:top w:val="single" w:color="auto" w:sz="8" w:space="0"/>
              <w:bottom w:val="single" w:color="auto" w:sz="8" w:space="0"/>
            </w:tcBorders>
            <w:shd w:val="clear" w:color="auto" w:fill="auto"/>
            <w:noWrap w:val="0"/>
            <w:vAlign w:val="center"/>
          </w:tcPr>
          <w:p w14:paraId="672621D3">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莫雅芳</w:t>
            </w:r>
          </w:p>
        </w:tc>
        <w:tc>
          <w:tcPr>
            <w:tcW w:w="804" w:type="pct"/>
            <w:tcBorders>
              <w:top w:val="single" w:color="auto" w:sz="8" w:space="0"/>
              <w:bottom w:val="single" w:color="auto" w:sz="8" w:space="0"/>
            </w:tcBorders>
            <w:shd w:val="clear" w:color="auto" w:fill="auto"/>
            <w:noWrap w:val="0"/>
            <w:vAlign w:val="center"/>
          </w:tcPr>
          <w:p w14:paraId="7C9181D7">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正高级工程师</w:t>
            </w:r>
          </w:p>
        </w:tc>
        <w:tc>
          <w:tcPr>
            <w:tcW w:w="816" w:type="pct"/>
            <w:tcBorders>
              <w:top w:val="single" w:color="auto" w:sz="8" w:space="0"/>
              <w:bottom w:val="single" w:color="auto" w:sz="8" w:space="0"/>
            </w:tcBorders>
            <w:shd w:val="clear" w:color="auto" w:fill="auto"/>
            <w:noWrap w:val="0"/>
            <w:vAlign w:val="center"/>
          </w:tcPr>
          <w:p w14:paraId="1117F94E">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森林培育</w:t>
            </w:r>
          </w:p>
        </w:tc>
        <w:tc>
          <w:tcPr>
            <w:tcW w:w="1460" w:type="pct"/>
            <w:tcBorders>
              <w:top w:val="single" w:color="auto" w:sz="8" w:space="0"/>
              <w:bottom w:val="single" w:color="auto" w:sz="8" w:space="0"/>
            </w:tcBorders>
            <w:shd w:val="clear" w:color="auto" w:fill="auto"/>
            <w:noWrap w:val="0"/>
            <w:vAlign w:val="center"/>
          </w:tcPr>
          <w:p w14:paraId="15FC4DA4">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广西壮族自治区国有高峰林场</w:t>
            </w:r>
          </w:p>
        </w:tc>
        <w:tc>
          <w:tcPr>
            <w:tcW w:w="1293" w:type="pct"/>
            <w:tcBorders>
              <w:top w:val="single" w:color="auto" w:sz="8" w:space="0"/>
              <w:bottom w:val="single" w:color="auto" w:sz="8" w:space="0"/>
            </w:tcBorders>
            <w:shd w:val="clear" w:color="auto" w:fill="auto"/>
            <w:noWrap w:val="0"/>
            <w:vAlign w:val="center"/>
          </w:tcPr>
          <w:p w14:paraId="0C6721F7">
            <w:pPr>
              <w:keepNext w:val="0"/>
              <w:keepLines w:val="0"/>
              <w:pageBreakBefore w:val="0"/>
              <w:kinsoku/>
              <w:overflowPunct/>
              <w:topLinePunct w:val="0"/>
              <w:bidi w:val="0"/>
              <w:ind w:firstLine="0" w:firstLine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标准实施宣贯、培训</w:t>
            </w:r>
          </w:p>
        </w:tc>
      </w:tr>
      <w:tr w14:paraId="31CF9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25" w:type="pct"/>
            <w:tcBorders>
              <w:top w:val="single" w:color="auto" w:sz="8" w:space="0"/>
              <w:bottom w:val="single" w:color="auto" w:sz="8" w:space="0"/>
            </w:tcBorders>
            <w:shd w:val="clear" w:color="auto" w:fill="auto"/>
            <w:noWrap w:val="0"/>
            <w:vAlign w:val="center"/>
          </w:tcPr>
          <w:p w14:paraId="62B2EA51">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刘玉军</w:t>
            </w:r>
          </w:p>
        </w:tc>
        <w:tc>
          <w:tcPr>
            <w:tcW w:w="804" w:type="pct"/>
            <w:tcBorders>
              <w:top w:val="single" w:color="auto" w:sz="8" w:space="0"/>
              <w:bottom w:val="single" w:color="auto" w:sz="8" w:space="0"/>
            </w:tcBorders>
            <w:shd w:val="clear" w:color="auto" w:fill="auto"/>
            <w:noWrap w:val="0"/>
            <w:vAlign w:val="center"/>
          </w:tcPr>
          <w:p w14:paraId="47687BEB">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高级工程师</w:t>
            </w:r>
          </w:p>
        </w:tc>
        <w:tc>
          <w:tcPr>
            <w:tcW w:w="816" w:type="pct"/>
            <w:tcBorders>
              <w:top w:val="single" w:color="auto" w:sz="8" w:space="0"/>
              <w:bottom w:val="single" w:color="auto" w:sz="8" w:space="0"/>
            </w:tcBorders>
            <w:shd w:val="clear" w:color="auto" w:fill="auto"/>
            <w:noWrap w:val="0"/>
            <w:vAlign w:val="center"/>
          </w:tcPr>
          <w:p w14:paraId="5BF46C52">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林业工程</w:t>
            </w:r>
          </w:p>
        </w:tc>
        <w:tc>
          <w:tcPr>
            <w:tcW w:w="1460" w:type="pct"/>
            <w:tcBorders>
              <w:top w:val="single" w:color="auto" w:sz="8" w:space="0"/>
              <w:bottom w:val="single" w:color="auto" w:sz="8" w:space="0"/>
            </w:tcBorders>
            <w:shd w:val="clear" w:color="auto" w:fill="auto"/>
            <w:noWrap w:val="0"/>
            <w:vAlign w:val="center"/>
          </w:tcPr>
          <w:p w14:paraId="31AB43EC">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i w:val="0"/>
                <w:iCs w:val="0"/>
                <w:color w:val="000000"/>
                <w:kern w:val="0"/>
                <w:sz w:val="24"/>
                <w:szCs w:val="24"/>
                <w:u w:val="none"/>
                <w:lang w:val="en-US" w:eastAsia="zh-CN" w:bidi="ar"/>
              </w:rPr>
              <w:t>广西壮族自治区南宁树木园</w:t>
            </w:r>
          </w:p>
        </w:tc>
        <w:tc>
          <w:tcPr>
            <w:tcW w:w="1293" w:type="pct"/>
            <w:tcBorders>
              <w:top w:val="single" w:color="auto" w:sz="8" w:space="0"/>
              <w:bottom w:val="single" w:color="auto" w:sz="8" w:space="0"/>
            </w:tcBorders>
            <w:shd w:val="clear" w:color="auto" w:fill="auto"/>
            <w:noWrap w:val="0"/>
            <w:vAlign w:val="center"/>
          </w:tcPr>
          <w:p w14:paraId="32E6E92A">
            <w:pPr>
              <w:keepNext w:val="0"/>
              <w:keepLines w:val="0"/>
              <w:pageBreakBefore w:val="0"/>
              <w:kinsoku/>
              <w:overflowPunct/>
              <w:topLinePunct w:val="0"/>
              <w:bidi w:val="0"/>
              <w:ind w:firstLine="0" w:firstLine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标准实施宣贯、培训</w:t>
            </w:r>
          </w:p>
        </w:tc>
      </w:tr>
      <w:tr w14:paraId="4A5EA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25" w:type="pct"/>
            <w:tcBorders>
              <w:top w:val="single" w:color="auto" w:sz="8" w:space="0"/>
              <w:bottom w:val="single" w:color="auto" w:sz="8" w:space="0"/>
            </w:tcBorders>
            <w:shd w:val="clear" w:color="auto" w:fill="auto"/>
            <w:noWrap w:val="0"/>
            <w:vAlign w:val="center"/>
          </w:tcPr>
          <w:p w14:paraId="4F1988B5">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张学德</w:t>
            </w:r>
          </w:p>
        </w:tc>
        <w:tc>
          <w:tcPr>
            <w:tcW w:w="804" w:type="pct"/>
            <w:tcBorders>
              <w:top w:val="single" w:color="auto" w:sz="8" w:space="0"/>
              <w:bottom w:val="single" w:color="auto" w:sz="8" w:space="0"/>
            </w:tcBorders>
            <w:shd w:val="clear" w:color="auto" w:fill="auto"/>
            <w:noWrap w:val="0"/>
            <w:vAlign w:val="center"/>
          </w:tcPr>
          <w:p w14:paraId="78232730">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高级工程师</w:t>
            </w:r>
          </w:p>
        </w:tc>
        <w:tc>
          <w:tcPr>
            <w:tcW w:w="816" w:type="pct"/>
            <w:tcBorders>
              <w:top w:val="single" w:color="auto" w:sz="8" w:space="0"/>
              <w:bottom w:val="single" w:color="auto" w:sz="8" w:space="0"/>
            </w:tcBorders>
            <w:shd w:val="clear" w:color="auto" w:fill="auto"/>
            <w:noWrap w:val="0"/>
            <w:vAlign w:val="center"/>
          </w:tcPr>
          <w:p w14:paraId="0E7D7C61">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林业</w:t>
            </w:r>
          </w:p>
        </w:tc>
        <w:tc>
          <w:tcPr>
            <w:tcW w:w="1460" w:type="pct"/>
            <w:tcBorders>
              <w:top w:val="single" w:color="auto" w:sz="8" w:space="0"/>
              <w:bottom w:val="single" w:color="auto" w:sz="8" w:space="0"/>
            </w:tcBorders>
            <w:shd w:val="clear" w:color="auto" w:fill="auto"/>
            <w:noWrap w:val="0"/>
            <w:vAlign w:val="center"/>
          </w:tcPr>
          <w:p w14:paraId="6A7657C0">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广西壮族自治区国有七坡林场</w:t>
            </w:r>
          </w:p>
        </w:tc>
        <w:tc>
          <w:tcPr>
            <w:tcW w:w="1293" w:type="pct"/>
            <w:tcBorders>
              <w:top w:val="single" w:color="auto" w:sz="8" w:space="0"/>
              <w:bottom w:val="single" w:color="auto" w:sz="8" w:space="0"/>
            </w:tcBorders>
            <w:shd w:val="clear" w:color="auto" w:fill="auto"/>
            <w:noWrap w:val="0"/>
            <w:vAlign w:val="center"/>
          </w:tcPr>
          <w:p w14:paraId="6485B493">
            <w:pPr>
              <w:keepNext w:val="0"/>
              <w:keepLines w:val="0"/>
              <w:pageBreakBefore w:val="0"/>
              <w:kinsoku/>
              <w:overflowPunct/>
              <w:topLinePunct w:val="0"/>
              <w:bidi w:val="0"/>
              <w:ind w:firstLine="0" w:firstLine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数据资料收集、标准起草、撰写。</w:t>
            </w:r>
          </w:p>
        </w:tc>
      </w:tr>
      <w:tr w14:paraId="766B4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25" w:type="pct"/>
            <w:tcBorders>
              <w:top w:val="single" w:color="auto" w:sz="8" w:space="0"/>
              <w:bottom w:val="single" w:color="auto" w:sz="8" w:space="0"/>
            </w:tcBorders>
            <w:shd w:val="clear" w:color="auto" w:fill="auto"/>
            <w:noWrap w:val="0"/>
            <w:vAlign w:val="center"/>
          </w:tcPr>
          <w:p w14:paraId="62613A3F">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廖丹丹</w:t>
            </w:r>
          </w:p>
        </w:tc>
        <w:tc>
          <w:tcPr>
            <w:tcW w:w="804" w:type="pct"/>
            <w:tcBorders>
              <w:top w:val="single" w:color="auto" w:sz="8" w:space="0"/>
              <w:bottom w:val="single" w:color="auto" w:sz="8" w:space="0"/>
            </w:tcBorders>
            <w:shd w:val="clear" w:color="auto" w:fill="auto"/>
            <w:noWrap w:val="0"/>
            <w:vAlign w:val="center"/>
          </w:tcPr>
          <w:p w14:paraId="494832BF">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工程师</w:t>
            </w:r>
          </w:p>
        </w:tc>
        <w:tc>
          <w:tcPr>
            <w:tcW w:w="816" w:type="pct"/>
            <w:tcBorders>
              <w:top w:val="single" w:color="auto" w:sz="8" w:space="0"/>
              <w:bottom w:val="single" w:color="auto" w:sz="8" w:space="0"/>
            </w:tcBorders>
            <w:shd w:val="clear" w:color="auto" w:fill="auto"/>
            <w:noWrap w:val="0"/>
            <w:vAlign w:val="center"/>
          </w:tcPr>
          <w:p w14:paraId="0929C963">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森林培育</w:t>
            </w:r>
          </w:p>
        </w:tc>
        <w:tc>
          <w:tcPr>
            <w:tcW w:w="1460" w:type="pct"/>
            <w:tcBorders>
              <w:top w:val="single" w:color="auto" w:sz="8" w:space="0"/>
              <w:bottom w:val="single" w:color="auto" w:sz="8" w:space="0"/>
            </w:tcBorders>
            <w:shd w:val="clear" w:color="auto" w:fill="auto"/>
            <w:noWrap w:val="0"/>
            <w:vAlign w:val="center"/>
          </w:tcPr>
          <w:p w14:paraId="593A879F">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广西壮族自治区国有高峰林场</w:t>
            </w:r>
          </w:p>
        </w:tc>
        <w:tc>
          <w:tcPr>
            <w:tcW w:w="1293" w:type="pct"/>
            <w:tcBorders>
              <w:top w:val="single" w:color="auto" w:sz="8" w:space="0"/>
              <w:bottom w:val="single" w:color="auto" w:sz="8" w:space="0"/>
            </w:tcBorders>
            <w:shd w:val="clear" w:color="auto" w:fill="auto"/>
            <w:noWrap w:val="0"/>
            <w:vAlign w:val="center"/>
          </w:tcPr>
          <w:p w14:paraId="44D9C691">
            <w:pPr>
              <w:keepNext w:val="0"/>
              <w:keepLines w:val="0"/>
              <w:pageBreakBefore w:val="0"/>
              <w:kinsoku/>
              <w:overflowPunct/>
              <w:topLinePunct w:val="0"/>
              <w:bidi w:val="0"/>
              <w:ind w:firstLine="0" w:firstLine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标准实施宣贯、培训</w:t>
            </w:r>
          </w:p>
        </w:tc>
      </w:tr>
      <w:tr w14:paraId="74254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625" w:type="pct"/>
            <w:tcBorders>
              <w:top w:val="single" w:color="auto" w:sz="8" w:space="0"/>
              <w:bottom w:val="single" w:color="auto" w:sz="8" w:space="0"/>
            </w:tcBorders>
            <w:shd w:val="clear" w:color="auto" w:fill="auto"/>
            <w:noWrap w:val="0"/>
            <w:vAlign w:val="center"/>
          </w:tcPr>
          <w:p w14:paraId="640F8F54">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陈碧珍</w:t>
            </w:r>
          </w:p>
        </w:tc>
        <w:tc>
          <w:tcPr>
            <w:tcW w:w="804" w:type="pct"/>
            <w:tcBorders>
              <w:top w:val="single" w:color="auto" w:sz="8" w:space="0"/>
              <w:bottom w:val="single" w:color="auto" w:sz="8" w:space="0"/>
            </w:tcBorders>
            <w:shd w:val="clear" w:color="auto" w:fill="auto"/>
            <w:noWrap w:val="0"/>
            <w:vAlign w:val="center"/>
          </w:tcPr>
          <w:p w14:paraId="72466E80">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高级工程师</w:t>
            </w:r>
          </w:p>
        </w:tc>
        <w:tc>
          <w:tcPr>
            <w:tcW w:w="816" w:type="pct"/>
            <w:tcBorders>
              <w:top w:val="single" w:color="auto" w:sz="8" w:space="0"/>
              <w:bottom w:val="single" w:color="auto" w:sz="8" w:space="0"/>
            </w:tcBorders>
            <w:shd w:val="clear" w:color="auto" w:fill="auto"/>
            <w:noWrap w:val="0"/>
            <w:vAlign w:val="center"/>
          </w:tcPr>
          <w:p w14:paraId="1C96F4AD">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林业工程</w:t>
            </w:r>
          </w:p>
        </w:tc>
        <w:tc>
          <w:tcPr>
            <w:tcW w:w="1460" w:type="pct"/>
            <w:tcBorders>
              <w:top w:val="single" w:color="auto" w:sz="8" w:space="0"/>
              <w:bottom w:val="single" w:color="auto" w:sz="8" w:space="0"/>
            </w:tcBorders>
            <w:shd w:val="clear" w:color="auto" w:fill="auto"/>
            <w:noWrap w:val="0"/>
            <w:vAlign w:val="center"/>
          </w:tcPr>
          <w:p w14:paraId="5183BFEB">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i w:val="0"/>
                <w:iCs w:val="0"/>
                <w:color w:val="000000"/>
                <w:kern w:val="0"/>
                <w:sz w:val="24"/>
                <w:szCs w:val="24"/>
                <w:u w:val="none"/>
                <w:lang w:val="en-US" w:eastAsia="zh-CN" w:bidi="ar"/>
              </w:rPr>
              <w:t>广西壮族自治区南宁树木园</w:t>
            </w:r>
          </w:p>
        </w:tc>
        <w:tc>
          <w:tcPr>
            <w:tcW w:w="1293" w:type="pct"/>
            <w:tcBorders>
              <w:top w:val="single" w:color="auto" w:sz="8" w:space="0"/>
              <w:bottom w:val="single" w:color="auto" w:sz="8" w:space="0"/>
            </w:tcBorders>
            <w:shd w:val="clear" w:color="auto" w:fill="auto"/>
            <w:noWrap w:val="0"/>
            <w:vAlign w:val="center"/>
          </w:tcPr>
          <w:p w14:paraId="3C523CDA">
            <w:pPr>
              <w:keepNext w:val="0"/>
              <w:keepLines w:val="0"/>
              <w:pageBreakBefore w:val="0"/>
              <w:kinsoku/>
              <w:overflowPunct/>
              <w:topLinePunct w:val="0"/>
              <w:bidi w:val="0"/>
              <w:ind w:firstLine="0" w:firstLine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标准实施宣贯、培训</w:t>
            </w:r>
          </w:p>
        </w:tc>
      </w:tr>
      <w:tr w14:paraId="2F764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5" w:type="pct"/>
            <w:tcBorders>
              <w:top w:val="single" w:color="auto" w:sz="8" w:space="0"/>
              <w:bottom w:val="single" w:color="auto" w:sz="8" w:space="0"/>
            </w:tcBorders>
            <w:noWrap w:val="0"/>
            <w:vAlign w:val="center"/>
          </w:tcPr>
          <w:p w14:paraId="0B266A87">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罗创福</w:t>
            </w:r>
          </w:p>
        </w:tc>
        <w:tc>
          <w:tcPr>
            <w:tcW w:w="804" w:type="pct"/>
            <w:tcBorders>
              <w:top w:val="single" w:color="auto" w:sz="8" w:space="0"/>
              <w:bottom w:val="single" w:color="auto" w:sz="8" w:space="0"/>
            </w:tcBorders>
            <w:noWrap w:val="0"/>
            <w:vAlign w:val="center"/>
          </w:tcPr>
          <w:p w14:paraId="6844ED0C">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高级工程师</w:t>
            </w:r>
          </w:p>
        </w:tc>
        <w:tc>
          <w:tcPr>
            <w:tcW w:w="816" w:type="pct"/>
            <w:tcBorders>
              <w:top w:val="single" w:color="auto" w:sz="8" w:space="0"/>
              <w:bottom w:val="single" w:color="auto" w:sz="8" w:space="0"/>
            </w:tcBorders>
            <w:noWrap w:val="0"/>
            <w:vAlign w:val="center"/>
          </w:tcPr>
          <w:p w14:paraId="295764C6">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林业</w:t>
            </w:r>
          </w:p>
        </w:tc>
        <w:tc>
          <w:tcPr>
            <w:tcW w:w="1460" w:type="pct"/>
            <w:tcBorders>
              <w:top w:val="single" w:color="auto" w:sz="8" w:space="0"/>
              <w:bottom w:val="single" w:color="auto" w:sz="8" w:space="0"/>
            </w:tcBorders>
            <w:noWrap w:val="0"/>
            <w:vAlign w:val="center"/>
          </w:tcPr>
          <w:p w14:paraId="58F2C6E5">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广西壮族自治区国有七坡林场</w:t>
            </w:r>
          </w:p>
        </w:tc>
        <w:tc>
          <w:tcPr>
            <w:tcW w:w="1293" w:type="pct"/>
            <w:tcBorders>
              <w:top w:val="single" w:color="auto" w:sz="8" w:space="0"/>
              <w:bottom w:val="single" w:color="auto" w:sz="8" w:space="0"/>
            </w:tcBorders>
            <w:noWrap w:val="0"/>
            <w:vAlign w:val="center"/>
          </w:tcPr>
          <w:p w14:paraId="373A3392">
            <w:pPr>
              <w:keepNext w:val="0"/>
              <w:keepLines w:val="0"/>
              <w:pageBreakBefore w:val="0"/>
              <w:kinsoku/>
              <w:overflowPunct/>
              <w:topLinePunct w:val="0"/>
              <w:bidi w:val="0"/>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数据资料收集、标准起草、撰写。</w:t>
            </w:r>
          </w:p>
        </w:tc>
      </w:tr>
      <w:tr w14:paraId="34323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25" w:type="pct"/>
            <w:tcBorders>
              <w:top w:val="single" w:color="auto" w:sz="8" w:space="0"/>
              <w:bottom w:val="single" w:color="auto" w:sz="8" w:space="0"/>
            </w:tcBorders>
            <w:noWrap w:val="0"/>
            <w:vAlign w:val="center"/>
          </w:tcPr>
          <w:p w14:paraId="2885D36B">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刘春花</w:t>
            </w:r>
          </w:p>
        </w:tc>
        <w:tc>
          <w:tcPr>
            <w:tcW w:w="804" w:type="pct"/>
            <w:tcBorders>
              <w:top w:val="single" w:color="auto" w:sz="8" w:space="0"/>
              <w:bottom w:val="single" w:color="auto" w:sz="8" w:space="0"/>
            </w:tcBorders>
            <w:noWrap w:val="0"/>
            <w:vAlign w:val="center"/>
          </w:tcPr>
          <w:p w14:paraId="11B27FCC">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高级工程师</w:t>
            </w:r>
          </w:p>
        </w:tc>
        <w:tc>
          <w:tcPr>
            <w:tcW w:w="816" w:type="pct"/>
            <w:tcBorders>
              <w:top w:val="single" w:color="auto" w:sz="8" w:space="0"/>
              <w:bottom w:val="single" w:color="auto" w:sz="8" w:space="0"/>
            </w:tcBorders>
            <w:noWrap w:val="0"/>
            <w:vAlign w:val="center"/>
          </w:tcPr>
          <w:p w14:paraId="370A7A14">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林业</w:t>
            </w:r>
          </w:p>
        </w:tc>
        <w:tc>
          <w:tcPr>
            <w:tcW w:w="1460" w:type="pct"/>
            <w:tcBorders>
              <w:top w:val="single" w:color="auto" w:sz="8" w:space="0"/>
              <w:bottom w:val="single" w:color="auto" w:sz="8" w:space="0"/>
            </w:tcBorders>
            <w:noWrap w:val="0"/>
            <w:vAlign w:val="center"/>
          </w:tcPr>
          <w:p w14:paraId="5A2CD55A">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i w:val="0"/>
                <w:iCs w:val="0"/>
                <w:color w:val="000000"/>
                <w:kern w:val="0"/>
                <w:sz w:val="24"/>
                <w:szCs w:val="24"/>
                <w:u w:val="none"/>
                <w:lang w:val="en-US" w:eastAsia="zh-CN" w:bidi="ar"/>
              </w:rPr>
              <w:t>广西壮族自治区国有七坡林场</w:t>
            </w:r>
          </w:p>
        </w:tc>
        <w:tc>
          <w:tcPr>
            <w:tcW w:w="1293" w:type="pct"/>
            <w:tcBorders>
              <w:top w:val="single" w:color="auto" w:sz="8" w:space="0"/>
              <w:bottom w:val="single" w:color="auto" w:sz="8" w:space="0"/>
            </w:tcBorders>
            <w:noWrap w:val="0"/>
            <w:vAlign w:val="center"/>
          </w:tcPr>
          <w:p w14:paraId="0506EF91">
            <w:pPr>
              <w:keepNext w:val="0"/>
              <w:keepLines w:val="0"/>
              <w:pageBreakBefore w:val="0"/>
              <w:kinsoku/>
              <w:overflowPunct/>
              <w:topLinePunct w:val="0"/>
              <w:bidi w:val="0"/>
              <w:ind w:firstLine="0" w:firstLineChar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数据资料收集、标准起草、撰写。</w:t>
            </w:r>
          </w:p>
        </w:tc>
      </w:tr>
      <w:tr w14:paraId="668CF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625" w:type="pct"/>
            <w:tcBorders>
              <w:top w:val="single" w:color="auto" w:sz="8" w:space="0"/>
              <w:bottom w:val="single" w:color="auto" w:sz="8" w:space="0"/>
            </w:tcBorders>
            <w:shd w:val="clear" w:color="auto" w:fill="auto"/>
            <w:noWrap w:val="0"/>
            <w:vAlign w:val="center"/>
          </w:tcPr>
          <w:p w14:paraId="05F4900E">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俞建妹</w:t>
            </w:r>
          </w:p>
        </w:tc>
        <w:tc>
          <w:tcPr>
            <w:tcW w:w="804" w:type="pct"/>
            <w:tcBorders>
              <w:top w:val="single" w:color="auto" w:sz="8" w:space="0"/>
              <w:bottom w:val="single" w:color="auto" w:sz="8" w:space="0"/>
            </w:tcBorders>
            <w:shd w:val="clear" w:color="auto" w:fill="auto"/>
            <w:noWrap w:val="0"/>
            <w:vAlign w:val="center"/>
          </w:tcPr>
          <w:p w14:paraId="52129879">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高级工程师</w:t>
            </w:r>
          </w:p>
        </w:tc>
        <w:tc>
          <w:tcPr>
            <w:tcW w:w="816" w:type="pct"/>
            <w:tcBorders>
              <w:top w:val="single" w:color="auto" w:sz="8" w:space="0"/>
              <w:bottom w:val="single" w:color="auto" w:sz="8" w:space="0"/>
            </w:tcBorders>
            <w:shd w:val="clear" w:color="auto" w:fill="auto"/>
            <w:noWrap w:val="0"/>
            <w:vAlign w:val="center"/>
          </w:tcPr>
          <w:p w14:paraId="627AAFB8">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林业工程</w:t>
            </w:r>
          </w:p>
        </w:tc>
        <w:tc>
          <w:tcPr>
            <w:tcW w:w="1460" w:type="pct"/>
            <w:tcBorders>
              <w:top w:val="single" w:color="auto" w:sz="8" w:space="0"/>
              <w:bottom w:val="single" w:color="auto" w:sz="8" w:space="0"/>
            </w:tcBorders>
            <w:shd w:val="clear" w:color="auto" w:fill="auto"/>
            <w:noWrap w:val="0"/>
            <w:vAlign w:val="center"/>
          </w:tcPr>
          <w:p w14:paraId="5F8A520B">
            <w:pPr>
              <w:keepNext w:val="0"/>
              <w:keepLines w:val="0"/>
              <w:pageBreakBefore w:val="0"/>
              <w:widowControl/>
              <w:suppressLineNumbers w:val="0"/>
              <w:kinsoku/>
              <w:overflowPunct/>
              <w:topLinePunct w:val="0"/>
              <w:bidi w:val="0"/>
              <w:ind w:firstLine="0" w:firstLine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cs="仿宋_GB2312"/>
                <w:i w:val="0"/>
                <w:iCs w:val="0"/>
                <w:color w:val="000000"/>
                <w:kern w:val="0"/>
                <w:sz w:val="24"/>
                <w:szCs w:val="24"/>
                <w:u w:val="none"/>
                <w:lang w:val="en-US" w:eastAsia="zh-CN" w:bidi="ar"/>
              </w:rPr>
              <w:t>广西壮族自治区南宁树木园</w:t>
            </w:r>
          </w:p>
        </w:tc>
        <w:tc>
          <w:tcPr>
            <w:tcW w:w="1293" w:type="pct"/>
            <w:tcBorders>
              <w:top w:val="single" w:color="auto" w:sz="8" w:space="0"/>
              <w:bottom w:val="single" w:color="auto" w:sz="8" w:space="0"/>
            </w:tcBorders>
            <w:shd w:val="clear" w:color="auto" w:fill="auto"/>
            <w:noWrap w:val="0"/>
            <w:vAlign w:val="center"/>
          </w:tcPr>
          <w:p w14:paraId="12E97B87">
            <w:pPr>
              <w:keepNext w:val="0"/>
              <w:keepLines w:val="0"/>
              <w:pageBreakBefore w:val="0"/>
              <w:kinsoku/>
              <w:overflowPunct/>
              <w:topLinePunct w:val="0"/>
              <w:bidi w:val="0"/>
              <w:ind w:firstLine="0" w:firstLine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标准实施宣贯、培训</w:t>
            </w:r>
          </w:p>
        </w:tc>
      </w:tr>
    </w:tbl>
    <w:p w14:paraId="6BE1CEB3">
      <w:pPr>
        <w:keepNext w:val="0"/>
        <w:keepLines w:val="0"/>
        <w:pageBreakBefore w:val="0"/>
        <w:kinsoku/>
        <w:overflowPunct/>
        <w:topLinePunct w:val="0"/>
        <w:autoSpaceDE w:val="0"/>
        <w:autoSpaceDN w:val="0"/>
        <w:bidi w:val="0"/>
        <w:adjustRightInd w:val="0"/>
        <w:spacing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二、制定标准的必要性和意义</w:t>
      </w:r>
    </w:p>
    <w:p w14:paraId="50C39573">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广西壮族自治区人民政府办公厅关于强化标准引领和质量支撑加快构建广西现代化产业体系的实施意见》（桂政办发〔2025〕21号）明确指出，要支持现代林业质量升级。聚焦标准体系和检测能力与现代林业转型需求不匹配等问题，围绕生态建设、林草产业两大领域，构建涵盖林草种业、营造林、森林资源、经济林产品、花卉等23个子领域的标准体系，完善林业标准体系。重点研制木材加工利用、林业碳汇、油茶、生态旅游、林化产品、林下经济等6个领域标准，实现重点领域标准全覆盖。推动林草种苗、食用林产品质检机构建设，提升高端林木产品的全项检测能力，助力林草业绿色发展和可持续发展。</w:t>
      </w:r>
    </w:p>
    <w:p w14:paraId="5DB02EDE">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香子含笑又称香梓楠,为热带和南亚热带木兰科常绿乔木主要分布于广西、海南和云南局部海拔300～800米地区，在广西多散生在山坡中下部和沟谷两旁的常绿阔叶林内。其花可提取芳香油，叶子揉碎后散发出类似八角的香气，种子可以做调味香料。香子含笑出材量大、寿命长,木材为散孔材,纹理通直、色泽美观，干燥后少开裂不变形,具有耐腐力强、加工容易的特点,是做横梁、桁条、门窗框以及车船、家具等优良用材。此外其枝叶浓绿,树冠塔形,挺拔秀丽,是很优美的绿化树种。因此香子含笑具有很大的开发利用潜能和价值，可为林业产业转型升级提供新的增长点。</w:t>
      </w:r>
    </w:p>
    <w:p w14:paraId="43A21684">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由于香子含笑优异的木材性能、药用价值以及散发的特殊香气，其自然林早期受到过度采伐，导致目前天然林数量稀少。通过人工林种植方式可扩大香子含笑种群规模，降低野生资源采伐压力，体现出“以用促保”的林业可持续发展理念。同时，由于香子含笑凋落叶多且易分解，根系发达，根系分泌促进了土壤养分活化，达到改良地力的作用，近年来常做为桉树轮作及混交树种。提高香子含笑营造林技术，不仅满足市场对于香子含笑木材、药材及香料的需求，而且通过人工林替代天然林采伐的方式减少对野生资源的依赖，间接保护物种遗传的多样性，兼顾经济效益与生态保护需求。</w:t>
      </w:r>
    </w:p>
    <w:p w14:paraId="1D1F69FC">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广西针对</w:t>
      </w:r>
      <w:r>
        <w:rPr>
          <w:rFonts w:hint="eastAsia" w:ascii="仿宋_GB2312" w:hAnsi="宋体"/>
          <w:sz w:val="32"/>
          <w:szCs w:val="28"/>
          <w:lang w:eastAsia="zh-CN"/>
        </w:rPr>
        <w:t>香子含笑培育</w:t>
      </w:r>
      <w:r>
        <w:rPr>
          <w:rFonts w:hint="eastAsia" w:ascii="仿宋_GB2312" w:hAnsi="宋体" w:eastAsia="仿宋_GB2312"/>
          <w:sz w:val="32"/>
          <w:szCs w:val="28"/>
        </w:rPr>
        <w:t>有较丰富的造林经验，已有不少研究团队对于</w:t>
      </w:r>
      <w:r>
        <w:rPr>
          <w:rFonts w:hint="eastAsia" w:ascii="仿宋_GB2312" w:hAnsi="宋体"/>
          <w:sz w:val="32"/>
          <w:szCs w:val="28"/>
          <w:lang w:eastAsia="zh-CN"/>
        </w:rPr>
        <w:t>香子含笑培育</w:t>
      </w:r>
      <w:r>
        <w:rPr>
          <w:rFonts w:hint="eastAsia" w:ascii="仿宋_GB2312" w:hAnsi="宋体" w:eastAsia="仿宋_GB2312"/>
          <w:sz w:val="32"/>
          <w:szCs w:val="28"/>
        </w:rPr>
        <w:t>有较多的研究与造林实践，其中广西高峰林场已对其种植11年的香子含笑人工林的生长情况进行统计分析，已初步探明了香子含笑的生长特性与规律；其生长特性如下：树高、胸径和材积生长量可分别达到12.4m、14.80cm、0.1337立方米/株。树高和胸径快速生长期相反,树高快速增长期为第8～11年,期间连年生长量在1.33～1.67米/年之间,而胸径快速增长期则为2～6年,连年生长量在1.60～2.10厘米/年之间。七坡林场营造了尾巨桉纯林、灰木莲纯林、香子含笑纯林、灰木莲×尾巨桉、香子含笑×尾巨桉5种混交林，通过与广西大学林学院合作并开展相关研究，发现香子含笑×尾巨桉混交林土壤养分含量及4种酶活性显著高于香子含笑和尾巨桉纯林，说明香子含笑与尾巨桉混交有利于富集土壤养分和提高土壤酶活性。广西大学、高峰林场及七坡林场已初步对香子含笑的生长规律、苗木培育及混交效应等方面进行初步研究，但有关香子含笑的培育尚缺乏系统的整理与归纳，难以提供有效的参考与指导。香子含笑作为一种珍稀树种，在木材利用、生态建设和经济开发等方面均展现出卓越的价值，具有广阔的产业化发展前景。但其培育技术尚未有统一的标准，无具体统一的规范作为指引，不利于</w:t>
      </w:r>
      <w:r>
        <w:rPr>
          <w:rFonts w:hint="eastAsia" w:ascii="仿宋_GB2312" w:hAnsi="宋体" w:eastAsia="仿宋_GB2312"/>
          <w:sz w:val="32"/>
          <w:szCs w:val="28"/>
          <w:lang w:eastAsia="zh-CN"/>
        </w:rPr>
        <w:t>香子含笑培育</w:t>
      </w:r>
      <w:r>
        <w:rPr>
          <w:rFonts w:hint="eastAsia" w:ascii="仿宋_GB2312" w:hAnsi="宋体" w:eastAsia="仿宋_GB2312"/>
          <w:sz w:val="32"/>
          <w:szCs w:val="28"/>
        </w:rPr>
        <w:t>技术的推广以及香子含笑人工林产业规模的扩大，因此需形成科学合理的香子含笑培育技术规程，为香子含笑培育提供技术指导与参考。</w:t>
      </w:r>
    </w:p>
    <w:p w14:paraId="7A493052">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通过制定团体标准《</w:t>
      </w:r>
      <w:r>
        <w:rPr>
          <w:rFonts w:hint="eastAsia" w:ascii="仿宋_GB2312" w:hAnsi="宋体" w:eastAsia="仿宋_GB2312"/>
          <w:sz w:val="32"/>
          <w:szCs w:val="28"/>
          <w:lang w:eastAsia="zh-CN"/>
        </w:rPr>
        <w:t>香子含笑培育</w:t>
      </w:r>
      <w:r>
        <w:rPr>
          <w:rFonts w:hint="eastAsia" w:ascii="仿宋_GB2312" w:hAnsi="宋体" w:eastAsia="仿宋_GB2312"/>
          <w:sz w:val="32"/>
          <w:szCs w:val="28"/>
        </w:rPr>
        <w:t>技术规程》，以标准为抓手，统一规范</w:t>
      </w:r>
      <w:r>
        <w:rPr>
          <w:rFonts w:hint="eastAsia" w:ascii="仿宋_GB2312" w:hAnsi="宋体" w:eastAsia="仿宋_GB2312"/>
          <w:sz w:val="32"/>
          <w:szCs w:val="28"/>
          <w:lang w:eastAsia="zh-CN"/>
        </w:rPr>
        <w:t>香子含笑培育</w:t>
      </w:r>
      <w:r>
        <w:rPr>
          <w:rFonts w:hint="eastAsia" w:ascii="仿宋_GB2312" w:hAnsi="宋体" w:eastAsia="仿宋_GB2312"/>
          <w:sz w:val="32"/>
          <w:szCs w:val="28"/>
        </w:rPr>
        <w:t>技术，对提高</w:t>
      </w:r>
      <w:r>
        <w:rPr>
          <w:rFonts w:hint="eastAsia" w:ascii="仿宋_GB2312" w:hAnsi="宋体" w:eastAsia="仿宋_GB2312"/>
          <w:sz w:val="32"/>
          <w:szCs w:val="28"/>
          <w:lang w:eastAsia="zh-CN"/>
        </w:rPr>
        <w:t>香子含笑培育</w:t>
      </w:r>
      <w:r>
        <w:rPr>
          <w:rFonts w:hint="eastAsia" w:ascii="仿宋_GB2312" w:hAnsi="宋体" w:eastAsia="仿宋_GB2312"/>
          <w:sz w:val="32"/>
          <w:szCs w:val="28"/>
        </w:rPr>
        <w:t>质量</w:t>
      </w:r>
      <w:r>
        <w:rPr>
          <w:rFonts w:hint="eastAsia" w:ascii="仿宋_GB2312" w:hAnsi="宋体" w:eastAsia="仿宋_GB2312"/>
          <w:sz w:val="32"/>
          <w:szCs w:val="28"/>
          <w:lang w:eastAsia="zh-CN"/>
        </w:rPr>
        <w:t>，促进广西林业高质量发展具有重要意义</w:t>
      </w:r>
      <w:r>
        <w:rPr>
          <w:rFonts w:hint="eastAsia" w:ascii="仿宋_GB2312" w:hAnsi="宋体" w:eastAsia="仿宋_GB2312"/>
          <w:sz w:val="32"/>
          <w:szCs w:val="28"/>
        </w:rPr>
        <w:t>。</w:t>
      </w:r>
    </w:p>
    <w:p w14:paraId="64CFA7EF">
      <w:pPr>
        <w:keepNext w:val="0"/>
        <w:keepLines w:val="0"/>
        <w:pageBreakBefore w:val="0"/>
        <w:kinsoku/>
        <w:overflowPunct/>
        <w:topLinePunct w:val="0"/>
        <w:autoSpaceDE w:val="0"/>
        <w:autoSpaceDN w:val="0"/>
        <w:bidi w:val="0"/>
        <w:adjustRightInd w:val="0"/>
        <w:spacing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三、主要起草过程</w:t>
      </w:r>
    </w:p>
    <w:p w14:paraId="0D6A5644">
      <w:pPr>
        <w:keepNext w:val="0"/>
        <w:keepLines w:val="0"/>
        <w:pageBreakBefore w:val="0"/>
        <w:kinsoku/>
        <w:overflowPunct/>
        <w:topLinePunct w:val="0"/>
        <w:bidi w:val="0"/>
        <w:spacing w:line="560" w:lineRule="exact"/>
        <w:ind w:firstLine="643" w:firstLineChars="200"/>
        <w:rPr>
          <w:rFonts w:ascii="楷体" w:hAnsi="楷体" w:eastAsia="楷体"/>
          <w:sz w:val="32"/>
          <w:szCs w:val="28"/>
        </w:rPr>
      </w:pPr>
      <w:r>
        <w:rPr>
          <w:rFonts w:hint="eastAsia" w:ascii="楷体" w:hAnsi="楷体" w:eastAsia="楷体" w:cs="仿宋_GB2312"/>
          <w:b/>
          <w:sz w:val="32"/>
          <w:szCs w:val="28"/>
        </w:rPr>
        <w:t>（一）成立标准编制工作组</w:t>
      </w:r>
    </w:p>
    <w:p w14:paraId="437C2B65">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团体标准《</w:t>
      </w:r>
      <w:r>
        <w:rPr>
          <w:rFonts w:hint="eastAsia" w:ascii="仿宋_GB2312" w:hAnsi="宋体" w:eastAsia="仿宋_GB2312"/>
          <w:sz w:val="32"/>
          <w:szCs w:val="28"/>
          <w:lang w:eastAsia="zh-CN"/>
        </w:rPr>
        <w:t>香子含笑培育</w:t>
      </w:r>
      <w:r>
        <w:rPr>
          <w:rFonts w:hint="eastAsia" w:ascii="仿宋_GB2312" w:hAnsi="宋体" w:eastAsia="仿宋_GB2312"/>
          <w:sz w:val="32"/>
          <w:szCs w:val="28"/>
        </w:rPr>
        <w:t>技术规程》项目任务下达后，</w:t>
      </w:r>
      <w:r>
        <w:rPr>
          <w:rFonts w:hint="eastAsia" w:ascii="仿宋_GB2312" w:hAnsi="宋体" w:eastAsia="仿宋_GB2312"/>
          <w:sz w:val="32"/>
          <w:szCs w:val="28"/>
          <w:lang w:val="en-US" w:eastAsia="zh-CN"/>
        </w:rPr>
        <w:t>广西大学</w:t>
      </w:r>
      <w:r>
        <w:rPr>
          <w:rFonts w:hint="eastAsia" w:ascii="仿宋_GB2312" w:hAnsi="宋体" w:eastAsia="仿宋_GB2312"/>
          <w:sz w:val="32"/>
          <w:szCs w:val="28"/>
        </w:rPr>
        <w:t>成立了标准编制工作组，起草单位制定了起草编写方案与进度安排，明确任务职责，确定工作技术路线，开展标准研制工作。具体标准编制工作由广西大学、广西壮族自治区国有高峰林场、广西壮族自治区国有七坡林场</w:t>
      </w:r>
      <w:r>
        <w:rPr>
          <w:rFonts w:hint="eastAsia" w:ascii="仿宋_GB2312" w:hAnsi="宋体" w:eastAsia="仿宋_GB2312"/>
          <w:sz w:val="32"/>
          <w:szCs w:val="28"/>
          <w:lang w:eastAsia="zh-CN"/>
        </w:rPr>
        <w:t>、</w:t>
      </w:r>
      <w:r>
        <w:rPr>
          <w:rFonts w:hint="eastAsia" w:ascii="仿宋_GB2312" w:hAnsi="宋体" w:eastAsia="仿宋_GB2312"/>
          <w:sz w:val="32"/>
          <w:szCs w:val="28"/>
          <w:lang w:val="en-US" w:eastAsia="zh-CN"/>
        </w:rPr>
        <w:t>广西壮族自治区南宁树木园</w:t>
      </w:r>
      <w:r>
        <w:rPr>
          <w:rFonts w:hint="eastAsia" w:ascii="仿宋_GB2312" w:hAnsi="宋体" w:eastAsia="仿宋_GB2312"/>
          <w:sz w:val="32"/>
          <w:szCs w:val="28"/>
        </w:rPr>
        <w:t>等单位负责人组成的标准编制工作组完成。</w:t>
      </w:r>
    </w:p>
    <w:p w14:paraId="0D99A07B">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编制工作组下设三个组，分别是资料收集组、草案编写组、标准实施组。</w:t>
      </w:r>
    </w:p>
    <w:p w14:paraId="59AE398B">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资料收集组负责国内外有关</w:t>
      </w:r>
      <w:r>
        <w:rPr>
          <w:rFonts w:hint="eastAsia" w:ascii="仿宋_GB2312" w:hAnsi="宋体" w:eastAsia="仿宋_GB2312"/>
          <w:sz w:val="32"/>
          <w:szCs w:val="28"/>
          <w:lang w:eastAsia="zh-CN"/>
        </w:rPr>
        <w:t>香子含笑培育</w:t>
      </w:r>
      <w:r>
        <w:rPr>
          <w:rFonts w:hint="eastAsia" w:ascii="仿宋_GB2312" w:hAnsi="宋体" w:eastAsia="仿宋_GB2312"/>
          <w:sz w:val="32"/>
          <w:szCs w:val="28"/>
        </w:rPr>
        <w:t>的文献资料的查询、收集和整理工作，查阅前人对</w:t>
      </w:r>
      <w:r>
        <w:rPr>
          <w:rFonts w:hint="eastAsia" w:ascii="仿宋_GB2312" w:hAnsi="宋体" w:eastAsia="仿宋_GB2312"/>
          <w:sz w:val="32"/>
          <w:szCs w:val="28"/>
          <w:lang w:eastAsia="zh-CN"/>
        </w:rPr>
        <w:t>香子含笑培育</w:t>
      </w:r>
      <w:r>
        <w:rPr>
          <w:rFonts w:hint="eastAsia" w:ascii="仿宋_GB2312" w:hAnsi="宋体" w:eastAsia="仿宋_GB2312"/>
          <w:sz w:val="32"/>
          <w:szCs w:val="28"/>
          <w:lang w:val="en-US" w:eastAsia="zh-CN"/>
        </w:rPr>
        <w:t>技术</w:t>
      </w:r>
      <w:r>
        <w:rPr>
          <w:rFonts w:hint="eastAsia" w:ascii="仿宋_GB2312" w:hAnsi="宋体" w:eastAsia="仿宋_GB2312"/>
          <w:sz w:val="32"/>
          <w:szCs w:val="28"/>
        </w:rPr>
        <w:t>的研究情况。</w:t>
      </w:r>
    </w:p>
    <w:p w14:paraId="0BE25F71">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草案编写组负责起草标准草案、征求意见稿和标准编制说明、送审稿及编制说明的编写工作，包括后期召开征求意见会、网上征求意见，以及标准的不断修改和完善。</w:t>
      </w:r>
    </w:p>
    <w:p w14:paraId="067432A5">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标准实施组负责团体标准《</w:t>
      </w:r>
      <w:r>
        <w:rPr>
          <w:rFonts w:hint="eastAsia" w:ascii="仿宋_GB2312" w:hAnsi="宋体" w:eastAsia="仿宋_GB2312"/>
          <w:sz w:val="32"/>
          <w:szCs w:val="28"/>
          <w:lang w:eastAsia="zh-CN"/>
        </w:rPr>
        <w:t>香子含笑培育</w:t>
      </w:r>
      <w:r>
        <w:rPr>
          <w:rFonts w:hint="eastAsia" w:ascii="仿宋_GB2312" w:hAnsi="宋体" w:eastAsia="仿宋_GB2312"/>
          <w:sz w:val="32"/>
          <w:szCs w:val="28"/>
          <w:lang w:val="en-US" w:eastAsia="zh-CN"/>
        </w:rPr>
        <w:t>技术规程</w:t>
      </w:r>
      <w:r>
        <w:rPr>
          <w:rFonts w:hint="eastAsia" w:ascii="仿宋_GB2312" w:hAnsi="宋体" w:eastAsia="仿宋_GB2312"/>
          <w:sz w:val="32"/>
          <w:szCs w:val="28"/>
        </w:rPr>
        <w:t>》发布后，组织相关企事业单位开展标准宣贯培训会，对标准进行详细解读，让相关人员了解标准，并根据标准对</w:t>
      </w:r>
      <w:r>
        <w:rPr>
          <w:rFonts w:hint="eastAsia" w:ascii="仿宋_GB2312" w:hAnsi="宋体" w:eastAsia="仿宋_GB2312"/>
          <w:sz w:val="32"/>
          <w:szCs w:val="28"/>
          <w:lang w:eastAsia="zh-CN"/>
        </w:rPr>
        <w:t>香子含笑培育</w:t>
      </w:r>
      <w:r>
        <w:rPr>
          <w:rFonts w:hint="eastAsia" w:ascii="仿宋_GB2312" w:hAnsi="宋体" w:eastAsia="仿宋_GB2312"/>
          <w:sz w:val="32"/>
          <w:szCs w:val="28"/>
        </w:rPr>
        <w:t>进行规范化操作，并对标准实施情况进行总结分析，不断对团体标准提出修正意见。</w:t>
      </w:r>
    </w:p>
    <w:p w14:paraId="32C78715">
      <w:pPr>
        <w:keepNext w:val="0"/>
        <w:keepLines w:val="0"/>
        <w:pageBreakBefore w:val="0"/>
        <w:kinsoku/>
        <w:overflowPunct/>
        <w:topLinePunct w:val="0"/>
        <w:bidi w:val="0"/>
        <w:spacing w:line="560" w:lineRule="exact"/>
        <w:ind w:firstLine="643" w:firstLineChars="200"/>
        <w:rPr>
          <w:rFonts w:ascii="楷体" w:hAnsi="楷体" w:eastAsia="楷体" w:cs="仿宋_GB2312"/>
          <w:b/>
          <w:sz w:val="32"/>
          <w:szCs w:val="28"/>
        </w:rPr>
      </w:pPr>
      <w:r>
        <w:rPr>
          <w:rFonts w:hint="eastAsia" w:ascii="楷体" w:hAnsi="楷体" w:eastAsia="楷体" w:cs="仿宋_GB2312"/>
          <w:b/>
          <w:sz w:val="32"/>
          <w:szCs w:val="28"/>
        </w:rPr>
        <w:t>（二）收集整理文献资料</w:t>
      </w:r>
    </w:p>
    <w:p w14:paraId="2B9611BD">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lang w:val="fr-FR"/>
        </w:rPr>
      </w:pPr>
      <w:r>
        <w:rPr>
          <w:rFonts w:hint="eastAsia" w:ascii="仿宋_GB2312" w:hAnsi="宋体" w:eastAsia="仿宋_GB2312"/>
          <w:sz w:val="32"/>
          <w:szCs w:val="28"/>
        </w:rPr>
        <w:t>标准编制工作组收集了国内有关</w:t>
      </w:r>
      <w:r>
        <w:rPr>
          <w:rFonts w:hint="eastAsia" w:ascii="仿宋_GB2312" w:hAnsi="宋体" w:eastAsia="仿宋_GB2312"/>
          <w:sz w:val="32"/>
          <w:szCs w:val="28"/>
          <w:lang w:eastAsia="zh-CN"/>
        </w:rPr>
        <w:t>香子含笑培育</w:t>
      </w:r>
      <w:r>
        <w:rPr>
          <w:rFonts w:hint="eastAsia" w:ascii="仿宋_GB2312" w:hAnsi="宋体" w:eastAsia="仿宋_GB2312"/>
          <w:sz w:val="32"/>
          <w:szCs w:val="28"/>
        </w:rPr>
        <w:t>相关文献资料。主要有</w:t>
      </w:r>
      <w:r>
        <w:rPr>
          <w:rFonts w:hint="eastAsia" w:ascii="仿宋_GB2312" w:hAnsi="宋体" w:eastAsia="仿宋_GB2312"/>
          <w:sz w:val="32"/>
          <w:szCs w:val="28"/>
          <w:lang w:val="fr-FR"/>
        </w:rPr>
        <w:t>：</w:t>
      </w:r>
    </w:p>
    <w:p w14:paraId="779F73A9">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lang w:val="en-US" w:eastAsia="zh-CN"/>
        </w:rPr>
        <w:t>（1）</w:t>
      </w:r>
      <w:r>
        <w:rPr>
          <w:rFonts w:hint="eastAsia" w:ascii="仿宋_GB2312" w:hAnsi="宋体" w:eastAsia="仿宋_GB2312"/>
          <w:sz w:val="32"/>
          <w:szCs w:val="28"/>
        </w:rPr>
        <w:t>DB14T 1698-2018  连翘人工林培育技术规程</w:t>
      </w:r>
    </w:p>
    <w:p w14:paraId="04FF5AF5">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lang w:val="en-US" w:eastAsia="zh-CN"/>
        </w:rPr>
        <w:t>（2）</w:t>
      </w:r>
      <w:r>
        <w:rPr>
          <w:rFonts w:hint="eastAsia" w:ascii="仿宋_GB2312" w:hAnsi="宋体" w:eastAsia="仿宋_GB2312"/>
          <w:sz w:val="32"/>
          <w:szCs w:val="28"/>
        </w:rPr>
        <w:t>DB22T 2904-2018  水曲柳人工林大径材培育技术规程</w:t>
      </w:r>
    </w:p>
    <w:p w14:paraId="742BC2B0">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lang w:val="en-US" w:eastAsia="zh-CN"/>
        </w:rPr>
        <w:t>（3）</w:t>
      </w:r>
      <w:r>
        <w:rPr>
          <w:rFonts w:hint="eastAsia" w:ascii="仿宋_GB2312" w:hAnsi="宋体" w:eastAsia="仿宋_GB2312"/>
          <w:sz w:val="32"/>
          <w:szCs w:val="28"/>
        </w:rPr>
        <w:t>DB23T 2319-2019  红松人工林大径材培育技术规程</w:t>
      </w:r>
    </w:p>
    <w:p w14:paraId="367BE57D">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lang w:val="en-US" w:eastAsia="zh-CN"/>
        </w:rPr>
        <w:t>（4）</w:t>
      </w:r>
      <w:r>
        <w:rPr>
          <w:rFonts w:hint="eastAsia" w:ascii="仿宋_GB2312" w:hAnsi="宋体" w:eastAsia="仿宋_GB2312"/>
          <w:sz w:val="32"/>
          <w:szCs w:val="28"/>
        </w:rPr>
        <w:t>DB33T 825-2011  楠木人工林培育技术规程</w:t>
      </w:r>
    </w:p>
    <w:p w14:paraId="0D0A5E7F">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lang w:val="en-US" w:eastAsia="zh-CN"/>
        </w:rPr>
        <w:t>（5）</w:t>
      </w:r>
      <w:r>
        <w:rPr>
          <w:rFonts w:hint="eastAsia" w:ascii="仿宋_GB2312" w:hAnsi="宋体" w:eastAsia="仿宋_GB2312"/>
          <w:sz w:val="32"/>
          <w:szCs w:val="28"/>
        </w:rPr>
        <w:t>DB35T 2064-2022  毛红椿人工林培育技术规程</w:t>
      </w:r>
    </w:p>
    <w:p w14:paraId="0CD29FCB">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lang w:val="en-US" w:eastAsia="zh-CN"/>
        </w:rPr>
        <w:t>（6）</w:t>
      </w:r>
      <w:r>
        <w:rPr>
          <w:rFonts w:hint="eastAsia" w:ascii="仿宋_GB2312" w:hAnsi="宋体" w:eastAsia="仿宋_GB2312"/>
          <w:sz w:val="32"/>
          <w:szCs w:val="28"/>
        </w:rPr>
        <w:t>DB51T 2643-2019  油用杜仲人工林培育技术规程</w:t>
      </w:r>
    </w:p>
    <w:p w14:paraId="48A21A8C">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lang w:val="en-US" w:eastAsia="zh-CN"/>
        </w:rPr>
        <w:t>（7）</w:t>
      </w:r>
      <w:r>
        <w:rPr>
          <w:rFonts w:hint="eastAsia" w:ascii="仿宋_GB2312" w:hAnsi="宋体" w:eastAsia="仿宋_GB2312"/>
          <w:sz w:val="32"/>
          <w:szCs w:val="28"/>
        </w:rPr>
        <w:t>DB3311T 287-2024  钩栗人工林培育技术规程</w:t>
      </w:r>
    </w:p>
    <w:p w14:paraId="17EE2438">
      <w:pPr>
        <w:keepNext w:val="0"/>
        <w:keepLines w:val="0"/>
        <w:pageBreakBefore w:val="0"/>
        <w:kinsoku/>
        <w:overflowPunct/>
        <w:topLinePunct w:val="0"/>
        <w:autoSpaceDE w:val="0"/>
        <w:autoSpaceDN w:val="0"/>
        <w:bidi w:val="0"/>
        <w:adjustRightInd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lang w:val="en-US" w:eastAsia="zh-CN"/>
        </w:rPr>
        <w:t>（8）</w:t>
      </w:r>
      <w:r>
        <w:rPr>
          <w:rFonts w:hint="eastAsia" w:ascii="仿宋_GB2312" w:hAnsi="宋体" w:eastAsia="仿宋_GB2312"/>
          <w:sz w:val="32"/>
          <w:szCs w:val="28"/>
        </w:rPr>
        <w:t>DB5331T 1-2020  旱冬瓜人工林培育技术规程</w:t>
      </w:r>
    </w:p>
    <w:p w14:paraId="44937C7D">
      <w:pPr>
        <w:keepNext w:val="0"/>
        <w:keepLines w:val="0"/>
        <w:pageBreakBefore w:val="0"/>
        <w:kinsoku/>
        <w:overflowPunct/>
        <w:topLinePunct w:val="0"/>
        <w:bidi w:val="0"/>
        <w:spacing w:line="560" w:lineRule="exact"/>
        <w:ind w:firstLine="643" w:firstLineChars="200"/>
        <w:rPr>
          <w:rFonts w:hint="eastAsia" w:ascii="楷体" w:hAnsi="楷体" w:eastAsia="楷体" w:cs="仿宋_GB2312"/>
          <w:b/>
          <w:sz w:val="32"/>
          <w:szCs w:val="28"/>
        </w:rPr>
      </w:pPr>
      <w:r>
        <w:rPr>
          <w:rFonts w:hint="eastAsia" w:ascii="楷体" w:hAnsi="楷体" w:eastAsia="楷体" w:cs="仿宋_GB2312"/>
          <w:b/>
          <w:sz w:val="32"/>
          <w:szCs w:val="28"/>
        </w:rPr>
        <w:t>（三）研讨确定标准特色、创新点及主体内容</w:t>
      </w:r>
    </w:p>
    <w:p w14:paraId="18C421DD">
      <w:pPr>
        <w:keepNext w:val="0"/>
        <w:keepLines w:val="0"/>
        <w:pageBreakBefore w:val="0"/>
        <w:kinsoku/>
        <w:overflowPunct/>
        <w:topLinePunct w:val="0"/>
        <w:bidi w:val="0"/>
        <w:ind w:firstLine="640" w:firstLineChars="200"/>
        <w:rPr>
          <w:rFonts w:hint="default" w:ascii="仿宋_GB2312" w:hAnsi="宋体" w:eastAsia="仿宋_GB2312"/>
          <w:color w:val="auto"/>
          <w:sz w:val="32"/>
          <w:szCs w:val="28"/>
          <w:lang w:val="en-US" w:eastAsia="zh-CN"/>
        </w:rPr>
      </w:pPr>
      <w:r>
        <w:rPr>
          <w:rFonts w:hint="eastAsia" w:ascii="仿宋_GB2312" w:hAnsi="宋体"/>
          <w:color w:val="auto"/>
          <w:sz w:val="32"/>
          <w:szCs w:val="28"/>
          <w:lang w:val="en-US" w:eastAsia="zh-CN"/>
        </w:rPr>
        <w:t>1、创新点</w:t>
      </w:r>
    </w:p>
    <w:p w14:paraId="6B7BD2CF">
      <w:pPr>
        <w:keepNext w:val="0"/>
        <w:keepLines w:val="0"/>
        <w:pageBreakBefore w:val="0"/>
        <w:kinsoku/>
        <w:overflowPunct/>
        <w:topLinePunct w:val="0"/>
        <w:bidi w:val="0"/>
        <w:ind w:firstLine="640" w:firstLineChars="200"/>
        <w:rPr>
          <w:rFonts w:hint="eastAsia" w:ascii="仿宋_GB2312" w:hAnsi="宋体" w:eastAsia="仿宋_GB2312"/>
          <w:sz w:val="32"/>
          <w:szCs w:val="28"/>
          <w:lang w:eastAsia="zh-CN"/>
        </w:rPr>
      </w:pPr>
      <w:r>
        <w:rPr>
          <w:rFonts w:hint="eastAsia" w:ascii="仿宋_GB2312" w:hAnsi="宋体"/>
          <w:sz w:val="32"/>
          <w:szCs w:val="28"/>
          <w:lang w:eastAsia="zh-CN"/>
        </w:rPr>
        <w:t>（</w:t>
      </w:r>
      <w:r>
        <w:rPr>
          <w:rFonts w:hint="eastAsia" w:ascii="仿宋_GB2312" w:hAnsi="宋体"/>
          <w:sz w:val="32"/>
          <w:szCs w:val="28"/>
          <w:lang w:val="en-US" w:eastAsia="zh-CN"/>
        </w:rPr>
        <w:t>1）</w:t>
      </w:r>
      <w:r>
        <w:rPr>
          <w:rFonts w:hint="eastAsia" w:ascii="仿宋_GB2312" w:hAnsi="宋体" w:eastAsia="仿宋_GB2312"/>
          <w:sz w:val="32"/>
          <w:szCs w:val="28"/>
        </w:rPr>
        <w:t>结合现代</w:t>
      </w:r>
      <w:r>
        <w:rPr>
          <w:rFonts w:hint="eastAsia" w:ascii="仿宋_GB2312" w:hAnsi="宋体"/>
          <w:sz w:val="32"/>
          <w:szCs w:val="28"/>
          <w:lang w:val="en-US" w:eastAsia="zh-CN"/>
        </w:rPr>
        <w:t>林业</w:t>
      </w:r>
      <w:r>
        <w:rPr>
          <w:rFonts w:hint="eastAsia" w:ascii="仿宋_GB2312" w:hAnsi="宋体" w:eastAsia="仿宋_GB2312"/>
          <w:sz w:val="32"/>
          <w:szCs w:val="28"/>
        </w:rPr>
        <w:t>、生态</w:t>
      </w:r>
      <w:r>
        <w:rPr>
          <w:rFonts w:hint="eastAsia" w:ascii="仿宋_GB2312" w:hAnsi="宋体"/>
          <w:sz w:val="32"/>
          <w:szCs w:val="28"/>
          <w:lang w:val="en-US" w:eastAsia="zh-CN"/>
        </w:rPr>
        <w:t>栽培</w:t>
      </w:r>
      <w:r>
        <w:rPr>
          <w:rFonts w:hint="eastAsia" w:ascii="仿宋_GB2312" w:hAnsi="宋体" w:eastAsia="仿宋_GB2312"/>
          <w:sz w:val="32"/>
          <w:szCs w:val="28"/>
        </w:rPr>
        <w:t>理念以及市场需求，</w:t>
      </w:r>
      <w:r>
        <w:rPr>
          <w:rFonts w:hint="eastAsia" w:ascii="仿宋_GB2312" w:hAnsi="宋体" w:eastAsia="仿宋_GB2312"/>
          <w:sz w:val="32"/>
          <w:szCs w:val="28"/>
          <w:lang w:val="en-US" w:eastAsia="zh-CN"/>
        </w:rPr>
        <w:t>归纳收集多年各林场</w:t>
      </w:r>
      <w:r>
        <w:rPr>
          <w:rFonts w:hint="eastAsia" w:ascii="仿宋_GB2312" w:hAnsi="宋体"/>
          <w:sz w:val="32"/>
          <w:szCs w:val="28"/>
          <w:lang w:val="en-US" w:eastAsia="zh-CN"/>
        </w:rPr>
        <w:t>中</w:t>
      </w:r>
      <w:r>
        <w:rPr>
          <w:rFonts w:hint="eastAsia" w:ascii="仿宋_GB2312" w:hAnsi="宋体" w:eastAsia="仿宋_GB2312"/>
          <w:sz w:val="32"/>
          <w:szCs w:val="28"/>
          <w:lang w:val="en-US" w:eastAsia="zh-CN"/>
        </w:rPr>
        <w:t>香子含笑的种植地理位置选择、幼苗及成林抚育、病虫害防治等管理经验</w:t>
      </w:r>
      <w:r>
        <w:rPr>
          <w:rFonts w:hint="eastAsia" w:ascii="仿宋_GB2312" w:hAnsi="宋体" w:eastAsia="仿宋_GB2312"/>
          <w:sz w:val="32"/>
          <w:szCs w:val="28"/>
        </w:rPr>
        <w:t>，</w:t>
      </w:r>
      <w:r>
        <w:rPr>
          <w:rFonts w:hint="eastAsia" w:ascii="仿宋_GB2312" w:hAnsi="宋体"/>
          <w:sz w:val="32"/>
          <w:szCs w:val="28"/>
          <w:lang w:val="en-US" w:eastAsia="zh-CN"/>
        </w:rPr>
        <w:t>不仅</w:t>
      </w:r>
      <w:r>
        <w:rPr>
          <w:rFonts w:hint="eastAsia" w:ascii="仿宋_GB2312" w:hAnsi="宋体" w:eastAsia="仿宋_GB2312"/>
          <w:sz w:val="32"/>
          <w:szCs w:val="28"/>
        </w:rPr>
        <w:t>规定了常规的除草、施肥时间与频率，还针对不同生长阶段设置了差异化的施肥方法</w:t>
      </w:r>
      <w:r>
        <w:rPr>
          <w:rFonts w:hint="eastAsia" w:ascii="仿宋_GB2312" w:hAnsi="宋体" w:eastAsia="仿宋_GB2312"/>
          <w:sz w:val="32"/>
          <w:szCs w:val="28"/>
          <w:lang w:eastAsia="zh-CN"/>
        </w:rPr>
        <w:t>。</w:t>
      </w:r>
    </w:p>
    <w:p w14:paraId="2C6504B2">
      <w:pPr>
        <w:keepNext w:val="0"/>
        <w:keepLines w:val="0"/>
        <w:pageBreakBefore w:val="0"/>
        <w:kinsoku/>
        <w:overflowPunct/>
        <w:topLinePunct w:val="0"/>
        <w:bidi w:val="0"/>
        <w:ind w:firstLine="640" w:firstLineChars="200"/>
        <w:rPr>
          <w:rFonts w:hint="eastAsia" w:ascii="仿宋_GB2312" w:hAnsi="宋体" w:eastAsia="仿宋_GB2312"/>
          <w:sz w:val="32"/>
          <w:szCs w:val="28"/>
          <w:lang w:eastAsia="zh-CN"/>
        </w:rPr>
      </w:pPr>
      <w:r>
        <w:rPr>
          <w:rFonts w:hint="eastAsia" w:ascii="仿宋_GB2312" w:hAnsi="宋体"/>
          <w:sz w:val="32"/>
          <w:szCs w:val="28"/>
          <w:lang w:val="en-US" w:eastAsia="zh-CN"/>
        </w:rPr>
        <w:t>（2）在</w:t>
      </w:r>
      <w:r>
        <w:rPr>
          <w:rFonts w:hint="eastAsia" w:ascii="仿宋_GB2312" w:hAnsi="宋体" w:eastAsia="仿宋_GB2312"/>
          <w:sz w:val="32"/>
          <w:szCs w:val="28"/>
          <w:lang w:eastAsia="zh-CN"/>
        </w:rPr>
        <w:t>整地规格、基肥种类与用量、栽植密度等</w:t>
      </w:r>
      <w:r>
        <w:rPr>
          <w:rFonts w:hint="eastAsia" w:ascii="仿宋_GB2312" w:hAnsi="宋体"/>
          <w:sz w:val="32"/>
          <w:szCs w:val="28"/>
          <w:lang w:val="en-US" w:eastAsia="zh-CN"/>
        </w:rPr>
        <w:t>关键环节，</w:t>
      </w:r>
      <w:r>
        <w:rPr>
          <w:rFonts w:hint="eastAsia" w:ascii="仿宋_GB2312" w:hAnsi="宋体" w:eastAsia="仿宋_GB2312"/>
          <w:sz w:val="32"/>
          <w:szCs w:val="28"/>
          <w:lang w:eastAsia="zh-CN"/>
        </w:rPr>
        <w:t>将一线生产经验与科学研究相结合</w:t>
      </w:r>
      <w:r>
        <w:rPr>
          <w:rFonts w:hint="eastAsia" w:ascii="仿宋_GB2312" w:hAnsi="宋体"/>
          <w:sz w:val="32"/>
          <w:szCs w:val="28"/>
          <w:lang w:eastAsia="zh-CN"/>
        </w:rPr>
        <w:t>，</w:t>
      </w:r>
      <w:r>
        <w:rPr>
          <w:rFonts w:hint="eastAsia" w:ascii="仿宋_GB2312" w:hAnsi="宋体"/>
          <w:sz w:val="32"/>
          <w:szCs w:val="28"/>
          <w:lang w:val="en-US" w:eastAsia="zh-CN"/>
        </w:rPr>
        <w:t>更新</w:t>
      </w:r>
      <w:r>
        <w:rPr>
          <w:rFonts w:hint="eastAsia" w:ascii="仿宋_GB2312" w:hAnsi="宋体" w:eastAsia="仿宋_GB2312"/>
          <w:sz w:val="32"/>
          <w:szCs w:val="28"/>
          <w:lang w:eastAsia="zh-CN"/>
        </w:rPr>
        <w:t>植穴规格、施肥配方、株行距等</w:t>
      </w:r>
      <w:r>
        <w:rPr>
          <w:rFonts w:hint="eastAsia" w:ascii="仿宋_GB2312" w:hAnsi="宋体"/>
          <w:sz w:val="32"/>
          <w:szCs w:val="28"/>
          <w:lang w:val="en-US" w:eastAsia="zh-CN"/>
        </w:rPr>
        <w:t>要求</w:t>
      </w:r>
      <w:r>
        <w:rPr>
          <w:rFonts w:hint="eastAsia" w:ascii="仿宋_GB2312" w:hAnsi="宋体" w:eastAsia="仿宋_GB2312"/>
          <w:sz w:val="32"/>
          <w:szCs w:val="28"/>
          <w:lang w:eastAsia="zh-CN"/>
        </w:rPr>
        <w:t>。</w:t>
      </w:r>
    </w:p>
    <w:p w14:paraId="54E6EF78">
      <w:pPr>
        <w:keepNext w:val="0"/>
        <w:keepLines w:val="0"/>
        <w:pageBreakBefore w:val="0"/>
        <w:kinsoku/>
        <w:overflowPunct/>
        <w:topLinePunct w:val="0"/>
        <w:bidi w:val="0"/>
        <w:ind w:firstLine="640" w:firstLineChars="200"/>
        <w:rPr>
          <w:rFonts w:hint="default" w:ascii="仿宋_GB2312" w:hAnsi="宋体" w:eastAsia="仿宋_GB2312"/>
          <w:sz w:val="32"/>
          <w:szCs w:val="28"/>
          <w:lang w:val="en-US" w:eastAsia="zh-CN"/>
        </w:rPr>
      </w:pPr>
      <w:r>
        <w:rPr>
          <w:rFonts w:hint="eastAsia" w:ascii="仿宋_GB2312" w:hAnsi="宋体"/>
          <w:sz w:val="32"/>
          <w:szCs w:val="28"/>
          <w:lang w:val="en-US" w:eastAsia="zh-CN"/>
        </w:rPr>
        <w:t>2、主体内容</w:t>
      </w:r>
    </w:p>
    <w:p w14:paraId="691B939C">
      <w:pPr>
        <w:keepNext w:val="0"/>
        <w:keepLines w:val="0"/>
        <w:pageBreakBefore w:val="0"/>
        <w:kinsoku/>
        <w:overflowPunct/>
        <w:topLinePunct w:val="0"/>
        <w:bidi w:val="0"/>
        <w:ind w:firstLine="640" w:firstLineChars="200"/>
        <w:rPr>
          <w:rFonts w:ascii="仿宋_GB2312" w:hAnsi="宋体" w:eastAsia="仿宋_GB2312"/>
          <w:sz w:val="30"/>
          <w:szCs w:val="30"/>
          <w:highlight w:val="none"/>
        </w:rPr>
      </w:pPr>
      <w:r>
        <w:rPr>
          <w:rFonts w:hint="eastAsia" w:ascii="仿宋_GB2312" w:hAnsi="宋体" w:eastAsia="仿宋_GB2312"/>
          <w:sz w:val="32"/>
          <w:szCs w:val="28"/>
        </w:rPr>
        <w:t>标准编制工作组在对收集的资料进行整理研究之后，标准编制工作组召开了标准编制会议，对标准的整体框架结构进行了研究，并对标</w:t>
      </w:r>
      <w:r>
        <w:rPr>
          <w:rFonts w:hint="eastAsia" w:ascii="仿宋_GB2312" w:hAnsi="宋体" w:eastAsia="仿宋_GB2312"/>
          <w:sz w:val="30"/>
          <w:szCs w:val="30"/>
          <w:highlight w:val="none"/>
        </w:rPr>
        <w:t>准的关键性内容进行了初步探讨。经过研究，标准的主体内容确定为林地选择与规划、苗木选择、苗木栽植、抚育管理、病虫害防治、采伐更新。</w:t>
      </w:r>
    </w:p>
    <w:p w14:paraId="61FABD75">
      <w:pPr>
        <w:keepNext w:val="0"/>
        <w:keepLines w:val="0"/>
        <w:pageBreakBefore w:val="0"/>
        <w:kinsoku/>
        <w:overflowPunct/>
        <w:topLinePunct w:val="0"/>
        <w:bidi w:val="0"/>
        <w:spacing w:line="560" w:lineRule="exact"/>
        <w:ind w:firstLine="643" w:firstLineChars="200"/>
        <w:rPr>
          <w:rFonts w:ascii="楷体" w:hAnsi="楷体" w:eastAsia="楷体" w:cs="仿宋_GB2312"/>
          <w:b/>
          <w:sz w:val="32"/>
          <w:szCs w:val="28"/>
        </w:rPr>
      </w:pPr>
      <w:r>
        <w:rPr>
          <w:rFonts w:hint="eastAsia" w:ascii="楷体" w:hAnsi="楷体" w:eastAsia="楷体" w:cs="仿宋_GB2312"/>
          <w:b/>
          <w:sz w:val="32"/>
          <w:szCs w:val="28"/>
        </w:rPr>
        <w:t>（四）调研及形成草案、征求意见稿</w:t>
      </w:r>
    </w:p>
    <w:p w14:paraId="6B432005">
      <w:pPr>
        <w:keepNext w:val="0"/>
        <w:keepLines w:val="0"/>
        <w:pageBreakBefore w:val="0"/>
        <w:kinsoku/>
        <w:overflowPunct/>
        <w:topLinePunct w:val="0"/>
        <w:bidi w:val="0"/>
        <w:ind w:firstLine="640" w:firstLineChars="200"/>
        <w:rPr>
          <w:rFonts w:hint="eastAsia" w:ascii="仿宋_GB2312" w:hAnsi="宋体"/>
          <w:sz w:val="32"/>
          <w:szCs w:val="28"/>
          <w:lang w:eastAsia="zh-CN"/>
        </w:rPr>
      </w:pPr>
      <w:r>
        <w:rPr>
          <w:rFonts w:hint="eastAsia" w:ascii="仿宋_GB2312" w:hAnsi="宋体"/>
          <w:sz w:val="32"/>
          <w:szCs w:val="28"/>
          <w:lang w:eastAsia="zh-CN"/>
        </w:rPr>
        <w:t>20</w:t>
      </w:r>
      <w:r>
        <w:rPr>
          <w:rFonts w:hint="eastAsia" w:ascii="仿宋_GB2312" w:hAnsi="宋体"/>
          <w:sz w:val="32"/>
          <w:szCs w:val="28"/>
          <w:lang w:val="en-US" w:eastAsia="zh-CN"/>
        </w:rPr>
        <w:t>25</w:t>
      </w:r>
      <w:r>
        <w:rPr>
          <w:rFonts w:hint="eastAsia" w:ascii="仿宋_GB2312" w:hAnsi="宋体"/>
          <w:sz w:val="32"/>
          <w:szCs w:val="28"/>
          <w:lang w:eastAsia="zh-CN"/>
        </w:rPr>
        <w:t>年</w:t>
      </w:r>
      <w:r>
        <w:rPr>
          <w:rFonts w:hint="eastAsia" w:ascii="仿宋_GB2312" w:hAnsi="宋体"/>
          <w:sz w:val="32"/>
          <w:szCs w:val="28"/>
          <w:lang w:val="en-US" w:eastAsia="zh-CN"/>
        </w:rPr>
        <w:t>6</w:t>
      </w:r>
      <w:r>
        <w:rPr>
          <w:rFonts w:hint="eastAsia" w:ascii="仿宋_GB2312" w:hAnsi="宋体"/>
          <w:sz w:val="32"/>
          <w:szCs w:val="28"/>
          <w:lang w:eastAsia="zh-CN"/>
        </w:rPr>
        <w:t>月，标准起草工作小组进行了广泛调研工作，查阅了大量的国内外文献资料，对</w:t>
      </w:r>
      <w:r>
        <w:rPr>
          <w:rFonts w:hint="eastAsia" w:ascii="仿宋_GB2312" w:hAnsi="宋体"/>
          <w:sz w:val="32"/>
          <w:szCs w:val="28"/>
          <w:lang w:val="en-US" w:eastAsia="zh-CN"/>
        </w:rPr>
        <w:t>香子含笑培育</w:t>
      </w:r>
      <w:r>
        <w:rPr>
          <w:rFonts w:hint="eastAsia" w:ascii="仿宋_GB2312" w:hAnsi="宋体"/>
          <w:sz w:val="32"/>
          <w:szCs w:val="28"/>
          <w:lang w:eastAsia="zh-CN"/>
        </w:rPr>
        <w:t>的前人研究成果进行系统总结。形成了标准的基本构架，对主要内容进行了讨论并对项目的工作进行了部署和安排。</w:t>
      </w:r>
    </w:p>
    <w:p w14:paraId="09305CF3">
      <w:pPr>
        <w:keepNext w:val="0"/>
        <w:keepLines w:val="0"/>
        <w:pageBreakBefore w:val="0"/>
        <w:kinsoku/>
        <w:overflowPunct/>
        <w:topLinePunct w:val="0"/>
        <w:bidi w:val="0"/>
        <w:ind w:firstLine="640" w:firstLineChars="200"/>
        <w:rPr>
          <w:rFonts w:hint="eastAsia" w:ascii="仿宋_GB2312" w:hAnsi="宋体"/>
          <w:sz w:val="32"/>
          <w:szCs w:val="28"/>
          <w:lang w:eastAsia="zh-CN"/>
        </w:rPr>
      </w:pPr>
      <w:r>
        <w:rPr>
          <w:rFonts w:hint="eastAsia" w:ascii="仿宋_GB2312" w:hAnsi="宋体"/>
          <w:sz w:val="32"/>
          <w:szCs w:val="28"/>
          <w:lang w:eastAsia="zh-CN"/>
        </w:rPr>
        <w:t>20</w:t>
      </w:r>
      <w:r>
        <w:rPr>
          <w:rFonts w:hint="eastAsia" w:ascii="仿宋_GB2312" w:hAnsi="宋体"/>
          <w:sz w:val="32"/>
          <w:szCs w:val="28"/>
          <w:lang w:val="en-US" w:eastAsia="zh-CN"/>
        </w:rPr>
        <w:t>25</w:t>
      </w:r>
      <w:r>
        <w:rPr>
          <w:rFonts w:hint="eastAsia" w:ascii="仿宋_GB2312" w:hAnsi="宋体"/>
          <w:sz w:val="32"/>
          <w:szCs w:val="28"/>
          <w:lang w:eastAsia="zh-CN"/>
        </w:rPr>
        <w:t>年</w:t>
      </w:r>
      <w:r>
        <w:rPr>
          <w:rFonts w:hint="eastAsia" w:ascii="仿宋_GB2312" w:hAnsi="宋体"/>
          <w:sz w:val="32"/>
          <w:szCs w:val="28"/>
          <w:lang w:val="en-US" w:eastAsia="zh-CN"/>
        </w:rPr>
        <w:t>7</w:t>
      </w:r>
      <w:r>
        <w:rPr>
          <w:rFonts w:hint="eastAsia" w:ascii="仿宋_GB2312" w:hAnsi="宋体"/>
          <w:sz w:val="32"/>
          <w:szCs w:val="28"/>
          <w:lang w:eastAsia="zh-CN"/>
        </w:rPr>
        <w:t>月，广西大学、广西壮族自治区国有高峰林场、广西壮族自治区国有七坡林场等单位在前期工作的基础之上，通过理清逻辑脉络，整合已有的参考资料中有关</w:t>
      </w:r>
      <w:r>
        <w:rPr>
          <w:rFonts w:hint="eastAsia" w:ascii="仿宋_GB2312" w:hAnsi="宋体"/>
          <w:sz w:val="32"/>
          <w:szCs w:val="28"/>
          <w:lang w:val="en-US" w:eastAsia="zh-CN"/>
        </w:rPr>
        <w:t>香子含笑培育</w:t>
      </w:r>
      <w:r>
        <w:rPr>
          <w:rFonts w:hint="eastAsia" w:ascii="仿宋_GB2312" w:hAnsi="宋体"/>
          <w:sz w:val="32"/>
          <w:szCs w:val="28"/>
          <w:lang w:eastAsia="zh-CN"/>
        </w:rPr>
        <w:t>要求，并结合</w:t>
      </w:r>
      <w:r>
        <w:rPr>
          <w:rFonts w:hint="eastAsia" w:ascii="仿宋_GB2312" w:hAnsi="宋体"/>
          <w:sz w:val="32"/>
          <w:szCs w:val="28"/>
          <w:lang w:val="en-US" w:eastAsia="zh-CN"/>
        </w:rPr>
        <w:t>香子含笑培育</w:t>
      </w:r>
      <w:r>
        <w:rPr>
          <w:rFonts w:hint="eastAsia" w:ascii="仿宋_GB2312" w:hAnsi="宋体"/>
          <w:sz w:val="32"/>
          <w:szCs w:val="28"/>
          <w:lang w:eastAsia="zh-CN"/>
        </w:rPr>
        <w:t>实际要求的基础上，按照简化、统一等原则编制完成团体标准《</w:t>
      </w:r>
      <w:r>
        <w:rPr>
          <w:rFonts w:hint="eastAsia" w:ascii="仿宋_GB2312" w:hAnsi="宋体"/>
          <w:sz w:val="32"/>
          <w:szCs w:val="28"/>
          <w:lang w:val="en-US" w:eastAsia="zh-CN"/>
        </w:rPr>
        <w:t>香子含笑培育技术规程</w:t>
      </w:r>
      <w:r>
        <w:rPr>
          <w:rFonts w:hint="eastAsia" w:ascii="仿宋_GB2312" w:hAnsi="宋体"/>
          <w:sz w:val="32"/>
          <w:szCs w:val="28"/>
          <w:lang w:eastAsia="zh-CN"/>
        </w:rPr>
        <w:t>》（草案）。</w:t>
      </w:r>
    </w:p>
    <w:p w14:paraId="1F6A96F1">
      <w:pPr>
        <w:keepNext w:val="0"/>
        <w:keepLines w:val="0"/>
        <w:pageBreakBefore w:val="0"/>
        <w:kinsoku/>
        <w:overflowPunct/>
        <w:topLinePunct w:val="0"/>
        <w:bidi w:val="0"/>
        <w:ind w:firstLine="640" w:firstLineChars="200"/>
        <w:rPr>
          <w:rFonts w:hint="eastAsia" w:ascii="仿宋_GB2312" w:hAnsi="宋体"/>
          <w:sz w:val="32"/>
          <w:szCs w:val="28"/>
          <w:lang w:eastAsia="zh-CN"/>
        </w:rPr>
      </w:pPr>
      <w:r>
        <w:rPr>
          <w:rFonts w:hint="eastAsia" w:ascii="仿宋_GB2312" w:hAnsi="宋体"/>
          <w:sz w:val="32"/>
          <w:szCs w:val="28"/>
          <w:lang w:eastAsia="zh-CN"/>
        </w:rPr>
        <w:t>20</w:t>
      </w:r>
      <w:r>
        <w:rPr>
          <w:rFonts w:hint="eastAsia" w:ascii="仿宋_GB2312" w:hAnsi="宋体"/>
          <w:sz w:val="32"/>
          <w:szCs w:val="28"/>
          <w:lang w:val="en-US" w:eastAsia="zh-CN"/>
        </w:rPr>
        <w:t>25</w:t>
      </w:r>
      <w:r>
        <w:rPr>
          <w:rFonts w:hint="eastAsia" w:ascii="仿宋_GB2312" w:hAnsi="宋体"/>
          <w:sz w:val="32"/>
          <w:szCs w:val="28"/>
          <w:lang w:eastAsia="zh-CN"/>
        </w:rPr>
        <w:t>年</w:t>
      </w:r>
      <w:r>
        <w:rPr>
          <w:rFonts w:hint="eastAsia" w:ascii="仿宋_GB2312" w:hAnsi="宋体"/>
          <w:sz w:val="32"/>
          <w:szCs w:val="28"/>
          <w:lang w:val="en-US" w:eastAsia="zh-CN"/>
        </w:rPr>
        <w:t>8</w:t>
      </w:r>
      <w:r>
        <w:rPr>
          <w:rFonts w:hint="eastAsia" w:ascii="仿宋_GB2312" w:hAnsi="宋体"/>
          <w:sz w:val="32"/>
          <w:szCs w:val="28"/>
          <w:lang w:eastAsia="zh-CN"/>
        </w:rPr>
        <w:t>月，标准起草工作组广西大学、广西壮族自治区国有高峰林场、广西壮族自治区国有七坡林场</w:t>
      </w:r>
      <w:r>
        <w:rPr>
          <w:rFonts w:hint="eastAsia" w:ascii="仿宋_GB2312" w:hAnsi="宋体"/>
          <w:sz w:val="32"/>
          <w:szCs w:val="28"/>
          <w:lang w:val="en-US" w:eastAsia="zh-CN"/>
        </w:rPr>
        <w:t>等单位</w:t>
      </w:r>
      <w:r>
        <w:rPr>
          <w:rFonts w:hint="eastAsia" w:ascii="仿宋_GB2312" w:hAnsi="宋体"/>
          <w:sz w:val="32"/>
          <w:szCs w:val="28"/>
          <w:lang w:eastAsia="zh-CN"/>
        </w:rPr>
        <w:t>到相关单位和科研机构进行调研，开展试验验证。并实际征求意见，通过收集反馈了大量意见，标准编制工作组多次召开会议，对标准草案进行了反复修改和研究讨论。</w:t>
      </w:r>
      <w:r>
        <w:rPr>
          <w:rFonts w:hint="eastAsia" w:ascii="仿宋_GB2312" w:hAnsi="宋体"/>
          <w:sz w:val="32"/>
          <w:szCs w:val="28"/>
          <w:lang w:val="en-US" w:eastAsia="zh-CN"/>
        </w:rPr>
        <w:t>2025年8月29日各起草单位在广西大学林学院</w:t>
      </w:r>
      <w:r>
        <w:rPr>
          <w:rFonts w:hint="eastAsia" w:ascii="仿宋_GB2312" w:hAnsi="宋体"/>
          <w:sz w:val="32"/>
          <w:szCs w:val="28"/>
          <w:lang w:eastAsia="zh-CN"/>
        </w:rPr>
        <w:t>进一步讨论完善标准草案，形成团体标准《</w:t>
      </w:r>
      <w:r>
        <w:rPr>
          <w:rFonts w:hint="eastAsia" w:ascii="仿宋_GB2312" w:hAnsi="宋体"/>
          <w:sz w:val="32"/>
          <w:szCs w:val="28"/>
          <w:lang w:val="en-US" w:eastAsia="zh-CN"/>
        </w:rPr>
        <w:t>香子含笑培育技术规程</w:t>
      </w:r>
      <w:r>
        <w:rPr>
          <w:rFonts w:hint="eastAsia" w:ascii="仿宋_GB2312" w:hAnsi="宋体"/>
          <w:sz w:val="32"/>
          <w:szCs w:val="28"/>
          <w:lang w:eastAsia="zh-CN"/>
        </w:rPr>
        <w:t>》（征求意见稿）和（征求意见稿）编制说明。</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7"/>
        <w:gridCol w:w="4587"/>
      </w:tblGrid>
      <w:tr w14:paraId="6ACA8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7" w:type="dxa"/>
            <w:vAlign w:val="center"/>
          </w:tcPr>
          <w:p w14:paraId="5BA70A7D">
            <w:pPr>
              <w:pStyle w:val="2"/>
              <w:keepNext w:val="0"/>
              <w:keepLines w:val="0"/>
              <w:pageBreakBefore w:val="0"/>
              <w:suppressLineNumbers w:val="0"/>
              <w:kinsoku/>
              <w:overflowPunct/>
              <w:topLinePunct w:val="0"/>
              <w:bidi w:val="0"/>
              <w:spacing w:before="0" w:beforeAutospacing="0" w:after="0" w:afterAutospacing="0"/>
              <w:ind w:left="0" w:right="0"/>
              <w:jc w:val="center"/>
              <w:rPr>
                <w:rFonts w:hint="eastAsia" w:eastAsia="宋体"/>
                <w:vertAlign w:val="baseline"/>
                <w:lang w:eastAsia="zh-CN"/>
              </w:rPr>
            </w:pPr>
            <w:r>
              <w:rPr>
                <w:rFonts w:hint="eastAsia" w:eastAsia="宋体"/>
                <w:vertAlign w:val="baseline"/>
                <w:lang w:eastAsia="zh-CN"/>
              </w:rPr>
              <w:drawing>
                <wp:inline distT="0" distB="0" distL="114300" distR="114300">
                  <wp:extent cx="2567940" cy="1443990"/>
                  <wp:effectExtent l="0" t="0" r="3810" b="3810"/>
                  <wp:docPr id="2" name="图片 2" descr="8232aed21f04a146a3441908c0eac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232aed21f04a146a3441908c0eac6fd"/>
                          <pic:cNvPicPr>
                            <a:picLocks noChangeAspect="1"/>
                          </pic:cNvPicPr>
                        </pic:nvPicPr>
                        <pic:blipFill>
                          <a:blip r:embed="rId7"/>
                          <a:stretch>
                            <a:fillRect/>
                          </a:stretch>
                        </pic:blipFill>
                        <pic:spPr>
                          <a:xfrm>
                            <a:off x="0" y="0"/>
                            <a:ext cx="2567940" cy="1443990"/>
                          </a:xfrm>
                          <a:prstGeom prst="rect">
                            <a:avLst/>
                          </a:prstGeom>
                        </pic:spPr>
                      </pic:pic>
                    </a:graphicData>
                  </a:graphic>
                </wp:inline>
              </w:drawing>
            </w:r>
          </w:p>
        </w:tc>
        <w:tc>
          <w:tcPr>
            <w:tcW w:w="4587" w:type="dxa"/>
            <w:vAlign w:val="center"/>
          </w:tcPr>
          <w:p w14:paraId="3CB78127">
            <w:pPr>
              <w:pStyle w:val="2"/>
              <w:keepNext w:val="0"/>
              <w:keepLines w:val="0"/>
              <w:pageBreakBefore w:val="0"/>
              <w:suppressLineNumbers w:val="0"/>
              <w:kinsoku/>
              <w:overflowPunct/>
              <w:topLinePunct w:val="0"/>
              <w:bidi w:val="0"/>
              <w:spacing w:before="0" w:beforeAutospacing="0" w:after="0" w:afterAutospacing="0"/>
              <w:ind w:left="0" w:right="0"/>
              <w:jc w:val="center"/>
              <w:rPr>
                <w:rFonts w:hint="eastAsia" w:eastAsia="宋体"/>
                <w:vertAlign w:val="baseline"/>
                <w:lang w:eastAsia="zh-CN"/>
              </w:rPr>
            </w:pPr>
            <w:r>
              <w:rPr>
                <w:rFonts w:hint="eastAsia" w:eastAsia="宋体"/>
                <w:vertAlign w:val="baseline"/>
                <w:lang w:eastAsia="zh-CN"/>
              </w:rPr>
              <w:drawing>
                <wp:inline distT="0" distB="0" distL="114300" distR="114300">
                  <wp:extent cx="2652395" cy="1491615"/>
                  <wp:effectExtent l="0" t="0" r="14605" b="13335"/>
                  <wp:docPr id="3" name="图片 3" descr="3a0ebd644017025d19c2217510655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a0ebd644017025d19c22175106557d2"/>
                          <pic:cNvPicPr>
                            <a:picLocks noChangeAspect="1"/>
                          </pic:cNvPicPr>
                        </pic:nvPicPr>
                        <pic:blipFill>
                          <a:blip r:embed="rId8"/>
                          <a:stretch>
                            <a:fillRect/>
                          </a:stretch>
                        </pic:blipFill>
                        <pic:spPr>
                          <a:xfrm>
                            <a:off x="0" y="0"/>
                            <a:ext cx="2652395" cy="1491615"/>
                          </a:xfrm>
                          <a:prstGeom prst="rect">
                            <a:avLst/>
                          </a:prstGeom>
                        </pic:spPr>
                      </pic:pic>
                    </a:graphicData>
                  </a:graphic>
                </wp:inline>
              </w:drawing>
            </w:r>
          </w:p>
        </w:tc>
      </w:tr>
      <w:tr w14:paraId="303DC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174" w:type="dxa"/>
            <w:gridSpan w:val="2"/>
            <w:vAlign w:val="center"/>
          </w:tcPr>
          <w:p w14:paraId="6BD9ABE0">
            <w:pPr>
              <w:pStyle w:val="2"/>
              <w:keepNext w:val="0"/>
              <w:keepLines w:val="0"/>
              <w:pageBreakBefore w:val="0"/>
              <w:suppressLineNumbers w:val="0"/>
              <w:kinsoku/>
              <w:overflowPunct/>
              <w:topLinePunct w:val="0"/>
              <w:bidi w:val="0"/>
              <w:spacing w:before="0" w:beforeAutospacing="0" w:after="0" w:afterAutospacing="0"/>
              <w:ind w:left="0" w:right="0"/>
              <w:jc w:val="center"/>
              <w:rPr>
                <w:rFonts w:hint="default" w:eastAsia="宋体"/>
                <w:vertAlign w:val="baseline"/>
                <w:lang w:val="en-US" w:eastAsia="zh-CN"/>
              </w:rPr>
            </w:pPr>
            <w:r>
              <w:rPr>
                <w:rFonts w:hint="eastAsia"/>
                <w:vertAlign w:val="baseline"/>
                <w:lang w:val="en-US" w:eastAsia="zh-CN"/>
              </w:rPr>
              <w:t>图1  座谈会现场</w:t>
            </w:r>
          </w:p>
        </w:tc>
      </w:tr>
    </w:tbl>
    <w:p w14:paraId="75B8AB37">
      <w:pPr>
        <w:pStyle w:val="2"/>
        <w:rPr>
          <w:rFonts w:hint="eastAsia"/>
          <w:lang w:eastAsia="zh-CN"/>
        </w:rPr>
      </w:pPr>
    </w:p>
    <w:p w14:paraId="3B832357">
      <w:pPr>
        <w:keepNext w:val="0"/>
        <w:keepLines w:val="0"/>
        <w:pageBreakBefore w:val="0"/>
        <w:kinsoku/>
        <w:overflowPunct/>
        <w:topLinePunct w:val="0"/>
        <w:autoSpaceDE w:val="0"/>
        <w:autoSpaceDN w:val="0"/>
        <w:bidi w:val="0"/>
        <w:adjustRightInd w:val="0"/>
        <w:jc w:val="left"/>
        <w:rPr>
          <w:rFonts w:eastAsia="黑体"/>
          <w:bCs/>
          <w:sz w:val="32"/>
          <w:szCs w:val="32"/>
        </w:rPr>
      </w:pPr>
      <w:bookmarkStart w:id="0" w:name="_Toc526940083"/>
      <w:r>
        <w:rPr>
          <w:rFonts w:eastAsia="黑体"/>
          <w:bCs/>
          <w:sz w:val="32"/>
          <w:szCs w:val="32"/>
        </w:rPr>
        <w:t>四、</w:t>
      </w:r>
      <w:bookmarkEnd w:id="0"/>
      <w:r>
        <w:rPr>
          <w:rFonts w:eastAsia="黑体"/>
          <w:bCs/>
          <w:sz w:val="32"/>
          <w:szCs w:val="32"/>
        </w:rPr>
        <w:t>制定标准的原则和依据，与现行法律、法规的关系，与有关国家标准、行业标准的协调情况</w:t>
      </w:r>
    </w:p>
    <w:p w14:paraId="30EFA250">
      <w:pPr>
        <w:pStyle w:val="13"/>
        <w:keepNext w:val="0"/>
        <w:keepLines w:val="0"/>
        <w:pageBreakBefore w:val="0"/>
        <w:kinsoku/>
        <w:overflowPunct/>
        <w:topLinePunct w:val="0"/>
        <w:bidi w:val="0"/>
        <w:spacing w:line="560" w:lineRule="exact"/>
        <w:ind w:firstLine="0" w:firstLineChars="0"/>
        <w:outlineLvl w:val="1"/>
        <w:rPr>
          <w:rFonts w:ascii="Times New Roman" w:eastAsia="仿宋"/>
          <w:b/>
          <w:bCs/>
          <w:sz w:val="32"/>
          <w:szCs w:val="32"/>
        </w:rPr>
      </w:pPr>
      <w:r>
        <w:rPr>
          <w:rFonts w:ascii="Times New Roman" w:eastAsia="仿宋"/>
          <w:b/>
          <w:bCs/>
          <w:sz w:val="32"/>
          <w:szCs w:val="32"/>
        </w:rPr>
        <w:t>（一）编制原则</w:t>
      </w:r>
    </w:p>
    <w:p w14:paraId="7432AB81">
      <w:pPr>
        <w:keepNext w:val="0"/>
        <w:keepLines w:val="0"/>
        <w:pageBreakBefore w:val="0"/>
        <w:tabs>
          <w:tab w:val="center" w:pos="4201"/>
          <w:tab w:val="right" w:leader="dot" w:pos="9298"/>
        </w:tabs>
        <w:kinsoku/>
        <w:overflowPunct/>
        <w:topLinePunct w:val="0"/>
        <w:autoSpaceDE w:val="0"/>
        <w:autoSpaceDN w:val="0"/>
        <w:bidi w:val="0"/>
        <w:ind w:firstLine="643"/>
        <w:outlineLvl w:val="2"/>
        <w:rPr>
          <w:rFonts w:eastAsia="仿宋"/>
          <w:b/>
          <w:bCs/>
          <w:kern w:val="0"/>
          <w:sz w:val="32"/>
          <w:szCs w:val="32"/>
        </w:rPr>
      </w:pPr>
      <w:r>
        <w:rPr>
          <w:rFonts w:eastAsia="仿宋"/>
          <w:b/>
          <w:bCs/>
          <w:kern w:val="0"/>
          <w:sz w:val="32"/>
          <w:szCs w:val="32"/>
        </w:rPr>
        <w:t>1、实用性原则</w:t>
      </w:r>
    </w:p>
    <w:p w14:paraId="096AD80F">
      <w:pPr>
        <w:keepNext w:val="0"/>
        <w:keepLines w:val="0"/>
        <w:pageBreakBefore w:val="0"/>
        <w:kinsoku/>
        <w:overflowPunct/>
        <w:topLinePunct w:val="0"/>
        <w:bidi w:val="0"/>
        <w:ind w:firstLine="640" w:firstLineChars="200"/>
        <w:rPr>
          <w:rFonts w:ascii="仿宋_GB2312" w:hAnsi="宋体" w:eastAsia="仿宋_GB2312"/>
          <w:sz w:val="32"/>
          <w:szCs w:val="28"/>
        </w:rPr>
      </w:pPr>
      <w:r>
        <w:rPr>
          <w:rFonts w:hint="eastAsia" w:ascii="仿宋_GB2312" w:hAnsi="宋体" w:eastAsia="仿宋_GB2312"/>
          <w:sz w:val="32"/>
          <w:szCs w:val="28"/>
        </w:rPr>
        <w:t>本文件是在充分收集相关资料和文献，分析</w:t>
      </w:r>
      <w:r>
        <w:rPr>
          <w:rFonts w:hint="eastAsia" w:ascii="仿宋_GB2312" w:hAnsi="宋体"/>
          <w:sz w:val="32"/>
          <w:szCs w:val="28"/>
          <w:lang w:val="en-US" w:eastAsia="zh-CN"/>
        </w:rPr>
        <w:t>香子含笑培育</w:t>
      </w:r>
      <w:r>
        <w:rPr>
          <w:rFonts w:hint="eastAsia" w:ascii="仿宋_GB2312" w:hAnsi="宋体" w:eastAsia="仿宋_GB2312"/>
          <w:sz w:val="32"/>
          <w:szCs w:val="28"/>
        </w:rPr>
        <w:t>当前现状，在现有相关</w:t>
      </w:r>
      <w:r>
        <w:rPr>
          <w:rFonts w:hint="eastAsia" w:ascii="仿宋_GB2312" w:hAnsi="宋体"/>
          <w:sz w:val="32"/>
          <w:szCs w:val="28"/>
          <w:lang w:val="en-US" w:eastAsia="zh-CN"/>
        </w:rPr>
        <w:t>香子含笑培育</w:t>
      </w:r>
      <w:r>
        <w:rPr>
          <w:rFonts w:hint="eastAsia" w:ascii="仿宋_GB2312" w:hAnsi="宋体" w:eastAsia="仿宋_GB2312"/>
          <w:sz w:val="32"/>
          <w:szCs w:val="28"/>
        </w:rPr>
        <w:t>要求的基础上，结合编制单位</w:t>
      </w:r>
      <w:r>
        <w:rPr>
          <w:rFonts w:ascii="仿宋_GB2312" w:hAnsi="宋体" w:eastAsia="仿宋_GB2312"/>
          <w:sz w:val="32"/>
          <w:szCs w:val="28"/>
        </w:rPr>
        <w:t>多年</w:t>
      </w:r>
      <w:r>
        <w:rPr>
          <w:rFonts w:hint="eastAsia" w:ascii="仿宋_GB2312" w:hAnsi="宋体" w:eastAsia="仿宋_GB2312"/>
          <w:sz w:val="32"/>
          <w:szCs w:val="28"/>
        </w:rPr>
        <w:t>相关经验而总结起草的，符合当前</w:t>
      </w:r>
      <w:r>
        <w:rPr>
          <w:rFonts w:hint="eastAsia" w:ascii="仿宋_GB2312" w:hAnsi="宋体"/>
          <w:sz w:val="32"/>
          <w:szCs w:val="28"/>
          <w:lang w:val="en-US" w:eastAsia="zh-CN"/>
        </w:rPr>
        <w:t>香子含笑培育工作发展</w:t>
      </w:r>
      <w:r>
        <w:rPr>
          <w:rFonts w:hint="eastAsia" w:ascii="仿宋_GB2312" w:hAnsi="宋体" w:eastAsia="仿宋_GB2312"/>
          <w:sz w:val="32"/>
          <w:szCs w:val="28"/>
        </w:rPr>
        <w:t>的方向，具有较强的实用性和可操作性。</w:t>
      </w:r>
    </w:p>
    <w:p w14:paraId="62EF7D35">
      <w:pPr>
        <w:keepNext w:val="0"/>
        <w:keepLines w:val="0"/>
        <w:pageBreakBefore w:val="0"/>
        <w:tabs>
          <w:tab w:val="center" w:pos="4201"/>
          <w:tab w:val="right" w:leader="dot" w:pos="9298"/>
        </w:tabs>
        <w:kinsoku/>
        <w:overflowPunct/>
        <w:topLinePunct w:val="0"/>
        <w:autoSpaceDE w:val="0"/>
        <w:autoSpaceDN w:val="0"/>
        <w:bidi w:val="0"/>
        <w:ind w:firstLine="643"/>
        <w:outlineLvl w:val="2"/>
        <w:rPr>
          <w:rFonts w:eastAsia="仿宋"/>
          <w:b/>
          <w:bCs/>
          <w:kern w:val="0"/>
          <w:sz w:val="32"/>
          <w:szCs w:val="32"/>
        </w:rPr>
      </w:pPr>
      <w:r>
        <w:rPr>
          <w:rFonts w:hint="eastAsia" w:eastAsia="仿宋"/>
          <w:b/>
          <w:bCs/>
          <w:kern w:val="0"/>
          <w:sz w:val="32"/>
          <w:szCs w:val="32"/>
        </w:rPr>
        <w:t>2、协调性原则</w:t>
      </w:r>
    </w:p>
    <w:p w14:paraId="18A33837">
      <w:pPr>
        <w:keepNext w:val="0"/>
        <w:keepLines w:val="0"/>
        <w:pageBreakBefore w:val="0"/>
        <w:kinsoku/>
        <w:overflowPunct/>
        <w:topLinePunct w:val="0"/>
        <w:bidi w:val="0"/>
        <w:ind w:firstLine="640" w:firstLineChars="200"/>
        <w:rPr>
          <w:rFonts w:ascii="仿宋_GB2312" w:hAnsi="宋体" w:eastAsia="仿宋_GB2312"/>
          <w:sz w:val="32"/>
          <w:szCs w:val="28"/>
        </w:rPr>
      </w:pPr>
      <w:r>
        <w:rPr>
          <w:rFonts w:hint="eastAsia" w:ascii="仿宋_GB2312" w:hAnsi="宋体" w:eastAsia="仿宋_GB2312"/>
          <w:sz w:val="32"/>
          <w:szCs w:val="28"/>
        </w:rPr>
        <w:t>本文件编写过程中注意了与</w:t>
      </w:r>
      <w:r>
        <w:rPr>
          <w:rFonts w:hint="eastAsia" w:ascii="仿宋_GB2312" w:hAnsi="宋体"/>
          <w:sz w:val="32"/>
          <w:szCs w:val="28"/>
          <w:lang w:val="en-US" w:eastAsia="zh-CN"/>
        </w:rPr>
        <w:t>香子含笑培育</w:t>
      </w:r>
      <w:r>
        <w:rPr>
          <w:rFonts w:hint="eastAsia" w:ascii="仿宋_GB2312" w:hAnsi="宋体" w:eastAsia="仿宋_GB2312"/>
          <w:sz w:val="32"/>
          <w:szCs w:val="28"/>
        </w:rPr>
        <w:t>相关法律法规的协调问题，在内容上与现行法律法规、标准协调一致。</w:t>
      </w:r>
    </w:p>
    <w:p w14:paraId="48B06747">
      <w:pPr>
        <w:keepNext w:val="0"/>
        <w:keepLines w:val="0"/>
        <w:pageBreakBefore w:val="0"/>
        <w:tabs>
          <w:tab w:val="center" w:pos="4201"/>
          <w:tab w:val="right" w:leader="dot" w:pos="9298"/>
        </w:tabs>
        <w:kinsoku/>
        <w:overflowPunct/>
        <w:topLinePunct w:val="0"/>
        <w:autoSpaceDE w:val="0"/>
        <w:autoSpaceDN w:val="0"/>
        <w:bidi w:val="0"/>
        <w:ind w:firstLine="643"/>
        <w:outlineLvl w:val="2"/>
        <w:rPr>
          <w:rFonts w:eastAsia="仿宋"/>
          <w:b/>
          <w:bCs/>
          <w:kern w:val="0"/>
          <w:sz w:val="32"/>
          <w:szCs w:val="32"/>
        </w:rPr>
      </w:pPr>
      <w:r>
        <w:rPr>
          <w:rFonts w:hint="eastAsia" w:eastAsia="仿宋"/>
          <w:b/>
          <w:bCs/>
          <w:kern w:val="0"/>
          <w:sz w:val="32"/>
          <w:szCs w:val="32"/>
        </w:rPr>
        <w:t>3、规范性原则</w:t>
      </w:r>
    </w:p>
    <w:p w14:paraId="3276EBB5">
      <w:pPr>
        <w:keepNext w:val="0"/>
        <w:keepLines w:val="0"/>
        <w:pageBreakBefore w:val="0"/>
        <w:kinsoku/>
        <w:overflowPunct/>
        <w:topLinePunct w:val="0"/>
        <w:bidi w:val="0"/>
        <w:ind w:firstLine="640" w:firstLineChars="200"/>
        <w:rPr>
          <w:rFonts w:ascii="仿宋_GB2312" w:hAnsi="宋体" w:eastAsia="仿宋_GB2312"/>
          <w:sz w:val="32"/>
          <w:szCs w:val="28"/>
        </w:rPr>
      </w:pPr>
      <w:r>
        <w:rPr>
          <w:rFonts w:hint="eastAsia" w:ascii="仿宋_GB2312" w:hAnsi="宋体" w:eastAsia="仿宋_GB2312"/>
          <w:sz w:val="32"/>
          <w:szCs w:val="28"/>
        </w:rPr>
        <w:t>本文件严格参照GB/T 1.1—2020《标准化工作导则  第1部分：标准化文件的结构和起草规则》编写本标准的内容，保证标准的编写质量。</w:t>
      </w:r>
    </w:p>
    <w:p w14:paraId="173D3B39">
      <w:pPr>
        <w:keepNext w:val="0"/>
        <w:keepLines w:val="0"/>
        <w:pageBreakBefore w:val="0"/>
        <w:tabs>
          <w:tab w:val="center" w:pos="4201"/>
          <w:tab w:val="right" w:leader="dot" w:pos="9298"/>
        </w:tabs>
        <w:kinsoku/>
        <w:overflowPunct/>
        <w:topLinePunct w:val="0"/>
        <w:autoSpaceDE w:val="0"/>
        <w:autoSpaceDN w:val="0"/>
        <w:bidi w:val="0"/>
        <w:ind w:firstLine="643"/>
        <w:outlineLvl w:val="2"/>
        <w:rPr>
          <w:rFonts w:eastAsia="仿宋"/>
          <w:b/>
          <w:bCs/>
          <w:kern w:val="0"/>
          <w:sz w:val="32"/>
          <w:szCs w:val="32"/>
        </w:rPr>
      </w:pPr>
      <w:r>
        <w:rPr>
          <w:rFonts w:hint="eastAsia" w:eastAsia="仿宋"/>
          <w:b/>
          <w:bCs/>
          <w:kern w:val="0"/>
          <w:sz w:val="32"/>
          <w:szCs w:val="32"/>
        </w:rPr>
        <w:t>4、前瞻性原则</w:t>
      </w:r>
    </w:p>
    <w:p w14:paraId="2315C397">
      <w:pPr>
        <w:keepNext w:val="0"/>
        <w:keepLines w:val="0"/>
        <w:pageBreakBefore w:val="0"/>
        <w:kinsoku/>
        <w:overflowPunct/>
        <w:topLinePunct w:val="0"/>
        <w:bidi w:val="0"/>
        <w:ind w:firstLine="640" w:firstLineChars="200"/>
        <w:rPr>
          <w:rFonts w:hint="eastAsia" w:ascii="仿宋_GB2312" w:hAnsi="宋体"/>
          <w:sz w:val="32"/>
          <w:szCs w:val="28"/>
          <w:lang w:eastAsia="zh-CN"/>
        </w:rPr>
      </w:pPr>
      <w:r>
        <w:rPr>
          <w:rFonts w:hint="eastAsia" w:ascii="仿宋_GB2312" w:hAnsi="宋体"/>
          <w:sz w:val="32"/>
          <w:szCs w:val="28"/>
          <w:lang w:eastAsia="zh-CN"/>
        </w:rPr>
        <w:t>本文件在兼顾当前区内</w:t>
      </w:r>
      <w:r>
        <w:rPr>
          <w:rFonts w:hint="eastAsia" w:ascii="仿宋_GB2312" w:hAnsi="宋体"/>
          <w:sz w:val="32"/>
          <w:szCs w:val="28"/>
          <w:lang w:val="en-US" w:eastAsia="zh-CN"/>
        </w:rPr>
        <w:t>香子含笑培育</w:t>
      </w:r>
      <w:r>
        <w:rPr>
          <w:rFonts w:hint="eastAsia" w:ascii="仿宋_GB2312" w:hAnsi="宋体"/>
          <w:sz w:val="32"/>
          <w:szCs w:val="28"/>
          <w:lang w:eastAsia="zh-CN"/>
        </w:rPr>
        <w:t>现实情况的同时，还考虑到了</w:t>
      </w:r>
      <w:r>
        <w:rPr>
          <w:rFonts w:hint="eastAsia" w:ascii="仿宋_GB2312" w:hAnsi="宋体"/>
          <w:sz w:val="32"/>
          <w:szCs w:val="28"/>
          <w:lang w:val="en-US" w:eastAsia="zh-CN"/>
        </w:rPr>
        <w:t>香子含笑培育工作</w:t>
      </w:r>
      <w:r>
        <w:rPr>
          <w:rFonts w:hint="eastAsia" w:ascii="仿宋_GB2312" w:hAnsi="宋体"/>
          <w:sz w:val="32"/>
          <w:szCs w:val="28"/>
          <w:lang w:eastAsia="zh-CN"/>
        </w:rPr>
        <w:t>快速发展的趋势和需要，在标准中体现了个别特色性、前瞻性和先进性条款，作为对</w:t>
      </w:r>
      <w:r>
        <w:rPr>
          <w:rFonts w:hint="eastAsia" w:ascii="仿宋_GB2312" w:hAnsi="宋体"/>
          <w:sz w:val="32"/>
          <w:szCs w:val="28"/>
          <w:lang w:val="en-US" w:eastAsia="zh-CN"/>
        </w:rPr>
        <w:t>香子含笑培育工作</w:t>
      </w:r>
      <w:r>
        <w:rPr>
          <w:rFonts w:hint="eastAsia" w:ascii="仿宋_GB2312" w:hAnsi="宋体"/>
          <w:sz w:val="32"/>
          <w:szCs w:val="28"/>
          <w:lang w:eastAsia="zh-CN"/>
        </w:rPr>
        <w:t>的指导。</w:t>
      </w:r>
    </w:p>
    <w:p w14:paraId="323DB155">
      <w:pPr>
        <w:keepNext w:val="0"/>
        <w:keepLines w:val="0"/>
        <w:pageBreakBefore w:val="0"/>
        <w:widowControl/>
        <w:tabs>
          <w:tab w:val="center" w:pos="4201"/>
          <w:tab w:val="right" w:leader="dot" w:pos="9298"/>
        </w:tabs>
        <w:kinsoku/>
        <w:overflowPunct/>
        <w:topLinePunct w:val="0"/>
        <w:autoSpaceDE w:val="0"/>
        <w:autoSpaceDN w:val="0"/>
        <w:bidi w:val="0"/>
        <w:spacing w:line="560" w:lineRule="exact"/>
        <w:outlineLvl w:val="1"/>
        <w:rPr>
          <w:rFonts w:eastAsia="仿宋"/>
          <w:b/>
          <w:bCs/>
          <w:kern w:val="0"/>
          <w:sz w:val="32"/>
          <w:szCs w:val="32"/>
        </w:rPr>
      </w:pPr>
      <w:r>
        <w:rPr>
          <w:rFonts w:eastAsia="仿宋"/>
          <w:b/>
          <w:bCs/>
          <w:kern w:val="0"/>
          <w:sz w:val="32"/>
          <w:szCs w:val="32"/>
        </w:rPr>
        <w:t>（二）编制依据</w:t>
      </w:r>
    </w:p>
    <w:p w14:paraId="03C8CA65">
      <w:pPr>
        <w:keepNext w:val="0"/>
        <w:keepLines w:val="0"/>
        <w:pageBreakBefore w:val="0"/>
        <w:kinsoku/>
        <w:overflowPunct/>
        <w:topLinePunct w:val="0"/>
        <w:bidi w:val="0"/>
        <w:ind w:firstLine="640" w:firstLineChars="200"/>
        <w:rPr>
          <w:rFonts w:eastAsia="仿宋"/>
          <w:sz w:val="32"/>
          <w:szCs w:val="32"/>
        </w:rPr>
      </w:pPr>
      <w:r>
        <w:rPr>
          <w:rFonts w:eastAsia="仿宋"/>
          <w:sz w:val="32"/>
          <w:szCs w:val="32"/>
        </w:rPr>
        <w:t>本标准严格按照GB/T 1.1—2020《标准化工作导则  第1部分：标准化文件的结构和起草规则》的规则起草，标准主要内容参考相关标准文件并结合起草单位多年的</w:t>
      </w:r>
      <w:r>
        <w:rPr>
          <w:rFonts w:hint="eastAsia" w:eastAsia="仿宋"/>
          <w:sz w:val="32"/>
          <w:szCs w:val="32"/>
        </w:rPr>
        <w:t>相关</w:t>
      </w:r>
      <w:r>
        <w:rPr>
          <w:rFonts w:eastAsia="仿宋"/>
          <w:sz w:val="32"/>
          <w:szCs w:val="32"/>
        </w:rPr>
        <w:t>经验</w:t>
      </w:r>
      <w:r>
        <w:rPr>
          <w:rFonts w:hint="eastAsia" w:eastAsia="仿宋"/>
          <w:sz w:val="32"/>
          <w:szCs w:val="32"/>
        </w:rPr>
        <w:t>和实践</w:t>
      </w:r>
      <w:r>
        <w:rPr>
          <w:rFonts w:eastAsia="仿宋"/>
          <w:sz w:val="32"/>
          <w:szCs w:val="32"/>
        </w:rPr>
        <w:t>验证情况总结进行起草。</w:t>
      </w:r>
    </w:p>
    <w:p w14:paraId="4909473A">
      <w:pPr>
        <w:keepNext w:val="0"/>
        <w:keepLines w:val="0"/>
        <w:pageBreakBefore w:val="0"/>
        <w:widowControl/>
        <w:tabs>
          <w:tab w:val="center" w:pos="4201"/>
          <w:tab w:val="right" w:leader="dot" w:pos="9298"/>
        </w:tabs>
        <w:kinsoku/>
        <w:overflowPunct/>
        <w:topLinePunct w:val="0"/>
        <w:autoSpaceDE w:val="0"/>
        <w:autoSpaceDN w:val="0"/>
        <w:bidi w:val="0"/>
        <w:spacing w:line="560" w:lineRule="exact"/>
        <w:outlineLvl w:val="1"/>
        <w:rPr>
          <w:rFonts w:eastAsia="仿宋"/>
          <w:b/>
          <w:bCs/>
          <w:kern w:val="0"/>
          <w:sz w:val="32"/>
          <w:szCs w:val="32"/>
        </w:rPr>
      </w:pPr>
      <w:r>
        <w:rPr>
          <w:rFonts w:eastAsia="仿宋"/>
          <w:b/>
          <w:bCs/>
          <w:kern w:val="0"/>
          <w:sz w:val="32"/>
          <w:szCs w:val="32"/>
        </w:rPr>
        <w:t>（三）与现行法律、法规的关系，与有关国家标准、行业标准的协调情况</w:t>
      </w:r>
    </w:p>
    <w:p w14:paraId="03FE614D">
      <w:pPr>
        <w:keepNext w:val="0"/>
        <w:keepLines w:val="0"/>
        <w:pageBreakBefore w:val="0"/>
        <w:kinsoku/>
        <w:overflowPunct/>
        <w:topLinePunct w:val="0"/>
        <w:bidi w:val="0"/>
        <w:ind w:firstLine="640" w:firstLineChars="200"/>
        <w:rPr>
          <w:rFonts w:eastAsia="仿宋"/>
          <w:sz w:val="32"/>
          <w:szCs w:val="32"/>
        </w:rPr>
      </w:pPr>
      <w:r>
        <w:rPr>
          <w:rFonts w:hint="eastAsia" w:eastAsia="仿宋"/>
          <w:sz w:val="32"/>
          <w:szCs w:val="32"/>
        </w:rPr>
        <w:t>本编制工作组承诺本标准内容与各项指标不违反相关法律法规要求，且不低于国家强制性标准、推荐性国家标准和行业标准要求。</w:t>
      </w:r>
    </w:p>
    <w:p w14:paraId="55138A5F">
      <w:pPr>
        <w:keepNext w:val="0"/>
        <w:keepLines w:val="0"/>
        <w:pageBreakBefore w:val="0"/>
        <w:kinsoku/>
        <w:overflowPunct/>
        <w:topLinePunct w:val="0"/>
        <w:bidi w:val="0"/>
        <w:spacing w:line="560" w:lineRule="exact"/>
        <w:ind w:firstLine="640" w:firstLineChars="200"/>
        <w:rPr>
          <w:rFonts w:hint="eastAsia" w:ascii="仿宋_GB2312" w:hAnsi="宋体" w:eastAsia="仿宋_GB2312"/>
          <w:sz w:val="32"/>
          <w:szCs w:val="28"/>
        </w:rPr>
      </w:pPr>
      <w:r>
        <w:rPr>
          <w:rFonts w:hint="eastAsia" w:ascii="仿宋_GB2312" w:hAnsi="宋体" w:eastAsia="仿宋_GB2312"/>
          <w:sz w:val="32"/>
          <w:szCs w:val="28"/>
        </w:rPr>
        <w:t>经查询，暂无“</w:t>
      </w:r>
      <w:r>
        <w:rPr>
          <w:rFonts w:hint="eastAsia" w:ascii="仿宋_GB2312" w:hAnsi="宋体"/>
          <w:sz w:val="32"/>
          <w:szCs w:val="28"/>
          <w:lang w:eastAsia="zh-CN"/>
        </w:rPr>
        <w:t>香子含笑培育</w:t>
      </w:r>
      <w:r>
        <w:rPr>
          <w:rFonts w:hint="eastAsia" w:ascii="仿宋_GB2312" w:hAnsi="宋体" w:eastAsia="仿宋_GB2312"/>
          <w:sz w:val="32"/>
          <w:szCs w:val="28"/>
        </w:rPr>
        <w:t>”的标准，与“人工林  培育”相关的标准有：</w:t>
      </w:r>
    </w:p>
    <w:p w14:paraId="753754A3">
      <w:pPr>
        <w:keepNext w:val="0"/>
        <w:keepLines w:val="0"/>
        <w:pageBreakBefore w:val="0"/>
        <w:kinsoku/>
        <w:overflowPunct/>
        <w:topLinePunct w:val="0"/>
        <w:bidi w:val="0"/>
        <w:ind w:firstLine="640" w:firstLineChars="200"/>
        <w:rPr>
          <w:rFonts w:hint="eastAsia" w:ascii="仿宋_GB2312" w:hAnsi="宋体"/>
          <w:sz w:val="32"/>
          <w:szCs w:val="28"/>
          <w:lang w:eastAsia="zh-CN"/>
        </w:rPr>
      </w:pPr>
      <w:r>
        <w:rPr>
          <w:rFonts w:hint="eastAsia" w:ascii="仿宋_GB2312" w:hAnsi="宋体"/>
          <w:sz w:val="32"/>
          <w:szCs w:val="28"/>
          <w:lang w:eastAsia="zh-CN"/>
        </w:rPr>
        <w:t>《DB14T 1698-2018  连翘人工林培育技术规程》《DB22T 2904-2018  水曲柳人工林大径材培育技术规程》《DB23T 2319-2019  红松人工林大径材培育技术规程》《DB33T 825-2011  楠木人工林培育技术规程》《DB35T 2064-2022  毛红椿人工林培育技术规程》《DB51T 2643-2019  油用杜仲人工林培育技术规程》《DB3311T 287-2024  钩栗人工林培育技术规程》《DB5331T 1-2020  旱冬瓜人工林培育技术规程》。</w:t>
      </w:r>
    </w:p>
    <w:p w14:paraId="7FA8BB82">
      <w:pPr>
        <w:keepNext w:val="0"/>
        <w:keepLines w:val="0"/>
        <w:pageBreakBefore w:val="0"/>
        <w:kinsoku/>
        <w:overflowPunct/>
        <w:topLinePunct w:val="0"/>
        <w:bidi w:val="0"/>
        <w:ind w:firstLine="640" w:firstLineChars="200"/>
        <w:rPr>
          <w:rFonts w:hint="eastAsia" w:ascii="仿宋_GB2312" w:hAnsi="宋体"/>
          <w:sz w:val="32"/>
          <w:szCs w:val="28"/>
          <w:lang w:eastAsia="zh-CN"/>
        </w:rPr>
      </w:pPr>
      <w:r>
        <w:rPr>
          <w:rFonts w:hint="eastAsia" w:ascii="仿宋_GB2312" w:hAnsi="宋体"/>
          <w:sz w:val="32"/>
          <w:szCs w:val="28"/>
          <w:lang w:eastAsia="zh-CN"/>
        </w:rPr>
        <w:t>综上，国内暂未制定有</w:t>
      </w:r>
      <w:r>
        <w:rPr>
          <w:rFonts w:hint="eastAsia" w:ascii="仿宋_GB2312" w:hAnsi="宋体"/>
          <w:sz w:val="32"/>
          <w:szCs w:val="28"/>
          <w:lang w:val="en-US" w:eastAsia="zh-CN"/>
        </w:rPr>
        <w:t>香子含笑培育</w:t>
      </w:r>
      <w:r>
        <w:rPr>
          <w:rFonts w:hint="eastAsia" w:ascii="仿宋_GB2312" w:hAnsi="宋体"/>
          <w:sz w:val="32"/>
          <w:szCs w:val="28"/>
          <w:lang w:eastAsia="zh-CN"/>
        </w:rPr>
        <w:t>相关的标准，因此有必要根据实际情况研制团体标准《</w:t>
      </w:r>
      <w:r>
        <w:rPr>
          <w:rFonts w:hint="eastAsia" w:ascii="仿宋_GB2312" w:hAnsi="宋体"/>
          <w:sz w:val="32"/>
          <w:szCs w:val="28"/>
          <w:lang w:val="en-US" w:eastAsia="zh-CN"/>
        </w:rPr>
        <w:t>香子含笑培育技术规程</w:t>
      </w:r>
      <w:r>
        <w:rPr>
          <w:rFonts w:hint="eastAsia" w:ascii="仿宋_GB2312" w:hAnsi="宋体"/>
          <w:sz w:val="32"/>
          <w:szCs w:val="28"/>
          <w:lang w:eastAsia="zh-CN"/>
        </w:rPr>
        <w:t>》，填补</w:t>
      </w:r>
      <w:r>
        <w:rPr>
          <w:rFonts w:hint="eastAsia" w:ascii="仿宋_GB2312" w:hAnsi="宋体"/>
          <w:sz w:val="32"/>
          <w:szCs w:val="28"/>
          <w:lang w:val="en-US" w:eastAsia="zh-CN"/>
        </w:rPr>
        <w:t>香子含笑培育</w:t>
      </w:r>
      <w:r>
        <w:rPr>
          <w:rFonts w:hint="eastAsia" w:ascii="仿宋_GB2312" w:hAnsi="宋体"/>
          <w:sz w:val="32"/>
          <w:szCs w:val="28"/>
          <w:lang w:eastAsia="zh-CN"/>
        </w:rPr>
        <w:t>的标准空白，运用标准化手段指导、规范</w:t>
      </w:r>
      <w:r>
        <w:rPr>
          <w:rFonts w:hint="eastAsia" w:ascii="仿宋_GB2312" w:hAnsi="宋体"/>
          <w:sz w:val="32"/>
          <w:szCs w:val="28"/>
          <w:lang w:val="en-US" w:eastAsia="zh-CN"/>
        </w:rPr>
        <w:t>香子含笑培育工作</w:t>
      </w:r>
      <w:r>
        <w:rPr>
          <w:rFonts w:hint="eastAsia" w:ascii="仿宋_GB2312" w:hAnsi="宋体"/>
          <w:sz w:val="32"/>
          <w:szCs w:val="28"/>
          <w:lang w:eastAsia="zh-CN"/>
        </w:rPr>
        <w:t>，</w:t>
      </w:r>
      <w:r>
        <w:rPr>
          <w:rFonts w:hint="eastAsia" w:ascii="仿宋_GB2312" w:hAnsi="宋体"/>
          <w:sz w:val="32"/>
          <w:szCs w:val="28"/>
          <w:lang w:val="en-US" w:eastAsia="zh-CN"/>
        </w:rPr>
        <w:t>促进林业行业高质量发展</w:t>
      </w:r>
      <w:r>
        <w:rPr>
          <w:rFonts w:hint="eastAsia" w:ascii="仿宋_GB2312" w:hAnsi="宋体"/>
          <w:sz w:val="32"/>
          <w:szCs w:val="28"/>
          <w:lang w:eastAsia="zh-CN"/>
        </w:rPr>
        <w:t>。</w:t>
      </w:r>
    </w:p>
    <w:p w14:paraId="14FD2F15">
      <w:pPr>
        <w:keepNext w:val="0"/>
        <w:keepLines w:val="0"/>
        <w:pageBreakBefore w:val="0"/>
        <w:kinsoku/>
        <w:overflowPunct/>
        <w:topLinePunct w:val="0"/>
        <w:autoSpaceDE w:val="0"/>
        <w:autoSpaceDN w:val="0"/>
        <w:bidi w:val="0"/>
        <w:adjustRightInd w:val="0"/>
        <w:spacing w:line="560" w:lineRule="exact"/>
        <w:ind w:firstLine="640" w:firstLineChars="200"/>
        <w:jc w:val="left"/>
        <w:rPr>
          <w:rFonts w:ascii="黑体" w:hAnsi="黑体" w:eastAsia="黑体" w:cs="仿宋_GB2312"/>
          <w:sz w:val="32"/>
          <w:szCs w:val="32"/>
        </w:rPr>
      </w:pPr>
      <w:bookmarkStart w:id="1" w:name="_Toc526940084"/>
      <w:r>
        <w:rPr>
          <w:rFonts w:hint="eastAsia" w:ascii="黑体" w:hAnsi="黑体" w:eastAsia="黑体" w:cs="仿宋_GB2312"/>
          <w:sz w:val="32"/>
          <w:szCs w:val="32"/>
        </w:rPr>
        <w:t>五、</w:t>
      </w:r>
      <w:bookmarkEnd w:id="1"/>
      <w:r>
        <w:rPr>
          <w:rFonts w:hint="eastAsia" w:ascii="黑体" w:hAnsi="黑体" w:eastAsia="黑体" w:cs="仿宋_GB2312"/>
          <w:sz w:val="32"/>
          <w:szCs w:val="32"/>
        </w:rPr>
        <w:t>主要条款的说明</w:t>
      </w:r>
    </w:p>
    <w:p w14:paraId="2A17FE98">
      <w:pPr>
        <w:keepNext w:val="0"/>
        <w:keepLines w:val="0"/>
        <w:pageBreakBefore w:val="0"/>
        <w:kinsoku/>
        <w:overflowPunct/>
        <w:topLinePunct w:val="0"/>
        <w:bidi w:val="0"/>
        <w:ind w:firstLine="640" w:firstLineChars="200"/>
        <w:rPr>
          <w:rFonts w:hint="eastAsia" w:ascii="仿宋_GB2312" w:hAnsi="宋体" w:eastAsia="仿宋_GB2312"/>
          <w:sz w:val="32"/>
          <w:szCs w:val="28"/>
          <w:lang w:val="zh-CN" w:eastAsia="zh-CN"/>
        </w:rPr>
      </w:pPr>
      <w:r>
        <w:rPr>
          <w:rFonts w:hint="eastAsia" w:ascii="仿宋_GB2312" w:hAnsi="宋体" w:eastAsia="仿宋_GB2312"/>
          <w:sz w:val="32"/>
          <w:szCs w:val="28"/>
          <w:lang w:val="zh-CN" w:eastAsia="zh-CN"/>
        </w:rPr>
        <w:t>广西大学、高峰林场及七坡林场已对香子含笑的生长规律、苗木培育及混交效应等方面进行研究，广西高峰林场已对其种植11年的香子含笑人工林的生长情况进行统计分析，已初步探明了香子含笑的生长特性与规律。其生长特性如下:树高、胸径和材积生长量可分别达到12.4m、14.80cm、0.1337立方米/株。树高和胸径快速生长期相反,树高快速增长期为第8</w:t>
      </w:r>
      <w:r>
        <w:rPr>
          <w:rFonts w:hint="eastAsia" w:ascii="仿宋_GB2312" w:hAnsi="宋体" w:eastAsia="仿宋_GB2312"/>
          <w:sz w:val="32"/>
          <w:szCs w:val="28"/>
          <w:lang w:val="en-US" w:eastAsia="zh-CN"/>
        </w:rPr>
        <w:t>-</w:t>
      </w:r>
      <w:r>
        <w:rPr>
          <w:rFonts w:hint="eastAsia" w:ascii="仿宋_GB2312" w:hAnsi="宋体" w:eastAsia="仿宋_GB2312"/>
          <w:sz w:val="32"/>
          <w:szCs w:val="28"/>
          <w:lang w:val="zh-CN" w:eastAsia="zh-CN"/>
        </w:rPr>
        <w:t>11年,期间连年生长量在1.33</w:t>
      </w:r>
      <w:r>
        <w:rPr>
          <w:rFonts w:hint="eastAsia" w:ascii="仿宋_GB2312" w:hAnsi="宋体" w:eastAsia="仿宋_GB2312"/>
          <w:sz w:val="32"/>
          <w:szCs w:val="28"/>
          <w:lang w:val="en-US" w:eastAsia="zh-CN"/>
        </w:rPr>
        <w:t>-</w:t>
      </w:r>
      <w:r>
        <w:rPr>
          <w:rFonts w:hint="eastAsia" w:ascii="仿宋_GB2312" w:hAnsi="宋体" w:eastAsia="仿宋_GB2312"/>
          <w:sz w:val="32"/>
          <w:szCs w:val="28"/>
          <w:lang w:val="zh-CN" w:eastAsia="zh-CN"/>
        </w:rPr>
        <w:t>1.67米/年之间,而胸径快速增长期则为2</w:t>
      </w:r>
      <w:r>
        <w:rPr>
          <w:rFonts w:hint="eastAsia" w:ascii="仿宋_GB2312" w:hAnsi="宋体" w:eastAsia="仿宋_GB2312"/>
          <w:sz w:val="32"/>
          <w:szCs w:val="28"/>
          <w:lang w:val="en-US" w:eastAsia="zh-CN"/>
        </w:rPr>
        <w:t>-</w:t>
      </w:r>
      <w:r>
        <w:rPr>
          <w:rFonts w:hint="eastAsia" w:ascii="仿宋_GB2312" w:hAnsi="宋体" w:eastAsia="仿宋_GB2312"/>
          <w:sz w:val="32"/>
          <w:szCs w:val="28"/>
          <w:lang w:val="zh-CN" w:eastAsia="zh-CN"/>
        </w:rPr>
        <w:t>6年,连年生长量在1.60</w:t>
      </w:r>
      <w:r>
        <w:rPr>
          <w:rFonts w:hint="eastAsia" w:ascii="仿宋_GB2312" w:hAnsi="宋体" w:eastAsia="仿宋_GB2312"/>
          <w:sz w:val="32"/>
          <w:szCs w:val="28"/>
          <w:lang w:val="en-US" w:eastAsia="zh-CN"/>
        </w:rPr>
        <w:t>-</w:t>
      </w:r>
      <w:r>
        <w:rPr>
          <w:rFonts w:hint="eastAsia" w:ascii="仿宋_GB2312" w:hAnsi="宋体" w:eastAsia="仿宋_GB2312"/>
          <w:sz w:val="32"/>
          <w:szCs w:val="28"/>
          <w:lang w:val="zh-CN" w:eastAsia="zh-CN"/>
        </w:rPr>
        <w:t>2.10厘米/年之间。七坡林场营造了尾巨桉纯林、灰木莲纯林、香子含笑纯林、灰木莲</w:t>
      </w:r>
      <w:r>
        <w:rPr>
          <w:rFonts w:hint="eastAsia" w:ascii="仿宋_GB2312" w:hAnsi="宋体" w:eastAsia="仿宋_GB2312"/>
          <w:sz w:val="32"/>
          <w:szCs w:val="28"/>
          <w:lang w:val="en-US" w:eastAsia="zh-CN"/>
        </w:rPr>
        <w:t>×</w:t>
      </w:r>
      <w:r>
        <w:rPr>
          <w:rFonts w:hint="eastAsia" w:ascii="仿宋_GB2312" w:hAnsi="宋体" w:eastAsia="仿宋_GB2312"/>
          <w:sz w:val="32"/>
          <w:szCs w:val="28"/>
          <w:lang w:val="zh-CN" w:eastAsia="zh-CN"/>
        </w:rPr>
        <w:t>尾巨桉、香子含笑</w:t>
      </w:r>
      <w:r>
        <w:rPr>
          <w:rFonts w:hint="eastAsia" w:ascii="仿宋_GB2312" w:hAnsi="宋体" w:eastAsia="仿宋_GB2312"/>
          <w:sz w:val="32"/>
          <w:szCs w:val="28"/>
          <w:lang w:val="en-US" w:eastAsia="zh-CN"/>
        </w:rPr>
        <w:t>×</w:t>
      </w:r>
      <w:r>
        <w:rPr>
          <w:rFonts w:hint="eastAsia" w:ascii="仿宋_GB2312" w:hAnsi="宋体" w:eastAsia="仿宋_GB2312"/>
          <w:sz w:val="32"/>
          <w:szCs w:val="28"/>
          <w:lang w:val="zh-CN" w:eastAsia="zh-CN"/>
        </w:rPr>
        <w:t>尾巨桉5种混交林，通过与广西大学林学院合作并开展相关研究，发现香子含笑</w:t>
      </w:r>
      <w:r>
        <w:rPr>
          <w:rFonts w:hint="eastAsia" w:ascii="仿宋_GB2312" w:hAnsi="宋体" w:eastAsia="仿宋_GB2312"/>
          <w:sz w:val="32"/>
          <w:szCs w:val="28"/>
          <w:lang w:val="en-US" w:eastAsia="zh-CN"/>
        </w:rPr>
        <w:t>×</w:t>
      </w:r>
      <w:r>
        <w:rPr>
          <w:rFonts w:hint="eastAsia" w:ascii="仿宋_GB2312" w:hAnsi="宋体" w:eastAsia="仿宋_GB2312"/>
          <w:sz w:val="32"/>
          <w:szCs w:val="28"/>
          <w:lang w:val="zh-CN" w:eastAsia="zh-CN"/>
        </w:rPr>
        <w:t>尾巨桉混交林土壤养分含量及4种酶活性显著高于香子含笑和尾巨桉纯林，说明香子含笑与尾巨桉混交有利于富集土壤养分和提高土壤酶活性。</w:t>
      </w:r>
    </w:p>
    <w:p w14:paraId="5003E715">
      <w:pPr>
        <w:keepNext w:val="0"/>
        <w:keepLines w:val="0"/>
        <w:pageBreakBefore w:val="0"/>
        <w:kinsoku/>
        <w:overflowPunct/>
        <w:topLinePunct w:val="0"/>
        <w:bidi w:val="0"/>
        <w:ind w:firstLine="640" w:firstLineChars="200"/>
        <w:rPr>
          <w:rFonts w:hint="eastAsia" w:ascii="仿宋_GB2312" w:hAnsi="宋体" w:eastAsia="仿宋_GB2312"/>
          <w:sz w:val="32"/>
          <w:szCs w:val="28"/>
          <w:lang w:val="zh-CN" w:eastAsia="zh-CN"/>
        </w:rPr>
      </w:pPr>
      <w:r>
        <w:rPr>
          <w:rFonts w:hint="eastAsia" w:ascii="仿宋_GB2312" w:hAnsi="宋体" w:eastAsia="仿宋_GB2312"/>
          <w:sz w:val="32"/>
          <w:szCs w:val="28"/>
          <w:lang w:val="zh-CN" w:eastAsia="zh-CN"/>
        </w:rPr>
        <w:t>团体标准《</w:t>
      </w:r>
      <w:r>
        <w:rPr>
          <w:rFonts w:hint="eastAsia" w:ascii="仿宋_GB2312" w:hAnsi="宋体" w:eastAsia="仿宋_GB2312"/>
          <w:sz w:val="32"/>
          <w:szCs w:val="28"/>
          <w:lang w:val="en-US" w:eastAsia="zh-CN"/>
        </w:rPr>
        <w:t>香子含笑培育技术规程</w:t>
      </w:r>
      <w:r>
        <w:rPr>
          <w:rFonts w:hint="eastAsia" w:ascii="仿宋_GB2312" w:hAnsi="宋体" w:eastAsia="仿宋_GB2312"/>
          <w:sz w:val="32"/>
          <w:szCs w:val="28"/>
          <w:lang w:val="zh-CN" w:eastAsia="zh-CN"/>
        </w:rPr>
        <w:t>》的主要章节内容包括：</w:t>
      </w:r>
      <w:r>
        <w:rPr>
          <w:rFonts w:hint="eastAsia" w:ascii="仿宋_GB2312" w:hAnsi="宋体" w:eastAsia="仿宋_GB2312"/>
          <w:sz w:val="32"/>
          <w:szCs w:val="28"/>
          <w:lang w:eastAsia="zh-CN"/>
        </w:rPr>
        <w:t>林地选择与规划、苗木选择、苗木栽植、抚育管理、病虫害防治、采伐更新</w:t>
      </w:r>
      <w:r>
        <w:rPr>
          <w:rFonts w:hint="eastAsia" w:ascii="仿宋_GB2312" w:hAnsi="宋体" w:eastAsia="仿宋_GB2312"/>
          <w:sz w:val="32"/>
          <w:szCs w:val="28"/>
          <w:lang w:val="zh-CN" w:eastAsia="zh-CN"/>
        </w:rPr>
        <w:t>。本文件主要内容及依据来源说明如下：</w:t>
      </w:r>
    </w:p>
    <w:p w14:paraId="31D0F45A">
      <w:pPr>
        <w:keepNext w:val="0"/>
        <w:keepLines w:val="0"/>
        <w:pageBreakBefore w:val="0"/>
        <w:numPr>
          <w:ilvl w:val="0"/>
          <w:numId w:val="0"/>
        </w:numPr>
        <w:kinsoku/>
        <w:overflowPunct/>
        <w:topLinePunct w:val="0"/>
        <w:bidi w:val="0"/>
        <w:ind w:firstLine="643" w:firstLineChars="200"/>
        <w:rPr>
          <w:rFonts w:hint="eastAsia" w:ascii="仿宋_GB2312" w:hAnsi="宋体"/>
          <w:b/>
          <w:color w:val="auto"/>
          <w:sz w:val="32"/>
          <w:szCs w:val="32"/>
          <w:lang w:val="en-US" w:eastAsia="zh-CN"/>
        </w:rPr>
      </w:pPr>
      <w:r>
        <w:rPr>
          <w:rFonts w:hint="eastAsia" w:ascii="仿宋_GB2312" w:hAnsi="宋体" w:eastAsia="仿宋_GB2312" w:cs="Times New Roman"/>
          <w:b/>
          <w:color w:val="auto"/>
          <w:kern w:val="2"/>
          <w:sz w:val="32"/>
          <w:szCs w:val="32"/>
          <w:lang w:val="en-US" w:eastAsia="zh-CN" w:bidi="ar-SA"/>
        </w:rPr>
        <w:t>（一）</w:t>
      </w:r>
      <w:r>
        <w:rPr>
          <w:rFonts w:hint="eastAsia" w:ascii="仿宋_GB2312" w:hAnsi="宋体"/>
          <w:b/>
          <w:color w:val="auto"/>
          <w:sz w:val="32"/>
          <w:szCs w:val="32"/>
          <w:lang w:val="en-US" w:eastAsia="zh-CN"/>
        </w:rPr>
        <w:t>育苗</w:t>
      </w:r>
    </w:p>
    <w:p w14:paraId="2D0279F4">
      <w:pPr>
        <w:keepNext w:val="0"/>
        <w:keepLines w:val="0"/>
        <w:pageBreakBefore w:val="0"/>
        <w:kinsoku/>
        <w:overflowPunct/>
        <w:topLinePunct w:val="0"/>
        <w:bidi w:val="0"/>
        <w:ind w:firstLine="640" w:firstLineChars="200"/>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t>香子含笑培育的育苗阶段的技术内容，起草单位在团体标准《香子含笑容器育苗技术规程》中已进行详细规定，为香子含笑育苗工作提供了科学、有效的指导，本标准育苗部分内容直接引用团体标准《香子含笑容器育苗技术规程》，保持标准的协调一致，以及保证标准推广实施过程的应用。</w:t>
      </w:r>
    </w:p>
    <w:p w14:paraId="1EEF3CA6">
      <w:pPr>
        <w:keepNext w:val="0"/>
        <w:keepLines w:val="0"/>
        <w:pageBreakBefore w:val="0"/>
        <w:kinsoku/>
        <w:overflowPunct/>
        <w:topLinePunct w:val="0"/>
        <w:bidi w:val="0"/>
        <w:ind w:firstLine="643" w:firstLineChars="200"/>
        <w:rPr>
          <w:rFonts w:hint="eastAsia" w:ascii="仿宋_GB2312" w:hAnsi="宋体"/>
          <w:b/>
          <w:color w:val="auto"/>
          <w:sz w:val="32"/>
          <w:szCs w:val="32"/>
          <w:lang w:val="en-US" w:eastAsia="zh-CN"/>
        </w:rPr>
      </w:pPr>
      <w:r>
        <w:rPr>
          <w:rFonts w:hint="eastAsia" w:ascii="仿宋_GB2312" w:hAnsi="宋体"/>
          <w:b/>
          <w:color w:val="auto"/>
          <w:sz w:val="32"/>
          <w:szCs w:val="32"/>
          <w:lang w:val="en-US" w:eastAsia="zh-CN"/>
        </w:rPr>
        <w:t>（二）林地选择与规划</w:t>
      </w:r>
    </w:p>
    <w:p w14:paraId="5028A13C">
      <w:pPr>
        <w:keepNext w:val="0"/>
        <w:keepLines w:val="0"/>
        <w:pageBreakBefore w:val="0"/>
        <w:kinsoku/>
        <w:overflowPunct/>
        <w:topLinePunct w:val="0"/>
        <w:bidi w:val="0"/>
        <w:ind w:firstLine="640" w:firstLineChars="200"/>
        <w:rPr>
          <w:rFonts w:hint="eastAsia" w:ascii="仿宋_GB2312" w:hAnsi="宋体" w:eastAsia="仿宋_GB2312"/>
          <w:sz w:val="32"/>
          <w:szCs w:val="28"/>
          <w:lang w:val="en-US" w:eastAsia="zh-CN"/>
        </w:rPr>
      </w:pPr>
      <w:r>
        <w:rPr>
          <w:rFonts w:hint="eastAsia" w:ascii="仿宋_GB2312" w:hAnsi="宋体" w:eastAsia="仿宋_GB2312"/>
          <w:sz w:val="32"/>
          <w:szCs w:val="28"/>
          <w:lang w:val="en-US" w:eastAsia="zh-CN"/>
        </w:rPr>
        <w:t>香子含笑为北热带和南亚热带的用材树种，一般垂直分布在海拔800米以下，多散生在山坡中下部和沟谷两旁的常绿阔叶林内。分布区的气候，年平均气温20-22.5℃，最冷月平均气温11-14℃，极端低温-2℃。年降雨量1200-1500毫米，干湿季节明显，雨季集中在5-9月。土壤多属页岩、砂页岩和流纹岩风化成的微酸性至酸性的红壤土。香子含笑喜生在肥沃湿润和排水良好的山坡，忌积水地。</w:t>
      </w:r>
    </w:p>
    <w:p w14:paraId="6EBD60AB">
      <w:pPr>
        <w:keepNext w:val="0"/>
        <w:keepLines w:val="0"/>
        <w:pageBreakBefore w:val="0"/>
        <w:kinsoku/>
        <w:overflowPunct/>
        <w:topLinePunct w:val="0"/>
        <w:bidi w:val="0"/>
        <w:ind w:firstLine="640" w:firstLineChars="200"/>
        <w:rPr>
          <w:rFonts w:hint="eastAsia"/>
          <w:lang w:val="en-US" w:eastAsia="zh-CN"/>
        </w:rPr>
      </w:pPr>
      <w:r>
        <w:rPr>
          <w:rFonts w:hint="eastAsia" w:ascii="仿宋_GB2312" w:hAnsi="宋体" w:eastAsia="仿宋_GB2312"/>
          <w:sz w:val="32"/>
          <w:szCs w:val="28"/>
          <w:lang w:val="en-US" w:eastAsia="zh-CN"/>
        </w:rPr>
        <w:t>起草单位</w:t>
      </w:r>
      <w:r>
        <w:rPr>
          <w:rFonts w:hint="eastAsia" w:ascii="仿宋_GB2312" w:hAnsi="宋体"/>
          <w:sz w:val="32"/>
          <w:szCs w:val="28"/>
          <w:lang w:val="en-US" w:eastAsia="zh-CN"/>
        </w:rPr>
        <w:t>开展了</w:t>
      </w:r>
      <w:r>
        <w:rPr>
          <w:rFonts w:hint="eastAsia" w:ascii="仿宋_GB2312" w:hAnsi="宋体" w:eastAsia="仿宋_GB2312"/>
          <w:sz w:val="32"/>
          <w:szCs w:val="28"/>
          <w:lang w:val="en-US" w:eastAsia="zh-CN"/>
        </w:rPr>
        <w:t>香子含笑培育研究多年，在多个林场不同地块均有种植香子含笑，主要种植区域的地形地貌、气候环境见表1。</w:t>
      </w:r>
    </w:p>
    <w:p w14:paraId="275AE650">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仿宋_GB2312" w:hAnsi="宋体"/>
          <w:sz w:val="28"/>
          <w:szCs w:val="24"/>
          <w:lang w:val="en-US" w:eastAsia="zh-CN"/>
        </w:rPr>
      </w:pPr>
      <w:r>
        <w:rPr>
          <w:rFonts w:hint="eastAsia" w:ascii="仿宋_GB2312" w:hAnsi="宋体"/>
          <w:sz w:val="28"/>
          <w:szCs w:val="24"/>
          <w:lang w:val="en-US" w:eastAsia="zh-CN"/>
        </w:rPr>
        <w:t>表1  香子含笑培育林地分布情况</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339"/>
        <w:gridCol w:w="7078"/>
      </w:tblGrid>
      <w:tr w14:paraId="3F2C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9" w:type="pct"/>
            <w:vAlign w:val="center"/>
          </w:tcPr>
          <w:p w14:paraId="05654F3E">
            <w:pPr>
              <w:pStyle w:val="3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baseline"/>
              <w:rPr>
                <w:rFonts w:hint="default" w:ascii="仿宋_GB2312" w:hAnsi="宋体" w:eastAsia="仿宋_GB2312" w:cs="Times New Roman"/>
                <w:b/>
                <w:bCs/>
                <w:kern w:val="2"/>
                <w:sz w:val="24"/>
                <w:szCs w:val="24"/>
                <w:vertAlign w:val="baseline"/>
                <w:lang w:val="en-US" w:eastAsia="zh-CN" w:bidi="ar-SA"/>
              </w:rPr>
            </w:pPr>
            <w:r>
              <w:rPr>
                <w:rFonts w:hint="eastAsia" w:ascii="仿宋_GB2312" w:hAnsi="宋体" w:eastAsia="仿宋_GB2312" w:cs="Times New Roman"/>
                <w:b/>
                <w:bCs/>
                <w:kern w:val="2"/>
                <w:sz w:val="24"/>
                <w:szCs w:val="24"/>
                <w:vertAlign w:val="baseline"/>
                <w:lang w:val="en-US" w:eastAsia="zh-CN" w:bidi="ar-SA"/>
              </w:rPr>
              <w:t>序号</w:t>
            </w:r>
          </w:p>
        </w:tc>
        <w:tc>
          <w:tcPr>
            <w:tcW w:w="730" w:type="pct"/>
            <w:vAlign w:val="center"/>
          </w:tcPr>
          <w:p w14:paraId="458E1E90">
            <w:pPr>
              <w:pStyle w:val="3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baseline"/>
              <w:rPr>
                <w:rFonts w:hint="default" w:ascii="仿宋_GB2312" w:hAnsi="宋体" w:eastAsia="仿宋_GB2312" w:cs="Times New Roman"/>
                <w:b/>
                <w:bCs/>
                <w:kern w:val="2"/>
                <w:sz w:val="24"/>
                <w:szCs w:val="24"/>
                <w:vertAlign w:val="baseline"/>
                <w:lang w:val="en-US" w:eastAsia="zh-CN" w:bidi="ar-SA"/>
              </w:rPr>
            </w:pPr>
            <w:r>
              <w:rPr>
                <w:rFonts w:hint="eastAsia" w:ascii="仿宋_GB2312" w:hAnsi="宋体" w:eastAsia="仿宋_GB2312" w:cs="Times New Roman"/>
                <w:b/>
                <w:bCs/>
                <w:kern w:val="2"/>
                <w:sz w:val="24"/>
                <w:szCs w:val="24"/>
                <w:vertAlign w:val="baseline"/>
                <w:lang w:val="en-US" w:eastAsia="zh-CN" w:bidi="ar-SA"/>
              </w:rPr>
              <w:t>地点</w:t>
            </w:r>
          </w:p>
        </w:tc>
        <w:tc>
          <w:tcPr>
            <w:tcW w:w="3860" w:type="pct"/>
            <w:vAlign w:val="center"/>
          </w:tcPr>
          <w:p w14:paraId="59582D21">
            <w:pPr>
              <w:pStyle w:val="3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baseline"/>
              <w:rPr>
                <w:rFonts w:hint="default" w:ascii="仿宋_GB2312" w:hAnsi="宋体" w:eastAsia="仿宋_GB2312" w:cs="Times New Roman"/>
                <w:b/>
                <w:bCs/>
                <w:kern w:val="2"/>
                <w:sz w:val="24"/>
                <w:szCs w:val="24"/>
                <w:vertAlign w:val="baseline"/>
                <w:lang w:val="en-US" w:eastAsia="zh-CN" w:bidi="ar-SA"/>
              </w:rPr>
            </w:pPr>
            <w:r>
              <w:rPr>
                <w:rFonts w:hint="eastAsia" w:ascii="仿宋_GB2312" w:hAnsi="宋体" w:eastAsia="仿宋_GB2312" w:cs="Times New Roman"/>
                <w:b/>
                <w:bCs/>
                <w:kern w:val="2"/>
                <w:sz w:val="24"/>
                <w:szCs w:val="24"/>
                <w:vertAlign w:val="baseline"/>
                <w:lang w:val="en-US" w:eastAsia="zh-CN" w:bidi="ar-SA"/>
              </w:rPr>
              <w:t>环境</w:t>
            </w:r>
          </w:p>
        </w:tc>
      </w:tr>
      <w:tr w14:paraId="6B80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14:paraId="5D168E18">
            <w:pPr>
              <w:pStyle w:val="3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baseline"/>
              <w:rPr>
                <w:rFonts w:hint="default"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1</w:t>
            </w:r>
          </w:p>
        </w:tc>
        <w:tc>
          <w:tcPr>
            <w:tcW w:w="730" w:type="pct"/>
            <w:shd w:val="clear" w:color="auto" w:fill="auto"/>
            <w:vAlign w:val="center"/>
          </w:tcPr>
          <w:p w14:paraId="111A4D31">
            <w:pPr>
              <w:pStyle w:val="3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baseline"/>
              <w:rPr>
                <w:rFonts w:hint="eastAsia"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广西国有高峰林场</w:t>
            </w:r>
          </w:p>
        </w:tc>
        <w:tc>
          <w:tcPr>
            <w:tcW w:w="3860" w:type="pct"/>
            <w:shd w:val="clear" w:color="auto" w:fill="auto"/>
            <w:vAlign w:val="center"/>
          </w:tcPr>
          <w:p w14:paraId="7A82D24C">
            <w:pPr>
              <w:pStyle w:val="3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left"/>
              <w:textAlignment w:val="baseline"/>
              <w:rPr>
                <w:rFonts w:hint="eastAsia"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海拔220m，坡度18°。南亚热带季风气候区，年平均气温21.6℃，年日照时间约为1500h；7月份的平均温度最高为28.3℃；1月份的平均气温最低为21.6℃；年均降水量1200-1500mm，年均蒸发量为1643mm，年均相对湿度80%。土壤大部分为赤红壤，质地轻粘，土层厚度60～90cm，平均腐殖质层厚度3cm，平均pH值4.0～5.0</w:t>
            </w:r>
          </w:p>
        </w:tc>
      </w:tr>
      <w:tr w14:paraId="09E6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14:paraId="6349D97D">
            <w:pPr>
              <w:pStyle w:val="3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baseline"/>
              <w:rPr>
                <w:rFonts w:hint="default"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2</w:t>
            </w:r>
          </w:p>
        </w:tc>
        <w:tc>
          <w:tcPr>
            <w:tcW w:w="730" w:type="pct"/>
            <w:vAlign w:val="center"/>
          </w:tcPr>
          <w:p w14:paraId="454A3B7B">
            <w:pPr>
              <w:pStyle w:val="3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baseline"/>
              <w:rPr>
                <w:rFonts w:hint="default"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广西国有七坡林场</w:t>
            </w:r>
          </w:p>
        </w:tc>
        <w:tc>
          <w:tcPr>
            <w:tcW w:w="3860" w:type="pct"/>
            <w:vAlign w:val="center"/>
          </w:tcPr>
          <w:p w14:paraId="0F4333E8">
            <w:pPr>
              <w:pStyle w:val="3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left"/>
              <w:textAlignment w:val="baseline"/>
              <w:rPr>
                <w:rFonts w:hint="eastAsia"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1、海拔215m,西北坡向，坡度20°。亚热带季风气候，光照充足、雨量充沛，年平均气温21.6℃，年平均降水量1304.2mm，年平均相对湿度79%。地貌类型以丘陵为主，土壤以赤红壤、红壤为主，呈酸性。</w:t>
            </w:r>
          </w:p>
          <w:p w14:paraId="480643B7">
            <w:pPr>
              <w:pStyle w:val="3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left"/>
              <w:textAlignment w:val="baseline"/>
              <w:rPr>
                <w:rFonts w:hint="eastAsia"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2、海拔355m,东南坡向，坡度28°。气候同上，土壤为典型的赤红壤，土层厚度为70-120cm，有机质含量高，表土呈酸性。</w:t>
            </w:r>
          </w:p>
        </w:tc>
      </w:tr>
      <w:tr w14:paraId="3D51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vAlign w:val="center"/>
          </w:tcPr>
          <w:p w14:paraId="2E394827">
            <w:pPr>
              <w:pStyle w:val="3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baseline"/>
              <w:rPr>
                <w:rFonts w:hint="default"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3</w:t>
            </w:r>
          </w:p>
        </w:tc>
        <w:tc>
          <w:tcPr>
            <w:tcW w:w="730" w:type="pct"/>
            <w:vAlign w:val="center"/>
          </w:tcPr>
          <w:p w14:paraId="310004FB">
            <w:pPr>
              <w:pStyle w:val="3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baseline"/>
              <w:rPr>
                <w:rFonts w:hint="eastAsia"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color w:val="auto"/>
                <w:kern w:val="2"/>
                <w:sz w:val="24"/>
                <w:szCs w:val="24"/>
                <w:vertAlign w:val="baseline"/>
                <w:lang w:val="en-US" w:eastAsia="zh-CN" w:bidi="ar-SA"/>
              </w:rPr>
              <w:t>中国林科院热带林业实验中心</w:t>
            </w:r>
          </w:p>
        </w:tc>
        <w:tc>
          <w:tcPr>
            <w:tcW w:w="3860" w:type="pct"/>
            <w:vAlign w:val="center"/>
          </w:tcPr>
          <w:p w14:paraId="208EAF2A">
            <w:pPr>
              <w:pStyle w:val="39"/>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left"/>
              <w:textAlignment w:val="baseline"/>
              <w:rPr>
                <w:rFonts w:hint="eastAsia"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海拔31m，低丘地势，属亚热带海洋性季风气候区，夏季高温多雨，冬季温暖干燥，年均气温22.2℃，其中最高月均温28.1℃，最低月均温12.8℃。日照时长1800 h，平均年降水量2150mm，年平均相对湿度82%，无霜期354d。地带性土壤为砖红壤，成土岩及母质为砂页岩，土层厚度在80cm以上，土壤pH值为4.9。</w:t>
            </w:r>
          </w:p>
        </w:tc>
      </w:tr>
    </w:tbl>
    <w:p w14:paraId="4A5A951B">
      <w:pPr>
        <w:keepNext w:val="0"/>
        <w:keepLines w:val="0"/>
        <w:pageBreakBefore w:val="0"/>
        <w:kinsoku/>
        <w:overflowPunct/>
        <w:topLinePunct w:val="0"/>
        <w:bidi w:val="0"/>
        <w:ind w:firstLine="640" w:firstLineChars="200"/>
        <w:rPr>
          <w:rFonts w:hint="eastAsia" w:ascii="仿宋_GB2312" w:hAnsi="宋体" w:eastAsia="仿宋_GB2312"/>
          <w:sz w:val="32"/>
          <w:szCs w:val="28"/>
          <w:lang w:val="en-US" w:eastAsia="zh-CN"/>
        </w:rPr>
      </w:pPr>
      <w:r>
        <w:rPr>
          <w:rFonts w:hint="eastAsia" w:ascii="仿宋_GB2312" w:hAnsi="宋体" w:eastAsia="仿宋_GB2312"/>
          <w:sz w:val="32"/>
          <w:szCs w:val="28"/>
          <w:lang w:val="en-US" w:eastAsia="zh-CN"/>
        </w:rPr>
        <w:t>综合香子含笑特性以及目前主要香子含笑种植林场的实际种植情况，确定香子含笑林地条件为华南热带或亚热带地区，气候类型为亚热带季风气候，温和湿润，年平均气温20℃～22.5℃，年降雨量大于1200mm，年平均气温在21.6℃左右，月平均气温不低于11℃，极端低温不低于-2℃。选择海拔300</w:t>
      </w:r>
      <w:r>
        <w:rPr>
          <w:rFonts w:hint="eastAsia" w:ascii="仿宋_GB2312" w:hAnsi="宋体"/>
          <w:sz w:val="32"/>
          <w:szCs w:val="28"/>
          <w:lang w:val="en-US" w:eastAsia="zh-CN"/>
        </w:rPr>
        <w:t>-</w:t>
      </w:r>
      <w:bookmarkStart w:id="3" w:name="_GoBack"/>
      <w:bookmarkEnd w:id="3"/>
      <w:r>
        <w:rPr>
          <w:rFonts w:hint="eastAsia" w:ascii="仿宋_GB2312" w:hAnsi="宋体" w:eastAsia="仿宋_GB2312"/>
          <w:sz w:val="32"/>
          <w:szCs w:val="28"/>
          <w:lang w:val="en-US" w:eastAsia="zh-CN"/>
        </w:rPr>
        <w:t>800m的山地丘陵，山坡中下坡或山谷地带，土层厚度为70</w:t>
      </w:r>
      <w:r>
        <w:rPr>
          <w:rFonts w:hint="eastAsia" w:ascii="仿宋_GB2312" w:hAnsi="宋体"/>
          <w:sz w:val="32"/>
          <w:szCs w:val="28"/>
          <w:lang w:val="en-US" w:eastAsia="zh-CN"/>
        </w:rPr>
        <w:t>-</w:t>
      </w:r>
      <w:r>
        <w:rPr>
          <w:rFonts w:hint="eastAsia" w:ascii="仿宋_GB2312" w:hAnsi="宋体" w:eastAsia="仿宋_GB2312"/>
          <w:sz w:val="32"/>
          <w:szCs w:val="28"/>
          <w:lang w:val="en-US" w:eastAsia="zh-CN"/>
        </w:rPr>
        <w:t>120cm，土壤类型为赤红壤，土壤呈微酸至酸性，且避开自然保护区。</w:t>
      </w: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38"/>
        <w:gridCol w:w="4836"/>
      </w:tblGrid>
      <w:tr w14:paraId="0519C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87" w:type="dxa"/>
            <w:vAlign w:val="center"/>
          </w:tcPr>
          <w:p w14:paraId="02E7B135">
            <w:pPr>
              <w:pStyle w:val="3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baseline"/>
              <w:rPr>
                <w:rFonts w:hint="eastAsia" w:ascii="仿宋_GB2312" w:hAnsi="宋体" w:eastAsia="仿宋_GB2312" w:cs="Times New Roman"/>
                <w:kern w:val="2"/>
                <w:sz w:val="32"/>
                <w:szCs w:val="32"/>
                <w:vertAlign w:val="baseline"/>
                <w:lang w:val="en-US" w:eastAsia="zh-CN" w:bidi="ar-SA"/>
              </w:rPr>
            </w:pPr>
            <w:r>
              <w:drawing>
                <wp:inline distT="0" distB="0" distL="114300" distR="114300">
                  <wp:extent cx="2426335" cy="3089275"/>
                  <wp:effectExtent l="0" t="0" r="12065" b="158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2426335" cy="3089275"/>
                          </a:xfrm>
                          <a:prstGeom prst="rect">
                            <a:avLst/>
                          </a:prstGeom>
                          <a:noFill/>
                          <a:ln>
                            <a:noFill/>
                          </a:ln>
                        </pic:spPr>
                      </pic:pic>
                    </a:graphicData>
                  </a:graphic>
                </wp:inline>
              </w:drawing>
            </w:r>
          </w:p>
        </w:tc>
        <w:tc>
          <w:tcPr>
            <w:tcW w:w="4587" w:type="dxa"/>
            <w:vAlign w:val="center"/>
          </w:tcPr>
          <w:p w14:paraId="403476AF">
            <w:pPr>
              <w:pStyle w:val="3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baseline"/>
              <w:rPr>
                <w:rFonts w:hint="eastAsia" w:ascii="仿宋_GB2312" w:hAnsi="宋体" w:eastAsia="仿宋_GB2312" w:cs="Times New Roman"/>
                <w:kern w:val="2"/>
                <w:sz w:val="32"/>
                <w:szCs w:val="32"/>
                <w:vertAlign w:val="baseline"/>
                <w:lang w:val="en-US" w:eastAsia="zh-CN" w:bidi="ar-SA"/>
              </w:rPr>
            </w:pPr>
            <w:r>
              <w:rPr>
                <w:rFonts w:hint="eastAsia" w:ascii="仿宋_GB2312" w:hAnsi="宋体" w:eastAsia="仿宋_GB2312" w:cs="Times New Roman"/>
                <w:kern w:val="2"/>
                <w:sz w:val="32"/>
                <w:szCs w:val="32"/>
                <w:vertAlign w:val="baseline"/>
                <w:lang w:val="en-US" w:eastAsia="zh-CN" w:bidi="ar-SA"/>
              </w:rPr>
              <w:drawing>
                <wp:inline distT="0" distB="0" distL="114300" distR="114300">
                  <wp:extent cx="2921000" cy="3032760"/>
                  <wp:effectExtent l="0" t="0" r="12700" b="15240"/>
                  <wp:docPr id="8" name="图片 8" descr="be6679d780d45f060530d469e4552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e6679d780d45f060530d469e455271e"/>
                          <pic:cNvPicPr>
                            <a:picLocks noChangeAspect="1"/>
                          </pic:cNvPicPr>
                        </pic:nvPicPr>
                        <pic:blipFill>
                          <a:blip r:embed="rId10"/>
                          <a:srcRect l="23240" t="-1995" r="21224" b="1995"/>
                          <a:stretch>
                            <a:fillRect/>
                          </a:stretch>
                        </pic:blipFill>
                        <pic:spPr>
                          <a:xfrm>
                            <a:off x="0" y="0"/>
                            <a:ext cx="2921000" cy="3032760"/>
                          </a:xfrm>
                          <a:prstGeom prst="rect">
                            <a:avLst/>
                          </a:prstGeom>
                        </pic:spPr>
                      </pic:pic>
                    </a:graphicData>
                  </a:graphic>
                </wp:inline>
              </w:drawing>
            </w:r>
          </w:p>
        </w:tc>
      </w:tr>
      <w:tr w14:paraId="30CA4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174" w:type="dxa"/>
            <w:gridSpan w:val="2"/>
            <w:vAlign w:val="center"/>
          </w:tcPr>
          <w:p w14:paraId="3DF0CB59">
            <w:pPr>
              <w:pStyle w:val="39"/>
              <w:keepNext w:val="0"/>
              <w:keepLines w:val="0"/>
              <w:pageBreakBefore w:val="0"/>
              <w:widowControl w:val="0"/>
              <w:kinsoku/>
              <w:wordWrap/>
              <w:overflowPunct/>
              <w:topLinePunct w:val="0"/>
              <w:autoSpaceDE/>
              <w:autoSpaceDN/>
              <w:bidi w:val="0"/>
              <w:adjustRightInd/>
              <w:snapToGrid w:val="0"/>
              <w:spacing w:after="0" w:line="240" w:lineRule="auto"/>
              <w:jc w:val="center"/>
              <w:textAlignment w:val="baseline"/>
              <w:rPr>
                <w:rFonts w:hint="default" w:ascii="仿宋_GB2312" w:hAnsi="宋体" w:eastAsia="仿宋_GB2312" w:cs="Times New Roman"/>
                <w:kern w:val="2"/>
                <w:sz w:val="32"/>
                <w:szCs w:val="32"/>
                <w:vertAlign w:val="baseline"/>
                <w:lang w:val="en-US" w:eastAsia="zh-CN" w:bidi="ar-SA"/>
              </w:rPr>
            </w:pPr>
            <w:r>
              <w:rPr>
                <w:rFonts w:hint="eastAsia" w:ascii="仿宋_GB2312" w:hAnsi="宋体" w:eastAsia="仿宋_GB2312" w:cs="Times New Roman"/>
                <w:kern w:val="2"/>
                <w:sz w:val="28"/>
                <w:szCs w:val="28"/>
                <w:vertAlign w:val="baseline"/>
                <w:lang w:val="en-US" w:eastAsia="zh-CN" w:bidi="ar-SA"/>
              </w:rPr>
              <w:t>图2  香子含笑林地</w:t>
            </w:r>
          </w:p>
        </w:tc>
      </w:tr>
    </w:tbl>
    <w:p w14:paraId="70DD4922">
      <w:pPr>
        <w:keepNext w:val="0"/>
        <w:keepLines w:val="0"/>
        <w:pageBreakBefore w:val="0"/>
        <w:numPr>
          <w:ilvl w:val="0"/>
          <w:numId w:val="0"/>
        </w:numPr>
        <w:kinsoku/>
        <w:overflowPunct/>
        <w:topLinePunct w:val="0"/>
        <w:bidi w:val="0"/>
        <w:ind w:left="0" w:leftChars="0" w:firstLine="640" w:firstLineChars="200"/>
        <w:rPr>
          <w:rFonts w:hint="eastAsia" w:ascii="仿宋_GB2312" w:hAnsi="宋体"/>
          <w:b w:val="0"/>
          <w:bCs/>
          <w:color w:val="auto"/>
          <w:sz w:val="32"/>
          <w:szCs w:val="32"/>
          <w:lang w:val="en-US" w:eastAsia="zh-CN"/>
        </w:rPr>
      </w:pPr>
      <w:r>
        <w:rPr>
          <w:rFonts w:hint="eastAsia" w:ascii="仿宋_GB2312" w:hAnsi="宋体" w:eastAsia="仿宋_GB2312" w:cs="Times New Roman"/>
          <w:b w:val="0"/>
          <w:bCs/>
          <w:color w:val="auto"/>
          <w:kern w:val="2"/>
          <w:sz w:val="32"/>
          <w:szCs w:val="32"/>
          <w:lang w:val="en-US" w:eastAsia="zh-CN" w:bidi="ar-SA"/>
        </w:rPr>
        <w:t>（</w:t>
      </w:r>
      <w:r>
        <w:rPr>
          <w:rFonts w:hint="eastAsia" w:ascii="仿宋_GB2312" w:hAnsi="宋体" w:cs="Times New Roman"/>
          <w:b w:val="0"/>
          <w:bCs/>
          <w:color w:val="auto"/>
          <w:kern w:val="2"/>
          <w:sz w:val="32"/>
          <w:szCs w:val="32"/>
          <w:lang w:val="en-US" w:eastAsia="zh-CN" w:bidi="ar-SA"/>
        </w:rPr>
        <w:t>三</w:t>
      </w:r>
      <w:r>
        <w:rPr>
          <w:rFonts w:hint="eastAsia" w:ascii="仿宋_GB2312" w:hAnsi="宋体" w:eastAsia="仿宋_GB2312" w:cs="Times New Roman"/>
          <w:b w:val="0"/>
          <w:bCs/>
          <w:color w:val="auto"/>
          <w:kern w:val="2"/>
          <w:sz w:val="32"/>
          <w:szCs w:val="32"/>
          <w:lang w:val="en-US" w:eastAsia="zh-CN" w:bidi="ar-SA"/>
        </w:rPr>
        <w:t>）</w:t>
      </w:r>
      <w:r>
        <w:rPr>
          <w:rFonts w:hint="eastAsia" w:ascii="仿宋_GB2312" w:hAnsi="宋体"/>
          <w:b w:val="0"/>
          <w:bCs/>
          <w:color w:val="auto"/>
          <w:sz w:val="32"/>
          <w:szCs w:val="32"/>
          <w:lang w:val="en-US" w:eastAsia="zh-CN"/>
        </w:rPr>
        <w:t>苗木栽植</w:t>
      </w:r>
    </w:p>
    <w:p w14:paraId="704791C1">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t>3.1整地和施基肥</w:t>
      </w:r>
    </w:p>
    <w:p w14:paraId="49C0E89D">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eastAsia" w:ascii="仿宋_GB2312" w:hAnsi="宋体" w:eastAsia="仿宋_GB2312"/>
          <w:sz w:val="32"/>
          <w:szCs w:val="28"/>
          <w:lang w:val="en-US" w:eastAsia="zh-CN"/>
        </w:rPr>
      </w:pPr>
      <w:r>
        <w:rPr>
          <w:rFonts w:hint="eastAsia" w:ascii="仿宋_GB2312" w:hAnsi="宋体" w:eastAsia="仿宋_GB2312"/>
          <w:sz w:val="32"/>
          <w:szCs w:val="28"/>
          <w:lang w:val="en-US" w:eastAsia="zh-CN"/>
        </w:rPr>
        <w:t>整地主要是改善土壤结构，促进根系生长，通过挖定植穴，可以打破坚硬的土壤板结层，使土壤变得疏松、通透。这为香子含笑幼树根系的向下延伸和横向扩展提供了充足的空间，有利于形成强大的根团，从而提高苗木的稳定性和吸收能力。同时可以蓄水，调节水分，清除了穴内的杂草和灌木根系，减少了苗木在生长初期与其它植物对水分、养分的竞争。</w:t>
      </w:r>
    </w:p>
    <w:p w14:paraId="0B483DD8">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eastAsia" w:ascii="仿宋_GB2312" w:hAnsi="宋体" w:eastAsia="仿宋_GB2312"/>
          <w:sz w:val="32"/>
          <w:szCs w:val="28"/>
          <w:lang w:val="en-US" w:eastAsia="zh-CN"/>
        </w:rPr>
      </w:pPr>
      <w:r>
        <w:rPr>
          <w:rFonts w:hint="eastAsia" w:ascii="仿宋_GB2312" w:hAnsi="宋体" w:eastAsia="仿宋_GB2312"/>
          <w:sz w:val="32"/>
          <w:szCs w:val="28"/>
          <w:lang w:val="en-US" w:eastAsia="zh-CN"/>
        </w:rPr>
        <w:t>施基肥是为香子含笑整个生长周期，尤其是关键的幼龄期，提供持续、均衡的营养基础，满足长期需求，基肥（如有机-无机复合肥）富含氮（N）、磷（P）、钾（K）等多种必需元素。氮可以促进枝叶生长，构建树体结构；磷可以刺激根系发育，增强抗逆性；钾可以增强光合作用，提高抗病虫害能力。</w:t>
      </w:r>
    </w:p>
    <w:p w14:paraId="7E1E09B7">
      <w:pPr>
        <w:ind w:left="0" w:leftChars="0" w:firstLine="0" w:firstLineChars="0"/>
        <w:rPr>
          <w:rFonts w:hint="eastAsia"/>
          <w:lang w:val="en-US" w:eastAsia="zh-CN"/>
        </w:rPr>
      </w:pPr>
    </w:p>
    <w:p w14:paraId="64EBF8B4">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sz w:val="28"/>
          <w:szCs w:val="22"/>
          <w:lang w:val="en-US" w:eastAsia="zh-CN"/>
        </w:rPr>
      </w:pPr>
      <w:r>
        <w:rPr>
          <w:rFonts w:hint="eastAsia" w:ascii="仿宋_GB2312" w:hAnsi="宋体"/>
          <w:sz w:val="28"/>
          <w:szCs w:val="24"/>
          <w:lang w:val="en-US" w:eastAsia="zh-CN"/>
        </w:rPr>
        <w:t>表2  不同整地和施基肥情况</w:t>
      </w:r>
    </w:p>
    <w:tbl>
      <w:tblPr>
        <w:tblStyle w:val="1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2548"/>
        <w:gridCol w:w="2282"/>
        <w:gridCol w:w="959"/>
        <w:gridCol w:w="2590"/>
      </w:tblGrid>
      <w:tr w14:paraId="05D9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321F26EC">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仿宋_GB2312" w:hAnsi="宋体" w:eastAsia="仿宋_GB2312"/>
                <w:sz w:val="24"/>
                <w:szCs w:val="24"/>
                <w:vertAlign w:val="baseline"/>
                <w:lang w:val="en-US" w:eastAsia="zh-CN"/>
              </w:rPr>
            </w:pPr>
            <w:r>
              <w:rPr>
                <w:rFonts w:hint="eastAsia" w:ascii="仿宋_GB2312" w:hAnsi="宋体" w:eastAsia="仿宋_GB2312"/>
                <w:sz w:val="24"/>
                <w:szCs w:val="24"/>
                <w:vertAlign w:val="baseline"/>
                <w:lang w:val="en-US" w:eastAsia="zh-CN"/>
              </w:rPr>
              <w:t>序号</w:t>
            </w:r>
          </w:p>
        </w:tc>
        <w:tc>
          <w:tcPr>
            <w:tcW w:w="1389" w:type="pct"/>
            <w:vAlign w:val="center"/>
          </w:tcPr>
          <w:p w14:paraId="38BE8852">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仿宋_GB2312" w:hAnsi="宋体" w:eastAsia="仿宋_GB2312"/>
                <w:sz w:val="24"/>
                <w:szCs w:val="24"/>
                <w:vertAlign w:val="baseline"/>
                <w:lang w:val="en-US" w:eastAsia="zh-CN"/>
              </w:rPr>
            </w:pPr>
            <w:r>
              <w:rPr>
                <w:rFonts w:hint="eastAsia" w:ascii="仿宋_GB2312" w:hAnsi="宋体" w:eastAsia="仿宋_GB2312"/>
                <w:sz w:val="24"/>
                <w:szCs w:val="24"/>
                <w:vertAlign w:val="baseline"/>
                <w:lang w:val="en-US" w:eastAsia="zh-CN"/>
              </w:rPr>
              <w:t>地点</w:t>
            </w:r>
          </w:p>
        </w:tc>
        <w:tc>
          <w:tcPr>
            <w:tcW w:w="1244" w:type="pct"/>
            <w:vAlign w:val="center"/>
          </w:tcPr>
          <w:p w14:paraId="0A904B32">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eastAsia" w:ascii="仿宋_GB2312" w:hAnsi="宋体" w:eastAsia="仿宋_GB2312"/>
                <w:sz w:val="24"/>
                <w:szCs w:val="24"/>
                <w:vertAlign w:val="baseline"/>
                <w:lang w:val="en-US" w:eastAsia="zh-CN"/>
              </w:rPr>
            </w:pPr>
            <w:r>
              <w:rPr>
                <w:rFonts w:hint="eastAsia" w:ascii="仿宋_GB2312" w:hAnsi="宋体" w:eastAsia="仿宋_GB2312"/>
                <w:sz w:val="24"/>
                <w:szCs w:val="24"/>
                <w:vertAlign w:val="baseline"/>
                <w:lang w:val="en-US" w:eastAsia="zh-CN"/>
              </w:rPr>
              <w:t>穴规格</w:t>
            </w:r>
          </w:p>
          <w:p w14:paraId="029BC752">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仿宋_GB2312" w:hAnsi="宋体" w:eastAsia="仿宋_GB2312"/>
                <w:sz w:val="24"/>
                <w:szCs w:val="24"/>
                <w:vertAlign w:val="baseline"/>
                <w:lang w:val="en-US" w:eastAsia="zh-CN"/>
              </w:rPr>
            </w:pPr>
            <w:r>
              <w:rPr>
                <w:rFonts w:hint="eastAsia" w:ascii="仿宋_GB2312" w:hAnsi="宋体" w:eastAsia="仿宋_GB2312"/>
                <w:sz w:val="24"/>
                <w:szCs w:val="24"/>
                <w:vertAlign w:val="baseline"/>
                <w:lang w:val="en-US" w:eastAsia="zh-CN"/>
              </w:rPr>
              <w:t>长×宽×高（cm)</w:t>
            </w:r>
          </w:p>
        </w:tc>
        <w:tc>
          <w:tcPr>
            <w:tcW w:w="523" w:type="pct"/>
            <w:vAlign w:val="center"/>
          </w:tcPr>
          <w:p w14:paraId="50D16962">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仿宋_GB2312" w:hAnsi="宋体" w:eastAsia="仿宋_GB2312"/>
                <w:sz w:val="24"/>
                <w:szCs w:val="24"/>
                <w:vertAlign w:val="baseline"/>
                <w:lang w:val="en-US" w:eastAsia="zh-CN"/>
              </w:rPr>
            </w:pPr>
            <w:r>
              <w:rPr>
                <w:rFonts w:hint="eastAsia" w:ascii="仿宋_GB2312" w:hAnsi="宋体" w:eastAsia="仿宋_GB2312"/>
                <w:sz w:val="24"/>
                <w:szCs w:val="24"/>
                <w:vertAlign w:val="baseline"/>
                <w:lang w:val="en-US" w:eastAsia="zh-CN"/>
              </w:rPr>
              <w:t>基肥/kg</w:t>
            </w:r>
          </w:p>
        </w:tc>
        <w:tc>
          <w:tcPr>
            <w:tcW w:w="1412" w:type="pct"/>
            <w:vAlign w:val="center"/>
          </w:tcPr>
          <w:p w14:paraId="71AC8DA8">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仿宋_GB2312" w:hAnsi="宋体" w:eastAsia="仿宋_GB2312"/>
                <w:sz w:val="24"/>
                <w:szCs w:val="24"/>
                <w:vertAlign w:val="baseline"/>
                <w:lang w:val="en-US" w:eastAsia="zh-CN"/>
              </w:rPr>
            </w:pPr>
            <w:r>
              <w:rPr>
                <w:rFonts w:hint="eastAsia" w:ascii="仿宋_GB2312" w:hAnsi="宋体" w:eastAsia="仿宋_GB2312"/>
                <w:sz w:val="24"/>
                <w:szCs w:val="24"/>
                <w:vertAlign w:val="baseline"/>
                <w:lang w:val="en-US" w:eastAsia="zh-CN"/>
              </w:rPr>
              <w:t>基肥类型</w:t>
            </w:r>
          </w:p>
        </w:tc>
      </w:tr>
      <w:tr w14:paraId="48AE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14:paraId="4496C21B">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1</w:t>
            </w:r>
          </w:p>
        </w:tc>
        <w:tc>
          <w:tcPr>
            <w:tcW w:w="1389" w:type="pct"/>
            <w:vAlign w:val="center"/>
          </w:tcPr>
          <w:p w14:paraId="2B7CFC2D">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eastAsia" w:ascii="仿宋_GB2312" w:hAnsi="宋体" w:eastAsia="仿宋_GB2312"/>
                <w:color w:val="auto"/>
                <w:sz w:val="24"/>
                <w:szCs w:val="24"/>
                <w:highlight w:val="none"/>
                <w:vertAlign w:val="baseline"/>
                <w:lang w:val="en-US" w:eastAsia="zh-CN"/>
              </w:rPr>
            </w:pPr>
            <w:r>
              <w:rPr>
                <w:rFonts w:hint="eastAsia" w:ascii="仿宋_GB2312" w:hAnsi="宋体" w:eastAsia="仿宋_GB2312" w:cs="Times New Roman"/>
                <w:color w:val="auto"/>
                <w:kern w:val="2"/>
                <w:sz w:val="24"/>
                <w:szCs w:val="24"/>
                <w:highlight w:val="none"/>
                <w:vertAlign w:val="baseline"/>
                <w:lang w:val="en-US" w:eastAsia="zh-CN" w:bidi="ar-SA"/>
              </w:rPr>
              <w:t>广西国有高峰林场</w:t>
            </w:r>
          </w:p>
        </w:tc>
        <w:tc>
          <w:tcPr>
            <w:tcW w:w="1244" w:type="pct"/>
            <w:vAlign w:val="center"/>
          </w:tcPr>
          <w:p w14:paraId="60B2E3B3">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eastAsia" w:ascii="仿宋_GB2312" w:hAnsi="宋体" w:eastAsia="仿宋_GB2312"/>
                <w:color w:val="auto"/>
                <w:sz w:val="24"/>
                <w:szCs w:val="24"/>
                <w:highlight w:val="none"/>
                <w:vertAlign w:val="baseline"/>
                <w:lang w:val="en-US" w:eastAsia="zh-CN"/>
              </w:rPr>
            </w:pPr>
            <w:r>
              <w:rPr>
                <w:rFonts w:hint="eastAsia" w:ascii="仿宋_GB2312" w:hAnsi="仿宋_GB2312" w:eastAsia="仿宋_GB2312" w:cs="仿宋_GB2312"/>
                <w:color w:val="auto"/>
                <w:sz w:val="24"/>
                <w:szCs w:val="24"/>
                <w:highlight w:val="none"/>
              </w:rPr>
              <w:t>30×30×30</w:t>
            </w:r>
          </w:p>
        </w:tc>
        <w:tc>
          <w:tcPr>
            <w:tcW w:w="523" w:type="pct"/>
            <w:vAlign w:val="center"/>
          </w:tcPr>
          <w:p w14:paraId="1B949AD6">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default" w:ascii="仿宋_GB2312" w:hAnsi="宋体" w:eastAsia="仿宋_GB2312"/>
                <w:color w:val="auto"/>
                <w:sz w:val="24"/>
                <w:szCs w:val="24"/>
                <w:highlight w:val="none"/>
                <w:vertAlign w:val="baseline"/>
                <w:lang w:val="en-US" w:eastAsia="zh-CN"/>
              </w:rPr>
            </w:pPr>
            <w:r>
              <w:rPr>
                <w:rFonts w:hint="eastAsia" w:ascii="仿宋_GB2312" w:hAnsi="宋体" w:eastAsia="仿宋_GB2312"/>
                <w:color w:val="auto"/>
                <w:sz w:val="24"/>
                <w:szCs w:val="24"/>
                <w:highlight w:val="none"/>
                <w:vertAlign w:val="baseline"/>
                <w:lang w:val="en-US" w:eastAsia="zh-CN"/>
              </w:rPr>
              <w:t>0.5</w:t>
            </w:r>
          </w:p>
        </w:tc>
        <w:tc>
          <w:tcPr>
            <w:tcW w:w="1412" w:type="pct"/>
            <w:vAlign w:val="center"/>
          </w:tcPr>
          <w:p w14:paraId="3915A326">
            <w:pPr>
              <w:pStyle w:val="2"/>
              <w:keepNext w:val="0"/>
              <w:keepLines w:val="0"/>
              <w:pageBreakBefore w:val="0"/>
              <w:widowControl w:val="0"/>
              <w:numPr>
                <w:ilvl w:val="0"/>
                <w:numId w:val="0"/>
              </w:numPr>
              <w:kinsoku/>
              <w:wordWrap/>
              <w:overflowPunct/>
              <w:topLinePunct w:val="0"/>
              <w:autoSpaceDE w:val="0"/>
              <w:autoSpaceDN w:val="0"/>
              <w:bidi w:val="0"/>
              <w:adjustRightInd w:val="0"/>
              <w:snapToGrid/>
              <w:jc w:val="center"/>
              <w:textAlignment w:val="auto"/>
              <w:rPr>
                <w:rFonts w:hint="eastAsia" w:ascii="仿宋_GB2312" w:hAnsi="宋体" w:eastAsia="仿宋_GB2312"/>
                <w:color w:val="auto"/>
                <w:sz w:val="24"/>
                <w:szCs w:val="24"/>
                <w:highlight w:val="none"/>
                <w:vertAlign w:val="baseline"/>
                <w:lang w:val="en-US" w:eastAsia="zh-CN"/>
              </w:rPr>
            </w:pPr>
            <w:r>
              <w:rPr>
                <w:rFonts w:hint="eastAsia" w:ascii="仿宋_GB2312" w:hAnsi="宋体" w:eastAsia="仿宋_GB2312"/>
                <w:color w:val="auto"/>
                <w:sz w:val="24"/>
                <w:szCs w:val="24"/>
                <w:highlight w:val="none"/>
                <w:vertAlign w:val="baseline"/>
                <w:lang w:val="en-US" w:eastAsia="zh-CN"/>
              </w:rPr>
              <w:t>N∶P∶K=15∶6∶9</w:t>
            </w:r>
          </w:p>
        </w:tc>
      </w:tr>
      <w:tr w14:paraId="39C9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shd w:val="clear"/>
            <w:vAlign w:val="center"/>
          </w:tcPr>
          <w:p w14:paraId="553E553B">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Times New Roman"/>
                <w:color w:val="000000"/>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2</w:t>
            </w:r>
          </w:p>
        </w:tc>
        <w:tc>
          <w:tcPr>
            <w:tcW w:w="1389" w:type="pct"/>
            <w:shd w:val="clear"/>
            <w:vAlign w:val="center"/>
          </w:tcPr>
          <w:p w14:paraId="58B829D4">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Times New Roman"/>
                <w:color w:val="auto"/>
                <w:kern w:val="2"/>
                <w:sz w:val="24"/>
                <w:szCs w:val="24"/>
                <w:vertAlign w:val="baseline"/>
                <w:lang w:val="en-US" w:eastAsia="zh-CN" w:bidi="ar-SA"/>
              </w:rPr>
            </w:pPr>
            <w:r>
              <w:rPr>
                <w:rFonts w:hint="eastAsia" w:ascii="仿宋_GB2312" w:hAnsi="宋体" w:eastAsia="仿宋_GB2312" w:cs="Times New Roman"/>
                <w:color w:val="auto"/>
                <w:kern w:val="2"/>
                <w:sz w:val="24"/>
                <w:szCs w:val="24"/>
                <w:vertAlign w:val="baseline"/>
                <w:lang w:val="en-US" w:eastAsia="zh-CN" w:bidi="ar-SA"/>
              </w:rPr>
              <w:t>广西国有七坡林场</w:t>
            </w:r>
          </w:p>
        </w:tc>
        <w:tc>
          <w:tcPr>
            <w:tcW w:w="1244" w:type="pct"/>
            <w:shd w:val="clear"/>
            <w:vAlign w:val="center"/>
          </w:tcPr>
          <w:p w14:paraId="152BBAAE">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仿宋_GB2312" w:eastAsia="仿宋_GB2312" w:cs="仿宋_GB2312"/>
                <w:color w:val="auto"/>
                <w:sz w:val="24"/>
                <w:szCs w:val="24"/>
                <w:lang w:val="en-US" w:eastAsia="zh-CN" w:bidi="ar-SA"/>
              </w:rPr>
            </w:pPr>
            <w:r>
              <w:rPr>
                <w:rFonts w:hint="default" w:ascii="仿宋_GB2312" w:hAnsi="仿宋_GB2312" w:eastAsia="仿宋_GB2312" w:cs="仿宋_GB2312"/>
                <w:color w:val="auto"/>
                <w:sz w:val="24"/>
                <w:szCs w:val="24"/>
                <w:lang w:val="en-US" w:eastAsia="zh-CN"/>
              </w:rPr>
              <w:t>40×40×40</w:t>
            </w:r>
          </w:p>
        </w:tc>
        <w:tc>
          <w:tcPr>
            <w:tcW w:w="523" w:type="pct"/>
            <w:shd w:val="clear"/>
            <w:vAlign w:val="center"/>
          </w:tcPr>
          <w:p w14:paraId="50902962">
            <w:pPr>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Times New Roman"/>
                <w:color w:val="auto"/>
                <w:kern w:val="2"/>
                <w:sz w:val="24"/>
                <w:szCs w:val="24"/>
                <w:vertAlign w:val="baseline"/>
                <w:lang w:val="en-US" w:eastAsia="zh-CN" w:bidi="ar-SA"/>
              </w:rPr>
            </w:pPr>
            <w:r>
              <w:rPr>
                <w:rFonts w:hint="eastAsia" w:ascii="仿宋_GB2312" w:hAnsi="宋体"/>
                <w:color w:val="auto"/>
                <w:sz w:val="24"/>
                <w:szCs w:val="24"/>
                <w:vertAlign w:val="baseline"/>
                <w:lang w:val="en-US" w:eastAsia="zh-CN"/>
              </w:rPr>
              <w:t>0.5</w:t>
            </w:r>
          </w:p>
        </w:tc>
        <w:tc>
          <w:tcPr>
            <w:tcW w:w="1412" w:type="pct"/>
            <w:shd w:val="clear"/>
            <w:vAlign w:val="center"/>
          </w:tcPr>
          <w:p w14:paraId="5280CA4C">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宋体"/>
                <w:color w:val="auto"/>
                <w:sz w:val="24"/>
                <w:szCs w:val="24"/>
                <w:vertAlign w:val="baseline"/>
                <w:lang w:val="en-US" w:eastAsia="zh-CN" w:bidi="ar-SA"/>
              </w:rPr>
            </w:pPr>
            <w:r>
              <w:rPr>
                <w:rFonts w:hint="eastAsia" w:ascii="仿宋_GB2312" w:hAnsi="宋体" w:eastAsia="仿宋_GB2312"/>
                <w:color w:val="auto"/>
                <w:sz w:val="24"/>
                <w:szCs w:val="24"/>
                <w:vertAlign w:val="baseline"/>
                <w:lang w:val="en-US" w:eastAsia="zh-CN"/>
              </w:rPr>
              <w:t>N∶P∶K=15∶9∶11</w:t>
            </w:r>
          </w:p>
        </w:tc>
      </w:tr>
      <w:tr w14:paraId="58EC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shd w:val="clear"/>
            <w:vAlign w:val="center"/>
          </w:tcPr>
          <w:p w14:paraId="7F371966">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Times New Roman"/>
                <w:color w:val="000000"/>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3</w:t>
            </w:r>
          </w:p>
        </w:tc>
        <w:tc>
          <w:tcPr>
            <w:tcW w:w="1389" w:type="pct"/>
            <w:shd w:val="clear"/>
            <w:vAlign w:val="center"/>
          </w:tcPr>
          <w:p w14:paraId="7DAE6285">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Times New Roman"/>
                <w:color w:val="auto"/>
                <w:kern w:val="2"/>
                <w:sz w:val="24"/>
                <w:szCs w:val="24"/>
                <w:vertAlign w:val="baseline"/>
                <w:lang w:val="en-US" w:eastAsia="zh-CN" w:bidi="ar-SA"/>
              </w:rPr>
            </w:pPr>
            <w:r>
              <w:rPr>
                <w:rFonts w:hint="eastAsia" w:ascii="仿宋_GB2312" w:hAnsi="宋体" w:eastAsia="仿宋_GB2312" w:cs="Times New Roman"/>
                <w:color w:val="auto"/>
                <w:kern w:val="2"/>
                <w:sz w:val="24"/>
                <w:szCs w:val="24"/>
                <w:vertAlign w:val="baseline"/>
                <w:lang w:val="en-US" w:eastAsia="zh-CN" w:bidi="ar-SA"/>
              </w:rPr>
              <w:t>广西大学林学院</w:t>
            </w:r>
          </w:p>
        </w:tc>
        <w:tc>
          <w:tcPr>
            <w:tcW w:w="1244" w:type="pct"/>
            <w:shd w:val="clear"/>
            <w:vAlign w:val="center"/>
          </w:tcPr>
          <w:p w14:paraId="231882E4">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仿宋_GB2312" w:eastAsia="仿宋_GB2312" w:cs="仿宋_GB2312"/>
                <w:color w:val="auto"/>
                <w:sz w:val="24"/>
                <w:szCs w:val="24"/>
                <w:lang w:val="en-US" w:eastAsia="zh-CN" w:bidi="ar-SA"/>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0×</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0×30</w:t>
            </w:r>
          </w:p>
        </w:tc>
        <w:tc>
          <w:tcPr>
            <w:tcW w:w="523" w:type="pct"/>
            <w:shd w:val="clear"/>
            <w:vAlign w:val="center"/>
          </w:tcPr>
          <w:p w14:paraId="256C4252">
            <w:pPr>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Times New Roman"/>
                <w:color w:val="auto"/>
                <w:kern w:val="2"/>
                <w:sz w:val="24"/>
                <w:szCs w:val="24"/>
                <w:vertAlign w:val="baseline"/>
                <w:lang w:val="en-US" w:eastAsia="zh-CN" w:bidi="ar-SA"/>
              </w:rPr>
            </w:pPr>
            <w:r>
              <w:rPr>
                <w:rFonts w:hint="eastAsia" w:ascii="仿宋_GB2312" w:hAnsi="宋体"/>
                <w:color w:val="auto"/>
                <w:sz w:val="24"/>
                <w:szCs w:val="24"/>
                <w:vertAlign w:val="baseline"/>
                <w:lang w:val="en-US" w:eastAsia="zh-CN"/>
              </w:rPr>
              <w:t>0.5～1</w:t>
            </w:r>
          </w:p>
        </w:tc>
        <w:tc>
          <w:tcPr>
            <w:tcW w:w="1412" w:type="pct"/>
            <w:shd w:val="clear"/>
            <w:vAlign w:val="center"/>
          </w:tcPr>
          <w:p w14:paraId="0455E082">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宋体"/>
                <w:color w:val="auto"/>
                <w:sz w:val="24"/>
                <w:szCs w:val="24"/>
                <w:vertAlign w:val="baseline"/>
                <w:lang w:val="en-US" w:eastAsia="zh-CN" w:bidi="ar-SA"/>
              </w:rPr>
            </w:pPr>
            <w:r>
              <w:rPr>
                <w:rFonts w:hint="eastAsia" w:ascii="仿宋_GB2312" w:hAnsi="宋体" w:eastAsia="仿宋_GB2312"/>
                <w:color w:val="auto"/>
                <w:sz w:val="24"/>
                <w:szCs w:val="24"/>
                <w:vertAlign w:val="baseline"/>
                <w:lang w:val="en-US" w:eastAsia="zh-CN"/>
              </w:rPr>
              <w:t>N∶P∶K=15：8：7</w:t>
            </w:r>
          </w:p>
        </w:tc>
      </w:tr>
    </w:tbl>
    <w:p w14:paraId="616EC42B">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t>3.2栽植时间</w:t>
      </w:r>
    </w:p>
    <w:p w14:paraId="074190D0">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t>香子含笑喜温喜湿喜肥，造林宜选择土壤水分较充足，空气湿度大的时期。1～4月的气温适中，既避免了冬季的低温冻害，又不受夏季酷热影响，非常适合新栽苗木的适应和恢复，因此选择在1～4月雨后造林。</w:t>
      </w:r>
    </w:p>
    <w:p w14:paraId="2780B03B">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t>3.3栽植密度</w:t>
      </w:r>
    </w:p>
    <w:p w14:paraId="3D939FAD">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eastAsia" w:ascii="仿宋_GB2312" w:hAnsi="宋体" w:eastAsia="仿宋_GB2312"/>
          <w:sz w:val="32"/>
          <w:szCs w:val="28"/>
          <w:lang w:val="en-US" w:eastAsia="zh-CN"/>
        </w:rPr>
      </w:pPr>
      <w:r>
        <w:rPr>
          <w:rFonts w:hint="eastAsia" w:ascii="仿宋_GB2312" w:hAnsi="宋体" w:eastAsia="仿宋_GB2312"/>
          <w:sz w:val="32"/>
          <w:szCs w:val="28"/>
          <w:lang w:val="en-US" w:eastAsia="zh-CN"/>
        </w:rPr>
        <w:t>香子含笑栽植的株行距受经营目标、立地条件、树种特性、抚育管理要求等多因素影响，如果目标是培育大径级用材，就需要为每棵树预留充足的生长空间，确保其树冠能充分伸展，进行光合作用。水肥条件好的林地，树木生长速度快，竞争会更早发生，因此可以适当稀植。同时香子含笑是常绿乔木，树高达30多米，胸径达1米多，其成熟的冠幅大小是决定株行距的关键依据，株行距要匹配其成年后的树冠大小，避免过早出现树冠挤压。</w:t>
      </w:r>
    </w:p>
    <w:p w14:paraId="0C9435EF">
      <w:pPr>
        <w:pStyle w:val="39"/>
        <w:keepNext w:val="0"/>
        <w:keepLines w:val="0"/>
        <w:pageBreakBefore w:val="0"/>
        <w:widowControl w:val="0"/>
        <w:kinsoku/>
        <w:wordWrap/>
        <w:overflowPunct/>
        <w:topLinePunct w:val="0"/>
        <w:autoSpaceDE/>
        <w:autoSpaceDN/>
        <w:bidi w:val="0"/>
        <w:adjustRightInd/>
        <w:snapToGrid w:val="0"/>
        <w:spacing w:after="0" w:line="240" w:lineRule="auto"/>
        <w:jc w:val="center"/>
        <w:textAlignment w:val="baseline"/>
        <w:rPr>
          <w:rFonts w:hint="eastAsia" w:ascii="仿宋_GB2312" w:hAnsi="宋体"/>
          <w:b w:val="0"/>
          <w:bCs/>
          <w:color w:val="auto"/>
          <w:sz w:val="28"/>
          <w:szCs w:val="28"/>
          <w:lang w:val="en-US" w:eastAsia="zh-CN"/>
        </w:rPr>
      </w:pPr>
      <w:r>
        <w:rPr>
          <w:rFonts w:hint="eastAsia" w:ascii="仿宋_GB2312" w:hAnsi="宋体"/>
          <w:b w:val="0"/>
          <w:bCs/>
          <w:color w:val="auto"/>
          <w:sz w:val="28"/>
          <w:szCs w:val="28"/>
          <w:lang w:val="en-US" w:eastAsia="zh-CN"/>
        </w:rPr>
        <w:t>表3  不同栽植密度下香子含笑</w:t>
      </w:r>
    </w:p>
    <w:tbl>
      <w:tblPr>
        <w:tblStyle w:val="9"/>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90"/>
        <w:gridCol w:w="4132"/>
        <w:gridCol w:w="3945"/>
      </w:tblGrid>
      <w:tr w14:paraId="793A0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shd w:val="clear" w:color="auto" w:fill="auto"/>
            <w:noWrap w:val="0"/>
            <w:vAlign w:val="center"/>
          </w:tcPr>
          <w:p w14:paraId="6A5D1C71">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序号</w:t>
            </w:r>
          </w:p>
        </w:tc>
        <w:tc>
          <w:tcPr>
            <w:tcW w:w="2253" w:type="pct"/>
            <w:shd w:val="clear" w:color="auto" w:fill="auto"/>
            <w:noWrap w:val="0"/>
            <w:vAlign w:val="center"/>
          </w:tcPr>
          <w:p w14:paraId="6B5C43C2">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地点</w:t>
            </w:r>
          </w:p>
        </w:tc>
        <w:tc>
          <w:tcPr>
            <w:tcW w:w="2151" w:type="pct"/>
            <w:shd w:val="clear" w:color="auto" w:fill="auto"/>
            <w:noWrap w:val="0"/>
            <w:vAlign w:val="center"/>
          </w:tcPr>
          <w:p w14:paraId="003AD7FD">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密度</w:t>
            </w:r>
          </w:p>
        </w:tc>
      </w:tr>
      <w:tr w14:paraId="22C01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shd w:val="clear" w:color="auto" w:fill="auto"/>
            <w:noWrap w:val="0"/>
            <w:vAlign w:val="center"/>
          </w:tcPr>
          <w:p w14:paraId="1D5FFB68">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1</w:t>
            </w:r>
          </w:p>
        </w:tc>
        <w:tc>
          <w:tcPr>
            <w:tcW w:w="2253" w:type="pct"/>
            <w:shd w:val="clear" w:color="auto" w:fill="auto"/>
            <w:noWrap w:val="0"/>
            <w:vAlign w:val="center"/>
          </w:tcPr>
          <w:p w14:paraId="22FB3DF2">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宋体"/>
                <w:color w:val="000000"/>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广西国有高峰林场</w:t>
            </w:r>
          </w:p>
        </w:tc>
        <w:tc>
          <w:tcPr>
            <w:tcW w:w="2151" w:type="pct"/>
            <w:shd w:val="clear" w:color="auto" w:fill="auto"/>
            <w:noWrap w:val="0"/>
            <w:vAlign w:val="center"/>
          </w:tcPr>
          <w:p w14:paraId="7A8CA8D6">
            <w:pPr>
              <w:keepNext w:val="0"/>
              <w:keepLines w:val="0"/>
              <w:pageBreakBefore w:val="0"/>
              <w:widowControl w:val="0"/>
              <w:kinsoku/>
              <w:wordWrap/>
              <w:overflowPunct/>
              <w:topLinePunct w:val="0"/>
              <w:autoSpaceDE/>
              <w:autoSpaceDN/>
              <w:bidi w:val="0"/>
              <w:adjustRightInd/>
              <w:snapToGrid/>
              <w:ind w:firstLine="0" w:firstLineChars="0"/>
              <w:jc w:val="both"/>
              <w:rPr>
                <w:rFonts w:hint="eastAsia" w:ascii="仿宋_GB2312" w:eastAsia="仿宋_GB2312"/>
                <w:color w:val="auto"/>
                <w:sz w:val="24"/>
              </w:rPr>
            </w:pPr>
            <w:r>
              <w:rPr>
                <w:rFonts w:hint="eastAsia" w:ascii="仿宋_GB2312" w:eastAsia="仿宋_GB2312"/>
                <w:color w:val="auto"/>
                <w:sz w:val="24"/>
              </w:rPr>
              <w:t>造林密度1667株/hm2</w:t>
            </w:r>
            <w:r>
              <w:rPr>
                <w:rFonts w:hint="eastAsia" w:ascii="仿宋_GB2312" w:eastAsia="仿宋_GB2312"/>
                <w:color w:val="auto"/>
                <w:sz w:val="24"/>
              </w:rPr>
              <w:t>，株行距2m×3m</w:t>
            </w:r>
          </w:p>
        </w:tc>
      </w:tr>
      <w:tr w14:paraId="754E7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shd w:val="clear" w:color="auto" w:fill="auto"/>
            <w:noWrap w:val="0"/>
            <w:vAlign w:val="center"/>
          </w:tcPr>
          <w:p w14:paraId="6B090BEB">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2</w:t>
            </w:r>
          </w:p>
        </w:tc>
        <w:tc>
          <w:tcPr>
            <w:tcW w:w="2253" w:type="pct"/>
            <w:shd w:val="clear" w:color="auto" w:fill="auto"/>
            <w:noWrap w:val="0"/>
            <w:vAlign w:val="center"/>
          </w:tcPr>
          <w:p w14:paraId="128F9E51">
            <w:pPr>
              <w:keepNext w:val="0"/>
              <w:keepLines w:val="0"/>
              <w:pageBreakBefore w:val="0"/>
              <w:widowControl w:val="0"/>
              <w:kinsoku/>
              <w:wordWrap/>
              <w:overflowPunct/>
              <w:topLinePunct w:val="0"/>
              <w:autoSpaceDE/>
              <w:autoSpaceDN/>
              <w:bidi w:val="0"/>
              <w:adjustRightInd/>
              <w:snapToGrid/>
              <w:ind w:firstLine="0" w:firstLineChars="0"/>
              <w:jc w:val="center"/>
              <w:rPr>
                <w:rFonts w:hint="eastAsia" w:ascii="仿宋_GB2312" w:eastAsia="仿宋_GB2312"/>
                <w:color w:val="auto"/>
                <w:sz w:val="24"/>
              </w:rPr>
            </w:pPr>
            <w:r>
              <w:rPr>
                <w:rFonts w:hint="eastAsia" w:ascii="仿宋_GB2312" w:hAnsi="宋体" w:eastAsia="仿宋_GB2312" w:cs="Times New Roman"/>
                <w:kern w:val="2"/>
                <w:sz w:val="24"/>
                <w:szCs w:val="24"/>
                <w:vertAlign w:val="baseline"/>
                <w:lang w:val="en-US" w:eastAsia="zh-CN" w:bidi="ar-SA"/>
              </w:rPr>
              <w:t>广西国有</w:t>
            </w:r>
            <w:r>
              <w:rPr>
                <w:rFonts w:hint="eastAsia" w:ascii="仿宋_GB2312" w:hAnsi="宋体" w:cs="Times New Roman"/>
                <w:kern w:val="2"/>
                <w:sz w:val="24"/>
                <w:szCs w:val="24"/>
                <w:vertAlign w:val="baseline"/>
                <w:lang w:val="en-US" w:eastAsia="zh-CN" w:bidi="ar-SA"/>
              </w:rPr>
              <w:t>七坡</w:t>
            </w:r>
            <w:r>
              <w:rPr>
                <w:rFonts w:hint="eastAsia" w:ascii="仿宋_GB2312" w:hAnsi="宋体" w:eastAsia="仿宋_GB2312" w:cs="Times New Roman"/>
                <w:kern w:val="2"/>
                <w:sz w:val="24"/>
                <w:szCs w:val="24"/>
                <w:vertAlign w:val="baseline"/>
                <w:lang w:val="en-US" w:eastAsia="zh-CN" w:bidi="ar-SA"/>
              </w:rPr>
              <w:t>林场</w:t>
            </w:r>
          </w:p>
        </w:tc>
        <w:tc>
          <w:tcPr>
            <w:tcW w:w="2151" w:type="pct"/>
            <w:shd w:val="clear" w:color="auto" w:fill="auto"/>
            <w:noWrap w:val="0"/>
            <w:vAlign w:val="center"/>
          </w:tcPr>
          <w:p w14:paraId="7A236352">
            <w:pPr>
              <w:keepNext w:val="0"/>
              <w:keepLines w:val="0"/>
              <w:pageBreakBefore w:val="0"/>
              <w:widowControl w:val="0"/>
              <w:kinsoku/>
              <w:wordWrap/>
              <w:overflowPunct/>
              <w:topLinePunct w:val="0"/>
              <w:autoSpaceDE/>
              <w:autoSpaceDN/>
              <w:bidi w:val="0"/>
              <w:adjustRightInd/>
              <w:snapToGrid/>
              <w:ind w:firstLine="0" w:firstLineChars="0"/>
              <w:jc w:val="both"/>
              <w:rPr>
                <w:rFonts w:hint="default" w:ascii="仿宋_GB2312" w:eastAsia="仿宋_GB2312"/>
                <w:color w:val="auto"/>
                <w:sz w:val="24"/>
                <w:lang w:val="en-US" w:eastAsia="zh-CN"/>
              </w:rPr>
            </w:pPr>
            <w:r>
              <w:rPr>
                <w:rFonts w:hint="eastAsia" w:ascii="仿宋_GB2312" w:eastAsia="仿宋_GB2312"/>
                <w:color w:val="auto"/>
                <w:sz w:val="24"/>
              </w:rPr>
              <w:t>造林密度1667株/hm2</w:t>
            </w:r>
            <w:r>
              <w:rPr>
                <w:rFonts w:hint="eastAsia" w:ascii="仿宋_GB2312" w:eastAsia="仿宋_GB2312"/>
                <w:color w:val="auto"/>
                <w:sz w:val="24"/>
              </w:rPr>
              <w:t>，株行距2m×3m</w:t>
            </w:r>
          </w:p>
        </w:tc>
      </w:tr>
      <w:tr w14:paraId="04555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shd w:val="clear" w:color="auto" w:fill="auto"/>
            <w:noWrap w:val="0"/>
            <w:vAlign w:val="center"/>
          </w:tcPr>
          <w:p w14:paraId="72A7F290">
            <w:pPr>
              <w:keepNext w:val="0"/>
              <w:keepLines w:val="0"/>
              <w:pageBreakBefore w:val="0"/>
              <w:widowControl w:val="0"/>
              <w:kinsoku/>
              <w:wordWrap/>
              <w:overflowPunct/>
              <w:topLinePunct w:val="0"/>
              <w:autoSpaceDE/>
              <w:autoSpaceDN/>
              <w:bidi w:val="0"/>
              <w:adjustRightInd/>
              <w:snapToGrid/>
              <w:ind w:firstLine="0" w:firstLineChars="0"/>
              <w:jc w:val="center"/>
              <w:rPr>
                <w:rFonts w:hint="eastAsia" w:ascii="仿宋_GB2312" w:hAnsi="宋体" w:eastAsia="仿宋_GB2312" w:cs="Times New Roman"/>
                <w:kern w:val="2"/>
                <w:sz w:val="24"/>
                <w:szCs w:val="24"/>
                <w:vertAlign w:val="baseline"/>
                <w:lang w:val="en-US" w:eastAsia="zh-CN" w:bidi="ar-SA"/>
              </w:rPr>
            </w:pPr>
            <w:r>
              <w:rPr>
                <w:rFonts w:hint="eastAsia" w:ascii="仿宋_GB2312" w:hAnsi="宋体" w:cs="Times New Roman"/>
                <w:kern w:val="2"/>
                <w:sz w:val="24"/>
                <w:szCs w:val="24"/>
                <w:vertAlign w:val="baseline"/>
                <w:lang w:val="en-US" w:eastAsia="zh-CN" w:bidi="ar-SA"/>
              </w:rPr>
              <w:t>3</w:t>
            </w:r>
          </w:p>
        </w:tc>
        <w:tc>
          <w:tcPr>
            <w:tcW w:w="2253" w:type="pct"/>
            <w:shd w:val="clear" w:color="auto" w:fill="auto"/>
            <w:noWrap w:val="0"/>
            <w:vAlign w:val="center"/>
          </w:tcPr>
          <w:p w14:paraId="1321C564">
            <w:pPr>
              <w:keepNext w:val="0"/>
              <w:keepLines w:val="0"/>
              <w:pageBreakBefore w:val="0"/>
              <w:widowControl w:val="0"/>
              <w:kinsoku/>
              <w:wordWrap/>
              <w:overflowPunct/>
              <w:topLinePunct w:val="0"/>
              <w:autoSpaceDE/>
              <w:autoSpaceDN/>
              <w:bidi w:val="0"/>
              <w:adjustRightInd/>
              <w:snapToGrid/>
              <w:ind w:firstLine="0" w:firstLineChars="0"/>
              <w:jc w:val="center"/>
              <w:rPr>
                <w:rFonts w:hint="eastAsia"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南宁树木园</w:t>
            </w:r>
          </w:p>
        </w:tc>
        <w:tc>
          <w:tcPr>
            <w:tcW w:w="2151" w:type="pct"/>
            <w:shd w:val="clear" w:color="auto" w:fill="auto"/>
            <w:noWrap w:val="0"/>
            <w:vAlign w:val="center"/>
          </w:tcPr>
          <w:p w14:paraId="1D83AE26">
            <w:pPr>
              <w:keepNext w:val="0"/>
              <w:keepLines w:val="0"/>
              <w:pageBreakBefore w:val="0"/>
              <w:widowControl w:val="0"/>
              <w:kinsoku/>
              <w:wordWrap/>
              <w:overflowPunct/>
              <w:topLinePunct w:val="0"/>
              <w:autoSpaceDE/>
              <w:autoSpaceDN/>
              <w:bidi w:val="0"/>
              <w:adjustRightInd/>
              <w:snapToGrid/>
              <w:ind w:firstLine="0" w:firstLineChars="0"/>
              <w:jc w:val="both"/>
              <w:rPr>
                <w:rFonts w:hint="eastAsia" w:ascii="仿宋_GB2312" w:hAnsi="宋体" w:eastAsia="仿宋_GB2312" w:cs="Times New Roman"/>
                <w:kern w:val="2"/>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造林密度1667株/hm2，株行距2m×3m</w:t>
            </w:r>
          </w:p>
        </w:tc>
      </w:tr>
      <w:tr w14:paraId="37BEA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95" w:type="pct"/>
            <w:shd w:val="clear" w:color="auto" w:fill="auto"/>
            <w:noWrap w:val="0"/>
            <w:vAlign w:val="center"/>
          </w:tcPr>
          <w:p w14:paraId="5D637775">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olor w:val="auto"/>
                <w:sz w:val="24"/>
                <w:szCs w:val="24"/>
              </w:rPr>
              <w:t>5</w:t>
            </w:r>
          </w:p>
        </w:tc>
        <w:tc>
          <w:tcPr>
            <w:tcW w:w="2253" w:type="pct"/>
            <w:shd w:val="clear" w:color="auto" w:fill="auto"/>
            <w:noWrap w:val="0"/>
            <w:vAlign w:val="center"/>
          </w:tcPr>
          <w:p w14:paraId="0311099B">
            <w:pPr>
              <w:keepNext w:val="0"/>
              <w:keepLines w:val="0"/>
              <w:pageBreakBefore w:val="0"/>
              <w:widowControl w:val="0"/>
              <w:kinsoku/>
              <w:wordWrap/>
              <w:overflowPunct/>
              <w:topLinePunct w:val="0"/>
              <w:autoSpaceDE/>
              <w:autoSpaceDN/>
              <w:bidi w:val="0"/>
              <w:adjustRightInd/>
              <w:snapToGrid/>
              <w:ind w:firstLine="0" w:firstLineChars="0"/>
              <w:jc w:val="center"/>
              <w:rPr>
                <w:rFonts w:hint="eastAsia" w:ascii="仿宋_GB2312" w:hAnsi="Times New Roman" w:eastAsia="仿宋_GB2312" w:cs="Times New Roman"/>
                <w:color w:val="auto"/>
                <w:kern w:val="2"/>
                <w:sz w:val="24"/>
                <w:szCs w:val="24"/>
                <w:lang w:val="en-US" w:eastAsia="zh-CN" w:bidi="ar-SA"/>
              </w:rPr>
            </w:pPr>
            <w:r>
              <w:rPr>
                <w:rFonts w:hint="eastAsia" w:ascii="仿宋_GB2312"/>
                <w:color w:val="auto"/>
                <w:sz w:val="24"/>
                <w:lang w:val="en-US" w:eastAsia="zh-CN"/>
              </w:rPr>
              <w:t>广西大学林学院</w:t>
            </w:r>
          </w:p>
        </w:tc>
        <w:tc>
          <w:tcPr>
            <w:tcW w:w="2151" w:type="pct"/>
            <w:shd w:val="clear" w:color="auto" w:fill="auto"/>
            <w:noWrap w:val="0"/>
            <w:vAlign w:val="center"/>
          </w:tcPr>
          <w:p w14:paraId="0866E8C6">
            <w:pPr>
              <w:keepNext w:val="0"/>
              <w:keepLines w:val="0"/>
              <w:pageBreakBefore w:val="0"/>
              <w:widowControl w:val="0"/>
              <w:kinsoku/>
              <w:wordWrap/>
              <w:overflowPunct/>
              <w:topLinePunct w:val="0"/>
              <w:autoSpaceDE/>
              <w:autoSpaceDN/>
              <w:bidi w:val="0"/>
              <w:adjustRightInd/>
              <w:snapToGrid/>
              <w:ind w:firstLine="0" w:firstLineChars="0"/>
              <w:jc w:val="both"/>
              <w:rPr>
                <w:rFonts w:hint="eastAsia" w:ascii="仿宋_GB2312" w:hAnsi="宋体" w:eastAsia="仿宋_GB2312" w:cs="Times New Roman"/>
                <w:color w:val="auto"/>
                <w:kern w:val="2"/>
                <w:sz w:val="24"/>
                <w:szCs w:val="24"/>
                <w:lang w:val="en-US" w:eastAsia="zh-CN" w:bidi="ar-SA"/>
              </w:rPr>
            </w:pPr>
            <w:r>
              <w:rPr>
                <w:rFonts w:hint="eastAsia" w:ascii="仿宋_GB2312" w:eastAsia="仿宋_GB2312"/>
                <w:color w:val="auto"/>
                <w:sz w:val="24"/>
              </w:rPr>
              <w:t>造林密度1667株/hm</w:t>
            </w:r>
            <w:r>
              <w:rPr>
                <w:rFonts w:hint="eastAsia" w:ascii="仿宋_GB2312" w:eastAsia="仿宋_GB2312"/>
                <w:color w:val="auto"/>
                <w:sz w:val="24"/>
                <w:vertAlign w:val="superscript"/>
              </w:rPr>
              <w:t>2</w:t>
            </w:r>
            <w:r>
              <w:rPr>
                <w:rFonts w:hint="eastAsia" w:ascii="仿宋_GB2312" w:eastAsia="仿宋_GB2312"/>
                <w:color w:val="auto"/>
                <w:sz w:val="24"/>
              </w:rPr>
              <w:t>，株行距2m×3m</w:t>
            </w:r>
          </w:p>
        </w:tc>
      </w:tr>
    </w:tbl>
    <w:p w14:paraId="567A7D18">
      <w:pPr>
        <w:pStyle w:val="3"/>
        <w:rPr>
          <w:rFonts w:hint="eastAsia"/>
          <w:lang w:val="en-US" w:eastAsia="zh-CN"/>
        </w:rPr>
      </w:pPr>
    </w:p>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7"/>
        <w:gridCol w:w="4587"/>
      </w:tblGrid>
      <w:tr w14:paraId="57C9B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587" w:type="dxa"/>
            <w:vAlign w:val="center"/>
          </w:tcPr>
          <w:p w14:paraId="42FCB902">
            <w:pPr>
              <w:pStyle w:val="3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baseline"/>
              <w:rPr>
                <w:rFonts w:hint="eastAsia" w:ascii="仿宋_GB2312" w:hAnsi="宋体" w:eastAsia="仿宋_GB2312" w:cs="Times New Roman"/>
                <w:kern w:val="2"/>
                <w:sz w:val="32"/>
                <w:szCs w:val="32"/>
                <w:vertAlign w:val="baseline"/>
                <w:lang w:val="en-US" w:eastAsia="zh-CN" w:bidi="ar-SA"/>
              </w:rPr>
            </w:pPr>
            <w:r>
              <w:drawing>
                <wp:inline distT="0" distB="0" distL="114300" distR="114300">
                  <wp:extent cx="2879725" cy="1906905"/>
                  <wp:effectExtent l="0" t="0" r="1587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2879725" cy="1906905"/>
                          </a:xfrm>
                          <a:prstGeom prst="rect">
                            <a:avLst/>
                          </a:prstGeom>
                          <a:noFill/>
                          <a:ln>
                            <a:noFill/>
                          </a:ln>
                        </pic:spPr>
                      </pic:pic>
                    </a:graphicData>
                  </a:graphic>
                </wp:inline>
              </w:drawing>
            </w:r>
          </w:p>
        </w:tc>
        <w:tc>
          <w:tcPr>
            <w:tcW w:w="4587" w:type="dxa"/>
            <w:vAlign w:val="center"/>
          </w:tcPr>
          <w:p w14:paraId="545DC630">
            <w:pPr>
              <w:pStyle w:val="39"/>
              <w:keepNext w:val="0"/>
              <w:keepLines w:val="0"/>
              <w:pageBreakBefore w:val="0"/>
              <w:widowControl w:val="0"/>
              <w:kinsoku/>
              <w:wordWrap/>
              <w:overflowPunct/>
              <w:topLinePunct w:val="0"/>
              <w:autoSpaceDE/>
              <w:autoSpaceDN/>
              <w:bidi w:val="0"/>
              <w:adjustRightInd/>
              <w:snapToGrid w:val="0"/>
              <w:spacing w:after="0" w:line="240" w:lineRule="auto"/>
              <w:ind w:left="0" w:leftChars="0" w:firstLine="0" w:firstLineChars="0"/>
              <w:jc w:val="center"/>
              <w:textAlignment w:val="baseline"/>
              <w:rPr>
                <w:rFonts w:hint="eastAsia" w:ascii="仿宋_GB2312" w:hAnsi="宋体" w:eastAsia="仿宋_GB2312" w:cs="Times New Roman"/>
                <w:kern w:val="2"/>
                <w:sz w:val="32"/>
                <w:szCs w:val="32"/>
                <w:vertAlign w:val="baseline"/>
                <w:lang w:val="en-US" w:eastAsia="zh-CN" w:bidi="ar-SA"/>
              </w:rPr>
            </w:pPr>
            <w:r>
              <w:drawing>
                <wp:inline distT="0" distB="0" distL="114300" distR="114300">
                  <wp:extent cx="2879725" cy="1918970"/>
                  <wp:effectExtent l="0" t="0" r="1587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2879725" cy="1918970"/>
                          </a:xfrm>
                          <a:prstGeom prst="rect">
                            <a:avLst/>
                          </a:prstGeom>
                          <a:noFill/>
                          <a:ln>
                            <a:noFill/>
                          </a:ln>
                        </pic:spPr>
                      </pic:pic>
                    </a:graphicData>
                  </a:graphic>
                </wp:inline>
              </w:drawing>
            </w:r>
          </w:p>
        </w:tc>
      </w:tr>
      <w:tr w14:paraId="6078A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174" w:type="dxa"/>
            <w:gridSpan w:val="2"/>
            <w:vAlign w:val="center"/>
          </w:tcPr>
          <w:p w14:paraId="034386B5">
            <w:pPr>
              <w:pStyle w:val="39"/>
              <w:keepNext w:val="0"/>
              <w:keepLines w:val="0"/>
              <w:pageBreakBefore w:val="0"/>
              <w:widowControl w:val="0"/>
              <w:kinsoku/>
              <w:wordWrap/>
              <w:overflowPunct/>
              <w:topLinePunct w:val="0"/>
              <w:autoSpaceDE/>
              <w:autoSpaceDN/>
              <w:bidi w:val="0"/>
              <w:adjustRightInd/>
              <w:snapToGrid w:val="0"/>
              <w:spacing w:after="0" w:line="240" w:lineRule="auto"/>
              <w:jc w:val="center"/>
              <w:textAlignment w:val="baseline"/>
              <w:rPr>
                <w:rFonts w:hint="default" w:ascii="仿宋_GB2312" w:hAnsi="宋体" w:eastAsia="仿宋_GB2312" w:cs="Times New Roman"/>
                <w:kern w:val="2"/>
                <w:sz w:val="32"/>
                <w:szCs w:val="32"/>
                <w:vertAlign w:val="baseline"/>
                <w:lang w:val="en-US" w:eastAsia="zh-CN" w:bidi="ar-SA"/>
              </w:rPr>
            </w:pPr>
            <w:r>
              <w:rPr>
                <w:rFonts w:hint="eastAsia" w:ascii="仿宋_GB2312" w:hAnsi="宋体" w:eastAsia="仿宋_GB2312" w:cs="Times New Roman"/>
                <w:kern w:val="2"/>
                <w:sz w:val="28"/>
                <w:szCs w:val="28"/>
                <w:vertAlign w:val="baseline"/>
                <w:lang w:val="en-US" w:eastAsia="zh-CN" w:bidi="ar-SA"/>
              </w:rPr>
              <w:t>图2  香子含笑人工林</w:t>
            </w:r>
          </w:p>
        </w:tc>
      </w:tr>
    </w:tbl>
    <w:p w14:paraId="7DA252C4">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t>3.4栽植方法</w:t>
      </w:r>
    </w:p>
    <w:p w14:paraId="064BD701">
      <w:pPr>
        <w:keepNext w:val="0"/>
        <w:keepLines w:val="0"/>
        <w:pageBreakBefore w:val="0"/>
        <w:kinsoku/>
        <w:overflowPunct/>
        <w:topLinePunct w:val="0"/>
        <w:bidi w:val="0"/>
        <w:ind w:firstLine="640" w:firstLineChars="200"/>
        <w:rPr>
          <w:rFonts w:hint="eastAsia" w:ascii="仿宋_GB2312" w:hAnsi="宋体" w:cs="宋体"/>
          <w:color w:val="000000"/>
          <w:kern w:val="0"/>
          <w:sz w:val="32"/>
          <w:szCs w:val="28"/>
          <w:lang w:val="en-US" w:eastAsia="zh-CN" w:bidi="ar-SA"/>
        </w:rPr>
      </w:pPr>
      <w:r>
        <w:rPr>
          <w:rFonts w:hint="eastAsia" w:ascii="仿宋_GB2312" w:hAnsi="宋体" w:eastAsia="仿宋_GB2312" w:cs="宋体"/>
          <w:color w:val="000000"/>
          <w:kern w:val="0"/>
          <w:sz w:val="32"/>
          <w:szCs w:val="28"/>
          <w:lang w:val="en-US" w:eastAsia="zh-CN" w:bidi="ar-SA"/>
        </w:rPr>
        <w:t>苗木在容器中生长时，根系会沿着容器内壁盘旋生长。如果不拆除容器，这些根系在定植后无法向外伸展，会继续在原来的小范围内盘绕，形成“窝根”或“盘根”。“窝根”的苗木就像被限制在无形的牢笼里，无法从周围的土壤中有效吸收水分和养分，导致苗木生长不良、长势衰弱，后期易受干旱、风害影响，甚至整株死亡。《GB/T 15776-2023  造林技术规程》明确要求容器苗宜采用可降解的容器。栽植时应对生长出容器外的根系进行修剪,不易降解的容器应进行脱袋处理</w:t>
      </w:r>
      <w:r>
        <w:rPr>
          <w:rFonts w:hint="eastAsia" w:ascii="仿宋_GB2312" w:hAnsi="宋体" w:cs="宋体"/>
          <w:color w:val="000000"/>
          <w:kern w:val="0"/>
          <w:sz w:val="32"/>
          <w:szCs w:val="28"/>
          <w:lang w:val="en-US" w:eastAsia="zh-CN" w:bidi="ar-SA"/>
        </w:rPr>
        <w:t>。</w:t>
      </w:r>
    </w:p>
    <w:p w14:paraId="3D0325D5">
      <w:pPr>
        <w:pStyle w:val="2"/>
        <w:ind w:firstLine="640" w:firstLineChars="200"/>
        <w:rPr>
          <w:rFonts w:hint="eastAsia"/>
          <w:lang w:val="en-US" w:eastAsia="zh-CN"/>
        </w:rPr>
      </w:pPr>
      <w:r>
        <w:rPr>
          <w:rFonts w:hint="eastAsia" w:ascii="仿宋_GB2312" w:hAnsi="宋体" w:eastAsia="仿宋_GB2312" w:cs="宋体"/>
          <w:color w:val="000000"/>
          <w:kern w:val="0"/>
          <w:sz w:val="32"/>
          <w:szCs w:val="28"/>
          <w:lang w:val="en-US" w:eastAsia="zh-CN" w:bidi="ar-SA"/>
        </w:rPr>
        <w:t>栽植前挖</w:t>
      </w:r>
      <w:r>
        <w:rPr>
          <w:rFonts w:hint="eastAsia" w:ascii="仿宋_GB2312" w:hAnsi="宋体" w:eastAsia="仿宋_GB2312" w:cs="宋体"/>
          <w:sz w:val="32"/>
          <w:szCs w:val="28"/>
          <w:highlight w:val="none"/>
        </w:rPr>
        <w:t>30×</w:t>
      </w:r>
      <w:r>
        <w:rPr>
          <w:rFonts w:hint="eastAsia" w:ascii="仿宋_GB2312" w:hAnsi="宋体" w:eastAsia="仿宋_GB2312" w:cs="宋体"/>
          <w:sz w:val="32"/>
          <w:szCs w:val="28"/>
          <w:highlight w:val="none"/>
          <w:lang w:val="en-US" w:eastAsia="zh-CN"/>
        </w:rPr>
        <w:t>40</w:t>
      </w:r>
      <w:r>
        <w:rPr>
          <w:rFonts w:hint="eastAsia" w:ascii="仿宋_GB2312" w:hAnsi="宋体" w:eastAsia="仿宋_GB2312" w:cs="宋体"/>
          <w:sz w:val="32"/>
          <w:szCs w:val="28"/>
          <w:highlight w:val="none"/>
        </w:rPr>
        <w:t>×</w:t>
      </w:r>
      <w:r>
        <w:rPr>
          <w:rFonts w:hint="eastAsia" w:ascii="仿宋_GB2312" w:hAnsi="宋体" w:eastAsia="仿宋_GB2312" w:cs="宋体"/>
          <w:sz w:val="32"/>
          <w:szCs w:val="28"/>
          <w:highlight w:val="none"/>
          <w:lang w:val="en-US" w:eastAsia="zh-CN"/>
        </w:rPr>
        <w:t>5</w:t>
      </w:r>
      <w:r>
        <w:rPr>
          <w:rFonts w:hint="eastAsia" w:ascii="仿宋_GB2312" w:hAnsi="宋体" w:eastAsia="仿宋_GB2312" w:cs="宋体"/>
          <w:sz w:val="32"/>
          <w:szCs w:val="28"/>
          <w:highlight w:val="none"/>
        </w:rPr>
        <w:t>0</w:t>
      </w:r>
      <w:r>
        <w:rPr>
          <w:rFonts w:hint="eastAsia" w:ascii="仿宋_GB2312" w:hAnsi="宋体" w:eastAsia="仿宋_GB2312" w:cs="宋体"/>
          <w:color w:val="000000"/>
          <w:kern w:val="0"/>
          <w:sz w:val="32"/>
          <w:szCs w:val="28"/>
          <w:highlight w:val="none"/>
          <w:lang w:val="en-US" w:eastAsia="zh-CN" w:bidi="ar-SA"/>
        </w:rPr>
        <w:t>cm</w:t>
      </w:r>
      <w:r>
        <w:rPr>
          <w:rFonts w:hint="eastAsia" w:ascii="仿宋_GB2312" w:hAnsi="宋体" w:eastAsia="仿宋_GB2312" w:cs="宋体"/>
          <w:color w:val="000000"/>
          <w:kern w:val="0"/>
          <w:sz w:val="32"/>
          <w:szCs w:val="28"/>
          <w:highlight w:val="none"/>
          <w:lang w:val="en-US" w:eastAsia="zh-CN" w:bidi="ar-SA"/>
        </w:rPr>
        <w:t>定植坑</w:t>
      </w:r>
      <w:r>
        <w:rPr>
          <w:rFonts w:hint="eastAsia" w:ascii="仿宋_GB2312" w:hAnsi="宋体" w:eastAsia="仿宋_GB2312" w:cs="宋体"/>
          <w:color w:val="000000"/>
          <w:kern w:val="0"/>
          <w:sz w:val="32"/>
          <w:szCs w:val="28"/>
          <w:lang w:val="en-US" w:eastAsia="zh-CN" w:bidi="ar-SA"/>
        </w:rPr>
        <w:t>，为根系创造疏松的生长空间，打破原有紧实的土壤，使苗木根系能轻松向下和向四周伸展，有利于通气、保水和养分富集。新回填的土壤比较疏松，浇水或降雨后会发生沉降。如果栽植时与地面平齐，沉降后会导致苗木根茎部（树干与根系的交界处）埋土过深，甚至形成洼地，易积水引起烂根，填充松土并高于杯面5cm，可以预防土壤沉降，而且还可以保护根茎。</w:t>
      </w:r>
    </w:p>
    <w:p w14:paraId="155C5037">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t>3.5查苗补植</w:t>
      </w:r>
    </w:p>
    <w:p w14:paraId="1A427283">
      <w:pPr>
        <w:keepNext w:val="0"/>
        <w:keepLines w:val="0"/>
        <w:pageBreakBefore w:val="0"/>
        <w:kinsoku/>
        <w:overflowPunct/>
        <w:topLinePunct w:val="0"/>
        <w:bidi w:val="0"/>
        <w:ind w:firstLine="640" w:firstLineChars="200"/>
        <w:rPr>
          <w:rFonts w:hint="eastAsia" w:ascii="仿宋_GB2312" w:hAnsi="宋体" w:cs="宋体"/>
          <w:color w:val="000000"/>
          <w:kern w:val="0"/>
          <w:sz w:val="32"/>
          <w:szCs w:val="28"/>
          <w:lang w:val="en-US" w:eastAsia="zh-CN" w:bidi="ar-SA"/>
        </w:rPr>
      </w:pPr>
      <w:r>
        <w:rPr>
          <w:rFonts w:hint="eastAsia" w:ascii="仿宋_GB2312" w:hAnsi="宋体" w:eastAsia="仿宋_GB2312" w:cs="宋体"/>
          <w:color w:val="000000"/>
          <w:kern w:val="0"/>
          <w:sz w:val="32"/>
          <w:szCs w:val="28"/>
          <w:lang w:val="en-US" w:eastAsia="zh-CN" w:bidi="ar-SA"/>
        </w:rPr>
        <w:t>一般造林工程项目验收，通常都将成活率85%～90%作为一个关键的验收指标，如果成活率低于这个范围，意味着林地里出现了过多的空缺，会导致土地利用效率低下，林分整体结构不完整，影响未来的林木产量和生态功能。</w:t>
      </w:r>
      <w:r>
        <w:rPr>
          <w:rFonts w:hint="eastAsia" w:ascii="仿宋_GB2312" w:hAnsi="宋体" w:cs="宋体"/>
          <w:color w:val="000000"/>
          <w:kern w:val="0"/>
          <w:sz w:val="32"/>
          <w:szCs w:val="28"/>
          <w:lang w:val="en-US" w:eastAsia="zh-CN" w:bidi="ar-SA"/>
        </w:rPr>
        <w:t>而且</w:t>
      </w:r>
      <w:r>
        <w:rPr>
          <w:rFonts w:hint="eastAsia" w:ascii="仿宋_GB2312" w:hAnsi="宋体" w:eastAsia="仿宋_GB2312" w:cs="宋体"/>
          <w:color w:val="000000"/>
          <w:kern w:val="0"/>
          <w:sz w:val="32"/>
          <w:szCs w:val="28"/>
          <w:lang w:val="en-US" w:eastAsia="zh-CN" w:bidi="ar-SA"/>
        </w:rPr>
        <w:t>病弱苗不仅自身难以成材，占据着生长空间，浪费资源</w:t>
      </w:r>
      <w:r>
        <w:rPr>
          <w:rFonts w:hint="eastAsia" w:ascii="仿宋_GB2312" w:hAnsi="宋体" w:cs="宋体"/>
          <w:color w:val="000000"/>
          <w:kern w:val="0"/>
          <w:sz w:val="32"/>
          <w:szCs w:val="28"/>
          <w:lang w:val="en-US" w:eastAsia="zh-CN" w:bidi="ar-SA"/>
        </w:rPr>
        <w:t>，</w:t>
      </w:r>
      <w:r>
        <w:rPr>
          <w:rFonts w:hint="eastAsia" w:ascii="仿宋_GB2312" w:hAnsi="宋体" w:eastAsia="仿宋_GB2312" w:cs="宋体"/>
          <w:color w:val="000000"/>
          <w:kern w:val="0"/>
          <w:sz w:val="32"/>
          <w:szCs w:val="28"/>
          <w:lang w:val="en-US" w:eastAsia="zh-CN" w:bidi="ar-SA"/>
        </w:rPr>
        <w:t>还可能成为病虫害的传染源，威胁周边健康苗木</w:t>
      </w:r>
      <w:r>
        <w:rPr>
          <w:rFonts w:hint="eastAsia" w:ascii="仿宋_GB2312" w:hAnsi="宋体" w:cs="宋体"/>
          <w:color w:val="000000"/>
          <w:kern w:val="0"/>
          <w:sz w:val="32"/>
          <w:szCs w:val="28"/>
          <w:lang w:val="en-US" w:eastAsia="zh-CN" w:bidi="ar-SA"/>
        </w:rPr>
        <w:t>，因此要及时查苗补植。</w:t>
      </w:r>
    </w:p>
    <w:p w14:paraId="0B4CA0AC">
      <w:pPr>
        <w:pStyle w:val="2"/>
        <w:ind w:firstLine="640" w:firstLineChars="200"/>
        <w:rPr>
          <w:rFonts w:hint="default" w:ascii="仿宋_GB2312" w:hAnsi="宋体" w:eastAsia="仿宋_GB2312" w:cs="宋体"/>
          <w:color w:val="000000"/>
          <w:kern w:val="0"/>
          <w:sz w:val="32"/>
          <w:szCs w:val="28"/>
          <w:lang w:val="en-US" w:eastAsia="zh-CN" w:bidi="ar-SA"/>
        </w:rPr>
      </w:pPr>
      <w:r>
        <w:rPr>
          <w:rFonts w:hint="default" w:ascii="仿宋_GB2312" w:hAnsi="宋体" w:eastAsia="仿宋_GB2312" w:cs="宋体"/>
          <w:color w:val="000000"/>
          <w:kern w:val="0"/>
          <w:sz w:val="32"/>
          <w:szCs w:val="28"/>
          <w:lang w:val="en-US" w:eastAsia="zh-CN" w:bidi="ar-SA"/>
        </w:rPr>
        <w:t>补植的苗木与最初栽植的苗木在大小、生长势上存在差距</w:t>
      </w:r>
      <w:r>
        <w:rPr>
          <w:rFonts w:hint="eastAsia" w:ascii="仿宋_GB2312" w:hAnsi="宋体" w:eastAsia="仿宋_GB2312" w:cs="宋体"/>
          <w:color w:val="000000"/>
          <w:kern w:val="0"/>
          <w:sz w:val="32"/>
          <w:szCs w:val="28"/>
          <w:lang w:val="en-US" w:eastAsia="zh-CN" w:bidi="ar-SA"/>
        </w:rPr>
        <w:t>，</w:t>
      </w:r>
      <w:r>
        <w:rPr>
          <w:rFonts w:hint="default" w:ascii="仿宋_GB2312" w:hAnsi="宋体" w:eastAsia="仿宋_GB2312" w:cs="宋体"/>
          <w:color w:val="000000"/>
          <w:kern w:val="0"/>
          <w:sz w:val="32"/>
          <w:szCs w:val="28"/>
          <w:lang w:val="en-US" w:eastAsia="zh-CN" w:bidi="ar-SA"/>
        </w:rPr>
        <w:t>越早补植，补植苗与原有苗木的生长环境（光照、水分、养分竞争）越接近，越有可能“追上”大苗的生长，形成整齐划一的林分。定植后</w:t>
      </w:r>
      <w:r>
        <w:rPr>
          <w:rFonts w:hint="eastAsia" w:ascii="仿宋_GB2312" w:hAnsi="宋体" w:eastAsia="仿宋_GB2312" w:cs="宋体"/>
          <w:color w:val="000000"/>
          <w:kern w:val="0"/>
          <w:sz w:val="32"/>
          <w:szCs w:val="28"/>
          <w:lang w:val="en-US" w:eastAsia="zh-CN" w:bidi="ar-SA"/>
        </w:rPr>
        <w:t>1</w:t>
      </w:r>
      <w:r>
        <w:rPr>
          <w:rFonts w:hint="default" w:ascii="仿宋_GB2312" w:hAnsi="宋体" w:eastAsia="仿宋_GB2312" w:cs="宋体"/>
          <w:color w:val="000000"/>
          <w:kern w:val="0"/>
          <w:sz w:val="32"/>
          <w:szCs w:val="28"/>
          <w:lang w:val="en-US" w:eastAsia="zh-CN" w:bidi="ar-SA"/>
        </w:rPr>
        <w:t>个月左右，通常是苗木刚刚度过缓苗期，进入生长季节的时候。此时气候条件适宜，补植苗的成活率最高。如果拖延太久，原有健康苗木的根系已经扩展开，会强烈竞争水分和养分，导致补植苗难以存活。</w:t>
      </w:r>
    </w:p>
    <w:p w14:paraId="49EEC0A4">
      <w:pPr>
        <w:keepNext w:val="0"/>
        <w:keepLines w:val="0"/>
        <w:pageBreakBefore w:val="0"/>
        <w:kinsoku/>
        <w:overflowPunct/>
        <w:topLinePunct w:val="0"/>
        <w:bidi w:val="0"/>
        <w:ind w:firstLine="643" w:firstLineChars="200"/>
        <w:rPr>
          <w:rFonts w:hint="eastAsia" w:ascii="仿宋_GB2312" w:hAnsi="宋体"/>
          <w:b/>
          <w:color w:val="auto"/>
          <w:sz w:val="32"/>
          <w:szCs w:val="32"/>
          <w:lang w:val="en-US" w:eastAsia="zh-CN"/>
        </w:rPr>
      </w:pPr>
      <w:r>
        <w:rPr>
          <w:rFonts w:hint="eastAsia" w:ascii="仿宋_GB2312" w:hAnsi="宋体"/>
          <w:b/>
          <w:color w:val="auto"/>
          <w:sz w:val="32"/>
          <w:szCs w:val="32"/>
          <w:lang w:val="en-US" w:eastAsia="zh-CN"/>
        </w:rPr>
        <w:t>（四）抚育管理</w:t>
      </w:r>
    </w:p>
    <w:p w14:paraId="43A15DA8">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t>4.1除草松土</w:t>
      </w:r>
    </w:p>
    <w:p w14:paraId="4F210C84">
      <w:pPr>
        <w:pStyle w:val="2"/>
        <w:ind w:firstLine="640" w:firstLineChars="200"/>
        <w:rPr>
          <w:rFonts w:hint="eastAsia" w:ascii="仿宋_GB2312" w:hAnsi="宋体" w:eastAsia="仿宋_GB2312" w:cs="宋体"/>
          <w:color w:val="000000"/>
          <w:kern w:val="0"/>
          <w:sz w:val="32"/>
          <w:szCs w:val="28"/>
          <w:lang w:val="en-US" w:eastAsia="zh-CN" w:bidi="ar-SA"/>
        </w:rPr>
      </w:pPr>
      <w:r>
        <w:rPr>
          <w:rFonts w:hint="eastAsia" w:ascii="仿宋_GB2312" w:hAnsi="宋体" w:eastAsia="仿宋_GB2312" w:cs="宋体"/>
          <w:color w:val="000000"/>
          <w:kern w:val="0"/>
          <w:sz w:val="32"/>
          <w:szCs w:val="28"/>
          <w:lang w:val="en-US" w:eastAsia="zh-CN" w:bidi="ar-SA"/>
        </w:rPr>
        <w:t>新栽植的苗木根系尚未充分伸展，吸收水分和养分的能力很弱。而杂草通常生长迅猛，会与苗木激烈争夺土壤中的水分、养分和光照。在造林初期，杂草是导致苗木成活率低和生长不良的主要因素之一。例如，广西高峰林场种植的香子含笑，1-3年生每年3-5月、7-8月除草各1次，七坡林场种植的香子含笑每年6～7月除草1次。</w:t>
      </w:r>
    </w:p>
    <w:p w14:paraId="4714AA3E">
      <w:pPr>
        <w:pStyle w:val="2"/>
        <w:ind w:firstLine="640" w:firstLineChars="200"/>
        <w:rPr>
          <w:rFonts w:hint="eastAsia" w:ascii="仿宋_GB2312" w:hAnsi="宋体"/>
          <w:b w:val="0"/>
          <w:bCs/>
          <w:color w:val="auto"/>
          <w:sz w:val="28"/>
          <w:szCs w:val="28"/>
          <w:lang w:val="en-US" w:eastAsia="zh-CN"/>
        </w:rPr>
      </w:pPr>
      <w:r>
        <w:rPr>
          <w:rFonts w:hint="eastAsia" w:ascii="仿宋_GB2312" w:hAnsi="宋体" w:eastAsia="仿宋_GB2312" w:cs="宋体"/>
          <w:color w:val="000000"/>
          <w:kern w:val="0"/>
          <w:sz w:val="32"/>
          <w:szCs w:val="28"/>
          <w:lang w:val="en-US" w:eastAsia="zh-CN" w:bidi="ar-SA"/>
        </w:rPr>
        <w:t>本标准考虑了香子含笑定植后生长情况，1.5个月时，苗木刚度过最初缓苗期，开始生长；3个月和6个月时，正值苗木生长旺季（通常是春夏季），也是杂草生长最旺盛的时期。此时除草，能最大限度地为苗木创造适宜生长环境。第2、第3年时，苗木已长大，但林分尚未郁闭，林下仍有阳光，杂草会继续生长。每年一次的除草可以持续为苗木生长保驾护航，直至其树冠形成荫蔽，自然抑制杂草生长。</w:t>
      </w:r>
    </w:p>
    <w:p w14:paraId="5E03CC79">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default" w:ascii="仿宋_GB2312" w:hAnsi="宋体" w:eastAsia="仿宋_GB2312"/>
          <w:sz w:val="32"/>
          <w:szCs w:val="28"/>
          <w:lang w:val="en-US" w:eastAsia="zh-CN"/>
        </w:rPr>
      </w:pPr>
      <w:r>
        <w:rPr>
          <w:rFonts w:hint="eastAsia" w:ascii="仿宋_GB2312" w:hAnsi="宋体" w:eastAsia="仿宋_GB2312"/>
          <w:sz w:val="32"/>
          <w:szCs w:val="28"/>
          <w:lang w:val="en-US" w:eastAsia="zh-CN"/>
        </w:rPr>
        <w:t>4.2施肥</w:t>
      </w:r>
    </w:p>
    <w:p w14:paraId="06BC887E">
      <w:pPr>
        <w:pStyle w:val="2"/>
        <w:ind w:firstLine="640" w:firstLineChars="200"/>
        <w:rPr>
          <w:rFonts w:hint="eastAsia" w:ascii="仿宋_GB2312" w:hAnsi="宋体" w:eastAsia="仿宋_GB2312" w:cs="宋体"/>
          <w:color w:val="000000"/>
          <w:kern w:val="0"/>
          <w:sz w:val="32"/>
          <w:szCs w:val="28"/>
          <w:lang w:val="en-US" w:eastAsia="zh-CN" w:bidi="ar-SA"/>
        </w:rPr>
      </w:pPr>
      <w:r>
        <w:rPr>
          <w:rFonts w:hint="eastAsia" w:ascii="仿宋_GB2312" w:hAnsi="宋体" w:eastAsia="仿宋_GB2312" w:cs="宋体"/>
          <w:color w:val="000000"/>
          <w:kern w:val="0"/>
          <w:sz w:val="32"/>
          <w:szCs w:val="28"/>
          <w:lang w:val="en-US" w:eastAsia="zh-CN" w:bidi="ar-SA"/>
        </w:rPr>
        <w:t>第一年施肥稍晚（两个月后），是为了避免在苗木根系尚未恢复、吸收能力弱时施肥造成“烧根”。待其稳定成活后，及时补充营养以促进生长。第二、三年5月底前施肥，是为了在生长旺季（春夏季）开始前为树木提供充足的养料。树木在春夏季抽梢、展叶需要消耗大量养分，此时施肥能最大限度地促进当年生长。</w:t>
      </w:r>
    </w:p>
    <w:p w14:paraId="615EE48E">
      <w:pPr>
        <w:pStyle w:val="2"/>
        <w:ind w:firstLine="640" w:firstLineChars="200"/>
        <w:rPr>
          <w:rFonts w:hint="eastAsia" w:ascii="仿宋_GB2312" w:hAnsi="宋体" w:eastAsia="仿宋_GB2312" w:cs="宋体"/>
          <w:color w:val="000000"/>
          <w:kern w:val="0"/>
          <w:sz w:val="32"/>
          <w:szCs w:val="28"/>
          <w:lang w:val="en-US" w:eastAsia="zh-CN" w:bidi="ar-SA"/>
        </w:rPr>
      </w:pPr>
      <w:r>
        <w:rPr>
          <w:rFonts w:hint="eastAsia" w:ascii="仿宋_GB2312" w:hAnsi="宋体" w:eastAsia="仿宋_GB2312" w:cs="宋体"/>
          <w:color w:val="000000"/>
          <w:kern w:val="0"/>
          <w:sz w:val="32"/>
          <w:szCs w:val="28"/>
          <w:lang w:val="en-US" w:eastAsia="zh-CN" w:bidi="ar-SA"/>
        </w:rPr>
        <w:t>肥料选择有机-无机复合肥，兼具无机肥的“速效性”和有机肥的“长效性、改良土壤”的优点，能迅速为苗木提供氮、磷、钾等元素，同时通过有机质改善土壤团粒结构，提高保水保肥能力，避免长期使用化肥导致的土壤板结。第一年由于苗木根系范围小，在靠近根系的侧上方（考虑坡地，上方水土养分更好）开沟，便于幼根吸收。</w:t>
      </w:r>
    </w:p>
    <w:p w14:paraId="0DB682A0">
      <w:pPr>
        <w:pStyle w:val="2"/>
        <w:ind w:firstLine="640" w:firstLineChars="200"/>
        <w:rPr>
          <w:rFonts w:hint="default" w:ascii="仿宋_GB2312" w:hAnsi="宋体" w:eastAsia="仿宋_GB2312" w:cs="宋体"/>
          <w:color w:val="000000"/>
          <w:kern w:val="0"/>
          <w:sz w:val="32"/>
          <w:szCs w:val="28"/>
          <w:lang w:val="en-US" w:eastAsia="zh-CN" w:bidi="ar-SA"/>
        </w:rPr>
      </w:pPr>
      <w:r>
        <w:rPr>
          <w:rFonts w:hint="eastAsia" w:ascii="仿宋_GB2312" w:hAnsi="宋体" w:eastAsia="仿宋_GB2312" w:cs="宋体"/>
          <w:color w:val="000000"/>
          <w:kern w:val="0"/>
          <w:sz w:val="32"/>
          <w:szCs w:val="28"/>
          <w:lang w:val="en-US" w:eastAsia="zh-CN" w:bidi="ar-SA"/>
        </w:rPr>
        <w:t>第二年以后随着树冠扩大，主要的吸收根系（须根）集中分布在树冠垂直投影的“滴水线”附近。这里土壤通气性好，雨水也沿叶面汇集于此，是根系最活跃的区域。在此处施肥，效率最高。追肥量一般每株0.5kg,既能促进生长，又不会造成浪费或环境污染,各林场实际种植过程追肥量见表4。</w:t>
      </w:r>
    </w:p>
    <w:p w14:paraId="284B024E">
      <w:pPr>
        <w:pStyle w:val="39"/>
        <w:keepNext w:val="0"/>
        <w:keepLines w:val="0"/>
        <w:pageBreakBefore w:val="0"/>
        <w:widowControl w:val="0"/>
        <w:kinsoku/>
        <w:wordWrap/>
        <w:overflowPunct/>
        <w:topLinePunct w:val="0"/>
        <w:autoSpaceDE/>
        <w:autoSpaceDN/>
        <w:bidi w:val="0"/>
        <w:adjustRightInd/>
        <w:snapToGrid w:val="0"/>
        <w:spacing w:after="0" w:line="240" w:lineRule="auto"/>
        <w:jc w:val="center"/>
        <w:textAlignment w:val="baseline"/>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val="en-US" w:eastAsia="zh-CN"/>
        </w:rPr>
        <w:t>表4  抚育期间香子含笑施肥量</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23"/>
        <w:gridCol w:w="4634"/>
        <w:gridCol w:w="2913"/>
      </w:tblGrid>
      <w:tr w14:paraId="07C94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5" w:type="pct"/>
            <w:shd w:val="clear" w:color="auto" w:fill="auto"/>
            <w:noWrap w:val="0"/>
            <w:vAlign w:val="center"/>
          </w:tcPr>
          <w:p w14:paraId="79118F48">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序号</w:t>
            </w:r>
          </w:p>
        </w:tc>
        <w:tc>
          <w:tcPr>
            <w:tcW w:w="2526" w:type="pct"/>
            <w:shd w:val="clear" w:color="auto" w:fill="auto"/>
            <w:noWrap w:val="0"/>
            <w:vAlign w:val="center"/>
          </w:tcPr>
          <w:p w14:paraId="1D20A328">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地点</w:t>
            </w:r>
          </w:p>
        </w:tc>
        <w:tc>
          <w:tcPr>
            <w:tcW w:w="1588" w:type="pct"/>
            <w:shd w:val="clear" w:color="auto" w:fill="auto"/>
            <w:noWrap w:val="0"/>
            <w:vAlign w:val="center"/>
          </w:tcPr>
          <w:p w14:paraId="2EBFE99C">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施肥量</w:t>
            </w:r>
          </w:p>
          <w:p w14:paraId="3E83EACB">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/kg</w:t>
            </w:r>
          </w:p>
        </w:tc>
      </w:tr>
      <w:tr w14:paraId="26308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5" w:type="pct"/>
            <w:shd w:val="clear" w:color="auto" w:fill="auto"/>
            <w:noWrap w:val="0"/>
            <w:vAlign w:val="center"/>
          </w:tcPr>
          <w:p w14:paraId="52B82E62">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1</w:t>
            </w:r>
          </w:p>
        </w:tc>
        <w:tc>
          <w:tcPr>
            <w:tcW w:w="2526" w:type="pct"/>
            <w:shd w:val="clear" w:color="auto" w:fill="auto"/>
            <w:noWrap w:val="0"/>
            <w:vAlign w:val="center"/>
          </w:tcPr>
          <w:p w14:paraId="4E1A866C">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eastAsia" w:ascii="仿宋_GB2312" w:hAnsi="宋体" w:eastAsia="仿宋_GB2312" w:cs="宋体"/>
                <w:color w:val="000000"/>
                <w:sz w:val="24"/>
                <w:szCs w:val="24"/>
                <w:vertAlign w:val="baseline"/>
                <w:lang w:val="en-US" w:eastAsia="zh-CN" w:bidi="ar-SA"/>
              </w:rPr>
            </w:pPr>
            <w:r>
              <w:rPr>
                <w:rFonts w:hint="eastAsia" w:ascii="仿宋_GB2312" w:hAnsi="宋体" w:eastAsia="仿宋_GB2312" w:cs="Times New Roman"/>
                <w:kern w:val="2"/>
                <w:sz w:val="24"/>
                <w:szCs w:val="24"/>
                <w:vertAlign w:val="baseline"/>
                <w:lang w:val="en-US" w:eastAsia="zh-CN" w:bidi="ar-SA"/>
              </w:rPr>
              <w:t>广西国有高峰林场</w:t>
            </w:r>
          </w:p>
        </w:tc>
        <w:tc>
          <w:tcPr>
            <w:tcW w:w="1588" w:type="pct"/>
            <w:shd w:val="clear" w:color="auto" w:fill="auto"/>
            <w:noWrap w:val="0"/>
            <w:vAlign w:val="center"/>
          </w:tcPr>
          <w:p w14:paraId="3E6A21E9">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仿宋_GB2312" w:hAnsi="宋体" w:eastAsia="仿宋_GB2312"/>
                <w:color w:val="auto"/>
                <w:sz w:val="24"/>
                <w:szCs w:val="24"/>
                <w:lang w:val="en-US" w:eastAsia="zh-CN"/>
              </w:rPr>
            </w:pPr>
            <w:r>
              <w:rPr>
                <w:rFonts w:hint="eastAsia" w:ascii="仿宋_GB2312" w:hAnsi="宋体" w:eastAsia="仿宋_GB2312"/>
                <w:color w:val="auto"/>
                <w:sz w:val="24"/>
                <w:szCs w:val="24"/>
                <w:lang w:val="en-US" w:eastAsia="zh-CN"/>
              </w:rPr>
              <w:t>0.5</w:t>
            </w:r>
          </w:p>
        </w:tc>
      </w:tr>
      <w:tr w14:paraId="1812C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5" w:type="pct"/>
            <w:shd w:val="clear" w:color="auto" w:fill="auto"/>
            <w:noWrap w:val="0"/>
            <w:vAlign w:val="center"/>
          </w:tcPr>
          <w:p w14:paraId="59EE078F">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2</w:t>
            </w:r>
          </w:p>
        </w:tc>
        <w:tc>
          <w:tcPr>
            <w:tcW w:w="2526" w:type="pct"/>
            <w:shd w:val="clear" w:color="auto" w:fill="auto"/>
            <w:noWrap w:val="0"/>
            <w:vAlign w:val="center"/>
          </w:tcPr>
          <w:p w14:paraId="2D8E06C8">
            <w:pPr>
              <w:keepNext w:val="0"/>
              <w:keepLines w:val="0"/>
              <w:pageBreakBefore w:val="0"/>
              <w:widowControl w:val="0"/>
              <w:kinsoku/>
              <w:wordWrap/>
              <w:overflowPunct/>
              <w:topLinePunct w:val="0"/>
              <w:autoSpaceDE/>
              <w:autoSpaceDN/>
              <w:bidi w:val="0"/>
              <w:adjustRightInd/>
              <w:snapToGrid/>
              <w:ind w:firstLine="0" w:firstLineChars="0"/>
              <w:jc w:val="center"/>
              <w:rPr>
                <w:rFonts w:hint="eastAsia" w:ascii="仿宋_GB2312" w:hAnsi="Times New Roman" w:eastAsia="仿宋_GB2312" w:cs="Times New Roman"/>
                <w:color w:val="auto"/>
                <w:kern w:val="2"/>
                <w:sz w:val="24"/>
                <w:szCs w:val="24"/>
                <w:lang w:val="en-US" w:eastAsia="zh-CN" w:bidi="ar-SA"/>
              </w:rPr>
            </w:pPr>
            <w:r>
              <w:rPr>
                <w:rFonts w:hint="eastAsia" w:ascii="仿宋_GB2312" w:hAnsi="宋体" w:eastAsia="仿宋_GB2312" w:cs="Times New Roman"/>
                <w:kern w:val="2"/>
                <w:sz w:val="24"/>
                <w:szCs w:val="24"/>
                <w:vertAlign w:val="baseline"/>
                <w:lang w:val="en-US" w:eastAsia="zh-CN" w:bidi="ar-SA"/>
              </w:rPr>
              <w:t>广西国有</w:t>
            </w:r>
            <w:r>
              <w:rPr>
                <w:rFonts w:hint="eastAsia" w:ascii="仿宋_GB2312" w:hAnsi="宋体" w:cs="Times New Roman"/>
                <w:kern w:val="2"/>
                <w:sz w:val="24"/>
                <w:szCs w:val="24"/>
                <w:vertAlign w:val="baseline"/>
                <w:lang w:val="en-US" w:eastAsia="zh-CN" w:bidi="ar-SA"/>
              </w:rPr>
              <w:t>七坡</w:t>
            </w:r>
            <w:r>
              <w:rPr>
                <w:rFonts w:hint="eastAsia" w:ascii="仿宋_GB2312" w:hAnsi="宋体" w:eastAsia="仿宋_GB2312" w:cs="Times New Roman"/>
                <w:kern w:val="2"/>
                <w:sz w:val="24"/>
                <w:szCs w:val="24"/>
                <w:vertAlign w:val="baseline"/>
                <w:lang w:val="en-US" w:eastAsia="zh-CN" w:bidi="ar-SA"/>
              </w:rPr>
              <w:t>林场</w:t>
            </w:r>
          </w:p>
        </w:tc>
        <w:tc>
          <w:tcPr>
            <w:tcW w:w="1588" w:type="pct"/>
            <w:shd w:val="clear" w:color="auto" w:fill="auto"/>
            <w:noWrap w:val="0"/>
            <w:vAlign w:val="center"/>
          </w:tcPr>
          <w:p w14:paraId="34250D62">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olor w:val="auto"/>
                <w:sz w:val="24"/>
                <w:szCs w:val="24"/>
                <w:lang w:val="en-US" w:eastAsia="zh-CN"/>
              </w:rPr>
              <w:t>0.5</w:t>
            </w:r>
          </w:p>
        </w:tc>
      </w:tr>
      <w:tr w14:paraId="5E712F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5" w:type="pct"/>
            <w:shd w:val="clear" w:color="auto" w:fill="auto"/>
            <w:noWrap w:val="0"/>
            <w:vAlign w:val="center"/>
          </w:tcPr>
          <w:p w14:paraId="65BE34E8">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rPr>
            </w:pPr>
            <w:r>
              <w:rPr>
                <w:rFonts w:hint="eastAsia" w:ascii="仿宋_GB2312" w:hAnsi="宋体" w:eastAsia="仿宋_GB2312"/>
                <w:color w:val="auto"/>
                <w:sz w:val="24"/>
                <w:szCs w:val="24"/>
              </w:rPr>
              <w:t>3</w:t>
            </w:r>
          </w:p>
        </w:tc>
        <w:tc>
          <w:tcPr>
            <w:tcW w:w="2526" w:type="pct"/>
            <w:shd w:val="clear" w:color="auto" w:fill="auto"/>
            <w:noWrap w:val="0"/>
            <w:vAlign w:val="center"/>
          </w:tcPr>
          <w:p w14:paraId="0264F618">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default" w:ascii="仿宋_GB2312" w:hAnsi="宋体" w:eastAsia="仿宋_GB2312" w:cs="Times New Roman"/>
                <w:color w:val="auto"/>
                <w:kern w:val="2"/>
                <w:sz w:val="24"/>
                <w:szCs w:val="24"/>
                <w:vertAlign w:val="baseline"/>
                <w:lang w:val="en-US" w:eastAsia="zh-CN" w:bidi="ar-SA"/>
              </w:rPr>
            </w:pPr>
            <w:r>
              <w:rPr>
                <w:rFonts w:hint="eastAsia" w:ascii="仿宋_GB2312" w:hAnsi="宋体" w:eastAsia="仿宋_GB2312" w:cs="Times New Roman"/>
                <w:color w:val="auto"/>
                <w:kern w:val="2"/>
                <w:sz w:val="24"/>
                <w:szCs w:val="24"/>
                <w:vertAlign w:val="baseline"/>
                <w:lang w:val="en-US" w:eastAsia="zh-CN" w:bidi="ar-SA"/>
              </w:rPr>
              <w:t>南宁树木园</w:t>
            </w:r>
          </w:p>
        </w:tc>
        <w:tc>
          <w:tcPr>
            <w:tcW w:w="1588" w:type="pct"/>
            <w:shd w:val="clear" w:color="auto" w:fill="auto"/>
            <w:noWrap w:val="0"/>
            <w:vAlign w:val="center"/>
          </w:tcPr>
          <w:p w14:paraId="27EAF69F">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rPr>
            </w:pPr>
            <w:r>
              <w:rPr>
                <w:rFonts w:hint="eastAsia" w:ascii="仿宋_GB2312" w:hAnsi="宋体" w:eastAsia="仿宋_GB2312"/>
                <w:color w:val="auto"/>
                <w:sz w:val="24"/>
                <w:szCs w:val="24"/>
                <w:lang w:val="en-US" w:eastAsia="zh-CN"/>
              </w:rPr>
              <w:t>0.5</w:t>
            </w:r>
          </w:p>
        </w:tc>
      </w:tr>
      <w:tr w14:paraId="7D6FA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85" w:type="pct"/>
            <w:shd w:val="clear" w:color="auto" w:fill="auto"/>
            <w:noWrap w:val="0"/>
            <w:vAlign w:val="center"/>
          </w:tcPr>
          <w:p w14:paraId="6E0399A5">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lang w:eastAsia="zh-CN"/>
              </w:rPr>
            </w:pPr>
            <w:r>
              <w:rPr>
                <w:rFonts w:hint="eastAsia" w:ascii="仿宋_GB2312" w:hAnsi="宋体" w:eastAsia="仿宋_GB2312"/>
                <w:color w:val="auto"/>
                <w:sz w:val="24"/>
                <w:szCs w:val="24"/>
                <w:lang w:val="en-US" w:eastAsia="zh-CN"/>
              </w:rPr>
              <w:t>4</w:t>
            </w:r>
          </w:p>
        </w:tc>
        <w:tc>
          <w:tcPr>
            <w:tcW w:w="2526" w:type="pct"/>
            <w:shd w:val="clear" w:color="auto" w:fill="auto"/>
            <w:noWrap w:val="0"/>
            <w:vAlign w:val="center"/>
          </w:tcPr>
          <w:p w14:paraId="5CFE8B37">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0" w:leftChars="0" w:firstLine="0" w:firstLineChars="0"/>
              <w:jc w:val="center"/>
              <w:textAlignment w:val="auto"/>
              <w:rPr>
                <w:rFonts w:hint="default" w:ascii="仿宋_GB2312" w:hAnsi="宋体" w:eastAsia="仿宋_GB2312" w:cs="Times New Roman"/>
                <w:color w:val="auto"/>
                <w:kern w:val="2"/>
                <w:sz w:val="24"/>
                <w:szCs w:val="24"/>
                <w:vertAlign w:val="baseline"/>
                <w:lang w:val="en-US" w:eastAsia="zh-CN" w:bidi="ar-SA"/>
              </w:rPr>
            </w:pPr>
            <w:r>
              <w:rPr>
                <w:rFonts w:hint="eastAsia" w:ascii="仿宋_GB2312" w:hAnsi="宋体" w:eastAsia="仿宋_GB2312" w:cs="Times New Roman"/>
                <w:color w:val="auto"/>
                <w:kern w:val="2"/>
                <w:sz w:val="24"/>
                <w:szCs w:val="24"/>
                <w:vertAlign w:val="baseline"/>
                <w:lang w:val="en-US" w:eastAsia="zh-CN" w:bidi="ar-SA"/>
              </w:rPr>
              <w:t>广西大学林学院</w:t>
            </w:r>
          </w:p>
        </w:tc>
        <w:tc>
          <w:tcPr>
            <w:tcW w:w="1588" w:type="pct"/>
            <w:shd w:val="clear" w:color="auto" w:fill="auto"/>
            <w:noWrap w:val="0"/>
            <w:vAlign w:val="center"/>
          </w:tcPr>
          <w:p w14:paraId="4F3AB96D">
            <w:pPr>
              <w:pStyle w:val="39"/>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eastAsia" w:ascii="仿宋_GB2312" w:hAnsi="宋体" w:eastAsia="仿宋_GB2312"/>
                <w:color w:val="auto"/>
                <w:sz w:val="24"/>
                <w:szCs w:val="24"/>
              </w:rPr>
            </w:pPr>
            <w:r>
              <w:rPr>
                <w:rFonts w:hint="eastAsia" w:ascii="仿宋_GB2312" w:hAnsi="宋体" w:eastAsia="仿宋_GB2312"/>
                <w:color w:val="auto"/>
                <w:sz w:val="24"/>
                <w:szCs w:val="24"/>
                <w:lang w:val="en-US" w:eastAsia="zh-CN"/>
              </w:rPr>
              <w:t>0.5</w:t>
            </w:r>
          </w:p>
        </w:tc>
      </w:tr>
    </w:tbl>
    <w:p w14:paraId="43DE7C1B">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eastAsia" w:ascii="仿宋_GB2312" w:hAnsi="宋体" w:eastAsia="仿宋_GB2312"/>
          <w:sz w:val="32"/>
          <w:szCs w:val="28"/>
          <w:lang w:val="en-US" w:eastAsia="zh-CN"/>
        </w:rPr>
      </w:pPr>
      <w:r>
        <w:rPr>
          <w:rFonts w:hint="eastAsia" w:ascii="仿宋_GB2312" w:hAnsi="宋体" w:eastAsia="仿宋_GB2312"/>
          <w:sz w:val="32"/>
          <w:szCs w:val="28"/>
          <w:lang w:val="en-US" w:eastAsia="zh-CN"/>
        </w:rPr>
        <w:t>4.3间伐</w:t>
      </w:r>
    </w:p>
    <w:p w14:paraId="272242FE">
      <w:pPr>
        <w:keepNext w:val="0"/>
        <w:keepLines w:val="0"/>
        <w:pageBreakBefore w:val="0"/>
        <w:kinsoku/>
        <w:overflowPunct/>
        <w:topLinePunct w:val="0"/>
        <w:autoSpaceDE w:val="0"/>
        <w:autoSpaceDN w:val="0"/>
        <w:bidi w:val="0"/>
        <w:adjustRightInd w:val="0"/>
        <w:spacing w:line="560" w:lineRule="exact"/>
        <w:ind w:firstLine="640" w:firstLineChars="200"/>
        <w:jc w:val="left"/>
        <w:rPr>
          <w:rFonts w:hint="eastAsia" w:ascii="仿宋_GB2312" w:hAnsi="宋体" w:cs="宋体"/>
          <w:color w:val="000000"/>
          <w:kern w:val="0"/>
          <w:sz w:val="32"/>
          <w:szCs w:val="28"/>
          <w:lang w:val="en-US" w:eastAsia="zh-CN" w:bidi="ar-SA"/>
        </w:rPr>
      </w:pPr>
      <w:bookmarkStart w:id="2" w:name="_Toc526940086"/>
      <w:r>
        <w:rPr>
          <w:rFonts w:hint="eastAsia" w:ascii="仿宋_GB2312" w:hAnsi="宋体" w:eastAsia="仿宋_GB2312" w:cs="宋体"/>
          <w:color w:val="000000"/>
          <w:kern w:val="0"/>
          <w:sz w:val="32"/>
          <w:szCs w:val="28"/>
          <w:lang w:val="en-US" w:eastAsia="zh-CN" w:bidi="ar-SA"/>
        </w:rPr>
        <w:t>香子含笑生长前期较快</w:t>
      </w:r>
      <w:r>
        <w:rPr>
          <w:rFonts w:hint="eastAsia" w:ascii="仿宋_GB2312" w:hAnsi="宋体" w:cs="宋体"/>
          <w:color w:val="000000"/>
          <w:kern w:val="0"/>
          <w:sz w:val="32"/>
          <w:szCs w:val="28"/>
          <w:lang w:val="en-US" w:eastAsia="zh-CN" w:bidi="ar-SA"/>
        </w:rPr>
        <w:t>，</w:t>
      </w:r>
      <w:r>
        <w:rPr>
          <w:rFonts w:hint="eastAsia" w:ascii="仿宋_GB2312" w:hAnsi="宋体" w:eastAsia="仿宋_GB2312" w:cs="宋体"/>
          <w:color w:val="000000"/>
          <w:kern w:val="0"/>
          <w:sz w:val="32"/>
          <w:szCs w:val="28"/>
          <w:lang w:val="en-US" w:eastAsia="zh-CN" w:bidi="ar-SA"/>
        </w:rPr>
        <w:t>到第7-8年，树冠和根系基本充分扩展，林分郁闭度高，林木之间对光照、水分和养分的竞争开始变得激烈。此时及时进行间伐，可以优化生长空间，避免因过度竞争导致林木生长衰退。</w:t>
      </w:r>
      <w:r>
        <w:rPr>
          <w:rFonts w:hint="eastAsia" w:ascii="仿宋_GB2312" w:hAnsi="宋体" w:cs="宋体"/>
          <w:color w:val="000000"/>
          <w:kern w:val="0"/>
          <w:sz w:val="32"/>
          <w:szCs w:val="28"/>
          <w:lang w:val="en-US" w:eastAsia="zh-CN" w:bidi="ar-SA"/>
        </w:rPr>
        <w:t>而且</w:t>
      </w:r>
      <w:r>
        <w:rPr>
          <w:rFonts w:hint="eastAsia" w:ascii="仿宋_GB2312" w:hAnsi="宋体" w:eastAsia="仿宋_GB2312" w:cs="宋体"/>
          <w:color w:val="000000"/>
          <w:kern w:val="0"/>
          <w:sz w:val="32"/>
          <w:szCs w:val="28"/>
          <w:lang w:val="en-US" w:eastAsia="zh-CN" w:bidi="ar-SA"/>
        </w:rPr>
        <w:t>香子含笑是喜光树种</w:t>
      </w:r>
      <w:r>
        <w:rPr>
          <w:rFonts w:hint="eastAsia" w:ascii="仿宋_GB2312" w:hAnsi="宋体" w:cs="宋体"/>
          <w:color w:val="000000"/>
          <w:kern w:val="0"/>
          <w:sz w:val="32"/>
          <w:szCs w:val="28"/>
          <w:lang w:val="en-US" w:eastAsia="zh-CN" w:bidi="ar-SA"/>
        </w:rPr>
        <w:t>，</w:t>
      </w:r>
      <w:r>
        <w:rPr>
          <w:rFonts w:hint="eastAsia" w:ascii="仿宋_GB2312" w:hAnsi="宋体" w:eastAsia="仿宋_GB2312" w:cs="宋体"/>
          <w:color w:val="000000"/>
          <w:kern w:val="0"/>
          <w:sz w:val="32"/>
          <w:szCs w:val="28"/>
          <w:lang w:val="en-US" w:eastAsia="zh-CN" w:bidi="ar-SA"/>
        </w:rPr>
        <w:t>随着林木生长，通过间伐移除生长不良、有病虫害或过密的林木，能为保留木创造更优越的光照和营养条件，维持其高速生长</w:t>
      </w:r>
      <w:r>
        <w:rPr>
          <w:rFonts w:hint="eastAsia" w:ascii="仿宋_GB2312" w:hAnsi="宋体" w:cs="宋体"/>
          <w:color w:val="000000"/>
          <w:kern w:val="0"/>
          <w:sz w:val="32"/>
          <w:szCs w:val="28"/>
          <w:lang w:val="en-US" w:eastAsia="zh-CN" w:bidi="ar-SA"/>
        </w:rPr>
        <w:t>。</w:t>
      </w:r>
    </w:p>
    <w:p w14:paraId="42119572">
      <w:pPr>
        <w:pStyle w:val="37"/>
        <w:ind w:firstLine="420"/>
        <w:rPr>
          <w:rFonts w:hint="eastAsia" w:ascii="仿宋_GB2312" w:hAnsi="宋体" w:eastAsia="仿宋_GB2312" w:cs="宋体"/>
          <w:color w:val="000000"/>
          <w:kern w:val="0"/>
          <w:sz w:val="32"/>
          <w:szCs w:val="28"/>
          <w:lang w:val="en-US" w:eastAsia="zh-CN" w:bidi="ar-SA"/>
        </w:rPr>
      </w:pPr>
      <w:r>
        <w:rPr>
          <w:rFonts w:hint="eastAsia" w:ascii="仿宋_GB2312" w:hAnsi="宋体" w:eastAsia="仿宋_GB2312" w:cs="宋体"/>
          <w:color w:val="000000"/>
          <w:kern w:val="0"/>
          <w:sz w:val="32"/>
          <w:szCs w:val="28"/>
          <w:lang w:val="en-US" w:eastAsia="zh-CN" w:bidi="ar-SA"/>
        </w:rPr>
        <w:t>《GB/T 15781  森林抚育规程》中规定了透光伐、疏伐、生长伐的适用条件和方法。例如，广西高峰林场种植的16.2亩香子含笑采用目标树经营模式，每亩选择8-10株优势林作为目标树，按30%间伐强度进行间伐，林分保留35株/亩；平均树高21.6m，平均胸径22.2cm。</w:t>
      </w:r>
    </w:p>
    <w:p w14:paraId="3195195F">
      <w:pPr>
        <w:pStyle w:val="2"/>
        <w:keepNext w:val="0"/>
        <w:keepLines w:val="0"/>
        <w:pageBreakBefore w:val="0"/>
        <w:widowControl w:val="0"/>
        <w:numPr>
          <w:ilvl w:val="0"/>
          <w:numId w:val="0"/>
        </w:numPr>
        <w:kinsoku/>
        <w:wordWrap/>
        <w:overflowPunct/>
        <w:topLinePunct w:val="0"/>
        <w:autoSpaceDE w:val="0"/>
        <w:autoSpaceDN w:val="0"/>
        <w:bidi w:val="0"/>
        <w:adjustRightInd w:val="0"/>
        <w:snapToGrid/>
        <w:ind w:leftChars="0" w:firstLine="640" w:firstLineChars="200"/>
        <w:textAlignment w:val="auto"/>
        <w:rPr>
          <w:rFonts w:hint="default" w:ascii="黑体" w:hAnsi="黑体" w:eastAsia="黑体" w:cs="仿宋_GB2312"/>
          <w:sz w:val="32"/>
          <w:szCs w:val="32"/>
          <w:lang w:val="en-US" w:eastAsia="zh-CN"/>
        </w:rPr>
      </w:pPr>
      <w:r>
        <w:rPr>
          <w:rFonts w:hint="eastAsia" w:ascii="仿宋_GB2312" w:hAnsi="宋体" w:eastAsia="仿宋_GB2312"/>
          <w:sz w:val="32"/>
          <w:szCs w:val="28"/>
          <w:lang w:val="en-US" w:eastAsia="zh-CN"/>
        </w:rPr>
        <w:t>（五）病虫害防治</w:t>
      </w:r>
    </w:p>
    <w:p w14:paraId="7CE9D84C">
      <w:pPr>
        <w:keepNext w:val="0"/>
        <w:keepLines w:val="0"/>
        <w:pageBreakBefore w:val="0"/>
        <w:kinsoku/>
        <w:overflowPunct/>
        <w:topLinePunct w:val="0"/>
        <w:autoSpaceDE w:val="0"/>
        <w:autoSpaceDN w:val="0"/>
        <w:bidi w:val="0"/>
        <w:adjustRightInd w:val="0"/>
        <w:spacing w:line="560" w:lineRule="exact"/>
        <w:ind w:firstLine="640" w:firstLineChars="200"/>
        <w:jc w:val="left"/>
        <w:rPr>
          <w:rFonts w:hint="eastAsia" w:ascii="仿宋_GB2312" w:hAnsi="宋体" w:cs="宋体"/>
          <w:color w:val="000000"/>
          <w:kern w:val="0"/>
          <w:sz w:val="32"/>
          <w:szCs w:val="28"/>
          <w:lang w:val="en-US" w:eastAsia="zh-CN" w:bidi="ar-SA"/>
        </w:rPr>
      </w:pPr>
      <w:r>
        <w:rPr>
          <w:rFonts w:hint="eastAsia" w:ascii="仿宋_GB2312" w:hAnsi="宋体" w:eastAsia="仿宋_GB2312" w:cs="宋体"/>
          <w:color w:val="000000"/>
          <w:kern w:val="0"/>
          <w:sz w:val="32"/>
          <w:szCs w:val="28"/>
          <w:lang w:val="en-US" w:eastAsia="zh-CN" w:bidi="ar-SA"/>
        </w:rPr>
        <w:t>香子含笑抚育过程主要病害有立枯病，主要虫害有蚜虫、潜叶虫、卷叶螟</w:t>
      </w:r>
      <w:r>
        <w:rPr>
          <w:rFonts w:hint="eastAsia" w:ascii="仿宋_GB2312" w:hAnsi="宋体" w:cs="宋体"/>
          <w:color w:val="000000"/>
          <w:kern w:val="0"/>
          <w:sz w:val="32"/>
          <w:szCs w:val="28"/>
          <w:lang w:val="en-US" w:eastAsia="zh-CN" w:bidi="ar-SA"/>
        </w:rPr>
        <w:t>，一般防治方法见表5。</w:t>
      </w:r>
    </w:p>
    <w:p w14:paraId="60BA6D49">
      <w:pPr>
        <w:pStyle w:val="2"/>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000000"/>
          <w:kern w:val="0"/>
          <w:sz w:val="28"/>
          <w:szCs w:val="28"/>
          <w:lang w:val="en-US" w:eastAsia="zh-CN" w:bidi="ar-SA"/>
        </w:rPr>
        <w:t>表5  香子含笑抚育病虫害防治方法</w:t>
      </w:r>
    </w:p>
    <w:tbl>
      <w:tblPr>
        <w:tblStyle w:val="10"/>
        <w:tblW w:w="93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064"/>
        <w:gridCol w:w="7310"/>
      </w:tblGrid>
      <w:tr w14:paraId="0A2F7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064" w:type="dxa"/>
            <w:tcBorders>
              <w:top w:val="single" w:color="auto" w:sz="8" w:space="0"/>
              <w:bottom w:val="single" w:color="auto" w:sz="8" w:space="0"/>
            </w:tcBorders>
            <w:vAlign w:val="center"/>
          </w:tcPr>
          <w:p w14:paraId="7D2639E6">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仿宋_GB2312" w:hAnsi="宋体" w:eastAsia="仿宋_GB2312" w:cs="Times New Roman"/>
                <w:color w:val="auto"/>
                <w:sz w:val="24"/>
                <w:szCs w:val="24"/>
              </w:rPr>
            </w:pPr>
            <w:r>
              <w:rPr>
                <w:rFonts w:hint="eastAsia" w:ascii="仿宋_GB2312" w:hAnsi="宋体" w:eastAsia="仿宋_GB2312" w:cs="Times New Roman"/>
                <w:color w:val="auto"/>
                <w:sz w:val="24"/>
                <w:szCs w:val="24"/>
              </w:rPr>
              <w:t>防治对象</w:t>
            </w:r>
          </w:p>
        </w:tc>
        <w:tc>
          <w:tcPr>
            <w:tcW w:w="7310" w:type="dxa"/>
            <w:tcBorders>
              <w:top w:val="single" w:color="auto" w:sz="8" w:space="0"/>
              <w:bottom w:val="single" w:color="auto" w:sz="8" w:space="0"/>
            </w:tcBorders>
            <w:vAlign w:val="center"/>
          </w:tcPr>
          <w:p w14:paraId="3E883393">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仿宋_GB2312" w:hAnsi="宋体" w:eastAsia="仿宋_GB2312" w:cs="Times New Roman"/>
                <w:color w:val="auto"/>
                <w:sz w:val="24"/>
                <w:szCs w:val="24"/>
              </w:rPr>
            </w:pPr>
            <w:r>
              <w:rPr>
                <w:rFonts w:hint="eastAsia" w:ascii="仿宋_GB2312" w:hAnsi="宋体" w:eastAsia="仿宋_GB2312" w:cs="Times New Roman"/>
                <w:color w:val="auto"/>
                <w:sz w:val="24"/>
                <w:szCs w:val="24"/>
              </w:rPr>
              <w:t>防治方法</w:t>
            </w:r>
          </w:p>
        </w:tc>
      </w:tr>
      <w:tr w14:paraId="02881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64" w:type="dxa"/>
            <w:tcBorders>
              <w:top w:val="single" w:color="auto" w:sz="8" w:space="0"/>
            </w:tcBorders>
            <w:vAlign w:val="center"/>
          </w:tcPr>
          <w:p w14:paraId="59964EFC">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仿宋_GB2312" w:hAnsi="宋体" w:eastAsia="仿宋_GB2312" w:cs="Times New Roman"/>
                <w:color w:val="auto"/>
                <w:sz w:val="24"/>
                <w:szCs w:val="24"/>
              </w:rPr>
            </w:pPr>
            <w:r>
              <w:rPr>
                <w:rFonts w:hint="eastAsia" w:ascii="仿宋_GB2312" w:hAnsi="宋体" w:eastAsia="仿宋_GB2312" w:cs="Times New Roman"/>
                <w:color w:val="auto"/>
                <w:sz w:val="24"/>
                <w:szCs w:val="24"/>
              </w:rPr>
              <w:t>立枯病</w:t>
            </w:r>
          </w:p>
        </w:tc>
        <w:tc>
          <w:tcPr>
            <w:tcW w:w="7310" w:type="dxa"/>
            <w:tcBorders>
              <w:top w:val="single" w:color="auto" w:sz="8" w:space="0"/>
            </w:tcBorders>
            <w:vAlign w:val="center"/>
          </w:tcPr>
          <w:p w14:paraId="7661019F">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仿宋_GB2312" w:hAnsi="宋体" w:eastAsia="仿宋_GB2312" w:cs="Times New Roman"/>
                <w:color w:val="auto"/>
                <w:sz w:val="24"/>
                <w:szCs w:val="24"/>
              </w:rPr>
            </w:pPr>
            <w:r>
              <w:rPr>
                <w:rFonts w:hint="eastAsia" w:ascii="仿宋_GB2312" w:hAnsi="宋体" w:eastAsia="仿宋_GB2312" w:cs="Times New Roman"/>
                <w:color w:val="auto"/>
                <w:sz w:val="24"/>
                <w:szCs w:val="24"/>
              </w:rPr>
              <w:t>发病初期及时清除感病植株，并用70％的甲基托布津或70％的敌克松800倍液防治</w:t>
            </w:r>
          </w:p>
        </w:tc>
      </w:tr>
      <w:tr w14:paraId="18A7C6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064" w:type="dxa"/>
            <w:vAlign w:val="center"/>
          </w:tcPr>
          <w:p w14:paraId="39C353D5">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仿宋_GB2312" w:hAnsi="宋体" w:eastAsia="仿宋_GB2312" w:cs="Times New Roman"/>
                <w:color w:val="auto"/>
                <w:sz w:val="24"/>
                <w:szCs w:val="24"/>
              </w:rPr>
            </w:pPr>
            <w:r>
              <w:rPr>
                <w:rFonts w:hint="eastAsia" w:ascii="仿宋_GB2312" w:hAnsi="宋体" w:eastAsia="仿宋_GB2312" w:cs="Times New Roman"/>
                <w:color w:val="auto"/>
                <w:sz w:val="24"/>
                <w:szCs w:val="24"/>
              </w:rPr>
              <w:t>蚜虫、潜叶虫、卷叶螟</w:t>
            </w:r>
          </w:p>
        </w:tc>
        <w:tc>
          <w:tcPr>
            <w:tcW w:w="7310" w:type="dxa"/>
            <w:vAlign w:val="center"/>
          </w:tcPr>
          <w:p w14:paraId="1573DB11">
            <w:pPr>
              <w:pStyle w:val="3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仿宋_GB2312" w:hAnsi="宋体" w:eastAsia="仿宋_GB2312" w:cs="Times New Roman"/>
                <w:color w:val="auto"/>
                <w:sz w:val="24"/>
                <w:szCs w:val="24"/>
              </w:rPr>
            </w:pPr>
            <w:r>
              <w:rPr>
                <w:rFonts w:hint="eastAsia" w:ascii="仿宋_GB2312" w:hAnsi="宋体" w:eastAsia="仿宋_GB2312" w:cs="Times New Roman"/>
                <w:color w:val="auto"/>
                <w:sz w:val="24"/>
                <w:szCs w:val="24"/>
              </w:rPr>
              <w:t>晴天下午3点后，用90％敌百虫800倍液或乐斯本稀释液喷杀</w:t>
            </w:r>
          </w:p>
        </w:tc>
      </w:tr>
    </w:tbl>
    <w:p w14:paraId="66734571">
      <w:pPr>
        <w:pStyle w:val="2"/>
        <w:rPr>
          <w:rFonts w:hint="default"/>
          <w:lang w:val="en-US" w:eastAsia="zh-CN"/>
        </w:rPr>
      </w:pPr>
    </w:p>
    <w:p w14:paraId="412D30FF">
      <w:pPr>
        <w:keepNext w:val="0"/>
        <w:keepLines w:val="0"/>
        <w:pageBreakBefore w:val="0"/>
        <w:kinsoku/>
        <w:overflowPunct/>
        <w:topLinePunct w:val="0"/>
        <w:autoSpaceDE w:val="0"/>
        <w:autoSpaceDN w:val="0"/>
        <w:bidi w:val="0"/>
        <w:adjustRightInd w:val="0"/>
        <w:spacing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六、</w:t>
      </w:r>
      <w:bookmarkEnd w:id="2"/>
      <w:r>
        <w:rPr>
          <w:rFonts w:hint="eastAsia" w:ascii="黑体" w:hAnsi="黑体" w:eastAsia="黑体" w:cs="仿宋_GB2312"/>
          <w:sz w:val="32"/>
          <w:szCs w:val="32"/>
        </w:rPr>
        <w:t>重大分歧意见的处理经过和依据</w:t>
      </w:r>
    </w:p>
    <w:p w14:paraId="7DBD7D8D">
      <w:pPr>
        <w:keepNext w:val="0"/>
        <w:keepLines w:val="0"/>
        <w:pageBreakBefore w:val="0"/>
        <w:kinsoku/>
        <w:overflowPunct/>
        <w:topLinePunct w:val="0"/>
        <w:bidi w:val="0"/>
        <w:spacing w:line="560" w:lineRule="exact"/>
        <w:ind w:firstLine="640" w:firstLineChars="200"/>
        <w:rPr>
          <w:rFonts w:ascii="仿宋_GB2312" w:hAnsi="宋体" w:eastAsia="仿宋_GB2312"/>
          <w:sz w:val="32"/>
          <w:szCs w:val="28"/>
        </w:rPr>
      </w:pPr>
      <w:r>
        <w:rPr>
          <w:rFonts w:hint="eastAsia" w:ascii="仿宋_GB2312" w:hAnsi="宋体" w:eastAsia="仿宋_GB2312"/>
          <w:sz w:val="32"/>
          <w:szCs w:val="28"/>
        </w:rPr>
        <w:t>本标准研制过程中无重大分歧意见。</w:t>
      </w:r>
    </w:p>
    <w:p w14:paraId="69867F09">
      <w:pPr>
        <w:keepNext w:val="0"/>
        <w:keepLines w:val="0"/>
        <w:pageBreakBefore w:val="0"/>
        <w:kinsoku/>
        <w:overflowPunct/>
        <w:topLinePunct w:val="0"/>
        <w:autoSpaceDE w:val="0"/>
        <w:autoSpaceDN w:val="0"/>
        <w:bidi w:val="0"/>
        <w:adjustRightInd w:val="0"/>
        <w:spacing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七</w:t>
      </w:r>
      <w:r>
        <w:rPr>
          <w:rFonts w:ascii="黑体" w:hAnsi="黑体" w:eastAsia="黑体" w:cs="仿宋_GB2312"/>
          <w:sz w:val="32"/>
          <w:szCs w:val="32"/>
        </w:rPr>
        <w:t>、</w:t>
      </w:r>
      <w:r>
        <w:rPr>
          <w:rFonts w:hint="eastAsia" w:ascii="黑体" w:hAnsi="黑体" w:eastAsia="黑体" w:cs="仿宋_GB2312"/>
          <w:sz w:val="32"/>
          <w:szCs w:val="32"/>
        </w:rPr>
        <w:t>实施标准的措施</w:t>
      </w:r>
    </w:p>
    <w:p w14:paraId="67C45D00">
      <w:pPr>
        <w:keepNext w:val="0"/>
        <w:keepLines w:val="0"/>
        <w:pageBreakBefore w:val="0"/>
        <w:kinsoku/>
        <w:overflowPunct/>
        <w:topLinePunct w:val="0"/>
        <w:bidi w:val="0"/>
        <w:spacing w:line="560" w:lineRule="exact"/>
        <w:ind w:firstLine="643" w:firstLineChars="200"/>
        <w:rPr>
          <w:rFonts w:ascii="仿宋_GB2312" w:hAnsi="宋体" w:eastAsia="仿宋_GB2312"/>
          <w:b/>
          <w:sz w:val="32"/>
          <w:szCs w:val="28"/>
        </w:rPr>
      </w:pPr>
      <w:r>
        <w:rPr>
          <w:rFonts w:hint="eastAsia" w:ascii="仿宋_GB2312" w:hAnsi="宋体" w:eastAsia="仿宋_GB2312"/>
          <w:b/>
          <w:sz w:val="32"/>
          <w:szCs w:val="28"/>
        </w:rPr>
        <w:t>（一）标准报批发布后，成立标准宣贯工作组</w:t>
      </w:r>
    </w:p>
    <w:p w14:paraId="7330B5F1">
      <w:pPr>
        <w:keepNext w:val="0"/>
        <w:keepLines w:val="0"/>
        <w:pageBreakBefore w:val="0"/>
        <w:kinsoku/>
        <w:overflowPunct/>
        <w:topLinePunct w:val="0"/>
        <w:bidi w:val="0"/>
        <w:spacing w:line="560" w:lineRule="exact"/>
        <w:ind w:firstLine="640" w:firstLineChars="200"/>
        <w:rPr>
          <w:rFonts w:ascii="仿宋_GB2312" w:hAnsi="宋体" w:eastAsia="仿宋_GB2312"/>
          <w:sz w:val="32"/>
          <w:szCs w:val="28"/>
        </w:rPr>
      </w:pPr>
      <w:r>
        <w:rPr>
          <w:rFonts w:hint="eastAsia" w:ascii="仿宋_GB2312" w:hAnsi="宋体" w:eastAsia="仿宋_GB2312"/>
          <w:sz w:val="32"/>
          <w:szCs w:val="28"/>
        </w:rPr>
        <w:t>本标准发布后，成立以主要起草人为成员的标准宣贯工作组，主要负责标准的宣贯实施培训计划制定、标准实施交流会策划、标准实施信息反馈收集和标准实施效果评估等工作，并根据标准实施信息反馈和标准实施效果评估情况，及时组织标准复审修订。</w:t>
      </w:r>
    </w:p>
    <w:p w14:paraId="2EC0E2CD">
      <w:pPr>
        <w:keepNext w:val="0"/>
        <w:keepLines w:val="0"/>
        <w:pageBreakBefore w:val="0"/>
        <w:kinsoku/>
        <w:overflowPunct/>
        <w:topLinePunct w:val="0"/>
        <w:bidi w:val="0"/>
        <w:spacing w:line="560" w:lineRule="exact"/>
        <w:ind w:firstLine="643" w:firstLineChars="200"/>
        <w:rPr>
          <w:rFonts w:ascii="仿宋_GB2312" w:hAnsi="宋体" w:eastAsia="仿宋_GB2312"/>
          <w:b/>
          <w:sz w:val="32"/>
          <w:szCs w:val="28"/>
        </w:rPr>
      </w:pPr>
      <w:r>
        <w:rPr>
          <w:rFonts w:hint="eastAsia" w:ascii="仿宋_GB2312" w:hAnsi="宋体" w:eastAsia="仿宋_GB2312"/>
          <w:b/>
          <w:sz w:val="32"/>
          <w:szCs w:val="28"/>
        </w:rPr>
        <w:t>（二）组织开展标准宣贯培训</w:t>
      </w:r>
    </w:p>
    <w:p w14:paraId="38C99CE1">
      <w:pPr>
        <w:keepNext w:val="0"/>
        <w:keepLines w:val="0"/>
        <w:pageBreakBefore w:val="0"/>
        <w:kinsoku/>
        <w:overflowPunct/>
        <w:topLinePunct w:val="0"/>
        <w:bidi w:val="0"/>
        <w:spacing w:line="560" w:lineRule="exact"/>
        <w:ind w:firstLine="640" w:firstLineChars="200"/>
        <w:rPr>
          <w:rFonts w:ascii="仿宋_GB2312" w:hAnsi="宋体" w:eastAsia="仿宋_GB2312"/>
          <w:sz w:val="32"/>
          <w:szCs w:val="28"/>
        </w:rPr>
      </w:pPr>
      <w:r>
        <w:rPr>
          <w:rFonts w:hint="eastAsia" w:ascii="仿宋_GB2312" w:hAnsi="宋体" w:eastAsia="仿宋_GB2312"/>
          <w:sz w:val="32"/>
          <w:szCs w:val="28"/>
        </w:rPr>
        <w:t>标准发布实施后，标准宣贯工作小组制作标准解读宣贯培训PPT课件和标准核心技术明白书，并按标准宣贯培训计划深入各市县相关机构、单位开展标准宣贯培训，对标准进行逐条解读，让技术人员掌握标准核心内容，助力标准实施落地。</w:t>
      </w:r>
    </w:p>
    <w:p w14:paraId="29942561">
      <w:pPr>
        <w:keepNext w:val="0"/>
        <w:keepLines w:val="0"/>
        <w:pageBreakBefore w:val="0"/>
        <w:kinsoku/>
        <w:overflowPunct/>
        <w:topLinePunct w:val="0"/>
        <w:bidi w:val="0"/>
        <w:spacing w:line="560" w:lineRule="exact"/>
        <w:ind w:firstLine="643" w:firstLineChars="200"/>
        <w:rPr>
          <w:rFonts w:ascii="仿宋_GB2312" w:hAnsi="宋体" w:eastAsia="仿宋_GB2312"/>
          <w:b/>
          <w:sz w:val="32"/>
          <w:szCs w:val="28"/>
        </w:rPr>
      </w:pPr>
      <w:r>
        <w:rPr>
          <w:rFonts w:hint="eastAsia" w:ascii="仿宋_GB2312" w:hAnsi="宋体" w:eastAsia="仿宋_GB2312"/>
          <w:b/>
          <w:sz w:val="32"/>
          <w:szCs w:val="28"/>
        </w:rPr>
        <w:t>（三）开展标准实施交流会，收集标准实施反馈信息</w:t>
      </w:r>
    </w:p>
    <w:p w14:paraId="336AB236">
      <w:pPr>
        <w:keepNext w:val="0"/>
        <w:keepLines w:val="0"/>
        <w:pageBreakBefore w:val="0"/>
        <w:kinsoku/>
        <w:overflowPunct/>
        <w:topLinePunct w:val="0"/>
        <w:bidi w:val="0"/>
        <w:spacing w:line="560" w:lineRule="exact"/>
        <w:ind w:firstLine="640" w:firstLineChars="200"/>
        <w:rPr>
          <w:rFonts w:ascii="仿宋_GB2312" w:hAnsi="宋体" w:eastAsia="仿宋_GB2312"/>
          <w:sz w:val="32"/>
          <w:szCs w:val="28"/>
        </w:rPr>
      </w:pPr>
      <w:r>
        <w:rPr>
          <w:rFonts w:hint="eastAsia" w:ascii="仿宋_GB2312" w:hAnsi="宋体" w:eastAsia="仿宋_GB2312"/>
          <w:sz w:val="32"/>
          <w:szCs w:val="28"/>
        </w:rPr>
        <w:t>标准起草小组深入各市县相关机构、单位组织技术人员召开标准实施交流会，听取标准实施过程中存在的问题并做好记录和解答，对存在的问题组织专家团队进行研讨，为标准的复审修订做准备。</w:t>
      </w:r>
    </w:p>
    <w:p w14:paraId="1F438F65">
      <w:pPr>
        <w:keepNext w:val="0"/>
        <w:keepLines w:val="0"/>
        <w:pageBreakBefore w:val="0"/>
        <w:kinsoku/>
        <w:overflowPunct/>
        <w:topLinePunct w:val="0"/>
        <w:bidi w:val="0"/>
        <w:spacing w:line="560" w:lineRule="exact"/>
        <w:ind w:firstLine="643" w:firstLineChars="200"/>
        <w:rPr>
          <w:rFonts w:ascii="仿宋_GB2312" w:hAnsi="宋体" w:eastAsia="仿宋_GB2312"/>
          <w:b/>
          <w:sz w:val="32"/>
          <w:szCs w:val="28"/>
        </w:rPr>
      </w:pPr>
      <w:r>
        <w:rPr>
          <w:rFonts w:hint="eastAsia" w:ascii="仿宋_GB2312" w:hAnsi="宋体" w:eastAsia="仿宋_GB2312"/>
          <w:b/>
          <w:sz w:val="32"/>
          <w:szCs w:val="28"/>
        </w:rPr>
        <w:t>（四）开展标准实施效果评估</w:t>
      </w:r>
    </w:p>
    <w:p w14:paraId="7DE0DDFE">
      <w:pPr>
        <w:keepNext w:val="0"/>
        <w:keepLines w:val="0"/>
        <w:pageBreakBefore w:val="0"/>
        <w:kinsoku/>
        <w:overflowPunct/>
        <w:topLinePunct w:val="0"/>
        <w:bidi w:val="0"/>
        <w:spacing w:line="560" w:lineRule="exact"/>
        <w:ind w:firstLine="640" w:firstLineChars="200"/>
        <w:rPr>
          <w:rFonts w:ascii="仿宋_GB2312" w:hAnsi="宋体" w:eastAsia="仿宋_GB2312"/>
          <w:sz w:val="32"/>
          <w:szCs w:val="28"/>
        </w:rPr>
      </w:pPr>
      <w:r>
        <w:rPr>
          <w:rFonts w:hint="eastAsia" w:ascii="仿宋_GB2312" w:hAnsi="宋体" w:eastAsia="仿宋_GB2312"/>
          <w:sz w:val="32"/>
          <w:szCs w:val="28"/>
        </w:rPr>
        <w:t>标准实施满2年，每年标准宣贯工作组采取网络调查、问卷调查、实地调研、召开座谈会或论证会、专家咨询等方式开展标准实施效果评估，并形成标准实施效果评估报告，为标准的复审修订做准备。</w:t>
      </w:r>
    </w:p>
    <w:p w14:paraId="36B16457">
      <w:pPr>
        <w:keepNext w:val="0"/>
        <w:keepLines w:val="0"/>
        <w:pageBreakBefore w:val="0"/>
        <w:kinsoku/>
        <w:overflowPunct/>
        <w:topLinePunct w:val="0"/>
        <w:autoSpaceDE w:val="0"/>
        <w:autoSpaceDN w:val="0"/>
        <w:bidi w:val="0"/>
        <w:adjustRightInd w:val="0"/>
        <w:spacing w:line="560" w:lineRule="exact"/>
        <w:ind w:firstLine="640" w:firstLineChars="200"/>
        <w:jc w:val="left"/>
        <w:rPr>
          <w:rFonts w:ascii="黑体" w:hAnsi="黑体" w:eastAsia="黑体" w:cs="仿宋_GB2312"/>
          <w:sz w:val="32"/>
          <w:szCs w:val="32"/>
        </w:rPr>
      </w:pPr>
      <w:r>
        <w:rPr>
          <w:rFonts w:hint="eastAsia" w:ascii="黑体" w:hAnsi="黑体" w:eastAsia="黑体" w:cs="仿宋_GB2312"/>
          <w:sz w:val="32"/>
          <w:szCs w:val="32"/>
        </w:rPr>
        <w:t>八、其他应当说明的事项</w:t>
      </w:r>
    </w:p>
    <w:p w14:paraId="23A53EB2">
      <w:pPr>
        <w:keepNext w:val="0"/>
        <w:keepLines w:val="0"/>
        <w:pageBreakBefore w:val="0"/>
        <w:kinsoku/>
        <w:overflowPunct/>
        <w:topLinePunct w:val="0"/>
        <w:bidi w:val="0"/>
        <w:spacing w:line="560" w:lineRule="exact"/>
        <w:ind w:firstLine="640" w:firstLineChars="200"/>
        <w:rPr>
          <w:rFonts w:ascii="仿宋_GB2312" w:hAnsi="宋体" w:eastAsia="仿宋_GB2312"/>
          <w:sz w:val="32"/>
          <w:szCs w:val="28"/>
        </w:rPr>
      </w:pPr>
      <w:r>
        <w:rPr>
          <w:rFonts w:hint="eastAsia" w:ascii="仿宋_GB2312" w:hAnsi="宋体" w:eastAsia="仿宋_GB2312"/>
          <w:sz w:val="32"/>
          <w:szCs w:val="28"/>
        </w:rPr>
        <w:t>无。</w:t>
      </w:r>
    </w:p>
    <w:p w14:paraId="1562F1AF">
      <w:pPr>
        <w:keepNext w:val="0"/>
        <w:keepLines w:val="0"/>
        <w:pageBreakBefore w:val="0"/>
        <w:kinsoku/>
        <w:overflowPunct/>
        <w:topLinePunct w:val="0"/>
        <w:bidi w:val="0"/>
        <w:spacing w:line="560" w:lineRule="exact"/>
        <w:rPr>
          <w:rFonts w:ascii="仿宋_GB2312" w:hAnsi="仿宋" w:eastAsia="仿宋_GB2312"/>
          <w:bCs/>
          <w:color w:val="000000"/>
          <w:sz w:val="36"/>
          <w:szCs w:val="32"/>
        </w:rPr>
      </w:pPr>
    </w:p>
    <w:p w14:paraId="0FDE70D6">
      <w:pPr>
        <w:keepNext w:val="0"/>
        <w:keepLines w:val="0"/>
        <w:pageBreakBefore w:val="0"/>
        <w:kinsoku/>
        <w:overflowPunct/>
        <w:topLinePunct w:val="0"/>
        <w:bidi w:val="0"/>
        <w:spacing w:line="560" w:lineRule="exact"/>
        <w:rPr>
          <w:rFonts w:ascii="仿宋_GB2312" w:hAnsi="仿宋" w:eastAsia="仿宋_GB2312"/>
          <w:bCs/>
          <w:color w:val="000000"/>
          <w:sz w:val="36"/>
          <w:szCs w:val="32"/>
        </w:rPr>
      </w:pPr>
    </w:p>
    <w:p w14:paraId="639B864D">
      <w:pPr>
        <w:keepNext w:val="0"/>
        <w:keepLines w:val="0"/>
        <w:pageBreakBefore w:val="0"/>
        <w:kinsoku/>
        <w:wordWrap w:val="0"/>
        <w:overflowPunct/>
        <w:topLinePunct w:val="0"/>
        <w:bidi w:val="0"/>
        <w:spacing w:line="560" w:lineRule="exact"/>
        <w:jc w:val="right"/>
        <w:rPr>
          <w:rFonts w:ascii="仿宋_GB2312" w:hAnsi="宋体" w:eastAsia="仿宋_GB2312"/>
          <w:sz w:val="32"/>
          <w:szCs w:val="28"/>
        </w:rPr>
      </w:pPr>
      <w:r>
        <w:rPr>
          <w:rFonts w:hint="eastAsia" w:ascii="仿宋_GB2312" w:hAnsi="宋体" w:eastAsia="仿宋_GB2312"/>
          <w:sz w:val="32"/>
          <w:szCs w:val="28"/>
        </w:rPr>
        <w:t>团体标准《</w:t>
      </w:r>
      <w:r>
        <w:rPr>
          <w:rFonts w:hint="eastAsia" w:ascii="仿宋_GB2312" w:hAnsi="宋体"/>
          <w:sz w:val="32"/>
          <w:szCs w:val="28"/>
          <w:lang w:eastAsia="zh-CN"/>
        </w:rPr>
        <w:t>香子含笑培育</w:t>
      </w:r>
      <w:r>
        <w:rPr>
          <w:rFonts w:hint="eastAsia" w:ascii="仿宋_GB2312" w:hAnsi="宋体" w:eastAsia="仿宋_GB2312"/>
          <w:sz w:val="32"/>
          <w:szCs w:val="28"/>
        </w:rPr>
        <w:t>技术规程》</w:t>
      </w:r>
    </w:p>
    <w:p w14:paraId="607C1987">
      <w:pPr>
        <w:keepNext w:val="0"/>
        <w:keepLines w:val="0"/>
        <w:pageBreakBefore w:val="0"/>
        <w:kinsoku/>
        <w:wordWrap w:val="0"/>
        <w:overflowPunct/>
        <w:topLinePunct w:val="0"/>
        <w:bidi w:val="0"/>
        <w:spacing w:line="560" w:lineRule="exact"/>
        <w:jc w:val="right"/>
        <w:rPr>
          <w:rFonts w:ascii="仿宋_GB2312" w:hAnsi="宋体" w:eastAsia="仿宋_GB2312"/>
          <w:sz w:val="32"/>
          <w:szCs w:val="28"/>
        </w:rPr>
      </w:pPr>
      <w:r>
        <w:rPr>
          <w:rFonts w:hint="eastAsia" w:ascii="仿宋_GB2312" w:hAnsi="宋体" w:eastAsia="仿宋_GB2312"/>
          <w:sz w:val="32"/>
          <w:szCs w:val="28"/>
        </w:rPr>
        <w:t xml:space="preserve">标准编制工作组 </w:t>
      </w:r>
      <w:r>
        <w:rPr>
          <w:rFonts w:ascii="仿宋_GB2312" w:hAnsi="宋体" w:eastAsia="仿宋_GB2312"/>
          <w:sz w:val="32"/>
          <w:szCs w:val="28"/>
        </w:rPr>
        <w:t xml:space="preserve">        </w:t>
      </w:r>
    </w:p>
    <w:p w14:paraId="61D6EE8B">
      <w:pPr>
        <w:keepNext w:val="0"/>
        <w:keepLines w:val="0"/>
        <w:pageBreakBefore w:val="0"/>
        <w:kinsoku/>
        <w:wordWrap w:val="0"/>
        <w:overflowPunct/>
        <w:topLinePunct w:val="0"/>
        <w:bidi w:val="0"/>
        <w:spacing w:line="560" w:lineRule="exact"/>
        <w:jc w:val="right"/>
        <w:rPr>
          <w:rFonts w:ascii="仿宋_GB2312" w:hAnsi="宋体" w:eastAsia="仿宋_GB2312"/>
          <w:color w:val="FF0000"/>
          <w:sz w:val="32"/>
          <w:szCs w:val="28"/>
        </w:rPr>
      </w:pPr>
      <w:r>
        <w:rPr>
          <w:rFonts w:hint="eastAsia" w:ascii="仿宋_GB2312" w:hAnsi="宋体" w:eastAsia="仿宋_GB2312"/>
          <w:color w:val="auto"/>
          <w:sz w:val="32"/>
          <w:szCs w:val="28"/>
        </w:rPr>
        <w:t>202</w:t>
      </w:r>
      <w:r>
        <w:rPr>
          <w:rFonts w:hint="eastAsia" w:ascii="仿宋_GB2312" w:hAnsi="宋体"/>
          <w:color w:val="auto"/>
          <w:sz w:val="32"/>
          <w:szCs w:val="28"/>
          <w:lang w:val="en-US" w:eastAsia="zh-CN"/>
        </w:rPr>
        <w:t>5</w:t>
      </w:r>
      <w:r>
        <w:rPr>
          <w:rFonts w:hint="eastAsia" w:ascii="仿宋_GB2312" w:hAnsi="宋体" w:eastAsia="仿宋_GB2312"/>
          <w:color w:val="auto"/>
          <w:sz w:val="32"/>
          <w:szCs w:val="28"/>
        </w:rPr>
        <w:t>年</w:t>
      </w:r>
      <w:r>
        <w:rPr>
          <w:rFonts w:hint="eastAsia" w:ascii="仿宋_GB2312" w:hAnsi="宋体"/>
          <w:color w:val="auto"/>
          <w:sz w:val="32"/>
          <w:szCs w:val="28"/>
          <w:lang w:val="en-US" w:eastAsia="zh-CN"/>
        </w:rPr>
        <w:t>10</w:t>
      </w:r>
      <w:r>
        <w:rPr>
          <w:rFonts w:hint="eastAsia" w:ascii="仿宋_GB2312" w:hAnsi="宋体" w:eastAsia="仿宋_GB2312"/>
          <w:color w:val="auto"/>
          <w:sz w:val="32"/>
          <w:szCs w:val="28"/>
        </w:rPr>
        <w:t>月</w:t>
      </w:r>
      <w:r>
        <w:rPr>
          <w:rFonts w:hint="eastAsia" w:ascii="仿宋_GB2312" w:hAnsi="宋体"/>
          <w:color w:val="auto"/>
          <w:sz w:val="32"/>
          <w:szCs w:val="28"/>
          <w:lang w:val="en-US" w:eastAsia="zh-CN"/>
        </w:rPr>
        <w:t>25</w:t>
      </w:r>
      <w:r>
        <w:rPr>
          <w:rFonts w:hint="eastAsia" w:ascii="仿宋_GB2312" w:hAnsi="宋体" w:eastAsia="仿宋_GB2312"/>
          <w:color w:val="auto"/>
          <w:sz w:val="32"/>
          <w:szCs w:val="28"/>
        </w:rPr>
        <w:t>日</w:t>
      </w:r>
      <w:r>
        <w:rPr>
          <w:rFonts w:hint="eastAsia" w:ascii="仿宋_GB2312" w:hAnsi="宋体" w:eastAsia="仿宋_GB2312"/>
          <w:color w:val="FF0000"/>
          <w:sz w:val="32"/>
          <w:szCs w:val="28"/>
        </w:rPr>
        <w:t xml:space="preserve">       </w:t>
      </w:r>
      <w:r>
        <w:rPr>
          <w:rFonts w:ascii="仿宋_GB2312" w:hAnsi="宋体" w:eastAsia="仿宋_GB2312"/>
          <w:color w:val="FF0000"/>
          <w:sz w:val="32"/>
          <w:szCs w:val="28"/>
        </w:rPr>
        <w:t xml:space="preserve"> </w:t>
      </w:r>
    </w:p>
    <w:sectPr>
      <w:footerReference r:id="rId5" w:type="default"/>
      <w:pgSz w:w="11906" w:h="16838"/>
      <w:pgMar w:top="1474" w:right="1474" w:bottom="1474" w:left="147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316374"/>
      <w:docPartObj>
        <w:docPartGallery w:val="autotext"/>
      </w:docPartObj>
    </w:sdtPr>
    <w:sdtContent>
      <w:p w14:paraId="2BE1229F">
        <w:pPr>
          <w:pStyle w:val="6"/>
          <w:jc w:val="center"/>
        </w:pPr>
        <w:r>
          <w:fldChar w:fldCharType="begin"/>
        </w:r>
        <w:r>
          <w:instrText xml:space="preserve">PAGE   \* MERGEFORMAT</w:instrText>
        </w:r>
        <w:r>
          <w:fldChar w:fldCharType="separate"/>
        </w:r>
        <w:r>
          <w:rPr>
            <w:lang w:val="zh-CN"/>
          </w:rPr>
          <w:t>7</w:t>
        </w:r>
        <w:r>
          <w:fldChar w:fldCharType="end"/>
        </w:r>
      </w:p>
    </w:sdtContent>
  </w:sdt>
  <w:p w14:paraId="76F9E80E">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9102AD"/>
    <w:multiLevelType w:val="multilevel"/>
    <w:tmpl w:val="079102AD"/>
    <w:lvl w:ilvl="0" w:tentative="0">
      <w:start w:val="1"/>
      <w:numFmt w:val="decimal"/>
      <w:pStyle w:val="23"/>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
    <w:nsid w:val="0DDE2B46"/>
    <w:multiLevelType w:val="multilevel"/>
    <w:tmpl w:val="0DDE2B46"/>
    <w:lvl w:ilvl="0" w:tentative="0">
      <w:start w:val="1"/>
      <w:numFmt w:val="lowerLetter"/>
      <w:pStyle w:val="27"/>
      <w:suff w:val="nothing"/>
      <w:lvlText w:val="%1   "/>
      <w:lvlJc w:val="left"/>
      <w:pPr>
        <w:ind w:left="544" w:hanging="181"/>
      </w:pPr>
      <w:rPr>
        <w:rFonts w:hint="eastAsia" w:ascii="宋体" w:hAns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2">
    <w:nsid w:val="1DBF583A"/>
    <w:multiLevelType w:val="multilevel"/>
    <w:tmpl w:val="1DBF583A"/>
    <w:lvl w:ilvl="0" w:tentative="0">
      <w:start w:val="1"/>
      <w:numFmt w:val="decimal"/>
      <w:pStyle w:val="26"/>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3">
    <w:nsid w:val="1FC91163"/>
    <w:multiLevelType w:val="multilevel"/>
    <w:tmpl w:val="1FC91163"/>
    <w:lvl w:ilvl="0" w:tentative="0">
      <w:start w:val="1"/>
      <w:numFmt w:val="decimal"/>
      <w:pStyle w:val="1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7"/>
      <w:suff w:val="nothing"/>
      <w:lvlText w:val="%1.%2　"/>
      <w:lvlJc w:val="left"/>
      <w:pPr>
        <w:ind w:left="525"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19"/>
      <w:suff w:val="nothing"/>
      <w:lvlText w:val="%1.%2.%3　"/>
      <w:lvlJc w:val="left"/>
      <w:pPr>
        <w:ind w:left="0" w:firstLine="0"/>
      </w:pPr>
      <w:rPr>
        <w:rFonts w:hint="eastAsia" w:ascii="黑体" w:hAnsi="Times New Roman" w:eastAsia="黑体"/>
        <w:b w:val="0"/>
        <w:i w:val="0"/>
        <w:sz w:val="21"/>
      </w:rPr>
    </w:lvl>
    <w:lvl w:ilvl="3" w:tentative="0">
      <w:start w:val="1"/>
      <w:numFmt w:val="decimal"/>
      <w:pStyle w:val="20"/>
      <w:suff w:val="nothing"/>
      <w:lvlText w:val="%1.%2.%3.%4　"/>
      <w:lvlJc w:val="left"/>
      <w:pPr>
        <w:ind w:left="0" w:firstLine="0"/>
      </w:pPr>
      <w:rPr>
        <w:rFonts w:hint="eastAsia" w:ascii="黑体" w:hAnsi="Times New Roman" w:eastAsia="黑体"/>
        <w:b w:val="0"/>
        <w:i w:val="0"/>
        <w:sz w:val="21"/>
      </w:rPr>
    </w:lvl>
    <w:lvl w:ilvl="4" w:tentative="0">
      <w:start w:val="1"/>
      <w:numFmt w:val="decimal"/>
      <w:pStyle w:val="21"/>
      <w:suff w:val="nothing"/>
      <w:lvlText w:val="%1.%2.%3.%4.%5　"/>
      <w:lvlJc w:val="left"/>
      <w:pPr>
        <w:ind w:left="0" w:firstLine="0"/>
      </w:pPr>
      <w:rPr>
        <w:rFonts w:hint="eastAsia" w:ascii="黑体" w:hAnsi="Times New Roman" w:eastAsia="黑体"/>
        <w:b w:val="0"/>
        <w:i w:val="0"/>
        <w:sz w:val="21"/>
      </w:rPr>
    </w:lvl>
    <w:lvl w:ilvl="5" w:tentative="0">
      <w:start w:val="1"/>
      <w:numFmt w:val="decimal"/>
      <w:pStyle w:val="22"/>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2A8F7113"/>
    <w:multiLevelType w:val="multilevel"/>
    <w:tmpl w:val="2A8F7113"/>
    <w:lvl w:ilvl="0" w:tentative="0">
      <w:start w:val="1"/>
      <w:numFmt w:val="upperLetter"/>
      <w:pStyle w:val="24"/>
      <w:suff w:val="space"/>
      <w:lvlText w:val="%1"/>
      <w:lvlJc w:val="left"/>
      <w:pPr>
        <w:ind w:left="623" w:hanging="425"/>
      </w:pPr>
      <w:rPr>
        <w:rFonts w:hint="eastAsia"/>
      </w:rPr>
    </w:lvl>
    <w:lvl w:ilvl="1" w:tentative="0">
      <w:start w:val="1"/>
      <w:numFmt w:val="decimal"/>
      <w:pStyle w:val="25"/>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5">
    <w:nsid w:val="557C2AF5"/>
    <w:multiLevelType w:val="multilevel"/>
    <w:tmpl w:val="557C2AF5"/>
    <w:lvl w:ilvl="0" w:tentative="0">
      <w:start w:val="1"/>
      <w:numFmt w:val="decimal"/>
      <w:pStyle w:val="16"/>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31"/>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7">
    <w:nsid w:val="646260FA"/>
    <w:multiLevelType w:val="multilevel"/>
    <w:tmpl w:val="646260FA"/>
    <w:lvl w:ilvl="0" w:tentative="0">
      <w:start w:val="1"/>
      <w:numFmt w:val="decimal"/>
      <w:pStyle w:val="1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7"/>
  </w:num>
  <w:num w:numId="2">
    <w:abstractNumId w:val="5"/>
  </w:num>
  <w:num w:numId="3">
    <w:abstractNumId w:val="3"/>
  </w:num>
  <w:num w:numId="4">
    <w:abstractNumId w:val="0"/>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62E"/>
    <w:rsid w:val="0000457E"/>
    <w:rsid w:val="00005CA4"/>
    <w:rsid w:val="000107BC"/>
    <w:rsid w:val="00013090"/>
    <w:rsid w:val="00016837"/>
    <w:rsid w:val="00021331"/>
    <w:rsid w:val="00023119"/>
    <w:rsid w:val="00023FE2"/>
    <w:rsid w:val="00024212"/>
    <w:rsid w:val="00024664"/>
    <w:rsid w:val="00032CD6"/>
    <w:rsid w:val="00033257"/>
    <w:rsid w:val="00034233"/>
    <w:rsid w:val="00034BDB"/>
    <w:rsid w:val="00047D7B"/>
    <w:rsid w:val="00053B0B"/>
    <w:rsid w:val="000576D0"/>
    <w:rsid w:val="00057758"/>
    <w:rsid w:val="00060FE2"/>
    <w:rsid w:val="0007330D"/>
    <w:rsid w:val="00073F72"/>
    <w:rsid w:val="00074EB1"/>
    <w:rsid w:val="00076BBA"/>
    <w:rsid w:val="00080F2F"/>
    <w:rsid w:val="0008145A"/>
    <w:rsid w:val="0009177A"/>
    <w:rsid w:val="00093E74"/>
    <w:rsid w:val="000962F6"/>
    <w:rsid w:val="000A0201"/>
    <w:rsid w:val="000A1EAE"/>
    <w:rsid w:val="000A3070"/>
    <w:rsid w:val="000A4601"/>
    <w:rsid w:val="000A77CD"/>
    <w:rsid w:val="000B572A"/>
    <w:rsid w:val="000D0ACE"/>
    <w:rsid w:val="000D15BE"/>
    <w:rsid w:val="000D5AC8"/>
    <w:rsid w:val="000D6612"/>
    <w:rsid w:val="000D751C"/>
    <w:rsid w:val="000D7F33"/>
    <w:rsid w:val="000F10EB"/>
    <w:rsid w:val="000F3365"/>
    <w:rsid w:val="000F517A"/>
    <w:rsid w:val="001012D5"/>
    <w:rsid w:val="00101D2E"/>
    <w:rsid w:val="00103B83"/>
    <w:rsid w:val="00105252"/>
    <w:rsid w:val="001062E3"/>
    <w:rsid w:val="00106661"/>
    <w:rsid w:val="0010769F"/>
    <w:rsid w:val="00110864"/>
    <w:rsid w:val="00110F43"/>
    <w:rsid w:val="00112415"/>
    <w:rsid w:val="00113B53"/>
    <w:rsid w:val="00114946"/>
    <w:rsid w:val="00122573"/>
    <w:rsid w:val="00126CA6"/>
    <w:rsid w:val="001273E7"/>
    <w:rsid w:val="00127EB0"/>
    <w:rsid w:val="00131B03"/>
    <w:rsid w:val="00132C5F"/>
    <w:rsid w:val="00133786"/>
    <w:rsid w:val="00134DD4"/>
    <w:rsid w:val="001435D3"/>
    <w:rsid w:val="001449B5"/>
    <w:rsid w:val="001463AC"/>
    <w:rsid w:val="0015152A"/>
    <w:rsid w:val="00156020"/>
    <w:rsid w:val="00156663"/>
    <w:rsid w:val="001611BB"/>
    <w:rsid w:val="00167167"/>
    <w:rsid w:val="001708F8"/>
    <w:rsid w:val="0018112C"/>
    <w:rsid w:val="00183467"/>
    <w:rsid w:val="00190A64"/>
    <w:rsid w:val="00190C6A"/>
    <w:rsid w:val="00191774"/>
    <w:rsid w:val="00191DCE"/>
    <w:rsid w:val="001923CF"/>
    <w:rsid w:val="001925FD"/>
    <w:rsid w:val="001930A1"/>
    <w:rsid w:val="00194FE3"/>
    <w:rsid w:val="00196054"/>
    <w:rsid w:val="0019711F"/>
    <w:rsid w:val="001A0DBF"/>
    <w:rsid w:val="001A3402"/>
    <w:rsid w:val="001B0E92"/>
    <w:rsid w:val="001B36E5"/>
    <w:rsid w:val="001B3B17"/>
    <w:rsid w:val="001C5F01"/>
    <w:rsid w:val="001C793C"/>
    <w:rsid w:val="001D22F0"/>
    <w:rsid w:val="001D64DB"/>
    <w:rsid w:val="001D7816"/>
    <w:rsid w:val="001E5000"/>
    <w:rsid w:val="001F07A8"/>
    <w:rsid w:val="001F16E6"/>
    <w:rsid w:val="001F241E"/>
    <w:rsid w:val="001F537A"/>
    <w:rsid w:val="001F660A"/>
    <w:rsid w:val="001F79F5"/>
    <w:rsid w:val="001F7E35"/>
    <w:rsid w:val="00205603"/>
    <w:rsid w:val="00210916"/>
    <w:rsid w:val="002116FB"/>
    <w:rsid w:val="00214221"/>
    <w:rsid w:val="00217683"/>
    <w:rsid w:val="002223DD"/>
    <w:rsid w:val="002231E8"/>
    <w:rsid w:val="00223EB7"/>
    <w:rsid w:val="00224EB8"/>
    <w:rsid w:val="00231E62"/>
    <w:rsid w:val="00232769"/>
    <w:rsid w:val="00244ADA"/>
    <w:rsid w:val="00244C0C"/>
    <w:rsid w:val="002465C7"/>
    <w:rsid w:val="002526F3"/>
    <w:rsid w:val="00254F7A"/>
    <w:rsid w:val="00256FE0"/>
    <w:rsid w:val="002614C6"/>
    <w:rsid w:val="002621E1"/>
    <w:rsid w:val="00262753"/>
    <w:rsid w:val="00262771"/>
    <w:rsid w:val="00262F6C"/>
    <w:rsid w:val="00264A7D"/>
    <w:rsid w:val="00264CE4"/>
    <w:rsid w:val="002651A9"/>
    <w:rsid w:val="00266090"/>
    <w:rsid w:val="0027235B"/>
    <w:rsid w:val="00283085"/>
    <w:rsid w:val="00283E25"/>
    <w:rsid w:val="0029084D"/>
    <w:rsid w:val="00291D7F"/>
    <w:rsid w:val="00291EF3"/>
    <w:rsid w:val="002952AC"/>
    <w:rsid w:val="002A2FCF"/>
    <w:rsid w:val="002A4D06"/>
    <w:rsid w:val="002A5D80"/>
    <w:rsid w:val="002B07E3"/>
    <w:rsid w:val="002B23AB"/>
    <w:rsid w:val="002B2E35"/>
    <w:rsid w:val="002B3D69"/>
    <w:rsid w:val="002B5497"/>
    <w:rsid w:val="002C1D2A"/>
    <w:rsid w:val="002C4FFB"/>
    <w:rsid w:val="002C5534"/>
    <w:rsid w:val="002C611B"/>
    <w:rsid w:val="002C73B6"/>
    <w:rsid w:val="002D49CC"/>
    <w:rsid w:val="002D6D1E"/>
    <w:rsid w:val="002E073F"/>
    <w:rsid w:val="002E7467"/>
    <w:rsid w:val="002E7A35"/>
    <w:rsid w:val="002F34AA"/>
    <w:rsid w:val="002F4B59"/>
    <w:rsid w:val="002F4D7B"/>
    <w:rsid w:val="002F513F"/>
    <w:rsid w:val="002F613B"/>
    <w:rsid w:val="003025DF"/>
    <w:rsid w:val="00303E23"/>
    <w:rsid w:val="00304BFD"/>
    <w:rsid w:val="00306925"/>
    <w:rsid w:val="0031011D"/>
    <w:rsid w:val="003144B8"/>
    <w:rsid w:val="00314640"/>
    <w:rsid w:val="00327623"/>
    <w:rsid w:val="0033375C"/>
    <w:rsid w:val="0034090F"/>
    <w:rsid w:val="00343C24"/>
    <w:rsid w:val="00345BCC"/>
    <w:rsid w:val="00353735"/>
    <w:rsid w:val="00354D06"/>
    <w:rsid w:val="00356D19"/>
    <w:rsid w:val="00357A1D"/>
    <w:rsid w:val="00357E18"/>
    <w:rsid w:val="0036001E"/>
    <w:rsid w:val="00360952"/>
    <w:rsid w:val="00362F10"/>
    <w:rsid w:val="00365252"/>
    <w:rsid w:val="00372A01"/>
    <w:rsid w:val="00372C98"/>
    <w:rsid w:val="00373BAD"/>
    <w:rsid w:val="00374390"/>
    <w:rsid w:val="003754CF"/>
    <w:rsid w:val="00381796"/>
    <w:rsid w:val="00382AB2"/>
    <w:rsid w:val="00386647"/>
    <w:rsid w:val="00391984"/>
    <w:rsid w:val="00392E22"/>
    <w:rsid w:val="00396025"/>
    <w:rsid w:val="003B2F32"/>
    <w:rsid w:val="003B5050"/>
    <w:rsid w:val="003B729F"/>
    <w:rsid w:val="003C2D44"/>
    <w:rsid w:val="003C483D"/>
    <w:rsid w:val="003D3AF0"/>
    <w:rsid w:val="003D48B6"/>
    <w:rsid w:val="003D51D0"/>
    <w:rsid w:val="003D5CB5"/>
    <w:rsid w:val="003D6E58"/>
    <w:rsid w:val="003E330B"/>
    <w:rsid w:val="003E4A86"/>
    <w:rsid w:val="003F284D"/>
    <w:rsid w:val="003F28D0"/>
    <w:rsid w:val="003F3119"/>
    <w:rsid w:val="003F392A"/>
    <w:rsid w:val="003F3AAC"/>
    <w:rsid w:val="003F727B"/>
    <w:rsid w:val="0040035D"/>
    <w:rsid w:val="00403F64"/>
    <w:rsid w:val="00404BD1"/>
    <w:rsid w:val="004050BE"/>
    <w:rsid w:val="0040610D"/>
    <w:rsid w:val="00406A80"/>
    <w:rsid w:val="0042062E"/>
    <w:rsid w:val="00424AF1"/>
    <w:rsid w:val="00424FCB"/>
    <w:rsid w:val="00425860"/>
    <w:rsid w:val="00427B81"/>
    <w:rsid w:val="00434E46"/>
    <w:rsid w:val="00434F90"/>
    <w:rsid w:val="004378E4"/>
    <w:rsid w:val="0044118D"/>
    <w:rsid w:val="004441BD"/>
    <w:rsid w:val="004503F4"/>
    <w:rsid w:val="0045483D"/>
    <w:rsid w:val="00455661"/>
    <w:rsid w:val="0046025A"/>
    <w:rsid w:val="00460359"/>
    <w:rsid w:val="004605D8"/>
    <w:rsid w:val="004626AF"/>
    <w:rsid w:val="00465230"/>
    <w:rsid w:val="00467DEF"/>
    <w:rsid w:val="004715D8"/>
    <w:rsid w:val="004805D0"/>
    <w:rsid w:val="00480BA1"/>
    <w:rsid w:val="004814A9"/>
    <w:rsid w:val="0048357F"/>
    <w:rsid w:val="00484EF3"/>
    <w:rsid w:val="00485212"/>
    <w:rsid w:val="004865C9"/>
    <w:rsid w:val="0049011A"/>
    <w:rsid w:val="00491FE3"/>
    <w:rsid w:val="0049241F"/>
    <w:rsid w:val="0049390C"/>
    <w:rsid w:val="004A25C4"/>
    <w:rsid w:val="004A2878"/>
    <w:rsid w:val="004A614E"/>
    <w:rsid w:val="004A660C"/>
    <w:rsid w:val="004A76AB"/>
    <w:rsid w:val="004B2E7F"/>
    <w:rsid w:val="004C4136"/>
    <w:rsid w:val="004D155D"/>
    <w:rsid w:val="004D2302"/>
    <w:rsid w:val="004D5B22"/>
    <w:rsid w:val="004E3026"/>
    <w:rsid w:val="004F0593"/>
    <w:rsid w:val="004F48C2"/>
    <w:rsid w:val="004F74F0"/>
    <w:rsid w:val="004F7FA9"/>
    <w:rsid w:val="005009D1"/>
    <w:rsid w:val="0050156A"/>
    <w:rsid w:val="00505469"/>
    <w:rsid w:val="005066ED"/>
    <w:rsid w:val="005067C2"/>
    <w:rsid w:val="0051028F"/>
    <w:rsid w:val="0051148B"/>
    <w:rsid w:val="00513080"/>
    <w:rsid w:val="00514C97"/>
    <w:rsid w:val="005159F5"/>
    <w:rsid w:val="00526200"/>
    <w:rsid w:val="005269CF"/>
    <w:rsid w:val="00533886"/>
    <w:rsid w:val="0053418A"/>
    <w:rsid w:val="00535AC6"/>
    <w:rsid w:val="00537550"/>
    <w:rsid w:val="0054317B"/>
    <w:rsid w:val="00546DEA"/>
    <w:rsid w:val="005639F8"/>
    <w:rsid w:val="005656AA"/>
    <w:rsid w:val="005742DB"/>
    <w:rsid w:val="00577C08"/>
    <w:rsid w:val="005802BD"/>
    <w:rsid w:val="0058151C"/>
    <w:rsid w:val="00581CE7"/>
    <w:rsid w:val="00582F5C"/>
    <w:rsid w:val="0058472C"/>
    <w:rsid w:val="005870E5"/>
    <w:rsid w:val="005873D6"/>
    <w:rsid w:val="005876DE"/>
    <w:rsid w:val="00596702"/>
    <w:rsid w:val="005A1A17"/>
    <w:rsid w:val="005A4523"/>
    <w:rsid w:val="005A4707"/>
    <w:rsid w:val="005B0CDC"/>
    <w:rsid w:val="005B23F7"/>
    <w:rsid w:val="005B7128"/>
    <w:rsid w:val="005B76D5"/>
    <w:rsid w:val="005B7B7E"/>
    <w:rsid w:val="005C468E"/>
    <w:rsid w:val="005D06D6"/>
    <w:rsid w:val="005D1EE1"/>
    <w:rsid w:val="005D2762"/>
    <w:rsid w:val="005D2AEE"/>
    <w:rsid w:val="005D3F96"/>
    <w:rsid w:val="005D5DDF"/>
    <w:rsid w:val="005D6A5C"/>
    <w:rsid w:val="005E05D4"/>
    <w:rsid w:val="005E207A"/>
    <w:rsid w:val="005E2143"/>
    <w:rsid w:val="005F0995"/>
    <w:rsid w:val="005F1E35"/>
    <w:rsid w:val="005F36D9"/>
    <w:rsid w:val="005F4F92"/>
    <w:rsid w:val="005F6C71"/>
    <w:rsid w:val="005F71EC"/>
    <w:rsid w:val="005F7613"/>
    <w:rsid w:val="006062AE"/>
    <w:rsid w:val="0060656D"/>
    <w:rsid w:val="00606B5A"/>
    <w:rsid w:val="00610884"/>
    <w:rsid w:val="00614347"/>
    <w:rsid w:val="006147DA"/>
    <w:rsid w:val="0062702A"/>
    <w:rsid w:val="00636DF8"/>
    <w:rsid w:val="006404F1"/>
    <w:rsid w:val="0064449B"/>
    <w:rsid w:val="00644EED"/>
    <w:rsid w:val="006467C4"/>
    <w:rsid w:val="00651C9C"/>
    <w:rsid w:val="00654D8C"/>
    <w:rsid w:val="006555D8"/>
    <w:rsid w:val="00655638"/>
    <w:rsid w:val="006610FC"/>
    <w:rsid w:val="0066440C"/>
    <w:rsid w:val="00664832"/>
    <w:rsid w:val="006670DB"/>
    <w:rsid w:val="00667C57"/>
    <w:rsid w:val="0067586A"/>
    <w:rsid w:val="00680EEB"/>
    <w:rsid w:val="006811BF"/>
    <w:rsid w:val="00681C0F"/>
    <w:rsid w:val="00682D7C"/>
    <w:rsid w:val="00682FAD"/>
    <w:rsid w:val="0068494D"/>
    <w:rsid w:val="00690D6C"/>
    <w:rsid w:val="006945D3"/>
    <w:rsid w:val="006A1BD7"/>
    <w:rsid w:val="006A3112"/>
    <w:rsid w:val="006B1080"/>
    <w:rsid w:val="006B6EA3"/>
    <w:rsid w:val="006C0CC1"/>
    <w:rsid w:val="006C6B87"/>
    <w:rsid w:val="006C70ED"/>
    <w:rsid w:val="006D4B56"/>
    <w:rsid w:val="006D4CCC"/>
    <w:rsid w:val="006D5D5F"/>
    <w:rsid w:val="006E155C"/>
    <w:rsid w:val="006E65EC"/>
    <w:rsid w:val="006E7520"/>
    <w:rsid w:val="006F03ED"/>
    <w:rsid w:val="006F67E6"/>
    <w:rsid w:val="006F77F7"/>
    <w:rsid w:val="00700D32"/>
    <w:rsid w:val="0070138D"/>
    <w:rsid w:val="00701A2B"/>
    <w:rsid w:val="0070266E"/>
    <w:rsid w:val="00705429"/>
    <w:rsid w:val="0070730B"/>
    <w:rsid w:val="00712BC5"/>
    <w:rsid w:val="00715CA4"/>
    <w:rsid w:val="00716EAC"/>
    <w:rsid w:val="00720395"/>
    <w:rsid w:val="00722AAE"/>
    <w:rsid w:val="0072448B"/>
    <w:rsid w:val="007245EF"/>
    <w:rsid w:val="00726016"/>
    <w:rsid w:val="00726F82"/>
    <w:rsid w:val="007432F4"/>
    <w:rsid w:val="0075401E"/>
    <w:rsid w:val="00755471"/>
    <w:rsid w:val="007556A8"/>
    <w:rsid w:val="00756686"/>
    <w:rsid w:val="00760DDA"/>
    <w:rsid w:val="00760FBD"/>
    <w:rsid w:val="007768A2"/>
    <w:rsid w:val="00776FE6"/>
    <w:rsid w:val="007812EA"/>
    <w:rsid w:val="00781F1A"/>
    <w:rsid w:val="00782C84"/>
    <w:rsid w:val="00784D8F"/>
    <w:rsid w:val="007912E9"/>
    <w:rsid w:val="007923BD"/>
    <w:rsid w:val="00793820"/>
    <w:rsid w:val="00797654"/>
    <w:rsid w:val="00797B14"/>
    <w:rsid w:val="007A022B"/>
    <w:rsid w:val="007A1A73"/>
    <w:rsid w:val="007A36E9"/>
    <w:rsid w:val="007A4FEA"/>
    <w:rsid w:val="007A5B26"/>
    <w:rsid w:val="007A710B"/>
    <w:rsid w:val="007B0B70"/>
    <w:rsid w:val="007B317A"/>
    <w:rsid w:val="007B4614"/>
    <w:rsid w:val="007B7812"/>
    <w:rsid w:val="007C11E0"/>
    <w:rsid w:val="007C3308"/>
    <w:rsid w:val="007C4C1F"/>
    <w:rsid w:val="007D1773"/>
    <w:rsid w:val="007D3096"/>
    <w:rsid w:val="007D4356"/>
    <w:rsid w:val="007D520B"/>
    <w:rsid w:val="007D5225"/>
    <w:rsid w:val="007D6192"/>
    <w:rsid w:val="007D646F"/>
    <w:rsid w:val="007E0035"/>
    <w:rsid w:val="007F05BA"/>
    <w:rsid w:val="007F1688"/>
    <w:rsid w:val="007F17C2"/>
    <w:rsid w:val="007F3051"/>
    <w:rsid w:val="007F445F"/>
    <w:rsid w:val="007F69C4"/>
    <w:rsid w:val="00800158"/>
    <w:rsid w:val="00800C49"/>
    <w:rsid w:val="00805B1A"/>
    <w:rsid w:val="00812666"/>
    <w:rsid w:val="00816354"/>
    <w:rsid w:val="00825BEF"/>
    <w:rsid w:val="008275DE"/>
    <w:rsid w:val="0083025F"/>
    <w:rsid w:val="00831A4E"/>
    <w:rsid w:val="00834158"/>
    <w:rsid w:val="00834F29"/>
    <w:rsid w:val="00837133"/>
    <w:rsid w:val="00841FDD"/>
    <w:rsid w:val="00843099"/>
    <w:rsid w:val="00844A63"/>
    <w:rsid w:val="00845B6B"/>
    <w:rsid w:val="0085555C"/>
    <w:rsid w:val="0085722C"/>
    <w:rsid w:val="00860076"/>
    <w:rsid w:val="00864B42"/>
    <w:rsid w:val="00864EDC"/>
    <w:rsid w:val="008717FD"/>
    <w:rsid w:val="00872085"/>
    <w:rsid w:val="0087311E"/>
    <w:rsid w:val="008766A7"/>
    <w:rsid w:val="0088023F"/>
    <w:rsid w:val="00884AB2"/>
    <w:rsid w:val="008853E8"/>
    <w:rsid w:val="00890B67"/>
    <w:rsid w:val="00893361"/>
    <w:rsid w:val="00893A8E"/>
    <w:rsid w:val="00893CE3"/>
    <w:rsid w:val="008941F8"/>
    <w:rsid w:val="0089639E"/>
    <w:rsid w:val="0089684C"/>
    <w:rsid w:val="008A328F"/>
    <w:rsid w:val="008A42EB"/>
    <w:rsid w:val="008A4E58"/>
    <w:rsid w:val="008A5709"/>
    <w:rsid w:val="008B1A6F"/>
    <w:rsid w:val="008B35DA"/>
    <w:rsid w:val="008B6562"/>
    <w:rsid w:val="008B7C56"/>
    <w:rsid w:val="008C1BE0"/>
    <w:rsid w:val="008C5328"/>
    <w:rsid w:val="008C6844"/>
    <w:rsid w:val="008D1502"/>
    <w:rsid w:val="008D2E6B"/>
    <w:rsid w:val="008D3059"/>
    <w:rsid w:val="008D44E2"/>
    <w:rsid w:val="008D5C1F"/>
    <w:rsid w:val="008D612C"/>
    <w:rsid w:val="008E0C90"/>
    <w:rsid w:val="008E340A"/>
    <w:rsid w:val="008F024A"/>
    <w:rsid w:val="008F4CD3"/>
    <w:rsid w:val="008F62FB"/>
    <w:rsid w:val="00900B1D"/>
    <w:rsid w:val="00901C67"/>
    <w:rsid w:val="009058DF"/>
    <w:rsid w:val="00910D7C"/>
    <w:rsid w:val="00910E34"/>
    <w:rsid w:val="00911CE5"/>
    <w:rsid w:val="009133CD"/>
    <w:rsid w:val="0091490C"/>
    <w:rsid w:val="009204DB"/>
    <w:rsid w:val="009206E4"/>
    <w:rsid w:val="0092128F"/>
    <w:rsid w:val="00922063"/>
    <w:rsid w:val="009220D3"/>
    <w:rsid w:val="009226F2"/>
    <w:rsid w:val="00926314"/>
    <w:rsid w:val="00930317"/>
    <w:rsid w:val="00933333"/>
    <w:rsid w:val="0093364F"/>
    <w:rsid w:val="00934E57"/>
    <w:rsid w:val="00936A0A"/>
    <w:rsid w:val="00944176"/>
    <w:rsid w:val="0094724D"/>
    <w:rsid w:val="009510ED"/>
    <w:rsid w:val="00954E13"/>
    <w:rsid w:val="00955098"/>
    <w:rsid w:val="00962A6D"/>
    <w:rsid w:val="009642C6"/>
    <w:rsid w:val="0096452B"/>
    <w:rsid w:val="00975377"/>
    <w:rsid w:val="0097752F"/>
    <w:rsid w:val="00980E2D"/>
    <w:rsid w:val="00981308"/>
    <w:rsid w:val="00983CDC"/>
    <w:rsid w:val="00983E62"/>
    <w:rsid w:val="00984743"/>
    <w:rsid w:val="00985D99"/>
    <w:rsid w:val="00987A4E"/>
    <w:rsid w:val="00987C57"/>
    <w:rsid w:val="0099188F"/>
    <w:rsid w:val="00993328"/>
    <w:rsid w:val="00995822"/>
    <w:rsid w:val="00997A44"/>
    <w:rsid w:val="009A1FC7"/>
    <w:rsid w:val="009A7254"/>
    <w:rsid w:val="009B2BF4"/>
    <w:rsid w:val="009B52A3"/>
    <w:rsid w:val="009B53BA"/>
    <w:rsid w:val="009B609B"/>
    <w:rsid w:val="009B6F4E"/>
    <w:rsid w:val="009B6FA5"/>
    <w:rsid w:val="009B74CD"/>
    <w:rsid w:val="009D1F6F"/>
    <w:rsid w:val="009D38DB"/>
    <w:rsid w:val="009D3D0A"/>
    <w:rsid w:val="009D628E"/>
    <w:rsid w:val="009D62DE"/>
    <w:rsid w:val="009E1F06"/>
    <w:rsid w:val="009E5DEF"/>
    <w:rsid w:val="009E6B6B"/>
    <w:rsid w:val="009F3B36"/>
    <w:rsid w:val="009F79E3"/>
    <w:rsid w:val="00A01A52"/>
    <w:rsid w:val="00A02A0A"/>
    <w:rsid w:val="00A04717"/>
    <w:rsid w:val="00A04E49"/>
    <w:rsid w:val="00A10236"/>
    <w:rsid w:val="00A10B7E"/>
    <w:rsid w:val="00A11E9D"/>
    <w:rsid w:val="00A1598C"/>
    <w:rsid w:val="00A15EDE"/>
    <w:rsid w:val="00A163CB"/>
    <w:rsid w:val="00A24789"/>
    <w:rsid w:val="00A25268"/>
    <w:rsid w:val="00A34924"/>
    <w:rsid w:val="00A35F3F"/>
    <w:rsid w:val="00A40234"/>
    <w:rsid w:val="00A4496C"/>
    <w:rsid w:val="00A51BDA"/>
    <w:rsid w:val="00A52FED"/>
    <w:rsid w:val="00A547EA"/>
    <w:rsid w:val="00A54EE3"/>
    <w:rsid w:val="00A60040"/>
    <w:rsid w:val="00A61125"/>
    <w:rsid w:val="00A64033"/>
    <w:rsid w:val="00A65635"/>
    <w:rsid w:val="00A66230"/>
    <w:rsid w:val="00A66B33"/>
    <w:rsid w:val="00A706DE"/>
    <w:rsid w:val="00A70BEA"/>
    <w:rsid w:val="00A7226B"/>
    <w:rsid w:val="00A77E2C"/>
    <w:rsid w:val="00A806B3"/>
    <w:rsid w:val="00A80E57"/>
    <w:rsid w:val="00A82337"/>
    <w:rsid w:val="00A90118"/>
    <w:rsid w:val="00A90821"/>
    <w:rsid w:val="00A928C5"/>
    <w:rsid w:val="00A94CCD"/>
    <w:rsid w:val="00A955A3"/>
    <w:rsid w:val="00A958C2"/>
    <w:rsid w:val="00A95C9E"/>
    <w:rsid w:val="00A96933"/>
    <w:rsid w:val="00A97D34"/>
    <w:rsid w:val="00AA175E"/>
    <w:rsid w:val="00AA1B3F"/>
    <w:rsid w:val="00AA565B"/>
    <w:rsid w:val="00AA6572"/>
    <w:rsid w:val="00AA6DE0"/>
    <w:rsid w:val="00AB0EDD"/>
    <w:rsid w:val="00AB238D"/>
    <w:rsid w:val="00AC5DC1"/>
    <w:rsid w:val="00AD1275"/>
    <w:rsid w:val="00AD56BA"/>
    <w:rsid w:val="00AE5941"/>
    <w:rsid w:val="00AE7E72"/>
    <w:rsid w:val="00AF00B0"/>
    <w:rsid w:val="00AF0B6E"/>
    <w:rsid w:val="00AF0C1B"/>
    <w:rsid w:val="00AF1152"/>
    <w:rsid w:val="00AF20DE"/>
    <w:rsid w:val="00AF2C7E"/>
    <w:rsid w:val="00AF337C"/>
    <w:rsid w:val="00AF365B"/>
    <w:rsid w:val="00AF3BC9"/>
    <w:rsid w:val="00B0152E"/>
    <w:rsid w:val="00B06F77"/>
    <w:rsid w:val="00B17EA4"/>
    <w:rsid w:val="00B2401D"/>
    <w:rsid w:val="00B271E2"/>
    <w:rsid w:val="00B27F1E"/>
    <w:rsid w:val="00B320E0"/>
    <w:rsid w:val="00B32D83"/>
    <w:rsid w:val="00B35A2B"/>
    <w:rsid w:val="00B44C87"/>
    <w:rsid w:val="00B47772"/>
    <w:rsid w:val="00B525E7"/>
    <w:rsid w:val="00B5298A"/>
    <w:rsid w:val="00B52BC2"/>
    <w:rsid w:val="00B54B9E"/>
    <w:rsid w:val="00B5655B"/>
    <w:rsid w:val="00B602C0"/>
    <w:rsid w:val="00B639CC"/>
    <w:rsid w:val="00B65AA6"/>
    <w:rsid w:val="00B67A38"/>
    <w:rsid w:val="00B736AC"/>
    <w:rsid w:val="00B753D4"/>
    <w:rsid w:val="00B777DB"/>
    <w:rsid w:val="00B804DA"/>
    <w:rsid w:val="00B83BD4"/>
    <w:rsid w:val="00B873B1"/>
    <w:rsid w:val="00B91C42"/>
    <w:rsid w:val="00BB0ED6"/>
    <w:rsid w:val="00BB1C0A"/>
    <w:rsid w:val="00BB4376"/>
    <w:rsid w:val="00BB4A45"/>
    <w:rsid w:val="00BB4B74"/>
    <w:rsid w:val="00BB6FED"/>
    <w:rsid w:val="00BC41B2"/>
    <w:rsid w:val="00BC45B6"/>
    <w:rsid w:val="00BC4F9E"/>
    <w:rsid w:val="00BE0799"/>
    <w:rsid w:val="00BE26D9"/>
    <w:rsid w:val="00BF1119"/>
    <w:rsid w:val="00BF5510"/>
    <w:rsid w:val="00C00C31"/>
    <w:rsid w:val="00C070A2"/>
    <w:rsid w:val="00C10D37"/>
    <w:rsid w:val="00C13A0F"/>
    <w:rsid w:val="00C14C4A"/>
    <w:rsid w:val="00C17E66"/>
    <w:rsid w:val="00C22482"/>
    <w:rsid w:val="00C242A9"/>
    <w:rsid w:val="00C24D87"/>
    <w:rsid w:val="00C3032A"/>
    <w:rsid w:val="00C31C6D"/>
    <w:rsid w:val="00C31FF2"/>
    <w:rsid w:val="00C33C36"/>
    <w:rsid w:val="00C34E53"/>
    <w:rsid w:val="00C37264"/>
    <w:rsid w:val="00C408D1"/>
    <w:rsid w:val="00C44645"/>
    <w:rsid w:val="00C50A3F"/>
    <w:rsid w:val="00C51474"/>
    <w:rsid w:val="00C51847"/>
    <w:rsid w:val="00C55C36"/>
    <w:rsid w:val="00C61072"/>
    <w:rsid w:val="00C6137D"/>
    <w:rsid w:val="00C61540"/>
    <w:rsid w:val="00C61B0C"/>
    <w:rsid w:val="00C634E4"/>
    <w:rsid w:val="00C67D4C"/>
    <w:rsid w:val="00C706FA"/>
    <w:rsid w:val="00C808FE"/>
    <w:rsid w:val="00C81D18"/>
    <w:rsid w:val="00C82258"/>
    <w:rsid w:val="00C82744"/>
    <w:rsid w:val="00C836D9"/>
    <w:rsid w:val="00C84109"/>
    <w:rsid w:val="00C843F0"/>
    <w:rsid w:val="00C85F66"/>
    <w:rsid w:val="00C95F0B"/>
    <w:rsid w:val="00CA0CFD"/>
    <w:rsid w:val="00CA37C8"/>
    <w:rsid w:val="00CA5047"/>
    <w:rsid w:val="00CA7C2A"/>
    <w:rsid w:val="00CC1221"/>
    <w:rsid w:val="00CC4EE7"/>
    <w:rsid w:val="00CD4CC6"/>
    <w:rsid w:val="00CD5C22"/>
    <w:rsid w:val="00CE363E"/>
    <w:rsid w:val="00CF1430"/>
    <w:rsid w:val="00CF1AE4"/>
    <w:rsid w:val="00D0046C"/>
    <w:rsid w:val="00D00979"/>
    <w:rsid w:val="00D01E3B"/>
    <w:rsid w:val="00D05480"/>
    <w:rsid w:val="00D06EEA"/>
    <w:rsid w:val="00D11946"/>
    <w:rsid w:val="00D14F71"/>
    <w:rsid w:val="00D15612"/>
    <w:rsid w:val="00D156E5"/>
    <w:rsid w:val="00D17A89"/>
    <w:rsid w:val="00D204BD"/>
    <w:rsid w:val="00D21619"/>
    <w:rsid w:val="00D21B1B"/>
    <w:rsid w:val="00D220B5"/>
    <w:rsid w:val="00D26063"/>
    <w:rsid w:val="00D30FB0"/>
    <w:rsid w:val="00D32832"/>
    <w:rsid w:val="00D33C76"/>
    <w:rsid w:val="00D34827"/>
    <w:rsid w:val="00D3642E"/>
    <w:rsid w:val="00D41F8D"/>
    <w:rsid w:val="00D451AB"/>
    <w:rsid w:val="00D50991"/>
    <w:rsid w:val="00D578AF"/>
    <w:rsid w:val="00D61DA0"/>
    <w:rsid w:val="00D65D7A"/>
    <w:rsid w:val="00D6793A"/>
    <w:rsid w:val="00D7347C"/>
    <w:rsid w:val="00D74D7F"/>
    <w:rsid w:val="00D75348"/>
    <w:rsid w:val="00D80F6F"/>
    <w:rsid w:val="00D820E3"/>
    <w:rsid w:val="00D9342C"/>
    <w:rsid w:val="00D944CB"/>
    <w:rsid w:val="00DA326B"/>
    <w:rsid w:val="00DA3BCE"/>
    <w:rsid w:val="00DA59FA"/>
    <w:rsid w:val="00DB1157"/>
    <w:rsid w:val="00DB295F"/>
    <w:rsid w:val="00DB29E4"/>
    <w:rsid w:val="00DB3826"/>
    <w:rsid w:val="00DB47DC"/>
    <w:rsid w:val="00DB74F2"/>
    <w:rsid w:val="00DC205C"/>
    <w:rsid w:val="00DC5687"/>
    <w:rsid w:val="00DC6575"/>
    <w:rsid w:val="00DC7A5D"/>
    <w:rsid w:val="00DD00EF"/>
    <w:rsid w:val="00DD1CF8"/>
    <w:rsid w:val="00DD6102"/>
    <w:rsid w:val="00DD71F1"/>
    <w:rsid w:val="00DE00C5"/>
    <w:rsid w:val="00DE3FB5"/>
    <w:rsid w:val="00DF2749"/>
    <w:rsid w:val="00DF60A6"/>
    <w:rsid w:val="00E00D0A"/>
    <w:rsid w:val="00E05B5A"/>
    <w:rsid w:val="00E05F1B"/>
    <w:rsid w:val="00E07B93"/>
    <w:rsid w:val="00E07E15"/>
    <w:rsid w:val="00E1354A"/>
    <w:rsid w:val="00E161F8"/>
    <w:rsid w:val="00E26EE5"/>
    <w:rsid w:val="00E32815"/>
    <w:rsid w:val="00E33554"/>
    <w:rsid w:val="00E40596"/>
    <w:rsid w:val="00E40BA9"/>
    <w:rsid w:val="00E41B77"/>
    <w:rsid w:val="00E45EC3"/>
    <w:rsid w:val="00E47C4F"/>
    <w:rsid w:val="00E541A3"/>
    <w:rsid w:val="00E637BB"/>
    <w:rsid w:val="00E638C8"/>
    <w:rsid w:val="00E658DD"/>
    <w:rsid w:val="00E65D7E"/>
    <w:rsid w:val="00E70383"/>
    <w:rsid w:val="00E7427C"/>
    <w:rsid w:val="00E75972"/>
    <w:rsid w:val="00E815D2"/>
    <w:rsid w:val="00E82204"/>
    <w:rsid w:val="00E8377B"/>
    <w:rsid w:val="00E83A77"/>
    <w:rsid w:val="00E8796C"/>
    <w:rsid w:val="00E90251"/>
    <w:rsid w:val="00E933C0"/>
    <w:rsid w:val="00E962B7"/>
    <w:rsid w:val="00E96877"/>
    <w:rsid w:val="00E978BF"/>
    <w:rsid w:val="00EA1188"/>
    <w:rsid w:val="00EB0752"/>
    <w:rsid w:val="00EB0AE1"/>
    <w:rsid w:val="00EB1186"/>
    <w:rsid w:val="00EB77CC"/>
    <w:rsid w:val="00EC0997"/>
    <w:rsid w:val="00EC2EEF"/>
    <w:rsid w:val="00EC5DDD"/>
    <w:rsid w:val="00ED2F39"/>
    <w:rsid w:val="00ED30F4"/>
    <w:rsid w:val="00ED43BB"/>
    <w:rsid w:val="00ED449A"/>
    <w:rsid w:val="00ED68E9"/>
    <w:rsid w:val="00EE1FC2"/>
    <w:rsid w:val="00EF670C"/>
    <w:rsid w:val="00F11F09"/>
    <w:rsid w:val="00F1455B"/>
    <w:rsid w:val="00F16D36"/>
    <w:rsid w:val="00F210FD"/>
    <w:rsid w:val="00F250D2"/>
    <w:rsid w:val="00F33087"/>
    <w:rsid w:val="00F350B2"/>
    <w:rsid w:val="00F372A2"/>
    <w:rsid w:val="00F4243D"/>
    <w:rsid w:val="00F4304A"/>
    <w:rsid w:val="00F43155"/>
    <w:rsid w:val="00F44DA4"/>
    <w:rsid w:val="00F45BA7"/>
    <w:rsid w:val="00F45BE9"/>
    <w:rsid w:val="00F46308"/>
    <w:rsid w:val="00F46F4A"/>
    <w:rsid w:val="00F52CE1"/>
    <w:rsid w:val="00F57917"/>
    <w:rsid w:val="00F60788"/>
    <w:rsid w:val="00F7063D"/>
    <w:rsid w:val="00F70C88"/>
    <w:rsid w:val="00F7168A"/>
    <w:rsid w:val="00F734AD"/>
    <w:rsid w:val="00F745D9"/>
    <w:rsid w:val="00F76618"/>
    <w:rsid w:val="00F76E42"/>
    <w:rsid w:val="00F81D1B"/>
    <w:rsid w:val="00F83FBC"/>
    <w:rsid w:val="00F841A7"/>
    <w:rsid w:val="00F84292"/>
    <w:rsid w:val="00F85E04"/>
    <w:rsid w:val="00F864DA"/>
    <w:rsid w:val="00F9134D"/>
    <w:rsid w:val="00F916DA"/>
    <w:rsid w:val="00F92643"/>
    <w:rsid w:val="00F936B3"/>
    <w:rsid w:val="00F97F7D"/>
    <w:rsid w:val="00FA0333"/>
    <w:rsid w:val="00FA19D5"/>
    <w:rsid w:val="00FA3EE8"/>
    <w:rsid w:val="00FA6669"/>
    <w:rsid w:val="00FA7639"/>
    <w:rsid w:val="00FB3457"/>
    <w:rsid w:val="00FB3E2C"/>
    <w:rsid w:val="00FB695B"/>
    <w:rsid w:val="00FC037E"/>
    <w:rsid w:val="00FC19B9"/>
    <w:rsid w:val="00FC4DE3"/>
    <w:rsid w:val="00FC6716"/>
    <w:rsid w:val="00FD00A5"/>
    <w:rsid w:val="00FD4B0F"/>
    <w:rsid w:val="00FE0661"/>
    <w:rsid w:val="00FF0C09"/>
    <w:rsid w:val="00FF1DD7"/>
    <w:rsid w:val="00FF3775"/>
    <w:rsid w:val="01B34E22"/>
    <w:rsid w:val="01CE5D1C"/>
    <w:rsid w:val="028A0CCE"/>
    <w:rsid w:val="034D1F17"/>
    <w:rsid w:val="03711098"/>
    <w:rsid w:val="039E595D"/>
    <w:rsid w:val="05461B09"/>
    <w:rsid w:val="05EB7905"/>
    <w:rsid w:val="07035F04"/>
    <w:rsid w:val="070F07F6"/>
    <w:rsid w:val="07DC0503"/>
    <w:rsid w:val="08083403"/>
    <w:rsid w:val="08420CAE"/>
    <w:rsid w:val="09BE5E2A"/>
    <w:rsid w:val="0A091F73"/>
    <w:rsid w:val="0A8504E9"/>
    <w:rsid w:val="0B380146"/>
    <w:rsid w:val="0B440899"/>
    <w:rsid w:val="0C684A5B"/>
    <w:rsid w:val="0D0256A8"/>
    <w:rsid w:val="0D2766C4"/>
    <w:rsid w:val="0D92619C"/>
    <w:rsid w:val="0E344BF5"/>
    <w:rsid w:val="0E39220B"/>
    <w:rsid w:val="0EA578A0"/>
    <w:rsid w:val="0F184692"/>
    <w:rsid w:val="0F412CA9"/>
    <w:rsid w:val="0FA1450C"/>
    <w:rsid w:val="0FD566D2"/>
    <w:rsid w:val="103938B6"/>
    <w:rsid w:val="105153BC"/>
    <w:rsid w:val="108D2D05"/>
    <w:rsid w:val="11A6405B"/>
    <w:rsid w:val="1256232B"/>
    <w:rsid w:val="12891287"/>
    <w:rsid w:val="12B74046"/>
    <w:rsid w:val="131B6383"/>
    <w:rsid w:val="13B2170D"/>
    <w:rsid w:val="13B97480"/>
    <w:rsid w:val="14034EB5"/>
    <w:rsid w:val="143D55B7"/>
    <w:rsid w:val="14870494"/>
    <w:rsid w:val="15085E8C"/>
    <w:rsid w:val="150B2427"/>
    <w:rsid w:val="15174F60"/>
    <w:rsid w:val="1556095A"/>
    <w:rsid w:val="15C14A66"/>
    <w:rsid w:val="167D7F24"/>
    <w:rsid w:val="16970417"/>
    <w:rsid w:val="17011140"/>
    <w:rsid w:val="17306AB5"/>
    <w:rsid w:val="17373F64"/>
    <w:rsid w:val="17D336D0"/>
    <w:rsid w:val="184622E0"/>
    <w:rsid w:val="19A054D6"/>
    <w:rsid w:val="1A5B175B"/>
    <w:rsid w:val="1B0717C8"/>
    <w:rsid w:val="1B9211AC"/>
    <w:rsid w:val="1BE33681"/>
    <w:rsid w:val="1C1F5136"/>
    <w:rsid w:val="1CF2284B"/>
    <w:rsid w:val="1CFC7225"/>
    <w:rsid w:val="1D3A7D4E"/>
    <w:rsid w:val="1DB33B27"/>
    <w:rsid w:val="1EDB2E6A"/>
    <w:rsid w:val="1F2B5BA0"/>
    <w:rsid w:val="1F4E7AE0"/>
    <w:rsid w:val="1F792DAF"/>
    <w:rsid w:val="20653288"/>
    <w:rsid w:val="2071000E"/>
    <w:rsid w:val="20F5319F"/>
    <w:rsid w:val="21862EC6"/>
    <w:rsid w:val="221E0C06"/>
    <w:rsid w:val="237A2B2A"/>
    <w:rsid w:val="241855F0"/>
    <w:rsid w:val="248D2E59"/>
    <w:rsid w:val="24DB5972"/>
    <w:rsid w:val="251E1CB7"/>
    <w:rsid w:val="25373D5A"/>
    <w:rsid w:val="257B7155"/>
    <w:rsid w:val="25D2707C"/>
    <w:rsid w:val="25F82554"/>
    <w:rsid w:val="281C4C20"/>
    <w:rsid w:val="28792077"/>
    <w:rsid w:val="29CD419E"/>
    <w:rsid w:val="2A4453CF"/>
    <w:rsid w:val="2AE31A25"/>
    <w:rsid w:val="2C4F36F5"/>
    <w:rsid w:val="2D5F22BD"/>
    <w:rsid w:val="2E9C43C4"/>
    <w:rsid w:val="2F666780"/>
    <w:rsid w:val="2FF37D11"/>
    <w:rsid w:val="3013049D"/>
    <w:rsid w:val="305B205D"/>
    <w:rsid w:val="307D6477"/>
    <w:rsid w:val="332C3D99"/>
    <w:rsid w:val="33B31577"/>
    <w:rsid w:val="35402150"/>
    <w:rsid w:val="354C151D"/>
    <w:rsid w:val="35BA7826"/>
    <w:rsid w:val="365875C5"/>
    <w:rsid w:val="367276B5"/>
    <w:rsid w:val="368A544A"/>
    <w:rsid w:val="3790083E"/>
    <w:rsid w:val="37AE5168"/>
    <w:rsid w:val="37B07132"/>
    <w:rsid w:val="38AC78FA"/>
    <w:rsid w:val="392C27E9"/>
    <w:rsid w:val="392C7E2E"/>
    <w:rsid w:val="39356049"/>
    <w:rsid w:val="3A6F6E31"/>
    <w:rsid w:val="3A741B21"/>
    <w:rsid w:val="3AA27206"/>
    <w:rsid w:val="3B0C4680"/>
    <w:rsid w:val="3B4E60E4"/>
    <w:rsid w:val="3B563B4D"/>
    <w:rsid w:val="3BB27C26"/>
    <w:rsid w:val="3BFE2074"/>
    <w:rsid w:val="3C8A61A4"/>
    <w:rsid w:val="3D22462E"/>
    <w:rsid w:val="3DA31A28"/>
    <w:rsid w:val="3DDD67A7"/>
    <w:rsid w:val="3F8C7277"/>
    <w:rsid w:val="3FA0222F"/>
    <w:rsid w:val="3FCC0881"/>
    <w:rsid w:val="412C5A7C"/>
    <w:rsid w:val="42022339"/>
    <w:rsid w:val="4239230D"/>
    <w:rsid w:val="4253737E"/>
    <w:rsid w:val="42D769B6"/>
    <w:rsid w:val="43EA39CC"/>
    <w:rsid w:val="43F337F5"/>
    <w:rsid w:val="44F600D3"/>
    <w:rsid w:val="45617704"/>
    <w:rsid w:val="45C02C36"/>
    <w:rsid w:val="462D194E"/>
    <w:rsid w:val="46562740"/>
    <w:rsid w:val="46D450C7"/>
    <w:rsid w:val="46E61794"/>
    <w:rsid w:val="475A2C17"/>
    <w:rsid w:val="477E4919"/>
    <w:rsid w:val="47BE6D02"/>
    <w:rsid w:val="48324A64"/>
    <w:rsid w:val="48B00D40"/>
    <w:rsid w:val="48B048DB"/>
    <w:rsid w:val="49A34401"/>
    <w:rsid w:val="4B8C0594"/>
    <w:rsid w:val="4C0F7B1B"/>
    <w:rsid w:val="4CFE380A"/>
    <w:rsid w:val="4D221AE1"/>
    <w:rsid w:val="4D537EEC"/>
    <w:rsid w:val="4D862B8C"/>
    <w:rsid w:val="4D993568"/>
    <w:rsid w:val="4DD76D6F"/>
    <w:rsid w:val="4DFF35F5"/>
    <w:rsid w:val="4EF47599"/>
    <w:rsid w:val="4EFB2D20"/>
    <w:rsid w:val="4F1D07B2"/>
    <w:rsid w:val="4FE3578A"/>
    <w:rsid w:val="51B11685"/>
    <w:rsid w:val="529E7E5B"/>
    <w:rsid w:val="5311062D"/>
    <w:rsid w:val="53AA2830"/>
    <w:rsid w:val="53BF452D"/>
    <w:rsid w:val="54624EB9"/>
    <w:rsid w:val="54E94B5B"/>
    <w:rsid w:val="55661639"/>
    <w:rsid w:val="55713605"/>
    <w:rsid w:val="55761622"/>
    <w:rsid w:val="558772CD"/>
    <w:rsid w:val="55A649E5"/>
    <w:rsid w:val="57B823BD"/>
    <w:rsid w:val="581110D0"/>
    <w:rsid w:val="582901C7"/>
    <w:rsid w:val="59C53F20"/>
    <w:rsid w:val="59C56616"/>
    <w:rsid w:val="5A9D30EE"/>
    <w:rsid w:val="5AB75F5E"/>
    <w:rsid w:val="5B5E63DA"/>
    <w:rsid w:val="5BD857FA"/>
    <w:rsid w:val="5C080481"/>
    <w:rsid w:val="5C0A24CA"/>
    <w:rsid w:val="5C2D01A1"/>
    <w:rsid w:val="5E202145"/>
    <w:rsid w:val="5E225DE5"/>
    <w:rsid w:val="5E2508E5"/>
    <w:rsid w:val="5EF13BE9"/>
    <w:rsid w:val="5F621BCD"/>
    <w:rsid w:val="6031647B"/>
    <w:rsid w:val="60FC22A0"/>
    <w:rsid w:val="62F74A7A"/>
    <w:rsid w:val="632C5010"/>
    <w:rsid w:val="6582360D"/>
    <w:rsid w:val="65F75DA9"/>
    <w:rsid w:val="663C7C5F"/>
    <w:rsid w:val="667116B0"/>
    <w:rsid w:val="668E2223"/>
    <w:rsid w:val="67E04B62"/>
    <w:rsid w:val="68224C33"/>
    <w:rsid w:val="683026D9"/>
    <w:rsid w:val="683E1A6D"/>
    <w:rsid w:val="689A6DDC"/>
    <w:rsid w:val="68AB2E7A"/>
    <w:rsid w:val="693F388B"/>
    <w:rsid w:val="6A794318"/>
    <w:rsid w:val="6AAB53B4"/>
    <w:rsid w:val="6BDF3567"/>
    <w:rsid w:val="6BF6265F"/>
    <w:rsid w:val="6BF74A56"/>
    <w:rsid w:val="6C89702F"/>
    <w:rsid w:val="6DBA21A1"/>
    <w:rsid w:val="6E2B2A93"/>
    <w:rsid w:val="6E5A7A15"/>
    <w:rsid w:val="6E625D89"/>
    <w:rsid w:val="6EA2087C"/>
    <w:rsid w:val="6FC85B74"/>
    <w:rsid w:val="6FF56E6B"/>
    <w:rsid w:val="71EB191C"/>
    <w:rsid w:val="720C6738"/>
    <w:rsid w:val="735F253D"/>
    <w:rsid w:val="73731F46"/>
    <w:rsid w:val="73B250BD"/>
    <w:rsid w:val="75501031"/>
    <w:rsid w:val="75736ACE"/>
    <w:rsid w:val="76263E3D"/>
    <w:rsid w:val="778B00FF"/>
    <w:rsid w:val="78AF3D07"/>
    <w:rsid w:val="78B43A64"/>
    <w:rsid w:val="7AF5051C"/>
    <w:rsid w:val="7B3030FD"/>
    <w:rsid w:val="7BBA680A"/>
    <w:rsid w:val="7BE826AE"/>
    <w:rsid w:val="7CCF532E"/>
    <w:rsid w:val="7CF1187D"/>
    <w:rsid w:val="7E00338F"/>
    <w:rsid w:val="7E4454AB"/>
    <w:rsid w:val="7F6A7194"/>
    <w:rsid w:val="7F840255"/>
    <w:rsid w:val="7FE56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iPriority="99" w:semiHidden="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880" w:firstLineChars="200"/>
      <w:jc w:val="both"/>
    </w:pPr>
    <w:rPr>
      <w:rFonts w:ascii="Times New Roman" w:hAnsi="Times New Roman" w:eastAsia="仿宋_GB2312" w:cs="Times New Roman"/>
      <w:kern w:val="2"/>
      <w:sz w:val="32"/>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3">
    <w:name w:val="index 6"/>
    <w:basedOn w:val="1"/>
    <w:next w:val="1"/>
    <w:unhideWhenUsed/>
    <w:qFormat/>
    <w:uiPriority w:val="99"/>
    <w:pPr>
      <w:ind w:left="2100"/>
    </w:pPr>
  </w:style>
  <w:style w:type="paragraph" w:styleId="4">
    <w:name w:val="annotation text"/>
    <w:basedOn w:val="1"/>
    <w:semiHidden/>
    <w:unhideWhenUsed/>
    <w:qFormat/>
    <w:uiPriority w:val="99"/>
    <w:pPr>
      <w:jc w:val="left"/>
    </w:pPr>
  </w:style>
  <w:style w:type="paragraph" w:styleId="5">
    <w:name w:val="Balloon Text"/>
    <w:basedOn w:val="1"/>
    <w:link w:val="38"/>
    <w:semiHidden/>
    <w:unhideWhenUsed/>
    <w:qFormat/>
    <w:uiPriority w:val="0"/>
    <w:rPr>
      <w:sz w:val="18"/>
      <w:szCs w:val="18"/>
    </w:rPr>
  </w:style>
  <w:style w:type="paragraph" w:styleId="6">
    <w:name w:val="footer"/>
    <w:basedOn w:val="1"/>
    <w:link w:val="30"/>
    <w:qFormat/>
    <w:uiPriority w:val="99"/>
    <w:pPr>
      <w:tabs>
        <w:tab w:val="center" w:pos="4153"/>
        <w:tab w:val="right" w:pos="8306"/>
      </w:tabs>
      <w:snapToGrid w:val="0"/>
      <w:jc w:val="left"/>
    </w:pPr>
    <w:rPr>
      <w:sz w:val="18"/>
      <w:szCs w:val="18"/>
    </w:rPr>
  </w:style>
  <w:style w:type="paragraph" w:styleId="7">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spacing w:before="100" w:beforeAutospacing="1" w:after="100" w:afterAutospacing="1"/>
      <w:jc w:val="left"/>
    </w:pPr>
    <w:rPr>
      <w:kern w:val="0"/>
      <w:sz w:val="24"/>
    </w:rPr>
  </w:style>
  <w:style w:type="table" w:styleId="10">
    <w:name w:val="Table Grid"/>
    <w:basedOn w:val="9"/>
    <w:qFormat/>
    <w:uiPriority w:val="3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2">
    <w:name w:val="Hyperlink"/>
    <w:basedOn w:val="11"/>
    <w:unhideWhenUsed/>
    <w:qFormat/>
    <w:uiPriority w:val="99"/>
    <w:rPr>
      <w:color w:val="0000FF"/>
      <w:u w:val="single"/>
    </w:rPr>
  </w:style>
  <w:style w:type="paragraph" w:customStyle="1" w:styleId="13">
    <w:name w:val="段"/>
    <w:link w:val="28"/>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4">
    <w:name w:val="正文表标题"/>
    <w:next w:val="13"/>
    <w:qFormat/>
    <w:uiPriority w:val="0"/>
    <w:pPr>
      <w:spacing w:beforeLines="50" w:afterLines="50"/>
      <w:jc w:val="center"/>
    </w:pPr>
    <w:rPr>
      <w:rFonts w:ascii="黑体" w:hAnsi="Times New Roman" w:eastAsia="黑体" w:cs="Times New Roman"/>
      <w:sz w:val="21"/>
      <w:lang w:val="en-US" w:eastAsia="zh-CN" w:bidi="ar-SA"/>
    </w:rPr>
  </w:style>
  <w:style w:type="paragraph" w:customStyle="1" w:styleId="15">
    <w:name w:val="正文图标题"/>
    <w:next w:val="13"/>
    <w:qFormat/>
    <w:uiPriority w:val="0"/>
    <w:pPr>
      <w:numPr>
        <w:ilvl w:val="0"/>
        <w:numId w:val="1"/>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6">
    <w:name w:val="其他发布日期"/>
    <w:basedOn w:val="1"/>
    <w:qFormat/>
    <w:uiPriority w:val="0"/>
    <w:pPr>
      <w:framePr w:w="3997" w:h="471" w:hRule="exact" w:vSpace="181" w:wrap="around" w:vAnchor="page" w:hAnchor="page" w:x="1419" w:y="14097" w:anchorLock="1"/>
      <w:widowControl/>
      <w:numPr>
        <w:ilvl w:val="0"/>
        <w:numId w:val="2"/>
      </w:numPr>
      <w:jc w:val="left"/>
    </w:pPr>
    <w:rPr>
      <w:rFonts w:eastAsia="黑体"/>
      <w:kern w:val="0"/>
      <w:sz w:val="28"/>
      <w:szCs w:val="20"/>
    </w:rPr>
  </w:style>
  <w:style w:type="paragraph" w:customStyle="1" w:styleId="17">
    <w:name w:val="一级条标题"/>
    <w:next w:val="13"/>
    <w:qFormat/>
    <w:uiPriority w:val="0"/>
    <w:pPr>
      <w:numPr>
        <w:ilvl w:val="1"/>
        <w:numId w:val="3"/>
      </w:numPr>
      <w:spacing w:beforeLines="50" w:afterLines="50"/>
      <w:outlineLvl w:val="2"/>
    </w:pPr>
    <w:rPr>
      <w:rFonts w:ascii="黑体" w:hAnsi="Times New Roman" w:eastAsia="黑体" w:cs="Times New Roman"/>
      <w:sz w:val="21"/>
      <w:szCs w:val="21"/>
      <w:lang w:val="en-US" w:eastAsia="zh-CN" w:bidi="ar-SA"/>
    </w:rPr>
  </w:style>
  <w:style w:type="paragraph" w:customStyle="1" w:styleId="18">
    <w:name w:val="章标题"/>
    <w:next w:val="13"/>
    <w:qFormat/>
    <w:uiPriority w:val="0"/>
    <w:pPr>
      <w:numPr>
        <w:ilvl w:val="0"/>
        <w:numId w:val="3"/>
      </w:numPr>
      <w:spacing w:beforeLines="100" w:afterLines="100"/>
      <w:jc w:val="both"/>
      <w:outlineLvl w:val="1"/>
    </w:pPr>
    <w:rPr>
      <w:rFonts w:ascii="黑体" w:hAnsi="Times New Roman" w:eastAsia="黑体" w:cs="Times New Roman"/>
      <w:sz w:val="21"/>
      <w:lang w:val="en-US" w:eastAsia="zh-CN" w:bidi="ar-SA"/>
    </w:rPr>
  </w:style>
  <w:style w:type="paragraph" w:customStyle="1" w:styleId="19">
    <w:name w:val="二级条标题"/>
    <w:basedOn w:val="17"/>
    <w:next w:val="13"/>
    <w:qFormat/>
    <w:uiPriority w:val="0"/>
    <w:pPr>
      <w:numPr>
        <w:ilvl w:val="2"/>
      </w:numPr>
      <w:spacing w:before="50" w:after="50"/>
      <w:outlineLvl w:val="3"/>
    </w:pPr>
  </w:style>
  <w:style w:type="paragraph" w:customStyle="1" w:styleId="20">
    <w:name w:val="三级条标题"/>
    <w:basedOn w:val="19"/>
    <w:next w:val="13"/>
    <w:qFormat/>
    <w:uiPriority w:val="0"/>
    <w:pPr>
      <w:numPr>
        <w:ilvl w:val="3"/>
      </w:numPr>
      <w:outlineLvl w:val="4"/>
    </w:pPr>
  </w:style>
  <w:style w:type="paragraph" w:customStyle="1" w:styleId="21">
    <w:name w:val="四级条标题"/>
    <w:basedOn w:val="20"/>
    <w:next w:val="13"/>
    <w:qFormat/>
    <w:uiPriority w:val="0"/>
    <w:pPr>
      <w:numPr>
        <w:ilvl w:val="4"/>
      </w:numPr>
      <w:outlineLvl w:val="5"/>
    </w:pPr>
  </w:style>
  <w:style w:type="paragraph" w:customStyle="1" w:styleId="22">
    <w:name w:val="五级条标题"/>
    <w:basedOn w:val="21"/>
    <w:next w:val="13"/>
    <w:qFormat/>
    <w:uiPriority w:val="0"/>
    <w:pPr>
      <w:numPr>
        <w:ilvl w:val="5"/>
      </w:numPr>
      <w:outlineLvl w:val="6"/>
    </w:pPr>
  </w:style>
  <w:style w:type="paragraph" w:customStyle="1" w:styleId="23">
    <w:name w:val="注："/>
    <w:next w:val="13"/>
    <w:qFormat/>
    <w:uiPriority w:val="0"/>
    <w:pPr>
      <w:widowControl w:val="0"/>
      <w:numPr>
        <w:ilvl w:val="0"/>
        <w:numId w:val="4"/>
      </w:numPr>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24">
    <w:name w:val="附录图标号"/>
    <w:basedOn w:val="1"/>
    <w:qFormat/>
    <w:uiPriority w:val="0"/>
    <w:pPr>
      <w:keepNext/>
      <w:pageBreakBefore/>
      <w:widowControl/>
      <w:numPr>
        <w:ilvl w:val="0"/>
        <w:numId w:val="5"/>
      </w:numPr>
      <w:spacing w:line="14" w:lineRule="exact"/>
      <w:ind w:left="0" w:firstLine="363"/>
      <w:jc w:val="center"/>
      <w:outlineLvl w:val="0"/>
    </w:pPr>
    <w:rPr>
      <w:color w:val="FFFFFF"/>
    </w:rPr>
  </w:style>
  <w:style w:type="paragraph" w:customStyle="1" w:styleId="25">
    <w:name w:val="附录图标题"/>
    <w:basedOn w:val="1"/>
    <w:next w:val="13"/>
    <w:qFormat/>
    <w:uiPriority w:val="0"/>
    <w:pPr>
      <w:numPr>
        <w:ilvl w:val="1"/>
        <w:numId w:val="5"/>
      </w:numPr>
      <w:tabs>
        <w:tab w:val="left" w:pos="363"/>
      </w:tabs>
      <w:spacing w:beforeLines="50" w:afterLines="50"/>
      <w:ind w:left="0" w:firstLine="0"/>
      <w:jc w:val="center"/>
    </w:pPr>
    <w:rPr>
      <w:rFonts w:ascii="黑体" w:eastAsia="黑体"/>
      <w:szCs w:val="21"/>
    </w:rPr>
  </w:style>
  <w:style w:type="paragraph" w:customStyle="1" w:styleId="26">
    <w:name w:val="注×：（正文）"/>
    <w:qFormat/>
    <w:uiPriority w:val="0"/>
    <w:pPr>
      <w:numPr>
        <w:ilvl w:val="0"/>
        <w:numId w:val="6"/>
      </w:numPr>
      <w:jc w:val="both"/>
    </w:pPr>
    <w:rPr>
      <w:rFonts w:ascii="宋体" w:hAnsi="Times New Roman" w:eastAsia="宋体" w:cs="Times New Roman"/>
      <w:sz w:val="18"/>
      <w:szCs w:val="18"/>
      <w:lang w:val="en-US" w:eastAsia="zh-CN" w:bidi="ar-SA"/>
    </w:rPr>
  </w:style>
  <w:style w:type="paragraph" w:customStyle="1" w:styleId="27">
    <w:name w:val="图表脚注说明"/>
    <w:basedOn w:val="1"/>
    <w:qFormat/>
    <w:uiPriority w:val="0"/>
    <w:pPr>
      <w:numPr>
        <w:ilvl w:val="0"/>
        <w:numId w:val="7"/>
      </w:numPr>
    </w:pPr>
    <w:rPr>
      <w:rFonts w:ascii="宋体"/>
      <w:sz w:val="18"/>
      <w:szCs w:val="18"/>
    </w:rPr>
  </w:style>
  <w:style w:type="character" w:customStyle="1" w:styleId="28">
    <w:name w:val="段 Char"/>
    <w:basedOn w:val="11"/>
    <w:link w:val="13"/>
    <w:qFormat/>
    <w:uiPriority w:val="0"/>
    <w:rPr>
      <w:rFonts w:ascii="宋体"/>
      <w:sz w:val="21"/>
      <w:lang w:val="en-US" w:eastAsia="zh-CN" w:bidi="ar-SA"/>
    </w:rPr>
  </w:style>
  <w:style w:type="character" w:customStyle="1" w:styleId="29">
    <w:name w:val="页眉 字符"/>
    <w:basedOn w:val="11"/>
    <w:link w:val="7"/>
    <w:qFormat/>
    <w:uiPriority w:val="0"/>
    <w:rPr>
      <w:kern w:val="2"/>
      <w:sz w:val="18"/>
      <w:szCs w:val="18"/>
    </w:rPr>
  </w:style>
  <w:style w:type="character" w:customStyle="1" w:styleId="30">
    <w:name w:val="页脚 字符"/>
    <w:basedOn w:val="11"/>
    <w:link w:val="6"/>
    <w:qFormat/>
    <w:uiPriority w:val="99"/>
    <w:rPr>
      <w:kern w:val="2"/>
      <w:sz w:val="18"/>
      <w:szCs w:val="18"/>
    </w:rPr>
  </w:style>
  <w:style w:type="paragraph" w:customStyle="1" w:styleId="31">
    <w:name w:val="附录表标题"/>
    <w:basedOn w:val="1"/>
    <w:next w:val="13"/>
    <w:qFormat/>
    <w:uiPriority w:val="0"/>
    <w:pPr>
      <w:numPr>
        <w:ilvl w:val="1"/>
        <w:numId w:val="8"/>
      </w:numPr>
      <w:tabs>
        <w:tab w:val="left" w:pos="180"/>
      </w:tabs>
      <w:spacing w:beforeLines="50" w:afterLines="50"/>
      <w:ind w:left="0" w:firstLine="0"/>
      <w:jc w:val="center"/>
    </w:pPr>
    <w:rPr>
      <w:rFonts w:ascii="黑体" w:eastAsia="黑体"/>
      <w:szCs w:val="21"/>
    </w:rPr>
  </w:style>
  <w:style w:type="paragraph" w:styleId="32">
    <w:name w:val="List Paragraph"/>
    <w:basedOn w:val="1"/>
    <w:unhideWhenUsed/>
    <w:qFormat/>
    <w:uiPriority w:val="34"/>
    <w:pPr>
      <w:ind w:firstLine="420" w:firstLineChars="200"/>
    </w:pPr>
  </w:style>
  <w:style w:type="paragraph" w:customStyle="1" w:styleId="33">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34">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character" w:customStyle="1" w:styleId="35">
    <w:name w:val="发布"/>
    <w:qFormat/>
    <w:uiPriority w:val="0"/>
    <w:rPr>
      <w:rFonts w:ascii="黑体" w:eastAsia="黑体"/>
      <w:spacing w:val="22"/>
      <w:w w:val="100"/>
      <w:position w:val="3"/>
      <w:sz w:val="28"/>
    </w:rPr>
  </w:style>
  <w:style w:type="paragraph" w:customStyle="1" w:styleId="36">
    <w:name w:val="其他发布部门"/>
    <w:basedOn w:val="1"/>
    <w:qFormat/>
    <w:uiPriority w:val="0"/>
    <w:pPr>
      <w:widowControl/>
      <w:spacing w:line="0" w:lineRule="atLeast"/>
      <w:jc w:val="center"/>
    </w:pPr>
    <w:rPr>
      <w:rFonts w:ascii="黑体" w:eastAsia="黑体"/>
      <w:spacing w:val="20"/>
      <w:w w:val="135"/>
      <w:kern w:val="0"/>
      <w:sz w:val="36"/>
      <w:szCs w:val="20"/>
    </w:rPr>
  </w:style>
  <w:style w:type="paragraph" w:customStyle="1" w:styleId="37">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8">
    <w:name w:val="批注框文本 字符"/>
    <w:basedOn w:val="11"/>
    <w:link w:val="5"/>
    <w:semiHidden/>
    <w:qFormat/>
    <w:uiPriority w:val="0"/>
    <w:rPr>
      <w:rFonts w:ascii="Times New Roman" w:hAnsi="Times New Roman"/>
      <w:kern w:val="2"/>
      <w:sz w:val="18"/>
      <w:szCs w:val="18"/>
    </w:rPr>
  </w:style>
  <w:style w:type="paragraph" w:customStyle="1" w:styleId="39">
    <w:name w:val="BodyText2"/>
    <w:basedOn w:val="1"/>
    <w:qFormat/>
    <w:uiPriority w:val="0"/>
    <w:pPr>
      <w:spacing w:after="120" w:line="480" w:lineRule="auto"/>
      <w:textAlignment w:val="baseline"/>
    </w:pPr>
    <w:rPr>
      <w:rFonts w:ascii="Times New Roman" w:hAnsi="Times New Roman" w:eastAsia="宋体"/>
      <w:sz w:val="32"/>
      <w:szCs w:val="32"/>
    </w:rPr>
  </w:style>
  <w:style w:type="paragraph" w:customStyle="1" w:styleId="40">
    <w:name w:val="标准文件_表格"/>
    <w:basedOn w:val="37"/>
    <w:qFormat/>
    <w:uiPriority w:val="0"/>
    <w:pPr>
      <w:ind w:firstLine="0" w:firstLineChars="0"/>
      <w:jc w:val="center"/>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WWW.YlmF.CoM</Company>
  <Pages>19</Pages>
  <Words>5650</Words>
  <Characters>6085</Characters>
  <Lines>2</Lines>
  <Paragraphs>5</Paragraphs>
  <TotalTime>2</TotalTime>
  <ScaleCrop>false</ScaleCrop>
  <LinksUpToDate>false</LinksUpToDate>
  <CharactersWithSpaces>6149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2023-08-14T06:51:00Z</dcterms:created>
  <dc:creator>USER</dc:creator>
  <cp:lastModifiedBy>河中鱼</cp:lastModifiedBy>
  <cp:lastPrinted>2019-07-10T11:21:00Z</cp:lastPrinted>
  <dcterms:modified xsi:type="dcterms:W3CDTF">2025-10-31T11:45:53Z</dcterms:modified>
  <dc:title>广西地方标准《脱氢枞酸》（征求意见稿）</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833909C97D3A443FBD8E5AE1B20A522D_13</vt:lpwstr>
  </property>
  <property fmtid="{D5CDD505-2E9C-101B-9397-08002B2CF9AE}" pid="4" name="KSOTemplateDocerSaveRecord">
    <vt:lpwstr>eyJoZGlkIjoiYWZjNGU2M2Y2NzcyODU5MmE2MzU2MGIyMTFlNjRhMjIiLCJ1c2VySWQiOiIxNjgzMDY0NzMzIn0=</vt:lpwstr>
  </property>
</Properties>
</file>