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218D62C">
      <w:pPr>
        <w:pStyle w:val="208"/>
        <w:keepNext w:val="0"/>
        <w:keepLines w:val="0"/>
        <w:pageBreakBefore w:val="0"/>
        <w:framePr w:wrap="around" w:vAnchor="page" w:hAnchor="page" w:x="1821" w:y="739"/>
        <w:widowControl w:val="0"/>
        <w:kinsoku/>
        <w:wordWrap/>
        <w:overflowPunct/>
        <w:topLinePunct w:val="0"/>
        <w:autoSpaceDE/>
        <w:autoSpaceDN/>
        <w:bidi w:val="0"/>
        <w:adjustRightInd/>
        <w:snapToGrid/>
        <w:spacing w:after="0" w:line="240" w:lineRule="auto"/>
        <w:textAlignment w:val="auto"/>
        <w:rPr>
          <w:rFonts w:ascii="Times New Roman"/>
          <w:b/>
          <w:bCs/>
        </w:rPr>
      </w:pPr>
      <w:r>
        <w:rPr>
          <w:rFonts w:ascii="Times New Roman"/>
          <w:b/>
          <w:bCs/>
        </w:rPr>
        <w:t>ICS 11.020</w:t>
      </w:r>
    </w:p>
    <w:p w14:paraId="6291318B">
      <w:pPr>
        <w:pStyle w:val="208"/>
        <w:keepNext w:val="0"/>
        <w:keepLines w:val="0"/>
        <w:pageBreakBefore w:val="0"/>
        <w:framePr w:wrap="around" w:vAnchor="page" w:hAnchor="page" w:x="1821" w:y="739"/>
        <w:widowControl w:val="0"/>
        <w:kinsoku/>
        <w:wordWrap/>
        <w:overflowPunct/>
        <w:topLinePunct w:val="0"/>
        <w:autoSpaceDE/>
        <w:autoSpaceDN/>
        <w:bidi w:val="0"/>
        <w:adjustRightInd/>
        <w:snapToGrid/>
        <w:spacing w:after="0" w:line="240" w:lineRule="auto"/>
        <w:textAlignment w:val="auto"/>
        <w:rPr>
          <w:rFonts w:ascii="Times New Roman"/>
          <w:b/>
          <w:bCs/>
        </w:rPr>
      </w:pPr>
      <w:r>
        <w:rPr>
          <w:rFonts w:ascii="Times New Roman"/>
          <w:b/>
          <w:bCs/>
        </w:rPr>
        <w:t>CCS C 05</w:t>
      </w:r>
    </w:p>
    <w:p w14:paraId="161D5A92">
      <w:pPr>
        <w:pStyle w:val="212"/>
        <w:framePr w:w="8178" w:h="856" w:hRule="exact" w:wrap="around" w:x="2055" w:y="2221"/>
        <w:spacing w:line="360" w:lineRule="auto"/>
        <w:jc w:val="distribute"/>
        <w:rPr>
          <w:rFonts w:ascii="Times New Roman" w:eastAsia="黑体"/>
          <w:b w:val="0"/>
          <w:sz w:val="56"/>
          <w:szCs w:val="52"/>
        </w:rPr>
      </w:pPr>
      <w:r>
        <w:rPr>
          <w:rFonts w:ascii="Times New Roman" w:eastAsia="黑体"/>
          <w:b w:val="0"/>
          <w:sz w:val="56"/>
          <w:szCs w:val="52"/>
        </w:rPr>
        <w:t>团体标准</w:t>
      </w:r>
    </w:p>
    <w:tbl>
      <w:tblPr>
        <w:tblStyle w:val="34"/>
        <w:tblW w:w="90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0"/>
      </w:tblGrid>
      <w:tr w14:paraId="634BF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9040" w:type="dxa"/>
            <w:tcBorders>
              <w:top w:val="nil"/>
              <w:left w:val="nil"/>
              <w:bottom w:val="nil"/>
              <w:right w:val="nil"/>
            </w:tcBorders>
            <w:noWrap w:val="0"/>
          </w:tcPr>
          <w:p w14:paraId="35DC416A">
            <w:pPr>
              <w:pStyle w:val="210"/>
              <w:framePr w:h="1692" w:hRule="exact" w:wrap="around" w:x="1382" w:y="2955"/>
              <w:spacing w:line="360" w:lineRule="auto"/>
              <w:rPr>
                <w:rFonts w:ascii="Times New Roman"/>
              </w:rPr>
            </w:pPr>
            <w:r>
              <w:rPr>
                <w:rFonts w:ascii="Times New Roman"/>
                <w:b/>
                <w:bCs/>
                <w:lang w:val="fr-FR"/>
              </w:rPr>
              <w:t>T/C</w:t>
            </w:r>
            <w:bookmarkStart w:id="0" w:name="StdNo1"/>
            <w:r>
              <w:rPr>
                <w:rFonts w:ascii="Times New Roman"/>
                <w:b/>
                <w:bCs/>
              </w:rPr>
              <w:t>RHA</w:t>
            </w:r>
            <w:bookmarkEnd w:id="0"/>
            <w:r>
              <w:rPr>
                <w:rFonts w:ascii="Times New Roman"/>
              </w:rPr>
              <w:t xml:space="preserve"> XXX—202X</w:t>
            </w:r>
          </w:p>
        </w:tc>
      </w:tr>
    </w:tbl>
    <w:p w14:paraId="1AFADF64">
      <w:pPr>
        <w:pStyle w:val="210"/>
        <w:framePr w:h="1692" w:hRule="exact" w:wrap="around" w:x="1382" w:y="2955"/>
        <w:spacing w:line="360" w:lineRule="auto"/>
        <w:jc w:val="center"/>
        <w:rPr>
          <w:rFonts w:ascii="Times New Roman"/>
        </w:rPr>
      </w:pPr>
      <w:r>
        <w:rPr>
          <w:rFonts w:ascii="Times New Roman"/>
        </w:rPr>
        <w:t>————————————————————————————————</w:t>
      </w:r>
    </w:p>
    <w:p w14:paraId="31117BA9">
      <w:pPr>
        <w:pStyle w:val="210"/>
        <w:framePr w:h="1692" w:hRule="exact" w:wrap="around" w:x="1382" w:y="2955"/>
        <w:spacing w:line="360" w:lineRule="auto"/>
        <w:rPr>
          <w:rFonts w:ascii="Times New Roman"/>
        </w:rPr>
      </w:pPr>
    </w:p>
    <w:p w14:paraId="61ED17A3">
      <w:pPr>
        <w:framePr w:w="9518" w:h="5303" w:hRule="exact" w:wrap="around" w:vAnchor="page" w:hAnchor="page" w:x="1327" w:y="6897"/>
        <w:spacing w:line="360" w:lineRule="auto"/>
        <w:jc w:val="left"/>
        <w:rPr>
          <w:rFonts w:ascii="Times New Roman" w:hAnsi="Times New Roman" w:eastAsia="宋体" w:cs="Times New Roman"/>
          <w:color w:val="000000"/>
          <w:sz w:val="24"/>
        </w:rPr>
      </w:pPr>
      <w:bookmarkStart w:id="1" w:name="StdEnglishName"/>
    </w:p>
    <w:p w14:paraId="3EE0976B">
      <w:pPr>
        <w:pStyle w:val="209"/>
        <w:framePr w:w="9518" w:h="5303" w:hRule="exact" w:wrap="around"/>
        <w:spacing w:line="360" w:lineRule="auto"/>
        <w:rPr>
          <w:sz w:val="52"/>
          <w:szCs w:val="52"/>
        </w:rPr>
      </w:pPr>
      <w:r>
        <w:rPr>
          <w:sz w:val="52"/>
          <w:szCs w:val="52"/>
        </w:rPr>
        <w:t>甲状腺围术期</w:t>
      </w:r>
    </w:p>
    <w:p w14:paraId="0F02B148">
      <w:pPr>
        <w:pStyle w:val="209"/>
        <w:framePr w:w="9518" w:h="5303" w:hRule="exact" w:wrap="around"/>
        <w:spacing w:line="360" w:lineRule="auto"/>
        <w:rPr>
          <w:sz w:val="52"/>
          <w:szCs w:val="52"/>
        </w:rPr>
      </w:pPr>
      <w:r>
        <w:rPr>
          <w:sz w:val="52"/>
          <w:szCs w:val="52"/>
        </w:rPr>
        <w:t>甲状旁腺功能保护临床管理规范</w:t>
      </w:r>
    </w:p>
    <w:p w14:paraId="20588E56">
      <w:pPr>
        <w:pStyle w:val="209"/>
        <w:framePr w:w="9518" w:h="5303" w:hRule="exact" w:wrap="around"/>
        <w:spacing w:line="360" w:lineRule="auto"/>
      </w:pPr>
      <w:r>
        <w:t>Clinical Management Guidelines on the Protection of Parathyroid Function During Thyroid Surgery</w:t>
      </w:r>
    </w:p>
    <w:p w14:paraId="03DDBF7F">
      <w:pPr>
        <w:pStyle w:val="209"/>
        <w:framePr w:w="9518" w:h="5303" w:hRule="exact" w:wrap="around"/>
        <w:spacing w:line="360" w:lineRule="auto"/>
      </w:pPr>
      <w:r>
        <w:t>(</w:t>
      </w:r>
      <w:r>
        <w:rPr>
          <w:rFonts w:hint="eastAsia"/>
          <w:lang w:val="en-US" w:eastAsia="zh-CN"/>
        </w:rPr>
        <w:t>征求意见</w:t>
      </w:r>
      <w:r>
        <w:t>稿）</w:t>
      </w:r>
    </w:p>
    <w:p w14:paraId="1C0FD6F9">
      <w:pPr>
        <w:pStyle w:val="209"/>
        <w:framePr w:w="9518" w:h="5303" w:hRule="exact" w:wrap="around"/>
        <w:spacing w:line="360" w:lineRule="auto"/>
      </w:pPr>
    </w:p>
    <w:p w14:paraId="1F122BE7">
      <w:pPr>
        <w:pStyle w:val="216"/>
        <w:framePr w:w="9331" w:wrap="around" w:hAnchor="page" w:x="1524" w:y="14958"/>
        <w:spacing w:line="360" w:lineRule="auto"/>
      </w:pPr>
      <w:r>
        <w:t>202X-XX-</w:t>
      </w:r>
      <w:r>
        <w:rPr>
          <w:szCs w:val="22"/>
        </w:rPr>
        <w:t>XX</w:t>
      </w:r>
      <w:r>
        <w:t xml:space="preserve">发布                                      </w:t>
      </w:r>
      <w:r>
        <w:rPr>
          <w:szCs w:val="22"/>
        </w:rPr>
        <w:t>202X-XX-XX实施</w:t>
      </w:r>
      <w:r>
        <mc:AlternateContent>
          <mc:Choice Requires="wps">
            <w:drawing>
              <wp:anchor distT="0" distB="0" distL="114300" distR="114300" simplePos="0" relativeHeight="251661312" behindDoc="0" locked="0" layoutInCell="1" allowOverlap="1">
                <wp:simplePos x="0" y="0"/>
                <wp:positionH relativeFrom="margin">
                  <wp:posOffset>-280035</wp:posOffset>
                </wp:positionH>
                <wp:positionV relativeFrom="margin">
                  <wp:posOffset>8956675</wp:posOffset>
                </wp:positionV>
                <wp:extent cx="6120130" cy="0"/>
                <wp:effectExtent l="0" t="0" r="14604" b="19050"/>
                <wp:wrapSquare wrapText="bothSides"/>
                <wp:docPr id="10" name="直接连接符 4"/>
                <wp:cNvGraphicFramePr/>
                <a:graphic xmlns:a="http://schemas.openxmlformats.org/drawingml/2006/main">
                  <a:graphicData uri="http://schemas.microsoft.com/office/word/2010/wordprocessingShape">
                    <wps:wsp>
                      <wps:cNvCnPr/>
                      <wps:spPr bwMode="auto">
                        <a:xfrm>
                          <a:off x="0" y="0"/>
                          <a:ext cx="6120000" cy="0"/>
                        </a:xfrm>
                        <a:prstGeom prst="line">
                          <a:avLst/>
                        </a:prstGeom>
                        <a:noFill/>
                        <a:ln w="9525">
                          <a:solidFill>
                            <a:srgbClr val="000000"/>
                          </a:solidFill>
                          <a:round/>
                        </a:ln>
                        <a:effectLst/>
                      </wps:spPr>
                      <wps:bodyPr rot="0">
                        <a:noAutofit/>
                      </wps:bodyPr>
                    </wps:wsp>
                  </a:graphicData>
                </a:graphic>
              </wp:anchor>
            </w:drawing>
          </mc:Choice>
          <mc:Fallback>
            <w:pict>
              <v:line id="直接连接符 4" o:spid="_x0000_s1026" o:spt="20" style="position:absolute;left:0pt;margin-left:-22.05pt;margin-top:705.25pt;height:0pt;width:481.9pt;mso-position-horizontal-relative:margin;mso-position-vertical-relative:margin;mso-wrap-distance-bottom:0pt;mso-wrap-distance-left:9pt;mso-wrap-distance-right:9pt;mso-wrap-distance-top:0pt;z-index:251661312;mso-width-relative:page;mso-height-relative:page;" filled="f" stroked="t" coordsize="21600,21600" o:gfxdata="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SUZq7YAAAADQEAAA8A&#10;AAAAAAAAAQAgAAAAIgAAAGRycy9kb3ducmV2LnhtbFBLAQIUABQAAAAIAIdO4kBj38Wf3gEAAKkD&#10;AAAOAAAAAAAAAAEAIAAAACcBAABkcnMvZTJvRG9jLnhtbFBLBQYAAAAABgAGAFkBAAB3BQAAAAA=&#10;">
                <v:fill on="f" focussize="0,0"/>
                <v:stroke color="#000000" joinstyle="round"/>
                <v:imagedata o:title=""/>
                <o:lock v:ext="edit" aspectratio="f"/>
                <w10:wrap type="square"/>
              </v:line>
            </w:pict>
          </mc:Fallback>
        </mc:AlternateContent>
      </w:r>
    </w:p>
    <w:p w14:paraId="354339A3">
      <w:pPr>
        <w:pStyle w:val="214"/>
        <w:framePr w:w="9416" w:wrap="around" w:x="1488" w:y="15540"/>
        <w:pBdr>
          <w:top w:val="single" w:color="000000" w:sz="4" w:space="1"/>
          <w:left w:val="none" w:color="000000" w:sz="0" w:space="4"/>
          <w:bottom w:val="none" w:color="000000" w:sz="0" w:space="1"/>
          <w:right w:val="none" w:color="000000" w:sz="0" w:space="4"/>
        </w:pBdr>
        <w:spacing w:line="360" w:lineRule="auto"/>
        <w:rPr>
          <w:rFonts w:ascii="Times New Roman" w:eastAsia="黑体"/>
          <w:b w:val="0"/>
          <w:bCs/>
          <w:sz w:val="32"/>
          <w:szCs w:val="32"/>
        </w:rPr>
      </w:pPr>
      <w:r>
        <w:rPr>
          <w:rFonts w:ascii="Times New Roman" w:eastAsia="黑体"/>
          <w:b w:val="0"/>
          <w:bCs/>
          <w:sz w:val="32"/>
          <w:szCs w:val="32"/>
        </w:rPr>
        <w:t>中国研究型医院学会 发 布</w:t>
      </w:r>
      <w:bookmarkEnd w:id="1"/>
    </w:p>
    <w:p w14:paraId="55320B8B">
      <w:pPr>
        <w:spacing w:line="360" w:lineRule="auto"/>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4384" behindDoc="0" locked="0" layoutInCell="1" allowOverlap="1">
            <wp:simplePos x="0" y="0"/>
            <wp:positionH relativeFrom="column">
              <wp:posOffset>4124325</wp:posOffset>
            </wp:positionH>
            <wp:positionV relativeFrom="paragraph">
              <wp:posOffset>-884555</wp:posOffset>
            </wp:positionV>
            <wp:extent cx="1076325" cy="1040130"/>
            <wp:effectExtent l="0" t="0" r="5715" b="11430"/>
            <wp:wrapTopAndBottom/>
            <wp:docPr id="11" name="图片 1" descr="a06827f94baeb281ac1150c54aae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a06827f94baeb281ac1150c54aaec17"/>
                    <pic:cNvPicPr>
                      <a:picLocks noChangeAspect="1"/>
                    </pic:cNvPicPr>
                  </pic:nvPicPr>
                  <pic:blipFill>
                    <a:blip r:embed="rId19"/>
                    <a:stretch>
                      <a:fillRect/>
                    </a:stretch>
                  </pic:blipFill>
                  <pic:spPr>
                    <a:xfrm>
                      <a:off x="0" y="0"/>
                      <a:ext cx="1076325" cy="1040129"/>
                    </a:xfrm>
                    <a:prstGeom prst="rect">
                      <a:avLst/>
                    </a:prstGeom>
                  </pic:spPr>
                </pic:pic>
              </a:graphicData>
            </a:graphic>
          </wp:anchor>
        </w:drawing>
      </w:r>
    </w:p>
    <w:p w14:paraId="6440B8C2">
      <w:pPr>
        <w:spacing w:line="360" w:lineRule="auto"/>
        <w:jc w:val="center"/>
        <w:rPr>
          <w:rFonts w:ascii="Times New Roman" w:hAnsi="Times New Roman" w:eastAsia="宋体" w:cs="Times New Roman"/>
          <w:bCs/>
          <w:sz w:val="24"/>
          <w:szCs w:val="24"/>
        </w:rPr>
      </w:pPr>
    </w:p>
    <w:p w14:paraId="74B6C24C">
      <w:pPr>
        <w:spacing w:line="360" w:lineRule="auto"/>
        <w:jc w:val="center"/>
        <w:rPr>
          <w:rFonts w:ascii="Times New Roman" w:hAnsi="Times New Roman" w:eastAsia="宋体" w:cs="Times New Roman"/>
          <w:bCs/>
          <w:sz w:val="24"/>
          <w:szCs w:val="24"/>
        </w:rPr>
      </w:pPr>
    </w:p>
    <w:p w14:paraId="37CFC2AA">
      <w:pPr>
        <w:widowControl/>
        <w:spacing w:line="360" w:lineRule="auto"/>
        <w:jc w:val="center"/>
        <w:rPr>
          <w:rFonts w:ascii="Times New Roman" w:hAnsi="Times New Roman" w:eastAsia="黑体" w:cs="Times New Roman"/>
          <w:sz w:val="32"/>
          <w:szCs w:val="32"/>
        </w:rPr>
        <w:sectPr>
          <w:headerReference r:id="rId5" w:type="default"/>
          <w:footerReference r:id="rId7" w:type="default"/>
          <w:headerReference r:id="rId6" w:type="even"/>
          <w:pgSz w:w="11906" w:h="16838" w:orient="landscape"/>
          <w:pgMar w:top="1100" w:right="1800" w:bottom="1100" w:left="1800" w:header="851" w:footer="992" w:gutter="0"/>
          <w:pgNumType w:start="0"/>
          <w:cols w:space="425" w:num="1"/>
          <w:titlePg/>
        </w:sectPr>
      </w:pPr>
    </w:p>
    <w:p w14:paraId="28B9170B">
      <w:pPr>
        <w:widowControl/>
        <w:spacing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t>目  次</w:t>
      </w:r>
    </w:p>
    <w:p w14:paraId="4F73F9F0">
      <w:pPr>
        <w:widowControl/>
        <w:spacing w:line="360" w:lineRule="auto"/>
        <w:jc w:val="center"/>
        <w:rPr>
          <w:rFonts w:ascii="Times New Roman" w:hAnsi="Times New Roman" w:eastAsia="黑体" w:cs="Times New Roman"/>
          <w:sz w:val="32"/>
          <w:szCs w:val="32"/>
        </w:rPr>
      </w:pPr>
    </w:p>
    <w:p w14:paraId="050A9B86">
      <w:pPr>
        <w:widowControl/>
        <w:tabs>
          <w:tab w:val="right" w:leader="dot" w:pos="8190"/>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前言</w:t>
      </w:r>
      <w:r>
        <w:rPr>
          <w:rFonts w:ascii="Times New Roman" w:hAnsi="Times New Roman" w:eastAsia="宋体" w:cs="Times New Roman"/>
          <w:szCs w:val="21"/>
        </w:rPr>
        <w:tab/>
      </w:r>
      <w:r>
        <w:rPr>
          <w:rFonts w:ascii="Times New Roman" w:hAnsi="Times New Roman" w:eastAsia="宋体" w:cs="Times New Roman"/>
          <w:szCs w:val="21"/>
        </w:rPr>
        <w:t>Ⅱ</w:t>
      </w:r>
    </w:p>
    <w:p w14:paraId="4F7F8070">
      <w:pPr>
        <w:widowControl/>
        <w:tabs>
          <w:tab w:val="right" w:leader="dot" w:pos="8190"/>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引言</w:t>
      </w:r>
      <w:r>
        <w:rPr>
          <w:rFonts w:ascii="Times New Roman" w:hAnsi="Times New Roman" w:eastAsia="宋体" w:cs="Times New Roman"/>
          <w:szCs w:val="21"/>
        </w:rPr>
        <w:tab/>
      </w:r>
      <w:r>
        <w:rPr>
          <w:rFonts w:ascii="Times New Roman" w:hAnsi="Times New Roman" w:eastAsia="宋体" w:cs="Times New Roman"/>
          <w:szCs w:val="21"/>
        </w:rPr>
        <w:t xml:space="preserve"> Ⅲ</w:t>
      </w:r>
    </w:p>
    <w:p w14:paraId="0865CFEC">
      <w:pPr>
        <w:pStyle w:val="190"/>
        <w:ind w:firstLine="0"/>
      </w:pPr>
      <w:r>
        <w:t>1  范围</w:t>
      </w:r>
      <w:r>
        <w:tab/>
      </w:r>
      <w:r>
        <w:rPr>
          <w:szCs w:val="21"/>
        </w:rPr>
        <w:t>…………………………………………………………………………………………</w:t>
      </w:r>
      <w:r>
        <w:t>1</w:t>
      </w:r>
    </w:p>
    <w:p w14:paraId="566391DF">
      <w:pPr>
        <w:pStyle w:val="190"/>
        <w:ind w:firstLine="0"/>
      </w:pPr>
      <w:r>
        <w:t>2  规范性引用文件</w:t>
      </w:r>
      <w:r>
        <w:rPr>
          <w:szCs w:val="21"/>
        </w:rPr>
        <w:t>………………………………………………………………………………</w:t>
      </w:r>
      <w:r>
        <w:t>1</w:t>
      </w:r>
    </w:p>
    <w:p w14:paraId="01AE48DB">
      <w:pPr>
        <w:pStyle w:val="190"/>
        <w:ind w:firstLine="0"/>
      </w:pPr>
      <w:r>
        <w:t>3  术语和定义</w:t>
      </w:r>
      <w:r>
        <w:rPr>
          <w:szCs w:val="21"/>
        </w:rPr>
        <w:t>……………………………………………………………………………………</w:t>
      </w:r>
      <w:r>
        <w:t>1</w:t>
      </w:r>
    </w:p>
    <w:p w14:paraId="5B350709">
      <w:pPr>
        <w:pStyle w:val="190"/>
        <w:ind w:firstLine="0"/>
      </w:pPr>
      <w:r>
        <w:t>4  缩略词</w:t>
      </w:r>
      <w:r>
        <w:rPr>
          <w:szCs w:val="21"/>
        </w:rPr>
        <w:t>…………………………………………………………………………………………</w:t>
      </w:r>
      <w:r>
        <w:t>1</w:t>
      </w:r>
    </w:p>
    <w:p w14:paraId="59600FBF">
      <w:pPr>
        <w:pStyle w:val="190"/>
        <w:ind w:firstLine="0"/>
      </w:pPr>
      <w:r>
        <w:t>5  甲状旁腺的应用解剖</w:t>
      </w:r>
      <w:r>
        <w:rPr>
          <w:szCs w:val="21"/>
        </w:rPr>
        <w:t>…………………………………………………………………………</w:t>
      </w:r>
      <w:r>
        <w:t>2</w:t>
      </w:r>
    </w:p>
    <w:p w14:paraId="0C110612">
      <w:pPr>
        <w:pStyle w:val="190"/>
        <w:ind w:firstLine="0"/>
      </w:pPr>
      <w:r>
        <w:t>6  术前管理</w:t>
      </w:r>
      <w:r>
        <w:rPr>
          <w:szCs w:val="21"/>
        </w:rPr>
        <w:t>………………………………………………………………………………………</w:t>
      </w:r>
      <w:r>
        <w:t>3</w:t>
      </w:r>
    </w:p>
    <w:p w14:paraId="346980FD">
      <w:pPr>
        <w:pStyle w:val="190"/>
        <w:ind w:firstLine="0"/>
      </w:pPr>
      <w:r>
        <w:t>7  术中管理</w:t>
      </w:r>
      <w:r>
        <w:rPr>
          <w:szCs w:val="21"/>
        </w:rPr>
        <w:t>………………………………………………………………………………………</w:t>
      </w:r>
      <w:r>
        <w:t>4</w:t>
      </w:r>
    </w:p>
    <w:p w14:paraId="3E883D86">
      <w:pPr>
        <w:pStyle w:val="190"/>
        <w:ind w:firstLine="0"/>
      </w:pPr>
      <w:r>
        <w:t>8  术后管理</w:t>
      </w:r>
      <w:r>
        <w:rPr>
          <w:szCs w:val="21"/>
        </w:rPr>
        <w:t>………………………………………………………………………………………</w:t>
      </w:r>
      <w:r>
        <w:t>6</w:t>
      </w:r>
    </w:p>
    <w:p w14:paraId="33360E92">
      <w:pPr>
        <w:tabs>
          <w:tab w:val="right" w:leader="dot" w:pos="8190"/>
        </w:tabs>
        <w:spacing w:line="360" w:lineRule="auto"/>
        <w:rPr>
          <w:rFonts w:ascii="Times New Roman" w:hAnsi="Times New Roman" w:eastAsia="宋体" w:cs="Times New Roman"/>
          <w:szCs w:val="21"/>
        </w:rPr>
      </w:pPr>
      <w:r>
        <w:rPr>
          <w:rFonts w:ascii="Times New Roman" w:hAnsi="Times New Roman" w:eastAsia="宋体" w:cs="Times New Roman"/>
          <w:szCs w:val="21"/>
        </w:rPr>
        <w:t>参考文献</w:t>
      </w:r>
      <w:r>
        <w:rPr>
          <w:rFonts w:ascii="Times New Roman" w:hAnsi="Times New Roman" w:eastAsia="宋体" w:cs="Times New Roman"/>
          <w:szCs w:val="21"/>
        </w:rPr>
        <w:tab/>
      </w:r>
      <w:r>
        <w:rPr>
          <w:rFonts w:hint="eastAsia" w:ascii="Times New Roman" w:hAnsi="Times New Roman" w:eastAsia="宋体" w:cs="Times New Roman"/>
          <w:szCs w:val="21"/>
        </w:rPr>
        <w:t>8</w:t>
      </w:r>
    </w:p>
    <w:p w14:paraId="5855EA0B">
      <w:pPr>
        <w:widowControl/>
        <w:spacing w:line="360" w:lineRule="auto"/>
        <w:jc w:val="center"/>
        <w:rPr>
          <w:rFonts w:ascii="Times New Roman" w:hAnsi="Times New Roman" w:eastAsia="宋体" w:cs="Times New Roman"/>
          <w:b/>
          <w:bCs/>
          <w:sz w:val="32"/>
          <w:szCs w:val="32"/>
        </w:rPr>
      </w:pPr>
    </w:p>
    <w:p w14:paraId="06C28559">
      <w:pPr>
        <w:pStyle w:val="22"/>
        <w:spacing w:line="360" w:lineRule="auto"/>
        <w:jc w:val="center"/>
        <w:rPr>
          <w:rFonts w:ascii="Times New Roman" w:hAnsi="Times New Roman" w:eastAsia="黑体" w:cs="Times New Roman"/>
          <w:sz w:val="32"/>
          <w:szCs w:val="32"/>
        </w:rPr>
        <w:sectPr>
          <w:headerReference r:id="rId8" w:type="first"/>
          <w:footerReference r:id="rId11" w:type="first"/>
          <w:footerReference r:id="rId9" w:type="default"/>
          <w:footerReference r:id="rId10" w:type="even"/>
          <w:pgSz w:w="11906" w:h="16838" w:orient="landscape"/>
          <w:pgMar w:top="1440" w:right="1800" w:bottom="1440" w:left="1800" w:header="851" w:footer="992" w:gutter="0"/>
          <w:pgNumType w:start="1"/>
          <w:cols w:space="425" w:num="1"/>
          <w:titlePg/>
        </w:sectPr>
      </w:pPr>
    </w:p>
    <w:p w14:paraId="7A32E7A9">
      <w:pPr>
        <w:pStyle w:val="22"/>
        <w:spacing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t>前  言</w:t>
      </w:r>
    </w:p>
    <w:p w14:paraId="2423DD60">
      <w:pPr>
        <w:spacing w:line="360" w:lineRule="auto"/>
        <w:rPr>
          <w:rFonts w:ascii="Times New Roman" w:hAnsi="Times New Roman" w:eastAsia="宋体" w:cs="Times New Roman"/>
          <w:sz w:val="24"/>
          <w:szCs w:val="24"/>
        </w:rPr>
      </w:pPr>
    </w:p>
    <w:p w14:paraId="122DD39C">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本文件按照GB/T 1.1—2020《标准化工作导则 第1部分：标准化文件的结构和起草规则》的规定起草。</w:t>
      </w:r>
    </w:p>
    <w:p w14:paraId="789D14DF">
      <w:pPr>
        <w:pStyle w:val="219"/>
        <w:spacing w:line="360" w:lineRule="auto"/>
      </w:pPr>
      <w:r>
        <w:t>请注意本文件的某些内容可能涉及专利。本文件的发布机构不承担识别专利的责任。</w:t>
      </w:r>
    </w:p>
    <w:p w14:paraId="0D1E79FE">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本文件由中国研究型医院学会中国研究型医院学会甲状腺疾病专业委员会提出。</w:t>
      </w:r>
    </w:p>
    <w:p w14:paraId="5B4D3CF9">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本文件由中国研究型医院学会归口。</w:t>
      </w:r>
    </w:p>
    <w:p w14:paraId="3C9370F5">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本文件起草单位：</w:t>
      </w:r>
      <w:r>
        <w:rPr>
          <w:rFonts w:hint="eastAsia" w:ascii="Times New Roman" w:hAnsi="Times New Roman" w:eastAsia="宋体" w:cs="Times New Roman"/>
          <w:szCs w:val="21"/>
        </w:rPr>
        <w:t>。</w:t>
      </w:r>
    </w:p>
    <w:p w14:paraId="51E90CA7">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本文件主要起草人：。</w:t>
      </w:r>
    </w:p>
    <w:p w14:paraId="2951F4CF">
      <w:pPr>
        <w:rPr>
          <w:rFonts w:ascii="Times New Roman" w:hAnsi="Times New Roman" w:eastAsia="宋体" w:cs="Times New Roman"/>
          <w:sz w:val="30"/>
          <w:szCs w:val="30"/>
        </w:rPr>
      </w:pPr>
      <w:r>
        <w:rPr>
          <w:rFonts w:ascii="Times New Roman" w:hAnsi="Times New Roman" w:eastAsia="宋体" w:cs="Times New Roman"/>
          <w:sz w:val="30"/>
          <w:szCs w:val="30"/>
        </w:rPr>
        <w:br w:type="page"/>
      </w:r>
    </w:p>
    <w:p w14:paraId="0C83C7FC">
      <w:pPr>
        <w:spacing w:line="360" w:lineRule="auto"/>
        <w:ind w:firstLine="600"/>
        <w:jc w:val="center"/>
        <w:rPr>
          <w:rFonts w:ascii="Times New Roman" w:hAnsi="Times New Roman" w:eastAsia="宋体" w:cs="Times New Roman"/>
          <w:sz w:val="30"/>
          <w:szCs w:val="30"/>
        </w:rPr>
      </w:pPr>
      <w:r>
        <w:rPr>
          <w:rFonts w:ascii="Times New Roman" w:hAnsi="Times New Roman" w:eastAsia="宋体" w:cs="Times New Roman"/>
          <w:sz w:val="30"/>
          <w:szCs w:val="30"/>
        </w:rPr>
        <w:t>引 言</w:t>
      </w:r>
    </w:p>
    <w:p w14:paraId="690D0CEE">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手术是甲状腺癌的首选治疗方式。手术主要的并发症之一是甲状旁腺损伤，其导致的术后甲状旁腺功能低下一直是困扰甲状腺外科医师的难题。甲状旁腺损伤主要包括挫伤、</w:t>
      </w:r>
      <w:r>
        <w:rPr>
          <w:rFonts w:hint="eastAsia" w:ascii="Times New Roman" w:hAnsi="Times New Roman" w:eastAsia="宋体" w:cs="Times New Roman"/>
          <w:szCs w:val="21"/>
        </w:rPr>
        <w:t>热损伤、</w:t>
      </w:r>
      <w:r>
        <w:rPr>
          <w:rFonts w:ascii="Times New Roman" w:hAnsi="Times New Roman" w:eastAsia="宋体" w:cs="Times New Roman"/>
          <w:szCs w:val="21"/>
        </w:rPr>
        <w:t>血供障碍及意外切除。甲状旁腺功能低下分为暂时性和永久性。暂时性甲状旁腺功能低下会造成一过性低钙症状，但对病人不会造成大的影响；而永久性甲状旁腺功能低下则</w:t>
      </w:r>
      <w:r>
        <w:rPr>
          <w:rFonts w:hint="eastAsia" w:ascii="Times New Roman" w:hAnsi="Times New Roman" w:eastAsia="宋体" w:cs="Times New Roman"/>
          <w:szCs w:val="21"/>
        </w:rPr>
        <w:t>可能</w:t>
      </w:r>
      <w:r>
        <w:rPr>
          <w:rFonts w:ascii="Times New Roman" w:hAnsi="Times New Roman" w:eastAsia="宋体" w:cs="Times New Roman"/>
          <w:szCs w:val="21"/>
        </w:rPr>
        <w:t>造成永久性的低钙症状，多</w:t>
      </w:r>
      <w:r>
        <w:rPr>
          <w:rFonts w:hint="eastAsia" w:ascii="Times New Roman" w:hAnsi="Times New Roman" w:eastAsia="宋体" w:cs="Times New Roman"/>
          <w:szCs w:val="21"/>
        </w:rPr>
        <w:t>表现为</w:t>
      </w:r>
      <w:r>
        <w:rPr>
          <w:rFonts w:ascii="Times New Roman" w:hAnsi="Times New Roman" w:eastAsia="宋体" w:cs="Times New Roman"/>
          <w:szCs w:val="21"/>
        </w:rPr>
        <w:t>手足麻木和四肢抽搐，严重影响病人的生活质量，并成为医疗纠纷的主要因素。因此，应</w:t>
      </w:r>
      <w:r>
        <w:rPr>
          <w:rFonts w:hint="eastAsia" w:ascii="Times New Roman" w:hAnsi="Times New Roman" w:eastAsia="宋体" w:cs="Times New Roman"/>
          <w:szCs w:val="21"/>
        </w:rPr>
        <w:t>充分</w:t>
      </w:r>
      <w:r>
        <w:rPr>
          <w:rFonts w:ascii="Times New Roman" w:hAnsi="Times New Roman" w:eastAsia="宋体" w:cs="Times New Roman"/>
          <w:szCs w:val="21"/>
        </w:rPr>
        <w:t>重视甲状腺围术期甲状旁腺功能的保护。</w:t>
      </w:r>
    </w:p>
    <w:p w14:paraId="48ABD870">
      <w:pPr>
        <w:spacing w:line="360" w:lineRule="auto"/>
        <w:ind w:firstLine="420"/>
        <w:rPr>
          <w:rFonts w:ascii="Times New Roman" w:hAnsi="Times New Roman" w:eastAsia="宋体" w:cs="Times New Roman"/>
          <w:sz w:val="24"/>
          <w:szCs w:val="24"/>
        </w:rPr>
        <w:sectPr>
          <w:footerReference r:id="rId14" w:type="first"/>
          <w:footerReference r:id="rId12" w:type="default"/>
          <w:footerReference r:id="rId13" w:type="even"/>
          <w:pgSz w:w="11906" w:h="16838" w:orient="landscape"/>
          <w:pgMar w:top="1440" w:right="1800" w:bottom="1440" w:left="1800" w:header="851" w:footer="992" w:gutter="0"/>
          <w:cols w:space="425" w:num="1"/>
        </w:sectPr>
      </w:pPr>
      <w:r>
        <w:rPr>
          <w:rFonts w:ascii="Times New Roman" w:hAnsi="Times New Roman" w:eastAsia="宋体" w:cs="Times New Roman"/>
          <w:szCs w:val="21"/>
        </w:rPr>
        <w:t>制定甲状腺围术期甲状旁腺功能保护临床管理规范，旨在为甲状腺外科医师提供一套系统、科学、可操作的技术规范，从而降低甲状腺术后甲状旁腺功能低下（尤其是永久性甲状旁腺功能低下）的发生率，提高甲状腺手术的安全性。</w:t>
      </w:r>
      <w:r>
        <w:rPr>
          <w:rFonts w:ascii="Times New Roman" w:hAnsi="Times New Roman" w:eastAsia="宋体" w:cs="Times New Roman"/>
          <w:sz w:val="24"/>
          <w:szCs w:val="24"/>
        </w:rPr>
        <w:br w:type="page" w:clear="all"/>
      </w:r>
    </w:p>
    <w:p w14:paraId="1C21FEC8">
      <w:pPr>
        <w:spacing w:before="156" w:after="156"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t>甲状腺围术期甲状旁腺功能保护临床管理规范</w:t>
      </w:r>
    </w:p>
    <w:p w14:paraId="404C10FC">
      <w:pPr>
        <w:pStyle w:val="190"/>
        <w:numPr>
          <w:ilvl w:val="0"/>
          <w:numId w:val="1"/>
        </w:numPr>
      </w:pPr>
      <w:r>
        <w:t>范围</w:t>
      </w:r>
    </w:p>
    <w:p w14:paraId="5CFCE989">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本文件规定了甲状腺围术期</w:t>
      </w:r>
      <w:r>
        <w:rPr>
          <w:rFonts w:hint="eastAsia" w:ascii="Times New Roman" w:hAnsi="Times New Roman" w:eastAsia="宋体" w:cs="Times New Roman"/>
          <w:szCs w:val="21"/>
        </w:rPr>
        <w:t>采取</w:t>
      </w:r>
      <w:r>
        <w:rPr>
          <w:rFonts w:ascii="Times New Roman" w:hAnsi="Times New Roman" w:eastAsia="宋体" w:cs="Times New Roman"/>
          <w:szCs w:val="21"/>
        </w:rPr>
        <w:t>有效保护甲状旁腺功能的系列措施来减少术后甲状旁腺功能低下（尤其是永久性甲状旁腺功能低下）的发生率。</w:t>
      </w:r>
    </w:p>
    <w:p w14:paraId="670AB64C">
      <w:pPr>
        <w:spacing w:line="360" w:lineRule="auto"/>
        <w:ind w:firstLine="420"/>
        <w:jc w:val="left"/>
        <w:rPr>
          <w:rFonts w:ascii="Times New Roman" w:hAnsi="Times New Roman" w:eastAsia="宋体" w:cs="Times New Roman"/>
          <w:szCs w:val="21"/>
        </w:rPr>
      </w:pPr>
      <w:r>
        <w:rPr>
          <w:rFonts w:ascii="Times New Roman" w:hAnsi="Times New Roman" w:eastAsia="宋体" w:cs="Times New Roman"/>
          <w:szCs w:val="21"/>
        </w:rPr>
        <w:t>本文件适用于适用于所有甲状腺开放手术及内镜手术。</w:t>
      </w:r>
    </w:p>
    <w:p w14:paraId="1F4A7BF2">
      <w:pPr>
        <w:pStyle w:val="190"/>
        <w:numPr>
          <w:ilvl w:val="0"/>
          <w:numId w:val="1"/>
        </w:numPr>
      </w:pPr>
      <w:r>
        <w:t>规范性引用文件</w:t>
      </w:r>
    </w:p>
    <w:p w14:paraId="44ADE5DC">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本文件没有规范性引用文件。</w:t>
      </w:r>
    </w:p>
    <w:p w14:paraId="46B0C28F">
      <w:pPr>
        <w:pStyle w:val="190"/>
        <w:numPr>
          <w:ilvl w:val="0"/>
          <w:numId w:val="1"/>
        </w:numPr>
      </w:pPr>
      <w:r>
        <w:t>术语和定义</w:t>
      </w:r>
    </w:p>
    <w:p w14:paraId="74717CED">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下列术语和定义适用于本文件。</w:t>
      </w:r>
    </w:p>
    <w:p w14:paraId="38A8B58D">
      <w:pPr>
        <w:pStyle w:val="190"/>
      </w:pPr>
      <w:r>
        <w:t>甲状旁腺功能低下hypoparathyroidism</w:t>
      </w:r>
    </w:p>
    <w:p w14:paraId="39F6D2CB">
      <w:pPr>
        <w:pStyle w:val="190"/>
      </w:pPr>
      <w:r>
        <w:t>满足</w:t>
      </w:r>
      <w:r>
        <w:rPr>
          <w:rFonts w:ascii="Cambria Math" w:hAnsi="Cambria Math" w:cs="Cambria Math"/>
        </w:rPr>
        <w:t>①</w:t>
      </w:r>
      <w:r>
        <w:t>和（或）</w:t>
      </w:r>
      <w:r>
        <w:rPr>
          <w:rFonts w:ascii="Cambria Math" w:hAnsi="Cambria Math" w:cs="Cambria Math"/>
        </w:rPr>
        <w:t>②</w:t>
      </w:r>
      <w:r>
        <w:t>：</w:t>
      </w:r>
      <w:r>
        <w:rPr>
          <w:rFonts w:ascii="Cambria Math" w:hAnsi="Cambria Math" w:cs="Cambria Math"/>
        </w:rPr>
        <w:t>①</w:t>
      </w:r>
      <w:r>
        <w:t>术后出现低钙血症（血钙水平低于正常参考值下限），需要补钙和（或）维生素 D 治疗以缓解低钙症状；</w:t>
      </w:r>
      <w:r>
        <w:rPr>
          <w:rFonts w:ascii="Cambria Math" w:hAnsi="Cambria Math" w:cs="Cambria Math"/>
        </w:rPr>
        <w:t>②</w:t>
      </w:r>
      <w:r>
        <w:t>术后任意一次血清PTH 水平低于正常参考值下限。</w:t>
      </w:r>
    </w:p>
    <w:p w14:paraId="07A8A221">
      <w:pPr>
        <w:pStyle w:val="190"/>
      </w:pPr>
      <w:r>
        <w:t>区分暂时性和永久性甲状旁腺功能低下的时间节点为术后1年。</w:t>
      </w:r>
    </w:p>
    <w:p w14:paraId="3EE3F502">
      <w:pPr>
        <w:pStyle w:val="190"/>
      </w:pPr>
      <w:r>
        <w:t>甲状旁腺功能低下分为轻、中及重度。</w:t>
      </w:r>
    </w:p>
    <w:p w14:paraId="0C153F6A">
      <w:pPr>
        <w:pStyle w:val="190"/>
      </w:pPr>
      <w:r>
        <w:t>轻度：无低钙症状，但血清PTH 水平低于正常参考值下限（无论血钙水平是否正常），不需补钙和（或）维生素 D 治疗。</w:t>
      </w:r>
    </w:p>
    <w:p w14:paraId="34675766">
      <w:pPr>
        <w:pStyle w:val="190"/>
      </w:pPr>
      <w:r>
        <w:t>中度：有低钙症状，但仅需口服补钙和（或）维生素 D 即可缓解低钙症状（无论 PTH 水平是否正常）。</w:t>
      </w:r>
    </w:p>
    <w:p w14:paraId="080CF9B7">
      <w:pPr>
        <w:pStyle w:val="190"/>
      </w:pPr>
      <w:r>
        <w:t>重度：有低钙症状，必须静脉补钙和（或）维生素 D 治疗才能缓解低钙症状（无论 PTH 水平是否正常）。</w:t>
      </w:r>
    </w:p>
    <w:p w14:paraId="35094C0C">
      <w:pPr>
        <w:pStyle w:val="190"/>
        <w:numPr>
          <w:ilvl w:val="0"/>
          <w:numId w:val="1"/>
        </w:numPr>
      </w:pPr>
      <w:r>
        <w:t>缩略语</w:t>
      </w:r>
    </w:p>
    <w:p w14:paraId="6BEE90F9">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下列缩略语适用于本文件。</w:t>
      </w:r>
    </w:p>
    <w:p w14:paraId="2586D1D1">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PTH   ——甲状旁腺激素（Parathyroid Hormone）</w:t>
      </w:r>
    </w:p>
    <w:p w14:paraId="2D9755F7">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MEN  ——多发性内分泌腺瘤（Multiple Endocrine Neoplasia）</w:t>
      </w:r>
    </w:p>
    <w:p w14:paraId="187E1A8A">
      <w:pPr>
        <w:pStyle w:val="190"/>
        <w:numPr>
          <w:ilvl w:val="0"/>
          <w:numId w:val="1"/>
        </w:numPr>
      </w:pPr>
      <w:r>
        <w:t>甲状旁腺的应用解剖</w:t>
      </w:r>
    </w:p>
    <w:p w14:paraId="7BC4CA66">
      <w:pPr>
        <w:pStyle w:val="190"/>
        <w:numPr>
          <w:ilvl w:val="1"/>
          <w:numId w:val="1"/>
        </w:numPr>
      </w:pPr>
      <w:r>
        <w:t>甲状旁腺的基本特征</w:t>
      </w:r>
    </w:p>
    <w:p w14:paraId="7D136CEB">
      <w:pPr>
        <w:pStyle w:val="190"/>
      </w:pPr>
      <w:r>
        <w:t>甲状旁腺大小为（5～7）mm×（3～4）mm×（1～2）mm，单个甲状旁腺重量为 10～70 mg，多在35～40 mg。甲状旁腺颜色常随着年龄而变化，在成人取决于主细胞含量和生成的血管量，其颜色可在棕黄色及棕褐色之间变化。甲状旁腺的数目因人而异，尸检报道为2～11枚，多数人为4枚。多数甲状旁腺紧附于甲状腺左、右两叶背面，常位于甲状腺固有被膜和外科被膜间的纤维囊内。上位甲状旁腺位置相对固定，80%～85%集中在以甲状软骨下角为圆心、半径为1 cm的圆形区域内。下位甲状旁腺位置变异较大，异位的甲状旁腺主要中线分布于颅底至心包的范围，大多数（约80%）位于甲状腺下极与胸腺之间的区域，其中大多位于胸腺及甲状腺内，但少数可位于咽后、食道后、颈鞘内及心包内。80%的上位甲状旁腺和70%的下位甲状旁腺呈对称性分布，上、下位甲状旁腺均呈对称性者约为60%。</w:t>
      </w:r>
    </w:p>
    <w:p w14:paraId="4B91323F">
      <w:pPr>
        <w:pStyle w:val="190"/>
        <w:numPr>
          <w:ilvl w:val="1"/>
          <w:numId w:val="1"/>
        </w:numPr>
      </w:pPr>
      <w:r>
        <w:t>甲状旁腺血供</w:t>
      </w:r>
    </w:p>
    <w:p w14:paraId="118D2C48">
      <w:pPr>
        <w:pStyle w:val="190"/>
        <w:rPr>
          <w:color w:val="FF0000"/>
        </w:rPr>
      </w:pPr>
      <w:r>
        <w:t>80%上位甲状旁腺血供来源于甲状腺下动脉上行支，其余来源于甲状腺上动脉的分支或甲状腺上动脉与下动脉的吻合支。下位甲状旁腺的血供主要来源于甲状腺下动脉。B2</w:t>
      </w:r>
      <w:r>
        <w:rPr>
          <w:rFonts w:hint="eastAsia"/>
          <w:lang w:eastAsia="zh-Hans"/>
        </w:rPr>
        <w:t>和</w:t>
      </w:r>
      <w:r>
        <w:rPr>
          <w:lang w:eastAsia="zh-Hans"/>
        </w:rPr>
        <w:t>B3</w:t>
      </w:r>
      <w:r>
        <w:rPr>
          <w:rFonts w:hint="eastAsia"/>
          <w:lang w:eastAsia="zh-Hans"/>
        </w:rPr>
        <w:t>型甲状旁腺的血供来源于胸腺。</w:t>
      </w:r>
    </w:p>
    <w:p w14:paraId="476A46BE">
      <w:pPr>
        <w:pStyle w:val="190"/>
        <w:numPr>
          <w:ilvl w:val="1"/>
          <w:numId w:val="1"/>
        </w:numPr>
      </w:pPr>
      <w:r>
        <w:t>甲状旁腺分型</w:t>
      </w:r>
    </w:p>
    <w:p w14:paraId="3B244F5C">
      <w:pPr>
        <w:pStyle w:val="190"/>
      </w:pPr>
      <w:r>
        <w:t>2013年</w:t>
      </w:r>
      <w:r>
        <w:rPr>
          <w:rFonts w:hint="eastAsia"/>
        </w:rPr>
        <w:t>华西医院</w:t>
      </w:r>
      <w:r>
        <w:t>朱精强团队根据甲状旁腺与甲状腺、胸腺的位置关系首次提出了甲状旁腺分型，包括A型（紧密型）和B型（非紧密型）。</w:t>
      </w:r>
      <w:r>
        <w:rPr>
          <w:rFonts w:hint="eastAsia"/>
        </w:rPr>
        <w:t>A型和B型各分为三个亚型</w:t>
      </w:r>
      <w:r>
        <w:t>（图1）</w:t>
      </w:r>
      <w:r>
        <w:rPr>
          <w:rFonts w:hint="eastAsia"/>
        </w:rPr>
        <w:t>。</w:t>
      </w:r>
      <w:r>
        <w:t>甲状旁腺分型可帮助判断甲状旁腺原位保留的难易程度。B型比A型更易原位保留，A1型比A2型更易原位保留，A3型不能原位保留。</w:t>
      </w:r>
    </w:p>
    <w:p w14:paraId="63872BD7">
      <w:pPr>
        <w:pStyle w:val="190"/>
        <w:jc w:val="center"/>
        <w:rPr>
          <w:sz w:val="15"/>
          <w:szCs w:val="15"/>
        </w:rPr>
      </w:pPr>
      <w:r>
        <w:drawing>
          <wp:inline distT="0" distB="0" distL="0" distR="0">
            <wp:extent cx="2918460" cy="3082290"/>
            <wp:effectExtent l="0" t="0" r="0" b="3810"/>
            <wp:docPr id="12" name="Picture 2" descr="E:\甲状腺文章\甲状旁腺分型\Medcine\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E:\甲状腺文章\甲状旁腺分型\Medcine\Fig. 1.jpg"/>
                    <pic:cNvPicPr>
                      <a:picLocks noChangeAspect="1"/>
                    </pic:cNvPicPr>
                  </pic:nvPicPr>
                  <pic:blipFill>
                    <a:blip r:embed="rId20"/>
                    <a:stretch>
                      <a:fillRect/>
                    </a:stretch>
                  </pic:blipFill>
                  <pic:spPr>
                    <a:xfrm>
                      <a:off x="0" y="0"/>
                      <a:ext cx="2943120" cy="3108535"/>
                    </a:xfrm>
                    <a:prstGeom prst="rect">
                      <a:avLst/>
                    </a:prstGeom>
                    <a:noFill/>
                  </pic:spPr>
                </pic:pic>
              </a:graphicData>
            </a:graphic>
          </wp:inline>
        </w:drawing>
      </w:r>
      <w:r>
        <w:drawing>
          <wp:inline distT="0" distB="0" distL="0" distR="0">
            <wp:extent cx="3673475" cy="2077085"/>
            <wp:effectExtent l="0" t="0" r="317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3675659" cy="2078566"/>
                    </a:xfrm>
                    <a:prstGeom prst="rect">
                      <a:avLst/>
                    </a:prstGeom>
                    <a:noFill/>
                    <a:ln>
                      <a:noFill/>
                    </a:ln>
                  </pic:spPr>
                </pic:pic>
              </a:graphicData>
            </a:graphic>
          </wp:inline>
        </w:drawing>
      </w:r>
    </w:p>
    <w:p w14:paraId="029E9711">
      <w:pPr>
        <w:pStyle w:val="190"/>
        <w:jc w:val="center"/>
      </w:pPr>
      <w:r>
        <w:t>图1 甲状旁腺分型（上：示意图 ；下：术中图像）</w:t>
      </w:r>
    </w:p>
    <w:p w14:paraId="7CC3DE91">
      <w:pPr>
        <w:pStyle w:val="190"/>
        <w:ind w:firstLine="260"/>
        <w:rPr>
          <w:sz w:val="13"/>
          <w:szCs w:val="13"/>
        </w:rPr>
      </w:pPr>
      <w:r>
        <w:rPr>
          <w:sz w:val="13"/>
          <w:szCs w:val="13"/>
        </w:rPr>
        <w:t>注：</w:t>
      </w:r>
      <w:r>
        <w:rPr>
          <w:rFonts w:eastAsiaTheme="minorEastAsia"/>
          <w:sz w:val="13"/>
          <w:szCs w:val="13"/>
        </w:rPr>
        <w:t>A1型</w:t>
      </w:r>
      <w:r>
        <w:rPr>
          <w:sz w:val="13"/>
          <w:szCs w:val="13"/>
        </w:rPr>
        <w:t>-</w:t>
      </w:r>
      <w:r>
        <w:rPr>
          <w:rFonts w:eastAsiaTheme="minorEastAsia"/>
          <w:sz w:val="13"/>
          <w:szCs w:val="13"/>
        </w:rPr>
        <w:t>平面型</w:t>
      </w:r>
      <w:r>
        <w:rPr>
          <w:sz w:val="13"/>
          <w:szCs w:val="13"/>
        </w:rPr>
        <w:t>；A2型-嵌入型/岛型；A3型-甲状腺内型；B1型-甲状腺周围型；B2型-胸腺内型；B3型-胸腺/纵膈供血型）</w:t>
      </w:r>
    </w:p>
    <w:p w14:paraId="5DDC6F7B">
      <w:pPr>
        <w:pStyle w:val="190"/>
        <w:numPr>
          <w:ilvl w:val="0"/>
          <w:numId w:val="1"/>
        </w:numPr>
      </w:pPr>
      <w:r>
        <w:t>术前管理</w:t>
      </w:r>
    </w:p>
    <w:p w14:paraId="1B8C9B6C">
      <w:pPr>
        <w:pStyle w:val="220"/>
        <w:numPr>
          <w:ilvl w:val="1"/>
          <w:numId w:val="1"/>
        </w:numPr>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甲状腺功能评估</w:t>
      </w:r>
    </w:p>
    <w:p w14:paraId="2C358D28">
      <w:pPr>
        <w:pStyle w:val="220"/>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甲状腺术前应常规检查甲状腺功能，评估是否存在功能异常。</w:t>
      </w:r>
      <w:r>
        <w:rPr>
          <w:rFonts w:hint="eastAsia" w:ascii="Times New Roman" w:hAnsi="Times New Roman" w:eastAsia="宋体" w:cs="Times New Roman"/>
          <w:bCs/>
          <w:szCs w:val="21"/>
        </w:rPr>
        <w:t>如果术前</w:t>
      </w:r>
      <w:r>
        <w:rPr>
          <w:rFonts w:ascii="Times New Roman" w:hAnsi="Times New Roman" w:eastAsia="宋体" w:cs="Times New Roman"/>
          <w:bCs/>
          <w:szCs w:val="21"/>
        </w:rPr>
        <w:t>甲状腺功能亢进</w:t>
      </w:r>
      <w:r>
        <w:rPr>
          <w:rFonts w:hint="eastAsia" w:ascii="Times New Roman" w:hAnsi="Times New Roman" w:eastAsia="宋体" w:cs="Times New Roman"/>
          <w:bCs/>
          <w:szCs w:val="21"/>
        </w:rPr>
        <w:t>未得到控制，术后易发生甲状腺危象</w:t>
      </w:r>
      <w:r>
        <w:rPr>
          <w:rFonts w:ascii="Times New Roman" w:hAnsi="Times New Roman" w:eastAsia="宋体" w:cs="Times New Roman"/>
          <w:bCs/>
          <w:szCs w:val="21"/>
        </w:rPr>
        <w:t>。中-重度甲状腺功能亢进及严重的甲状腺功能减退均可造成甲状腺弥漫性肿大，导致甲状旁腺移位；同时甲状腺血供</w:t>
      </w:r>
      <w:r>
        <w:rPr>
          <w:rFonts w:hint="eastAsia" w:ascii="Times New Roman" w:hAnsi="Times New Roman" w:eastAsia="宋体" w:cs="Times New Roman"/>
          <w:bCs/>
          <w:szCs w:val="21"/>
        </w:rPr>
        <w:t>明显</w:t>
      </w:r>
      <w:r>
        <w:rPr>
          <w:rFonts w:ascii="Times New Roman" w:hAnsi="Times New Roman" w:eastAsia="宋体" w:cs="Times New Roman"/>
          <w:bCs/>
          <w:szCs w:val="21"/>
        </w:rPr>
        <w:t>增加，导致术中出血风险增大</w:t>
      </w:r>
      <w:r>
        <w:rPr>
          <w:rFonts w:hint="eastAsia" w:ascii="Times New Roman" w:hAnsi="Times New Roman" w:eastAsia="宋体" w:cs="Times New Roman"/>
          <w:bCs/>
          <w:szCs w:val="21"/>
        </w:rPr>
        <w:t>，且</w:t>
      </w:r>
      <w:r>
        <w:rPr>
          <w:rFonts w:ascii="Times New Roman" w:hAnsi="Times New Roman" w:eastAsia="宋体" w:cs="Times New Roman"/>
          <w:bCs/>
          <w:szCs w:val="21"/>
        </w:rPr>
        <w:t>上述情况导致术中辨认甲状旁腺困难，从而增加甲状旁腺损伤风险。因此，甲状腺术前积极纠正甲状腺功能异常有利于提高手术安全性。</w:t>
      </w:r>
    </w:p>
    <w:p w14:paraId="6AD4FD96">
      <w:pPr>
        <w:pStyle w:val="220"/>
        <w:numPr>
          <w:ilvl w:val="1"/>
          <w:numId w:val="1"/>
        </w:numPr>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甲状旁腺功能评估</w:t>
      </w:r>
    </w:p>
    <w:p w14:paraId="11C80024">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甲状腺术前应常规检查甲状旁腺功能，包括检查血清PTH</w:t>
      </w:r>
      <w:r>
        <w:rPr>
          <w:rFonts w:hint="eastAsia" w:ascii="Times New Roman" w:hAnsi="Times New Roman" w:eastAsia="宋体" w:cs="Times New Roman"/>
          <w:bCs/>
          <w:szCs w:val="21"/>
        </w:rPr>
        <w:t>、</w:t>
      </w:r>
      <w:r>
        <w:rPr>
          <w:rFonts w:ascii="Times New Roman" w:hAnsi="Times New Roman" w:eastAsia="宋体" w:cs="Times New Roman"/>
          <w:bCs/>
          <w:szCs w:val="21"/>
        </w:rPr>
        <w:t>钙</w:t>
      </w:r>
      <w:r>
        <w:rPr>
          <w:rFonts w:hint="eastAsia" w:ascii="Times New Roman" w:hAnsi="Times New Roman" w:eastAsia="宋体" w:cs="Times New Roman"/>
          <w:bCs/>
          <w:szCs w:val="21"/>
        </w:rPr>
        <w:t>及维生素D</w:t>
      </w:r>
      <w:r>
        <w:rPr>
          <w:rFonts w:ascii="Times New Roman" w:hAnsi="Times New Roman" w:eastAsia="宋体" w:cs="Times New Roman"/>
          <w:bCs/>
          <w:szCs w:val="21"/>
        </w:rPr>
        <w:t>水平，有利于评估是否存在甲状旁腺功能异常，尤其对于再次手术</w:t>
      </w:r>
      <w:r>
        <w:rPr>
          <w:rFonts w:hint="eastAsia" w:ascii="Times New Roman" w:hAnsi="Times New Roman" w:eastAsia="宋体" w:cs="Times New Roman"/>
          <w:bCs/>
          <w:szCs w:val="21"/>
          <w:lang w:eastAsia="zh-Hans"/>
        </w:rPr>
        <w:t>患者</w:t>
      </w:r>
      <w:r>
        <w:rPr>
          <w:rFonts w:ascii="Times New Roman" w:hAnsi="Times New Roman" w:eastAsia="宋体" w:cs="Times New Roman"/>
          <w:bCs/>
          <w:szCs w:val="21"/>
        </w:rPr>
        <w:t>至关重要。</w:t>
      </w:r>
    </w:p>
    <w:p w14:paraId="3E725EF9">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若术前发现血清PTH水平升高，应考虑是否存在甲状旁腺功能亢进及维生素D缺乏等。若术前诊断甲状旁腺功能亢进，应考虑是否存在甲状旁腺瘤、MEN或其</w:t>
      </w:r>
      <w:r>
        <w:rPr>
          <w:rFonts w:hint="eastAsia" w:ascii="Times New Roman" w:hAnsi="Times New Roman" w:eastAsia="宋体" w:cs="Times New Roman"/>
          <w:bCs/>
          <w:szCs w:val="21"/>
          <w:lang w:eastAsia="zh-Hans"/>
        </w:rPr>
        <w:t>它</w:t>
      </w:r>
      <w:r>
        <w:rPr>
          <w:rFonts w:ascii="Times New Roman" w:hAnsi="Times New Roman" w:eastAsia="宋体" w:cs="Times New Roman"/>
          <w:bCs/>
          <w:szCs w:val="21"/>
        </w:rPr>
        <w:t>引起继发性甲状旁腺功能亢进的疾病（如肾功能衰竭长期透析等）。</w:t>
      </w:r>
      <w:r>
        <w:rPr>
          <w:rFonts w:hint="eastAsia" w:ascii="Times New Roman" w:hAnsi="Times New Roman" w:eastAsia="宋体" w:cs="Times New Roman"/>
          <w:bCs/>
          <w:szCs w:val="21"/>
        </w:rPr>
        <w:t>当</w:t>
      </w:r>
      <w:r>
        <w:rPr>
          <w:rFonts w:ascii="Times New Roman" w:hAnsi="Times New Roman" w:eastAsia="宋体" w:cs="Times New Roman"/>
          <w:bCs/>
          <w:szCs w:val="21"/>
        </w:rPr>
        <w:t>诊断MEN 2，应优先处理嗜铬细胞瘤，然后再处理甲状腺髓样癌及甲状旁腺功能亢进。</w:t>
      </w:r>
    </w:p>
    <w:p w14:paraId="4025DDE5">
      <w:pPr>
        <w:spacing w:line="360" w:lineRule="auto"/>
        <w:ind w:firstLine="420"/>
        <w:jc w:val="left"/>
        <w:rPr>
          <w:rFonts w:ascii="Times New Roman" w:hAnsi="Times New Roman" w:eastAsia="宋体" w:cs="Times New Roman"/>
          <w:bCs/>
          <w:szCs w:val="21"/>
        </w:rPr>
      </w:pPr>
      <w:r>
        <w:rPr>
          <w:rFonts w:ascii="Times New Roman" w:hAnsi="Times New Roman" w:eastAsia="宋体" w:cs="Times New Roman"/>
          <w:bCs/>
          <w:szCs w:val="21"/>
        </w:rPr>
        <w:t>若术前发现血清PTH水平降低，应考虑是否存在造成甲状旁腺损伤的相关病史（如颈部手术史、颈部照射史等）</w:t>
      </w:r>
      <w:r>
        <w:rPr>
          <w:rFonts w:hint="eastAsia" w:ascii="Times New Roman" w:hAnsi="Times New Roman" w:eastAsia="宋体" w:cs="Times New Roman"/>
          <w:bCs/>
          <w:szCs w:val="21"/>
        </w:rPr>
        <w:t>及</w:t>
      </w:r>
      <w:r>
        <w:rPr>
          <w:rFonts w:ascii="Times New Roman" w:hAnsi="Times New Roman" w:eastAsia="宋体" w:cs="Times New Roman"/>
          <w:bCs/>
          <w:szCs w:val="21"/>
        </w:rPr>
        <w:t>遗传性</w:t>
      </w:r>
      <w:r>
        <w:rPr>
          <w:rFonts w:hint="eastAsia" w:ascii="Times New Roman" w:hAnsi="Times New Roman" w:eastAsia="宋体" w:cs="Times New Roman"/>
          <w:bCs/>
          <w:szCs w:val="21"/>
        </w:rPr>
        <w:t>疾病</w:t>
      </w:r>
      <w:r>
        <w:rPr>
          <w:rFonts w:ascii="Times New Roman" w:hAnsi="Times New Roman" w:eastAsia="宋体" w:cs="Times New Roman"/>
          <w:bCs/>
          <w:szCs w:val="21"/>
        </w:rPr>
        <w:t>等。</w:t>
      </w:r>
    </w:p>
    <w:p w14:paraId="013D0E23">
      <w:pPr>
        <w:pStyle w:val="220"/>
        <w:numPr>
          <w:ilvl w:val="1"/>
          <w:numId w:val="1"/>
        </w:numPr>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合理选择手术方式</w:t>
      </w:r>
    </w:p>
    <w:p w14:paraId="4DD7DA09">
      <w:pPr>
        <w:pStyle w:val="220"/>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规范的手术方式是保护甲状旁腺的基础，不规范的手术方式易导致再次手术，而再次手术尤其是再次处理中央区时，由于瘢痕粘连，甲状旁腺的损伤风险成几何级增加。甲状腺全切除加中央区淋巴结清扫术是发生术后甲状旁腺功能低下</w:t>
      </w:r>
      <w:r>
        <w:rPr>
          <w:rFonts w:hint="eastAsia" w:ascii="Times New Roman" w:hAnsi="Times New Roman" w:eastAsia="宋体" w:cs="Times New Roman"/>
          <w:bCs/>
          <w:szCs w:val="21"/>
        </w:rPr>
        <w:t>的</w:t>
      </w:r>
      <w:r>
        <w:rPr>
          <w:rFonts w:ascii="Times New Roman" w:hAnsi="Times New Roman" w:eastAsia="宋体" w:cs="Times New Roman"/>
          <w:bCs/>
          <w:szCs w:val="21"/>
        </w:rPr>
        <w:t>高危因素，因此，应该由经验丰富的甲状腺外科医生施术</w:t>
      </w:r>
      <w:r>
        <w:rPr>
          <w:rFonts w:hint="eastAsia" w:ascii="Times New Roman" w:hAnsi="Times New Roman" w:eastAsia="宋体" w:cs="Times New Roman"/>
          <w:bCs/>
          <w:szCs w:val="21"/>
        </w:rPr>
        <w:t>。</w:t>
      </w:r>
      <w:r>
        <w:rPr>
          <w:rFonts w:ascii="Times New Roman" w:hAnsi="Times New Roman" w:eastAsia="宋体" w:cs="Times New Roman"/>
          <w:bCs/>
          <w:szCs w:val="21"/>
        </w:rPr>
        <w:t>由于中央区淋巴结清扫是甲状旁腺损伤的重要因素之一，而甲状腺滤泡癌仅有5%～15%出现颈淋巴结转移，故甲状腺滤泡癌仅行治疗性中央区（及颈侧区）淋巴结清扫。</w:t>
      </w:r>
    </w:p>
    <w:p w14:paraId="037CC85A">
      <w:pPr>
        <w:pStyle w:val="190"/>
        <w:numPr>
          <w:ilvl w:val="0"/>
          <w:numId w:val="1"/>
        </w:numPr>
      </w:pPr>
      <w:r>
        <w:t>术中管理</w:t>
      </w:r>
    </w:p>
    <w:p w14:paraId="0EBA985A">
      <w:pPr>
        <w:pStyle w:val="190"/>
        <w:numPr>
          <w:ilvl w:val="1"/>
          <w:numId w:val="1"/>
        </w:numPr>
      </w:pPr>
      <w:r>
        <w:t>甲状旁腺保护总原则</w:t>
      </w:r>
    </w:p>
    <w:p w14:paraId="7A8CEA2A">
      <w:pPr>
        <w:pStyle w:val="190"/>
      </w:pPr>
      <w:r>
        <w:t>甲状腺手术中甲状旁腺保护的总原则为“1+X+1”。第一个“1”的含义是：</w:t>
      </w:r>
      <w:r>
        <w:rPr>
          <w:rFonts w:ascii="Cambria Math" w:hAnsi="Cambria Math" w:cs="Cambria Math"/>
        </w:rPr>
        <w:t>①</w:t>
      </w:r>
      <w:r>
        <w:t>至少原位保留1枚具有良好血供的甲状旁腺；</w:t>
      </w:r>
      <w:r>
        <w:rPr>
          <w:rFonts w:ascii="Cambria Math" w:hAnsi="Cambria Math" w:cs="Cambria Math"/>
        </w:rPr>
        <w:t>②</w:t>
      </w:r>
      <w:r>
        <w:t>把每</w:t>
      </w:r>
      <w:r>
        <w:rPr>
          <w:rFonts w:hint="eastAsia"/>
          <w:lang w:eastAsia="zh-Hans"/>
        </w:rPr>
        <w:t>一</w:t>
      </w:r>
      <w:r>
        <w:t>枚甲状旁腺当作唯一（最后）1枚甲状旁腺保护。“X”的含义是术中发现更多的甲状旁腺。后一个“1”的含义是在甲状腺初次手术时策略性移植至少1枚甲状旁腺，以有效减少中央区再次手术后甲状旁腺功能减退的发生率。在“1+X+1”的总原则指导下，甲状腺腺叶切除</w:t>
      </w:r>
      <w:r>
        <w:rPr>
          <w:rFonts w:hint="eastAsia"/>
        </w:rPr>
        <w:t>及单侧中央区淋巴结清扫术</w:t>
      </w:r>
      <w:r>
        <w:t>可选择“X”保护策略，即术中发现更多的甲状旁腺，原位保留</w:t>
      </w:r>
      <w:r>
        <w:rPr>
          <w:rFonts w:hint="eastAsia"/>
        </w:rPr>
        <w:t>或</w:t>
      </w:r>
      <w:r>
        <w:t>自体移植均可；甲状腺全切</w:t>
      </w:r>
      <w:r>
        <w:rPr>
          <w:rFonts w:hint="eastAsia"/>
        </w:rPr>
        <w:t>除及中央区淋巴结清扫术时</w:t>
      </w:r>
      <w:r>
        <w:t>可选择“2+2”保护策略，即原位保留双上位甲状旁腺，策略性移植双下位甲状旁腺。</w:t>
      </w:r>
    </w:p>
    <w:p w14:paraId="12472B06">
      <w:pPr>
        <w:pStyle w:val="190"/>
        <w:numPr>
          <w:ilvl w:val="1"/>
          <w:numId w:val="1"/>
        </w:numPr>
      </w:pPr>
      <w:r>
        <w:t>术中甲状旁腺保护</w:t>
      </w:r>
    </w:p>
    <w:p w14:paraId="11043DCF">
      <w:pPr>
        <w:pStyle w:val="190"/>
        <w:numPr>
          <w:ilvl w:val="2"/>
          <w:numId w:val="1"/>
        </w:numPr>
      </w:pPr>
      <w:r>
        <w:t xml:space="preserve">肉眼辨认 </w:t>
      </w:r>
    </w:p>
    <w:p w14:paraId="52F2E0A6">
      <w:pPr>
        <w:pStyle w:val="190"/>
      </w:pPr>
      <w:r>
        <w:t>术中肉眼辨认甲状旁腺是甲状腺外科医生的基本功，应根据其位置、颜色、形状、质地及对缺血的耐受性等进行综合判断。需与脂肪滴、淋巴结、迷走胸腺及异位甲状腺组织相鉴别。</w:t>
      </w:r>
    </w:p>
    <w:p w14:paraId="38DC6A56">
      <w:pPr>
        <w:pStyle w:val="190"/>
        <w:numPr>
          <w:ilvl w:val="2"/>
          <w:numId w:val="1"/>
        </w:numPr>
      </w:pPr>
      <w:r>
        <w:t>术中显像技术</w:t>
      </w:r>
    </w:p>
    <w:p w14:paraId="28F9E82C">
      <w:pPr>
        <w:pStyle w:val="190"/>
      </w:pPr>
      <w:r>
        <w:t>术中显像技术包括淋巴示踪剂的甲状旁腺负显影辨认保护法、自体荧光显像、吲哚菁绿荧光显像及AI识别等技术，可提高对甲状旁腺的辨认。</w:t>
      </w:r>
    </w:p>
    <w:p w14:paraId="7FF7C631">
      <w:pPr>
        <w:pStyle w:val="190"/>
        <w:numPr>
          <w:ilvl w:val="2"/>
          <w:numId w:val="1"/>
        </w:numPr>
      </w:pPr>
      <w:r>
        <w:t>手术因素</w:t>
      </w:r>
    </w:p>
    <w:p w14:paraId="00B9C89E">
      <w:pPr>
        <w:pStyle w:val="190"/>
        <w:numPr>
          <w:ilvl w:val="3"/>
          <w:numId w:val="1"/>
        </w:numPr>
      </w:pPr>
      <w:r>
        <w:t xml:space="preserve">精细化被膜解剖技术 </w:t>
      </w:r>
    </w:p>
    <w:p w14:paraId="0948C151">
      <w:pPr>
        <w:pStyle w:val="190"/>
        <w:rPr>
          <w:rFonts w:hint="eastAsia"/>
        </w:rPr>
      </w:pPr>
      <w:r>
        <w:t>精细化被膜解剖既能减少甲状旁腺意外切除，又能有效保留甲状旁腺的血供。其所有操作应紧贴甲状腺固有被膜处理进出甲状腺的3级血管。因此，在行甲状腺切除时，应仔细解剖及保留甲状腺上动脉后支、甲状腺下动脉主干及其上行支（尤其重要），以保证甲状旁腺的血供。</w:t>
      </w:r>
    </w:p>
    <w:p w14:paraId="5E50144C">
      <w:pPr>
        <w:pStyle w:val="190"/>
        <w:numPr>
          <w:ilvl w:val="3"/>
          <w:numId w:val="1"/>
        </w:numPr>
      </w:pPr>
      <w:r>
        <w:rPr>
          <w:rFonts w:hint="eastAsia"/>
        </w:rPr>
        <w:t>“两保留”</w:t>
      </w:r>
      <w:r>
        <w:t>的中央区淋巴结清扫</w:t>
      </w:r>
    </w:p>
    <w:p w14:paraId="32CC5338">
      <w:pPr>
        <w:pStyle w:val="190"/>
      </w:pPr>
      <w:r>
        <w:rPr>
          <w:rFonts w:hint="eastAsia"/>
        </w:rPr>
        <w:t>除了保留甲状腺下动脉主干外，还应保留胸腺。</w:t>
      </w:r>
      <w:r>
        <w:t>由于B2型、B3型甲状旁腺与胸腺关系密切，因此在行中央区淋巴结清扫时，应优先处理胸腺，寻找是否存在B2型、B3型甲状旁腺。如果胸腺未被肿瘤累及，应尽量保留，以免意外切除B2型甲状旁腺及损伤B3型甲状旁腺的血供。</w:t>
      </w:r>
    </w:p>
    <w:p w14:paraId="63DD6DA5">
      <w:pPr>
        <w:pStyle w:val="190"/>
        <w:numPr>
          <w:ilvl w:val="3"/>
          <w:numId w:val="1"/>
        </w:numPr>
      </w:pPr>
      <w:r>
        <w:t>甲状软骨下角区域的处理</w:t>
      </w:r>
    </w:p>
    <w:p w14:paraId="4F611772">
      <w:pPr>
        <w:pStyle w:val="190"/>
      </w:pPr>
      <w:r>
        <w:t>由于上位甲状旁腺及其血供、少数下位甲状旁腺位于甲状软骨下角区域，而肿瘤对侧该区域很少发生淋巴结转移。因此，对于单侧甲状腺癌或再次手术时，如果甲状软骨下角区域（尤其是</w:t>
      </w:r>
      <w:r>
        <w:rPr>
          <w:rFonts w:hint="eastAsia"/>
          <w:lang w:eastAsia="zh-Hans"/>
        </w:rPr>
        <w:t>原发灶</w:t>
      </w:r>
      <w:r>
        <w:t>对侧）未发现肿大或染色（应用</w:t>
      </w:r>
      <w:r>
        <w:rPr>
          <w:rFonts w:hint="eastAsia"/>
          <w:lang w:eastAsia="zh-Hans"/>
        </w:rPr>
        <w:t>淋巴示踪剂</w:t>
      </w:r>
      <w:r>
        <w:t>）淋巴结，可以不清扫该区域。如果有条件，术中可采用高频超声来确定该区域有无异常肿大淋巴结。</w:t>
      </w:r>
    </w:p>
    <w:p w14:paraId="3B2D057A">
      <w:pPr>
        <w:pStyle w:val="190"/>
        <w:numPr>
          <w:ilvl w:val="3"/>
          <w:numId w:val="1"/>
        </w:numPr>
      </w:pPr>
      <w:r>
        <w:t>合理使用能量器械</w:t>
      </w:r>
    </w:p>
    <w:p w14:paraId="5433F3CF">
      <w:pPr>
        <w:pStyle w:val="190"/>
      </w:pPr>
      <w:r>
        <w:t>大多数能量器械在使用时不可避免地产生热量，可能对甲状旁腺等重要结构造成热损</w:t>
      </w:r>
    </w:p>
    <w:p w14:paraId="236922E3">
      <w:pPr>
        <w:pStyle w:val="190"/>
        <w:ind w:firstLine="0"/>
      </w:pPr>
      <w:r>
        <w:t>伤。因此，合理使用单极、双极及超声刀等能量器械，可减少甲状旁腺损伤</w:t>
      </w:r>
      <w:r>
        <w:rPr>
          <w:rFonts w:hint="eastAsia"/>
          <w:lang w:eastAsia="zh-Hans"/>
        </w:rPr>
        <w:t>，建议有条件者在甲状旁腺附近的操作选用双极电凝或传统“冷兵器”操作。</w:t>
      </w:r>
    </w:p>
    <w:p w14:paraId="1C356D3F">
      <w:pPr>
        <w:pStyle w:val="190"/>
        <w:numPr>
          <w:ilvl w:val="3"/>
          <w:numId w:val="1"/>
        </w:numPr>
      </w:pPr>
      <w:r>
        <w:t xml:space="preserve">减少甲状旁腺意外切除 </w:t>
      </w:r>
    </w:p>
    <w:p w14:paraId="392F7FDB">
      <w:pPr>
        <w:pStyle w:val="190"/>
      </w:pPr>
      <w:r>
        <w:t>甲状旁腺意外切除是甲状腺术后永久性甲状旁腺功能低下发生的独立危险因素之一。除了术中仔细辨认甲状旁腺外，减少甲状旁腺意外切除最重要的方法是常规在切除标本中仔细寻找甲状旁腺。</w:t>
      </w:r>
    </w:p>
    <w:p w14:paraId="69788C8C">
      <w:pPr>
        <w:pStyle w:val="190"/>
        <w:numPr>
          <w:ilvl w:val="3"/>
          <w:numId w:val="1"/>
        </w:numPr>
      </w:pPr>
      <w:r>
        <w:t>术中原位保留的甲状旁腺血供判断</w:t>
      </w:r>
    </w:p>
    <w:p w14:paraId="26F9966B">
      <w:pPr>
        <w:pStyle w:val="190"/>
        <w:ind w:left="284"/>
      </w:pPr>
      <w:r>
        <w:t>目前主要根据甲状旁腺颜色改变来判断其血供是否受损，但是该方式具有不可靠性。吲哚菁绿荧光显像技术可在甲状腺切除之前观察到甲状旁腺的血管解剖，从而进行精细的保护，以避免损伤甲状旁腺的血供。同时，也可对原位保留的甲状旁腺进行显像，判断其血供是否受损，从而为最终选择原位保留或自体移植提供依据。</w:t>
      </w:r>
    </w:p>
    <w:p w14:paraId="24761CEF">
      <w:pPr>
        <w:pStyle w:val="190"/>
        <w:ind w:firstLine="0"/>
      </w:pPr>
      <w:r>
        <w:t>7.2.3.7 甲状旁腺自体移植</w:t>
      </w:r>
    </w:p>
    <w:p w14:paraId="5D68CE14">
      <w:pPr>
        <w:pStyle w:val="190"/>
        <w:rPr>
          <w:color w:val="FF0000"/>
        </w:rPr>
      </w:pPr>
      <w:r>
        <w:t>甲状腺术中建议行甲状旁腺即时自体移植，移植前需确认为甲状旁腺组织。确认方法主要包括冰冻检查（仅切取1～2 mm组织送检即可）及组织液PTH浓度检测。行甲状旁腺即时自体移植时，建议采用4 ℃无菌生理盐水或培养液保存离体甲状旁腺组织，并尽早移植（离体时间最好不超过30min）。移植成功的关键是充分剪（切）碎甲状旁腺组织，并将其分散放入（注入）移植部位。移植部位包括肌肉和皮下。由于肌肉血供丰富，移植的甲状旁腺组织更易存活，故更推荐肌肉移植。</w:t>
      </w:r>
      <w:r>
        <w:rPr>
          <w:rFonts w:hint="eastAsia"/>
          <w:lang w:eastAsia="zh-Hans"/>
        </w:rPr>
        <w:t>如果需要判断自体移植的甲状旁腺是否成活，建议常规注射于左前臂肌肉中，复查时常规抽取双上肢静脉血检查</w:t>
      </w:r>
      <w:r>
        <w:rPr>
          <w:lang w:eastAsia="zh-Hans"/>
        </w:rPr>
        <w:t>PTH</w:t>
      </w:r>
      <w:r>
        <w:rPr>
          <w:rFonts w:hint="eastAsia"/>
          <w:lang w:eastAsia="zh-Hans"/>
        </w:rPr>
        <w:t>。</w:t>
      </w:r>
    </w:p>
    <w:p w14:paraId="1B8C468D">
      <w:pPr>
        <w:pStyle w:val="190"/>
        <w:numPr>
          <w:ilvl w:val="0"/>
          <w:numId w:val="1"/>
        </w:numPr>
      </w:pPr>
      <w:r>
        <w:t>术后管理</w:t>
      </w:r>
    </w:p>
    <w:p w14:paraId="78CBCAA9">
      <w:pPr>
        <w:pStyle w:val="190"/>
        <w:numPr>
          <w:ilvl w:val="1"/>
          <w:numId w:val="1"/>
        </w:numPr>
      </w:pPr>
      <w:r>
        <w:t>术后监测血清PTH及血钙水平</w:t>
      </w:r>
    </w:p>
    <w:p w14:paraId="6E8BDA44">
      <w:pPr>
        <w:pStyle w:val="190"/>
        <w:rPr>
          <w:bCs/>
          <w:szCs w:val="21"/>
        </w:rPr>
      </w:pPr>
      <w:r>
        <w:t>术后常规监测血清PTH及钙水平有利于诊断甲状旁腺功能低下及低钙血症，指导临床补钙。</w:t>
      </w:r>
      <w:r>
        <w:rPr>
          <w:bCs/>
          <w:szCs w:val="21"/>
        </w:rPr>
        <w:t>监测频度根据具体情况决定，可选择术后1天、3 天及1个月复查血清PTH及钙水平，直至正常或长期监测。</w:t>
      </w:r>
    </w:p>
    <w:p w14:paraId="34F5D7C7">
      <w:pPr>
        <w:pStyle w:val="190"/>
        <w:numPr>
          <w:ilvl w:val="1"/>
          <w:numId w:val="1"/>
        </w:numPr>
        <w:rPr>
          <w:bCs/>
          <w:szCs w:val="21"/>
        </w:rPr>
      </w:pPr>
      <w:r>
        <w:rPr>
          <w:bCs/>
          <w:szCs w:val="21"/>
        </w:rPr>
        <w:t>术后甲状旁腺功能低下的治疗</w:t>
      </w:r>
    </w:p>
    <w:p w14:paraId="473E8ECF">
      <w:pPr>
        <w:pStyle w:val="190"/>
      </w:pPr>
      <w:r>
        <w:t>术后甲状旁腺功能低下的治疗是为了减少发生低钙症状及促进甲状旁腺功能恢复，治疗方法主要包括补充钙剂、维生素D治疗及PTH治疗，推荐预防性补钙治疗。甲状腺全切术后常规预防性补充钙剂和维生素D是减少低钙症状发生的最有效方式，同时积极补钙可能有利于甲状旁腺功能的恢复。</w:t>
      </w:r>
    </w:p>
    <w:p w14:paraId="5893E89B">
      <w:pPr>
        <w:pStyle w:val="190"/>
      </w:pPr>
    </w:p>
    <w:p w14:paraId="3BD4D959">
      <w:pPr>
        <w:pStyle w:val="190"/>
      </w:pPr>
    </w:p>
    <w:p w14:paraId="7582836C">
      <w:pPr>
        <w:pStyle w:val="190"/>
      </w:pPr>
    </w:p>
    <w:p w14:paraId="7ABF1A68">
      <w:pPr>
        <w:pStyle w:val="190"/>
      </w:pPr>
    </w:p>
    <w:p w14:paraId="05EB83FD">
      <w:pPr>
        <w:pStyle w:val="190"/>
      </w:pPr>
    </w:p>
    <w:p w14:paraId="20CE4EED">
      <w:pPr>
        <w:pStyle w:val="190"/>
      </w:pPr>
    </w:p>
    <w:p w14:paraId="292617FB">
      <w:pPr>
        <w:pStyle w:val="190"/>
      </w:pPr>
    </w:p>
    <w:p w14:paraId="2C2E07D0">
      <w:pPr>
        <w:pStyle w:val="190"/>
      </w:pPr>
    </w:p>
    <w:p w14:paraId="4B360CF2">
      <w:pPr>
        <w:widowControl/>
        <w:spacing w:before="156" w:after="312" w:line="360" w:lineRule="auto"/>
        <w:jc w:val="center"/>
        <w:rPr>
          <w:rFonts w:ascii="Times New Roman" w:hAnsi="Times New Roman" w:eastAsia="黑体" w:cs="Times New Roman"/>
          <w:bCs/>
          <w:szCs w:val="21"/>
        </w:rPr>
      </w:pPr>
      <w:bookmarkStart w:id="2" w:name="_GoBack"/>
      <w:bookmarkEnd w:id="2"/>
      <w:r>
        <w:rPr>
          <w:rFonts w:ascii="Times New Roman" w:hAnsi="Times New Roman" w:eastAsia="黑体" w:cs="Times New Roman"/>
          <w:bCs/>
          <w:szCs w:val="21"/>
        </w:rPr>
        <w:t>参  考  文  献</w:t>
      </w:r>
    </w:p>
    <w:p w14:paraId="5D5F43A5">
      <w:pPr>
        <w:spacing w:line="360" w:lineRule="auto"/>
        <w:rPr>
          <w:rFonts w:ascii="Times New Roman" w:hAnsi="Times New Roman" w:eastAsia="宋体" w:cs="Times New Roman"/>
          <w:bCs/>
          <w:szCs w:val="21"/>
        </w:rPr>
      </w:pPr>
      <w:r>
        <w:rPr>
          <w:rFonts w:ascii="Times New Roman" w:hAnsi="Times New Roman" w:eastAsia="宋体" w:cs="Times New Roman"/>
          <w:bCs/>
          <w:szCs w:val="21"/>
        </w:rPr>
        <w:t>[1]</w:t>
      </w:r>
      <w:r>
        <w:rPr>
          <w:rFonts w:ascii="Times New Roman" w:hAnsi="Times New Roman" w:cs="Times New Roman"/>
          <w:szCs w:val="21"/>
        </w:rPr>
        <w:t xml:space="preserve"> </w:t>
      </w:r>
      <w:r>
        <w:rPr>
          <w:rFonts w:ascii="Times New Roman" w:hAnsi="Times New Roman" w:eastAsia="宋体" w:cs="Times New Roman"/>
          <w:bCs/>
          <w:szCs w:val="21"/>
        </w:rPr>
        <w:t>苏安平,</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邢志超,</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朱精强</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甲状腺术后甲状旁腺功能低下的定义及意义[J]．中国普外基础与临床杂志</w:t>
      </w:r>
      <w:r>
        <w:rPr>
          <w:rFonts w:hint="eastAsia" w:ascii="Times New Roman" w:hAnsi="Times New Roman" w:eastAsia="宋体" w:cs="Times New Roman"/>
          <w:bCs/>
          <w:szCs w:val="21"/>
        </w:rPr>
        <w:t>，</w:t>
      </w:r>
      <w:r>
        <w:rPr>
          <w:rFonts w:ascii="Times New Roman" w:hAnsi="Times New Roman" w:eastAsia="宋体" w:cs="Times New Roman"/>
          <w:bCs/>
          <w:szCs w:val="21"/>
        </w:rPr>
        <w:t>2019,</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26(10):1157-1161.</w:t>
      </w:r>
    </w:p>
    <w:p w14:paraId="748433DA">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[2] 中国医师协会外科医师分会甲状腺外科医师委员会. 甲状腺手术中甲状旁腺保护专家共识[J]. 中国实用外科杂志，2015, 35(7):731-736.</w:t>
      </w:r>
    </w:p>
    <w:p w14:paraId="2F6541A5">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[3] 朱精强，田文，苏安平. 甲状腺围手术期甲状旁腺功能保护指南(2018 版)[J]. 中国实用外科杂志，2018, 38(10):1108-1113. DOI: 10.19538/j.cjps.issn1005-2208.2018.10.03.</w:t>
      </w:r>
    </w:p>
    <w:p w14:paraId="0715EC8C">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[4]</w:t>
      </w:r>
      <w:r>
        <w:rPr>
          <w:rFonts w:hint="eastAsia"/>
        </w:rPr>
        <w:t xml:space="preserve"> </w:t>
      </w:r>
      <w:r>
        <w:rPr>
          <w:rFonts w:hint="eastAsia" w:ascii="Times New Roman" w:hAnsi="Times New Roman" w:eastAsia="宋体" w:cs="Times New Roman"/>
          <w:bCs/>
          <w:szCs w:val="21"/>
        </w:rPr>
        <w:t>中华医学会内分泌学分会，中华医学会外科学分会甲状腺及代谢外科学组，中国抗癌协会头颈肿瘤专业委员会，等. 甲状腺结节和分化型甲状腺癌诊治指南(第二版)[J]. 中华内分泌代谢杂志，2023, 39(3):181-226.</w:t>
      </w:r>
    </w:p>
    <w:p w14:paraId="4F0071A9">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[5] 王彬, 苏安平, 姜可, 等．甲状旁腺分型在评估甲状旁腺原位保留难易程度中的应用[J]．中国普外基础与临床杂志, 2017, 24(4):458-463.</w:t>
      </w:r>
    </w:p>
    <w:p w14:paraId="2B2FB02A">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[6] 苏安平, 朱精强．甲状旁腺解剖分型的意义[J]．外科理论与实践, 2018, 23(2):99-102.</w:t>
      </w:r>
    </w:p>
    <w:p w14:paraId="56E42541">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[7] 苏安平, 朱精强, 龚日祥, 等．策略性甲状旁腺自体移植在甲状腺乳头状癌再次中央区淋巴结清扫中的应用[J]．中国普外基础与临床杂志, 2016, 23(10):1173-1177.</w:t>
      </w:r>
    </w:p>
    <w:p w14:paraId="39456DBB">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[8] 田文, 王冰. 甲状腺癌根治术关键技术标准及评价[J].中国实用外科杂志, 2024, 44(01):38-42. DOI:10.19538/j.cjps.issn1005-2208.2024.01.04.</w:t>
      </w:r>
    </w:p>
    <w:p w14:paraId="17781D9B">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[9] 田文, 陈志达, 郗洪庆, 等. 近红外自体荧光显像技术在甲状腺癌根治性手术中辅助甲状旁腺识别应用1例报告并文献复习[J].中国实用外科杂志, 2020, 40(05):591-593. DOI:10.19538/j.cjps.issn1005-2208.2020.05.26.</w:t>
      </w:r>
    </w:p>
    <w:p w14:paraId="7FD3F253">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[10] 费媛, 赵婉君, 苏安平, 等.吲哚菁绿荧光显像技术在甲状腺手术中对甲状旁腺血供判断的应用[J]. 中国普外基础与临床杂志, 2020, 27(09):1094-1099.</w:t>
      </w:r>
    </w:p>
    <w:p w14:paraId="4CCB39A9">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[11]田文,张浩.甲状腺外科能量器械应用专家共识(2017版)[J].中国实用外科杂志, 2017, 37(09):992-997. DOI:10.19538/j.cjps.issn1005-2208.2017.09.14.</w:t>
      </w:r>
    </w:p>
    <w:p w14:paraId="1657F795">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 xml:space="preserve">[12] </w:t>
      </w:r>
      <w:r>
        <w:rPr>
          <w:rFonts w:ascii="Times New Roman" w:hAnsi="Times New Roman" w:eastAsia="宋体" w:cs="Times New Roman"/>
          <w:bCs/>
          <w:szCs w:val="21"/>
        </w:rPr>
        <w:t>Zhu J, Tian W, Xu Z,</w:t>
      </w:r>
      <w:r>
        <w:rPr>
          <w:rFonts w:hint="eastAsia" w:ascii="Times New Roman" w:hAnsi="Times New Roman" w:eastAsia="宋体" w:cs="Times New Roman"/>
          <w:bCs/>
          <w:szCs w:val="21"/>
        </w:rPr>
        <w:t xml:space="preserve"> et al</w:t>
      </w:r>
      <w:r>
        <w:rPr>
          <w:rFonts w:ascii="Times New Roman" w:hAnsi="Times New Roman" w:eastAsia="宋体" w:cs="Times New Roman"/>
          <w:bCs/>
          <w:szCs w:val="21"/>
        </w:rPr>
        <w:t>. Expert consensus statement on parathyroid protection in thyroidectomy. Ann Transl Med</w:t>
      </w:r>
      <w:r>
        <w:rPr>
          <w:rFonts w:hint="eastAsia" w:ascii="Times New Roman" w:hAnsi="Times New Roman" w:eastAsia="宋体" w:cs="Times New Roman"/>
          <w:bCs/>
          <w:szCs w:val="21"/>
        </w:rPr>
        <w:t>,</w:t>
      </w:r>
      <w:r>
        <w:rPr>
          <w:rFonts w:ascii="Times New Roman" w:hAnsi="Times New Roman" w:eastAsia="宋体" w:cs="Times New Roman"/>
          <w:bCs/>
          <w:szCs w:val="21"/>
        </w:rPr>
        <w:t xml:space="preserve"> 2015</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 xml:space="preserve">3(16):230. </w:t>
      </w:r>
      <w:r>
        <w:rPr>
          <w:rFonts w:hint="eastAsia" w:ascii="Times New Roman" w:hAnsi="Times New Roman" w:eastAsia="宋体" w:cs="Times New Roman"/>
          <w:bCs/>
          <w:szCs w:val="21"/>
        </w:rPr>
        <w:t>DOI</w:t>
      </w:r>
      <w:r>
        <w:rPr>
          <w:rFonts w:ascii="Times New Roman" w:hAnsi="Times New Roman" w:eastAsia="宋体" w:cs="Times New Roman"/>
          <w:bCs/>
          <w:szCs w:val="21"/>
        </w:rPr>
        <w:t>: 10.3978/j.issn.2305-5839.2015.08.20.</w:t>
      </w:r>
    </w:p>
    <w:p w14:paraId="3FE86ABF">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[13] Lisa A, Orloff, Sam M, et al. American Thyroid Association Statement on Postoperative Hypoparathyroidism: Diagnosis, Prevention, and Management in Adults [J]. Thyroid, 2018, 28:830-841.</w:t>
      </w:r>
    </w:p>
    <w:p w14:paraId="4FEDCCBC">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 xml:space="preserve">[14] </w:t>
      </w:r>
      <w:r>
        <w:rPr>
          <w:rFonts w:ascii="Times New Roman" w:hAnsi="Times New Roman" w:eastAsia="宋体" w:cs="Times New Roman"/>
          <w:bCs/>
          <w:szCs w:val="21"/>
        </w:rPr>
        <w:t>Su A, Gong Y, Wei T,</w:t>
      </w:r>
      <w:r>
        <w:rPr>
          <w:rFonts w:hint="eastAsia" w:ascii="Times New Roman" w:hAnsi="Times New Roman" w:eastAsia="宋体" w:cs="Times New Roman"/>
          <w:bCs/>
          <w:szCs w:val="21"/>
        </w:rPr>
        <w:t xml:space="preserve"> et al</w:t>
      </w:r>
      <w:r>
        <w:rPr>
          <w:rFonts w:ascii="Times New Roman" w:hAnsi="Times New Roman" w:eastAsia="宋体" w:cs="Times New Roman"/>
          <w:bCs/>
          <w:szCs w:val="21"/>
        </w:rPr>
        <w:t>. A new classification of parathyroid glands to evaluate in situ preservation or autotransplantation during thyroid surgery. Medicine (Baltimore)</w:t>
      </w:r>
      <w:r>
        <w:rPr>
          <w:rFonts w:hint="eastAsia" w:ascii="Times New Roman" w:hAnsi="Times New Roman" w:eastAsia="宋体" w:cs="Times New Roman"/>
          <w:bCs/>
          <w:szCs w:val="21"/>
        </w:rPr>
        <w:t>,</w:t>
      </w:r>
      <w:r>
        <w:rPr>
          <w:rFonts w:ascii="Times New Roman" w:hAnsi="Times New Roman" w:eastAsia="宋体" w:cs="Times New Roman"/>
          <w:bCs/>
          <w:szCs w:val="21"/>
        </w:rPr>
        <w:t xml:space="preserve"> 2018</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 xml:space="preserve">97(48):e13231. </w:t>
      </w:r>
      <w:r>
        <w:rPr>
          <w:rFonts w:hint="eastAsia" w:ascii="Times New Roman" w:hAnsi="Times New Roman" w:eastAsia="宋体" w:cs="Times New Roman"/>
          <w:bCs/>
          <w:szCs w:val="21"/>
        </w:rPr>
        <w:t>DOI</w:t>
      </w:r>
      <w:r>
        <w:rPr>
          <w:rFonts w:ascii="Times New Roman" w:hAnsi="Times New Roman" w:eastAsia="宋体" w:cs="Times New Roman"/>
          <w:bCs/>
          <w:szCs w:val="21"/>
        </w:rPr>
        <w:t>: 10.1097/MD.0000000000013231.</w:t>
      </w:r>
    </w:p>
    <w:p w14:paraId="1CB664FC">
      <w:pPr>
        <w:spacing w:line="360" w:lineRule="auto"/>
        <w:rPr>
          <w:rFonts w:ascii="Times New Roman" w:hAnsi="Times New Roman" w:eastAsia="宋体" w:cs="Times New Roman"/>
          <w:bCs/>
          <w:szCs w:val="21"/>
        </w:rPr>
      </w:pPr>
      <w:r>
        <w:rPr>
          <w:rFonts w:hint="eastAsia" w:ascii="Times New Roman" w:hAnsi="Times New Roman" w:eastAsia="宋体" w:cs="Times New Roman"/>
          <w:bCs/>
          <w:szCs w:val="21"/>
        </w:rPr>
        <w:t xml:space="preserve">[15] </w:t>
      </w:r>
      <w:r>
        <w:rPr>
          <w:rFonts w:ascii="Times New Roman" w:hAnsi="Times New Roman" w:eastAsia="宋体" w:cs="Times New Roman"/>
          <w:bCs/>
          <w:szCs w:val="21"/>
        </w:rPr>
        <w:t>Gong H, Yao S, Jiang T,</w:t>
      </w:r>
      <w:r>
        <w:rPr>
          <w:rFonts w:hint="eastAsia" w:ascii="Times New Roman" w:hAnsi="Times New Roman" w:eastAsia="宋体" w:cs="Times New Roman"/>
          <w:bCs/>
          <w:szCs w:val="21"/>
        </w:rPr>
        <w:t xml:space="preserve"> et al. </w:t>
      </w:r>
      <w:r>
        <w:rPr>
          <w:rFonts w:ascii="Times New Roman" w:hAnsi="Times New Roman" w:eastAsia="宋体" w:cs="Times New Roman"/>
          <w:bCs/>
          <w:szCs w:val="21"/>
        </w:rPr>
        <w:t>Propensity score-matched analysis of the ‘2+2’ parathyroid strategy in total thyroidectomy with central neck dissection. Front. Endocrinol</w:t>
      </w:r>
      <w:r>
        <w:rPr>
          <w:rFonts w:hint="eastAsia" w:ascii="Times New Roman" w:hAnsi="Times New Roman" w:eastAsia="宋体" w:cs="Times New Roman"/>
          <w:bCs/>
          <w:szCs w:val="21"/>
        </w:rPr>
        <w:t xml:space="preserve">, 2025, </w:t>
      </w:r>
      <w:r>
        <w:rPr>
          <w:rFonts w:ascii="Times New Roman" w:hAnsi="Times New Roman" w:eastAsia="宋体" w:cs="Times New Roman"/>
          <w:bCs/>
          <w:szCs w:val="21"/>
        </w:rPr>
        <w:t xml:space="preserve">16:1646573. </w:t>
      </w:r>
      <w:r>
        <w:rPr>
          <w:rFonts w:hint="eastAsia" w:ascii="Times New Roman" w:hAnsi="Times New Roman" w:eastAsia="宋体" w:cs="Times New Roman"/>
          <w:bCs/>
          <w:szCs w:val="21"/>
        </w:rPr>
        <w:t>Doi</w:t>
      </w:r>
      <w:r>
        <w:rPr>
          <w:rFonts w:ascii="Times New Roman" w:hAnsi="Times New Roman" w:eastAsia="宋体" w:cs="Times New Roman"/>
          <w:bCs/>
          <w:szCs w:val="21"/>
        </w:rPr>
        <w:t>: 10.3389/fendo.2025.1646573</w:t>
      </w:r>
      <w:r>
        <w:rPr>
          <w:rFonts w:hint="eastAsia" w:ascii="Times New Roman" w:hAnsi="Times New Roman" w:eastAsia="宋体" w:cs="Times New Roman"/>
          <w:bCs/>
          <w:szCs w:val="21"/>
        </w:rPr>
        <w:t>.</w:t>
      </w:r>
    </w:p>
    <w:sectPr>
      <w:footerReference r:id="rId16" w:type="default"/>
      <w:headerReference r:id="rId15" w:type="even"/>
      <w:footerReference r:id="rId17" w:type="even"/>
      <w:pgSz w:w="11906" w:h="16838" w:orient="landscape"/>
      <w:pgMar w:top="1440" w:right="1800" w:bottom="1440" w:left="1800" w:header="851" w:footer="992" w:gutter="0"/>
      <w:pgNumType w:start="1"/>
      <w:cols w:space="425"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Heiti SC Medium">
    <w:altName w:val="Segoe Print"/>
    <w:panose1 w:val="020B0604020202020204"/>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C63FC">
    <w:pPr>
      <w:pStyle w:val="20"/>
      <w:jc w:val="right"/>
      <w:rPr>
        <w:rFonts w:hint="eastAsia"/>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2488032"/>
                          </w:sdtPr>
                          <w:sdtContent>
                            <w:p w14:paraId="2F6714F0">
                              <w:pPr>
                                <w:pStyle w:val="20"/>
                                <w:jc w:val="right"/>
                                <w:rPr>
                                  <w:rFonts w:hint="eastAsia"/>
                                </w:rPr>
                              </w:pPr>
                              <w:r>
                                <w:fldChar w:fldCharType="begin"/>
                              </w:r>
                              <w:r>
                                <w:instrText xml:space="preserve">PAGE   \* MERGEFORMAT</w:instrText>
                              </w:r>
                              <w:r>
                                <w:fldChar w:fldCharType="separate"/>
                              </w:r>
                              <w:r>
                                <w:rPr>
                                  <w:lang w:val="zh-CN"/>
                                </w:rPr>
                                <w:t>15</w:t>
                              </w:r>
                              <w:r>
                                <w:fldChar w:fldCharType="end"/>
                              </w:r>
                            </w:p>
                          </w:sdtContent>
                        </w:sdt>
                        <w:p w14:paraId="096EB372">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scI4k2AgAAYwQAAA4AAAAAAAAAAQAgAAAAHwEAAGRycy9lMm9Eb2MueG1s&#10;UEsFBgAAAAAGAAYAWQEAAMcFAAAAAA==&#10;">
              <v:fill on="f" focussize="0,0"/>
              <v:stroke on="f" weight="0.5pt"/>
              <v:imagedata o:title=""/>
              <o:lock v:ext="edit" aspectratio="f"/>
              <v:textbox inset="0mm,0mm,0mm,0mm" style="mso-fit-shape-to-text:t;">
                <w:txbxContent>
                  <w:sdt>
                    <w:sdtPr>
                      <w:id w:val="-1962488032"/>
                    </w:sdtPr>
                    <w:sdtContent>
                      <w:p w14:paraId="2F6714F0">
                        <w:pPr>
                          <w:pStyle w:val="20"/>
                          <w:jc w:val="right"/>
                          <w:rPr>
                            <w:rFonts w:hint="eastAsia"/>
                          </w:rPr>
                        </w:pPr>
                        <w:r>
                          <w:fldChar w:fldCharType="begin"/>
                        </w:r>
                        <w:r>
                          <w:instrText xml:space="preserve">PAGE   \* MERGEFORMAT</w:instrText>
                        </w:r>
                        <w:r>
                          <w:fldChar w:fldCharType="separate"/>
                        </w:r>
                        <w:r>
                          <w:rPr>
                            <w:lang w:val="zh-CN"/>
                          </w:rPr>
                          <w:t>15</w:t>
                        </w:r>
                        <w:r>
                          <w:fldChar w:fldCharType="end"/>
                        </w:r>
                      </w:p>
                    </w:sdtContent>
                  </w:sdt>
                  <w:p w14:paraId="096EB372">
                    <w:pPr>
                      <w:rPr>
                        <w:rFonts w:hint="eastAsia"/>
                      </w:rPr>
                    </w:pPr>
                  </w:p>
                </w:txbxContent>
              </v:textbox>
            </v:shape>
          </w:pict>
        </mc:Fallback>
      </mc:AlternateContent>
    </w:r>
  </w:p>
  <w:p w14:paraId="06E4A591">
    <w:pPr>
      <w:pStyle w:val="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E828A">
    <w:pPr>
      <w:pStyle w:val="20"/>
      <w:rPr>
        <w:rFonts w:hint="eastAsia"/>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64260">
                          <w:pPr>
                            <w:pStyle w:val="20"/>
                            <w:rPr>
                              <w:rFonts w:hint="eastAsia"/>
                            </w:rPr>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0MWpY2AgAAYwQAAA4AAAAAAAAAAQAgAAAAHwEAAGRycy9lMm9Eb2MueG1s&#10;UEsFBgAAAAAGAAYAWQEAAMcFAAAAAA==&#10;">
              <v:fill on="f" focussize="0,0"/>
              <v:stroke on="f" weight="0.5pt"/>
              <v:imagedata o:title=""/>
              <o:lock v:ext="edit" aspectratio="f"/>
              <v:textbox inset="0mm,0mm,0mm,0mm" style="mso-fit-shape-to-text:t;">
                <w:txbxContent>
                  <w:p w14:paraId="2FF64260">
                    <w:pPr>
                      <w:pStyle w:val="20"/>
                      <w:rPr>
                        <w:rFonts w:hint="eastAsia"/>
                      </w:rPr>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A7EAC">
    <w:pPr>
      <w:pStyle w:val="20"/>
      <w:rPr>
        <w:rFonts w:hint="eastAsia"/>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2379C">
                          <w:pPr>
                            <w:pStyle w:val="20"/>
                            <w:rPr>
                              <w:rFonts w:hint="eastAsia"/>
                            </w:rPr>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fdNnONwIAAGMEAAAOAAAAAAAAAAEAIAAAAB8BAABkcnMvZTJvRG9jLnht&#10;bFBLBQYAAAAABgAGAFkBAADIBQAAAAA=&#10;">
              <v:fill on="f" focussize="0,0"/>
              <v:stroke on="f" weight="0.5pt"/>
              <v:imagedata o:title=""/>
              <o:lock v:ext="edit" aspectratio="f"/>
              <v:textbox inset="0mm,0mm,0mm,0mm" style="mso-fit-shape-to-text:t;">
                <w:txbxContent>
                  <w:p w14:paraId="32F2379C">
                    <w:pPr>
                      <w:pStyle w:val="20"/>
                      <w:rPr>
                        <w:rFonts w:hint="eastAsia"/>
                      </w:rPr>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21568">
    <w:pPr>
      <w:pStyle w:val="20"/>
      <w:rPr>
        <w:rFonts w:hint="eastAsia"/>
      </w:rP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D613A">
                          <w:pPr>
                            <w:pStyle w:val="20"/>
                            <w:rPr>
                              <w:rFonts w:hint="eastAsia"/>
                            </w:rP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oP5+jNwIAAGMEAAAOAAAAAAAAAAEAIAAAAB8BAABkcnMvZTJvRG9jLnht&#10;bFBLBQYAAAAABgAGAFkBAADIBQAAAAA=&#10;">
              <v:fill on="f" focussize="0,0"/>
              <v:stroke on="f" weight="0.5pt"/>
              <v:imagedata o:title=""/>
              <o:lock v:ext="edit" aspectratio="f"/>
              <v:textbox inset="0mm,0mm,0mm,0mm" style="mso-fit-shape-to-text:t;">
                <w:txbxContent>
                  <w:p w14:paraId="6CDD613A">
                    <w:pPr>
                      <w:pStyle w:val="20"/>
                      <w:rPr>
                        <w:rFonts w:hint="eastAsia"/>
                      </w:rPr>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2E3F">
    <w:pPr>
      <w:pStyle w:val="20"/>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76E32">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III</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YaPGNwIAAGMEAAAOAAAAAAAAAAEAIAAAAB8BAABkcnMvZTJvRG9jLnht&#10;bFBLBQYAAAAABgAGAFkBAADIBQAAAAA=&#10;">
              <v:fill on="f" focussize="0,0"/>
              <v:stroke on="f" weight="0.5pt"/>
              <v:imagedata o:title=""/>
              <o:lock v:ext="edit" aspectratio="f"/>
              <v:textbox inset="0mm,0mm,0mm,0mm" style="mso-fit-shape-to-text:t;">
                <w:txbxContent>
                  <w:p w14:paraId="73C76E32">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III</w:t>
                    </w:r>
                    <w:r>
                      <w:rPr>
                        <w:rFonts w:ascii="Times New Roman" w:hAnsi="Times New Roman" w:eastAsia="宋体" w:cs="Times New Roman"/>
                      </w:rPr>
                      <w:fldChar w:fldCharType="end"/>
                    </w:r>
                  </w:p>
                </w:txbxContent>
              </v:textbox>
            </v:shape>
          </w:pict>
        </mc:Fallback>
      </mc:AlternateContent>
    </w:r>
  </w:p>
  <w:p w14:paraId="5A15C35F">
    <w:pPr>
      <w:pStyle w:val="2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796F">
    <w:pPr>
      <w:pStyle w:val="20"/>
      <w:rPr>
        <w:rFonts w:hint="eastAsia"/>
      </w:rP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FFFB5">
                          <w:pPr>
                            <w:pStyle w:val="20"/>
                            <w:rPr>
                              <w:rFonts w:hint="eastAsia"/>
                            </w:rP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B7+TE2AgAAYwQAAA4AAAAAAAAAAQAgAAAAHwEAAGRycy9lMm9Eb2MueG1s&#10;UEsFBgAAAAAGAAYAWQEAAMcFAAAAAA==&#10;">
              <v:fill on="f" focussize="0,0"/>
              <v:stroke on="f" weight="0.5pt"/>
              <v:imagedata o:title=""/>
              <o:lock v:ext="edit" aspectratio="f"/>
              <v:textbox inset="0mm,0mm,0mm,0mm" style="mso-fit-shape-to-text:t;">
                <w:txbxContent>
                  <w:p w14:paraId="102FFFB5">
                    <w:pPr>
                      <w:pStyle w:val="20"/>
                      <w:rPr>
                        <w:rFonts w:hint="eastAsia"/>
                      </w:rPr>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1041">
    <w:pPr>
      <w:pStyle w:val="2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D589F">
    <w:pPr>
      <w:pStyle w:val="20"/>
      <w:jc w:val="right"/>
      <w:rPr>
        <w:rFonts w:hint="eastAsia"/>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ECFA6">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rwR9k2AgAAYwQAAA4AAAAAAAAAAQAgAAAAHwEAAGRycy9lMm9Eb2MueG1s&#10;UEsFBgAAAAAGAAYAWQEAAMcFAAAAAA==&#10;">
              <v:fill on="f" focussize="0,0"/>
              <v:stroke on="f" weight="0.5pt"/>
              <v:imagedata o:title=""/>
              <o:lock v:ext="edit" aspectratio="f"/>
              <v:textbox inset="0mm,0mm,0mm,0mm" style="mso-fit-shape-to-text:t;">
                <w:txbxContent>
                  <w:p w14:paraId="0E5ECFA6">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1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614E6">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VHN6k2AgAAZAQAAA4AAAAAAAAAAQAgAAAAHwEAAGRycy9lMm9Eb2MueG1s&#10;UEsFBgAAAAAGAAYAWQEAAMcFAAAAAA==&#10;">
              <v:fill on="f" focussize="0,0"/>
              <v:stroke on="f" weight="0.5pt"/>
              <v:imagedata o:title=""/>
              <o:lock v:ext="edit" aspectratio="f"/>
              <v:textbox inset="0mm,0mm,0mm,0mm" style="mso-fit-shape-to-text:t;">
                <w:txbxContent>
                  <w:p w14:paraId="681614E6">
                    <w:pPr>
                      <w:rPr>
                        <w:rFonts w:hint="eastAsia"/>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47959">
    <w:pPr>
      <w:pStyle w:val="20"/>
      <w:tabs>
        <w:tab w:val="clear" w:pos="4153"/>
      </w:tabs>
      <w:rPr>
        <w:rFonts w:hint="eastAsia"/>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BBAB1">
                          <w:pPr>
                            <w:pStyle w:val="20"/>
                            <w:rPr>
                              <w:rFonts w:hint="eastAsia"/>
                            </w:rPr>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frnWzNwIAAGQEAAAOAAAAAAAAAAEAIAAAAB8BAABkcnMvZTJvRG9jLnht&#10;bFBLBQYAAAAABgAGAFkBAADIBQAAAAA=&#10;">
              <v:fill on="f" focussize="0,0"/>
              <v:stroke on="f" weight="0.5pt"/>
              <v:imagedata o:title=""/>
              <o:lock v:ext="edit" aspectratio="f"/>
              <v:textbox inset="0mm,0mm,0mm,0mm" style="mso-fit-shape-to-text:t;">
                <w:txbxContent>
                  <w:p w14:paraId="4D4BBAB1">
                    <w:pPr>
                      <w:pStyle w:val="20"/>
                      <w:rPr>
                        <w:rFonts w:hint="eastAsia"/>
                      </w:rPr>
                    </w:pPr>
                    <w:r>
                      <w:fldChar w:fldCharType="begin"/>
                    </w:r>
                    <w:r>
                      <w:instrText xml:space="preserve"> PAGE  \* MERGEFORMAT </w:instrText>
                    </w:r>
                    <w:r>
                      <w:fldChar w:fldCharType="separate"/>
                    </w:r>
                    <w:r>
                      <w:t>8</w:t>
                    </w:r>
                    <w:r>
                      <w:fldChar w:fldCharType="end"/>
                    </w:r>
                  </w:p>
                </w:txbxContent>
              </v:textbox>
            </v:shape>
          </w:pict>
        </mc:Fallback>
      </mc:AlternateContent>
    </w:r>
    <w:r>
      <w:rPr>
        <w:rFonts w:hint="eastAsia" w:eastAsia="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713C">
    <w:pPr>
      <w:pStyle w:val="21"/>
      <w:pBdr>
        <w:bottom w:val="none" w:color="000000" w:sz="0" w:space="1"/>
      </w:pBdr>
      <w:jc w:val="right"/>
      <w:rPr>
        <w:rFonts w:ascii="Times New Roman" w:hAnsi="Times New Roman" w:eastAsia="宋体" w:cs="Times New Roman"/>
      </w:rPr>
    </w:pPr>
    <w:r>
      <w:rPr>
        <w:rFonts w:ascii="Times New Roman" w:hAnsi="Times New Roman" w:eastAsia="宋体" w:cs="Times New Roman"/>
      </w:rPr>
      <w:t xml:space="preserve">T/CRHA </w:t>
    </w:r>
    <w:r>
      <w:rPr>
        <w:rFonts w:hint="eastAsia" w:ascii="Times New Roman" w:hAnsi="Times New Roman" w:eastAsia="宋体" w:cs="Times New Roman"/>
      </w:rPr>
      <w:t>XXX—</w:t>
    </w:r>
    <w:r>
      <w:rPr>
        <w:rFonts w:ascii="Times New Roman" w:hAnsi="Times New Roman" w:eastAsia="宋体" w:cs="Times New Roman"/>
      </w:rPr>
      <w:t>202</w:t>
    </w:r>
    <w:r>
      <w:rPr>
        <w:rFonts w:hint="eastAsia" w:ascii="Times New Roman" w:hAnsi="Times New Roman" w:eastAsia="宋体" w:cs="Times New Roman"/>
      </w:rPr>
      <w:t>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239C">
    <w:pPr>
      <w:pStyle w:val="21"/>
      <w:pBdr>
        <w:bottom w:val="none" w:color="000000"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927F">
    <w:pPr>
      <w:pStyle w:val="21"/>
      <w:pBdr>
        <w:bottom w:val="none" w:color="000000" w:sz="0" w:space="1"/>
      </w:pBdr>
      <w:jc w:val="left"/>
      <w:rPr>
        <w:rFonts w:ascii="Times New Roman" w:hAnsi="Times New Roman" w:eastAsia="宋体" w:cs="Times New Roman"/>
      </w:rPr>
    </w:pPr>
    <w:r>
      <w:rPr>
        <w:rFonts w:ascii="Times New Roman" w:hAnsi="Times New Roman" w:eastAsia="宋体" w:cs="Times New Roman"/>
        <w:b/>
        <w:bCs/>
        <w:sz w:val="21"/>
        <w:szCs w:val="21"/>
      </w:rPr>
      <w:t>T/CRHA</w:t>
    </w:r>
    <w:r>
      <w:rPr>
        <w:rFonts w:ascii="Times New Roman" w:hAnsi="Times New Roman" w:eastAsia="宋体" w:cs="Times New Roman"/>
      </w:rPr>
      <w:t xml:space="preserve"> </w:t>
    </w:r>
    <w:r>
      <w:rPr>
        <w:rFonts w:hint="eastAsia" w:ascii="黑体" w:hAnsi="黑体" w:eastAsia="黑体" w:cs="黑体"/>
        <w:sz w:val="21"/>
        <w:szCs w:val="21"/>
      </w:rPr>
      <w:t>XXX—202X</w:t>
    </w:r>
  </w:p>
  <w:p w14:paraId="1F533A3A">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CF009">
    <w:pPr>
      <w:pStyle w:val="21"/>
      <w:pBdr>
        <w:bottom w:val="none" w:color="000000" w:sz="0" w:space="1"/>
      </w:pBdr>
      <w:jc w:val="left"/>
      <w:rPr>
        <w:rFonts w:ascii="Times New Roman" w:hAnsi="Times New Roman" w:eastAsia="宋体" w:cs="Times New Roman"/>
      </w:rPr>
    </w:pPr>
    <w:r>
      <w:rPr>
        <w:rFonts w:ascii="Times New Roman" w:hAnsi="Times New Roman" w:eastAsia="宋体" w:cs="Times New Roman"/>
      </w:rPr>
      <w:t xml:space="preserve">T/CRHA </w:t>
    </w:r>
    <w:r>
      <w:rPr>
        <w:rFonts w:hint="eastAsia" w:ascii="Times New Roman" w:hAnsi="Times New Roman" w:eastAsia="宋体" w:cs="Times New Roman"/>
      </w:rPr>
      <w:t>XXX—</w:t>
    </w:r>
    <w:r>
      <w:rPr>
        <w:rFonts w:ascii="Times New Roman" w:hAnsi="Times New Roman" w:eastAsia="宋体" w:cs="Times New Roman"/>
      </w:rPr>
      <w:t>202</w:t>
    </w:r>
    <w:r>
      <w:rPr>
        <w:rFonts w:hint="eastAsia" w:ascii="Times New Roman" w:hAnsi="Times New Roman" w:eastAsia="宋体" w:cs="Times New Roman"/>
      </w:rPr>
      <w:t>X</w:t>
    </w:r>
  </w:p>
  <w:p w14:paraId="7DC09CDD">
    <w:pPr>
      <w:pStyle w:val="21"/>
      <w:pBdr>
        <w:bottom w:val="none" w:color="000000"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95836C"/>
    <w:multiLevelType w:val="multilevel"/>
    <w:tmpl w:val="B095836C"/>
    <w:lvl w:ilvl="0" w:tentative="0">
      <w:start w:val="1"/>
      <w:numFmt w:val="decimal"/>
      <w:suff w:val="space"/>
      <w:lvlText w:val="%1"/>
      <w:lvlJc w:val="left"/>
      <w:pPr>
        <w:ind w:left="0" w:firstLine="0"/>
      </w:pPr>
      <w:rPr>
        <w:rFonts w:hint="default" w:ascii="黑体" w:hAnsi="黑体" w:eastAsia="黑体" w:cs="Heiti SC Medium"/>
        <w:i w:val="0"/>
        <w:szCs w:val="21"/>
      </w:rPr>
    </w:lvl>
    <w:lvl w:ilvl="1" w:tentative="0">
      <w:start w:val="1"/>
      <w:numFmt w:val="decimal"/>
      <w:suff w:val="space"/>
      <w:lvlText w:val="%1.%2"/>
      <w:lvlJc w:val="left"/>
      <w:pPr>
        <w:ind w:left="0" w:firstLine="0"/>
      </w:pPr>
      <w:rPr>
        <w:rFonts w:hint="default" w:ascii="黑体" w:hAnsi="黑体" w:eastAsia="黑体" w:cs="黑体"/>
        <w:b w:val="0"/>
        <w:bCs w:val="0"/>
        <w:szCs w:val="21"/>
      </w:rPr>
    </w:lvl>
    <w:lvl w:ilvl="2" w:tentative="0">
      <w:start w:val="1"/>
      <w:numFmt w:val="decimal"/>
      <w:suff w:val="space"/>
      <w:lvlText w:val="%1.%2.%3"/>
      <w:lvlJc w:val="left"/>
      <w:pPr>
        <w:ind w:left="0" w:firstLine="0"/>
      </w:pPr>
      <w:rPr>
        <w:rFonts w:hint="default" w:ascii="黑体" w:hAnsi="黑体" w:eastAsia="黑体" w:cs="黑体"/>
        <w:b w:val="0"/>
        <w:bCs w:val="0"/>
      </w:rPr>
    </w:lvl>
    <w:lvl w:ilvl="3" w:tentative="0">
      <w:start w:val="1"/>
      <w:numFmt w:val="decimal"/>
      <w:suff w:val="space"/>
      <w:lvlText w:val="%1.%2.%3.%4"/>
      <w:lvlJc w:val="left"/>
      <w:pPr>
        <w:ind w:left="284" w:hanging="284"/>
      </w:pPr>
      <w:rPr>
        <w:rFonts w:hint="default" w:ascii="黑体" w:hAnsi="黑体" w:eastAsia="黑体" w:cs="黑体"/>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284" w:hanging="284"/>
      </w:pPr>
      <w:rPr>
        <w:rFonts w:hint="eastAsia"/>
      </w:rPr>
    </w:lvl>
    <w:lvl w:ilvl="7" w:tentative="0">
      <w:start w:val="1"/>
      <w:numFmt w:val="decimal"/>
      <w:suff w:val="space"/>
      <w:lvlText w:val="%1.%2.%3.%4.%5.%6.%7.%8."/>
      <w:lvlJc w:val="left"/>
      <w:pPr>
        <w:ind w:left="284" w:hanging="284"/>
      </w:pPr>
      <w:rPr>
        <w:rFonts w:hint="eastAsia"/>
      </w:rPr>
    </w:lvl>
    <w:lvl w:ilvl="8" w:tentative="0">
      <w:start w:val="1"/>
      <w:numFmt w:val="decimal"/>
      <w:suff w:val="space"/>
      <w:lvlText w:val="%1.%2.%3.%4.%5.%6.%7.%8.%9."/>
      <w:lvlJc w:val="left"/>
      <w:pPr>
        <w:ind w:left="284" w:hanging="2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evenAndOddHeaders w:val="1"/>
  <w:characterSpacingControl w:val="doNotCompress"/>
  <w:footnotePr>
    <w:footnote w:id="0"/>
    <w:footnote w:id="1"/>
  </w:footnotePr>
  <w:endnotePr>
    <w:endnote w:id="0"/>
    <w:endnote w:id="1"/>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64D5A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qFormat="1" w:uiPriority="99" w:semiHidden="0"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beforeAutospacing="0" w:after="160" w:afterAutospacing="0" w:line="278" w:lineRule="auto"/>
      <w:jc w:val="both"/>
    </w:pPr>
    <w:rPr>
      <w:rFonts w:hint="default" w:asciiTheme="minorHAnsi" w:hAnsiTheme="minorHAnsi" w:eastAsiaTheme="minorEastAsia" w:cstheme="minorBidi"/>
      <w:sz w:val="21"/>
      <w:szCs w:val="22"/>
    </w:rPr>
  </w:style>
  <w:style w:type="paragraph" w:styleId="2">
    <w:name w:val="heading 1"/>
    <w:basedOn w:val="1"/>
    <w:next w:val="1"/>
    <w:link w:val="42"/>
    <w:qFormat/>
    <w:uiPriority w:val="9"/>
    <w:pPr>
      <w:keepNext/>
      <w:keepLines/>
      <w:spacing w:before="480" w:after="200"/>
      <w:outlineLvl w:val="0"/>
    </w:pPr>
    <w:rPr>
      <w:rFonts w:ascii="等线" w:hAnsi="等线" w:eastAsia="等线" w:cs="等线"/>
      <w:sz w:val="40"/>
      <w:szCs w:val="40"/>
    </w:rPr>
  </w:style>
  <w:style w:type="paragraph" w:styleId="3">
    <w:name w:val="heading 2"/>
    <w:basedOn w:val="1"/>
    <w:next w:val="1"/>
    <w:link w:val="43"/>
    <w:unhideWhenUsed/>
    <w:qFormat/>
    <w:uiPriority w:val="9"/>
    <w:pPr>
      <w:keepNext/>
      <w:keepLines/>
      <w:spacing w:before="360" w:after="200"/>
      <w:outlineLvl w:val="1"/>
    </w:pPr>
    <w:rPr>
      <w:rFonts w:ascii="等线" w:hAnsi="等线" w:eastAsia="等线" w:cs="等线"/>
      <w:sz w:val="34"/>
    </w:rPr>
  </w:style>
  <w:style w:type="paragraph" w:styleId="4">
    <w:name w:val="heading 3"/>
    <w:basedOn w:val="1"/>
    <w:next w:val="1"/>
    <w:link w:val="44"/>
    <w:unhideWhenUsed/>
    <w:qFormat/>
    <w:uiPriority w:val="9"/>
    <w:pPr>
      <w:keepNext/>
      <w:keepLines/>
      <w:spacing w:before="320" w:after="200"/>
      <w:outlineLvl w:val="2"/>
    </w:pPr>
    <w:rPr>
      <w:rFonts w:ascii="等线" w:hAnsi="等线" w:eastAsia="等线" w:cs="等线"/>
      <w:sz w:val="30"/>
      <w:szCs w:val="30"/>
    </w:rPr>
  </w:style>
  <w:style w:type="paragraph" w:styleId="5">
    <w:name w:val="heading 4"/>
    <w:basedOn w:val="1"/>
    <w:next w:val="1"/>
    <w:link w:val="45"/>
    <w:unhideWhenUsed/>
    <w:qFormat/>
    <w:uiPriority w:val="9"/>
    <w:pPr>
      <w:keepNext/>
      <w:keepLines/>
      <w:spacing w:before="320" w:after="200"/>
      <w:outlineLvl w:val="3"/>
    </w:pPr>
    <w:rPr>
      <w:rFonts w:ascii="等线" w:hAnsi="等线" w:eastAsia="等线" w:cs="等线"/>
      <w:b/>
      <w:bCs/>
      <w:sz w:val="26"/>
      <w:szCs w:val="26"/>
    </w:rPr>
  </w:style>
  <w:style w:type="paragraph" w:styleId="6">
    <w:name w:val="heading 5"/>
    <w:basedOn w:val="1"/>
    <w:next w:val="1"/>
    <w:link w:val="46"/>
    <w:unhideWhenUsed/>
    <w:qFormat/>
    <w:uiPriority w:val="9"/>
    <w:pPr>
      <w:keepNext/>
      <w:keepLines/>
      <w:spacing w:before="320" w:after="200"/>
      <w:outlineLvl w:val="4"/>
    </w:pPr>
    <w:rPr>
      <w:rFonts w:ascii="等线" w:hAnsi="等线" w:eastAsia="等线" w:cs="等线"/>
      <w:b/>
      <w:bCs/>
      <w:sz w:val="24"/>
      <w:szCs w:val="24"/>
    </w:rPr>
  </w:style>
  <w:style w:type="paragraph" w:styleId="7">
    <w:name w:val="heading 6"/>
    <w:basedOn w:val="1"/>
    <w:next w:val="1"/>
    <w:link w:val="47"/>
    <w:unhideWhenUsed/>
    <w:qFormat/>
    <w:uiPriority w:val="9"/>
    <w:pPr>
      <w:keepNext/>
      <w:keepLines/>
      <w:spacing w:before="320" w:after="200"/>
      <w:outlineLvl w:val="5"/>
    </w:pPr>
    <w:rPr>
      <w:rFonts w:ascii="等线" w:hAnsi="等线" w:eastAsia="等线" w:cs="等线"/>
      <w:b/>
      <w:bCs/>
      <w:sz w:val="22"/>
      <w:szCs w:val="22"/>
    </w:rPr>
  </w:style>
  <w:style w:type="paragraph" w:styleId="8">
    <w:name w:val="heading 7"/>
    <w:basedOn w:val="1"/>
    <w:next w:val="1"/>
    <w:link w:val="48"/>
    <w:unhideWhenUsed/>
    <w:qFormat/>
    <w:uiPriority w:val="9"/>
    <w:pPr>
      <w:keepNext/>
      <w:keepLines/>
      <w:spacing w:before="320" w:after="200"/>
      <w:outlineLvl w:val="6"/>
    </w:pPr>
    <w:rPr>
      <w:rFonts w:ascii="等线" w:hAnsi="等线" w:eastAsia="等线" w:cs="等线"/>
      <w:b/>
      <w:bCs/>
      <w:i/>
      <w:iCs/>
      <w:sz w:val="22"/>
      <w:szCs w:val="22"/>
    </w:rPr>
  </w:style>
  <w:style w:type="paragraph" w:styleId="9">
    <w:name w:val="heading 8"/>
    <w:basedOn w:val="1"/>
    <w:next w:val="1"/>
    <w:link w:val="49"/>
    <w:unhideWhenUsed/>
    <w:qFormat/>
    <w:uiPriority w:val="9"/>
    <w:pPr>
      <w:keepNext/>
      <w:keepLines/>
      <w:spacing w:before="320" w:after="200"/>
      <w:outlineLvl w:val="7"/>
    </w:pPr>
    <w:rPr>
      <w:rFonts w:ascii="等线" w:hAnsi="等线" w:eastAsia="等线" w:cs="等线"/>
      <w:i/>
      <w:iCs/>
      <w:sz w:val="22"/>
      <w:szCs w:val="22"/>
    </w:rPr>
  </w:style>
  <w:style w:type="paragraph" w:styleId="10">
    <w:name w:val="heading 9"/>
    <w:basedOn w:val="1"/>
    <w:next w:val="1"/>
    <w:link w:val="50"/>
    <w:unhideWhenUsed/>
    <w:qFormat/>
    <w:uiPriority w:val="9"/>
    <w:pPr>
      <w:keepNext/>
      <w:keepLines/>
      <w:spacing w:before="320" w:after="200"/>
      <w:outlineLvl w:val="8"/>
    </w:pPr>
    <w:rPr>
      <w:rFonts w:ascii="等线" w:hAnsi="等线" w:eastAsia="等线" w:cs="等线"/>
      <w:i/>
      <w:iCs/>
      <w:sz w:val="21"/>
      <w:szCs w:val="21"/>
    </w:rPr>
  </w:style>
  <w:style w:type="character" w:default="1" w:styleId="36">
    <w:name w:val="Default Paragraph Font"/>
    <w:unhideWhenUsed/>
    <w:uiPriority w:val="1"/>
  </w:style>
  <w:style w:type="table" w:default="1" w:styleId="34">
    <w:name w:val="Normal Table"/>
    <w:semiHidden/>
    <w:unhideWhenUsed/>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1">
    <w:name w:val="toc 7"/>
    <w:basedOn w:val="1"/>
    <w:next w:val="1"/>
    <w:unhideWhenUsed/>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472C4" w:themeColor="accent1"/>
      <w:sz w:val="18"/>
      <w:szCs w:val="18"/>
      <w14:textFill>
        <w14:solidFill>
          <w14:schemeClr w14:val="accent1"/>
        </w14:solidFill>
      </w14:textFill>
    </w:rPr>
  </w:style>
  <w:style w:type="paragraph" w:styleId="13">
    <w:name w:val="annotation text"/>
    <w:basedOn w:val="1"/>
    <w:link w:val="199"/>
    <w:unhideWhenUsed/>
    <w:qFormat/>
    <w:uiPriority w:val="99"/>
    <w:pPr>
      <w:jc w:val="left"/>
    </w:pPr>
  </w:style>
  <w:style w:type="paragraph" w:styleId="14">
    <w:name w:val="toc 5"/>
    <w:basedOn w:val="1"/>
    <w:next w:val="1"/>
    <w:unhideWhenUsed/>
    <w:uiPriority w:val="39"/>
    <w:pPr>
      <w:spacing w:after="57"/>
      <w:ind w:left="1134" w:right="0" w:firstLine="0"/>
    </w:pPr>
  </w:style>
  <w:style w:type="paragraph" w:styleId="15">
    <w:name w:val="toc 3"/>
    <w:basedOn w:val="1"/>
    <w:next w:val="1"/>
    <w:unhideWhenUsed/>
    <w:uiPriority w:val="39"/>
    <w:pPr>
      <w:spacing w:after="57"/>
      <w:ind w:left="567" w:right="0" w:firstLine="0"/>
    </w:pPr>
  </w:style>
  <w:style w:type="paragraph" w:styleId="16">
    <w:name w:val="toc 8"/>
    <w:basedOn w:val="1"/>
    <w:next w:val="1"/>
    <w:unhideWhenUsed/>
    <w:uiPriority w:val="39"/>
    <w:pPr>
      <w:spacing w:after="57"/>
      <w:ind w:left="1984" w:right="0" w:firstLine="0"/>
    </w:pPr>
  </w:style>
  <w:style w:type="paragraph" w:styleId="17">
    <w:name w:val="Date"/>
    <w:basedOn w:val="1"/>
    <w:next w:val="1"/>
    <w:link w:val="221"/>
    <w:unhideWhenUsed/>
    <w:uiPriority w:val="99"/>
    <w:pPr>
      <w:ind w:left="100"/>
    </w:pPr>
  </w:style>
  <w:style w:type="paragraph" w:styleId="18">
    <w:name w:val="endnote text"/>
    <w:basedOn w:val="1"/>
    <w:link w:val="188"/>
    <w:semiHidden/>
    <w:unhideWhenUsed/>
    <w:uiPriority w:val="99"/>
    <w:pPr>
      <w:spacing w:after="0" w:line="240" w:lineRule="auto"/>
    </w:pPr>
    <w:rPr>
      <w:sz w:val="20"/>
    </w:rPr>
  </w:style>
  <w:style w:type="paragraph" w:styleId="19">
    <w:name w:val="Balloon Text"/>
    <w:basedOn w:val="1"/>
    <w:link w:val="201"/>
    <w:unhideWhenUsed/>
    <w:qFormat/>
    <w:uiPriority w:val="99"/>
    <w:rPr>
      <w:sz w:val="18"/>
      <w:szCs w:val="18"/>
    </w:rPr>
  </w:style>
  <w:style w:type="paragraph" w:styleId="20">
    <w:name w:val="footer"/>
    <w:basedOn w:val="1"/>
    <w:link w:val="192"/>
    <w:unhideWhenUsed/>
    <w:qFormat/>
    <w:uiPriority w:val="99"/>
    <w:pPr>
      <w:tabs>
        <w:tab w:val="center" w:pos="4153"/>
        <w:tab w:val="right" w:pos="8306"/>
      </w:tabs>
      <w:jc w:val="left"/>
    </w:pPr>
    <w:rPr>
      <w:sz w:val="18"/>
      <w:szCs w:val="18"/>
    </w:rPr>
  </w:style>
  <w:style w:type="paragraph" w:styleId="21">
    <w:name w:val="header"/>
    <w:basedOn w:val="1"/>
    <w:link w:val="191"/>
    <w:unhideWhenUsed/>
    <w:qFormat/>
    <w:uiPriority w:val="99"/>
    <w:pPr>
      <w:pBdr>
        <w:bottom w:val="single" w:color="000000" w:sz="6" w:space="1"/>
      </w:pBdr>
      <w:tabs>
        <w:tab w:val="center" w:pos="4153"/>
        <w:tab w:val="right" w:pos="8306"/>
      </w:tabs>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uiPriority w:val="39"/>
    <w:pPr>
      <w:spacing w:after="57"/>
      <w:ind w:left="850" w:right="0" w:firstLine="0"/>
    </w:pPr>
  </w:style>
  <w:style w:type="paragraph" w:styleId="24">
    <w:name w:val="Subtitle"/>
    <w:basedOn w:val="1"/>
    <w:next w:val="1"/>
    <w:link w:val="54"/>
    <w:qFormat/>
    <w:uiPriority w:val="11"/>
    <w:pPr>
      <w:spacing w:before="200" w:after="200"/>
    </w:pPr>
    <w:rPr>
      <w:sz w:val="24"/>
      <w:szCs w:val="24"/>
    </w:rPr>
  </w:style>
  <w:style w:type="paragraph" w:styleId="25">
    <w:name w:val="footnote text"/>
    <w:basedOn w:val="1"/>
    <w:link w:val="187"/>
    <w:semiHidden/>
    <w:unhideWhenUsed/>
    <w:uiPriority w:val="99"/>
    <w:pPr>
      <w:spacing w:after="40" w:line="240" w:lineRule="auto"/>
    </w:pPr>
    <w:rPr>
      <w:sz w:val="18"/>
    </w:rPr>
  </w:style>
  <w:style w:type="paragraph" w:styleId="26">
    <w:name w:val="toc 6"/>
    <w:basedOn w:val="1"/>
    <w:next w:val="1"/>
    <w:unhideWhenUsed/>
    <w:uiPriority w:val="39"/>
    <w:pPr>
      <w:spacing w:after="57"/>
      <w:ind w:left="1417" w:right="0" w:firstLine="0"/>
    </w:pPr>
  </w:style>
  <w:style w:type="paragraph" w:styleId="27">
    <w:name w:val="table of figures"/>
    <w:basedOn w:val="1"/>
    <w:next w:val="1"/>
    <w:unhideWhenUsed/>
    <w:uiPriority w:val="99"/>
    <w:pPr>
      <w:spacing w:after="0" w:afterAutospacing="0"/>
    </w:pPr>
  </w:style>
  <w:style w:type="paragraph" w:styleId="28">
    <w:name w:val="toc 2"/>
    <w:basedOn w:val="1"/>
    <w:next w:val="1"/>
    <w:unhideWhenUsed/>
    <w:uiPriority w:val="39"/>
    <w:pPr>
      <w:spacing w:after="57"/>
      <w:ind w:left="283" w:right="0" w:firstLine="0"/>
    </w:pPr>
  </w:style>
  <w:style w:type="paragraph" w:styleId="29">
    <w:name w:val="toc 9"/>
    <w:basedOn w:val="1"/>
    <w:next w:val="1"/>
    <w:unhideWhenUsed/>
    <w:uiPriority w:val="39"/>
    <w:pPr>
      <w:spacing w:after="57"/>
      <w:ind w:left="2268" w:right="0" w:firstLine="0"/>
    </w:pPr>
  </w:style>
  <w:style w:type="paragraph" w:styleId="30">
    <w:name w:val="HTML Preformatted"/>
    <w:basedOn w:val="1"/>
    <w:link w:val="20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szCs w:val="24"/>
    </w:rPr>
  </w:style>
  <w:style w:type="paragraph" w:styleId="31">
    <w:name w:val="Normal (Web)"/>
    <w:basedOn w:val="1"/>
    <w:unhideWhenUsed/>
    <w:qFormat/>
    <w:uiPriority w:val="99"/>
    <w:pPr>
      <w:widowControl/>
      <w:spacing w:before="100" w:beforeAutospacing="1" w:after="100" w:afterAutospacing="1"/>
      <w:jc w:val="left"/>
    </w:pPr>
    <w:rPr>
      <w:rFonts w:ascii="宋体" w:hAnsi="宋体" w:eastAsia="宋体" w:cs="宋体"/>
      <w:sz w:val="24"/>
      <w:szCs w:val="24"/>
    </w:rPr>
  </w:style>
  <w:style w:type="paragraph" w:styleId="32">
    <w:name w:val="Title"/>
    <w:basedOn w:val="1"/>
    <w:next w:val="1"/>
    <w:link w:val="53"/>
    <w:qFormat/>
    <w:uiPriority w:val="10"/>
    <w:pPr>
      <w:spacing w:before="300" w:after="200"/>
      <w:contextualSpacing/>
    </w:pPr>
    <w:rPr>
      <w:sz w:val="48"/>
      <w:szCs w:val="48"/>
    </w:rPr>
  </w:style>
  <w:style w:type="paragraph" w:styleId="33">
    <w:name w:val="annotation subject"/>
    <w:basedOn w:val="13"/>
    <w:next w:val="13"/>
    <w:link w:val="200"/>
    <w:unhideWhenUsed/>
    <w:qFormat/>
    <w:uiPriority w:val="99"/>
    <w:rPr>
      <w:b/>
      <w:bCs/>
    </w:rPr>
  </w:style>
  <w:style w:type="table" w:styleId="35">
    <w:name w:val="Table Grid"/>
    <w:basedOn w:val="3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37">
    <w:name w:val="endnote reference"/>
    <w:basedOn w:val="36"/>
    <w:semiHidden/>
    <w:unhideWhenUsed/>
    <w:qFormat/>
    <w:uiPriority w:val="99"/>
    <w:rPr>
      <w:vertAlign w:val="superscript"/>
    </w:rPr>
  </w:style>
  <w:style w:type="character" w:styleId="38">
    <w:name w:val="Emphasis"/>
    <w:basedOn w:val="36"/>
    <w:qFormat/>
    <w:uiPriority w:val="20"/>
    <w:rPr>
      <w:i/>
      <w:iCs/>
    </w:rPr>
  </w:style>
  <w:style w:type="character" w:styleId="39">
    <w:name w:val="Hyperlink"/>
    <w:basedOn w:val="36"/>
    <w:unhideWhenUsed/>
    <w:qFormat/>
    <w:uiPriority w:val="99"/>
    <w:rPr>
      <w:color w:val="0563C1" w:themeColor="hyperlink"/>
      <w:u w:val="single"/>
      <w14:textFill>
        <w14:solidFill>
          <w14:schemeClr w14:val="hlink"/>
        </w14:solidFill>
      </w14:textFill>
    </w:rPr>
  </w:style>
  <w:style w:type="character" w:styleId="40">
    <w:name w:val="annotation reference"/>
    <w:basedOn w:val="36"/>
    <w:unhideWhenUsed/>
    <w:qFormat/>
    <w:uiPriority w:val="99"/>
    <w:rPr>
      <w:sz w:val="21"/>
      <w:szCs w:val="21"/>
    </w:rPr>
  </w:style>
  <w:style w:type="character" w:styleId="41">
    <w:name w:val="footnote reference"/>
    <w:basedOn w:val="36"/>
    <w:unhideWhenUsed/>
    <w:uiPriority w:val="99"/>
    <w:rPr>
      <w:vertAlign w:val="superscript"/>
    </w:rPr>
  </w:style>
  <w:style w:type="character" w:customStyle="1" w:styleId="42">
    <w:name w:val="Heading 1 Char"/>
    <w:basedOn w:val="36"/>
    <w:link w:val="2"/>
    <w:uiPriority w:val="9"/>
    <w:rPr>
      <w:rFonts w:ascii="等线" w:hAnsi="等线" w:eastAsia="等线" w:cs="等线"/>
      <w:sz w:val="40"/>
      <w:szCs w:val="40"/>
    </w:rPr>
  </w:style>
  <w:style w:type="character" w:customStyle="1" w:styleId="43">
    <w:name w:val="Heading 2 Char"/>
    <w:basedOn w:val="36"/>
    <w:link w:val="3"/>
    <w:uiPriority w:val="9"/>
    <w:rPr>
      <w:rFonts w:ascii="等线" w:hAnsi="等线" w:eastAsia="等线" w:cs="等线"/>
      <w:sz w:val="34"/>
    </w:rPr>
  </w:style>
  <w:style w:type="character" w:customStyle="1" w:styleId="44">
    <w:name w:val="Heading 3 Char"/>
    <w:basedOn w:val="36"/>
    <w:link w:val="4"/>
    <w:uiPriority w:val="9"/>
    <w:rPr>
      <w:rFonts w:ascii="等线" w:hAnsi="等线" w:eastAsia="等线" w:cs="等线"/>
      <w:sz w:val="30"/>
      <w:szCs w:val="30"/>
    </w:rPr>
  </w:style>
  <w:style w:type="character" w:customStyle="1" w:styleId="45">
    <w:name w:val="Heading 4 Char"/>
    <w:basedOn w:val="36"/>
    <w:link w:val="5"/>
    <w:uiPriority w:val="9"/>
    <w:rPr>
      <w:rFonts w:ascii="等线" w:hAnsi="等线" w:eastAsia="等线" w:cs="等线"/>
      <w:b/>
      <w:bCs/>
      <w:sz w:val="26"/>
      <w:szCs w:val="26"/>
    </w:rPr>
  </w:style>
  <w:style w:type="character" w:customStyle="1" w:styleId="46">
    <w:name w:val="Heading 5 Char"/>
    <w:basedOn w:val="36"/>
    <w:link w:val="6"/>
    <w:uiPriority w:val="9"/>
    <w:rPr>
      <w:rFonts w:ascii="等线" w:hAnsi="等线" w:eastAsia="等线" w:cs="等线"/>
      <w:b/>
      <w:bCs/>
      <w:sz w:val="24"/>
      <w:szCs w:val="24"/>
    </w:rPr>
  </w:style>
  <w:style w:type="character" w:customStyle="1" w:styleId="47">
    <w:name w:val="Heading 6 Char"/>
    <w:basedOn w:val="36"/>
    <w:link w:val="7"/>
    <w:uiPriority w:val="9"/>
    <w:rPr>
      <w:rFonts w:ascii="等线" w:hAnsi="等线" w:eastAsia="等线" w:cs="等线"/>
      <w:b/>
      <w:bCs/>
      <w:sz w:val="22"/>
      <w:szCs w:val="22"/>
    </w:rPr>
  </w:style>
  <w:style w:type="character" w:customStyle="1" w:styleId="48">
    <w:name w:val="Heading 7 Char"/>
    <w:basedOn w:val="36"/>
    <w:link w:val="8"/>
    <w:uiPriority w:val="9"/>
    <w:rPr>
      <w:rFonts w:ascii="等线" w:hAnsi="等线" w:eastAsia="等线" w:cs="等线"/>
      <w:b/>
      <w:bCs/>
      <w:i/>
      <w:iCs/>
      <w:sz w:val="22"/>
      <w:szCs w:val="22"/>
    </w:rPr>
  </w:style>
  <w:style w:type="character" w:customStyle="1" w:styleId="49">
    <w:name w:val="Heading 8 Char"/>
    <w:basedOn w:val="36"/>
    <w:link w:val="9"/>
    <w:uiPriority w:val="9"/>
    <w:rPr>
      <w:rFonts w:ascii="等线" w:hAnsi="等线" w:eastAsia="等线" w:cs="等线"/>
      <w:i/>
      <w:iCs/>
      <w:sz w:val="22"/>
      <w:szCs w:val="22"/>
    </w:rPr>
  </w:style>
  <w:style w:type="character" w:customStyle="1" w:styleId="50">
    <w:name w:val="Heading 9 Char"/>
    <w:basedOn w:val="36"/>
    <w:link w:val="10"/>
    <w:uiPriority w:val="9"/>
    <w:rPr>
      <w:rFonts w:ascii="等线" w:hAnsi="等线" w:eastAsia="等线" w:cs="等线"/>
      <w:i/>
      <w:iCs/>
      <w:sz w:val="21"/>
      <w:szCs w:val="21"/>
    </w:rPr>
  </w:style>
  <w:style w:type="paragraph" w:styleId="51">
    <w:name w:val="List Paragraph"/>
    <w:basedOn w:val="1"/>
    <w:qFormat/>
    <w:uiPriority w:val="34"/>
    <w:pPr>
      <w:ind w:left="720"/>
      <w:contextualSpacing/>
    </w:pPr>
  </w:style>
  <w:style w:type="paragraph" w:styleId="52">
    <w:name w:val="No Spacing"/>
    <w:qFormat/>
    <w:uiPriority w:val="1"/>
    <w:pPr>
      <w:spacing w:before="0" w:beforeAutospacing="0" w:after="0" w:afterAutospacing="0" w:line="240" w:lineRule="auto"/>
    </w:pPr>
    <w:rPr>
      <w:rFonts w:hint="default" w:ascii="Times New Roman" w:hAnsi="Times New Roman" w:eastAsia="宋体" w:cs="Times New Roman"/>
    </w:rPr>
  </w:style>
  <w:style w:type="character" w:customStyle="1" w:styleId="53">
    <w:name w:val="Title Char"/>
    <w:basedOn w:val="36"/>
    <w:link w:val="32"/>
    <w:uiPriority w:val="10"/>
    <w:rPr>
      <w:sz w:val="48"/>
      <w:szCs w:val="48"/>
    </w:rPr>
  </w:style>
  <w:style w:type="character" w:customStyle="1" w:styleId="54">
    <w:name w:val="Subtitle Char"/>
    <w:basedOn w:val="36"/>
    <w:link w:val="24"/>
    <w:uiPriority w:val="11"/>
    <w:rPr>
      <w:sz w:val="24"/>
      <w:szCs w:val="24"/>
    </w:rPr>
  </w:style>
  <w:style w:type="paragraph" w:styleId="55">
    <w:name w:val="Quote"/>
    <w:basedOn w:val="1"/>
    <w:next w:val="1"/>
    <w:link w:val="56"/>
    <w:qFormat/>
    <w:uiPriority w:val="29"/>
    <w:pPr>
      <w:ind w:left="720" w:right="720"/>
    </w:pPr>
    <w:rPr>
      <w:i/>
    </w:rPr>
  </w:style>
  <w:style w:type="character" w:customStyle="1" w:styleId="56">
    <w:name w:val="Quote Char"/>
    <w:link w:val="55"/>
    <w:uiPriority w:val="29"/>
    <w:rPr>
      <w:i/>
    </w:rPr>
  </w:style>
  <w:style w:type="paragraph" w:styleId="57">
    <w:name w:val="Intense Quote"/>
    <w:basedOn w:val="1"/>
    <w:next w:val="1"/>
    <w:link w:val="58"/>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8">
    <w:name w:val="Intense Quote Char"/>
    <w:link w:val="57"/>
    <w:uiPriority w:val="30"/>
    <w:rPr>
      <w:i/>
    </w:rPr>
  </w:style>
  <w:style w:type="character" w:customStyle="1" w:styleId="59">
    <w:name w:val="Header Char"/>
    <w:basedOn w:val="36"/>
    <w:uiPriority w:val="99"/>
  </w:style>
  <w:style w:type="character" w:customStyle="1" w:styleId="60">
    <w:name w:val="Footer Char"/>
    <w:basedOn w:val="36"/>
    <w:uiPriority w:val="99"/>
  </w:style>
  <w:style w:type="character" w:customStyle="1" w:styleId="61">
    <w:name w:val="Caption Char"/>
    <w:uiPriority w:val="99"/>
  </w:style>
  <w:style w:type="table" w:customStyle="1" w:styleId="62">
    <w:name w:val="Table Grid Light"/>
    <w:basedOn w:val="34"/>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Plain Table 1"/>
    <w:basedOn w:val="34"/>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Plain Table 2"/>
    <w:basedOn w:val="34"/>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Plain Table 3"/>
    <w:basedOn w:val="34"/>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Plain Table 4"/>
    <w:basedOn w:val="34"/>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Plain Table 5"/>
    <w:basedOn w:val="34"/>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Grid Table 1 Light"/>
    <w:basedOn w:val="34"/>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1 Light - Accent 1"/>
    <w:basedOn w:val="34"/>
    <w:uiPriority w:val="99"/>
    <w:pPr>
      <w:spacing w:after="0" w:line="240" w:lineRule="auto"/>
    </w:pPr>
    <w:tblPr>
      <w:tbl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insideH w:val="single" w:color="B3C6E7" w:themeColor="accent1" w:themeTint="67" w:sz="4" w:space="0"/>
        <w:insideV w:val="single" w:color="B3C6E7" w:themeColor="accent1" w:themeTint="67" w:sz="4" w:space="0"/>
      </w:tblBorders>
    </w:tblPr>
    <w:tblStylePr w:type="firstRow">
      <w:rPr>
        <w:b/>
        <w:color w:val="404040"/>
      </w:rPr>
      <w:tblPr/>
      <w:tcPr>
        <w:tcBorders>
          <w:bottom w:val="single" w:color="91ACDC"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1 Light - Accent 2"/>
    <w:basedOn w:val="34"/>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blPr/>
      <w:tcPr>
        <w:tcBorders>
          <w:bottom w:val="single" w:color="F4B38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1 Light - Accent 3"/>
    <w:basedOn w:val="34"/>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blPr/>
      <w:tcPr>
        <w:tcBorders>
          <w:bottom w:val="single" w:color="CACACA"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1 Light - Accent 4"/>
    <w:basedOn w:val="34"/>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blPr/>
      <w:tcPr>
        <w:tcBorders>
          <w:bottom w:val="single" w:color="FFDA69"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1 Light - Accent 5"/>
    <w:basedOn w:val="34"/>
    <w:uiPriority w:val="99"/>
    <w:pPr>
      <w:spacing w:after="0" w:line="240" w:lineRule="auto"/>
    </w:pPr>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b/>
        <w:color w:val="404040"/>
      </w:rPr>
      <w:tblPr/>
      <w:tcPr>
        <w:tcBorders>
          <w:bottom w:val="single" w:color="9FC4E6"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1 Light - Accent 6"/>
    <w:basedOn w:val="34"/>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blPr/>
      <w:tcPr>
        <w:tcBorders>
          <w:bottom w:val="single" w:color="AAD190"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2"/>
    <w:basedOn w:val="34"/>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2 - Accent 1"/>
    <w:basedOn w:val="34"/>
    <w:qFormat/>
    <w:uiPriority w:val="99"/>
    <w:pPr>
      <w:spacing w:after="0" w:line="240" w:lineRule="auto"/>
    </w:pPr>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firstRow">
      <w:rPr>
        <w:b/>
        <w:color w:val="404040"/>
      </w:rPr>
      <w:tblPr/>
      <w:tcPr>
        <w:tcBorders>
          <w:top w:val="nil"/>
          <w:left w:val="nil"/>
          <w:bottom w:val="single" w:color="537DC8" w:themeColor="accent1" w:themeTint="EA" w:sz="12" w:space="0"/>
          <w:right w:val="nil"/>
        </w:tcBorders>
        <w:shd w:val="clear" w:color="FFFFFF" w:fill="auto"/>
      </w:tcPr>
    </w:tblStylePr>
    <w:tblStylePr w:type="lastRow">
      <w:rPr>
        <w:b/>
        <w:color w:val="404040"/>
      </w:rPr>
      <w:tblPr/>
      <w:tcPr>
        <w:tcBorders>
          <w:top w:val="single" w:color="537DC8"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E2F2" w:themeColor="accent1" w:themeTint="34" w:fill="D8E2F2" w:themeFill="accent1" w:themeFillTint="34"/>
      </w:tcPr>
    </w:tblStylePr>
    <w:tblStylePr w:type="band2Vert">
      <w:tblPr/>
    </w:tblStylePr>
    <w:tblStylePr w:type="band1Horz">
      <w:rPr>
        <w:rFonts w:ascii="Arial" w:hAnsi="Arial"/>
        <w:color w:val="404040"/>
        <w:sz w:val="22"/>
      </w:rPr>
      <w:tblPr/>
      <w:tcPr>
        <w:shd w:val="clear" w:color="D8E2F2" w:themeColor="accent1" w:themeTint="34" w:fill="D8E2F2"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2 - Accent 2"/>
    <w:basedOn w:val="34"/>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blPr/>
      <w:tcPr>
        <w:tcBorders>
          <w:top w:val="nil"/>
          <w:left w:val="nil"/>
          <w:bottom w:val="single" w:color="F4B285" w:themeColor="accent2" w:themeTint="97" w:sz="12" w:space="0"/>
          <w:right w:val="nil"/>
        </w:tcBorders>
        <w:shd w:val="clear" w:color="FFFFFF" w:fill="auto"/>
      </w:tcPr>
    </w:tblStylePr>
    <w:tblStylePr w:type="lastRow">
      <w:rPr>
        <w:b/>
        <w:color w:val="404040"/>
      </w:rPr>
      <w:tblPr/>
      <w:tcPr>
        <w:tcBorders>
          <w:top w:val="single" w:color="F4B28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2 - Accent 3"/>
    <w:basedOn w:val="34"/>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il"/>
          <w:left w:val="nil"/>
          <w:bottom w:val="single" w:color="A5A5A5" w:themeColor="accent3" w:themeTint="FE" w:sz="12" w:space="0"/>
          <w:right w:val="nil"/>
        </w:tcBorders>
        <w:shd w:val="clear" w:color="FFFFFF" w:fill="auto"/>
      </w:tcPr>
    </w:tblStylePr>
    <w:tblStylePr w:type="lastRow">
      <w:rPr>
        <w:b/>
        <w:color w:val="404040"/>
      </w:rPr>
      <w:tblPr/>
      <w:tcPr>
        <w:tcBorders>
          <w:top w:val="single" w:color="A5A5A5"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2 - Accent 4"/>
    <w:basedOn w:val="34"/>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blPr/>
      <w:tcPr>
        <w:tcBorders>
          <w:top w:val="nil"/>
          <w:left w:val="nil"/>
          <w:bottom w:val="single" w:color="FFD864" w:themeColor="accent4" w:themeTint="9A" w:sz="12" w:space="0"/>
          <w:right w:val="nil"/>
        </w:tcBorders>
        <w:shd w:val="clear" w:color="FFFFFF" w:fill="auto"/>
      </w:tcPr>
    </w:tblStylePr>
    <w:tblStylePr w:type="lastRow">
      <w:rPr>
        <w:b/>
        <w:color w:val="404040"/>
      </w:rPr>
      <w:tblPr/>
      <w:tcPr>
        <w:tcBorders>
          <w:top w:val="single" w:color="FFD864"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2 - Accent 5"/>
    <w:basedOn w:val="34"/>
    <w:uiPriority w:val="99"/>
    <w:pPr>
      <w:spacing w:after="0" w:line="240" w:lineRule="auto"/>
    </w:pPr>
    <w:tblPr>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blPr/>
      <w:tcPr>
        <w:tcBorders>
          <w:top w:val="nil"/>
          <w:left w:val="nil"/>
          <w:bottom w:val="single" w:color="5B9BD5" w:themeColor="accent5" w:sz="12" w:space="0"/>
          <w:right w:val="nil"/>
        </w:tcBorders>
        <w:shd w:val="clear" w:color="FFFFFF" w:fill="auto"/>
      </w:tcPr>
    </w:tblStylePr>
    <w:tblStylePr w:type="lastRow">
      <w:rPr>
        <w:b/>
        <w:color w:val="404040"/>
      </w:rPr>
      <w:tblPr/>
      <w:tcPr>
        <w:tcBorders>
          <w:top w:val="single" w:color="5B9BD5"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DEAF6" w:themeColor="accent5" w:themeTint="34" w:fill="DDEAF6" w:themeFill="accent5" w:themeFillTint="34"/>
      </w:tcPr>
    </w:tblStylePr>
    <w:tblStylePr w:type="band2Vert">
      <w:tblPr/>
    </w:tblStylePr>
    <w:tblStylePr w:type="band1Horz">
      <w:rPr>
        <w:rFonts w:ascii="Arial" w:hAnsi="Arial"/>
        <w:color w:val="404040"/>
        <w:sz w:val="22"/>
      </w:rPr>
      <w:tblPr/>
      <w:tcPr>
        <w:shd w:val="clear" w:color="DDEAF6" w:themeColor="accent5" w:themeTint="34" w:fill="DDEAF6"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2 - Accent 6"/>
    <w:basedOn w:val="34"/>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il"/>
          <w:left w:val="nil"/>
          <w:bottom w:val="single" w:color="70AD47" w:themeColor="accent6" w:sz="12" w:space="0"/>
          <w:right w:val="nil"/>
        </w:tcBorders>
        <w:shd w:val="clear" w:color="FFFFFF" w:fill="auto"/>
      </w:tcPr>
    </w:tblStylePr>
    <w:tblStylePr w:type="lastRow">
      <w:rPr>
        <w:b/>
        <w:color w:val="404040"/>
      </w:rPr>
      <w:tblPr/>
      <w:tcPr>
        <w:tcBorders>
          <w:top w:val="single" w:color="70AD47"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3"/>
    <w:basedOn w:val="3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3 - Accent 1"/>
    <w:basedOn w:val="34"/>
    <w:qFormat/>
    <w:uiPriority w:val="99"/>
    <w:pPr>
      <w:spacing w:after="0" w:line="240" w:lineRule="auto"/>
    </w:pPr>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2" w:themeColor="accent1" w:themeTint="34" w:fill="D8E2F2" w:themeFill="accent1" w:themeFillTint="34"/>
      </w:tcPr>
    </w:tblStylePr>
    <w:tblStylePr w:type="band2Vert">
      <w:tblPr/>
    </w:tblStylePr>
    <w:tblStylePr w:type="band1Horz">
      <w:rPr>
        <w:rFonts w:ascii="Arial" w:hAnsi="Arial"/>
        <w:color w:val="404040"/>
        <w:sz w:val="22"/>
      </w:rPr>
      <w:tblPr/>
      <w:tcPr>
        <w:shd w:val="clear" w:color="D8E2F2" w:themeColor="accent1" w:themeTint="34" w:fill="D8E2F2"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3 - Accent 2"/>
    <w:basedOn w:val="34"/>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3 - Accent 3"/>
    <w:basedOn w:val="34"/>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3 - Accent 4"/>
    <w:basedOn w:val="34"/>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3 - Accent 5"/>
    <w:basedOn w:val="34"/>
    <w:uiPriority w:val="99"/>
    <w:pPr>
      <w:spacing w:after="0" w:line="240" w:lineRule="auto"/>
    </w:pPr>
    <w:tblPr>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2Vert">
      <w:tblPr/>
    </w:tblStylePr>
    <w:tblStylePr w:type="band1Horz">
      <w:rPr>
        <w:rFonts w:ascii="Arial" w:hAnsi="Arial"/>
        <w:color w:val="404040"/>
        <w:sz w:val="22"/>
      </w:rPr>
      <w:tblPr/>
      <w:tcPr>
        <w:shd w:val="clear" w:color="DDEAF6" w:themeColor="accent5" w:themeTint="34" w:fill="DDEAF6"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3 - Accent 6"/>
    <w:basedOn w:val="34"/>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4"/>
    <w:basedOn w:val="34"/>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4 - Accent 1"/>
    <w:basedOn w:val="34"/>
    <w:uiPriority w:val="59"/>
    <w:pPr>
      <w:spacing w:after="0" w:line="240" w:lineRule="auto"/>
    </w:pPr>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firstRow">
      <w:rPr>
        <w:rFonts w:ascii="Arial" w:hAnsi="Arial"/>
        <w:b/>
        <w:color w:val="FFFFFF"/>
        <w:sz w:val="22"/>
      </w:rPr>
      <w:tblPr/>
      <w:tcPr>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shd w:val="clear" w:color="537DC8" w:themeColor="accent1" w:themeTint="EA" w:fill="537DC8" w:themeFill="accent1" w:themeFillTint="EA"/>
      </w:tcPr>
    </w:tblStylePr>
    <w:tblStylePr w:type="lastRow">
      <w:rPr>
        <w:b/>
        <w:color w:val="404040"/>
      </w:rPr>
      <w:tblPr/>
      <w:tcPr>
        <w:tcBorders>
          <w:top w:val="single" w:color="537DC8"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3F3" w:themeColor="accent1" w:themeTint="32" w:fill="DAE3F3" w:themeFill="accent1" w:themeFillTint="32"/>
      </w:tcPr>
    </w:tblStylePr>
    <w:tblStylePr w:type="band2Vert">
      <w:tblPr/>
    </w:tblStylePr>
    <w:tblStylePr w:type="band1Horz">
      <w:rPr>
        <w:rFonts w:ascii="Arial" w:hAnsi="Arial"/>
        <w:color w:val="404040"/>
        <w:sz w:val="22"/>
      </w:rPr>
      <w:tblPr/>
      <w:tcPr>
        <w:shd w:val="clear" w:color="DAE3F3" w:themeColor="accent1" w:themeTint="32" w:fill="DAE3F3"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4 - Accent 2"/>
    <w:basedOn w:val="34"/>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bl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blPr/>
      <w:tcPr>
        <w:tcBorders>
          <w:top w:val="single" w:color="F4B28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4 - Accent 3"/>
    <w:basedOn w:val="34"/>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bl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blPr/>
      <w:tcPr>
        <w:tcBorders>
          <w:top w:val="single" w:color="A5A5A5"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4 - Accent 4"/>
    <w:basedOn w:val="34"/>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bl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blPr/>
      <w:tcPr>
        <w:tcBorders>
          <w:top w:val="single" w:color="FFD864"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4 - Accent 5"/>
    <w:basedOn w:val="34"/>
    <w:uiPriority w:val="59"/>
    <w:pPr>
      <w:spacing w:after="0" w:line="240" w:lineRule="auto"/>
    </w:pPr>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firstRow">
      <w:rPr>
        <w:rFonts w:ascii="Arial" w:hAnsi="Arial"/>
        <w:b/>
        <w:color w:val="FFFFFF"/>
        <w:sz w:val="22"/>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tcBorders>
        <w:shd w:val="clear" w:color="5B9BD5" w:themeColor="accent5" w:fill="5B9BD5" w:themeFill="accent5"/>
      </w:tcPr>
    </w:tblStylePr>
    <w:tblStylePr w:type="lastRow">
      <w:rPr>
        <w:b/>
        <w:color w:val="404040"/>
      </w:rPr>
      <w:tblPr/>
      <w:tcPr>
        <w:tcBorders>
          <w:top w:val="single" w:color="5B9BD5"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DEAF6" w:themeColor="accent5" w:themeTint="34" w:fill="DDEAF6" w:themeFill="accent5" w:themeFillTint="34"/>
      </w:tcPr>
    </w:tblStylePr>
    <w:tblStylePr w:type="band2Vert">
      <w:tblPr/>
    </w:tblStylePr>
    <w:tblStylePr w:type="band1Horz">
      <w:rPr>
        <w:rFonts w:ascii="Arial" w:hAnsi="Arial"/>
        <w:color w:val="404040"/>
        <w:sz w:val="22"/>
      </w:rPr>
      <w:tblPr/>
      <w:tcPr>
        <w:shd w:val="clear" w:color="DDEAF6" w:themeColor="accent5" w:themeTint="34" w:fill="DDEAF6"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4 - Accent 6"/>
    <w:basedOn w:val="34"/>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blPr/>
      <w:tcPr>
        <w:tcBorders>
          <w:top w:val="single" w:color="70AD47"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Grid Table 5 Dark"/>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7">
    <w:name w:val="Grid Table 5 Dark- Accent 1"/>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color="FFFFFF" w:themeColor="light1" w:sz="4" w:space="0"/>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3" w:themeColor="accent1" w:themeTint="75" w:fill="A9BEE3" w:themeFill="accent1" w:themeFillTint="75"/>
      </w:tcPr>
    </w:tblStylePr>
    <w:tblStylePr w:type="band2Vert">
      <w:tblPr/>
    </w:tblStylePr>
    <w:tblStylePr w:type="band1Horz">
      <w:tblPr/>
      <w:tcPr>
        <w:shd w:val="clear" w:color="A9BEE3" w:themeColor="accent1" w:themeTint="75" w:fill="A9BEE3"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8">
    <w:name w:val="Grid Table 5 Dark - Accent 2"/>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2Vert">
      <w:tblPr/>
    </w:tblStylePr>
    <w:tblStylePr w:type="band1Horz">
      <w:tblPr/>
      <w:tcPr>
        <w:shd w:val="clear" w:color="F6C3A0" w:themeColor="accent2" w:themeTint="75" w:fill="F6C3A0"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9">
    <w:name w:val="Grid Table 5 Dark - Accent 3"/>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2Vert">
      <w:tblPr/>
    </w:tblStylePr>
    <w:tblStylePr w:type="band1Horz">
      <w:tblPr/>
      <w:tcPr>
        <w:shd w:val="clear" w:color="D5D5D5" w:themeColor="accent3" w:themeTint="75" w:fill="D5D5D5"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0">
    <w:name w:val="Grid Table 5 Dark- Accent 4"/>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EE289" w:themeColor="accent4" w:themeTint="75" w:fill="FEE289" w:themeFill="accent4" w:themeFillTint="75"/>
      </w:tcPr>
    </w:tblStylePr>
    <w:tblStylePr w:type="band2Vert">
      <w:tblPr/>
    </w:tblStylePr>
    <w:tblStylePr w:type="band1Horz">
      <w:tblPr/>
      <w:tcPr>
        <w:shd w:val="clear" w:color="FEE289" w:themeColor="accent4" w:themeTint="75" w:fill="FEE289"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1">
    <w:name w:val="Grid Table 5 Dark - Accent 5"/>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color="FFFFFF" w:themeColor="light1" w:sz="4" w:space="0"/>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1EB" w:themeColor="accent5" w:themeTint="75" w:fill="B3D1EB" w:themeFill="accent5" w:themeFillTint="75"/>
      </w:tcPr>
    </w:tblStylePr>
    <w:tblStylePr w:type="band2Vert">
      <w:tblPr/>
    </w:tblStylePr>
    <w:tblStylePr w:type="band1Horz">
      <w:tblPr/>
      <w:tcPr>
        <w:shd w:val="clear" w:color="B3D1EB" w:themeColor="accent5" w:themeTint="75" w:fill="B3D1EB"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2">
    <w:name w:val="Grid Table 5 Dark - Accent 6"/>
    <w:basedOn w:val="3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2Vert">
      <w:tblPr/>
    </w:tblStylePr>
    <w:tblStylePr w:type="band1Horz">
      <w:tblPr/>
      <w:tcPr>
        <w:shd w:val="clear" w:color="BCDBA8" w:themeColor="accent6" w:themeTint="75" w:fill="BCDBA8"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3">
    <w:name w:val="Grid Table 6 Colorful"/>
    <w:basedOn w:val="34"/>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4">
    <w:name w:val="Grid Table 6 Colorful - Accent 1"/>
    <w:basedOn w:val="34"/>
    <w:uiPriority w:val="99"/>
    <w:pPr>
      <w:spacing w:after="0" w:line="240" w:lineRule="auto"/>
    </w:pPr>
    <w:tblPr>
      <w:tblBorders>
        <w:top w:val="single" w:color="A1B8E1" w:themeColor="accent1" w:themeTint="80" w:sz="4" w:space="0"/>
        <w:left w:val="single" w:color="A1B8E1" w:themeColor="accent1" w:themeTint="80" w:sz="4" w:space="0"/>
        <w:bottom w:val="single" w:color="A1B8E1" w:themeColor="accent1" w:themeTint="80" w:sz="4" w:space="0"/>
        <w:right w:val="single" w:color="A1B8E1" w:themeColor="accent1" w:themeTint="80" w:sz="4" w:space="0"/>
        <w:insideH w:val="single" w:color="A1B8E1" w:themeColor="accent1" w:themeTint="80" w:sz="4" w:space="0"/>
        <w:insideV w:val="single" w:color="A1B8E1" w:themeColor="accent1" w:themeTint="80" w:sz="4" w:space="0"/>
      </w:tblBorders>
    </w:tblPr>
    <w:tblStylePr w:type="firstRow">
      <w:rPr>
        <w:b/>
        <w:color w:val="A2B9E2" w:themeColor="accent1" w:themeTint="80"/>
        <w14:textFill>
          <w14:solidFill>
            <w14:schemeClr w14:val="accent1">
              <w14:lumMod w14:val="50000"/>
              <w14:lumOff w14:val="50000"/>
            </w14:schemeClr>
          </w14:solidFill>
        </w14:textFill>
      </w:rPr>
      <w:tblPr/>
      <w:tcPr>
        <w:tcBorders>
          <w:bottom w:val="single" w:color="A1B8E1" w:themeColor="accent1" w:themeTint="80" w:sz="12" w:space="0"/>
        </w:tcBorders>
      </w:tcPr>
    </w:tblStylePr>
    <w:tblStylePr w:type="lastRow">
      <w:rPr>
        <w:b/>
        <w:color w:val="A2B9E2" w:themeColor="accent1" w:themeTint="80"/>
        <w14:textFill>
          <w14:solidFill>
            <w14:schemeClr w14:val="accent1">
              <w14:lumMod w14:val="50000"/>
              <w14:lumOff w14:val="50000"/>
            </w14:schemeClr>
          </w14:solidFill>
        </w14:textFill>
      </w:rPr>
      <w:tblPr/>
    </w:tblStylePr>
    <w:tblStylePr w:type="firstCol">
      <w:rPr>
        <w:b/>
        <w:color w:val="A2B9E2" w:themeColor="accent1" w:themeTint="80"/>
        <w14:textFill>
          <w14:solidFill>
            <w14:schemeClr w14:val="accent1">
              <w14:lumMod w14:val="50000"/>
              <w14:lumOff w14:val="50000"/>
            </w14:schemeClr>
          </w14:solidFill>
        </w14:textFill>
      </w:rPr>
      <w:tblPr/>
    </w:tblStylePr>
    <w:tblStylePr w:type="lastCol">
      <w:rPr>
        <w:b/>
        <w:color w:val="A2B9E2" w:themeColor="accent1" w:themeTint="80"/>
        <w14:textFill>
          <w14:solidFill>
            <w14:schemeClr w14:val="accent1">
              <w14:lumMod w14:val="50000"/>
              <w14:lumOff w14:val="50000"/>
            </w14:schemeClr>
          </w14:solidFill>
        </w14:textFill>
      </w:rPr>
      <w:tblPr/>
    </w:tblStylePr>
    <w:tblStylePr w:type="band1Vert">
      <w:tblPr/>
      <w:tcPr>
        <w:shd w:val="clear" w:color="D8E2F2" w:themeColor="accent1" w:themeTint="34" w:fill="D8E2F2" w:themeFill="accent1" w:themeFillTint="34"/>
      </w:tcPr>
    </w:tblStylePr>
    <w:tblStylePr w:type="band2Vert">
      <w:tblPr/>
    </w:tblStylePr>
    <w:tblStylePr w:type="band1Horz">
      <w:rPr>
        <w:rFonts w:ascii="Arial" w:hAnsi="Arial"/>
        <w:color w:val="A2B9E2" w:themeColor="accent1" w:themeTint="80"/>
        <w:sz w:val="22"/>
        <w14:textFill>
          <w14:solidFill>
            <w14:schemeClr w14:val="accent1">
              <w14:lumMod w14:val="50000"/>
              <w14:lumOff w14:val="50000"/>
            </w14:schemeClr>
          </w14:solidFill>
        </w14:textFill>
      </w:rPr>
      <w:tblPr/>
      <w:tcPr>
        <w:shd w:val="clear" w:color="D8E2F2" w:themeColor="accent1" w:themeTint="34" w:fill="D8E2F2" w:themeFill="accent1" w:themeFillTint="34"/>
      </w:tcPr>
    </w:tblStylePr>
    <w:tblStylePr w:type="band2Horz">
      <w:rPr>
        <w:rFonts w:ascii="Arial" w:hAnsi="Arial"/>
        <w:color w:val="A2B9E2"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5">
    <w:name w:val="Grid Table 6 Colorful - Accent 2"/>
    <w:basedOn w:val="34"/>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bl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Pr/>
    </w:tblStylePr>
    <w:tblStylePr w:type="firstCol">
      <w:rPr>
        <w:b/>
        <w:color w:val="F4B285" w:themeColor="accent2" w:themeTint="96"/>
        <w14:textFill>
          <w14:solidFill>
            <w14:schemeClr w14:val="accent2">
              <w14:lumMod w14:val="59000"/>
              <w14:lumOff w14:val="41000"/>
            </w14:schemeClr>
          </w14:solidFill>
        </w14:textFill>
      </w:rPr>
      <w:tblPr/>
    </w:tblStylePr>
    <w:tblStylePr w:type="lastCol">
      <w:rPr>
        <w:b/>
        <w:color w:val="F4B285" w:themeColor="accent2" w:themeTint="96"/>
        <w14:textFill>
          <w14:solidFill>
            <w14:schemeClr w14:val="accent2">
              <w14:lumMod w14:val="59000"/>
              <w14:lumOff w14:val="41000"/>
            </w14:schemeClr>
          </w14:solidFill>
        </w14:textFill>
      </w:rPr>
      <w:tblPr/>
    </w:tblStylePr>
    <w:tblStylePr w:type="band1Vert">
      <w:tblPr/>
      <w:tcPr>
        <w:shd w:val="clear" w:color="FBE5D6" w:themeColor="accent2" w:themeTint="32" w:fill="FBE5D6" w:themeFill="accent2" w:themeFillTint="32"/>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6">
    <w:name w:val="Grid Table 6 Colorful - Accent 3"/>
    <w:basedOn w:val="34"/>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bl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Pr/>
    </w:tblStylePr>
    <w:tblStylePr w:type="firstCol">
      <w:rPr>
        <w:b/>
        <w:color w:val="A5A5A5" w:themeColor="accent3" w:themeTint="FF"/>
        <w14:textFill>
          <w14:solidFill>
            <w14:schemeClr w14:val="accent3">
              <w14:lumMod w14:val="100000"/>
              <w14:lumOff w14:val="0"/>
            </w14:schemeClr>
          </w14:solidFill>
        </w14:textFill>
      </w:rPr>
      <w:tblPr/>
    </w:tblStylePr>
    <w:tblStylePr w:type="lastCol">
      <w:rPr>
        <w:b/>
        <w:color w:val="A5A5A5" w:themeColor="accent3" w:themeTint="FF"/>
        <w14:textFill>
          <w14:solidFill>
            <w14:schemeClr w14:val="accent3">
              <w14:lumMod w14:val="100000"/>
              <w14:lumOff w14:val="0"/>
            </w14:schemeClr>
          </w14:solidFill>
        </w14:textFill>
      </w:rPr>
      <w:tblPr/>
    </w:tblStylePr>
    <w:tblStylePr w:type="band1Vert">
      <w:tblPr/>
      <w:tcPr>
        <w:shd w:val="clear" w:color="ECECEC" w:themeColor="accent3" w:themeTint="34" w:fill="ECECEC" w:themeFill="accent3" w:themeFillTint="34"/>
      </w:tcPr>
    </w:tblStylePr>
    <w:tblStylePr w:type="band2Vert">
      <w:tblPr/>
    </w:tblStylePr>
    <w:tblStylePr w:type="band1Horz">
      <w:rPr>
        <w:rFonts w:ascii="Arial" w:hAnsi="Arial"/>
        <w:color w:val="A5A5A5" w:themeColor="accent3" w:themeTint="FF"/>
        <w:sz w:val="22"/>
        <w14:textFill>
          <w14:solidFill>
            <w14:schemeClr w14:val="accent3">
              <w14:lumMod w14:val="100000"/>
              <w14:lumOff w14:val="0"/>
            </w14:schemeClr>
          </w14:solidFill>
        </w14:textFill>
      </w:rPr>
      <w:tbl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7">
    <w:name w:val="Grid Table 6 Colorful - Accent 4"/>
    <w:basedOn w:val="34"/>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bl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Pr/>
    </w:tblStylePr>
    <w:tblStylePr w:type="firstCol">
      <w:rPr>
        <w:b/>
        <w:color w:val="FFD966" w:themeColor="accent4" w:themeTint="99"/>
        <w14:textFill>
          <w14:solidFill>
            <w14:schemeClr w14:val="accent4">
              <w14:lumMod w14:val="60000"/>
              <w14:lumOff w14:val="40000"/>
            </w14:schemeClr>
          </w14:solidFill>
        </w14:textFill>
      </w:rPr>
      <w:tblPr/>
    </w:tblStylePr>
    <w:tblStylePr w:type="lastCol">
      <w:rPr>
        <w:b/>
        <w:color w:val="FFD966" w:themeColor="accent4" w:themeTint="99"/>
        <w14:textFill>
          <w14:solidFill>
            <w14:schemeClr w14:val="accent4">
              <w14:lumMod w14:val="60000"/>
              <w14:lumOff w14:val="40000"/>
            </w14:schemeClr>
          </w14:solidFill>
        </w14:textFill>
      </w:rPr>
      <w:tblPr/>
    </w:tblStylePr>
    <w:tblStylePr w:type="band1Vert">
      <w:tblPr/>
      <w:tcPr>
        <w:shd w:val="clear" w:color="FEF2CA" w:themeColor="accent4" w:themeTint="34" w:fill="FEF2CA" w:themeFill="accent4" w:themeFillTint="34"/>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8">
    <w:name w:val="Grid Table 6 Colorful - Accent 5"/>
    <w:basedOn w:val="34"/>
    <w:uiPriority w:val="99"/>
    <w:pPr>
      <w:spacing w:after="0" w:line="240" w:lineRule="auto"/>
    </w:pPr>
    <w:tblPr>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firstRow">
      <w:rPr>
        <w:b/>
        <w:color w:val="245B8C" w:themeColor="accent5" w:themeShade="94"/>
      </w:rPr>
      <w:tblPr/>
      <w:tcPr>
        <w:tcBorders>
          <w:bottom w:val="single" w:color="5B9BD5" w:themeColor="accent5" w:sz="12" w:space="0"/>
        </w:tcBorders>
      </w:tcPr>
    </w:tblStylePr>
    <w:tblStylePr w:type="lastRow">
      <w:rPr>
        <w:b/>
        <w:color w:val="245B8C" w:themeColor="accent5" w:themeShade="94"/>
      </w:rPr>
      <w:tblPr/>
    </w:tblStylePr>
    <w:tblStylePr w:type="firstCol">
      <w:rPr>
        <w:b/>
        <w:color w:val="245B8C" w:themeColor="accent5" w:themeShade="94"/>
      </w:rPr>
      <w:tblPr/>
    </w:tblStylePr>
    <w:tblStylePr w:type="lastCol">
      <w:rPr>
        <w:b/>
        <w:color w:val="245B8C" w:themeColor="accent5" w:themeShade="94"/>
      </w:rPr>
      <w:tblPr/>
    </w:tblStylePr>
    <w:tblStylePr w:type="band1Vert">
      <w:tblPr/>
      <w:tcPr>
        <w:shd w:val="clear" w:color="DDEAF6" w:themeColor="accent5" w:themeTint="34" w:fill="DDEAF6" w:themeFill="accent5" w:themeFillTint="34"/>
      </w:tcPr>
    </w:tblStylePr>
    <w:tblStylePr w:type="band2Vert">
      <w:tblPr/>
    </w:tblStylePr>
    <w:tblStylePr w:type="band1Horz">
      <w:rPr>
        <w:rFonts w:ascii="Arial" w:hAnsi="Arial"/>
        <w:color w:val="245B8C" w:themeColor="accent5" w:themeShade="94"/>
        <w:sz w:val="22"/>
      </w:rPr>
      <w:tblPr/>
      <w:tcPr>
        <w:shd w:val="clear" w:color="DDEAF6" w:themeColor="accent5" w:themeTint="34" w:fill="DDEAF6" w:themeFill="accent5" w:themeFillTint="34"/>
      </w:tcPr>
    </w:tblStylePr>
    <w:tblStylePr w:type="band2Horz">
      <w:rPr>
        <w:rFonts w:ascii="Arial" w:hAnsi="Arial"/>
        <w:color w:val="245B8C"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9">
    <w:name w:val="Grid Table 6 Colorful - Accent 6"/>
    <w:basedOn w:val="34"/>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45B8C" w:themeColor="accent5" w:themeShade="94"/>
      </w:rPr>
      <w:tblPr/>
      <w:tcPr>
        <w:tcBorders>
          <w:bottom w:val="single" w:color="70AD47" w:themeColor="accent6" w:sz="12" w:space="0"/>
        </w:tcBorders>
      </w:tcPr>
    </w:tblStylePr>
    <w:tblStylePr w:type="lastRow">
      <w:rPr>
        <w:b/>
        <w:color w:val="245B8C" w:themeColor="accent5" w:themeShade="94"/>
      </w:rPr>
      <w:tblPr/>
    </w:tblStylePr>
    <w:tblStylePr w:type="firstCol">
      <w:rPr>
        <w:b/>
        <w:color w:val="245B8C" w:themeColor="accent5" w:themeShade="94"/>
      </w:rPr>
      <w:tblPr/>
    </w:tblStylePr>
    <w:tblStylePr w:type="lastCol">
      <w:rPr>
        <w:b/>
        <w:color w:val="245B8C" w:themeColor="accent5" w:themeShade="94"/>
      </w:rPr>
      <w:tblPr/>
    </w:tblStylePr>
    <w:tblStylePr w:type="band1Vert">
      <w:tblPr/>
      <w:tcPr>
        <w:shd w:val="clear" w:color="E1EFD8" w:themeColor="accent6" w:themeTint="34" w:fill="E1EFD8" w:themeFill="accent6" w:themeFillTint="34"/>
      </w:tcPr>
    </w:tblStylePr>
    <w:tblStylePr w:type="band2Vert">
      <w:tblPr/>
    </w:tblStylePr>
    <w:tblStylePr w:type="band1Horz">
      <w:rPr>
        <w:rFonts w:ascii="Arial" w:hAnsi="Arial"/>
        <w:color w:val="245B8C" w:themeColor="accent5" w:themeShade="94"/>
        <w:sz w:val="22"/>
      </w:rPr>
      <w:tblPr/>
      <w:tcPr>
        <w:shd w:val="clear" w:color="E1EFD8" w:themeColor="accent6" w:themeTint="34" w:fill="E1EFD8" w:themeFill="accent6" w:themeFillTint="34"/>
      </w:tcPr>
    </w:tblStylePr>
    <w:tblStylePr w:type="band2Horz">
      <w:rPr>
        <w:rFonts w:ascii="Arial" w:hAnsi="Arial"/>
        <w:color w:val="245B8C"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0">
    <w:name w:val="Grid Table 7 Colorful"/>
    <w:basedOn w:val="34"/>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1">
    <w:name w:val="Grid Table 7 Colorful - Accent 1"/>
    <w:basedOn w:val="34"/>
    <w:uiPriority w:val="99"/>
    <w:pPr>
      <w:spacing w:after="0" w:line="240" w:lineRule="auto"/>
    </w:pPr>
    <w:tblPr>
      <w:tblBorders>
        <w:bottom w:val="single" w:color="A1B8E1" w:themeColor="accent1" w:themeTint="80" w:sz="4" w:space="0"/>
        <w:right w:val="single" w:color="A1B8E1" w:themeColor="accent1" w:themeTint="80" w:sz="4" w:space="0"/>
        <w:insideH w:val="single" w:color="A1B8E1" w:themeColor="accent1" w:themeTint="80" w:sz="4" w:space="0"/>
        <w:insideV w:val="single" w:color="A1B8E1" w:themeColor="accent1" w:themeTint="80" w:sz="4" w:space="0"/>
      </w:tblBorders>
    </w:tblPr>
    <w:tblStylePr w:type="firstRow">
      <w:rPr>
        <w:rFonts w:ascii="Arial" w:hAnsi="Arial"/>
        <w:b/>
        <w:color w:val="A2B9E2" w:themeColor="accent1" w:themeTint="80"/>
        <w:sz w:val="22"/>
        <w14:textFill>
          <w14:solidFill>
            <w14:schemeClr w14:val="accent1">
              <w14:lumMod w14:val="50000"/>
              <w14:lumOff w14:val="50000"/>
            </w14:schemeClr>
          </w14:solidFill>
        </w14:textFill>
      </w:rPr>
      <w:tblPr/>
      <w:tcPr>
        <w:tcBorders>
          <w:top w:val="nil"/>
          <w:left w:val="nil"/>
          <w:bottom w:val="single" w:color="A1B8E1" w:themeColor="accent1" w:themeTint="80" w:sz="4" w:space="0"/>
          <w:right w:val="nil"/>
        </w:tcBorders>
        <w:shd w:val="clear" w:color="FFFFFF" w:themeColor="light1" w:fill="FFFFFF" w:themeFill="light1"/>
      </w:tcPr>
    </w:tblStylePr>
    <w:tblStylePr w:type="lastRow">
      <w:rPr>
        <w:rFonts w:ascii="Arial" w:hAnsi="Arial"/>
        <w:b/>
        <w:color w:val="A2B9E2" w:themeColor="accent1" w:themeTint="80"/>
        <w:sz w:val="22"/>
        <w14:textFill>
          <w14:solidFill>
            <w14:schemeClr w14:val="accent1">
              <w14:lumMod w14:val="50000"/>
              <w14:lumOff w14:val="50000"/>
            </w14:schemeClr>
          </w14:solidFill>
        </w14:textFill>
      </w:rPr>
      <w:tblPr/>
      <w:tcPr>
        <w:tcBorders>
          <w:top w:val="single" w:color="A1B8E1"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2B9E2" w:themeColor="accent1" w:themeTint="80"/>
        <w:sz w:val="22"/>
        <w14:textFill>
          <w14:solidFill>
            <w14:schemeClr w14:val="accent1">
              <w14:lumMod w14:val="50000"/>
              <w14:lumOff w14:val="50000"/>
            </w14:schemeClr>
          </w14:solidFill>
        </w14:textFill>
      </w:rPr>
      <w:tblPr/>
      <w:tcPr>
        <w:tcBorders>
          <w:top w:val="nil"/>
          <w:left w:val="nil"/>
          <w:bottom w:val="nil"/>
          <w:right w:val="single" w:color="A1B8E1" w:themeColor="accent1" w:themeTint="80" w:sz="4" w:space="0"/>
        </w:tcBorders>
        <w:shd w:val="clear" w:color="FFFFFF" w:fill="auto"/>
      </w:tcPr>
    </w:tblStylePr>
    <w:tblStylePr w:type="lastCol">
      <w:rPr>
        <w:rFonts w:ascii="Arial" w:hAnsi="Arial"/>
        <w:i/>
        <w:color w:val="A2B9E2" w:themeColor="accent1" w:themeTint="80"/>
        <w:sz w:val="22"/>
        <w14:textFill>
          <w14:solidFill>
            <w14:schemeClr w14:val="accent1">
              <w14:lumMod w14:val="50000"/>
              <w14:lumOff w14:val="50000"/>
            </w14:schemeClr>
          </w14:solidFill>
        </w14:textFill>
      </w:rPr>
      <w:tblPr/>
      <w:tcPr>
        <w:tcBorders>
          <w:top w:val="nil"/>
          <w:left w:val="single" w:color="A1B8E1" w:themeColor="accent1" w:themeTint="80" w:sz="4" w:space="0"/>
          <w:bottom w:val="nil"/>
          <w:right w:val="nil"/>
        </w:tcBorders>
        <w:shd w:val="clear" w:color="FFFFFF" w:fill="auto"/>
      </w:tcPr>
    </w:tblStylePr>
    <w:tblStylePr w:type="band1Vert">
      <w:tblPr/>
      <w:tcPr>
        <w:shd w:val="clear" w:color="D8E2F2" w:themeColor="accent1" w:themeTint="34" w:fill="D8E2F2" w:themeFill="accent1" w:themeFillTint="34"/>
      </w:tcPr>
    </w:tblStylePr>
    <w:tblStylePr w:type="band2Vert">
      <w:tblPr/>
    </w:tblStylePr>
    <w:tblStylePr w:type="band1Horz">
      <w:rPr>
        <w:rFonts w:ascii="Arial" w:hAnsi="Arial"/>
        <w:color w:val="A2B9E2" w:themeColor="accent1" w:themeTint="80"/>
        <w:sz w:val="22"/>
        <w14:textFill>
          <w14:solidFill>
            <w14:schemeClr w14:val="accent1">
              <w14:lumMod w14:val="50000"/>
              <w14:lumOff w14:val="50000"/>
            </w14:schemeClr>
          </w14:solidFill>
        </w14:textFill>
      </w:rPr>
      <w:tblPr/>
      <w:tcPr>
        <w:shd w:val="clear" w:color="D8E2F2" w:themeColor="accent1" w:themeTint="34" w:fill="D8E2F2" w:themeFill="accent1" w:themeFillTint="34"/>
      </w:tcPr>
    </w:tblStylePr>
    <w:tblStylePr w:type="band2Horz">
      <w:rPr>
        <w:rFonts w:ascii="Arial" w:hAnsi="Arial"/>
        <w:color w:val="A2B9E2"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2">
    <w:name w:val="Grid Table 7 Colorful - Accent 2"/>
    <w:basedOn w:val="34"/>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bl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bl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single" w:color="F4B285" w:themeColor="accent2" w:themeTint="97" w:sz="4" w:space="0"/>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3">
    <w:name w:val="Grid Table 7 Colorful - Accent 3"/>
    <w:basedOn w:val="34"/>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bl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bl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bl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blPr/>
      <w:tcPr>
        <w:tcBorders>
          <w:top w:val="nil"/>
          <w:left w:val="single" w:color="A5A5A5" w:themeColor="accent3" w:themeTint="FE" w:sz="4" w:space="0"/>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2Vert">
      <w:tblPr/>
    </w:tblStylePr>
    <w:tblStylePr w:type="band1Horz">
      <w:rPr>
        <w:rFonts w:ascii="Arial" w:hAnsi="Arial"/>
        <w:color w:val="A5A5A5" w:themeColor="accent3" w:themeTint="FF"/>
        <w:sz w:val="22"/>
        <w14:textFill>
          <w14:solidFill>
            <w14:schemeClr w14:val="accent3">
              <w14:lumMod w14:val="100000"/>
              <w14:lumOff w14:val="0"/>
            </w14:schemeClr>
          </w14:solidFill>
        </w14:textFill>
      </w:rPr>
      <w:tbl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4">
    <w:name w:val="Grid Table 7 Colorful - Accent 4"/>
    <w:basedOn w:val="34"/>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bl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bl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single" w:color="FFD864" w:themeColor="accent4" w:themeTint="9A" w:sz="4" w:space="0"/>
          <w:bottom w:val="nil"/>
          <w:right w:val="nil"/>
        </w:tcBorders>
        <w:shd w:val="clear" w:color="FFFFFF" w:fill="auto"/>
      </w:tcPr>
    </w:tblStylePr>
    <w:tblStylePr w:type="band1Vert">
      <w:tblPr/>
      <w:tcPr>
        <w:shd w:val="clear" w:color="FEF2CA" w:themeColor="accent4" w:themeTint="34" w:fill="FEF2CA" w:themeFill="accent4" w:themeFillTint="34"/>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5">
    <w:name w:val="Grid Table 7 Colorful - Accent 5"/>
    <w:basedOn w:val="34"/>
    <w:uiPriority w:val="99"/>
    <w:pPr>
      <w:spacing w:after="0" w:line="240" w:lineRule="auto"/>
    </w:pPr>
    <w:tblPr>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firstRow">
      <w:rPr>
        <w:rFonts w:ascii="Arial" w:hAnsi="Arial"/>
        <w:b/>
        <w:color w:val="245B8C" w:themeColor="accent5" w:themeShade="94"/>
        <w:sz w:val="22"/>
      </w:rPr>
      <w:tblPr/>
      <w:tcPr>
        <w:tcBorders>
          <w:top w:val="nil"/>
          <w:left w:val="nil"/>
          <w:bottom w:val="single" w:color="A2C6E7" w:themeColor="accent5" w:themeTint="90" w:sz="4" w:space="0"/>
          <w:right w:val="nil"/>
        </w:tcBorders>
        <w:shd w:val="clear" w:color="FFFFFF" w:themeColor="light1" w:fill="FFFFFF" w:themeFill="light1"/>
      </w:tcPr>
    </w:tblStylePr>
    <w:tblStylePr w:type="lastRow">
      <w:rPr>
        <w:rFonts w:ascii="Arial" w:hAnsi="Arial"/>
        <w:b/>
        <w:color w:val="245B8C" w:themeColor="accent5" w:themeShade="94"/>
        <w:sz w:val="22"/>
      </w:rPr>
      <w:tblPr/>
      <w:tcPr>
        <w:tcBorders>
          <w:top w:val="single" w:color="A2C6E7"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5" w:themeShade="94"/>
        <w:sz w:val="22"/>
      </w:rPr>
      <w:tblPr/>
      <w:tcPr>
        <w:tcBorders>
          <w:top w:val="nil"/>
          <w:left w:val="nil"/>
          <w:bottom w:val="nil"/>
          <w:right w:val="single" w:color="A2C6E7" w:themeColor="accent5" w:themeTint="90" w:sz="4" w:space="0"/>
        </w:tcBorders>
        <w:shd w:val="clear" w:color="FFFFFF" w:fill="auto"/>
      </w:tcPr>
    </w:tblStylePr>
    <w:tblStylePr w:type="lastCol">
      <w:rPr>
        <w:rFonts w:ascii="Arial" w:hAnsi="Arial"/>
        <w:i/>
        <w:color w:val="245B8C" w:themeColor="accent5" w:themeShade="94"/>
        <w:sz w:val="22"/>
      </w:rPr>
      <w:tblPr/>
      <w:tcPr>
        <w:tcBorders>
          <w:top w:val="nil"/>
          <w:left w:val="single" w:color="A2C6E7" w:themeColor="accent5" w:themeTint="90" w:sz="4" w:space="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2Vert">
      <w:tblPr/>
    </w:tblStylePr>
    <w:tblStylePr w:type="band1Horz">
      <w:rPr>
        <w:rFonts w:ascii="Arial" w:hAnsi="Arial"/>
        <w:color w:val="245B8C" w:themeColor="accent5" w:themeShade="94"/>
        <w:sz w:val="22"/>
      </w:rPr>
      <w:tblPr/>
      <w:tcPr>
        <w:shd w:val="clear" w:color="DDEAF6" w:themeColor="accent5" w:themeTint="34" w:fill="DDEAF6" w:themeFill="accent5" w:themeFillTint="34"/>
      </w:tcPr>
    </w:tblStylePr>
    <w:tblStylePr w:type="band2Horz">
      <w:rPr>
        <w:rFonts w:ascii="Arial" w:hAnsi="Arial"/>
        <w:color w:val="245B8C"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6">
    <w:name w:val="Grid Table 7 Colorful - Accent 6"/>
    <w:basedOn w:val="34"/>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bl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bl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bl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blPr/>
      <w:tcPr>
        <w:tcBorders>
          <w:top w:val="nil"/>
          <w:left w:val="single" w:color="ADD394" w:themeColor="accent6" w:themeTint="90" w:sz="4" w:space="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2Vert">
      <w:tblPr/>
    </w:tblStylePr>
    <w:tblStylePr w:type="band1Horz">
      <w:rPr>
        <w:rFonts w:ascii="Arial" w:hAnsi="Arial"/>
        <w:color w:val="416429" w:themeColor="accent6" w:themeShade="94"/>
        <w:sz w:val="22"/>
      </w:rPr>
      <w:tblPr/>
      <w:tcPr>
        <w:shd w:val="clear" w:color="E1EFD8" w:themeColor="accent6" w:themeTint="34" w:fill="E1EFD8" w:themeFill="accent6" w:themeFillTint="34"/>
      </w:tcPr>
    </w:tblStylePr>
    <w:tblStylePr w:type="band2Horz">
      <w:rPr>
        <w:rFonts w:ascii="Arial" w:hAnsi="Arial"/>
        <w:color w:val="416429"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17">
    <w:name w:val="List Table 1 Light"/>
    <w:basedOn w:val="34"/>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8">
    <w:name w:val="List Table 1 Light - Accent 1"/>
    <w:basedOn w:val="34"/>
    <w:uiPriority w:val="99"/>
    <w:pPr>
      <w:spacing w:after="0" w:line="240" w:lineRule="auto"/>
    </w:pPr>
    <w:tblPr/>
    <w:tblStylePr w:type="firstRow">
      <w:rPr>
        <w:b/>
        <w:color w:val="404040"/>
      </w:rPr>
      <w:tblPr/>
      <w:tcPr>
        <w:tcBorders>
          <w:top w:val="nil"/>
          <w:left w:val="nil"/>
          <w:bottom w:val="single" w:color="4472C4" w:themeColor="accent1" w:sz="4" w:space="0"/>
          <w:right w:val="nil"/>
        </w:tcBorders>
      </w:tcPr>
    </w:tblStylePr>
    <w:tblStylePr w:type="lastRow">
      <w:rPr>
        <w:b/>
        <w:color w:val="404040"/>
      </w:rPr>
      <w:tblPr/>
      <w:tcPr>
        <w:tcBorders>
          <w:top w:val="single" w:color="4472C4"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0DBF0" w:themeColor="accent1" w:themeTint="40" w:fill="D0DBF0" w:themeFill="accent1" w:themeFillTint="40"/>
      </w:tcPr>
    </w:tblStylePr>
    <w:tblStylePr w:type="band2Vert">
      <w:tblPr/>
    </w:tblStylePr>
    <w:tblStylePr w:type="band1Horz">
      <w:tblPr/>
      <w:tcPr>
        <w:shd w:val="clear" w:color="D0DBF0" w:themeColor="accent1" w:themeTint="40" w:fill="D0DBF0"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9">
    <w:name w:val="List Table 1 Light - Accent 2"/>
    <w:basedOn w:val="34"/>
    <w:uiPriority w:val="99"/>
    <w:pPr>
      <w:spacing w:after="0" w:line="240" w:lineRule="auto"/>
    </w:pPr>
    <w:tblPr/>
    <w:tblStylePr w:type="firstRow">
      <w:rPr>
        <w:b/>
        <w:color w:val="404040"/>
      </w:rPr>
      <w:tblPr/>
      <w:tcPr>
        <w:tcBorders>
          <w:top w:val="nil"/>
          <w:left w:val="nil"/>
          <w:bottom w:val="single" w:color="ED7D31" w:themeColor="accent2" w:sz="4" w:space="0"/>
          <w:right w:val="nil"/>
        </w:tcBorders>
      </w:tcPr>
    </w:tblStylePr>
    <w:tblStylePr w:type="lastRow">
      <w:rPr>
        <w:b/>
        <w:color w:val="404040"/>
      </w:rPr>
      <w:tblPr/>
      <w:tcPr>
        <w:tcBorders>
          <w:top w:val="single" w:color="ED7D31"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ADECB" w:themeColor="accent2" w:themeTint="40" w:fill="FADECB" w:themeFill="accent2" w:themeFillTint="40"/>
      </w:tcPr>
    </w:tblStylePr>
    <w:tblStylePr w:type="band2Vert">
      <w:tblPr/>
    </w:tblStylePr>
    <w:tblStylePr w:type="band1Horz">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0">
    <w:name w:val="List Table 1 Light - Accent 3"/>
    <w:basedOn w:val="34"/>
    <w:uiPriority w:val="99"/>
    <w:pPr>
      <w:spacing w:after="0" w:line="240" w:lineRule="auto"/>
    </w:pPr>
    <w:tblPr/>
    <w:tblStylePr w:type="firstRow">
      <w:rPr>
        <w:b/>
        <w:color w:val="404040"/>
      </w:rPr>
      <w:tblPr/>
      <w:tcPr>
        <w:tcBorders>
          <w:top w:val="nil"/>
          <w:left w:val="nil"/>
          <w:bottom w:val="single" w:color="A5A5A5" w:themeColor="accent3" w:sz="4" w:space="0"/>
          <w:right w:val="nil"/>
        </w:tcBorders>
      </w:tcPr>
    </w:tblStylePr>
    <w:tblStylePr w:type="lastRow">
      <w:rPr>
        <w:b/>
        <w:color w:val="404040"/>
      </w:rPr>
      <w:tblPr/>
      <w:tcPr>
        <w:tcBorders>
          <w:top w:val="single" w:color="A5A5A5"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8E8E8" w:themeColor="accent3" w:themeTint="40" w:fill="E8E8E8" w:themeFill="accent3" w:themeFillTint="40"/>
      </w:tcPr>
    </w:tblStylePr>
    <w:tblStylePr w:type="band2Vert">
      <w:tblPr/>
    </w:tblStylePr>
    <w:tblStylePr w:type="band1Horz">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1 Light - Accent 4"/>
    <w:basedOn w:val="34"/>
    <w:uiPriority w:val="99"/>
    <w:pPr>
      <w:spacing w:after="0" w:line="240" w:lineRule="auto"/>
    </w:pPr>
    <w:tblPr/>
    <w:tblStylePr w:type="firstRow">
      <w:rPr>
        <w:b/>
        <w:color w:val="404040"/>
      </w:rPr>
      <w:tblPr/>
      <w:tcPr>
        <w:tcBorders>
          <w:top w:val="nil"/>
          <w:left w:val="nil"/>
          <w:bottom w:val="single" w:color="FFC000" w:themeColor="accent4" w:sz="4" w:space="0"/>
          <w:right w:val="nil"/>
        </w:tcBorders>
      </w:tcPr>
    </w:tblStylePr>
    <w:tblStylePr w:type="lastRow">
      <w:rPr>
        <w:b/>
        <w:color w:val="404040"/>
      </w:rPr>
      <w:tblPr/>
      <w:tcPr>
        <w:tcBorders>
          <w:top w:val="single" w:color="FFC000"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FEFBE" w:themeColor="accent4" w:themeTint="40" w:fill="FFEFBE" w:themeFill="accent4" w:themeFillTint="40"/>
      </w:tcPr>
    </w:tblStylePr>
    <w:tblStylePr w:type="band2Vert">
      <w:tblPr/>
    </w:tblStylePr>
    <w:tblStylePr w:type="band1Horz">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1 Light - Accent 5"/>
    <w:basedOn w:val="34"/>
    <w:uiPriority w:val="99"/>
    <w:pPr>
      <w:spacing w:after="0" w:line="240" w:lineRule="auto"/>
    </w:pPr>
    <w:tblPr/>
    <w:tblStylePr w:type="firstRow">
      <w:rPr>
        <w:b/>
        <w:color w:val="404040"/>
      </w:rPr>
      <w:tblPr/>
      <w:tcPr>
        <w:tcBorders>
          <w:top w:val="nil"/>
          <w:left w:val="nil"/>
          <w:bottom w:val="single" w:color="5B9BD5" w:themeColor="accent5" w:sz="4" w:space="0"/>
          <w:right w:val="nil"/>
        </w:tcBorders>
      </w:tcPr>
    </w:tblStylePr>
    <w:tblStylePr w:type="lastRow">
      <w:rPr>
        <w:b/>
        <w:color w:val="404040"/>
      </w:rPr>
      <w:tblPr/>
      <w:tcPr>
        <w:tcBorders>
          <w:top w:val="single" w:color="5B9BD5"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5E5F4" w:themeColor="accent5" w:themeTint="40" w:fill="D5E5F4" w:themeFill="accent5" w:themeFillTint="40"/>
      </w:tcPr>
    </w:tblStylePr>
    <w:tblStylePr w:type="band2Vert">
      <w:tblPr/>
    </w:tblStylePr>
    <w:tblStylePr w:type="band1Horz">
      <w:tblPr/>
      <w:tcPr>
        <w:shd w:val="clear" w:color="D5E5F4" w:themeColor="accent5" w:themeTint="40" w:fill="D5E5F4"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1 Light - Accent 6"/>
    <w:basedOn w:val="34"/>
    <w:uiPriority w:val="99"/>
    <w:pPr>
      <w:spacing w:after="0" w:line="240" w:lineRule="auto"/>
    </w:pPr>
    <w:tblPr/>
    <w:tblStylePr w:type="firstRow">
      <w:rPr>
        <w:b/>
        <w:color w:val="404040"/>
      </w:rPr>
      <w:tblPr/>
      <w:tcPr>
        <w:tcBorders>
          <w:top w:val="nil"/>
          <w:left w:val="nil"/>
          <w:bottom w:val="single" w:color="70AD47" w:themeColor="accent6" w:sz="4" w:space="0"/>
          <w:right w:val="nil"/>
        </w:tcBorders>
      </w:tcPr>
    </w:tblStylePr>
    <w:tblStylePr w:type="lastRow">
      <w:rPr>
        <w:b/>
        <w:color w:val="404040"/>
      </w:rPr>
      <w:tblPr/>
      <w:tcPr>
        <w:tcBorders>
          <w:top w:val="single" w:color="70AD47"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AEBCF" w:themeColor="accent6" w:themeTint="40" w:fill="DAEBCF" w:themeFill="accent6" w:themeFillTint="40"/>
      </w:tcPr>
    </w:tblStylePr>
    <w:tblStylePr w:type="band2Vert">
      <w:tblPr/>
    </w:tblStylePr>
    <w:tblStylePr w:type="band1Horz">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2"/>
    <w:basedOn w:val="34"/>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2 - Accent 1"/>
    <w:basedOn w:val="34"/>
    <w:uiPriority w:val="99"/>
    <w:pPr>
      <w:spacing w:after="0" w:line="240" w:lineRule="auto"/>
    </w:pPr>
    <w:tblPr>
      <w:tblBorders>
        <w:top w:val="single" w:color="95AFDD" w:themeColor="accent1" w:themeTint="90" w:sz="4" w:space="0"/>
        <w:bottom w:val="single" w:color="95AFDD" w:themeColor="accent1" w:themeTint="90" w:sz="4" w:space="0"/>
        <w:insideH w:val="single" w:color="95AFDD" w:themeColor="accent1" w:themeTint="90" w:sz="4" w:space="0"/>
      </w:tblBorders>
    </w:tblPr>
    <w:tblStylePr w:type="firstRow">
      <w:rPr>
        <w:rFonts w:ascii="Arial" w:hAnsi="Arial"/>
        <w:b/>
        <w:color w:val="404040"/>
        <w:sz w:val="22"/>
      </w:rPr>
      <w:tblPr/>
      <w:tcPr>
        <w:tcBorders>
          <w:top w:val="single" w:color="95AFDD" w:themeColor="accent1" w:themeTint="90" w:sz="4" w:space="0"/>
          <w:left w:val="nil"/>
          <w:bottom w:val="single" w:color="95AFDD" w:themeColor="accent1" w:themeTint="90" w:sz="4" w:space="0"/>
          <w:right w:val="nil"/>
        </w:tcBorders>
      </w:tcPr>
    </w:tblStylePr>
    <w:tblStylePr w:type="lastRow">
      <w:rPr>
        <w:rFonts w:ascii="Arial" w:hAnsi="Arial"/>
        <w:b/>
        <w:color w:val="404040"/>
        <w:sz w:val="22"/>
      </w:rPr>
      <w:tblPr/>
      <w:tcPr>
        <w:tcBorders>
          <w:top w:val="single" w:color="95AFDD" w:themeColor="accent1" w:themeTint="90" w:sz="4" w:space="0"/>
          <w:left w:val="nil"/>
          <w:bottom w:val="single" w:color="95AFDD"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0DBF0" w:themeColor="accent1" w:themeTint="40" w:fill="D0DBF0" w:themeFill="accent1" w:themeFillTint="40"/>
      </w:tcPr>
    </w:tblStylePr>
    <w:tblStylePr w:type="band2Vert">
      <w:tblPr/>
    </w:tblStylePr>
    <w:tblStylePr w:type="band1Horz">
      <w:rPr>
        <w:rFonts w:ascii="Arial" w:hAnsi="Arial"/>
        <w:color w:val="404040"/>
        <w:sz w:val="22"/>
      </w:rPr>
      <w:tblPr/>
      <w:tcPr>
        <w:shd w:val="clear" w:color="D0DBF0" w:themeColor="accent1" w:themeTint="40" w:fill="D0DBF0"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2 - Accent 2"/>
    <w:basedOn w:val="34"/>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bl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bl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ADECB" w:themeColor="accent2" w:themeTint="40" w:fill="FADECB" w:themeFill="accent2" w:themeFillTint="40"/>
      </w:tcPr>
    </w:tblStylePr>
    <w:tblStylePr w:type="band2Vert">
      <w:tblPr/>
    </w:tblStylePr>
    <w:tblStylePr w:type="band1Horz">
      <w:rPr>
        <w:rFonts w:ascii="Arial" w:hAnsi="Arial"/>
        <w:color w:val="404040"/>
        <w:sz w:val="22"/>
      </w:rPr>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2 - Accent 3"/>
    <w:basedOn w:val="34"/>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bl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bl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8E8E8" w:themeColor="accent3" w:themeTint="40" w:fill="E8E8E8" w:themeFill="accent3" w:themeFillTint="40"/>
      </w:tcPr>
    </w:tblStylePr>
    <w:tblStylePr w:type="band2Vert">
      <w:tblPr/>
    </w:tblStylePr>
    <w:tblStylePr w:type="band1Horz">
      <w:rPr>
        <w:rFonts w:ascii="Arial" w:hAnsi="Arial"/>
        <w:color w:val="404040"/>
        <w:sz w:val="22"/>
      </w:rPr>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2 - Accent 4"/>
    <w:basedOn w:val="34"/>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bl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bl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FEFBE" w:themeColor="accent4" w:themeTint="40" w:fill="FFEFBE" w:themeFill="accent4" w:themeFillTint="40"/>
      </w:tcPr>
    </w:tblStylePr>
    <w:tblStylePr w:type="band2Vert">
      <w:tblPr/>
    </w:tblStylePr>
    <w:tblStylePr w:type="band1Horz">
      <w:rPr>
        <w:rFonts w:ascii="Arial" w:hAnsi="Arial"/>
        <w:color w:val="404040"/>
        <w:sz w:val="22"/>
      </w:rPr>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2 - Accent 5"/>
    <w:basedOn w:val="34"/>
    <w:uiPriority w:val="99"/>
    <w:pPr>
      <w:spacing w:after="0" w:line="240" w:lineRule="auto"/>
    </w:pPr>
    <w:tblPr>
      <w:tblBorders>
        <w:top w:val="single" w:color="A2C6E7" w:themeColor="accent5" w:themeTint="90" w:sz="4" w:space="0"/>
        <w:bottom w:val="single" w:color="A2C6E7" w:themeColor="accent5" w:themeTint="90" w:sz="4" w:space="0"/>
        <w:insideH w:val="single" w:color="A2C6E7" w:themeColor="accent5" w:themeTint="90" w:sz="4" w:space="0"/>
      </w:tblBorders>
    </w:tblPr>
    <w:tblStylePr w:type="firstRow">
      <w:rPr>
        <w:rFonts w:ascii="Arial" w:hAnsi="Arial"/>
        <w:b/>
        <w:color w:val="404040"/>
        <w:sz w:val="22"/>
      </w:rPr>
      <w:tblPr/>
      <w:tcPr>
        <w:tcBorders>
          <w:top w:val="single" w:color="A2C6E7" w:themeColor="accent5" w:themeTint="90" w:sz="4" w:space="0"/>
          <w:left w:val="nil"/>
          <w:bottom w:val="single" w:color="A2C6E7" w:themeColor="accent5" w:themeTint="90" w:sz="4" w:space="0"/>
          <w:right w:val="nil"/>
        </w:tcBorders>
      </w:tcPr>
    </w:tblStylePr>
    <w:tblStylePr w:type="lastRow">
      <w:rPr>
        <w:rFonts w:ascii="Arial" w:hAnsi="Arial"/>
        <w:b/>
        <w:color w:val="404040"/>
        <w:sz w:val="22"/>
      </w:rPr>
      <w:tblPr/>
      <w:tcPr>
        <w:tcBorders>
          <w:top w:val="single" w:color="A2C6E7" w:themeColor="accent5" w:themeTint="90" w:sz="4" w:space="0"/>
          <w:left w:val="nil"/>
          <w:bottom w:val="single" w:color="A2C6E7"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5E5F4" w:themeColor="accent5" w:themeTint="40" w:fill="D5E5F4" w:themeFill="accent5" w:themeFillTint="40"/>
      </w:tcPr>
    </w:tblStylePr>
    <w:tblStylePr w:type="band2Vert">
      <w:tblPr/>
    </w:tblStylePr>
    <w:tblStylePr w:type="band1Horz">
      <w:rPr>
        <w:rFonts w:ascii="Arial" w:hAnsi="Arial"/>
        <w:color w:val="404040"/>
        <w:sz w:val="22"/>
      </w:rPr>
      <w:tblPr/>
      <w:tcPr>
        <w:shd w:val="clear" w:color="D5E5F4" w:themeColor="accent5" w:themeTint="40" w:fill="D5E5F4"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2 - Accent 6"/>
    <w:basedOn w:val="34"/>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bl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bl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AEBCF" w:themeColor="accent6" w:themeTint="40" w:fill="DAEBCF" w:themeFill="accent6" w:themeFillTint="40"/>
      </w:tcPr>
    </w:tblStylePr>
    <w:tblStylePr w:type="band2Vert">
      <w:tblPr/>
    </w:tblStylePr>
    <w:tblStylePr w:type="band1Horz">
      <w:rPr>
        <w:rFonts w:ascii="Arial" w:hAnsi="Arial"/>
        <w:color w:val="404040"/>
        <w:sz w:val="22"/>
      </w:rPr>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3"/>
    <w:basedOn w:val="34"/>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3 - Accent 1"/>
    <w:basedOn w:val="34"/>
    <w:uiPriority w:val="99"/>
    <w:pPr>
      <w:spacing w:after="0" w:line="240" w:lineRule="auto"/>
    </w:pPr>
    <w:tblPr>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472C4" w:themeColor="accent1" w:sz="4" w:space="0"/>
          <w:right w:val="single" w:color="4472C4" w:themeColor="accent1" w:sz="4" w:space="0"/>
        </w:tcBorders>
      </w:tcPr>
    </w:tblStylePr>
    <w:tblStylePr w:type="band2Vert">
      <w:tblPr/>
    </w:tblStylePr>
    <w:tblStylePr w:type="band1Horz">
      <w:rPr>
        <w:rFonts w:ascii="Arial" w:hAnsi="Arial"/>
        <w:color w:val="404040"/>
        <w:sz w:val="22"/>
      </w:rPr>
      <w:tblPr/>
      <w:tcPr>
        <w:tcBorders>
          <w:top w:val="single" w:color="4472C4" w:themeColor="accent1" w:sz="4" w:space="0"/>
          <w:bottom w:val="single" w:color="4472C4"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3 - Accent 2"/>
    <w:basedOn w:val="34"/>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blPr/>
      <w:tcPr>
        <w:shd w:val="clear" w:color="F4B285" w:themeColor="accent2" w:themeTint="97" w:fill="F4B28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4B285" w:themeColor="accent2" w:themeTint="97" w:sz="4" w:space="0"/>
          <w:right w:val="single" w:color="F4B285" w:themeColor="accent2" w:themeTint="97" w:sz="4" w:space="0"/>
        </w:tcBorders>
      </w:tcPr>
    </w:tblStylePr>
    <w:tblStylePr w:type="band2Vert">
      <w:tblPr/>
    </w:tblStylePr>
    <w:tblStylePr w:type="band1Horz">
      <w:rPr>
        <w:rFonts w:ascii="Arial" w:hAnsi="Arial"/>
        <w:color w:val="404040"/>
        <w:sz w:val="22"/>
      </w:rPr>
      <w:tblPr/>
      <w:tcPr>
        <w:tcBorders>
          <w:top w:val="single" w:color="F4B285" w:themeColor="accent2" w:themeTint="97" w:sz="4" w:space="0"/>
          <w:bottom w:val="single" w:color="F4B28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3 - Accent 3"/>
    <w:basedOn w:val="34"/>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9C9C9" w:themeColor="accent3" w:themeTint="98" w:sz="4" w:space="0"/>
          <w:right w:val="single" w:color="C9C9C9" w:themeColor="accent3" w:themeTint="98" w:sz="4" w:space="0"/>
        </w:tcBorders>
      </w:tcPr>
    </w:tblStylePr>
    <w:tblStylePr w:type="band2Vert">
      <w:tblPr/>
    </w:tblStylePr>
    <w:tblStylePr w:type="band1Horz">
      <w:rPr>
        <w:rFonts w:ascii="Arial" w:hAnsi="Arial"/>
        <w:color w:val="404040"/>
        <w:sz w:val="22"/>
      </w:rPr>
      <w:tblPr/>
      <w:tcPr>
        <w:tcBorders>
          <w:top w:val="single" w:color="C9C9C9" w:themeColor="accent3" w:themeTint="98" w:sz="4" w:space="0"/>
          <w:bottom w:val="single" w:color="C9C9C9"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3 - Accent 4"/>
    <w:basedOn w:val="34"/>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blPr/>
      <w:tcPr>
        <w:shd w:val="clear" w:color="FFD864" w:themeColor="accent4" w:themeTint="9A" w:fill="FFD864"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FD864" w:themeColor="accent4" w:themeTint="9A" w:sz="4" w:space="0"/>
          <w:right w:val="single" w:color="FFD864" w:themeColor="accent4" w:themeTint="9A" w:sz="4" w:space="0"/>
        </w:tcBorders>
      </w:tcPr>
    </w:tblStylePr>
    <w:tblStylePr w:type="band2Vert">
      <w:tblPr/>
    </w:tblStylePr>
    <w:tblStylePr w:type="band1Horz">
      <w:rPr>
        <w:rFonts w:ascii="Arial" w:hAnsi="Arial"/>
        <w:color w:val="404040"/>
        <w:sz w:val="22"/>
      </w:rPr>
      <w:tblPr/>
      <w:tcPr>
        <w:tcBorders>
          <w:top w:val="single" w:color="FFD864" w:themeColor="accent4" w:themeTint="9A" w:sz="4" w:space="0"/>
          <w:bottom w:val="single" w:color="FFD864"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3 - Accent 5"/>
    <w:basedOn w:val="34"/>
    <w:uiPriority w:val="99"/>
    <w:pPr>
      <w:spacing w:after="0" w:line="240" w:lineRule="auto"/>
    </w:pPr>
    <w:tblPr>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9BC2E5" w:themeColor="accent5" w:themeTint="9A" w:sz="4" w:space="0"/>
          <w:right w:val="single" w:color="9BC2E5" w:themeColor="accent5" w:themeTint="9A" w:sz="4" w:space="0"/>
        </w:tcBorders>
      </w:tcPr>
    </w:tblStylePr>
    <w:tblStylePr w:type="band2Vert">
      <w:tblPr/>
    </w:tblStylePr>
    <w:tblStylePr w:type="band1Horz">
      <w:rPr>
        <w:rFonts w:ascii="Arial" w:hAnsi="Arial"/>
        <w:color w:val="404040"/>
        <w:sz w:val="22"/>
      </w:rPr>
      <w:tblPr/>
      <w:tcPr>
        <w:tcBorders>
          <w:top w:val="single" w:color="9BC2E5" w:themeColor="accent5" w:themeTint="9A" w:sz="4" w:space="0"/>
          <w:bottom w:val="single" w:color="9BC2E5"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3 - Accent 6"/>
    <w:basedOn w:val="34"/>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A9D08E" w:themeColor="accent6" w:themeTint="98" w:sz="4" w:space="0"/>
          <w:right w:val="single" w:color="A9D08E" w:themeColor="accent6" w:themeTint="98" w:sz="4" w:space="0"/>
        </w:tcBorders>
      </w:tcPr>
    </w:tblStylePr>
    <w:tblStylePr w:type="band2Vert">
      <w:tblPr/>
    </w:tblStylePr>
    <w:tblStylePr w:type="band1Horz">
      <w:rPr>
        <w:rFonts w:ascii="Arial" w:hAnsi="Arial"/>
        <w:color w:val="404040"/>
        <w:sz w:val="22"/>
      </w:rPr>
      <w:tblPr/>
      <w:tcPr>
        <w:tcBorders>
          <w:top w:val="single" w:color="A9D08E" w:themeColor="accent6" w:themeTint="98" w:sz="4" w:space="0"/>
          <w:bottom w:val="single" w:color="A9D08E"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List Table 4"/>
    <w:basedOn w:val="34"/>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9">
    <w:name w:val="List Table 4 - Accent 1"/>
    <w:basedOn w:val="34"/>
    <w:uiPriority w:val="99"/>
    <w:pPr>
      <w:spacing w:after="0" w:line="240" w:lineRule="auto"/>
    </w:pPr>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0DBF0" w:themeColor="accent1" w:themeTint="40" w:fill="D0DBF0" w:themeFill="accent1" w:themeFillTint="40"/>
      </w:tcPr>
    </w:tblStylePr>
    <w:tblStylePr w:type="band2Vert">
      <w:tblPr/>
    </w:tblStylePr>
    <w:tblStylePr w:type="band1Horz">
      <w:rPr>
        <w:rFonts w:ascii="Arial" w:hAnsi="Arial"/>
        <w:color w:val="404040"/>
        <w:sz w:val="22"/>
      </w:rPr>
      <w:tblPr/>
      <w:tcPr>
        <w:shd w:val="clear" w:color="D0DBF0" w:themeColor="accent1" w:themeTint="40" w:fill="D0DBF0"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0">
    <w:name w:val="List Table 4 - Accent 2"/>
    <w:basedOn w:val="34"/>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DECB" w:themeColor="accent2" w:themeTint="40" w:fill="FADECB" w:themeFill="accent2" w:themeFillTint="40"/>
      </w:tcPr>
    </w:tblStylePr>
    <w:tblStylePr w:type="band2Vert">
      <w:tblPr/>
    </w:tblStylePr>
    <w:tblStylePr w:type="band1Horz">
      <w:rPr>
        <w:rFonts w:ascii="Arial" w:hAnsi="Arial"/>
        <w:color w:val="404040"/>
        <w:sz w:val="22"/>
      </w:rPr>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1">
    <w:name w:val="List Table 4 - Accent 3"/>
    <w:basedOn w:val="34"/>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8E8E8" w:themeColor="accent3" w:themeTint="40" w:fill="E8E8E8" w:themeFill="accent3" w:themeFillTint="40"/>
      </w:tcPr>
    </w:tblStylePr>
    <w:tblStylePr w:type="band2Vert">
      <w:tblPr/>
    </w:tblStylePr>
    <w:tblStylePr w:type="band1Horz">
      <w:rPr>
        <w:rFonts w:ascii="Arial" w:hAnsi="Arial"/>
        <w:color w:val="404040"/>
        <w:sz w:val="22"/>
      </w:rPr>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2">
    <w:name w:val="List Table 4 - Accent 4"/>
    <w:basedOn w:val="34"/>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FEFBE" w:themeColor="accent4" w:themeTint="40" w:fill="FFEFBE" w:themeFill="accent4" w:themeFillTint="40"/>
      </w:tcPr>
    </w:tblStylePr>
    <w:tblStylePr w:type="band2Vert">
      <w:tblPr/>
    </w:tblStylePr>
    <w:tblStylePr w:type="band1Horz">
      <w:rPr>
        <w:rFonts w:ascii="Arial" w:hAnsi="Arial"/>
        <w:color w:val="404040"/>
        <w:sz w:val="22"/>
      </w:rPr>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3">
    <w:name w:val="List Table 4 - Accent 5"/>
    <w:basedOn w:val="34"/>
    <w:uiPriority w:val="99"/>
    <w:pPr>
      <w:spacing w:after="0" w:line="240" w:lineRule="auto"/>
    </w:pPr>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5E5F4" w:themeColor="accent5" w:themeTint="40" w:fill="D5E5F4" w:themeFill="accent5" w:themeFillTint="40"/>
      </w:tcPr>
    </w:tblStylePr>
    <w:tblStylePr w:type="band2Vert">
      <w:tblPr/>
    </w:tblStylePr>
    <w:tblStylePr w:type="band1Horz">
      <w:rPr>
        <w:rFonts w:ascii="Arial" w:hAnsi="Arial"/>
        <w:color w:val="404040"/>
        <w:sz w:val="22"/>
      </w:rPr>
      <w:tblPr/>
      <w:tcPr>
        <w:shd w:val="clear" w:color="D5E5F4" w:themeColor="accent5" w:themeTint="40" w:fill="D5E5F4"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4">
    <w:name w:val="List Table 4 - Accent 6"/>
    <w:basedOn w:val="34"/>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BCF" w:themeColor="accent6" w:themeTint="40" w:fill="DAEBCF" w:themeFill="accent6" w:themeFillTint="40"/>
      </w:tcPr>
    </w:tblStylePr>
    <w:tblStylePr w:type="band2Vert">
      <w:tblPr/>
    </w:tblStylePr>
    <w:tblStylePr w:type="band1Horz">
      <w:rPr>
        <w:rFonts w:ascii="Arial" w:hAnsi="Arial"/>
        <w:color w:val="404040"/>
        <w:sz w:val="22"/>
      </w:rPr>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5">
    <w:name w:val="List Table 5 Dark"/>
    <w:basedOn w:val="34"/>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46">
    <w:name w:val="List Table 5 Dark - Accent 1"/>
    <w:basedOn w:val="34"/>
    <w:qFormat/>
    <w:uiPriority w:val="99"/>
    <w:pPr>
      <w:spacing w:after="0" w:line="240" w:lineRule="auto"/>
    </w:pPr>
    <w:tblPr>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4472C4" w:themeColor="accent1" w:sz="32" w:space="0"/>
          <w:bottom w:val="single" w:color="FFFFFF" w:themeColor="light1" w:sz="12" w:space="0"/>
        </w:tcBorders>
        <w:shd w:val="clear" w:color="4472C4" w:themeColor="accent1" w:fill="4472C4"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4472C4" w:themeColor="accent1" w:sz="32" w:space="0"/>
          <w:right w:val="single" w:color="FFFFFF" w:themeColor="light1" w:sz="4" w:space="0"/>
        </w:tcBorders>
      </w:tcPr>
    </w:tblStylePr>
    <w:tblStylePr w:type="lastCol">
      <w:tblPr/>
      <w:tcPr>
        <w:tcBorders>
          <w:left w:val="single" w:color="FFFFFF" w:themeColor="light1" w:sz="4" w:space="0"/>
          <w:right w:val="single" w:color="4472C4" w:themeColor="accent1" w:sz="32" w:space="0"/>
        </w:tcBorders>
      </w:tcPr>
    </w:tblStylePr>
    <w:tblStylePr w:type="band1Vert">
      <w:tblPr/>
      <w:tcPr>
        <w:tcBorders>
          <w:left w:val="single" w:color="FFFFFF" w:themeColor="light1" w:sz="4" w:space="0"/>
          <w:right w:val="single" w:color="FFFFFF" w:themeColor="light1" w:sz="4" w:space="0"/>
        </w:tcBorders>
        <w:shd w:val="clear" w:color="4472C4" w:themeColor="accent1" w:fill="4472C4"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472C4" w:themeColor="accent1" w:fill="4472C4" w:themeFill="accent1"/>
      </w:tcPr>
    </w:tblStylePr>
    <w:tblStylePr w:type="band2Horz">
      <w:tblPr/>
      <w:tcPr>
        <w:tcBorders>
          <w:top w:val="single" w:color="FFFFFF" w:themeColor="light1" w:sz="4" w:space="0"/>
          <w:bottom w:val="single" w:color="FFFFFF" w:themeColor="light1" w:sz="4" w:space="0"/>
        </w:tcBorders>
        <w:shd w:val="clear" w:color="4472C4" w:themeColor="accent1" w:fill="4472C4" w:themeFill="accent1"/>
      </w:tcPr>
    </w:tblStylePr>
    <w:tblStylePr w:type="neCell">
      <w:tblPr/>
    </w:tblStylePr>
    <w:tblStylePr w:type="nwCell">
      <w:tblPr/>
    </w:tblStylePr>
    <w:tblStylePr w:type="seCell">
      <w:tblPr/>
    </w:tblStylePr>
    <w:tblStylePr w:type="swCell">
      <w:tblPr/>
    </w:tblStylePr>
  </w:style>
  <w:style w:type="table" w:customStyle="1" w:styleId="147">
    <w:name w:val="List Table 5 Dark - Accent 2"/>
    <w:basedOn w:val="34"/>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4B285" w:themeColor="accent2" w:themeTint="97" w:sz="32" w:space="0"/>
          <w:right w:val="single" w:color="FFFFFF" w:themeColor="light1" w:sz="4" w:space="0"/>
        </w:tcBorders>
      </w:tcPr>
    </w:tblStylePr>
    <w:tblStylePr w:type="lastCol">
      <w:tblPr/>
      <w:tcPr>
        <w:tcBorders>
          <w:left w:val="single" w:color="FFFFFF" w:themeColor="light1" w:sz="4" w:space="0"/>
          <w:right w:val="single" w:color="F4B28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blPr/>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neCell">
      <w:tblPr/>
    </w:tblStylePr>
    <w:tblStylePr w:type="nwCell">
      <w:tblPr/>
    </w:tblStylePr>
    <w:tblStylePr w:type="seCell">
      <w:tblPr/>
    </w:tblStylePr>
    <w:tblStylePr w:type="swCell">
      <w:tblPr/>
    </w:tblStylePr>
  </w:style>
  <w:style w:type="table" w:customStyle="1" w:styleId="148">
    <w:name w:val="List Table 5 Dark - Accent 3"/>
    <w:basedOn w:val="34"/>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9C9C9" w:themeColor="accent3" w:themeTint="98" w:sz="32" w:space="0"/>
          <w:right w:val="single" w:color="FFFFFF" w:themeColor="light1" w:sz="4" w:space="0"/>
        </w:tcBorders>
      </w:tcPr>
    </w:tblStylePr>
    <w:tblStylePr w:type="lastCol">
      <w:tblPr/>
      <w:tcPr>
        <w:tcBorders>
          <w:left w:val="single" w:color="FFFFFF" w:themeColor="light1" w:sz="4" w:space="0"/>
          <w:right w:val="single" w:color="C9C9C9"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neCell">
      <w:tblPr/>
    </w:tblStylePr>
    <w:tblStylePr w:type="nwCell">
      <w:tblPr/>
    </w:tblStylePr>
    <w:tblStylePr w:type="seCell">
      <w:tblPr/>
    </w:tblStylePr>
    <w:tblStylePr w:type="swCell">
      <w:tblPr/>
    </w:tblStylePr>
  </w:style>
  <w:style w:type="table" w:customStyle="1" w:styleId="149">
    <w:name w:val="List Table 5 Dark - Accent 4"/>
    <w:basedOn w:val="34"/>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FD864" w:themeColor="accent4" w:themeTint="9A" w:sz="32" w:space="0"/>
          <w:right w:val="single" w:color="FFFFFF" w:themeColor="light1" w:sz="4" w:space="0"/>
        </w:tcBorders>
      </w:tcPr>
    </w:tblStylePr>
    <w:tblStylePr w:type="lastCol">
      <w:tblPr/>
      <w:tcPr>
        <w:tcBorders>
          <w:left w:val="single" w:color="FFFFFF" w:themeColor="light1" w:sz="4" w:space="0"/>
          <w:right w:val="single" w:color="FFD864"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blPr/>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neCell">
      <w:tblPr/>
    </w:tblStylePr>
    <w:tblStylePr w:type="nwCell">
      <w:tblPr/>
    </w:tblStylePr>
    <w:tblStylePr w:type="seCell">
      <w:tblPr/>
    </w:tblStylePr>
    <w:tblStylePr w:type="swCell">
      <w:tblPr/>
    </w:tblStylePr>
  </w:style>
  <w:style w:type="table" w:customStyle="1" w:styleId="150">
    <w:name w:val="List Table 5 Dark - Accent 5"/>
    <w:basedOn w:val="34"/>
    <w:uiPriority w:val="99"/>
    <w:pPr>
      <w:spacing w:after="0" w:line="240" w:lineRule="auto"/>
    </w:pPr>
    <w:tblPr>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9BC2E5" w:themeColor="accent5" w:themeTint="9A" w:sz="32" w:space="0"/>
          <w:bottom w:val="single" w:color="FFFFFF" w:themeColor="light1" w:sz="12" w:space="0"/>
        </w:tcBorders>
        <w:shd w:val="clear" w:color="9BC2E5" w:themeColor="accent5" w:themeTint="9A" w:fill="9BC2E5"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9BC2E5" w:themeColor="accent5" w:themeTint="9A" w:sz="32" w:space="0"/>
          <w:right w:val="single" w:color="FFFFFF" w:themeColor="light1" w:sz="4" w:space="0"/>
        </w:tcBorders>
      </w:tcPr>
    </w:tblStylePr>
    <w:tblStylePr w:type="lastCol">
      <w:tblPr/>
      <w:tcPr>
        <w:tcBorders>
          <w:left w:val="single" w:color="FFFFFF" w:themeColor="light1" w:sz="4" w:space="0"/>
          <w:right w:val="single" w:color="9BC2E5"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BC2E5" w:themeColor="accent5" w:themeTint="9A" w:fill="9BC2E5"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BC2E5" w:themeColor="accent5" w:themeTint="9A" w:fill="9BC2E5" w:themeFill="accent5" w:themeFillTint="9A"/>
      </w:tcPr>
    </w:tblStylePr>
    <w:tblStylePr w:type="band2Horz">
      <w:tblPr/>
      <w:tcPr>
        <w:tcBorders>
          <w:top w:val="single" w:color="FFFFFF" w:themeColor="light1" w:sz="4" w:space="0"/>
          <w:bottom w:val="single" w:color="FFFFFF" w:themeColor="light1" w:sz="4" w:space="0"/>
        </w:tcBorders>
        <w:shd w:val="clear" w:color="9BC2E5" w:themeColor="accent5" w:themeTint="9A" w:fill="9BC2E5" w:themeFill="accent5" w:themeFillTint="9A"/>
      </w:tcPr>
    </w:tblStylePr>
    <w:tblStylePr w:type="neCell">
      <w:tblPr/>
    </w:tblStylePr>
    <w:tblStylePr w:type="nwCell">
      <w:tblPr/>
    </w:tblStylePr>
    <w:tblStylePr w:type="seCell">
      <w:tblPr/>
    </w:tblStylePr>
    <w:tblStylePr w:type="swCell">
      <w:tblPr/>
    </w:tblStylePr>
  </w:style>
  <w:style w:type="table" w:customStyle="1" w:styleId="151">
    <w:name w:val="List Table 5 Dark - Accent 6"/>
    <w:basedOn w:val="34"/>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A9D08E" w:themeColor="accent6" w:themeTint="98" w:sz="32" w:space="0"/>
          <w:right w:val="single" w:color="FFFFFF" w:themeColor="light1" w:sz="4" w:space="0"/>
        </w:tcBorders>
      </w:tcPr>
    </w:tblStylePr>
    <w:tblStylePr w:type="lastCol">
      <w:tblPr/>
      <w:tcPr>
        <w:tcBorders>
          <w:left w:val="single" w:color="FFFFFF" w:themeColor="light1" w:sz="4" w:space="0"/>
          <w:right w:val="single" w:color="A9D08E"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blPr/>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neCell">
      <w:tblPr/>
    </w:tblStylePr>
    <w:tblStylePr w:type="nwCell">
      <w:tblPr/>
    </w:tblStylePr>
    <w:tblStylePr w:type="seCell">
      <w:tblPr/>
    </w:tblStylePr>
    <w:tblStylePr w:type="swCell">
      <w:tblPr/>
    </w:tblStylePr>
  </w:style>
  <w:style w:type="table" w:customStyle="1" w:styleId="152">
    <w:name w:val="List Table 6 Colorful"/>
    <w:basedOn w:val="34"/>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53">
    <w:name w:val="List Table 6 Colorful - Accent 1"/>
    <w:basedOn w:val="34"/>
    <w:uiPriority w:val="99"/>
    <w:pPr>
      <w:spacing w:after="0" w:line="240" w:lineRule="auto"/>
    </w:pPr>
    <w:tblPr>
      <w:tblBorders>
        <w:top w:val="single" w:color="4472C4" w:themeColor="accent1" w:sz="4" w:space="0"/>
        <w:bottom w:val="single" w:color="4472C4" w:themeColor="accent1" w:sz="4" w:space="0"/>
      </w:tblBorders>
    </w:tblPr>
    <w:tblStylePr w:type="firstRow">
      <w:rPr>
        <w:b/>
        <w:color w:val="254174" w:themeColor="accent1" w:themeShade="94"/>
      </w:rPr>
      <w:tblPr/>
      <w:tcPr>
        <w:tcBorders>
          <w:bottom w:val="single" w:color="4472C4" w:themeColor="accent1" w:sz="4" w:space="0"/>
        </w:tcBorders>
      </w:tcPr>
    </w:tblStylePr>
    <w:tblStylePr w:type="lastRow">
      <w:rPr>
        <w:b/>
        <w:color w:val="254174" w:themeColor="accent1" w:themeShade="94"/>
      </w:rPr>
      <w:tblPr/>
      <w:tcPr>
        <w:tcBorders>
          <w:top w:val="single" w:color="4472C4" w:themeColor="accent1" w:sz="4" w:space="0"/>
        </w:tcBorders>
      </w:tcPr>
    </w:tblStylePr>
    <w:tblStylePr w:type="firstCol">
      <w:rPr>
        <w:b/>
        <w:color w:val="254174" w:themeColor="accent1" w:themeShade="94"/>
      </w:rPr>
      <w:tblPr/>
    </w:tblStylePr>
    <w:tblStylePr w:type="lastCol">
      <w:rPr>
        <w:b/>
        <w:color w:val="254174" w:themeColor="accent1" w:themeShade="94"/>
      </w:rPr>
      <w:tblPr/>
    </w:tblStylePr>
    <w:tblStylePr w:type="band1Vert">
      <w:tblPr/>
      <w:tcPr>
        <w:shd w:val="clear" w:color="D0DBF0" w:themeColor="accent1" w:themeTint="40" w:fill="D0DBF0" w:themeFill="accent1" w:themeFillTint="40"/>
      </w:tcPr>
    </w:tblStylePr>
    <w:tblStylePr w:type="band2Vert">
      <w:tblPr/>
    </w:tblStylePr>
    <w:tblStylePr w:type="band1Horz">
      <w:rPr>
        <w:rFonts w:ascii="Arial" w:hAnsi="Arial"/>
        <w:color w:val="254174" w:themeColor="accent1" w:themeShade="94"/>
        <w:sz w:val="22"/>
      </w:rPr>
      <w:tblPr/>
      <w:tcPr>
        <w:shd w:val="clear" w:color="D0DBF0" w:themeColor="accent1" w:themeTint="40" w:fill="D0DBF0" w:themeFill="accent1" w:themeFillTint="40"/>
      </w:tcPr>
    </w:tblStylePr>
    <w:tblStylePr w:type="band2Horz">
      <w:rPr>
        <w:rFonts w:ascii="Arial" w:hAnsi="Arial"/>
        <w:color w:val="254174"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4">
    <w:name w:val="List Table 6 Colorful - Accent 2"/>
    <w:basedOn w:val="34"/>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bl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bl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Pr/>
    </w:tblStylePr>
    <w:tblStylePr w:type="lastCol">
      <w:rPr>
        <w:b/>
        <w:color w:val="F4B285" w:themeColor="accent2" w:themeTint="96"/>
        <w14:textFill>
          <w14:solidFill>
            <w14:schemeClr w14:val="accent2">
              <w14:lumMod w14:val="59000"/>
              <w14:lumOff w14:val="41000"/>
            </w14:schemeClr>
          </w14:solidFill>
        </w14:textFill>
      </w:rPr>
      <w:tblPr/>
    </w:tblStylePr>
    <w:tblStylePr w:type="band1Vert">
      <w:tblPr/>
      <w:tcPr>
        <w:shd w:val="clear" w:color="FADECB" w:themeColor="accent2" w:themeTint="40" w:fill="FADECB" w:themeFill="accent2" w:themeFillTint="40"/>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5">
    <w:name w:val="List Table 6 Colorful - Accent 3"/>
    <w:basedOn w:val="34"/>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bl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bl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Pr/>
    </w:tblStylePr>
    <w:tblStylePr w:type="lastCol">
      <w:rPr>
        <w:b/>
        <w:color w:val="C9C9C9" w:themeColor="accent3" w:themeTint="99"/>
        <w14:textFill>
          <w14:solidFill>
            <w14:schemeClr w14:val="accent3">
              <w14:lumMod w14:val="60000"/>
              <w14:lumOff w14:val="40000"/>
            </w14:schemeClr>
          </w14:solidFill>
        </w14:textFill>
      </w:rPr>
      <w:tblPr/>
    </w:tblStylePr>
    <w:tblStylePr w:type="band1Vert">
      <w:tblPr/>
      <w:tcPr>
        <w:shd w:val="clear" w:color="E8E8E8" w:themeColor="accent3" w:themeTint="40" w:fill="E8E8E8" w:themeFill="accent3" w:themeFillTint="40"/>
      </w:tcPr>
    </w:tblStylePr>
    <w:tblStylePr w:type="band2Vert">
      <w:tbl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bl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6">
    <w:name w:val="List Table 6 Colorful - Accent 4"/>
    <w:basedOn w:val="34"/>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bl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bl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Pr/>
    </w:tblStylePr>
    <w:tblStylePr w:type="lastCol">
      <w:rPr>
        <w:b/>
        <w:color w:val="FFD966" w:themeColor="accent4" w:themeTint="99"/>
        <w14:textFill>
          <w14:solidFill>
            <w14:schemeClr w14:val="accent4">
              <w14:lumMod w14:val="60000"/>
              <w14:lumOff w14:val="40000"/>
            </w14:schemeClr>
          </w14:solidFill>
        </w14:textFill>
      </w:rPr>
      <w:tblPr/>
    </w:tblStylePr>
    <w:tblStylePr w:type="band1Vert">
      <w:tblPr/>
      <w:tcPr>
        <w:shd w:val="clear" w:color="FFEFBE" w:themeColor="accent4" w:themeTint="40" w:fill="FFEFBE" w:themeFill="accent4" w:themeFillTint="40"/>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7">
    <w:name w:val="List Table 6 Colorful - Accent 5"/>
    <w:basedOn w:val="34"/>
    <w:uiPriority w:val="99"/>
    <w:pPr>
      <w:spacing w:after="0" w:line="240" w:lineRule="auto"/>
    </w:pPr>
    <w:tblPr>
      <w:tblBorders>
        <w:top w:val="single" w:color="9BC2E5" w:themeColor="accent5" w:themeTint="9A" w:sz="4" w:space="0"/>
        <w:bottom w:val="single" w:color="9BC2E5" w:themeColor="accent5" w:themeTint="9A" w:sz="4" w:space="0"/>
      </w:tblBorders>
    </w:tblPr>
    <w:tblStylePr w:type="firstRow">
      <w:rPr>
        <w:b/>
        <w:color w:val="9DC3E6" w:themeColor="accent5" w:themeTint="99"/>
        <w14:textFill>
          <w14:solidFill>
            <w14:schemeClr w14:val="accent5">
              <w14:lumMod w14:val="60000"/>
              <w14:lumOff w14:val="40000"/>
            </w14:schemeClr>
          </w14:solidFill>
        </w14:textFill>
      </w:rPr>
      <w:tblPr/>
      <w:tcPr>
        <w:tcBorders>
          <w:bottom w:val="single" w:color="9BC2E5" w:themeColor="accent5" w:themeTint="9A" w:sz="4" w:space="0"/>
        </w:tcBorders>
      </w:tcPr>
    </w:tblStylePr>
    <w:tblStylePr w:type="lastRow">
      <w:rPr>
        <w:b/>
        <w:color w:val="9DC3E6" w:themeColor="accent5" w:themeTint="99"/>
        <w14:textFill>
          <w14:solidFill>
            <w14:schemeClr w14:val="accent5">
              <w14:lumMod w14:val="60000"/>
              <w14:lumOff w14:val="40000"/>
            </w14:schemeClr>
          </w14:solidFill>
        </w14:textFill>
      </w:rPr>
      <w:tblPr/>
      <w:tcPr>
        <w:tcBorders>
          <w:top w:val="single" w:color="9BC2E5" w:themeColor="accent5" w:themeTint="9A" w:sz="4" w:space="0"/>
        </w:tcBorders>
      </w:tcPr>
    </w:tblStylePr>
    <w:tblStylePr w:type="firstCol">
      <w:rPr>
        <w:b/>
        <w:color w:val="9DC3E6" w:themeColor="accent5" w:themeTint="99"/>
        <w14:textFill>
          <w14:solidFill>
            <w14:schemeClr w14:val="accent5">
              <w14:lumMod w14:val="60000"/>
              <w14:lumOff w14:val="40000"/>
            </w14:schemeClr>
          </w14:solidFill>
        </w14:textFill>
      </w:rPr>
      <w:tblPr/>
    </w:tblStylePr>
    <w:tblStylePr w:type="lastCol">
      <w:rPr>
        <w:b/>
        <w:color w:val="9DC3E6" w:themeColor="accent5" w:themeTint="99"/>
        <w14:textFill>
          <w14:solidFill>
            <w14:schemeClr w14:val="accent5">
              <w14:lumMod w14:val="60000"/>
              <w14:lumOff w14:val="40000"/>
            </w14:schemeClr>
          </w14:solidFill>
        </w14:textFill>
      </w:rPr>
      <w:tblPr/>
    </w:tblStylePr>
    <w:tblStylePr w:type="band1Vert">
      <w:tblPr/>
      <w:tcPr>
        <w:shd w:val="clear" w:color="D5E5F4" w:themeColor="accent5" w:themeTint="40" w:fill="D5E5F4" w:themeFill="accent5" w:themeFillTint="40"/>
      </w:tcPr>
    </w:tblStylePr>
    <w:tblStylePr w:type="band2Vert">
      <w:tblPr/>
    </w:tblStylePr>
    <w:tblStylePr w:type="band1Horz">
      <w:rPr>
        <w:rFonts w:ascii="Arial" w:hAnsi="Arial"/>
        <w:color w:val="9DC3E6" w:themeColor="accent5" w:themeTint="99"/>
        <w:sz w:val="22"/>
        <w14:textFill>
          <w14:solidFill>
            <w14:schemeClr w14:val="accent5">
              <w14:lumMod w14:val="60000"/>
              <w14:lumOff w14:val="40000"/>
            </w14:schemeClr>
          </w14:solidFill>
        </w14:textFill>
      </w:rPr>
      <w:tblPr/>
      <w:tcPr>
        <w:shd w:val="clear" w:color="D5E5F4" w:themeColor="accent5" w:themeTint="40" w:fill="D5E5F4" w:themeFill="accent5" w:themeFillTint="40"/>
      </w:tcPr>
    </w:tblStylePr>
    <w:tblStylePr w:type="band2Horz">
      <w:rPr>
        <w:rFonts w:ascii="Arial" w:hAnsi="Arial"/>
        <w:color w:val="9DC3E6"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st Table 6 Colorful - Accent 6"/>
    <w:basedOn w:val="34"/>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bl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bl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Pr/>
    </w:tblStylePr>
    <w:tblStylePr w:type="lastCol">
      <w:rPr>
        <w:b/>
        <w:color w:val="A9D18E" w:themeColor="accent6" w:themeTint="99"/>
        <w14:textFill>
          <w14:solidFill>
            <w14:schemeClr w14:val="accent6">
              <w14:lumMod w14:val="60000"/>
              <w14:lumOff w14:val="40000"/>
            </w14:schemeClr>
          </w14:solidFill>
        </w14:textFill>
      </w:rPr>
      <w:tblPr/>
    </w:tblStylePr>
    <w:tblStylePr w:type="band1Vert">
      <w:tblPr/>
      <w:tcPr>
        <w:shd w:val="clear" w:color="DAEBCF" w:themeColor="accent6" w:themeTint="40" w:fill="DAEBCF" w:themeFill="accent6" w:themeFillTint="40"/>
      </w:tcPr>
    </w:tblStylePr>
    <w:tblStylePr w:type="band2Vert">
      <w:tbl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bl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9">
    <w:name w:val="List Table 7 Colorful"/>
    <w:basedOn w:val="34"/>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0">
    <w:name w:val="List Table 7 Colorful - Accent 1"/>
    <w:basedOn w:val="34"/>
    <w:uiPriority w:val="99"/>
    <w:pPr>
      <w:spacing w:after="0" w:line="240" w:lineRule="auto"/>
    </w:pPr>
    <w:tblPr>
      <w:tblBorders>
        <w:right w:val="single" w:color="4472C4" w:themeColor="accent1" w:sz="4" w:space="0"/>
      </w:tblBorders>
    </w:tblPr>
    <w:tblStylePr w:type="firstRow">
      <w:rPr>
        <w:rFonts w:ascii="Arial" w:hAnsi="Arial"/>
        <w:i/>
        <w:color w:val="254174" w:themeColor="accent1" w:themeShade="94"/>
        <w:sz w:val="22"/>
      </w:rPr>
      <w:tblPr/>
      <w:tcPr>
        <w:tcBorders>
          <w:top w:val="nil"/>
          <w:left w:val="nil"/>
          <w:bottom w:val="single" w:color="4472C4" w:themeColor="accent1" w:sz="4" w:space="0"/>
          <w:right w:val="nil"/>
        </w:tcBorders>
        <w:shd w:val="clear" w:color="FFFFFF" w:themeColor="light1" w:fill="FFFFFF" w:themeFill="light1"/>
      </w:tcPr>
    </w:tblStylePr>
    <w:tblStylePr w:type="lastRow">
      <w:rPr>
        <w:rFonts w:ascii="Arial" w:hAnsi="Arial"/>
        <w:i/>
        <w:color w:val="254174" w:themeColor="accent1" w:themeShade="94"/>
        <w:sz w:val="22"/>
      </w:rPr>
      <w:tblPr/>
      <w:tcPr>
        <w:tcBorders>
          <w:top w:val="single" w:color="4472C4"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1" w:themeShade="94"/>
        <w:sz w:val="22"/>
      </w:rPr>
      <w:tblPr/>
      <w:tcPr>
        <w:tcBorders>
          <w:top w:val="nil"/>
          <w:left w:val="nil"/>
          <w:bottom w:val="nil"/>
          <w:right w:val="single" w:color="4472C4" w:themeColor="accent1" w:sz="4" w:space="0"/>
        </w:tcBorders>
        <w:shd w:val="clear" w:color="FFFFFF" w:fill="auto"/>
      </w:tcPr>
    </w:tblStylePr>
    <w:tblStylePr w:type="lastCol">
      <w:rPr>
        <w:rFonts w:ascii="Arial" w:hAnsi="Arial"/>
        <w:i/>
        <w:color w:val="254174" w:themeColor="accent1" w:themeShade="94"/>
        <w:sz w:val="22"/>
      </w:rPr>
      <w:tblPr/>
      <w:tcPr>
        <w:tcBorders>
          <w:top w:val="nil"/>
          <w:left w:val="single" w:color="4472C4" w:themeColor="accent1" w:sz="4" w:space="0"/>
          <w:bottom w:val="nil"/>
          <w:right w:val="nil"/>
        </w:tcBorders>
        <w:shd w:val="clear" w:color="FFFFFF" w:fill="auto"/>
      </w:tcPr>
    </w:tblStylePr>
    <w:tblStylePr w:type="band1Vert">
      <w:tblPr/>
      <w:tcPr>
        <w:shd w:val="clear" w:color="D0DBF0" w:themeColor="accent1" w:themeTint="40" w:fill="D0DBF0" w:themeFill="accent1" w:themeFillTint="40"/>
      </w:tcPr>
    </w:tblStylePr>
    <w:tblStylePr w:type="band2Vert">
      <w:tblPr/>
    </w:tblStylePr>
    <w:tblStylePr w:type="band1Horz">
      <w:rPr>
        <w:rFonts w:ascii="Arial" w:hAnsi="Arial"/>
        <w:color w:val="254174" w:themeColor="accent1" w:themeShade="94"/>
        <w:sz w:val="22"/>
      </w:rPr>
      <w:tblPr/>
      <w:tcPr>
        <w:shd w:val="clear" w:color="D0DBF0" w:themeColor="accent1" w:themeTint="40" w:fill="D0DBF0" w:themeFill="accent1" w:themeFillTint="40"/>
      </w:tcPr>
    </w:tblStylePr>
    <w:tblStylePr w:type="band2Horz">
      <w:rPr>
        <w:rFonts w:ascii="Arial" w:hAnsi="Arial"/>
        <w:color w:val="254174"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61">
    <w:name w:val="List Table 7 Colorful - Accent 2"/>
    <w:basedOn w:val="34"/>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bl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single" w:color="F4B285" w:themeColor="accent2" w:themeTint="97" w:sz="4" w:space="0"/>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2">
    <w:name w:val="List Table 7 Colorful - Accent 3"/>
    <w:basedOn w:val="34"/>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bl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single" w:color="C9C9C9" w:themeColor="accent3" w:themeTint="98" w:sz="4" w:space="0"/>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2Vert">
      <w:tbl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bl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3">
    <w:name w:val="List Table 7 Colorful - Accent 4"/>
    <w:basedOn w:val="34"/>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bl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single" w:color="FFD864" w:themeColor="accent4" w:themeTint="9A" w:sz="4" w:space="0"/>
          <w:bottom w:val="nil"/>
          <w:right w:val="nil"/>
        </w:tcBorders>
        <w:shd w:val="clear" w:color="FFFFFF" w:fill="auto"/>
      </w:tcPr>
    </w:tblStylePr>
    <w:tblStylePr w:type="band1Vert">
      <w:tblPr/>
      <w:tcPr>
        <w:shd w:val="clear" w:color="FFEFBE" w:themeColor="accent4" w:themeTint="40" w:fill="FFEFBE" w:themeFill="accent4" w:themeFillTint="40"/>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4">
    <w:name w:val="List Table 7 Colorful - Accent 5"/>
    <w:basedOn w:val="34"/>
    <w:uiPriority w:val="99"/>
    <w:pPr>
      <w:spacing w:after="0" w:line="240" w:lineRule="auto"/>
    </w:pPr>
    <w:tblPr>
      <w:tblBorders>
        <w:right w:val="single" w:color="9BC2E5" w:themeColor="accent5" w:themeTint="9A" w:sz="4" w:space="0"/>
      </w:tblBorders>
    </w:tblPr>
    <w:tblStylePr w:type="firstRow">
      <w:rPr>
        <w:rFonts w:ascii="Arial" w:hAnsi="Arial"/>
        <w:i/>
        <w:color w:val="9DC3E6" w:themeColor="accent5" w:themeTint="99"/>
        <w:sz w:val="22"/>
        <w14:textFill>
          <w14:solidFill>
            <w14:schemeClr w14:val="accent5">
              <w14:lumMod w14:val="60000"/>
              <w14:lumOff w14:val="40000"/>
            </w14:schemeClr>
          </w14:solidFill>
        </w14:textFill>
      </w:rPr>
      <w:tblPr/>
      <w:tcPr>
        <w:tcBorders>
          <w:top w:val="nil"/>
          <w:left w:val="nil"/>
          <w:bottom w:val="single" w:color="9BC2E5" w:themeColor="accent5" w:themeTint="9A" w:sz="4" w:space="0"/>
          <w:right w:val="nil"/>
        </w:tcBorders>
        <w:shd w:val="clear" w:color="FFFFFF" w:themeColor="light1" w:fill="FFFFFF" w:themeFill="light1"/>
      </w:tcPr>
    </w:tblStylePr>
    <w:tblStylePr w:type="lastRow">
      <w:rPr>
        <w:rFonts w:ascii="Arial" w:hAnsi="Arial"/>
        <w:i/>
        <w:color w:val="9DC3E6" w:themeColor="accent5" w:themeTint="99"/>
        <w:sz w:val="22"/>
        <w14:textFill>
          <w14:solidFill>
            <w14:schemeClr w14:val="accent5">
              <w14:lumMod w14:val="60000"/>
              <w14:lumOff w14:val="40000"/>
            </w14:schemeClr>
          </w14:solidFill>
        </w14:textFill>
      </w:rPr>
      <w:tblPr/>
      <w:tcPr>
        <w:tcBorders>
          <w:top w:val="single" w:color="9BC2E5"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DC3E6" w:themeColor="accent5" w:themeTint="99"/>
        <w:sz w:val="22"/>
        <w14:textFill>
          <w14:solidFill>
            <w14:schemeClr w14:val="accent5">
              <w14:lumMod w14:val="60000"/>
              <w14:lumOff w14:val="40000"/>
            </w14:schemeClr>
          </w14:solidFill>
        </w14:textFill>
      </w:rPr>
      <w:tblPr/>
      <w:tcPr>
        <w:tcBorders>
          <w:top w:val="nil"/>
          <w:left w:val="nil"/>
          <w:bottom w:val="nil"/>
          <w:right w:val="single" w:color="9BC2E5" w:themeColor="accent5" w:themeTint="9A" w:sz="4" w:space="0"/>
        </w:tcBorders>
        <w:shd w:val="clear" w:color="FFFFFF" w:fill="auto"/>
      </w:tcPr>
    </w:tblStylePr>
    <w:tblStylePr w:type="lastCol">
      <w:rPr>
        <w:rFonts w:ascii="Arial" w:hAnsi="Arial"/>
        <w:i/>
        <w:color w:val="9DC3E6" w:themeColor="accent5" w:themeTint="99"/>
        <w:sz w:val="22"/>
        <w14:textFill>
          <w14:solidFill>
            <w14:schemeClr w14:val="accent5">
              <w14:lumMod w14:val="60000"/>
              <w14:lumOff w14:val="40000"/>
            </w14:schemeClr>
          </w14:solidFill>
        </w14:textFill>
      </w:rPr>
      <w:tblPr/>
      <w:tcPr>
        <w:tcBorders>
          <w:top w:val="nil"/>
          <w:left w:val="single" w:color="9BC2E5" w:themeColor="accent5" w:themeTint="9A" w:sz="4" w:space="0"/>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2Vert">
      <w:tblPr/>
    </w:tblStylePr>
    <w:tblStylePr w:type="band1Horz">
      <w:rPr>
        <w:rFonts w:ascii="Arial" w:hAnsi="Arial"/>
        <w:color w:val="9DC3E6" w:themeColor="accent5" w:themeTint="99"/>
        <w:sz w:val="22"/>
        <w14:textFill>
          <w14:solidFill>
            <w14:schemeClr w14:val="accent5">
              <w14:lumMod w14:val="60000"/>
              <w14:lumOff w14:val="40000"/>
            </w14:schemeClr>
          </w14:solidFill>
        </w14:textFill>
      </w:rPr>
      <w:tblPr/>
      <w:tcPr>
        <w:shd w:val="clear" w:color="D5E5F4" w:themeColor="accent5" w:themeTint="40" w:fill="D5E5F4" w:themeFill="accent5" w:themeFillTint="40"/>
      </w:tcPr>
    </w:tblStylePr>
    <w:tblStylePr w:type="band2Horz">
      <w:rPr>
        <w:rFonts w:ascii="Arial" w:hAnsi="Arial"/>
        <w:color w:val="9DC3E6"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5">
    <w:name w:val="List Table 7 Colorful - Accent 6"/>
    <w:basedOn w:val="34"/>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bl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single" w:color="A9D08E" w:themeColor="accent6" w:themeTint="98" w:sz="4" w:space="0"/>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2Vert">
      <w:tbl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bl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6">
    <w:name w:val="Lined - Accent"/>
    <w:basedOn w:val="34"/>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7">
    <w:name w:val="Lined - Accent 1"/>
    <w:basedOn w:val="34"/>
    <w:uiPriority w:val="99"/>
    <w:pPr>
      <w:spacing w:after="0" w:line="240" w:lineRule="auto"/>
    </w:pPr>
    <w:rPr>
      <w:color w:val="40404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4D2EC" w:themeColor="accent1" w:themeTint="50" w:fill="C4D2EC" w:themeFill="accent1" w:themeFillTint="50"/>
      </w:tcPr>
    </w:tblStylePr>
    <w:tblStylePr w:type="neCell">
      <w:tblPr/>
    </w:tblStylePr>
    <w:tblStylePr w:type="nwCell">
      <w:tblPr/>
    </w:tblStylePr>
    <w:tblStylePr w:type="seCell">
      <w:tblPr/>
    </w:tblStylePr>
    <w:tblStylePr w:type="swCell">
      <w:tblPr/>
    </w:tblStylePr>
  </w:style>
  <w:style w:type="table" w:customStyle="1" w:styleId="168">
    <w:name w:val="Lined - Accent 2"/>
    <w:basedOn w:val="34"/>
    <w:uiPriority w:val="99"/>
    <w:pPr>
      <w:spacing w:after="0" w:line="240" w:lineRule="auto"/>
    </w:pPr>
    <w:rPr>
      <w:color w:val="404040"/>
    </w:rPr>
    <w:tblPr/>
    <w:tblStylePr w:type="firstRow">
      <w:rPr>
        <w:rFonts w:ascii="Arial" w:hAnsi="Arial"/>
        <w:color w:val="F2F2F2"/>
        <w:sz w:val="22"/>
      </w:rPr>
      <w:tblPr/>
      <w:tcPr>
        <w:shd w:val="clear" w:color="F4B285" w:themeColor="accent2" w:themeTint="97" w:fill="F4B285" w:themeFill="accent2" w:themeFillTint="97"/>
      </w:tcPr>
    </w:tblStylePr>
    <w:tblStylePr w:type="lastRow">
      <w:rPr>
        <w:rFonts w:ascii="Arial" w:hAnsi="Arial"/>
        <w:color w:val="F2F2F2"/>
        <w:sz w:val="22"/>
      </w:rPr>
      <w:tblPr/>
      <w:tcPr>
        <w:shd w:val="clear" w:color="F4B285" w:themeColor="accent2" w:themeTint="97" w:fill="F4B285" w:themeFill="accent2" w:themeFillTint="97"/>
      </w:tcPr>
    </w:tblStylePr>
    <w:tblStylePr w:type="firstCol">
      <w:rPr>
        <w:rFonts w:ascii="Arial" w:hAnsi="Arial"/>
        <w:color w:val="F2F2F2"/>
        <w:sz w:val="22"/>
      </w:rPr>
      <w:tblPr/>
      <w:tcPr>
        <w:shd w:val="clear" w:color="F4B285" w:themeColor="accent2" w:themeTint="97" w:fill="F4B285" w:themeFill="accent2" w:themeFillTint="97"/>
      </w:tcPr>
    </w:tblStylePr>
    <w:tblStylePr w:type="lastCol">
      <w:rPr>
        <w:rFonts w:ascii="Arial" w:hAnsi="Arial"/>
        <w:color w:val="F2F2F2"/>
        <w:sz w:val="22"/>
      </w:rPr>
      <w:tblPr/>
      <w:tcPr>
        <w:shd w:val="clear" w:color="F4B285" w:themeColor="accent2" w:themeTint="97" w:fill="F4B28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5D6" w:themeColor="accent2" w:themeTint="32" w:fill="FBE5D6" w:themeFill="accent2" w:themeFillTint="32"/>
      </w:tcPr>
    </w:tblStylePr>
    <w:tblStylePr w:type="neCell">
      <w:tblPr/>
    </w:tblStylePr>
    <w:tblStylePr w:type="nwCell">
      <w:tblPr/>
    </w:tblStylePr>
    <w:tblStylePr w:type="seCell">
      <w:tblPr/>
    </w:tblStylePr>
    <w:tblStylePr w:type="swCell">
      <w:tblPr/>
    </w:tblStylePr>
  </w:style>
  <w:style w:type="table" w:customStyle="1" w:styleId="169">
    <w:name w:val="Lined - Accent 3"/>
    <w:basedOn w:val="34"/>
    <w:uiPriority w:val="99"/>
    <w:pPr>
      <w:spacing w:after="0" w:line="240" w:lineRule="auto"/>
    </w:pPr>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CECEC" w:themeColor="accent3" w:themeTint="34" w:fill="ECECEC" w:themeFill="accent3" w:themeFillTint="34"/>
      </w:tcPr>
    </w:tblStylePr>
    <w:tblStylePr w:type="neCell">
      <w:tblPr/>
    </w:tblStylePr>
    <w:tblStylePr w:type="nwCell">
      <w:tblPr/>
    </w:tblStylePr>
    <w:tblStylePr w:type="seCell">
      <w:tblPr/>
    </w:tblStylePr>
    <w:tblStylePr w:type="swCell">
      <w:tblPr/>
    </w:tblStylePr>
  </w:style>
  <w:style w:type="table" w:customStyle="1" w:styleId="170">
    <w:name w:val="Lined - Accent 4"/>
    <w:basedOn w:val="34"/>
    <w:uiPriority w:val="99"/>
    <w:pPr>
      <w:spacing w:after="0" w:line="240" w:lineRule="auto"/>
    </w:pPr>
    <w:rPr>
      <w:color w:val="404040"/>
    </w:rPr>
    <w:tblPr/>
    <w:tblStylePr w:type="firstRow">
      <w:rPr>
        <w:rFonts w:ascii="Arial" w:hAnsi="Arial"/>
        <w:color w:val="F2F2F2"/>
        <w:sz w:val="22"/>
      </w:rPr>
      <w:tblPr/>
      <w:tcPr>
        <w:shd w:val="clear" w:color="FFD864" w:themeColor="accent4" w:themeTint="9A" w:fill="FFD864" w:themeFill="accent4" w:themeFillTint="9A"/>
      </w:tcPr>
    </w:tblStylePr>
    <w:tblStylePr w:type="lastRow">
      <w:rPr>
        <w:rFonts w:ascii="Arial" w:hAnsi="Arial"/>
        <w:color w:val="F2F2F2"/>
        <w:sz w:val="22"/>
      </w:rPr>
      <w:tblPr/>
      <w:tcPr>
        <w:shd w:val="clear" w:color="FFD864" w:themeColor="accent4" w:themeTint="9A" w:fill="FFD864" w:themeFill="accent4" w:themeFillTint="9A"/>
      </w:tcPr>
    </w:tblStylePr>
    <w:tblStylePr w:type="firstCol">
      <w:rPr>
        <w:rFonts w:ascii="Arial" w:hAnsi="Arial"/>
        <w:color w:val="F2F2F2"/>
        <w:sz w:val="22"/>
      </w:rPr>
      <w:tblPr/>
      <w:tcPr>
        <w:shd w:val="clear" w:color="FFD864" w:themeColor="accent4" w:themeTint="9A" w:fill="FFD864" w:themeFill="accent4" w:themeFillTint="9A"/>
      </w:tcPr>
    </w:tblStylePr>
    <w:tblStylePr w:type="lastCol">
      <w:rPr>
        <w:rFonts w:ascii="Arial" w:hAnsi="Arial"/>
        <w:color w:val="F2F2F2"/>
        <w:sz w:val="22"/>
      </w:rPr>
      <w:tblPr/>
      <w:tcPr>
        <w:shd w:val="clear" w:color="FFD864" w:themeColor="accent4" w:themeTint="9A" w:fill="FFD864"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FEF2CA" w:themeColor="accent4" w:themeTint="34" w:fill="FEF2CA"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A" w:themeColor="accent4" w:themeTint="34" w:fill="FEF2CA" w:themeFill="accent4" w:themeFillTint="34"/>
      </w:tcPr>
    </w:tblStylePr>
    <w:tblStylePr w:type="neCell">
      <w:tblPr/>
    </w:tblStylePr>
    <w:tblStylePr w:type="nwCell">
      <w:tblPr/>
    </w:tblStylePr>
    <w:tblStylePr w:type="seCell">
      <w:tblPr/>
    </w:tblStylePr>
    <w:tblStylePr w:type="swCell">
      <w:tblPr/>
    </w:tblStylePr>
  </w:style>
  <w:style w:type="table" w:customStyle="1" w:styleId="171">
    <w:name w:val="Lined - Accent 5"/>
    <w:basedOn w:val="34"/>
    <w:uiPriority w:val="99"/>
    <w:pPr>
      <w:spacing w:after="0" w:line="240" w:lineRule="auto"/>
    </w:pPr>
    <w:rPr>
      <w:color w:val="40404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DEAF6" w:themeColor="accent5" w:themeTint="34" w:fill="DDEAF6" w:themeFill="accent5" w:themeFillTint="34"/>
      </w:tcPr>
    </w:tblStylePr>
    <w:tblStylePr w:type="neCell">
      <w:tblPr/>
    </w:tblStylePr>
    <w:tblStylePr w:type="nwCell">
      <w:tblPr/>
    </w:tblStylePr>
    <w:tblStylePr w:type="seCell">
      <w:tblPr/>
    </w:tblStylePr>
    <w:tblStylePr w:type="swCell">
      <w:tblPr/>
    </w:tblStylePr>
  </w:style>
  <w:style w:type="table" w:customStyle="1" w:styleId="172">
    <w:name w:val="Lined - Accent 6"/>
    <w:basedOn w:val="34"/>
    <w:uiPriority w:val="99"/>
    <w:pPr>
      <w:spacing w:after="0" w:line="240" w:lineRule="auto"/>
    </w:pPr>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1EFD8" w:themeColor="accent6" w:themeTint="34" w:fill="E1EFD8" w:themeFill="accent6" w:themeFillTint="34"/>
      </w:tcPr>
    </w:tblStylePr>
    <w:tblStylePr w:type="neCell">
      <w:tblPr/>
    </w:tblStylePr>
    <w:tblStylePr w:type="nwCell">
      <w:tblPr/>
    </w:tblStylePr>
    <w:tblStylePr w:type="seCell">
      <w:tblPr/>
    </w:tblStylePr>
    <w:tblStylePr w:type="swCell">
      <w:tblPr/>
    </w:tblStylePr>
  </w:style>
  <w:style w:type="table" w:customStyle="1" w:styleId="173">
    <w:name w:val="Bordered &amp; Lined - Accent"/>
    <w:basedOn w:val="34"/>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4">
    <w:name w:val="Bordered &amp; Lined - Accent 1"/>
    <w:basedOn w:val="34"/>
    <w:uiPriority w:val="99"/>
    <w:pPr>
      <w:spacing w:after="0" w:line="240" w:lineRule="auto"/>
    </w:pPr>
    <w:rPr>
      <w:color w:val="404040"/>
    </w:rPr>
    <w:tblPr>
      <w:tblBorders>
        <w:top w:val="single" w:color="244175" w:themeColor="accent1" w:themeShade="95" w:sz="4" w:space="0"/>
        <w:left w:val="single" w:color="244175" w:themeColor="accent1" w:themeShade="95" w:sz="4" w:space="0"/>
        <w:bottom w:val="single" w:color="244175" w:themeColor="accent1" w:themeShade="95" w:sz="4" w:space="0"/>
        <w:right w:val="single" w:color="244175" w:themeColor="accent1" w:themeShade="95" w:sz="4" w:space="0"/>
        <w:insideH w:val="single" w:color="244175" w:themeColor="accent1" w:themeShade="95" w:sz="4" w:space="0"/>
        <w:insideV w:val="single" w:color="244175" w:themeColor="accent1" w:themeShade="95" w:sz="4" w:space="0"/>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4D2EC" w:themeColor="accent1" w:themeTint="50" w:fill="C4D2EC" w:themeFill="accent1" w:themeFillTint="50"/>
      </w:tcPr>
    </w:tblStylePr>
    <w:tblStylePr w:type="neCell">
      <w:tblPr/>
    </w:tblStylePr>
    <w:tblStylePr w:type="nwCell">
      <w:tblPr/>
    </w:tblStylePr>
    <w:tblStylePr w:type="seCell">
      <w:tblPr/>
    </w:tblStylePr>
    <w:tblStylePr w:type="swCell">
      <w:tblPr/>
    </w:tblStylePr>
  </w:style>
  <w:style w:type="table" w:customStyle="1" w:styleId="175">
    <w:name w:val="Bordered &amp; Lined - Accent 2"/>
    <w:basedOn w:val="34"/>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blPr/>
      <w:tcPr>
        <w:shd w:val="clear" w:color="F4B285" w:themeColor="accent2" w:themeTint="97" w:fill="F4B285" w:themeFill="accent2" w:themeFillTint="97"/>
      </w:tcPr>
    </w:tblStylePr>
    <w:tblStylePr w:type="lastRow">
      <w:rPr>
        <w:rFonts w:ascii="Arial" w:hAnsi="Arial"/>
        <w:color w:val="F2F2F2"/>
        <w:sz w:val="22"/>
      </w:rPr>
      <w:tblPr/>
      <w:tcPr>
        <w:shd w:val="clear" w:color="F4B285" w:themeColor="accent2" w:themeTint="97" w:fill="F4B285" w:themeFill="accent2" w:themeFillTint="97"/>
      </w:tcPr>
    </w:tblStylePr>
    <w:tblStylePr w:type="firstCol">
      <w:rPr>
        <w:rFonts w:ascii="Arial" w:hAnsi="Arial"/>
        <w:color w:val="F2F2F2"/>
        <w:sz w:val="22"/>
      </w:rPr>
      <w:tblPr/>
      <w:tcPr>
        <w:shd w:val="clear" w:color="F4B285" w:themeColor="accent2" w:themeTint="97" w:fill="F4B285" w:themeFill="accent2" w:themeFillTint="97"/>
      </w:tcPr>
    </w:tblStylePr>
    <w:tblStylePr w:type="lastCol">
      <w:rPr>
        <w:rFonts w:ascii="Arial" w:hAnsi="Arial"/>
        <w:color w:val="F2F2F2"/>
        <w:sz w:val="22"/>
      </w:rPr>
      <w:tblPr/>
      <w:tcPr>
        <w:shd w:val="clear" w:color="F4B285" w:themeColor="accent2" w:themeTint="97" w:fill="F4B28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5D6" w:themeColor="accent2" w:themeTint="32" w:fill="FBE5D6" w:themeFill="accent2" w:themeFillTint="32"/>
      </w:tcPr>
    </w:tblStylePr>
    <w:tblStylePr w:type="neCell">
      <w:tblPr/>
    </w:tblStylePr>
    <w:tblStylePr w:type="nwCell">
      <w:tblPr/>
    </w:tblStylePr>
    <w:tblStylePr w:type="seCell">
      <w:tblPr/>
    </w:tblStylePr>
    <w:tblStylePr w:type="swCell">
      <w:tblPr/>
    </w:tblStylePr>
  </w:style>
  <w:style w:type="table" w:customStyle="1" w:styleId="176">
    <w:name w:val="Bordered &amp; Lined - Accent 3"/>
    <w:basedOn w:val="34"/>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CECEC" w:themeColor="accent3" w:themeTint="34" w:fill="ECECEC" w:themeFill="accent3" w:themeFillTint="34"/>
      </w:tcPr>
    </w:tblStylePr>
    <w:tblStylePr w:type="neCell">
      <w:tblPr/>
    </w:tblStylePr>
    <w:tblStylePr w:type="nwCell">
      <w:tblPr/>
    </w:tblStylePr>
    <w:tblStylePr w:type="seCell">
      <w:tblPr/>
    </w:tblStylePr>
    <w:tblStylePr w:type="swCell">
      <w:tblPr/>
    </w:tblStylePr>
  </w:style>
  <w:style w:type="table" w:customStyle="1" w:styleId="177">
    <w:name w:val="Bordered &amp; Lined - Accent 4"/>
    <w:basedOn w:val="34"/>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blPr/>
      <w:tcPr>
        <w:shd w:val="clear" w:color="FFD864" w:themeColor="accent4" w:themeTint="9A" w:fill="FFD864" w:themeFill="accent4" w:themeFillTint="9A"/>
      </w:tcPr>
    </w:tblStylePr>
    <w:tblStylePr w:type="lastRow">
      <w:rPr>
        <w:rFonts w:ascii="Arial" w:hAnsi="Arial"/>
        <w:color w:val="F2F2F2"/>
        <w:sz w:val="22"/>
      </w:rPr>
      <w:tblPr/>
      <w:tcPr>
        <w:shd w:val="clear" w:color="FFD864" w:themeColor="accent4" w:themeTint="9A" w:fill="FFD864" w:themeFill="accent4" w:themeFillTint="9A"/>
      </w:tcPr>
    </w:tblStylePr>
    <w:tblStylePr w:type="firstCol">
      <w:rPr>
        <w:rFonts w:ascii="Arial" w:hAnsi="Arial"/>
        <w:color w:val="F2F2F2"/>
        <w:sz w:val="22"/>
      </w:rPr>
      <w:tblPr/>
      <w:tcPr>
        <w:shd w:val="clear" w:color="FFD864" w:themeColor="accent4" w:themeTint="9A" w:fill="FFD864" w:themeFill="accent4" w:themeFillTint="9A"/>
      </w:tcPr>
    </w:tblStylePr>
    <w:tblStylePr w:type="lastCol">
      <w:rPr>
        <w:rFonts w:ascii="Arial" w:hAnsi="Arial"/>
        <w:color w:val="F2F2F2"/>
        <w:sz w:val="22"/>
      </w:rPr>
      <w:tblPr/>
      <w:tcPr>
        <w:shd w:val="clear" w:color="FFD864" w:themeColor="accent4" w:themeTint="9A" w:fill="FFD864"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FEF2CA" w:themeColor="accent4" w:themeTint="34" w:fill="FEF2CA"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A" w:themeColor="accent4" w:themeTint="34" w:fill="FEF2CA" w:themeFill="accent4" w:themeFillTint="34"/>
      </w:tcPr>
    </w:tblStylePr>
    <w:tblStylePr w:type="neCell">
      <w:tblPr/>
    </w:tblStylePr>
    <w:tblStylePr w:type="nwCell">
      <w:tblPr/>
    </w:tblStylePr>
    <w:tblStylePr w:type="seCell">
      <w:tblPr/>
    </w:tblStylePr>
    <w:tblStylePr w:type="swCell">
      <w:tblPr/>
    </w:tblStylePr>
  </w:style>
  <w:style w:type="table" w:customStyle="1" w:styleId="178">
    <w:name w:val="Bordered &amp; Lined - Accent 5"/>
    <w:basedOn w:val="34"/>
    <w:uiPriority w:val="99"/>
    <w:pPr>
      <w:spacing w:after="0" w:line="240" w:lineRule="auto"/>
    </w:pPr>
    <w:rPr>
      <w:color w:val="404040"/>
    </w:rPr>
    <w:tblPr>
      <w:tblBorders>
        <w:top w:val="single" w:color="245B8D" w:themeColor="accent5" w:themeShade="95" w:sz="4" w:space="0"/>
        <w:left w:val="single" w:color="245B8D" w:themeColor="accent5" w:themeShade="95" w:sz="4" w:space="0"/>
        <w:bottom w:val="single" w:color="245B8D" w:themeColor="accent5" w:themeShade="95" w:sz="4" w:space="0"/>
        <w:right w:val="single" w:color="245B8D" w:themeColor="accent5" w:themeShade="95" w:sz="4" w:space="0"/>
        <w:insideH w:val="single" w:color="245B8D" w:themeColor="accent5" w:themeShade="95" w:sz="4" w:space="0"/>
        <w:insideV w:val="single" w:color="245B8D" w:themeColor="accent5" w:themeShade="95" w:sz="4" w:space="0"/>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DEAF6" w:themeColor="accent5" w:themeTint="34" w:fill="DDEAF6" w:themeFill="accent5" w:themeFillTint="34"/>
      </w:tcPr>
    </w:tblStylePr>
    <w:tblStylePr w:type="neCell">
      <w:tblPr/>
    </w:tblStylePr>
    <w:tblStylePr w:type="nwCell">
      <w:tblPr/>
    </w:tblStylePr>
    <w:tblStylePr w:type="seCell">
      <w:tblPr/>
    </w:tblStylePr>
    <w:tblStylePr w:type="swCell">
      <w:tblPr/>
    </w:tblStylePr>
  </w:style>
  <w:style w:type="table" w:customStyle="1" w:styleId="179">
    <w:name w:val="Bordered &amp; Lined - Accent 6"/>
    <w:basedOn w:val="34"/>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1EFD8" w:themeColor="accent6" w:themeTint="34" w:fill="E1EFD8" w:themeFill="accent6" w:themeFillTint="34"/>
      </w:tcPr>
    </w:tblStylePr>
    <w:tblStylePr w:type="neCell">
      <w:tblPr/>
    </w:tblStylePr>
    <w:tblStylePr w:type="nwCell">
      <w:tblPr/>
    </w:tblStylePr>
    <w:tblStylePr w:type="seCell">
      <w:tblPr/>
    </w:tblStylePr>
    <w:tblStylePr w:type="swCell">
      <w:tblPr/>
    </w:tblStylePr>
  </w:style>
  <w:style w:type="table" w:customStyle="1" w:styleId="180">
    <w:name w:val="Bordered"/>
    <w:basedOn w:val="34"/>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1">
    <w:name w:val="Bordered - Accent 1"/>
    <w:basedOn w:val="34"/>
    <w:uiPriority w:val="99"/>
    <w:pPr>
      <w:spacing w:after="0" w:line="240" w:lineRule="auto"/>
    </w:pPr>
    <w:tblPr>
      <w:tbl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insideH w:val="single" w:color="B3C6E7" w:themeColor="accent1" w:themeTint="67" w:sz="4" w:space="0"/>
        <w:insideV w:val="single" w:color="B3C6E7" w:themeColor="accent1" w:themeTint="67" w:sz="4" w:space="0"/>
      </w:tblBorders>
    </w:tblPr>
    <w:tblStylePr w:type="firstRow">
      <w:rPr>
        <w:rFonts w:ascii="Arial" w:hAnsi="Arial"/>
        <w:color w:val="404040"/>
        <w:sz w:val="22"/>
      </w:rPr>
      <w:tblPr/>
      <w:tcPr>
        <w:tcBorders>
          <w:bottom w:val="single" w:color="4472C4" w:themeColor="accent1" w:sz="12" w:space="0"/>
        </w:tcBorders>
      </w:tcPr>
    </w:tblStylePr>
    <w:tblStylePr w:type="lastRow">
      <w:rPr>
        <w:rFonts w:ascii="Arial" w:hAnsi="Arial"/>
        <w:color w:val="404040"/>
        <w:sz w:val="22"/>
      </w:rPr>
      <w:tblPr/>
      <w:tcPr>
        <w:tcBorders>
          <w:top w:val="single" w:color="4472C4"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472C4"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2">
    <w:name w:val="Bordered - Accent 2"/>
    <w:basedOn w:val="34"/>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blPr/>
      <w:tcPr>
        <w:tcBorders>
          <w:bottom w:val="single" w:color="F4B285" w:themeColor="accent2" w:themeTint="97" w:sz="12" w:space="0"/>
        </w:tcBorders>
      </w:tcPr>
    </w:tblStylePr>
    <w:tblStylePr w:type="lastRow">
      <w:rPr>
        <w:rFonts w:ascii="Arial" w:hAnsi="Arial"/>
        <w:color w:val="404040"/>
        <w:sz w:val="22"/>
      </w:rPr>
      <w:tblPr/>
      <w:tcPr>
        <w:tcBorders>
          <w:top w:val="single" w:color="F4B28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4B28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3">
    <w:name w:val="Bordered - Accent 3"/>
    <w:basedOn w:val="34"/>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blPr/>
      <w:tcPr>
        <w:tcBorders>
          <w:bottom w:val="single" w:color="C9C9C9" w:themeColor="accent3" w:themeTint="98" w:sz="12" w:space="0"/>
        </w:tcBorders>
      </w:tcPr>
    </w:tblStylePr>
    <w:tblStylePr w:type="lastRow">
      <w:rPr>
        <w:rFonts w:ascii="Arial" w:hAnsi="Arial"/>
        <w:color w:val="404040"/>
        <w:sz w:val="22"/>
      </w:rPr>
      <w:tblPr/>
      <w:tcPr>
        <w:tcBorders>
          <w:top w:val="single" w:color="C9C9C9"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9C9C9"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4">
    <w:name w:val="Bordered - Accent 4"/>
    <w:basedOn w:val="34"/>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blPr/>
      <w:tcPr>
        <w:tcBorders>
          <w:bottom w:val="single" w:color="FFD864" w:themeColor="accent4" w:themeTint="9A" w:sz="12" w:space="0"/>
        </w:tcBorders>
      </w:tcPr>
    </w:tblStylePr>
    <w:tblStylePr w:type="lastRow">
      <w:rPr>
        <w:rFonts w:ascii="Arial" w:hAnsi="Arial"/>
        <w:color w:val="404040"/>
        <w:sz w:val="22"/>
      </w:rPr>
      <w:tblPr/>
      <w:tcPr>
        <w:tcBorders>
          <w:top w:val="single" w:color="FFD864"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FD864"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5">
    <w:name w:val="Bordered - Accent 5"/>
    <w:basedOn w:val="34"/>
    <w:uiPriority w:val="99"/>
    <w:pPr>
      <w:spacing w:after="0" w:line="240" w:lineRule="auto"/>
    </w:pPr>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rFonts w:ascii="Arial" w:hAnsi="Arial"/>
        <w:color w:val="404040"/>
        <w:sz w:val="22"/>
      </w:rPr>
      <w:tblPr/>
      <w:tcPr>
        <w:tcBorders>
          <w:bottom w:val="single" w:color="9BC2E5" w:themeColor="accent5" w:themeTint="9A" w:sz="12" w:space="0"/>
        </w:tcBorders>
      </w:tcPr>
    </w:tblStylePr>
    <w:tblStylePr w:type="lastRow">
      <w:rPr>
        <w:rFonts w:ascii="Arial" w:hAnsi="Arial"/>
        <w:color w:val="404040"/>
        <w:sz w:val="22"/>
      </w:rPr>
      <w:tblPr/>
      <w:tcPr>
        <w:tcBorders>
          <w:top w:val="single" w:color="9BC2E5"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9BC2E5"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6">
    <w:name w:val="Bordered - Accent 6"/>
    <w:basedOn w:val="34"/>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blPr/>
      <w:tcPr>
        <w:tcBorders>
          <w:bottom w:val="single" w:color="A9D08E" w:themeColor="accent6" w:themeTint="98" w:sz="12" w:space="0"/>
        </w:tcBorders>
      </w:tcPr>
    </w:tblStylePr>
    <w:tblStylePr w:type="lastRow">
      <w:rPr>
        <w:rFonts w:ascii="Arial" w:hAnsi="Arial"/>
        <w:color w:val="404040"/>
        <w:sz w:val="22"/>
      </w:rPr>
      <w:tblPr/>
      <w:tcPr>
        <w:tcBorders>
          <w:top w:val="single" w:color="A9D08E"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A9D08E"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87">
    <w:name w:val="Footnote Text Char"/>
    <w:link w:val="25"/>
    <w:uiPriority w:val="99"/>
    <w:rPr>
      <w:sz w:val="18"/>
    </w:rPr>
  </w:style>
  <w:style w:type="character" w:customStyle="1" w:styleId="188">
    <w:name w:val="Endnote Text Char"/>
    <w:link w:val="18"/>
    <w:uiPriority w:val="99"/>
    <w:rPr>
      <w:sz w:val="20"/>
    </w:rPr>
  </w:style>
  <w:style w:type="paragraph" w:customStyle="1" w:styleId="189">
    <w:name w:val="TOC Heading"/>
    <w:unhideWhenUsed/>
    <w:uiPriority w:val="39"/>
    <w:pPr>
      <w:spacing w:before="0" w:beforeAutospacing="0" w:after="160" w:afterAutospacing="0" w:line="278" w:lineRule="auto"/>
    </w:pPr>
    <w:rPr>
      <w:rFonts w:hint="default" w:ascii="Times New Roman" w:hAnsi="Times New Roman" w:eastAsia="宋体" w:cs="Times New Roman"/>
    </w:rPr>
  </w:style>
  <w:style w:type="paragraph" w:customStyle="1" w:styleId="190">
    <w:name w:val="列出段落1"/>
    <w:basedOn w:val="1"/>
    <w:link w:val="194"/>
    <w:qFormat/>
    <w:uiPriority w:val="34"/>
    <w:pPr>
      <w:spacing w:before="156" w:after="156" w:line="360" w:lineRule="auto"/>
      <w:ind w:firstLine="420"/>
      <w:jc w:val="left"/>
    </w:pPr>
    <w:rPr>
      <w:rFonts w:ascii="Times New Roman" w:hAnsi="Times New Roman" w:eastAsia="宋体" w:cs="Times New Roman"/>
    </w:rPr>
  </w:style>
  <w:style w:type="character" w:customStyle="1" w:styleId="191">
    <w:name w:val="页眉 字符"/>
    <w:basedOn w:val="36"/>
    <w:link w:val="21"/>
    <w:qFormat/>
    <w:uiPriority w:val="99"/>
    <w:rPr>
      <w:sz w:val="18"/>
      <w:szCs w:val="18"/>
    </w:rPr>
  </w:style>
  <w:style w:type="character" w:customStyle="1" w:styleId="192">
    <w:name w:val="页脚 字符"/>
    <w:basedOn w:val="36"/>
    <w:link w:val="20"/>
    <w:qFormat/>
    <w:uiPriority w:val="99"/>
    <w:rPr>
      <w:sz w:val="18"/>
      <w:szCs w:val="18"/>
    </w:rPr>
  </w:style>
  <w:style w:type="paragraph" w:customStyle="1" w:styleId="193">
    <w:name w:val="EndNote Bibliography Title"/>
    <w:basedOn w:val="1"/>
    <w:link w:val="195"/>
    <w:qFormat/>
    <w:uiPriority w:val="0"/>
    <w:pPr>
      <w:jc w:val="center"/>
    </w:pPr>
    <w:rPr>
      <w:rFonts w:ascii="等线" w:hAnsi="等线" w:eastAsia="等线"/>
      <w:sz w:val="20"/>
    </w:rPr>
  </w:style>
  <w:style w:type="character" w:customStyle="1" w:styleId="194">
    <w:name w:val="列出段落 Char"/>
    <w:basedOn w:val="36"/>
    <w:link w:val="190"/>
    <w:qFormat/>
    <w:uiPriority w:val="34"/>
    <w:rPr>
      <w:sz w:val="21"/>
      <w:szCs w:val="22"/>
    </w:rPr>
  </w:style>
  <w:style w:type="character" w:customStyle="1" w:styleId="195">
    <w:name w:val="EndNote Bibliography Title 字符"/>
    <w:basedOn w:val="194"/>
    <w:link w:val="193"/>
    <w:qFormat/>
    <w:uiPriority w:val="0"/>
    <w:rPr>
      <w:rFonts w:ascii="等线" w:hAnsi="等线" w:eastAsia="等线" w:cstheme="minorBidi"/>
      <w:sz w:val="20"/>
      <w:szCs w:val="22"/>
    </w:rPr>
  </w:style>
  <w:style w:type="paragraph" w:customStyle="1" w:styleId="196">
    <w:name w:val="EndNote Bibliography"/>
    <w:basedOn w:val="1"/>
    <w:link w:val="197"/>
    <w:qFormat/>
    <w:uiPriority w:val="0"/>
    <w:rPr>
      <w:rFonts w:ascii="等线" w:hAnsi="等线" w:eastAsia="等线"/>
      <w:sz w:val="20"/>
    </w:rPr>
  </w:style>
  <w:style w:type="character" w:customStyle="1" w:styleId="197">
    <w:name w:val="EndNote Bibliography 字符"/>
    <w:basedOn w:val="194"/>
    <w:link w:val="196"/>
    <w:qFormat/>
    <w:uiPriority w:val="0"/>
    <w:rPr>
      <w:rFonts w:ascii="等线" w:hAnsi="等线" w:eastAsia="等线" w:cstheme="minorBidi"/>
      <w:sz w:val="20"/>
      <w:szCs w:val="22"/>
    </w:rPr>
  </w:style>
  <w:style w:type="character" w:customStyle="1" w:styleId="198">
    <w:name w:val="未处理的提及1"/>
    <w:basedOn w:val="36"/>
    <w:unhideWhenUsed/>
    <w:qFormat/>
    <w:uiPriority w:val="99"/>
    <w:rPr>
      <w:color w:val="605E5C"/>
      <w:shd w:val="clear" w:color="auto" w:fill="E1DFDD"/>
    </w:rPr>
  </w:style>
  <w:style w:type="character" w:customStyle="1" w:styleId="199">
    <w:name w:val="批注文字 字符"/>
    <w:basedOn w:val="36"/>
    <w:link w:val="13"/>
    <w:semiHidden/>
    <w:qFormat/>
    <w:uiPriority w:val="99"/>
  </w:style>
  <w:style w:type="character" w:customStyle="1" w:styleId="200">
    <w:name w:val="批注主题 字符"/>
    <w:basedOn w:val="199"/>
    <w:link w:val="33"/>
    <w:semiHidden/>
    <w:qFormat/>
    <w:uiPriority w:val="99"/>
    <w:rPr>
      <w:b/>
      <w:bCs/>
    </w:rPr>
  </w:style>
  <w:style w:type="character" w:customStyle="1" w:styleId="201">
    <w:name w:val="批注框文本 字符"/>
    <w:basedOn w:val="36"/>
    <w:link w:val="19"/>
    <w:semiHidden/>
    <w:qFormat/>
    <w:uiPriority w:val="99"/>
    <w:rPr>
      <w:sz w:val="18"/>
      <w:szCs w:val="18"/>
    </w:rPr>
  </w:style>
  <w:style w:type="paragraph" w:customStyle="1" w:styleId="202">
    <w:name w:val="修订1"/>
    <w:hidden/>
    <w:semiHidden/>
    <w:qFormat/>
    <w:uiPriority w:val="99"/>
    <w:pPr>
      <w:spacing w:before="0" w:beforeAutospacing="0" w:after="160" w:afterAutospacing="0" w:line="278" w:lineRule="auto"/>
    </w:pPr>
    <w:rPr>
      <w:rFonts w:hint="default" w:asciiTheme="minorHAnsi" w:hAnsiTheme="minorHAnsi" w:eastAsiaTheme="minorEastAsia" w:cstheme="minorBidi"/>
      <w:sz w:val="21"/>
      <w:szCs w:val="22"/>
    </w:rPr>
  </w:style>
  <w:style w:type="character" w:customStyle="1" w:styleId="203">
    <w:name w:val="HTML 预设格式 字符"/>
    <w:basedOn w:val="36"/>
    <w:link w:val="30"/>
    <w:semiHidden/>
    <w:qFormat/>
    <w:uiPriority w:val="99"/>
    <w:rPr>
      <w:rFonts w:ascii="宋体" w:hAnsi="宋体" w:eastAsia="宋体" w:cs="宋体"/>
      <w:sz w:val="24"/>
      <w:szCs w:val="24"/>
    </w:rPr>
  </w:style>
  <w:style w:type="character" w:customStyle="1" w:styleId="204">
    <w:name w:val="y2iqfc"/>
    <w:basedOn w:val="36"/>
    <w:qFormat/>
    <w:uiPriority w:val="0"/>
  </w:style>
  <w:style w:type="character" w:customStyle="1" w:styleId="205">
    <w:name w:val="inner-text-paragraph-org"/>
    <w:basedOn w:val="36"/>
    <w:qFormat/>
    <w:uiPriority w:val="0"/>
  </w:style>
  <w:style w:type="character" w:customStyle="1" w:styleId="206">
    <w:name w:val="未处理的提及2"/>
    <w:basedOn w:val="36"/>
    <w:unhideWhenUsed/>
    <w:qFormat/>
    <w:uiPriority w:val="99"/>
    <w:rPr>
      <w:color w:val="605E5C"/>
      <w:shd w:val="clear" w:color="auto" w:fill="E1DFDD"/>
    </w:rPr>
  </w:style>
  <w:style w:type="character" w:customStyle="1" w:styleId="207">
    <w:name w:val="列表段落 字符1"/>
    <w:basedOn w:val="36"/>
    <w:qFormat/>
    <w:uiPriority w:val="34"/>
  </w:style>
  <w:style w:type="paragraph" w:customStyle="1" w:styleId="208">
    <w:name w:val="文献分类号"/>
    <w:qFormat/>
    <w:uiPriority w:val="0"/>
    <w:pPr>
      <w:framePr w:hSpace="180" w:vSpace="180" w:wrap="around" w:vAnchor="margin" w:hAnchor="margin" w:y="1"/>
      <w:widowControl w:val="0"/>
      <w:spacing w:before="0" w:beforeAutospacing="0" w:after="160" w:afterAutospacing="0" w:line="278" w:lineRule="auto"/>
    </w:pPr>
    <w:rPr>
      <w:rFonts w:hint="default" w:ascii="黑体" w:hAnsi="Times New Roman" w:eastAsia="黑体" w:cs="Times New Roman"/>
      <w:sz w:val="21"/>
      <w:szCs w:val="21"/>
    </w:rPr>
  </w:style>
  <w:style w:type="paragraph" w:customStyle="1" w:styleId="209">
    <w:name w:val="Heading #2|1"/>
    <w:basedOn w:val="1"/>
    <w:qFormat/>
    <w:uiPriority w:val="0"/>
    <w:pPr>
      <w:keepNext/>
      <w:keepLines/>
      <w:framePr w:w="9116" w:h="3482" w:hRule="exact" w:wrap="around" w:vAnchor="page" w:hAnchor="page" w:x="1327" w:y="6897"/>
      <w:spacing w:after="400"/>
      <w:jc w:val="center"/>
      <w:outlineLvl w:val="1"/>
    </w:pPr>
    <w:rPr>
      <w:rFonts w:ascii="Times New Roman" w:hAnsi="Times New Roman" w:eastAsia="黑体" w:cs="Times New Roman"/>
      <w:color w:val="000000"/>
      <w:sz w:val="24"/>
      <w:szCs w:val="24"/>
      <w:lang w:bidi="zh-TW"/>
    </w:rPr>
  </w:style>
  <w:style w:type="paragraph" w:customStyle="1" w:styleId="210">
    <w:name w:val="封面标准号2"/>
    <w:qFormat/>
    <w:uiPriority w:val="0"/>
    <w:pPr>
      <w:framePr w:w="9140" w:h="1242" w:hRule="exact" w:hSpace="284" w:wrap="around" w:vAnchor="page" w:hAnchor="page" w:x="1645" w:y="2910"/>
      <w:spacing w:before="357" w:beforeAutospacing="0" w:after="160" w:afterAutospacing="0" w:line="280" w:lineRule="exact"/>
      <w:jc w:val="right"/>
    </w:pPr>
    <w:rPr>
      <w:rFonts w:hint="default" w:ascii="黑体" w:hAnsi="Times New Roman" w:eastAsia="黑体" w:cs="Times New Roman"/>
      <w:sz w:val="28"/>
      <w:szCs w:val="28"/>
    </w:rPr>
  </w:style>
  <w:style w:type="paragraph" w:customStyle="1" w:styleId="211">
    <w:name w:val="封面标准代替信息"/>
    <w:qFormat/>
    <w:uiPriority w:val="0"/>
    <w:pPr>
      <w:framePr w:w="9140" w:h="1242" w:hRule="exact" w:hSpace="284" w:wrap="around" w:vAnchor="page" w:hAnchor="page" w:x="1645" w:y="2910"/>
      <w:spacing w:before="57" w:beforeAutospacing="0" w:after="160" w:afterAutospacing="0" w:line="280" w:lineRule="exact"/>
      <w:jc w:val="right"/>
    </w:pPr>
    <w:rPr>
      <w:rFonts w:hint="default" w:ascii="宋体" w:hAnsi="Times New Roman" w:eastAsia="宋体" w:cs="Times New Roman"/>
      <w:sz w:val="21"/>
      <w:szCs w:val="21"/>
    </w:rPr>
  </w:style>
  <w:style w:type="paragraph" w:customStyle="1" w:styleId="212">
    <w:name w:val="标准称谓"/>
    <w:next w:val="1"/>
    <w:qFormat/>
    <w:uiPriority w:val="0"/>
    <w:pPr>
      <w:framePr w:w="9639" w:h="624" w:hRule="exact" w:hSpace="181" w:vSpace="181" w:wrap="around" w:vAnchor="page" w:hAnchor="page" w:x="1419" w:y="2286"/>
      <w:widowControl w:val="0"/>
      <w:spacing w:before="0" w:beforeAutospacing="0" w:after="160" w:afterAutospacing="0" w:line="0" w:lineRule="atLeast"/>
      <w:jc w:val="both"/>
    </w:pPr>
    <w:rPr>
      <w:rFonts w:hint="default" w:ascii="宋体" w:hAnsi="Times New Roman" w:eastAsia="宋体" w:cs="Times New Roman"/>
      <w:b/>
      <w:bCs/>
      <w:spacing w:val="20"/>
      <w:sz w:val="48"/>
    </w:rPr>
  </w:style>
  <w:style w:type="paragraph" w:customStyle="1" w:styleId="213">
    <w:name w:val="标准标志"/>
    <w:next w:val="1"/>
    <w:qFormat/>
    <w:uiPriority w:val="0"/>
    <w:pPr>
      <w:framePr w:w="2546" w:h="1389" w:hRule="exact" w:hSpace="181" w:vSpace="181" w:wrap="around" w:vAnchor="margin" w:hAnchor="margin" w:x="6522" w:y="398"/>
      <w:shd w:val="solid" w:color="FFFFFF" w:fill="FFFFFF"/>
      <w:spacing w:before="0" w:beforeAutospacing="0" w:after="160" w:afterAutospacing="0" w:line="0" w:lineRule="atLeast"/>
      <w:jc w:val="right"/>
    </w:pPr>
    <w:rPr>
      <w:rFonts w:hint="default" w:ascii="Times New Roman" w:hAnsi="Times New Roman" w:eastAsia="宋体" w:cs="Times New Roman"/>
      <w:b/>
      <w:sz w:val="96"/>
      <w:szCs w:val="96"/>
    </w:rPr>
  </w:style>
  <w:style w:type="paragraph" w:customStyle="1" w:styleId="214">
    <w:name w:val="发布部门"/>
    <w:next w:val="215"/>
    <w:qFormat/>
    <w:uiPriority w:val="0"/>
    <w:pPr>
      <w:framePr w:w="7938" w:h="1134" w:hRule="exact" w:hSpace="125" w:vSpace="181" w:wrap="around" w:vAnchor="page" w:hAnchor="page" w:x="2150" w:y="14630"/>
      <w:spacing w:before="0" w:beforeAutospacing="0" w:after="160" w:afterAutospacing="0" w:line="278" w:lineRule="auto"/>
      <w:jc w:val="center"/>
    </w:pPr>
    <w:rPr>
      <w:rFonts w:hint="default" w:ascii="宋体" w:hAnsi="Times New Roman" w:eastAsia="宋体" w:cs="Times New Roman"/>
      <w:b/>
      <w:spacing w:val="20"/>
      <w:sz w:val="28"/>
    </w:rPr>
  </w:style>
  <w:style w:type="paragraph" w:customStyle="1" w:styleId="215">
    <w:name w:val="段"/>
    <w:qFormat/>
    <w:uiPriority w:val="0"/>
    <w:pPr>
      <w:tabs>
        <w:tab w:val="center" w:pos="4201"/>
        <w:tab w:val="right" w:leader="dot" w:pos="9298"/>
      </w:tabs>
      <w:spacing w:before="0" w:beforeAutospacing="0" w:after="160" w:afterAutospacing="0" w:line="278" w:lineRule="auto"/>
      <w:ind w:firstLine="420"/>
      <w:jc w:val="both"/>
    </w:pPr>
    <w:rPr>
      <w:rFonts w:hint="default" w:ascii="宋体" w:hAnsi="Times New Roman" w:eastAsia="宋体" w:cs="Times New Roman"/>
      <w:sz w:val="21"/>
    </w:rPr>
  </w:style>
  <w:style w:type="paragraph" w:customStyle="1" w:styleId="216">
    <w:name w:val="其他发布日期"/>
    <w:basedOn w:val="217"/>
    <w:qFormat/>
    <w:uiPriority w:val="0"/>
    <w:pPr>
      <w:framePr w:wrap="around" w:vAnchor="page" w:hAnchor="text" w:x="1419"/>
    </w:pPr>
  </w:style>
  <w:style w:type="paragraph" w:customStyle="1" w:styleId="217">
    <w:name w:val="发布日期"/>
    <w:qFormat/>
    <w:uiPriority w:val="0"/>
    <w:pPr>
      <w:framePr w:w="3997" w:h="471" w:hRule="exact" w:vSpace="181" w:wrap="around" w:vAnchor="margin" w:hAnchor="page" w:x="7089" w:y="14097"/>
      <w:spacing w:before="0" w:beforeAutospacing="0" w:after="160" w:afterAutospacing="0" w:line="278" w:lineRule="auto"/>
    </w:pPr>
    <w:rPr>
      <w:rFonts w:hint="default" w:ascii="Times New Roman" w:hAnsi="Times New Roman" w:eastAsia="黑体" w:cs="Times New Roman"/>
      <w:sz w:val="28"/>
    </w:rPr>
  </w:style>
  <w:style w:type="paragraph" w:customStyle="1" w:styleId="218">
    <w:name w:val="样式1"/>
    <w:basedOn w:val="1"/>
    <w:next w:val="22"/>
    <w:qFormat/>
    <w:uiPriority w:val="0"/>
  </w:style>
  <w:style w:type="paragraph" w:customStyle="1" w:styleId="219">
    <w:name w:val="标准文件_段"/>
    <w:qFormat/>
    <w:uiPriority w:val="0"/>
    <w:pPr>
      <w:spacing w:before="0" w:beforeAutospacing="0" w:after="160" w:afterAutospacing="0" w:line="276" w:lineRule="auto"/>
      <w:ind w:firstLine="420"/>
      <w:jc w:val="both"/>
    </w:pPr>
    <w:rPr>
      <w:rFonts w:hint="default" w:ascii="Times New Roman" w:hAnsi="Times New Roman" w:eastAsia="宋体" w:cs="Times New Roman"/>
      <w:sz w:val="21"/>
      <w:szCs w:val="21"/>
    </w:rPr>
  </w:style>
  <w:style w:type="paragraph" w:customStyle="1" w:styleId="220">
    <w:name w:val="列表段落1"/>
    <w:basedOn w:val="1"/>
    <w:unhideWhenUsed/>
    <w:uiPriority w:val="99"/>
    <w:pPr>
      <w:ind w:firstLine="420"/>
    </w:pPr>
  </w:style>
  <w:style w:type="character" w:customStyle="1" w:styleId="221">
    <w:name w:val="日期 字符"/>
    <w:basedOn w:val="36"/>
    <w:link w:val="17"/>
    <w:semiHidden/>
    <w:uiPriority w:val="99"/>
    <w:rPr>
      <w:rFonts w:asciiTheme="minorHAnsi" w:hAnsiTheme="minorHAnsi"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等线 Light"/>
        <a:cs typeface="Arial"/>
      </a:majorFont>
      <a:minorFont>
        <a:latin typeface="等线"/>
        <a:ea typeface="等线"/>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5635</Words>
  <Characters>7279</Characters>
  <TotalTime>1</TotalTime>
  <ScaleCrop>false</ScaleCrop>
  <LinksUpToDate>false</LinksUpToDate>
  <CharactersWithSpaces>7570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2022-01-12T08:44:00Z</dcterms:created>
  <dc:creator>Family</dc:creator>
  <cp:lastModifiedBy>J</cp:lastModifiedBy>
  <dcterms:modified xsi:type="dcterms:W3CDTF">2025-11-12T07:49:53Z</dcterms:modified>
  <cp:revision>306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6E8E8C73F5BB4A13ACA662DE2E548259_13</vt:lpwstr>
  </property>
  <property fmtid="{D5CDD505-2E9C-101B-9397-08002B2CF9AE}" pid="4" name="KSOTemplateDocerSaveRecord">
    <vt:lpwstr>eyJoZGlkIjoiMTFmMDJjZGU0YzYzNjgxMjg1NzBlNDNlZWZkY2IyNjMiLCJ1c2VySWQiOiIxMzc2MzQzNjk3In0=</vt:lpwstr>
  </property>
</Properties>
</file>