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6"/>
        <w:framePr w:wrap="around"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6973198C">
      <w:pPr>
        <w:pStyle w:val="36"/>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53507FD8">
      <w:pPr>
        <w:pStyle w:val="40"/>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D00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CF53E4D">
            <w:pPr>
              <w:pStyle w:val="38"/>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289DC2DE">
      <w:pPr>
        <w:pStyle w:val="38"/>
        <w:framePr w:x="1382" w:y="3031"/>
        <w:jc w:val="center"/>
      </w:pPr>
      <w:r>
        <w:rPr>
          <w:rFonts w:hint="eastAsia"/>
        </w:rPr>
        <w:t>————————————————————————————————————————</w:t>
      </w:r>
    </w:p>
    <w:p w14:paraId="7332157D">
      <w:pPr>
        <w:pStyle w:val="38"/>
        <w:framePr w:x="1382" w:y="3031"/>
      </w:pPr>
    </w:p>
    <w:p w14:paraId="522785A8">
      <w:pPr>
        <w:framePr w:w="9116" w:h="3872" w:hRule="exact" w:wrap="around" w:vAnchor="page" w:hAnchor="page" w:x="1327" w:y="6897" w:anchorLock="1"/>
        <w:jc w:val="left"/>
        <w:rPr>
          <w:rFonts w:ascii="宋体" w:hAnsi="宋体" w:eastAsia="宋体"/>
          <w:color w:val="000000"/>
          <w:sz w:val="24"/>
        </w:rPr>
      </w:pPr>
      <w:bookmarkStart w:id="1" w:name="StdEnglishName"/>
    </w:p>
    <w:p w14:paraId="26C5C4A7">
      <w:pPr>
        <w:pStyle w:val="37"/>
        <w:keepNext/>
        <w:keepLines/>
        <w:framePr w:w="9116" w:h="3872"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老年外科患者围手术期营养支持指南</w:t>
      </w:r>
    </w:p>
    <w:p w14:paraId="73AAFAD5">
      <w:pPr>
        <w:pStyle w:val="37"/>
        <w:keepNext/>
        <w:keepLines/>
        <w:framePr w:w="9116" w:h="3872" w:hRule="exact" w:wrap="around" w:vAnchor="page" w:hAnchor="page" w:x="1327" w:y="6897" w:anchorLock="1"/>
        <w:ind w:firstLine="0"/>
        <w:jc w:val="center"/>
        <w:rPr>
          <w:rFonts w:hint="default" w:ascii="Times New Roman" w:hAnsi="Times New Roman" w:eastAsia="黑体" w:cs="Times New Roman"/>
          <w:b/>
          <w:bCs/>
          <w:color w:val="000000"/>
          <w:sz w:val="28"/>
          <w:szCs w:val="28"/>
          <w:lang w:val="en-US" w:eastAsia="zh-CN"/>
        </w:rPr>
      </w:pPr>
      <w:r>
        <w:rPr>
          <w:rFonts w:hint="default" w:ascii="Times New Roman" w:hAnsi="Times New Roman" w:eastAsia="黑体" w:cs="Times New Roman"/>
          <w:b/>
          <w:bCs/>
          <w:color w:val="000000"/>
          <w:sz w:val="28"/>
          <w:szCs w:val="28"/>
          <w:lang w:val="en-US" w:eastAsia="zh-CN"/>
        </w:rPr>
        <w:t>Guidline of perioperative nutritional support for elderly surgical patients</w:t>
      </w:r>
    </w:p>
    <w:p w14:paraId="0DF4D1C7">
      <w:pPr>
        <w:pStyle w:val="37"/>
        <w:keepNext/>
        <w:keepLines/>
        <w:framePr w:w="9116" w:h="3872" w:hRule="exact" w:wrap="around" w:vAnchor="page" w:hAnchor="page" w:x="1327" w:y="6897" w:anchorLock="1"/>
        <w:ind w:firstLine="0"/>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061E4F0">
      <w:pPr>
        <w:pStyle w:val="37"/>
        <w:keepNext/>
        <w:keepLines/>
        <w:framePr w:w="9116" w:h="387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0CA6C6C2">
      <w:pPr>
        <w:pStyle w:val="44"/>
        <w:framePr w:w="9331" w:wrap="around" w:vAnchor="page" w:hAnchor="page" w:x="1524" w:y="14958"/>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7560A9B">
      <w:pPr>
        <w:pStyle w:val="42"/>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90C9C7">
      <w:pPr>
        <w:rPr>
          <w:rFonts w:eastAsia="宋体"/>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6"/>
                    <a:stretch>
                      <a:fillRect/>
                    </a:stretch>
                  </pic:blipFill>
                  <pic:spPr>
                    <a:xfrm>
                      <a:off x="0" y="0"/>
                      <a:ext cx="1076325" cy="1040130"/>
                    </a:xfrm>
                    <a:prstGeom prst="rect">
                      <a:avLst/>
                    </a:prstGeom>
                  </pic:spPr>
                </pic:pic>
              </a:graphicData>
            </a:graphic>
          </wp:anchor>
        </w:drawing>
      </w:r>
    </w:p>
    <w:p w14:paraId="54693265">
      <w:pPr>
        <w:spacing w:line="360" w:lineRule="auto"/>
        <w:jc w:val="center"/>
        <w:rPr>
          <w:rFonts w:ascii="宋体" w:hAnsi="宋体" w:eastAsia="宋体" w:cs="Times New Roman"/>
          <w:bCs/>
          <w:sz w:val="24"/>
          <w:szCs w:val="24"/>
        </w:rPr>
      </w:pPr>
    </w:p>
    <w:p w14:paraId="4F423368">
      <w:pPr>
        <w:spacing w:line="360" w:lineRule="auto"/>
        <w:jc w:val="center"/>
        <w:rPr>
          <w:rFonts w:ascii="宋体" w:hAnsi="宋体" w:eastAsia="宋体" w:cs="Times New Roman"/>
          <w:bCs/>
          <w:sz w:val="24"/>
          <w:szCs w:val="24"/>
        </w:rPr>
      </w:pPr>
    </w:p>
    <w:p w14:paraId="27CA9828">
      <w:pPr>
        <w:widowControl/>
        <w:spacing w:line="360" w:lineRule="auto"/>
        <w:jc w:val="center"/>
        <w:rPr>
          <w:rFonts w:ascii="黑体" w:hAnsi="黑体" w:eastAsia="黑体" w:cs="黑体"/>
          <w:sz w:val="32"/>
          <w:szCs w:val="32"/>
        </w:rPr>
        <w:sectPr>
          <w:headerReference r:id="rId5" w:type="first"/>
          <w:headerReference r:id="rId3" w:type="default"/>
          <w:footerReference r:id="rId6" w:type="default"/>
          <w:headerReference r:id="rId4" w:type="even"/>
          <w:pgSz w:w="11906" w:h="16838"/>
          <w:pgMar w:top="1417" w:right="1134" w:bottom="1134" w:left="1417" w:header="850" w:footer="992" w:gutter="0"/>
          <w:pgBorders>
            <w:top w:val="none" w:sz="0" w:space="0"/>
            <w:left w:val="none" w:sz="0" w:space="0"/>
            <w:bottom w:val="none" w:sz="0" w:space="0"/>
            <w:right w:val="none" w:sz="0" w:space="0"/>
          </w:pgBorders>
          <w:pgNumType w:fmt="upperRoman" w:start="0"/>
          <w:cols w:space="0" w:num="1"/>
          <w:titlePg/>
          <w:rtlGutter w:val="0"/>
          <w:docGrid w:type="lines" w:linePitch="317" w:charSpace="0"/>
        </w:sectPr>
      </w:pPr>
    </w:p>
    <w:p w14:paraId="0538E503">
      <w:pPr>
        <w:widowControl/>
        <w:jc w:val="center"/>
        <w:rPr>
          <w:rFonts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81605"/>
        <w15:color w:val="DBDBDB"/>
        <w:docPartObj>
          <w:docPartGallery w:val="Table of Contents"/>
          <w:docPartUnique/>
        </w:docPartObj>
      </w:sdtPr>
      <w:sdtEndPr>
        <w:rPr>
          <w:rFonts w:ascii="宋体" w:hAnsi="宋体" w:eastAsia="宋体" w:cs="Times New Roman"/>
          <w:bCs/>
          <w:kern w:val="2"/>
          <w:sz w:val="21"/>
          <w:szCs w:val="32"/>
          <w:lang w:val="en-US" w:eastAsia="zh-CN" w:bidi="ar-SA"/>
        </w:rPr>
      </w:sdtEndPr>
      <w:sdtContent>
        <w:p w14:paraId="530E37F1">
          <w:pPr>
            <w:spacing w:before="0" w:beforeLines="0" w:after="0" w:afterLines="0" w:line="240" w:lineRule="auto"/>
            <w:ind w:left="0" w:leftChars="0" w:right="0" w:rightChars="0" w:firstLine="0" w:firstLineChars="0"/>
            <w:jc w:val="center"/>
          </w:pPr>
        </w:p>
        <w:p w14:paraId="219C7E0E">
          <w:pPr>
            <w:pStyle w:val="7"/>
            <w:tabs>
              <w:tab w:val="right" w:leader="dot" w:pos="9355"/>
            </w:tabs>
            <w:rPr>
              <w:rFonts w:hint="default" w:ascii="Times New Roman" w:hAnsi="Times New Roman" w:eastAsia="宋体" w:cs="Times New Roman"/>
            </w:rPr>
          </w:pPr>
          <w:r>
            <w:rPr>
              <w:rFonts w:ascii="宋体" w:hAnsi="宋体" w:eastAsia="宋体" w:cs="Times New Roman"/>
              <w:b/>
              <w:bCs/>
              <w:sz w:val="32"/>
              <w:szCs w:val="32"/>
            </w:rPr>
            <w:fldChar w:fldCharType="begin"/>
          </w:r>
          <w:r>
            <w:rPr>
              <w:rFonts w:ascii="宋体" w:hAnsi="宋体" w:eastAsia="宋体" w:cs="Times New Roman"/>
              <w:b/>
              <w:bCs/>
              <w:sz w:val="32"/>
              <w:szCs w:val="32"/>
            </w:rPr>
            <w:instrText xml:space="preserve">TOC \o "1-1" \h \u </w:instrText>
          </w:r>
          <w:r>
            <w:rPr>
              <w:rFonts w:ascii="宋体" w:hAnsi="宋体" w:eastAsia="宋体" w:cs="Times New Roman"/>
              <w:b/>
              <w:bCs/>
              <w:sz w:val="32"/>
              <w:szCs w:val="32"/>
            </w:rPr>
            <w:fldChar w:fldCharType="separate"/>
          </w: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_Toc22369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szCs w:val="32"/>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_Toc22369 \h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3235B397">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_Toc18860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rPr>
            <w:t xml:space="preserve">1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_Toc18860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6E352975">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_Toc32699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2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_Toc32699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0B3CB0E4">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_Toc27752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3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_Toc27752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3089E22E">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_Toc30808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4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_Toc30808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7C05C0F5">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_Toc824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5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老年外科患者营养风险评估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0F010423">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_Toc1152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6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老年外科患者营养不良诊断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5297D070">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_Toc13731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7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老年外科患者术前营养支持指南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_Toc13731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6987CCA0">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_Toc29497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8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老年外科患者术前营养支持指南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_Toc29497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3814F8C2">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_Toc14251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9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老年特殊人群营养支持指南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_Toc14251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0E471D40">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_Toc25124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i w:val="0"/>
              <w:szCs w:val="21"/>
              <w:lang w:val="en-US" w:eastAsia="zh-CN"/>
            </w:rPr>
            <w:t xml:space="preserve">10 </w:t>
          </w:r>
          <w:r>
            <w:rPr>
              <w:rFonts w:hint="eastAsia" w:ascii="Times New Roman" w:hAnsi="Times New Roman" w:eastAsia="宋体" w:cs="Times New Roman"/>
              <w:i w:val="0"/>
              <w:szCs w:val="21"/>
              <w:lang w:val="en-US" w:eastAsia="zh-CN"/>
            </w:rPr>
            <w:t xml:space="preserve"> </w:t>
          </w:r>
          <w:r>
            <w:rPr>
              <w:rFonts w:hint="default" w:ascii="Times New Roman" w:hAnsi="Times New Roman" w:eastAsia="宋体" w:cs="Times New Roman"/>
              <w:szCs w:val="21"/>
              <w:lang w:val="en-US" w:eastAsia="zh-CN"/>
            </w:rPr>
            <w:t>术后并发症患者营养支持指南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_Toc25124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48D6414A">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_Toc27895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bCs/>
              <w:szCs w:val="21"/>
            </w:rPr>
            <w:t>附录</w:t>
          </w:r>
          <w:r>
            <w:rPr>
              <w:rFonts w:hint="default" w:ascii="Times New Roman" w:hAnsi="Times New Roman" w:eastAsia="宋体" w:cs="Times New Roman"/>
              <w:bCs w:val="0"/>
              <w:szCs w:val="21"/>
            </w:rPr>
            <w:t>A</w:t>
          </w:r>
          <w:r>
            <w:rPr>
              <w:rFonts w:hint="default"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eastAsia="zh-CN"/>
            </w:rPr>
            <w:t>评分量表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_Toc27895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4D530B7F">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_Toc23765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bCs/>
              <w:szCs w:val="21"/>
            </w:rPr>
            <w:t>附录</w:t>
          </w:r>
          <w:r>
            <w:rPr>
              <w:rFonts w:hint="default" w:ascii="Times New Roman" w:hAnsi="Times New Roman" w:eastAsia="宋体" w:cs="Times New Roman"/>
              <w:bCs w:val="0"/>
              <w:szCs w:val="21"/>
              <w:lang w:val="en-US" w:eastAsia="zh-CN"/>
            </w:rPr>
            <w:t>B</w:t>
          </w:r>
          <w:r>
            <w:rPr>
              <w:rFonts w:hint="default" w:ascii="Times New Roman" w:hAnsi="Times New Roman" w:eastAsia="宋体" w:cs="Times New Roman"/>
              <w:bCs/>
              <w:szCs w:val="21"/>
              <w:lang w:eastAsia="zh-CN"/>
            </w:rPr>
            <w:t>（）</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_Toc23765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18327185">
          <w:pPr>
            <w:pStyle w:val="7"/>
            <w:tabs>
              <w:tab w:val="right" w:leader="dot" w:pos="9355"/>
            </w:tabs>
            <w:rPr>
              <w:rFonts w:hint="default" w:ascii="Times New Roman" w:hAnsi="Times New Roman" w:eastAsia="宋体" w:cs="Times New Roman"/>
            </w:rPr>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_Toc7617 </w:instrText>
          </w:r>
          <w:r>
            <w:rPr>
              <w:rFonts w:hint="default" w:ascii="Times New Roman" w:hAnsi="Times New Roman" w:eastAsia="宋体" w:cs="Times New Roman"/>
              <w:bCs/>
              <w:szCs w:val="32"/>
            </w:rPr>
            <w:fldChar w:fldCharType="separate"/>
          </w:r>
          <w:r>
            <w:rPr>
              <w:rFonts w:hint="default" w:ascii="Times New Roman" w:hAnsi="Times New Roman" w:eastAsia="宋体" w:cs="Times New Roman"/>
              <w:bCs/>
              <w:szCs w:val="21"/>
            </w:rPr>
            <w:t>附录</w:t>
          </w:r>
          <w:r>
            <w:rPr>
              <w:rFonts w:hint="default" w:ascii="Times New Roman" w:hAnsi="Times New Roman" w:eastAsia="宋体" w:cs="Times New Roman"/>
              <w:bCs w:val="0"/>
              <w:szCs w:val="21"/>
              <w:lang w:val="en-US" w:eastAsia="zh-CN"/>
            </w:rPr>
            <w:t>C</w:t>
          </w:r>
          <w:r>
            <w:rPr>
              <w:rFonts w:hint="default" w:ascii="Times New Roman" w:hAnsi="Times New Roman" w:eastAsia="宋体" w:cs="Times New Roman"/>
              <w:bCs/>
              <w:szCs w:val="21"/>
              <w:lang w:eastAsia="zh-CN"/>
            </w:rPr>
            <w:t>（）</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_Toc7617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bCs/>
              <w:szCs w:val="32"/>
            </w:rPr>
            <w:fldChar w:fldCharType="end"/>
          </w:r>
        </w:p>
        <w:p w14:paraId="6E7430D0">
          <w:pPr>
            <w:pStyle w:val="7"/>
            <w:tabs>
              <w:tab w:val="right" w:leader="dot" w:pos="9355"/>
            </w:tabs>
          </w:pPr>
          <w:r>
            <w:rPr>
              <w:rFonts w:hint="default" w:ascii="Times New Roman" w:hAnsi="Times New Roman" w:eastAsia="宋体" w:cs="Times New Roman"/>
              <w:bCs/>
              <w:szCs w:val="32"/>
            </w:rPr>
            <w:fldChar w:fldCharType="begin"/>
          </w:r>
          <w:r>
            <w:rPr>
              <w:rFonts w:hint="default" w:ascii="Times New Roman" w:hAnsi="Times New Roman" w:eastAsia="宋体" w:cs="Times New Roman"/>
              <w:bCs/>
              <w:szCs w:val="32"/>
            </w:rPr>
            <w:instrText xml:space="preserve"> HYPERLINK \l _Toc11970 </w:instrText>
          </w:r>
          <w:r>
            <w:rPr>
              <w:rFonts w:hint="default" w:ascii="Times New Roman" w:hAnsi="Times New Roman" w:eastAsia="宋体" w:cs="Times New Roman"/>
              <w:bCs/>
              <w:szCs w:val="32"/>
            </w:rPr>
            <w:fldChar w:fldCharType="separate"/>
          </w:r>
          <w:r>
            <w:rPr>
              <w:rFonts w:hint="eastAsia" w:ascii="Times New Roman" w:hAnsi="Times New Roman" w:eastAsia="宋体" w:cs="Times New Roman"/>
              <w:kern w:val="2"/>
              <w:szCs w:val="18"/>
              <w:lang w:val="en-US" w:eastAsia="zh-CN" w:bidi="ar-SA"/>
            </w:rPr>
            <w:t>参考文献</w:t>
          </w:r>
          <w:r>
            <w:rPr>
              <w:rFonts w:hint="default" w:ascii="Times New Roman" w:hAnsi="Times New Roman" w:eastAsia="宋体" w:cs="Times New Roman"/>
            </w:rPr>
            <w:tab/>
          </w:r>
          <w:r>
            <w:rPr>
              <w:rFonts w:hint="eastAsia" w:ascii="Times New Roman" w:hAnsi="Times New Roman" w:eastAsia="宋体" w:cs="Times New Roman"/>
              <w:lang w:val="en-US" w:eastAsia="zh-CN"/>
            </w:rPr>
            <w:t>8</w:t>
          </w:r>
          <w:r>
            <w:rPr>
              <w:rFonts w:hint="default" w:ascii="Times New Roman" w:hAnsi="Times New Roman" w:eastAsia="宋体" w:cs="Times New Roman"/>
              <w:bCs/>
              <w:szCs w:val="32"/>
            </w:rPr>
            <w:fldChar w:fldCharType="end"/>
          </w:r>
        </w:p>
        <w:p w14:paraId="64EE1981">
          <w:pPr>
            <w:widowControl/>
            <w:spacing w:line="360" w:lineRule="auto"/>
            <w:jc w:val="both"/>
            <w:rPr>
              <w:rFonts w:ascii="宋体" w:hAnsi="宋体" w:eastAsia="宋体" w:cs="Times New Roman"/>
              <w:bCs/>
              <w:kern w:val="2"/>
              <w:sz w:val="21"/>
              <w:szCs w:val="32"/>
              <w:lang w:val="en-US" w:eastAsia="zh-CN" w:bidi="ar-SA"/>
            </w:rPr>
          </w:pPr>
          <w:r>
            <w:rPr>
              <w:rFonts w:ascii="宋体" w:hAnsi="宋体" w:eastAsia="宋体" w:cs="Times New Roman"/>
              <w:bCs/>
              <w:szCs w:val="32"/>
            </w:rPr>
            <w:fldChar w:fldCharType="end"/>
          </w:r>
        </w:p>
      </w:sdtContent>
    </w:sdt>
    <w:p w14:paraId="2EC20B2F">
      <w:pPr>
        <w:widowControl/>
        <w:spacing w:line="360" w:lineRule="auto"/>
        <w:jc w:val="both"/>
        <w:rPr>
          <w:rFonts w:ascii="宋体" w:hAnsi="宋体" w:eastAsia="宋体" w:cs="Times New Roman"/>
          <w:bCs/>
          <w:kern w:val="2"/>
          <w:sz w:val="21"/>
          <w:szCs w:val="32"/>
          <w:lang w:val="en-US" w:eastAsia="zh-CN" w:bidi="ar-SA"/>
        </w:rPr>
      </w:pPr>
    </w:p>
    <w:p w14:paraId="419BCDC5">
      <w:pPr>
        <w:rPr>
          <w:rFonts w:hint="eastAsia" w:ascii="黑体" w:hAnsi="黑体" w:eastAsia="黑体" w:cs="黑体"/>
          <w:color w:val="auto"/>
          <w:sz w:val="32"/>
          <w:szCs w:val="32"/>
        </w:rPr>
      </w:pPr>
      <w:bookmarkStart w:id="2" w:name="_Toc22369"/>
      <w:r>
        <w:rPr>
          <w:rFonts w:hint="eastAsia" w:ascii="黑体" w:hAnsi="黑体" w:eastAsia="黑体" w:cs="黑体"/>
          <w:color w:val="auto"/>
          <w:sz w:val="32"/>
          <w:szCs w:val="32"/>
        </w:rPr>
        <w:br w:type="page"/>
      </w:r>
    </w:p>
    <w:p w14:paraId="6793E392">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100" w:after="0" w:afterLines="100"/>
        <w:jc w:val="center"/>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前  言</w:t>
      </w:r>
      <w:bookmarkEnd w:id="2"/>
    </w:p>
    <w:p w14:paraId="3CC91962">
      <w:pPr>
        <w:spacing w:line="360" w:lineRule="auto"/>
        <w:rPr>
          <w:rFonts w:ascii="宋体" w:hAnsi="宋体" w:eastAsia="宋体" w:cs="Times New Roman"/>
          <w:sz w:val="24"/>
          <w:szCs w:val="24"/>
        </w:rPr>
      </w:pPr>
    </w:p>
    <w:p w14:paraId="7B8153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2020《标准化工作导则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第1部分：标准化文件的结构和起草规则》的规定起草。</w:t>
      </w:r>
    </w:p>
    <w:p w14:paraId="23D642DC">
      <w:pPr>
        <w:keepNext w:val="0"/>
        <w:keepLines w:val="0"/>
        <w:pageBreakBefore w:val="0"/>
        <w:widowControl w:val="0"/>
        <w:kinsoku/>
        <w:wordWrap/>
        <w:overflowPunct/>
        <w:topLinePunct w:val="0"/>
        <w:autoSpaceDE/>
        <w:autoSpaceDN/>
        <w:bidi w:val="0"/>
        <w:adjustRightInd/>
        <w:snapToGrid/>
        <w:ind w:left="0" w:right="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shd w:val="clear" w:color="auto" w:fill="FFFFFF"/>
          <w:lang w:val="en-US" w:eastAsia="zh-CN"/>
        </w:rPr>
        <w:t>请注意</w:t>
      </w:r>
      <w:r>
        <w:rPr>
          <w:rFonts w:ascii="Times New Roman" w:hAnsi="Times New Roman" w:eastAsia="宋体" w:cs="Times New Roman"/>
          <w:szCs w:val="21"/>
          <w:shd w:val="clear" w:color="auto" w:fill="FFFFFF"/>
        </w:rPr>
        <w:t>本文件的某些内容可能涉及专利。本文件的发布机构不承担识别专利的责任。</w:t>
      </w:r>
      <w:r>
        <w:rPr>
          <w:rFonts w:hint="eastAsia" w:ascii="Times New Roman" w:hAnsi="Times New Roman" w:eastAsia="宋体" w:cs="Times New Roman"/>
          <w:szCs w:val="21"/>
        </w:rPr>
        <w:t xml:space="preserve"> </w:t>
      </w:r>
    </w:p>
    <w:p w14:paraId="3EB7E8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szCs w:val="21"/>
          <w:lang w:val="en-US" w:eastAsia="zh-CN"/>
        </w:rPr>
        <w:t>老年外科</w:t>
      </w:r>
      <w:r>
        <w:rPr>
          <w:rFonts w:hint="eastAsia" w:ascii="Times New Roman" w:hAnsi="Times New Roman" w:eastAsia="宋体" w:cs="Times New Roman"/>
          <w:szCs w:val="21"/>
        </w:rPr>
        <w:t>专业委员会提出。</w:t>
      </w:r>
    </w:p>
    <w:p w14:paraId="5EB6DB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23AB6B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lang w:val="en-US" w:eastAsia="en-US"/>
        </w:rPr>
      </w:pPr>
      <w:r>
        <w:rPr>
          <w:rFonts w:hint="eastAsia" w:ascii="Times New Roman" w:hAnsi="Times New Roman" w:eastAsia="宋体" w:cs="Times New Roman"/>
          <w:szCs w:val="21"/>
          <w:lang w:val="en-US" w:eastAsia="en-US"/>
        </w:rPr>
        <w:t>本文件起草单位：</w:t>
      </w:r>
      <w:bookmarkStart w:id="58" w:name="_GoBack"/>
      <w:bookmarkEnd w:id="58"/>
      <w:r>
        <w:rPr>
          <w:rFonts w:hint="eastAsia" w:ascii="Times New Roman" w:hAnsi="Times New Roman" w:eastAsia="宋体" w:cs="Times New Roman"/>
          <w:szCs w:val="21"/>
          <w:lang w:val="en-US" w:eastAsia="zh-CN"/>
        </w:rPr>
        <w:t>。</w:t>
      </w:r>
    </w:p>
    <w:p w14:paraId="05486E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lang w:val="en-US" w:eastAsia="en-US"/>
        </w:rPr>
      </w:pPr>
      <w:r>
        <w:rPr>
          <w:rFonts w:hint="eastAsia" w:ascii="Times New Roman" w:hAnsi="Times New Roman" w:eastAsia="宋体" w:cs="Times New Roman"/>
          <w:szCs w:val="21"/>
          <w:lang w:val="en-US" w:eastAsia="en-US"/>
        </w:rPr>
        <w:t>本文件主要起草人：。</w:t>
      </w:r>
    </w:p>
    <w:p w14:paraId="72C68A4A">
      <w:pPr>
        <w:ind w:firstLine="420" w:firstLineChars="200"/>
        <w:rPr>
          <w:rFonts w:ascii="宋体" w:hAnsi="宋体" w:eastAsia="宋体" w:cs="Times New Roman"/>
          <w:szCs w:val="21"/>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134" w:bottom="1134" w:left="1417" w:header="850" w:footer="992" w:gutter="0"/>
          <w:pgBorders>
            <w:top w:val="none" w:sz="0" w:space="0"/>
            <w:left w:val="none" w:sz="0" w:space="0"/>
            <w:bottom w:val="none" w:sz="0" w:space="0"/>
            <w:right w:val="none" w:sz="0" w:space="0"/>
          </w:pgBorders>
          <w:pgNumType w:fmt="upperRoman" w:start="1"/>
          <w:cols w:space="0" w:num="1"/>
          <w:titlePg/>
          <w:rtlGutter w:val="0"/>
          <w:docGrid w:type="lines" w:linePitch="317" w:charSpace="0"/>
        </w:sectPr>
      </w:pPr>
      <w:r>
        <w:rPr>
          <w:rFonts w:hint="eastAsia" w:ascii="宋体" w:hAnsi="宋体" w:eastAsia="宋体" w:cs="Times New Roman"/>
          <w:szCs w:val="21"/>
        </w:rPr>
        <w:br w:type="page"/>
      </w:r>
    </w:p>
    <w:p w14:paraId="0DB9803E">
      <w:pPr>
        <w:pStyle w:val="3"/>
        <w:keepNext w:val="0"/>
        <w:keepLines w:val="0"/>
        <w:pageBreakBefore w:val="0"/>
        <w:widowControl w:val="0"/>
        <w:kinsoku/>
        <w:wordWrap/>
        <w:overflowPunct/>
        <w:topLinePunct w:val="0"/>
        <w:autoSpaceDE/>
        <w:autoSpaceDN/>
        <w:bidi w:val="0"/>
        <w:adjustRightInd/>
        <w:snapToGrid/>
        <w:spacing w:before="318" w:beforeLines="100" w:after="318" w:afterLines="100" w:line="240" w:lineRule="auto"/>
        <w:ind w:left="0"/>
        <w:jc w:val="center"/>
        <w:textAlignment w:val="auto"/>
        <w:rPr>
          <w:rFonts w:hint="eastAsia" w:ascii="宋体" w:hAnsi="宋体" w:eastAsia="宋体" w:cs="宋体"/>
          <w:sz w:val="24"/>
          <w:szCs w:val="24"/>
        </w:rPr>
      </w:pPr>
      <w:r>
        <w:rPr>
          <w:rFonts w:hint="eastAsia" w:ascii="黑体" w:hAnsi="黑体" w:eastAsia="黑体" w:cs="黑体"/>
          <w:sz w:val="32"/>
          <w:szCs w:val="32"/>
          <w:lang w:val="en-US" w:eastAsia="zh-CN"/>
        </w:rPr>
        <w:t>老年外科患者围手术期营养支持指南</w:t>
      </w:r>
    </w:p>
    <w:p w14:paraId="7BC2E043">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eastAsia" w:hAnsi="黑体" w:cs="黑体"/>
          <w:szCs w:val="21"/>
        </w:rPr>
      </w:pPr>
      <w:bookmarkStart w:id="3" w:name="bookmark3"/>
      <w:bookmarkEnd w:id="3"/>
      <w:bookmarkStart w:id="4" w:name="_Toc18860"/>
      <w:r>
        <w:rPr>
          <w:rFonts w:hint="eastAsia" w:hAnsi="黑体" w:cs="黑体"/>
          <w:szCs w:val="21"/>
        </w:rPr>
        <w:t>范围</w:t>
      </w:r>
      <w:bookmarkEnd w:id="4"/>
    </w:p>
    <w:p w14:paraId="2CAB05C5">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本文件规定</w:t>
      </w:r>
      <w:r>
        <w:rPr>
          <w:rFonts w:hint="eastAsia" w:ascii="Times New Roman" w:hAnsi="Times New Roman" w:eastAsia="宋体" w:cs="Times New Roman"/>
          <w:szCs w:val="21"/>
          <w:lang w:val="en-US" w:eastAsia="en-US"/>
        </w:rPr>
        <w:t>了</w:t>
      </w:r>
      <w:r>
        <w:rPr>
          <w:rFonts w:hint="eastAsia" w:ascii="Times New Roman" w:hAnsi="Times New Roman" w:eastAsia="宋体" w:cs="Times New Roman"/>
          <w:szCs w:val="21"/>
          <w:lang w:val="en-US" w:eastAsia="zh-CN"/>
        </w:rPr>
        <w:t>老年外科患者围手术期营养风险和营养不良</w:t>
      </w:r>
      <w:r>
        <w:rPr>
          <w:rFonts w:hint="eastAsia" w:ascii="Times New Roman" w:hAnsi="Times New Roman" w:eastAsia="宋体" w:cs="Times New Roman"/>
          <w:szCs w:val="21"/>
          <w:lang w:val="en-US" w:eastAsia="en-US"/>
        </w:rPr>
        <w:t>的定义、诊断</w:t>
      </w:r>
      <w:r>
        <w:rPr>
          <w:rFonts w:hint="eastAsia" w:ascii="Times New Roman" w:hAnsi="Times New Roman" w:eastAsia="宋体" w:cs="Times New Roman"/>
          <w:szCs w:val="21"/>
          <w:lang w:val="en-US" w:eastAsia="zh-CN"/>
        </w:rPr>
        <w:t>标准，输钱和术后营养支持</w:t>
      </w:r>
      <w:r>
        <w:rPr>
          <w:rFonts w:hint="eastAsia" w:ascii="Times New Roman" w:hAnsi="Times New Roman" w:eastAsia="宋体" w:cs="Times New Roman"/>
          <w:szCs w:val="21"/>
        </w:rPr>
        <w:t>治疗的</w:t>
      </w:r>
      <w:r>
        <w:rPr>
          <w:rFonts w:hint="eastAsia" w:ascii="Times New Roman" w:hAnsi="Times New Roman" w:eastAsia="宋体" w:cs="Times New Roman"/>
          <w:szCs w:val="21"/>
          <w:lang w:val="en-US" w:eastAsia="zh-CN"/>
        </w:rPr>
        <w:t>临床指南。</w:t>
      </w:r>
    </w:p>
    <w:p w14:paraId="2060EF32">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本文件适用于二级以上医疗机构</w:t>
      </w:r>
      <w:r>
        <w:rPr>
          <w:rFonts w:hint="eastAsia" w:ascii="Times New Roman" w:hAnsi="Times New Roman" w:eastAsia="宋体" w:cs="Times New Roman"/>
          <w:szCs w:val="21"/>
          <w:lang w:val="en-US" w:eastAsia="zh-CN"/>
        </w:rPr>
        <w:t>针对老年外科患者，在围手术期指导营养支持治疗</w:t>
      </w:r>
      <w:r>
        <w:rPr>
          <w:rFonts w:hint="eastAsia" w:ascii="Times New Roman" w:hAnsi="Times New Roman" w:eastAsia="宋体" w:cs="Times New Roman"/>
          <w:szCs w:val="21"/>
        </w:rPr>
        <w:t>。</w:t>
      </w:r>
      <w:bookmarkStart w:id="5" w:name="bookmark4"/>
      <w:bookmarkEnd w:id="5"/>
    </w:p>
    <w:p w14:paraId="41971C93">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default" w:hAnsi="黑体" w:cs="黑体"/>
          <w:szCs w:val="21"/>
          <w:lang w:val="en-US" w:eastAsia="zh-CN"/>
        </w:rPr>
      </w:pPr>
      <w:bookmarkStart w:id="6" w:name="_Toc32699"/>
      <w:bookmarkStart w:id="7" w:name="_Toc32194"/>
      <w:r>
        <w:rPr>
          <w:rFonts w:hint="default" w:hAnsi="黑体" w:cs="黑体"/>
          <w:szCs w:val="21"/>
          <w:lang w:val="en-US" w:eastAsia="zh-CN"/>
        </w:rPr>
        <w:t>规范性引用文件</w:t>
      </w:r>
      <w:bookmarkEnd w:id="6"/>
      <w:bookmarkEnd w:id="7"/>
    </w:p>
    <w:p w14:paraId="1E963650">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本文件没有规范性引用文件。</w:t>
      </w:r>
      <w:bookmarkStart w:id="8" w:name="bookmark5"/>
      <w:bookmarkEnd w:id="8"/>
    </w:p>
    <w:p w14:paraId="7BBF7F0F">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default" w:hAnsi="黑体" w:cs="黑体"/>
          <w:szCs w:val="21"/>
          <w:lang w:val="en-US" w:eastAsia="zh-CN"/>
        </w:rPr>
      </w:pPr>
      <w:bookmarkStart w:id="9" w:name="_Toc27752"/>
      <w:bookmarkStart w:id="10" w:name="_Toc9467"/>
      <w:r>
        <w:rPr>
          <w:rFonts w:hint="default" w:hAnsi="黑体" w:cs="黑体"/>
          <w:szCs w:val="21"/>
          <w:lang w:val="en-US" w:eastAsia="zh-CN"/>
        </w:rPr>
        <w:t>术语</w:t>
      </w:r>
      <w:r>
        <w:rPr>
          <w:rFonts w:hint="eastAsia" w:hAnsi="黑体" w:cs="黑体"/>
          <w:szCs w:val="21"/>
          <w:lang w:val="en-US" w:eastAsia="zh-CN"/>
        </w:rPr>
        <w:t>和</w:t>
      </w:r>
      <w:r>
        <w:rPr>
          <w:rFonts w:hint="default" w:hAnsi="黑体" w:cs="黑体"/>
          <w:szCs w:val="21"/>
          <w:lang w:val="en-US" w:eastAsia="zh-CN"/>
        </w:rPr>
        <w:t>定义</w:t>
      </w:r>
      <w:bookmarkEnd w:id="9"/>
      <w:bookmarkEnd w:id="10"/>
    </w:p>
    <w:p w14:paraId="0578B35C">
      <w:pPr>
        <w:pStyle w:val="3"/>
        <w:numPr>
          <w:ilvl w:val="0"/>
          <w:numId w:val="0"/>
        </w:numPr>
        <w:spacing w:before="91" w:line="360" w:lineRule="auto"/>
        <w:ind w:leftChars="200"/>
        <w:outlineLvl w:val="0"/>
        <w:rPr>
          <w:rFonts w:hint="eastAsia" w:ascii="宋体" w:hAnsi="宋体" w:eastAsia="宋体" w:cs="宋体"/>
          <w:kern w:val="2"/>
          <w:sz w:val="21"/>
          <w:szCs w:val="21"/>
          <w:lang w:val="en-US" w:eastAsia="zh-CN" w:bidi="ar-SA"/>
        </w:rPr>
      </w:pPr>
      <w:bookmarkStart w:id="11" w:name="_Toc6338"/>
      <w:bookmarkStart w:id="12" w:name="_Toc30109"/>
      <w:r>
        <w:rPr>
          <w:rFonts w:hint="eastAsia" w:ascii="宋体" w:hAnsi="宋体" w:eastAsia="宋体" w:cs="宋体"/>
          <w:kern w:val="2"/>
          <w:sz w:val="21"/>
          <w:szCs w:val="21"/>
          <w:lang w:val="en-US" w:eastAsia="zh-CN" w:bidi="ar-SA"/>
        </w:rPr>
        <w:t>下列术语及定义适用于本文件。</w:t>
      </w:r>
      <w:bookmarkEnd w:id="11"/>
      <w:bookmarkEnd w:id="12"/>
      <w:r>
        <w:rPr>
          <w:rFonts w:hint="eastAsia" w:ascii="宋体" w:hAnsi="宋体" w:eastAsia="宋体" w:cs="宋体"/>
          <w:kern w:val="2"/>
          <w:sz w:val="21"/>
          <w:szCs w:val="21"/>
          <w:lang w:val="en-US" w:eastAsia="zh-CN" w:bidi="ar-SA"/>
        </w:rPr>
        <w:t xml:space="preserve"> </w:t>
      </w:r>
    </w:p>
    <w:p w14:paraId="31FC4392">
      <w:pPr>
        <w:pStyle w:val="18"/>
        <w:keepNext w:val="0"/>
        <w:keepLines w:val="0"/>
        <w:pageBreakBefore w:val="0"/>
        <w:widowControl w:val="0"/>
        <w:numPr>
          <w:ilvl w:val="1"/>
          <w:numId w:val="0"/>
        </w:numPr>
        <w:kinsoku/>
        <w:wordWrap/>
        <w:overflowPunct/>
        <w:topLinePunct w:val="0"/>
        <w:autoSpaceDE/>
        <w:autoSpaceDN/>
        <w:bidi w:val="0"/>
        <w:adjustRightInd/>
        <w:snapToGrid/>
        <w:ind w:left="428" w:leftChars="0" w:hanging="428" w:firstLineChars="0"/>
        <w:textAlignment w:val="auto"/>
        <w:outlineLvl w:val="0"/>
        <w:rPr>
          <w:rFonts w:hint="eastAsia" w:ascii="宋体" w:hAnsi="宋体" w:eastAsia="宋体" w:cs="宋体"/>
          <w:kern w:val="2"/>
          <w:sz w:val="21"/>
          <w:szCs w:val="21"/>
          <w:lang w:val="en-US" w:eastAsia="zh-CN" w:bidi="ar-SA"/>
        </w:rPr>
      </w:pPr>
      <w:bookmarkStart w:id="13" w:name="_Toc8133"/>
      <w:bookmarkStart w:id="14" w:name="_Toc21120"/>
      <w:bookmarkStart w:id="15" w:name="_Toc18567"/>
      <w:r>
        <w:rPr>
          <w:rFonts w:hint="default" w:ascii="黑体" w:hAnsi="黑体" w:eastAsia="黑体" w:cs="黑体"/>
          <w:bCs/>
          <w:color w:val="000000" w:themeColor="text1"/>
          <w:kern w:val="2"/>
          <w:sz w:val="21"/>
          <w:szCs w:val="21"/>
          <w:lang w:val="en-US" w:eastAsia="zh-CN" w:bidi="ar-SA"/>
          <w14:textFill>
            <w14:solidFill>
              <w14:schemeClr w14:val="tx1"/>
            </w14:solidFill>
          </w14:textFill>
        </w:rPr>
        <w:t>3.1</w:t>
      </w:r>
      <w:bookmarkEnd w:id="13"/>
      <w:bookmarkEnd w:id="14"/>
      <w:bookmarkEnd w:id="15"/>
    </w:p>
    <w:p w14:paraId="5FEFE9E7">
      <w:pPr>
        <w:snapToGrid w:val="0"/>
        <w:ind w:firstLine="420" w:firstLineChars="200"/>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老年</w:t>
      </w:r>
      <w:r>
        <w:rPr>
          <w:rFonts w:ascii="Times New Roman" w:hAnsi="Times New Roman" w:eastAsia="黑体" w:cs="Times New Roman"/>
          <w:bCs/>
          <w:szCs w:val="21"/>
        </w:rPr>
        <w:t>　</w:t>
      </w:r>
      <w:r>
        <w:rPr>
          <w:rFonts w:hint="eastAsia" w:ascii="Times New Roman" w:hAnsi="Times New Roman" w:eastAsia="黑体" w:cs="Times New Roman"/>
          <w:b/>
          <w:bCs w:val="0"/>
          <w:szCs w:val="21"/>
          <w:lang w:val="en-US" w:eastAsia="zh-CN"/>
        </w:rPr>
        <w:t>e</w:t>
      </w:r>
      <w:r>
        <w:rPr>
          <w:rFonts w:hint="default" w:ascii="Times New Roman" w:hAnsi="Times New Roman" w:eastAsia="黑体" w:cs="Times New Roman"/>
          <w:b/>
          <w:bCs w:val="0"/>
          <w:szCs w:val="21"/>
          <w:lang w:val="en-US" w:eastAsia="zh-CN"/>
        </w:rPr>
        <w:t xml:space="preserve">lderly or </w:t>
      </w:r>
      <w:r>
        <w:rPr>
          <w:rFonts w:hint="eastAsia" w:ascii="Times New Roman" w:hAnsi="Times New Roman" w:eastAsia="黑体" w:cs="Times New Roman"/>
          <w:b/>
          <w:bCs w:val="0"/>
          <w:szCs w:val="21"/>
          <w:lang w:val="en-US" w:eastAsia="zh-CN"/>
        </w:rPr>
        <w:t>a</w:t>
      </w:r>
      <w:r>
        <w:rPr>
          <w:rFonts w:hint="default" w:ascii="Times New Roman" w:hAnsi="Times New Roman" w:eastAsia="黑体" w:cs="Times New Roman"/>
          <w:b/>
          <w:bCs w:val="0"/>
          <w:szCs w:val="21"/>
          <w:lang w:val="en-US" w:eastAsia="zh-CN"/>
        </w:rPr>
        <w:t>ged</w:t>
      </w:r>
    </w:p>
    <w:p w14:paraId="799E793B">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我国政府和世界卫生组织均以年龄大于等于65岁的人群作为老年人口统计标准。老年患者因衰老导致一系列生理和病理改变，常伴有合并症多、营养风险高、衰弱及器官功能下降等特点。</w:t>
      </w:r>
    </w:p>
    <w:p w14:paraId="7C074AF6">
      <w:pPr>
        <w:pStyle w:val="18"/>
        <w:keepNext w:val="0"/>
        <w:keepLines w:val="0"/>
        <w:pageBreakBefore w:val="0"/>
        <w:widowControl w:val="0"/>
        <w:numPr>
          <w:ilvl w:val="1"/>
          <w:numId w:val="0"/>
        </w:numPr>
        <w:kinsoku/>
        <w:wordWrap/>
        <w:overflowPunct/>
        <w:topLinePunct w:val="0"/>
        <w:autoSpaceDE/>
        <w:autoSpaceDN/>
        <w:bidi w:val="0"/>
        <w:adjustRightInd/>
        <w:snapToGrid/>
        <w:ind w:left="708" w:leftChars="0" w:hanging="708" w:firstLineChars="0"/>
        <w:textAlignment w:val="auto"/>
        <w:outlineLvl w:val="0"/>
        <w:rPr>
          <w:rFonts w:hint="eastAsia" w:ascii="宋体" w:hAnsi="宋体" w:eastAsia="宋体" w:cs="宋体"/>
          <w:kern w:val="2"/>
          <w:sz w:val="21"/>
          <w:szCs w:val="21"/>
          <w:lang w:val="en-US" w:eastAsia="zh-CN" w:bidi="ar-SA"/>
        </w:rPr>
      </w:pPr>
      <w:bookmarkStart w:id="16" w:name="_Toc5588"/>
      <w:bookmarkStart w:id="17" w:name="_Toc4598"/>
      <w:bookmarkStart w:id="18" w:name="_Toc31989"/>
      <w:r>
        <w:rPr>
          <w:rFonts w:hint="default" w:ascii="黑体" w:hAnsi="黑体" w:eastAsia="黑体" w:cs="黑体"/>
          <w:bCs/>
          <w:color w:val="000000" w:themeColor="text1"/>
          <w:kern w:val="2"/>
          <w:sz w:val="21"/>
          <w:szCs w:val="21"/>
          <w:lang w:val="en-US" w:eastAsia="zh-CN" w:bidi="ar-SA"/>
          <w14:textFill>
            <w14:solidFill>
              <w14:schemeClr w14:val="tx1"/>
            </w14:solidFill>
          </w14:textFill>
        </w:rPr>
        <w:t>3.2</w:t>
      </w:r>
      <w:bookmarkEnd w:id="16"/>
      <w:bookmarkEnd w:id="17"/>
      <w:bookmarkEnd w:id="18"/>
    </w:p>
    <w:p w14:paraId="7F250CDA">
      <w:pPr>
        <w:pStyle w:val="3"/>
        <w:keepNext w:val="0"/>
        <w:keepLines w:val="0"/>
        <w:pageBreakBefore w:val="0"/>
        <w:widowControl w:val="0"/>
        <w:kinsoku/>
        <w:wordWrap/>
        <w:overflowPunct/>
        <w:topLinePunct w:val="0"/>
        <w:autoSpaceDE/>
        <w:autoSpaceDN/>
        <w:bidi w:val="0"/>
        <w:adjustRightInd/>
        <w:snapToGrid/>
        <w:spacing w:before="0" w:line="240" w:lineRule="auto"/>
        <w:ind w:left="23" w:right="176" w:firstLine="420"/>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老年外科　</w:t>
      </w:r>
      <w:r>
        <w:rPr>
          <w:rFonts w:hint="default" w:ascii="Times New Roman" w:hAnsi="Times New Roman" w:eastAsia="黑体" w:cs="Times New Roman"/>
          <w:b/>
          <w:bCs/>
          <w:kern w:val="2"/>
          <w:sz w:val="21"/>
          <w:szCs w:val="21"/>
          <w:lang w:val="en-US" w:eastAsia="zh-CN" w:bidi="ar-SA"/>
        </w:rPr>
        <w:t>geriatric surgery</w:t>
      </w:r>
    </w:p>
    <w:p w14:paraId="0541A002">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专门针对老年患者（通常指65岁及以上）的外科诊疗领域，其核心目标是基于老年人生理特点、合并症及功能状态，提供个体化、多学科协作的手术治疗。</w:t>
      </w:r>
    </w:p>
    <w:p w14:paraId="36C93154">
      <w:pPr>
        <w:pStyle w:val="18"/>
        <w:keepNext w:val="0"/>
        <w:keepLines w:val="0"/>
        <w:pageBreakBefore w:val="0"/>
        <w:widowControl w:val="0"/>
        <w:numPr>
          <w:ilvl w:val="1"/>
          <w:numId w:val="0"/>
        </w:numPr>
        <w:kinsoku/>
        <w:wordWrap/>
        <w:overflowPunct/>
        <w:topLinePunct w:val="0"/>
        <w:autoSpaceDE/>
        <w:autoSpaceDN/>
        <w:bidi w:val="0"/>
        <w:adjustRightInd/>
        <w:snapToGrid/>
        <w:ind w:left="708" w:leftChars="0" w:hanging="708" w:firstLineChars="0"/>
        <w:textAlignment w:val="auto"/>
        <w:outlineLvl w:val="0"/>
        <w:rPr>
          <w:rFonts w:hint="eastAsia" w:ascii="宋体" w:hAnsi="宋体" w:eastAsia="宋体" w:cs="宋体"/>
          <w:kern w:val="2"/>
          <w:sz w:val="21"/>
          <w:szCs w:val="21"/>
          <w:lang w:val="en-US" w:eastAsia="zh-CN" w:bidi="ar-SA"/>
        </w:rPr>
      </w:pPr>
      <w:bookmarkStart w:id="19" w:name="_Toc2926"/>
      <w:bookmarkStart w:id="20" w:name="_Toc2012"/>
      <w:bookmarkStart w:id="21" w:name="_Toc14032"/>
      <w:r>
        <w:rPr>
          <w:rFonts w:hint="default" w:ascii="黑体" w:hAnsi="黑体" w:eastAsia="黑体" w:cs="黑体"/>
          <w:bCs/>
          <w:color w:val="000000" w:themeColor="text1"/>
          <w:kern w:val="2"/>
          <w:sz w:val="21"/>
          <w:szCs w:val="21"/>
          <w:lang w:val="en-US" w:eastAsia="zh-CN" w:bidi="ar-SA"/>
          <w14:textFill>
            <w14:solidFill>
              <w14:schemeClr w14:val="tx1"/>
            </w14:solidFill>
          </w14:textFill>
        </w:rPr>
        <w:t>3.3</w:t>
      </w:r>
      <w:bookmarkEnd w:id="19"/>
      <w:bookmarkEnd w:id="20"/>
      <w:bookmarkEnd w:id="21"/>
    </w:p>
    <w:p w14:paraId="5EB2CEBE">
      <w:pPr>
        <w:pStyle w:val="3"/>
        <w:keepNext w:val="0"/>
        <w:keepLines w:val="0"/>
        <w:pageBreakBefore w:val="0"/>
        <w:widowControl w:val="0"/>
        <w:kinsoku/>
        <w:wordWrap/>
        <w:overflowPunct/>
        <w:topLinePunct w:val="0"/>
        <w:autoSpaceDE/>
        <w:autoSpaceDN/>
        <w:bidi w:val="0"/>
        <w:adjustRightInd/>
        <w:snapToGrid/>
        <w:spacing w:before="0" w:line="240" w:lineRule="auto"/>
        <w:ind w:left="23" w:right="176" w:firstLine="420"/>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围手术期　</w:t>
      </w:r>
      <w:r>
        <w:rPr>
          <w:rFonts w:hint="default" w:ascii="Times New Roman" w:hAnsi="Times New Roman" w:eastAsia="黑体" w:cs="Times New Roman"/>
          <w:b/>
          <w:bCs/>
          <w:kern w:val="2"/>
          <w:sz w:val="21"/>
          <w:szCs w:val="21"/>
          <w:lang w:val="en-US" w:eastAsia="zh-CN" w:bidi="ar-SA"/>
        </w:rPr>
        <w:t>perioperative period</w:t>
      </w:r>
    </w:p>
    <w:p w14:paraId="41FD1A1F">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指从手术准备到术后恢复的整个时期，包括术前、术中和术后阶段，涉及营养风险评估、营养不良诊断、术前和术后营养支持及永阳治疗相关并发症的管理。</w:t>
      </w:r>
    </w:p>
    <w:p w14:paraId="70769B08">
      <w:pPr>
        <w:pStyle w:val="18"/>
        <w:keepNext w:val="0"/>
        <w:keepLines w:val="0"/>
        <w:pageBreakBefore w:val="0"/>
        <w:widowControl w:val="0"/>
        <w:numPr>
          <w:ilvl w:val="1"/>
          <w:numId w:val="0"/>
        </w:numPr>
        <w:kinsoku/>
        <w:wordWrap/>
        <w:overflowPunct/>
        <w:topLinePunct w:val="0"/>
        <w:autoSpaceDE/>
        <w:autoSpaceDN/>
        <w:bidi w:val="0"/>
        <w:adjustRightInd/>
        <w:snapToGrid/>
        <w:ind w:left="708" w:leftChars="0" w:hanging="708" w:firstLineChars="0"/>
        <w:textAlignment w:val="auto"/>
        <w:outlineLvl w:val="0"/>
        <w:rPr>
          <w:rFonts w:hint="eastAsia" w:ascii="宋体" w:hAnsi="宋体" w:eastAsia="宋体" w:cs="宋体"/>
          <w:kern w:val="2"/>
          <w:sz w:val="21"/>
          <w:szCs w:val="21"/>
          <w:lang w:val="en-US" w:eastAsia="zh-CN" w:bidi="ar-SA"/>
        </w:rPr>
      </w:pPr>
      <w:bookmarkStart w:id="22" w:name="_Toc28864"/>
      <w:bookmarkStart w:id="23" w:name="_Toc14293"/>
      <w:bookmarkStart w:id="24" w:name="_Toc11715"/>
      <w:r>
        <w:rPr>
          <w:rFonts w:hint="default" w:ascii="黑体" w:hAnsi="黑体" w:eastAsia="黑体" w:cs="黑体"/>
          <w:bCs/>
          <w:color w:val="000000" w:themeColor="text1"/>
          <w:kern w:val="2"/>
          <w:sz w:val="21"/>
          <w:szCs w:val="21"/>
          <w:lang w:val="en-US" w:eastAsia="zh-CN" w:bidi="ar-SA"/>
          <w14:textFill>
            <w14:solidFill>
              <w14:schemeClr w14:val="tx1"/>
            </w14:solidFill>
          </w14:textFill>
        </w:rPr>
        <w:t>3.4</w:t>
      </w:r>
      <w:bookmarkEnd w:id="22"/>
      <w:bookmarkEnd w:id="23"/>
      <w:bookmarkEnd w:id="24"/>
    </w:p>
    <w:p w14:paraId="1FD81127">
      <w:pPr>
        <w:pStyle w:val="3"/>
        <w:keepNext w:val="0"/>
        <w:keepLines w:val="0"/>
        <w:pageBreakBefore w:val="0"/>
        <w:widowControl w:val="0"/>
        <w:kinsoku/>
        <w:wordWrap/>
        <w:overflowPunct/>
        <w:topLinePunct w:val="0"/>
        <w:autoSpaceDE/>
        <w:autoSpaceDN/>
        <w:bidi w:val="0"/>
        <w:adjustRightInd/>
        <w:snapToGrid/>
        <w:spacing w:before="0" w:line="240" w:lineRule="auto"/>
        <w:ind w:left="23" w:right="176" w:firstLine="420"/>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营养风险　</w:t>
      </w:r>
      <w:r>
        <w:rPr>
          <w:rFonts w:hint="default" w:ascii="Times New Roman" w:hAnsi="Times New Roman" w:eastAsia="黑体" w:cs="Times New Roman"/>
          <w:b/>
          <w:bCs/>
          <w:kern w:val="2"/>
          <w:sz w:val="21"/>
          <w:szCs w:val="21"/>
          <w:lang w:val="en-US" w:eastAsia="zh-CN" w:bidi="ar-SA"/>
        </w:rPr>
        <w:t>nutritional risk</w:t>
      </w:r>
    </w:p>
    <w:p w14:paraId="6435D400">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指患者发生营养不良或营养相关并发症的风险，需通过筛查工具（如NRS2002）进行评估，老年外科患者中常见营养高风险。</w:t>
      </w:r>
    </w:p>
    <w:p w14:paraId="530812B6">
      <w:pPr>
        <w:pStyle w:val="18"/>
        <w:keepNext w:val="0"/>
        <w:keepLines w:val="0"/>
        <w:pageBreakBefore w:val="0"/>
        <w:widowControl w:val="0"/>
        <w:numPr>
          <w:ilvl w:val="1"/>
          <w:numId w:val="0"/>
        </w:numPr>
        <w:kinsoku/>
        <w:wordWrap/>
        <w:overflowPunct/>
        <w:topLinePunct w:val="0"/>
        <w:autoSpaceDE/>
        <w:autoSpaceDN/>
        <w:bidi w:val="0"/>
        <w:adjustRightInd/>
        <w:snapToGrid/>
        <w:ind w:left="708" w:leftChars="0" w:hanging="708" w:firstLineChars="0"/>
        <w:textAlignment w:val="auto"/>
        <w:outlineLvl w:val="0"/>
        <w:rPr>
          <w:rFonts w:ascii="Times New Roman" w:hAnsi="Times New Roman" w:eastAsia="黑体" w:cs="Times New Roman"/>
          <w:bCs/>
          <w:szCs w:val="21"/>
        </w:rPr>
      </w:pPr>
      <w:bookmarkStart w:id="25" w:name="_Toc11072"/>
      <w:bookmarkStart w:id="26" w:name="_Toc3417"/>
      <w:bookmarkStart w:id="27" w:name="_Toc7578"/>
      <w:r>
        <w:rPr>
          <w:rFonts w:hint="default" w:ascii="黑体" w:hAnsi="黑体" w:eastAsia="黑体" w:cs="黑体"/>
          <w:bCs/>
          <w:color w:val="000000" w:themeColor="text1"/>
          <w:kern w:val="2"/>
          <w:sz w:val="21"/>
          <w:szCs w:val="21"/>
          <w:lang w:val="en-US" w:eastAsia="zh-CN" w:bidi="ar-SA"/>
          <w14:textFill>
            <w14:solidFill>
              <w14:schemeClr w14:val="tx1"/>
            </w14:solidFill>
          </w14:textFill>
        </w:rPr>
        <w:t>3.5</w:t>
      </w:r>
      <w:bookmarkEnd w:id="25"/>
      <w:bookmarkEnd w:id="26"/>
      <w:bookmarkEnd w:id="27"/>
    </w:p>
    <w:p w14:paraId="5711DF1E">
      <w:pPr>
        <w:pStyle w:val="3"/>
        <w:keepNext w:val="0"/>
        <w:keepLines w:val="0"/>
        <w:pageBreakBefore w:val="0"/>
        <w:widowControl w:val="0"/>
        <w:kinsoku/>
        <w:wordWrap/>
        <w:overflowPunct/>
        <w:topLinePunct w:val="0"/>
        <w:autoSpaceDE/>
        <w:autoSpaceDN/>
        <w:bidi w:val="0"/>
        <w:adjustRightInd/>
        <w:snapToGrid/>
        <w:spacing w:before="0" w:line="240" w:lineRule="auto"/>
        <w:ind w:left="23" w:right="176" w:firstLine="420"/>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营养不良　</w:t>
      </w:r>
      <w:r>
        <w:rPr>
          <w:rFonts w:hint="default" w:ascii="Times New Roman" w:hAnsi="Times New Roman" w:eastAsia="黑体" w:cs="Times New Roman"/>
          <w:b/>
          <w:bCs/>
          <w:kern w:val="2"/>
          <w:sz w:val="21"/>
          <w:szCs w:val="21"/>
          <w:lang w:val="en-US" w:eastAsia="zh-CN" w:bidi="ar-SA"/>
        </w:rPr>
        <w:t>malnutrition</w:t>
      </w:r>
    </w:p>
    <w:p w14:paraId="16A72323">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指营养状况不良的状态，可能导致体重下降、器官功能受损和术后并发症增加，在老年外科患者中营养不良的比例较高。</w:t>
      </w:r>
    </w:p>
    <w:p w14:paraId="7AE8BDF5">
      <w:pPr>
        <w:pStyle w:val="18"/>
        <w:keepNext w:val="0"/>
        <w:keepLines w:val="0"/>
        <w:pageBreakBefore w:val="0"/>
        <w:widowControl w:val="0"/>
        <w:numPr>
          <w:ilvl w:val="1"/>
          <w:numId w:val="0"/>
        </w:numPr>
        <w:kinsoku/>
        <w:wordWrap/>
        <w:overflowPunct/>
        <w:topLinePunct w:val="0"/>
        <w:autoSpaceDE/>
        <w:autoSpaceDN/>
        <w:bidi w:val="0"/>
        <w:adjustRightInd/>
        <w:snapToGrid/>
        <w:ind w:left="708" w:leftChars="0" w:hanging="708" w:firstLineChars="0"/>
        <w:textAlignment w:val="auto"/>
        <w:outlineLvl w:val="0"/>
        <w:rPr>
          <w:rFonts w:hint="default" w:ascii="Times New Roman" w:hAnsi="Times New Roman" w:eastAsia="黑体" w:cs="Times New Roman"/>
          <w:bCs/>
          <w:szCs w:val="21"/>
          <w:lang w:val="en-US"/>
        </w:rPr>
      </w:pPr>
      <w:bookmarkStart w:id="28" w:name="_Toc112"/>
      <w:bookmarkStart w:id="29" w:name="_Toc5655"/>
      <w:r>
        <w:rPr>
          <w:rFonts w:hint="default" w:ascii="黑体" w:hAnsi="黑体" w:eastAsia="黑体" w:cs="黑体"/>
          <w:bCs/>
          <w:color w:val="000000" w:themeColor="text1"/>
          <w:kern w:val="2"/>
          <w:sz w:val="21"/>
          <w:szCs w:val="21"/>
          <w:lang w:val="en-US" w:eastAsia="zh-CN" w:bidi="ar-SA"/>
          <w14:textFill>
            <w14:solidFill>
              <w14:schemeClr w14:val="tx1"/>
            </w14:solidFill>
          </w14:textFill>
        </w:rPr>
        <w:t>3.</w:t>
      </w:r>
      <w:r>
        <w:rPr>
          <w:rFonts w:hint="eastAsia" w:ascii="黑体" w:hAnsi="黑体" w:eastAsia="黑体" w:cs="黑体"/>
          <w:bCs/>
          <w:color w:val="000000" w:themeColor="text1"/>
          <w:kern w:val="2"/>
          <w:sz w:val="21"/>
          <w:szCs w:val="21"/>
          <w:lang w:val="en-US" w:eastAsia="zh-CN" w:bidi="ar-SA"/>
          <w14:textFill>
            <w14:solidFill>
              <w14:schemeClr w14:val="tx1"/>
            </w14:solidFill>
          </w14:textFill>
        </w:rPr>
        <w:t>6</w:t>
      </w:r>
      <w:bookmarkEnd w:id="28"/>
      <w:bookmarkEnd w:id="29"/>
    </w:p>
    <w:p w14:paraId="057132AD">
      <w:pPr>
        <w:pStyle w:val="3"/>
        <w:keepNext w:val="0"/>
        <w:keepLines w:val="0"/>
        <w:pageBreakBefore w:val="0"/>
        <w:widowControl w:val="0"/>
        <w:kinsoku/>
        <w:wordWrap/>
        <w:overflowPunct/>
        <w:topLinePunct w:val="0"/>
        <w:autoSpaceDE/>
        <w:autoSpaceDN/>
        <w:bidi w:val="0"/>
        <w:adjustRightInd/>
        <w:snapToGrid/>
        <w:spacing w:before="0" w:line="240" w:lineRule="auto"/>
        <w:ind w:left="23" w:right="176" w:firstLine="420"/>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营养支持　</w:t>
      </w:r>
      <w:r>
        <w:rPr>
          <w:rFonts w:hint="default" w:ascii="Times New Roman" w:hAnsi="Times New Roman" w:eastAsia="黑体" w:cs="Times New Roman"/>
          <w:b/>
          <w:bCs/>
          <w:kern w:val="2"/>
          <w:sz w:val="21"/>
          <w:szCs w:val="21"/>
          <w:lang w:val="en-US" w:eastAsia="zh-CN" w:bidi="ar-SA"/>
        </w:rPr>
        <w:t>nutritional support</w:t>
      </w:r>
    </w:p>
    <w:p w14:paraId="7819CE96">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通过营养干预提供能量、蛋白质及其他营养素，以改善患者营养状况，包括肠内营养和肠外营养等方式，是老年外科患者围手术期管理的重要环节。</w:t>
      </w:r>
    </w:p>
    <w:p w14:paraId="02C51D03">
      <w:pPr>
        <w:pStyle w:val="18"/>
        <w:keepNext w:val="0"/>
        <w:keepLines w:val="0"/>
        <w:pageBreakBefore w:val="0"/>
        <w:widowControl w:val="0"/>
        <w:numPr>
          <w:ilvl w:val="1"/>
          <w:numId w:val="0"/>
        </w:numPr>
        <w:kinsoku/>
        <w:wordWrap/>
        <w:overflowPunct/>
        <w:topLinePunct w:val="0"/>
        <w:autoSpaceDE/>
        <w:autoSpaceDN/>
        <w:bidi w:val="0"/>
        <w:adjustRightInd/>
        <w:snapToGrid/>
        <w:ind w:left="708" w:leftChars="0" w:hanging="708" w:firstLineChars="0"/>
        <w:textAlignment w:val="auto"/>
        <w:outlineLvl w:val="0"/>
        <w:rPr>
          <w:rFonts w:hint="default" w:ascii="Times New Roman" w:hAnsi="Times New Roman" w:eastAsia="黑体" w:cs="Times New Roman"/>
          <w:bCs/>
          <w:szCs w:val="21"/>
          <w:lang w:val="en-US"/>
        </w:rPr>
      </w:pPr>
      <w:bookmarkStart w:id="30" w:name="_Toc28554"/>
      <w:bookmarkStart w:id="31" w:name="_Toc21424"/>
      <w:r>
        <w:rPr>
          <w:rFonts w:hint="default" w:ascii="黑体" w:hAnsi="黑体" w:eastAsia="黑体" w:cs="黑体"/>
          <w:bCs/>
          <w:color w:val="000000" w:themeColor="text1"/>
          <w:kern w:val="2"/>
          <w:sz w:val="21"/>
          <w:szCs w:val="21"/>
          <w:lang w:val="en-US" w:eastAsia="zh-CN" w:bidi="ar-SA"/>
          <w14:textFill>
            <w14:solidFill>
              <w14:schemeClr w14:val="tx1"/>
            </w14:solidFill>
          </w14:textFill>
        </w:rPr>
        <w:t>3.</w:t>
      </w:r>
      <w:r>
        <w:rPr>
          <w:rFonts w:hint="eastAsia" w:ascii="黑体" w:hAnsi="黑体" w:eastAsia="黑体" w:cs="黑体"/>
          <w:bCs/>
          <w:color w:val="000000" w:themeColor="text1"/>
          <w:kern w:val="2"/>
          <w:sz w:val="21"/>
          <w:szCs w:val="21"/>
          <w:lang w:val="en-US" w:eastAsia="zh-CN" w:bidi="ar-SA"/>
          <w14:textFill>
            <w14:solidFill>
              <w14:schemeClr w14:val="tx1"/>
            </w14:solidFill>
          </w14:textFill>
        </w:rPr>
        <w:t>7</w:t>
      </w:r>
      <w:bookmarkEnd w:id="30"/>
      <w:bookmarkEnd w:id="31"/>
    </w:p>
    <w:p w14:paraId="5E22BA7D">
      <w:pPr>
        <w:pStyle w:val="3"/>
        <w:keepNext w:val="0"/>
        <w:keepLines w:val="0"/>
        <w:pageBreakBefore w:val="0"/>
        <w:widowControl w:val="0"/>
        <w:kinsoku/>
        <w:wordWrap/>
        <w:overflowPunct/>
        <w:topLinePunct w:val="0"/>
        <w:autoSpaceDE/>
        <w:autoSpaceDN/>
        <w:bidi w:val="0"/>
        <w:adjustRightInd/>
        <w:snapToGrid/>
        <w:spacing w:before="0" w:line="240" w:lineRule="auto"/>
        <w:ind w:left="23" w:right="176" w:firstLine="420"/>
        <w:textAlignment w:val="auto"/>
        <w:rPr>
          <w:rFonts w:hint="eastAsia" w:ascii="宋体" w:hAnsi="宋体" w:eastAsia="宋体" w:cs="宋体"/>
          <w:kern w:val="2"/>
          <w:sz w:val="21"/>
          <w:szCs w:val="21"/>
          <w:lang w:val="en-US" w:eastAsia="zh-CN" w:bidi="ar-SA"/>
        </w:rPr>
      </w:pPr>
      <w:r>
        <w:rPr>
          <w:rFonts w:hint="eastAsia" w:ascii="黑体" w:hAnsi="黑体" w:eastAsia="黑体" w:cs="黑体"/>
          <w:kern w:val="2"/>
          <w:sz w:val="21"/>
          <w:szCs w:val="21"/>
          <w:lang w:val="en-US" w:eastAsia="zh-CN" w:bidi="ar-SA"/>
        </w:rPr>
        <w:t>营养治疗</w:t>
      </w:r>
      <w:r>
        <w:rPr>
          <w:rFonts w:ascii="Times New Roman" w:hAnsi="Times New Roman" w:eastAsia="黑体" w:cs="Times New Roman"/>
          <w:bCs/>
          <w:szCs w:val="21"/>
        </w:rPr>
        <w:t>　</w:t>
      </w:r>
      <w:r>
        <w:rPr>
          <w:rFonts w:hint="eastAsia" w:ascii="Times New Roman" w:hAnsi="Times New Roman" w:eastAsia="宋体" w:cs="Times New Roman"/>
          <w:b/>
          <w:bCs/>
          <w:kern w:val="2"/>
          <w:sz w:val="21"/>
          <w:szCs w:val="21"/>
          <w:lang w:val="en-US" w:eastAsia="zh-CN" w:bidi="ar-SA"/>
        </w:rPr>
        <w:t>n</w:t>
      </w:r>
      <w:r>
        <w:rPr>
          <w:rFonts w:hint="default" w:ascii="Times New Roman" w:hAnsi="Times New Roman" w:eastAsia="宋体" w:cs="Times New Roman"/>
          <w:b/>
          <w:bCs/>
          <w:kern w:val="2"/>
          <w:sz w:val="21"/>
          <w:szCs w:val="21"/>
          <w:lang w:val="en-US" w:eastAsia="zh-CN" w:bidi="ar-SA"/>
        </w:rPr>
        <w:t>utritional therapy</w:t>
      </w:r>
    </w:p>
    <w:p w14:paraId="2703C2FC">
      <w:pPr>
        <w:snapToGrid w:val="0"/>
        <w:ind w:firstLine="420" w:firstLineChars="20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指以治疗为目的的营养支持，旨在通过个体化营养干预改善临床结局，如减少并发症和缩短住院时间。</w:t>
      </w:r>
    </w:p>
    <w:p w14:paraId="73D596A1">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eastAsia" w:hAnsi="黑体" w:cs="黑体"/>
          <w:szCs w:val="21"/>
          <w:lang w:val="en-US" w:eastAsia="zh-CN"/>
        </w:rPr>
      </w:pPr>
      <w:bookmarkStart w:id="32" w:name="bookmark6"/>
      <w:bookmarkEnd w:id="32"/>
      <w:bookmarkStart w:id="33" w:name="_Toc30808"/>
      <w:r>
        <w:rPr>
          <w:rFonts w:hint="eastAsia" w:hAnsi="黑体" w:cs="黑体"/>
          <w:szCs w:val="21"/>
          <w:lang w:val="en-US" w:eastAsia="zh-CN"/>
        </w:rPr>
        <w:t>缩略语</w:t>
      </w:r>
      <w:bookmarkEnd w:id="33"/>
    </w:p>
    <w:p w14:paraId="0F508052">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下列缩略语适用于本文件。</w:t>
      </w:r>
    </w:p>
    <w:p w14:paraId="3D0824AA">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NRS2002</w:t>
      </w: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 xml:space="preserve"> 营养风险筛查2002 (nutritional risk screening 2002)</w:t>
      </w:r>
    </w:p>
    <w:p w14:paraId="42FD2C5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SGA</w:t>
      </w: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主观整体评估 (subjective global assessment)</w:t>
      </w:r>
    </w:p>
    <w:p w14:paraId="29A01C4B">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GLIM</w:t>
      </w: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全球领导人营养不良倡议 (global leadership initiative on malnutrition)</w:t>
      </w:r>
    </w:p>
    <w:p w14:paraId="39712E01">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kcal·kg⁻¹·d⁻¹</w:t>
      </w:r>
      <w:r>
        <w:rPr>
          <w:rFonts w:hint="default" w:ascii="Times New Roman" w:hAnsi="Times New Roman" w:eastAsia="宋体" w:cs="Times New Roman"/>
          <w:bCs/>
          <w:szCs w:val="21"/>
        </w:rPr>
        <w:t>：</w:t>
      </w:r>
      <w:r>
        <w:rPr>
          <w:rFonts w:hint="eastAsia" w:ascii="Times New Roman" w:hAnsi="Times New Roman" w:eastAsia="宋体" w:cs="Times New Roman"/>
          <w:bCs/>
          <w:szCs w:val="21"/>
        </w:rPr>
        <w:t>千卡/公斤体重/天 (千卡每千克体重每天)</w:t>
      </w:r>
    </w:p>
    <w:p w14:paraId="1708B2CB">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rPr>
        <w:t>g·kg⁻¹·d⁻¹</w:t>
      </w:r>
      <w:r>
        <w:rPr>
          <w:rFonts w:hint="default" w:ascii="Times New Roman" w:hAnsi="Times New Roman" w:eastAsia="宋体" w:cs="Times New Roman"/>
          <w:bCs/>
          <w:szCs w:val="21"/>
        </w:rPr>
        <w:t>：</w:t>
      </w:r>
      <w:r>
        <w:rPr>
          <w:rFonts w:hint="eastAsia" w:ascii="Times New Roman" w:hAnsi="Times New Roman" w:eastAsia="宋体" w:cs="Times New Roman"/>
          <w:bCs/>
          <w:szCs w:val="21"/>
        </w:rPr>
        <w:t>克/公斤体重/天 (克每千克体重每天)</w:t>
      </w:r>
    </w:p>
    <w:p w14:paraId="5EA6F8F0">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EN</w:t>
      </w: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肠内营养 (enteral nutrition)</w:t>
      </w:r>
    </w:p>
    <w:p w14:paraId="6B4794F5">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PN</w:t>
      </w: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肠外营养 (Parenteral Nutrition)</w:t>
      </w:r>
    </w:p>
    <w:p w14:paraId="5370B03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ω-3 PUFA</w:t>
      </w: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ω-3多不饱和脂肪酸 (Omega-3 Polyunsaturated Fatty Acids)</w:t>
      </w:r>
    </w:p>
    <w:p w14:paraId="7BA5ADF9">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default" w:hAnsi="黑体" w:cs="黑体"/>
          <w:szCs w:val="21"/>
          <w:lang w:val="en-US" w:eastAsia="zh-CN"/>
        </w:rPr>
      </w:pPr>
      <w:bookmarkStart w:id="34" w:name="bookmark1"/>
      <w:bookmarkEnd w:id="34"/>
      <w:bookmarkStart w:id="35" w:name="_Toc824"/>
      <w:r>
        <w:rPr>
          <w:rFonts w:hint="eastAsia" w:hAnsi="黑体" w:cs="黑体"/>
          <w:szCs w:val="21"/>
          <w:lang w:val="en-US" w:eastAsia="zh-CN"/>
        </w:rPr>
        <w:t>老年外科患者营养风险评估</w:t>
      </w:r>
      <w:bookmarkEnd w:id="35"/>
    </w:p>
    <w:p w14:paraId="36C0BCBB">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营养风险是指与营养因素相关的导致患者出现不良临床结局的风险。推荐住院患者术前营养风险筛查的首选工具为营养风险筛查量表2002（nutrition risk screening 2002，NRS2002）</w:t>
      </w:r>
    </w:p>
    <w:p w14:paraId="464447E2">
      <w:pPr>
        <w:pStyle w:val="50"/>
        <w:keepNext w:val="0"/>
        <w:keepLines w:val="0"/>
        <w:pageBreakBefore w:val="0"/>
        <w:widowControl/>
        <w:kinsoku/>
        <w:wordWrap/>
        <w:overflowPunct/>
        <w:topLinePunct w:val="0"/>
        <w:autoSpaceDE/>
        <w:autoSpaceDN/>
        <w:bidi w:val="0"/>
        <w:adjustRightInd/>
        <w:snapToGrid/>
        <w:spacing w:before="0" w:beforeLines="50" w:after="0" w:afterLines="50"/>
        <w:ind w:left="0" w:leftChars="0" w:firstLine="0" w:firstLineChars="0"/>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评估工具：</w:t>
      </w:r>
    </w:p>
    <w:p w14:paraId="0783DAEC">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NRS2002包括营养状态评估、疾病严重程度（营养需要量）和年龄（针对老年人设置了年龄参数，即≥70岁加1分）3个部分，每部分的分结果相加为评分结果（附表A）。</w:t>
      </w:r>
    </w:p>
    <w:p w14:paraId="094FB884">
      <w:pPr>
        <w:pStyle w:val="50"/>
        <w:keepNext w:val="0"/>
        <w:keepLines w:val="0"/>
        <w:pageBreakBefore w:val="0"/>
        <w:widowControl/>
        <w:kinsoku/>
        <w:wordWrap/>
        <w:overflowPunct/>
        <w:topLinePunct w:val="0"/>
        <w:autoSpaceDE/>
        <w:autoSpaceDN/>
        <w:bidi w:val="0"/>
        <w:adjustRightInd/>
        <w:snapToGrid/>
        <w:spacing w:before="0" w:beforeLines="50" w:after="0" w:afterLines="50"/>
        <w:ind w:left="0" w:leftChars="0" w:firstLine="0" w:firstLineChars="0"/>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评估标准：</w:t>
      </w:r>
    </w:p>
    <w:p w14:paraId="6A2A33D9">
      <w:pPr>
        <w:numPr>
          <w:ilvl w:val="0"/>
          <w:numId w:val="2"/>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NRS2002＜3分为不存在营养风险，1周后复评；</w:t>
      </w:r>
    </w:p>
    <w:p w14:paraId="667B0112">
      <w:pPr>
        <w:numPr>
          <w:ilvl w:val="0"/>
          <w:numId w:val="2"/>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NRS2002</w:t>
      </w:r>
      <w:r>
        <w:rPr>
          <w:rFonts w:hint="eastAsia" w:ascii="Times New Roman" w:hAnsi="Times New Roman" w:eastAsia="宋体" w:cs="Times New Roman"/>
          <w:lang w:val="en-US" w:eastAsia="zh-CN"/>
        </w:rPr>
        <w:t>≥</w:t>
      </w:r>
      <w:r>
        <w:rPr>
          <w:rFonts w:hint="eastAsia" w:ascii="Times New Roman" w:hAnsi="Times New Roman" w:eastAsia="宋体" w:cs="Times New Roman"/>
          <w:bCs/>
          <w:szCs w:val="21"/>
          <w:lang w:val="en-US" w:eastAsia="zh-CN"/>
        </w:rPr>
        <w:t>3分为存在营养风险；</w:t>
      </w:r>
    </w:p>
    <w:p w14:paraId="2DB1739D">
      <w:pPr>
        <w:numPr>
          <w:ilvl w:val="0"/>
          <w:numId w:val="2"/>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NRS2002</w:t>
      </w:r>
      <w:r>
        <w:rPr>
          <w:rFonts w:hint="eastAsia" w:ascii="Times New Roman" w:hAnsi="Times New Roman" w:eastAsia="宋体" w:cs="Times New Roman"/>
          <w:lang w:val="en-US" w:eastAsia="zh-CN"/>
        </w:rPr>
        <w:t>≥</w:t>
      </w:r>
      <w:r>
        <w:rPr>
          <w:rFonts w:hint="eastAsia" w:ascii="Times New Roman" w:hAnsi="Times New Roman" w:eastAsia="宋体" w:cs="Times New Roman"/>
          <w:bCs/>
          <w:szCs w:val="21"/>
          <w:lang w:val="en-US" w:eastAsia="zh-CN"/>
        </w:rPr>
        <w:t>5分为高营养风险。</w:t>
      </w:r>
    </w:p>
    <w:p w14:paraId="360E2451">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eastAsia" w:hAnsi="黑体" w:cs="黑体"/>
          <w:szCs w:val="21"/>
          <w:lang w:val="en-US" w:eastAsia="zh-CN"/>
        </w:rPr>
      </w:pPr>
      <w:bookmarkStart w:id="36" w:name="_Toc1152"/>
      <w:r>
        <w:rPr>
          <w:rFonts w:hint="eastAsia" w:hAnsi="黑体" w:cs="黑体"/>
          <w:szCs w:val="21"/>
          <w:lang w:val="en-US" w:eastAsia="zh-CN"/>
        </w:rPr>
        <w:t>老年外科患者营养不良诊断</w:t>
      </w:r>
      <w:bookmarkEnd w:id="36"/>
    </w:p>
    <w:p w14:paraId="08B071AB">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对老年外科存在营养风险的住院患者通过体检、 人体测量、实验室指标、体成分分析等方式综合评价营养状况，诊断营养不良检查包括消瘦面容、舟状腹，基于身高、体重计算体重指数，肝功能中白蛋白水平等是信息。可进行体成分分析计算去脂体重指数，使用营养不良诊断量表如主观全面评定（subjective global assessment，SGA）（附表B）和全球领导人发起的营养不良诊断（global leadership initiative on malnutrition，GLIM）标准（附表C）等工具进行专业评定。</w:t>
      </w:r>
    </w:p>
    <w:p w14:paraId="410C3B74">
      <w:pPr>
        <w:pStyle w:val="50"/>
        <w:bidi w:val="0"/>
        <w:ind w:left="0" w:leftChars="0" w:firstLine="0" w:firstLineChars="0"/>
        <w:rPr>
          <w:rFonts w:hint="default"/>
          <w:lang w:val="en-US" w:eastAsia="zh-CN"/>
        </w:rPr>
      </w:pPr>
      <w:r>
        <w:rPr>
          <w:rFonts w:hint="eastAsia"/>
          <w:lang w:val="en-US" w:eastAsia="zh-CN"/>
        </w:rPr>
        <w:t>SGA量表诊断营养不良和分级标准</w:t>
      </w:r>
    </w:p>
    <w:p w14:paraId="3A380138">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bookmarkStart w:id="37" w:name="bookmark7"/>
      <w:bookmarkEnd w:id="37"/>
      <w:r>
        <w:rPr>
          <w:rFonts w:hint="eastAsia" w:ascii="Times New Roman" w:hAnsi="Times New Roman" w:eastAsia="宋体" w:cs="Times New Roman"/>
          <w:sz w:val="21"/>
          <w:szCs w:val="21"/>
          <w:lang w:val="en-US" w:eastAsia="zh-CN" w:bidi="ar-SA"/>
        </w:rPr>
        <w:t>SGA内容包括体重改变、饮食改变、胃肠症状、活动能力、人体测量（皮下脂肪和肌肉消耗）和体检（水肿和腹水）等8个具体方面进行评级。</w:t>
      </w:r>
    </w:p>
    <w:p w14:paraId="50423D14">
      <w:pPr>
        <w:pStyle w:val="50"/>
        <w:numPr>
          <w:ilvl w:val="2"/>
          <w:numId w:val="1"/>
        </w:numPr>
        <w:bidi w:val="0"/>
        <w:ind w:left="0" w:leftChars="0" w:firstLine="0" w:firstLineChars="0"/>
        <w:rPr>
          <w:rFonts w:hint="default"/>
          <w:lang w:val="en-US" w:eastAsia="zh-CN"/>
        </w:rPr>
      </w:pPr>
      <w:r>
        <w:rPr>
          <w:rFonts w:hint="eastAsia"/>
          <w:lang w:val="en-US" w:eastAsia="zh-CN"/>
        </w:rPr>
        <w:t>诊断和分级标准:</w:t>
      </w:r>
    </w:p>
    <w:p w14:paraId="1FDEB819">
      <w:pPr>
        <w:numPr>
          <w:ilvl w:val="0"/>
          <w:numId w:val="3"/>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A级为营养状态良好；</w:t>
      </w:r>
    </w:p>
    <w:p w14:paraId="6F109F5A">
      <w:pPr>
        <w:numPr>
          <w:ilvl w:val="0"/>
          <w:numId w:val="3"/>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B级≥5个诊断为轻中度营养不良；</w:t>
      </w:r>
    </w:p>
    <w:p w14:paraId="1BA82388">
      <w:pPr>
        <w:numPr>
          <w:ilvl w:val="0"/>
          <w:numId w:val="3"/>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C级≥5个诊断为重度营养不良。</w:t>
      </w:r>
    </w:p>
    <w:p w14:paraId="41048A07">
      <w:pPr>
        <w:pStyle w:val="50"/>
        <w:bidi w:val="0"/>
        <w:ind w:left="0" w:leftChars="0" w:firstLine="0" w:firstLineChars="0"/>
        <w:rPr>
          <w:rFonts w:hint="eastAsia"/>
          <w:lang w:val="en-US" w:eastAsia="zh-CN"/>
        </w:rPr>
      </w:pPr>
      <w:r>
        <w:rPr>
          <w:rFonts w:hint="eastAsia"/>
          <w:lang w:val="en-US" w:eastAsia="zh-CN"/>
        </w:rPr>
        <w:t>GLIM量表诊断营养不良和分级标准</w:t>
      </w:r>
    </w:p>
    <w:p w14:paraId="5C947FFE">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GLIM标准是2018年发表的最新国际营养不良诊断标准，在营养风险筛查基础上，使用表现型指标和病因型指标进行诊断和严重程度分级。表现型指标包括非自主体质量下降、低BMI（伴一般情况差）和肌肉量减少3项。病因型指标包括进食减少或吸收降低、疾病负担或炎症2项。</w:t>
      </w:r>
    </w:p>
    <w:p w14:paraId="1F84613D">
      <w:pPr>
        <w:pStyle w:val="50"/>
        <w:numPr>
          <w:ilvl w:val="2"/>
          <w:numId w:val="1"/>
        </w:numPr>
        <w:bidi w:val="0"/>
        <w:ind w:left="0" w:leftChars="0" w:firstLine="0" w:firstLineChars="0"/>
        <w:rPr>
          <w:rFonts w:hint="default"/>
          <w:lang w:val="en-US" w:eastAsia="zh-CN"/>
        </w:rPr>
      </w:pPr>
      <w:r>
        <w:rPr>
          <w:rFonts w:hint="eastAsia"/>
          <w:lang w:val="en-US" w:eastAsia="zh-CN"/>
        </w:rPr>
        <w:t>诊断和分级标准：</w:t>
      </w:r>
    </w:p>
    <w:p w14:paraId="72624C0A">
      <w:pPr>
        <w:numPr>
          <w:ilvl w:val="0"/>
          <w:numId w:val="4"/>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同时符合表现型和病因型至少各1项，则诊断为营养不良；</w:t>
      </w:r>
    </w:p>
    <w:p w14:paraId="13E4646E">
      <w:pPr>
        <w:numPr>
          <w:ilvl w:val="0"/>
          <w:numId w:val="4"/>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营养不良患者依据体质量下降程度、低BMI水平、肌肉量减少程度，满足任何1项表现型指标诊断为重度营养不良。</w:t>
      </w:r>
    </w:p>
    <w:p w14:paraId="5074043B">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eastAsia" w:hAnsi="黑体" w:cs="黑体"/>
          <w:szCs w:val="21"/>
          <w:lang w:val="en-US" w:eastAsia="zh-CN"/>
        </w:rPr>
      </w:pPr>
      <w:bookmarkStart w:id="38" w:name="_Toc13731"/>
      <w:r>
        <w:rPr>
          <w:rFonts w:hint="eastAsia" w:hAnsi="黑体" w:cs="黑体"/>
          <w:szCs w:val="21"/>
          <w:lang w:val="en-US" w:eastAsia="zh-CN"/>
        </w:rPr>
        <w:t>老年外科患者术前营养支持指南</w:t>
      </w:r>
      <w:bookmarkEnd w:id="38"/>
    </w:p>
    <w:p w14:paraId="4146E2E8">
      <w:pPr>
        <w:pStyle w:val="50"/>
        <w:bidi w:val="0"/>
        <w:ind w:left="0" w:leftChars="0" w:firstLine="0" w:firstLineChars="0"/>
        <w:rPr>
          <w:rFonts w:hint="eastAsia"/>
          <w:lang w:val="en-US" w:eastAsia="zh-CN"/>
        </w:rPr>
      </w:pPr>
      <w:r>
        <w:rPr>
          <w:rFonts w:hint="eastAsia"/>
          <w:lang w:val="en-US" w:eastAsia="zh-CN"/>
        </w:rPr>
        <w:t>适应症：</w:t>
      </w:r>
    </w:p>
    <w:p w14:paraId="5C52950C">
      <w:pPr>
        <w:numPr>
          <w:ilvl w:val="0"/>
          <w:numId w:val="5"/>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老年住院患者存在高营养风险和重度营养不良；</w:t>
      </w:r>
    </w:p>
    <w:p w14:paraId="5A2F3AD7">
      <w:pPr>
        <w:numPr>
          <w:ilvl w:val="0"/>
          <w:numId w:val="0"/>
        </w:numPr>
        <w:tabs>
          <w:tab w:val="left" w:pos="420"/>
        </w:tabs>
        <w:ind w:left="420" w:lef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注：近6个月内体重下降10%~15%，体重指数&lt;18.5 kg/m。SGA分级C级或NRS2002≥5分，血清白蛋白&lt;30 g/L。</w:t>
      </w:r>
    </w:p>
    <w:p w14:paraId="4540933F">
      <w:pPr>
        <w:numPr>
          <w:ilvl w:val="0"/>
          <w:numId w:val="5"/>
        </w:numPr>
        <w:tabs>
          <w:tab w:val="left" w:pos="420"/>
          <w:tab w:val="clear" w:pos="840"/>
        </w:tabs>
        <w:ind w:left="845" w:leftChars="0" w:hanging="425" w:firstLine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预计围手术期无法经口进食时间超过5天，或无法摄入能量目标需要量的60 %超过7天。</w:t>
      </w:r>
    </w:p>
    <w:p w14:paraId="4BCE185A">
      <w:pPr>
        <w:pStyle w:val="50"/>
        <w:bidi w:val="0"/>
        <w:ind w:left="0" w:leftChars="0" w:firstLine="0" w:firstLineChars="0"/>
        <w:rPr>
          <w:rFonts w:hint="eastAsia"/>
          <w:lang w:val="en-US" w:eastAsia="zh-CN"/>
        </w:rPr>
      </w:pPr>
      <w:r>
        <w:rPr>
          <w:rFonts w:hint="eastAsia"/>
          <w:lang w:val="en-US" w:eastAsia="zh-CN"/>
        </w:rPr>
        <w:t>营养支持预期收益</w:t>
      </w:r>
    </w:p>
    <w:p w14:paraId="659BDA60">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术前营养支持可降低术后并发症发生率和术后住院时间，改善预后。</w:t>
      </w:r>
    </w:p>
    <w:p w14:paraId="4F59F775">
      <w:pPr>
        <w:pStyle w:val="50"/>
        <w:bidi w:val="0"/>
        <w:ind w:left="0" w:leftChars="0" w:firstLine="0" w:firstLineChars="0"/>
        <w:rPr>
          <w:rFonts w:hint="eastAsia"/>
          <w:lang w:val="en-US" w:eastAsia="zh-CN"/>
        </w:rPr>
      </w:pPr>
      <w:r>
        <w:rPr>
          <w:rFonts w:hint="eastAsia"/>
          <w:lang w:val="en-US" w:eastAsia="zh-CN"/>
        </w:rPr>
        <w:t>营养支持能量目标</w:t>
      </w:r>
    </w:p>
    <w:p w14:paraId="5838C780">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老年外科患者的能量目标需要量以间接测热法的实际数值为首选依据，无法测定时基于体重估算，围手术期按25～30 kcal·kg－1·d－1补充能量。推荐老年外科患者围手术期按1.2～1.5 g·kg－1·d－1补充蛋白质，短肽型制剂更适合老年患者。</w:t>
      </w:r>
    </w:p>
    <w:p w14:paraId="6D4FE359">
      <w:pPr>
        <w:pStyle w:val="50"/>
        <w:bidi w:val="0"/>
        <w:ind w:left="0" w:leftChars="0" w:firstLine="0" w:firstLineChars="0"/>
        <w:rPr>
          <w:rFonts w:hint="eastAsia"/>
          <w:lang w:val="en-US" w:eastAsia="zh-CN"/>
        </w:rPr>
      </w:pPr>
      <w:r>
        <w:rPr>
          <w:rFonts w:hint="eastAsia"/>
          <w:lang w:val="en-US" w:eastAsia="zh-CN"/>
        </w:rPr>
        <w:t>营养支持的途径</w:t>
      </w:r>
    </w:p>
    <w:p w14:paraId="1106EEE2">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营养支持首选口服营养补充，口服营养补充以加餐形式或伴常规饮食摄入，推荐口服营养补充≥400 kcal/d，其中至少30 g蛋白质；</w:t>
      </w:r>
    </w:p>
    <w:p w14:paraId="0F8C5C28">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对于经口进食困难超过3天或经口能量摄入量低于能量目标需要量的60%超过7天的老年外科患者，应进行肠内营养。推荐基于肠道功能和耐受性，选择适宜类型的肠内营养制剂。</w:t>
      </w:r>
    </w:p>
    <w:p w14:paraId="5CB310B0">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老年外科患者的预计肠内营养时间不超过6周时可置入鼻胃管或鼻空肠营养管；对于胃肠手术的老年外科患者，推荐术中置入鼻空肠营养管；存在吞咽困难等需长期肠内营养者，应行经皮内镜下胃穿刺置管或空肠置管术开展肠内营养；高误吸风险者，优先行经皮内镜下胃穿刺置管或空肠置管术。</w:t>
      </w:r>
    </w:p>
    <w:p w14:paraId="096DC9C5">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老年外科患者存在肠内营养禁忌证或肠内营养无法满足营养需求时，需进行肠外营养；肠内营养摄入的能量和蛋白质小于目标需要量的60%超过7天，应启动补充性肠外营养；肠内营养耐受差或高营养风险患者，应在3 天内启动补充性肠外营养。</w:t>
      </w:r>
    </w:p>
    <w:p w14:paraId="5DD92756">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default" w:hAnsi="黑体" w:cs="黑体"/>
          <w:szCs w:val="21"/>
          <w:lang w:val="en-US" w:eastAsia="zh-CN"/>
        </w:rPr>
      </w:pPr>
      <w:bookmarkStart w:id="39" w:name="_Toc29497"/>
      <w:r>
        <w:rPr>
          <w:rFonts w:hint="eastAsia" w:hAnsi="黑体" w:cs="黑体"/>
          <w:szCs w:val="21"/>
          <w:lang w:val="en-US" w:eastAsia="zh-CN"/>
        </w:rPr>
        <w:t>老年外科患者术前营养支持指南</w:t>
      </w:r>
      <w:bookmarkEnd w:id="39"/>
    </w:p>
    <w:p w14:paraId="5B787CF4">
      <w:pPr>
        <w:pStyle w:val="50"/>
        <w:bidi w:val="0"/>
        <w:ind w:left="0" w:leftChars="0" w:firstLine="0" w:firstLineChars="0"/>
        <w:rPr>
          <w:rFonts w:hint="eastAsia"/>
          <w:lang w:val="en-US" w:eastAsia="zh-CN"/>
        </w:rPr>
      </w:pPr>
      <w:r>
        <w:rPr>
          <w:rFonts w:hint="eastAsia"/>
          <w:lang w:val="en-US" w:eastAsia="zh-CN"/>
        </w:rPr>
        <w:t>术后营养支持途径</w:t>
      </w:r>
    </w:p>
    <w:p w14:paraId="382B54AB">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胃肠功能正常老年外科患者，推荐术后24 h内经口进食或口服营养补充，不足时使用肠内营养；胃肠手术的老年患者，推荐术后早期（24～72 h）开始肠内营养，优先使用要素型肠内营养制剂；预计经口进食或肠内营养摄入量低于目标需要量的60%超过7天的患者，使用肠外营养。</w:t>
      </w:r>
    </w:p>
    <w:p w14:paraId="325093DB">
      <w:pPr>
        <w:pStyle w:val="50"/>
        <w:bidi w:val="0"/>
        <w:ind w:left="0" w:leftChars="0" w:firstLine="0" w:firstLineChars="0"/>
        <w:rPr>
          <w:rFonts w:hint="eastAsia"/>
          <w:lang w:val="en-US" w:eastAsia="zh-CN"/>
        </w:rPr>
      </w:pPr>
      <w:r>
        <w:rPr>
          <w:rFonts w:hint="eastAsia"/>
          <w:lang w:val="en-US" w:eastAsia="zh-CN"/>
        </w:rPr>
        <w:t>肠外营养的应用</w:t>
      </w:r>
    </w:p>
    <w:p w14:paraId="704A6220">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术后接受肠外营养的老年外科患者，应避免高糖脂比，脂肪供能不低于非蛋白质供能的30%，临床上，根据不同类型脂肪乳剂的特点选择不同的剂型，肠外营养中需补充添加生理所需的多种维生素和微量元素。</w:t>
      </w:r>
    </w:p>
    <w:p w14:paraId="7D085777">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老年外科患者需要肠外营养时，推荐以全合一输注为主，无特定需求、短期应用肠外营养者优先考虑工业化多腔袋，有特定需求者应使用自配型肠外营养，在静脉药物配制中心配制；肠外营养中应常规添加静脉用多种维生素和微量元素。</w:t>
      </w:r>
    </w:p>
    <w:p w14:paraId="6520EDB8">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短期（≤2周）应用低渗透压（≤900 mOsm/L）肠外营养的老年外科患者可采用经外周静脉途径；预计需要较长时间（2～4周）或高渗透压肠外营养时，推荐经皮穿刺中心静脉置管或经外周静脉穿刺中心静脉置管；长期肠外营养者（&gt;4周）优先选择经外周静脉穿刺中心静脉置管。</w:t>
      </w:r>
    </w:p>
    <w:p w14:paraId="0DFB8604">
      <w:pPr>
        <w:pStyle w:val="50"/>
        <w:bidi w:val="0"/>
        <w:ind w:left="0" w:leftChars="0" w:firstLine="0" w:firstLineChars="0"/>
        <w:rPr>
          <w:rFonts w:hint="eastAsia"/>
          <w:lang w:val="en-US" w:eastAsia="zh-CN"/>
        </w:rPr>
      </w:pPr>
      <w:r>
        <w:rPr>
          <w:rFonts w:hint="eastAsia"/>
          <w:lang w:val="en-US" w:eastAsia="zh-CN"/>
        </w:rPr>
        <w:t>肠内营养的应用</w:t>
      </w:r>
    </w:p>
    <w:p w14:paraId="64ED35D3">
      <w:pPr>
        <w:pStyle w:val="3"/>
        <w:keepNext w:val="0"/>
        <w:keepLines w:val="0"/>
        <w:pageBreakBefore w:val="0"/>
        <w:widowControl w:val="0"/>
        <w:kinsoku/>
        <w:wordWrap/>
        <w:overflowPunct/>
        <w:topLinePunct w:val="0"/>
        <w:autoSpaceDE/>
        <w:autoSpaceDN/>
        <w:bidi w:val="0"/>
        <w:adjustRightInd/>
        <w:snapToGrid/>
        <w:spacing w:before="0" w:line="240" w:lineRule="auto"/>
        <w:ind w:left="0" w:firstLine="420" w:firstLineChars="200"/>
        <w:textAlignment w:val="auto"/>
        <w:rPr>
          <w:rFonts w:hint="eastAsia" w:ascii="宋体" w:hAnsi="宋体" w:eastAsia="宋体" w:cs="宋体"/>
          <w:spacing w:val="3"/>
          <w:sz w:val="24"/>
          <w:szCs w:val="24"/>
          <w:lang w:val="en-US" w:eastAsia="zh-CN"/>
        </w:rPr>
      </w:pPr>
      <w:r>
        <w:rPr>
          <w:rFonts w:hint="eastAsia" w:ascii="Times New Roman" w:hAnsi="Times New Roman" w:eastAsia="宋体" w:cs="Times New Roman"/>
          <w:sz w:val="21"/>
          <w:szCs w:val="21"/>
          <w:lang w:val="en-US" w:eastAsia="zh-CN" w:bidi="ar-SA"/>
        </w:rPr>
        <w:t>接受肠内痒痒支持的老年外科患者术后推荐行序贯方式开展肠内营养，减少高误吸风险的老年外科患者发生吸入性肺炎，出现肠内营养不耐受时应及时调整速率、剂量或制剂。老年外科患者接受肠外营养时，需动态监测肝肾功能、水电解质、血糖和血脂水平，长期应用肠外营养时，尤其要警惕中心静脉导管相关血流感染、肠外营养相关肝病。</w:t>
      </w:r>
    </w:p>
    <w:p w14:paraId="52287B84">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eastAsia" w:hAnsi="黑体" w:cs="黑体"/>
          <w:szCs w:val="21"/>
          <w:lang w:val="en-US" w:eastAsia="zh-CN"/>
        </w:rPr>
      </w:pPr>
      <w:bookmarkStart w:id="40" w:name="_Toc14251"/>
      <w:r>
        <w:rPr>
          <w:rFonts w:hint="eastAsia" w:hAnsi="黑体" w:cs="黑体"/>
          <w:szCs w:val="21"/>
          <w:lang w:val="en-US" w:eastAsia="zh-CN"/>
        </w:rPr>
        <w:t>老年特殊人群营养支持指南</w:t>
      </w:r>
      <w:bookmarkEnd w:id="40"/>
    </w:p>
    <w:p w14:paraId="62CD3F1E">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合并糖尿病的老年外科患者可适当放宽血糖控制，可选择糖尿病型肠内营养；</w:t>
      </w:r>
    </w:p>
    <w:p w14:paraId="52F928AD">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肥胖老年患者术前能量限制应适度，保持骨骼肌含量和运动能力。</w:t>
      </w:r>
    </w:p>
    <w:p w14:paraId="6813E468">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合并肝、肾功能不全者，在肠内营养或肠外营养配方中应添加支链氨基酸、肾用氨基酸；肿瘤型肠内营养可能使老年肿瘤患者临床获益。</w:t>
      </w:r>
    </w:p>
    <w:p w14:paraId="62942D20">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实施术后加速康复患者可添加疫营养素，肠内营养或肠外营养中添加ω-3多不饱和脂肪酸有助于控制术后炎症，改善临床结局；</w:t>
      </w:r>
    </w:p>
    <w:p w14:paraId="5E915931">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pacing w:val="3"/>
          <w:sz w:val="24"/>
          <w:szCs w:val="24"/>
          <w:lang w:val="en-US" w:eastAsia="zh-CN"/>
        </w:rPr>
      </w:pPr>
      <w:r>
        <w:rPr>
          <w:rFonts w:hint="default" w:ascii="Times New Roman" w:hAnsi="Times New Roman" w:eastAsia="宋体" w:cs="Times New Roman"/>
          <w:lang w:val="en-US" w:eastAsia="zh-CN"/>
        </w:rPr>
        <w:t>长期应用全肠外营养的老年外科患者推荐添加谷氨酰胺；推荐应用微生态调节剂有助于改善临床结局；推荐添加免疫营养素时应用时间≥5 d。</w:t>
      </w:r>
    </w:p>
    <w:p w14:paraId="18EB5410">
      <w:pPr>
        <w:pStyle w:val="49"/>
        <w:keepNext w:val="0"/>
        <w:keepLines w:val="0"/>
        <w:pageBreakBefore w:val="0"/>
        <w:widowControl/>
        <w:tabs>
          <w:tab w:val="left" w:pos="0"/>
        </w:tabs>
        <w:kinsoku/>
        <w:wordWrap/>
        <w:overflowPunct/>
        <w:topLinePunct w:val="0"/>
        <w:autoSpaceDE/>
        <w:autoSpaceDN/>
        <w:bidi w:val="0"/>
        <w:adjustRightInd/>
        <w:snapToGrid/>
        <w:spacing w:before="312" w:after="312"/>
        <w:textAlignment w:val="auto"/>
        <w:outlineLvl w:val="0"/>
        <w:rPr>
          <w:rFonts w:hint="eastAsia" w:hAnsi="黑体" w:cs="黑体"/>
          <w:szCs w:val="21"/>
          <w:lang w:val="en-US" w:eastAsia="zh-CN"/>
        </w:rPr>
      </w:pPr>
      <w:bookmarkStart w:id="41" w:name="_Toc25124"/>
      <w:r>
        <w:rPr>
          <w:rFonts w:hint="eastAsia" w:hAnsi="黑体" w:cs="黑体"/>
          <w:szCs w:val="21"/>
          <w:lang w:val="en-US" w:eastAsia="zh-CN"/>
        </w:rPr>
        <w:t>术后并发症患者营养支持指南</w:t>
      </w:r>
      <w:bookmarkEnd w:id="41"/>
    </w:p>
    <w:p w14:paraId="092B7A1E">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对于术后出现胃肠动力障碍的老年外科患者，胃排空障碍者推荐先行肠外营养，并尽早建立肠内营养途径进行营养支持；</w:t>
      </w:r>
    </w:p>
    <w:p w14:paraId="5528891B">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麻痹性肠梗阻者应以肠外营养为主，根据肠道耐受情况逐步增加肠内营养剂量。</w:t>
      </w:r>
    </w:p>
    <w:p w14:paraId="5D3696C7">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术后发生吻合口漏时，早期应以肠外营养为主，根据肠道功能恢复和耐受情况行序贯肠内营养；</w:t>
      </w:r>
    </w:p>
    <w:p w14:paraId="71BC532F">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术后消化道出血的老年患者，以液体复苏为主，出血控制后可早期应用肠内营养；</w:t>
      </w:r>
    </w:p>
    <w:p w14:paraId="3E79DD20">
      <w:pPr>
        <w:pStyle w:val="50"/>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术后切口愈合不良和压疮的老年患者，推荐高蛋白口服营养补充，可考虑应用免疫增强型肠内营养。</w:t>
      </w:r>
    </w:p>
    <w:p w14:paraId="1DD5491B">
      <w:pPr>
        <w:pStyle w:val="3"/>
        <w:spacing w:before="91" w:line="198" w:lineRule="auto"/>
        <w:outlineLvl w:val="0"/>
        <w:rPr>
          <w:rFonts w:hint="eastAsia" w:ascii="宋体" w:hAnsi="宋体" w:eastAsia="宋体" w:cs="宋体"/>
          <w:spacing w:val="3"/>
          <w:sz w:val="20"/>
          <w:szCs w:val="20"/>
          <w:lang w:val="en-US" w:eastAsia="zh-CN"/>
        </w:rPr>
      </w:pPr>
    </w:p>
    <w:p w14:paraId="2B6B0349">
      <w:pPr>
        <w:pStyle w:val="3"/>
        <w:spacing w:before="91" w:line="198" w:lineRule="auto"/>
        <w:ind w:left="32"/>
        <w:outlineLvl w:val="0"/>
        <w:rPr>
          <w:rFonts w:hint="eastAsia" w:ascii="宋体" w:hAnsi="宋体" w:eastAsia="宋体" w:cs="宋体"/>
          <w:spacing w:val="3"/>
          <w:sz w:val="20"/>
          <w:szCs w:val="20"/>
          <w:lang w:val="en-US" w:eastAsia="zh-CN"/>
        </w:rPr>
      </w:pPr>
    </w:p>
    <w:p w14:paraId="6012B874">
      <w:pPr>
        <w:rPr>
          <w:rFonts w:hint="eastAsia" w:ascii="宋体" w:hAnsi="宋体" w:eastAsia="宋体" w:cs="宋体"/>
          <w:b/>
          <w:bCs/>
          <w:spacing w:val="3"/>
          <w:sz w:val="24"/>
          <w:szCs w:val="24"/>
        </w:rPr>
      </w:pPr>
      <w:bookmarkStart w:id="42" w:name="bookmark8"/>
      <w:bookmarkEnd w:id="42"/>
      <w:r>
        <w:rPr>
          <w:rFonts w:hint="eastAsia" w:ascii="宋体" w:hAnsi="宋体" w:eastAsia="宋体" w:cs="宋体"/>
          <w:b/>
          <w:bCs/>
          <w:spacing w:val="3"/>
          <w:sz w:val="24"/>
          <w:szCs w:val="24"/>
        </w:rPr>
        <w:br w:type="page"/>
      </w:r>
    </w:p>
    <w:p w14:paraId="2FAC4724">
      <w:pPr>
        <w:jc w:val="center"/>
        <w:outlineLvl w:val="0"/>
        <w:rPr>
          <w:rFonts w:ascii="Times New Roman" w:hAnsi="Times New Roman" w:eastAsia="黑体" w:cs="Times New Roman"/>
          <w:bCs/>
          <w:szCs w:val="21"/>
        </w:rPr>
      </w:pPr>
      <w:bookmarkStart w:id="43" w:name="_Toc26977"/>
      <w:bookmarkStart w:id="44" w:name="_Toc27895"/>
      <w:r>
        <w:rPr>
          <w:rFonts w:ascii="Times New Roman" w:hAnsi="Times New Roman" w:eastAsia="黑体" w:cs="Times New Roman"/>
          <w:bCs/>
          <w:szCs w:val="21"/>
        </w:rPr>
        <w:t>附</w:t>
      </w:r>
      <w:r>
        <w:rPr>
          <w:rFonts w:hint="eastAsia" w:ascii="Times New Roman" w:hAnsi="Times New Roman" w:eastAsia="黑体" w:cs="Times New Roman"/>
          <w:bCs/>
          <w:szCs w:val="21"/>
          <w:lang w:val="en-US" w:eastAsia="zh-CN"/>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lang w:val="en-US" w:eastAsia="zh-CN"/>
        </w:rPr>
        <w:t xml:space="preserve">  </w:t>
      </w:r>
      <w:r>
        <w:rPr>
          <w:rFonts w:ascii="Times New Roman" w:hAnsi="Times New Roman" w:eastAsia="黑体" w:cs="Times New Roman"/>
          <w:b/>
          <w:bCs w:val="0"/>
          <w:szCs w:val="21"/>
        </w:rPr>
        <w:t>A</w:t>
      </w:r>
      <w:bookmarkEnd w:id="43"/>
      <w:bookmarkEnd w:id="44"/>
    </w:p>
    <w:p w14:paraId="7DDA9720">
      <w:pPr>
        <w:jc w:val="center"/>
        <w:outlineLvl w:val="0"/>
        <w:rPr>
          <w:rFonts w:hint="eastAsia" w:ascii="Times New Roman" w:hAnsi="Times New Roman" w:eastAsia="黑体" w:cs="Times New Roman"/>
          <w:bCs/>
          <w:szCs w:val="21"/>
          <w:lang w:eastAsia="zh-CN"/>
        </w:rPr>
      </w:pPr>
      <w:bookmarkStart w:id="45" w:name="_Toc6325"/>
      <w:bookmarkStart w:id="46" w:name="_Toc10291"/>
      <w:r>
        <w:rPr>
          <w:rFonts w:hint="eastAsia" w:ascii="Times New Roman" w:hAnsi="Times New Roman" w:eastAsia="黑体" w:cs="Times New Roman"/>
          <w:bCs/>
          <w:szCs w:val="21"/>
          <w:lang w:eastAsia="zh-CN"/>
        </w:rPr>
        <w:t>（）</w:t>
      </w:r>
      <w:bookmarkEnd w:id="45"/>
      <w:bookmarkEnd w:id="46"/>
    </w:p>
    <w:p w14:paraId="1AB183D0">
      <w:pPr>
        <w:jc w:val="center"/>
        <w:outlineLvl w:val="0"/>
        <w:rPr>
          <w:rFonts w:hint="eastAsia" w:ascii="宋体" w:hAnsi="宋体" w:eastAsia="宋体" w:cs="宋体"/>
          <w:spacing w:val="3"/>
          <w:sz w:val="21"/>
          <w:szCs w:val="21"/>
          <w:lang w:val="en-US" w:eastAsia="zh-CN"/>
        </w:rPr>
      </w:pPr>
      <w:bookmarkStart w:id="47" w:name="_Toc6820"/>
      <w:bookmarkStart w:id="48" w:name="_Toc12297"/>
      <w:r>
        <w:rPr>
          <w:rFonts w:hint="eastAsia" w:ascii="Times New Roman" w:hAnsi="Times New Roman" w:eastAsia="黑体" w:cs="Times New Roman"/>
          <w:bCs/>
          <w:szCs w:val="21"/>
          <w:lang w:val="en-US" w:eastAsia="zh-CN"/>
        </w:rPr>
        <w:t>评分量表</w:t>
      </w:r>
      <w:bookmarkEnd w:id="47"/>
      <w:bookmarkEnd w:id="48"/>
    </w:p>
    <w:p w14:paraId="24275B3B">
      <w:pPr>
        <w:keepNext w:val="0"/>
        <w:keepLines w:val="0"/>
        <w:pageBreakBefore w:val="0"/>
        <w:widowControl w:val="0"/>
        <w:kinsoku/>
        <w:wordWrap/>
        <w:overflowPunct/>
        <w:topLinePunct w:val="0"/>
        <w:autoSpaceDE/>
        <w:autoSpaceDN/>
        <w:bidi w:val="0"/>
        <w:adjustRightInd/>
        <w:snapToGrid/>
        <w:spacing w:before="157" w:beforeLines="50" w:after="0" w:afterLines="50"/>
        <w:jc w:val="center"/>
        <w:textAlignment w:val="auto"/>
        <w:rPr>
          <w:rFonts w:hint="default" w:ascii="Times New Roman" w:hAnsi="Times New Roman" w:eastAsia="黑体" w:cs="Times New Roman"/>
          <w:bCs/>
          <w:szCs w:val="21"/>
        </w:rPr>
      </w:pPr>
      <w:r>
        <w:rPr>
          <w:rFonts w:hint="default" w:ascii="Times New Roman" w:hAnsi="Times New Roman" w:eastAsia="黑体" w:cs="Times New Roman"/>
          <w:b w:val="0"/>
          <w:bCs/>
          <w:szCs w:val="21"/>
        </w:rPr>
        <w:t>2002</w:t>
      </w:r>
      <w:r>
        <w:rPr>
          <w:rFonts w:hint="default" w:ascii="Times New Roman" w:hAnsi="Times New Roman" w:eastAsia="黑体" w:cs="Times New Roman"/>
          <w:bCs/>
          <w:szCs w:val="21"/>
        </w:rPr>
        <w:t>营养风险筛查量表 (NRS 2002)</w:t>
      </w:r>
    </w:p>
    <w:p w14:paraId="78B3373F">
      <w:pPr>
        <w:keepNext w:val="0"/>
        <w:keepLines w:val="0"/>
        <w:pageBreakBefore w:val="0"/>
        <w:widowControl w:val="0"/>
        <w:kinsoku/>
        <w:wordWrap/>
        <w:overflowPunct/>
        <w:topLinePunct w:val="0"/>
        <w:autoSpaceDE/>
        <w:autoSpaceDN/>
        <w:bidi w:val="0"/>
        <w:adjustRightInd/>
        <w:snapToGrid/>
        <w:spacing w:before="157" w:beforeLines="50" w:after="0" w:afterLines="50"/>
        <w:jc w:val="center"/>
        <w:textAlignment w:val="auto"/>
        <w:rPr>
          <w:rFonts w:hint="default" w:ascii="Times New Roman" w:hAnsi="Times New Roman" w:eastAsia="黑体" w:cs="Times New Roman"/>
          <w:bCs/>
          <w:szCs w:val="21"/>
        </w:rPr>
      </w:pPr>
      <w:r>
        <w:rPr>
          <w:rFonts w:hint="default" w:ascii="Times New Roman" w:hAnsi="Times New Roman" w:eastAsia="黑体" w:cs="Times New Roman"/>
          <w:bCs/>
          <w:szCs w:val="21"/>
        </w:rPr>
        <w:t>表A.1</w:t>
      </w:r>
      <w:r>
        <w:rPr>
          <w:rFonts w:hint="default" w:ascii="Times New Roman" w:hAnsi="Times New Roman" w:eastAsia="黑体" w:cs="Times New Roman"/>
          <w:bCs/>
          <w:color w:val="C00000"/>
          <w:szCs w:val="21"/>
        </w:rPr>
        <w:t xml:space="preserve"> </w:t>
      </w:r>
      <w:r>
        <w:rPr>
          <w:rFonts w:hint="default" w:ascii="Times New Roman" w:hAnsi="Times New Roman" w:eastAsia="黑体" w:cs="Times New Roman"/>
          <w:bCs/>
          <w:szCs w:val="21"/>
        </w:rPr>
        <w:t xml:space="preserve"> 初筛</w:t>
      </w:r>
    </w:p>
    <w:tbl>
      <w:tblPr>
        <w:tblStyle w:val="13"/>
        <w:tblW w:w="931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3"/>
        <w:gridCol w:w="3941"/>
        <w:gridCol w:w="2061"/>
        <w:gridCol w:w="2329"/>
      </w:tblGrid>
      <w:tr w14:paraId="6B3A809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jc w:val="center"/>
        </w:trPr>
        <w:tc>
          <w:tcPr>
            <w:tcW w:w="983" w:type="dxa"/>
            <w:tcBorders>
              <w:bottom w:val="single" w:color="000000" w:themeColor="text1" w:sz="12" w:space="0"/>
            </w:tcBorders>
            <w:vAlign w:val="center"/>
          </w:tcPr>
          <w:p w14:paraId="7E688536">
            <w:pPr>
              <w:spacing w:after="0" w:line="360" w:lineRule="auto"/>
              <w:jc w:val="center"/>
              <w:rPr>
                <w:rFonts w:hint="default" w:ascii="Times New Roman" w:hAnsi="Times New Roman" w:eastAsia="宋体" w:cs="Times New Roman"/>
                <w:sz w:val="18"/>
                <w:szCs w:val="18"/>
              </w:rPr>
            </w:pPr>
          </w:p>
        </w:tc>
        <w:tc>
          <w:tcPr>
            <w:tcW w:w="3941" w:type="dxa"/>
            <w:tcBorders>
              <w:bottom w:val="single" w:color="000000" w:themeColor="text1" w:sz="12" w:space="0"/>
            </w:tcBorders>
            <w:vAlign w:val="center"/>
          </w:tcPr>
          <w:p w14:paraId="0ACB7689">
            <w:pPr>
              <w:spacing w:after="0" w:line="360" w:lineRule="auto"/>
              <w:jc w:val="center"/>
              <w:rPr>
                <w:rFonts w:hint="default" w:ascii="Times New Roman" w:hAnsi="Times New Roman" w:eastAsia="宋体" w:cs="Times New Roman"/>
                <w:sz w:val="18"/>
                <w:szCs w:val="18"/>
              </w:rPr>
            </w:pPr>
          </w:p>
        </w:tc>
        <w:tc>
          <w:tcPr>
            <w:tcW w:w="2061" w:type="dxa"/>
            <w:tcBorders>
              <w:bottom w:val="single" w:color="000000" w:themeColor="text1" w:sz="12" w:space="0"/>
            </w:tcBorders>
            <w:vAlign w:val="center"/>
          </w:tcPr>
          <w:p w14:paraId="3A8F1A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是</w:t>
            </w:r>
          </w:p>
        </w:tc>
        <w:tc>
          <w:tcPr>
            <w:tcW w:w="2329" w:type="dxa"/>
            <w:tcBorders>
              <w:bottom w:val="single" w:color="000000" w:themeColor="text1" w:sz="12" w:space="0"/>
            </w:tcBorders>
            <w:vAlign w:val="center"/>
          </w:tcPr>
          <w:p w14:paraId="1EF655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否</w:t>
            </w:r>
          </w:p>
        </w:tc>
      </w:tr>
      <w:tr w14:paraId="37F27F5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7" w:hRule="atLeast"/>
          <w:jc w:val="center"/>
        </w:trPr>
        <w:tc>
          <w:tcPr>
            <w:tcW w:w="983" w:type="dxa"/>
            <w:tcBorders>
              <w:top w:val="single" w:color="000000" w:themeColor="text1" w:sz="12" w:space="0"/>
              <w:tl2br w:val="nil"/>
              <w:tr2bl w:val="nil"/>
            </w:tcBorders>
            <w:vAlign w:val="center"/>
          </w:tcPr>
          <w:p w14:paraId="3E63F5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3941" w:type="dxa"/>
            <w:tcBorders>
              <w:top w:val="single" w:color="000000" w:themeColor="text1" w:sz="12" w:space="0"/>
              <w:tl2br w:val="nil"/>
              <w:tr2bl w:val="nil"/>
            </w:tcBorders>
            <w:vAlign w:val="center"/>
          </w:tcPr>
          <w:p w14:paraId="1BBDBA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BMI&lt; 20.5</w:t>
            </w:r>
          </w:p>
        </w:tc>
        <w:tc>
          <w:tcPr>
            <w:tcW w:w="2061" w:type="dxa"/>
            <w:tcBorders>
              <w:top w:val="single" w:color="000000" w:themeColor="text1" w:sz="12" w:space="0"/>
              <w:tl2br w:val="nil"/>
              <w:tr2bl w:val="nil"/>
            </w:tcBorders>
            <w:vAlign w:val="center"/>
          </w:tcPr>
          <w:p w14:paraId="5896C6D5">
            <w:pPr>
              <w:spacing w:after="0" w:line="360" w:lineRule="auto"/>
              <w:jc w:val="center"/>
              <w:rPr>
                <w:rFonts w:hint="default" w:ascii="Times New Roman" w:hAnsi="Times New Roman" w:eastAsia="宋体" w:cs="Times New Roman"/>
                <w:sz w:val="18"/>
                <w:szCs w:val="18"/>
              </w:rPr>
            </w:pPr>
          </w:p>
        </w:tc>
        <w:tc>
          <w:tcPr>
            <w:tcW w:w="2329" w:type="dxa"/>
            <w:tcBorders>
              <w:top w:val="single" w:color="000000" w:themeColor="text1" w:sz="12" w:space="0"/>
              <w:tl2br w:val="nil"/>
              <w:tr2bl w:val="nil"/>
            </w:tcBorders>
            <w:vAlign w:val="center"/>
          </w:tcPr>
          <w:p w14:paraId="2B56B1DF">
            <w:pPr>
              <w:spacing w:after="0" w:line="360" w:lineRule="auto"/>
              <w:jc w:val="center"/>
              <w:rPr>
                <w:rFonts w:hint="default" w:ascii="Times New Roman" w:hAnsi="Times New Roman" w:eastAsia="宋体" w:cs="Times New Roman"/>
                <w:sz w:val="18"/>
                <w:szCs w:val="18"/>
              </w:rPr>
            </w:pPr>
          </w:p>
        </w:tc>
      </w:tr>
      <w:tr w14:paraId="4A1759B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7" w:hRule="atLeast"/>
          <w:jc w:val="center"/>
        </w:trPr>
        <w:tc>
          <w:tcPr>
            <w:tcW w:w="983" w:type="dxa"/>
            <w:tcBorders>
              <w:tl2br w:val="nil"/>
              <w:tr2bl w:val="nil"/>
            </w:tcBorders>
            <w:vAlign w:val="center"/>
          </w:tcPr>
          <w:p w14:paraId="6D0C29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3941" w:type="dxa"/>
            <w:tcBorders>
              <w:tl2br w:val="nil"/>
              <w:tr2bl w:val="nil"/>
            </w:tcBorders>
            <w:vAlign w:val="center"/>
          </w:tcPr>
          <w:p w14:paraId="06ACD8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最近3个月有无体重减轻</w:t>
            </w:r>
          </w:p>
        </w:tc>
        <w:tc>
          <w:tcPr>
            <w:tcW w:w="2061" w:type="dxa"/>
            <w:tcBorders>
              <w:tl2br w:val="nil"/>
              <w:tr2bl w:val="nil"/>
            </w:tcBorders>
            <w:vAlign w:val="center"/>
          </w:tcPr>
          <w:p w14:paraId="2FE902ED">
            <w:pPr>
              <w:spacing w:after="0" w:line="360" w:lineRule="auto"/>
              <w:jc w:val="center"/>
              <w:rPr>
                <w:rFonts w:hint="default" w:ascii="Times New Roman" w:hAnsi="Times New Roman" w:eastAsia="宋体" w:cs="Times New Roman"/>
                <w:sz w:val="18"/>
                <w:szCs w:val="18"/>
              </w:rPr>
            </w:pPr>
          </w:p>
        </w:tc>
        <w:tc>
          <w:tcPr>
            <w:tcW w:w="2329" w:type="dxa"/>
            <w:tcBorders>
              <w:tl2br w:val="nil"/>
              <w:tr2bl w:val="nil"/>
            </w:tcBorders>
            <w:vAlign w:val="center"/>
          </w:tcPr>
          <w:p w14:paraId="19220B47">
            <w:pPr>
              <w:spacing w:after="0" w:line="360" w:lineRule="auto"/>
              <w:jc w:val="center"/>
              <w:rPr>
                <w:rFonts w:hint="default" w:ascii="Times New Roman" w:hAnsi="Times New Roman" w:eastAsia="宋体" w:cs="Times New Roman"/>
                <w:sz w:val="18"/>
                <w:szCs w:val="18"/>
              </w:rPr>
            </w:pPr>
          </w:p>
        </w:tc>
      </w:tr>
      <w:tr w14:paraId="30DDEE9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7" w:hRule="atLeast"/>
          <w:jc w:val="center"/>
        </w:trPr>
        <w:tc>
          <w:tcPr>
            <w:tcW w:w="983" w:type="dxa"/>
            <w:tcBorders>
              <w:tl2br w:val="nil"/>
              <w:tr2bl w:val="nil"/>
            </w:tcBorders>
            <w:vAlign w:val="center"/>
          </w:tcPr>
          <w:p w14:paraId="7CD9A0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3941" w:type="dxa"/>
            <w:tcBorders>
              <w:tl2br w:val="nil"/>
              <w:tr2bl w:val="nil"/>
            </w:tcBorders>
            <w:vAlign w:val="center"/>
          </w:tcPr>
          <w:p w14:paraId="43FA41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最近1周有无膳食摄入量减少</w:t>
            </w:r>
          </w:p>
        </w:tc>
        <w:tc>
          <w:tcPr>
            <w:tcW w:w="2061" w:type="dxa"/>
            <w:tcBorders>
              <w:tl2br w:val="nil"/>
              <w:tr2bl w:val="nil"/>
            </w:tcBorders>
            <w:vAlign w:val="center"/>
          </w:tcPr>
          <w:p w14:paraId="729D3C59">
            <w:pPr>
              <w:spacing w:after="0" w:line="360" w:lineRule="auto"/>
              <w:jc w:val="center"/>
              <w:rPr>
                <w:rFonts w:hint="default" w:ascii="Times New Roman" w:hAnsi="Times New Roman" w:eastAsia="宋体" w:cs="Times New Roman"/>
                <w:sz w:val="18"/>
                <w:szCs w:val="18"/>
              </w:rPr>
            </w:pPr>
          </w:p>
        </w:tc>
        <w:tc>
          <w:tcPr>
            <w:tcW w:w="2329" w:type="dxa"/>
            <w:tcBorders>
              <w:tl2br w:val="nil"/>
              <w:tr2bl w:val="nil"/>
            </w:tcBorders>
            <w:vAlign w:val="center"/>
          </w:tcPr>
          <w:p w14:paraId="152112E1">
            <w:pPr>
              <w:spacing w:after="0" w:line="360" w:lineRule="auto"/>
              <w:jc w:val="center"/>
              <w:rPr>
                <w:rFonts w:hint="default" w:ascii="Times New Roman" w:hAnsi="Times New Roman" w:eastAsia="宋体" w:cs="Times New Roman"/>
                <w:sz w:val="18"/>
                <w:szCs w:val="18"/>
              </w:rPr>
            </w:pPr>
          </w:p>
        </w:tc>
      </w:tr>
      <w:tr w14:paraId="5A275D2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7" w:hRule="atLeast"/>
          <w:jc w:val="center"/>
        </w:trPr>
        <w:tc>
          <w:tcPr>
            <w:tcW w:w="983" w:type="dxa"/>
            <w:tcBorders>
              <w:bottom w:val="single" w:color="000000" w:themeColor="text1" w:sz="12" w:space="0"/>
              <w:tl2br w:val="nil"/>
              <w:tr2bl w:val="nil"/>
            </w:tcBorders>
            <w:vAlign w:val="center"/>
          </w:tcPr>
          <w:p w14:paraId="4D181C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3941" w:type="dxa"/>
            <w:tcBorders>
              <w:bottom w:val="single" w:color="000000" w:themeColor="text1" w:sz="12" w:space="0"/>
              <w:tl2br w:val="nil"/>
              <w:tr2bl w:val="nil"/>
            </w:tcBorders>
            <w:vAlign w:val="center"/>
          </w:tcPr>
          <w:p w14:paraId="30F849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疾病是否严重（如ICU、大手术后）</w:t>
            </w:r>
          </w:p>
        </w:tc>
        <w:tc>
          <w:tcPr>
            <w:tcW w:w="2061" w:type="dxa"/>
            <w:tcBorders>
              <w:bottom w:val="single" w:color="000000" w:themeColor="text1" w:sz="12" w:space="0"/>
              <w:tl2br w:val="nil"/>
              <w:tr2bl w:val="nil"/>
            </w:tcBorders>
            <w:vAlign w:val="center"/>
          </w:tcPr>
          <w:p w14:paraId="402F6BD5">
            <w:pPr>
              <w:spacing w:after="0" w:line="360" w:lineRule="auto"/>
              <w:jc w:val="center"/>
              <w:rPr>
                <w:rFonts w:hint="default" w:ascii="Times New Roman" w:hAnsi="Times New Roman" w:eastAsia="宋体" w:cs="Times New Roman"/>
                <w:sz w:val="18"/>
                <w:szCs w:val="18"/>
              </w:rPr>
            </w:pPr>
          </w:p>
        </w:tc>
        <w:tc>
          <w:tcPr>
            <w:tcW w:w="2329" w:type="dxa"/>
            <w:tcBorders>
              <w:bottom w:val="single" w:color="000000" w:themeColor="text1" w:sz="12" w:space="0"/>
              <w:tl2br w:val="nil"/>
              <w:tr2bl w:val="nil"/>
            </w:tcBorders>
            <w:vAlign w:val="center"/>
          </w:tcPr>
          <w:p w14:paraId="76489920">
            <w:pPr>
              <w:spacing w:after="0" w:line="360" w:lineRule="auto"/>
              <w:jc w:val="center"/>
              <w:rPr>
                <w:rFonts w:hint="default" w:ascii="Times New Roman" w:hAnsi="Times New Roman" w:eastAsia="宋体" w:cs="Times New Roman"/>
                <w:sz w:val="18"/>
                <w:szCs w:val="18"/>
              </w:rPr>
            </w:pPr>
          </w:p>
        </w:tc>
      </w:tr>
      <w:tr w14:paraId="4F06678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7" w:hRule="atLeast"/>
          <w:jc w:val="center"/>
        </w:trPr>
        <w:tc>
          <w:tcPr>
            <w:tcW w:w="9314" w:type="dxa"/>
            <w:gridSpan w:val="4"/>
            <w:tcBorders>
              <w:top w:val="single" w:color="000000" w:themeColor="text1" w:sz="12" w:space="0"/>
              <w:bottom w:val="single" w:color="000000" w:themeColor="text1" w:sz="12" w:space="0"/>
            </w:tcBorders>
            <w:vAlign w:val="center"/>
          </w:tcPr>
          <w:p w14:paraId="3CD0637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是：任一问题的回答为“是”，即进行表2评估。</w:t>
            </w:r>
          </w:p>
          <w:p w14:paraId="31890744">
            <w:pPr>
              <w:spacing w:after="0" w:line="360" w:lineRule="auto"/>
              <w:jc w:val="both"/>
              <w:rPr>
                <w:rFonts w:hint="default" w:ascii="Times New Roman" w:hAnsi="Times New Roman" w:eastAsia="宋体" w:cs="Times New Roman"/>
                <w:sz w:val="18"/>
                <w:szCs w:val="18"/>
              </w:rPr>
            </w:pPr>
            <w:r>
              <w:rPr>
                <w:rFonts w:hint="eastAsia" w:ascii="Times New Roman" w:hAnsi="Times New Roman" w:eastAsia="宋体" w:cs="Times New Roman"/>
                <w:kern w:val="0"/>
                <w:sz w:val="21"/>
                <w:szCs w:val="21"/>
                <w:lang w:val="en-US" w:eastAsia="zh-CN" w:bidi="ar-SA"/>
              </w:rPr>
              <w:t>否：如果所有问题的答案均为“否”，则每隔一周进行再次评估。</w:t>
            </w:r>
          </w:p>
        </w:tc>
      </w:tr>
    </w:tbl>
    <w:p w14:paraId="38BF0F2D">
      <w:pPr>
        <w:keepNext w:val="0"/>
        <w:keepLines w:val="0"/>
        <w:pageBreakBefore w:val="0"/>
        <w:widowControl w:val="0"/>
        <w:kinsoku/>
        <w:wordWrap/>
        <w:overflowPunct/>
        <w:topLinePunct w:val="0"/>
        <w:autoSpaceDE/>
        <w:autoSpaceDN/>
        <w:bidi w:val="0"/>
        <w:adjustRightInd/>
        <w:snapToGrid/>
        <w:spacing w:before="157" w:beforeLines="50" w:after="0" w:afterLines="50"/>
        <w:jc w:val="center"/>
        <w:textAlignment w:val="auto"/>
        <w:rPr>
          <w:rFonts w:hint="default" w:ascii="Times New Roman" w:hAnsi="Times New Roman" w:eastAsia="黑体" w:cs="Times New Roman"/>
          <w:bCs/>
          <w:szCs w:val="21"/>
        </w:rPr>
      </w:pPr>
      <w:r>
        <w:rPr>
          <w:rFonts w:hint="default" w:ascii="Times New Roman" w:hAnsi="Times New Roman" w:eastAsia="黑体" w:cs="Times New Roman"/>
          <w:bCs/>
          <w:szCs w:val="21"/>
        </w:rPr>
        <w:t>表A.</w:t>
      </w:r>
      <w:r>
        <w:rPr>
          <w:rFonts w:hint="eastAsia" w:ascii="Times New Roman" w:hAnsi="Times New Roman" w:eastAsia="黑体" w:cs="Times New Roman"/>
          <w:bCs/>
          <w:szCs w:val="21"/>
          <w:lang w:val="en-US" w:eastAsia="zh-CN"/>
        </w:rPr>
        <w:t xml:space="preserve">2  </w:t>
      </w:r>
      <w:r>
        <w:rPr>
          <w:rFonts w:hint="default" w:ascii="Times New Roman" w:hAnsi="Times New Roman" w:eastAsia="黑体" w:cs="Times New Roman"/>
          <w:bCs/>
          <w:szCs w:val="21"/>
        </w:rPr>
        <w:t>终筛</w:t>
      </w:r>
    </w:p>
    <w:tbl>
      <w:tblPr>
        <w:tblStyle w:val="13"/>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3394"/>
        <w:gridCol w:w="4081"/>
      </w:tblGrid>
      <w:tr w14:paraId="2D00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000000" w:themeColor="text1" w:sz="12" w:space="0"/>
              <w:left w:val="single" w:color="000000" w:themeColor="text1" w:sz="12" w:space="0"/>
              <w:bottom w:val="single" w:color="000000" w:themeColor="text1" w:sz="12" w:space="0"/>
              <w:right w:val="single" w:color="000000" w:themeColor="text1" w:sz="4" w:space="0"/>
            </w:tcBorders>
            <w:vAlign w:val="center"/>
          </w:tcPr>
          <w:p w14:paraId="14B609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严重程度</w:t>
            </w:r>
          </w:p>
        </w:tc>
        <w:tc>
          <w:tcPr>
            <w:tcW w:w="850" w:type="dxa"/>
            <w:tcBorders>
              <w:top w:val="single" w:color="000000" w:themeColor="text1" w:sz="12" w:space="0"/>
              <w:left w:val="single" w:color="000000" w:themeColor="text1" w:sz="4" w:space="0"/>
              <w:bottom w:val="single" w:color="000000" w:themeColor="text1" w:sz="12" w:space="0"/>
              <w:right w:val="single" w:color="000000" w:themeColor="text1" w:sz="4" w:space="0"/>
            </w:tcBorders>
            <w:vAlign w:val="center"/>
          </w:tcPr>
          <w:p w14:paraId="2695E5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分数</w:t>
            </w:r>
          </w:p>
        </w:tc>
        <w:tc>
          <w:tcPr>
            <w:tcW w:w="3394" w:type="dxa"/>
            <w:tcBorders>
              <w:top w:val="single" w:color="000000" w:themeColor="text1" w:sz="12" w:space="0"/>
              <w:left w:val="single" w:color="000000" w:themeColor="text1" w:sz="4" w:space="0"/>
              <w:bottom w:val="single" w:color="000000" w:themeColor="text1" w:sz="12" w:space="0"/>
              <w:right w:val="single" w:color="000000" w:themeColor="text1" w:sz="4" w:space="0"/>
            </w:tcBorders>
            <w:vAlign w:val="center"/>
          </w:tcPr>
          <w:p w14:paraId="5F8242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营养状态受损程度</w:t>
            </w:r>
          </w:p>
        </w:tc>
        <w:tc>
          <w:tcPr>
            <w:tcW w:w="4081" w:type="dxa"/>
            <w:tcBorders>
              <w:top w:val="single" w:color="000000" w:themeColor="text1" w:sz="12" w:space="0"/>
              <w:left w:val="single" w:color="000000" w:themeColor="text1" w:sz="4" w:space="0"/>
              <w:bottom w:val="single" w:color="000000" w:themeColor="text1" w:sz="12" w:space="0"/>
              <w:right w:val="single" w:color="000000" w:themeColor="text1" w:sz="12" w:space="0"/>
            </w:tcBorders>
            <w:vAlign w:val="center"/>
          </w:tcPr>
          <w:p w14:paraId="232DBE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疾病严重程度 (能量需求增强)</w:t>
            </w:r>
          </w:p>
        </w:tc>
      </w:tr>
      <w:tr w14:paraId="37F6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46" w:type="dxa"/>
            <w:tcBorders>
              <w:top w:val="single" w:color="000000" w:themeColor="text1" w:sz="12" w:space="0"/>
              <w:left w:val="single" w:color="000000" w:themeColor="text1" w:sz="12" w:space="0"/>
              <w:bottom w:val="single" w:color="000000" w:themeColor="text1" w:sz="4" w:space="0"/>
              <w:right w:val="single" w:color="000000" w:themeColor="text1" w:sz="4" w:space="0"/>
            </w:tcBorders>
            <w:vAlign w:val="center"/>
          </w:tcPr>
          <w:p w14:paraId="038B8D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850"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1BC3DC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3394"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43EA5F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正常营养状态</w:t>
            </w:r>
          </w:p>
        </w:tc>
        <w:tc>
          <w:tcPr>
            <w:tcW w:w="4081" w:type="dxa"/>
            <w:tcBorders>
              <w:top w:val="single" w:color="000000" w:themeColor="text1" w:sz="12" w:space="0"/>
              <w:left w:val="single" w:color="000000" w:themeColor="text1" w:sz="4" w:space="0"/>
              <w:bottom w:val="single" w:color="000000" w:themeColor="text1" w:sz="4" w:space="0"/>
              <w:right w:val="single" w:color="000000" w:themeColor="text1" w:sz="12" w:space="0"/>
            </w:tcBorders>
            <w:vAlign w:val="center"/>
          </w:tcPr>
          <w:p w14:paraId="114FA8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正常能量需求</w:t>
            </w:r>
          </w:p>
        </w:tc>
      </w:tr>
      <w:tr w14:paraId="37AA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16CF72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轻度</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63F2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339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6DC88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3个月体重丢失&gt;5%, 或进食量平时的50-75%</w:t>
            </w:r>
          </w:p>
        </w:tc>
        <w:tc>
          <w:tcPr>
            <w:tcW w:w="4081"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14:paraId="16B1A2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髋骨骨折, 慢性疾病尤其合并以下病症: 肝硬化, COPD, 长期血液透析, 糖尿病, 肿瘤</w:t>
            </w:r>
          </w:p>
        </w:tc>
      </w:tr>
      <w:tr w14:paraId="5069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846" w:type="dxa"/>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1EBB78B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中度</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13BF2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339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9A1D5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2个月体重丢失&gt;5%, 或进食量为平时的25-50%, 或BMI 18.5-20.5</w:t>
            </w:r>
          </w:p>
        </w:tc>
        <w:tc>
          <w:tcPr>
            <w:tcW w:w="4081"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14:paraId="2464F7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腹部大手术, 脑卒中, 重症肺炎, 血液系统恶性肿瘤</w:t>
            </w:r>
          </w:p>
        </w:tc>
      </w:tr>
      <w:tr w14:paraId="7001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06EB80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重度</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9A51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339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27ED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1个月体重丢失&gt;5%（或3个月体重丢失&gt;15%）, 或进食量为平时的25%以下, 或BMI &lt;18.5</w:t>
            </w:r>
          </w:p>
        </w:tc>
        <w:tc>
          <w:tcPr>
            <w:tcW w:w="4081"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14:paraId="70D9D6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颅脑损伤, 骨髓移植, ICU患者 (APACHE&gt;10)</w:t>
            </w:r>
          </w:p>
        </w:tc>
      </w:tr>
      <w:tr w14:paraId="3606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71" w:type="dxa"/>
            <w:gridSpan w:val="4"/>
            <w:tcBorders>
              <w:top w:val="single" w:color="000000" w:themeColor="text1" w:sz="4" w:space="0"/>
              <w:left w:val="single" w:color="000000" w:themeColor="text1" w:sz="12" w:space="0"/>
              <w:bottom w:val="single" w:color="000000" w:themeColor="text1" w:sz="4" w:space="0"/>
              <w:right w:val="single" w:color="000000" w:themeColor="text1" w:sz="12" w:space="0"/>
            </w:tcBorders>
            <w:vAlign w:val="center"/>
          </w:tcPr>
          <w:p w14:paraId="08FB91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年龄: 如果超过70岁, 加1分</w:t>
            </w:r>
          </w:p>
        </w:tc>
      </w:tr>
      <w:tr w14:paraId="5CFE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71" w:type="dxa"/>
            <w:gridSpan w:val="4"/>
            <w:tcBorders>
              <w:top w:val="single" w:color="000000" w:themeColor="text1" w:sz="4" w:space="0"/>
              <w:left w:val="single" w:color="000000" w:themeColor="text1" w:sz="12" w:space="0"/>
              <w:bottom w:val="single" w:color="000000" w:themeColor="text1" w:sz="4" w:space="0"/>
              <w:right w:val="single" w:color="000000" w:themeColor="text1" w:sz="12" w:space="0"/>
            </w:tcBorders>
            <w:vAlign w:val="center"/>
          </w:tcPr>
          <w:p w14:paraId="3A334C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总分: 分数1(营养状态)___+ 分数2(疾病状态)___+ 分数3(年龄)___= ____ (范围: 0-7分)</w:t>
            </w:r>
          </w:p>
        </w:tc>
      </w:tr>
      <w:tr w14:paraId="7803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171" w:type="dxa"/>
            <w:gridSpan w:val="4"/>
            <w:tcBorders>
              <w:top w:val="single" w:color="000000" w:themeColor="text1" w:sz="4" w:space="0"/>
              <w:left w:val="single" w:color="000000" w:themeColor="text1" w:sz="12" w:space="0"/>
              <w:bottom w:val="single" w:color="000000" w:themeColor="text1" w:sz="12" w:space="0"/>
              <w:right w:val="single" w:color="000000" w:themeColor="text1" w:sz="12" w:space="0"/>
            </w:tcBorders>
            <w:vAlign w:val="center"/>
          </w:tcPr>
          <w:p w14:paraId="3BDDDC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分数≥3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 xml:space="preserve"> 患者存在营养风险，应启动营养干预计划。</w:t>
            </w:r>
          </w:p>
          <w:p w14:paraId="49590A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分数&lt;3</w:t>
            </w:r>
            <w:r>
              <w:rPr>
                <w:rFonts w:hint="eastAsia" w:ascii="Times New Roman" w:hAnsi="Times New Roman" w:eastAsia="宋体" w:cs="Times New Roman"/>
                <w:sz w:val="18"/>
                <w:szCs w:val="18"/>
              </w:rPr>
              <w:t>:</w:t>
            </w:r>
            <w:r>
              <w:rPr>
                <w:rFonts w:hint="default" w:ascii="Times New Roman" w:hAnsi="Times New Roman" w:eastAsia="宋体" w:cs="Times New Roman"/>
                <w:sz w:val="18"/>
                <w:szCs w:val="18"/>
              </w:rPr>
              <w:t xml:space="preserve"> 每周复评。如果患者计划行腹部大手术，应考虑预防性营养干预避免相关营养风险。</w:t>
            </w:r>
          </w:p>
        </w:tc>
      </w:tr>
    </w:tbl>
    <w:p w14:paraId="2C043BC7">
      <w:pPr>
        <w:spacing w:after="0" w:line="360" w:lineRule="auto"/>
        <w:rPr>
          <w:rFonts w:ascii="Times New Roman" w:hAnsi="Times New Roman" w:eastAsia="楷体" w:cs="Times New Roman"/>
          <w:sz w:val="21"/>
          <w:szCs w:val="21"/>
        </w:rPr>
      </w:pPr>
    </w:p>
    <w:p w14:paraId="39761031">
      <w:pPr>
        <w:spacing w:after="0" w:line="360" w:lineRule="auto"/>
        <w:rPr>
          <w:rFonts w:ascii="Times New Roman" w:hAnsi="Times New Roman" w:eastAsia="Times New Roman" w:cs="Times New Roman"/>
          <w:snapToGrid w:val="0"/>
          <w:color w:val="000000"/>
          <w:w w:val="0"/>
          <w:sz w:val="21"/>
          <w:szCs w:val="21"/>
          <w:u w:color="000000"/>
          <w:shd w:val="clear" w:color="000000" w:fill="000000"/>
          <w:lang w:val="zh-CN" w:eastAsia="zh-CN" w:bidi="zh-CN"/>
        </w:rPr>
      </w:pPr>
    </w:p>
    <w:p w14:paraId="0E586FE5">
      <w:pP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br w:type="page"/>
      </w:r>
    </w:p>
    <w:p w14:paraId="6885BCA3">
      <w:pPr>
        <w:jc w:val="center"/>
        <w:outlineLvl w:val="0"/>
        <w:rPr>
          <w:rFonts w:hint="eastAsia" w:ascii="Times New Roman" w:hAnsi="Times New Roman" w:eastAsia="黑体" w:cs="Times New Roman"/>
          <w:bCs/>
          <w:szCs w:val="21"/>
          <w:lang w:eastAsia="zh-CN"/>
        </w:rPr>
      </w:pPr>
      <w:bookmarkStart w:id="49" w:name="_Toc23765"/>
      <w:r>
        <w:rPr>
          <w:rFonts w:ascii="Times New Roman" w:hAnsi="Times New Roman" w:eastAsia="黑体" w:cs="Times New Roman"/>
          <w:bCs/>
          <w:szCs w:val="21"/>
        </w:rPr>
        <w:t>附</w:t>
      </w:r>
      <w:r>
        <w:rPr>
          <w:rFonts w:hint="eastAsia" w:ascii="Times New Roman" w:hAnsi="Times New Roman" w:eastAsia="黑体" w:cs="Times New Roman"/>
          <w:bCs/>
          <w:szCs w:val="21"/>
          <w:lang w:val="en-US" w:eastAsia="zh-CN"/>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
          <w:bCs w:val="0"/>
          <w:szCs w:val="21"/>
          <w:lang w:val="en-US" w:eastAsia="zh-CN"/>
        </w:rPr>
        <w:t>B</w:t>
      </w:r>
      <w:bookmarkEnd w:id="49"/>
    </w:p>
    <w:p w14:paraId="7D5297A2">
      <w:pPr>
        <w:jc w:val="center"/>
        <w:outlineLvl w:val="0"/>
        <w:rPr>
          <w:rFonts w:hint="eastAsia" w:ascii="Times New Roman" w:hAnsi="Times New Roman" w:eastAsia="黑体" w:cs="Times New Roman"/>
          <w:bCs/>
          <w:szCs w:val="21"/>
          <w:lang w:eastAsia="zh-CN"/>
        </w:rPr>
      </w:pPr>
      <w:bookmarkStart w:id="50" w:name="_Toc12951"/>
      <w:bookmarkStart w:id="51" w:name="_Toc30412"/>
      <w:r>
        <w:rPr>
          <w:rFonts w:hint="eastAsia" w:ascii="Times New Roman" w:hAnsi="Times New Roman" w:eastAsia="黑体" w:cs="Times New Roman"/>
          <w:bCs/>
          <w:szCs w:val="21"/>
          <w:lang w:eastAsia="zh-CN"/>
        </w:rPr>
        <w:t>（）</w:t>
      </w:r>
      <w:bookmarkEnd w:id="50"/>
      <w:bookmarkEnd w:id="51"/>
    </w:p>
    <w:p w14:paraId="29CD9089">
      <w:pPr>
        <w:keepNext w:val="0"/>
        <w:keepLines w:val="0"/>
        <w:pageBreakBefore w:val="0"/>
        <w:widowControl w:val="0"/>
        <w:kinsoku/>
        <w:wordWrap/>
        <w:overflowPunct/>
        <w:topLinePunct w:val="0"/>
        <w:autoSpaceDE/>
        <w:autoSpaceDN/>
        <w:bidi w:val="0"/>
        <w:adjustRightInd/>
        <w:snapToGrid/>
        <w:spacing w:before="157" w:beforeLines="50" w:after="0" w:afterLines="50"/>
        <w:jc w:val="center"/>
        <w:textAlignment w:val="auto"/>
        <w:rPr>
          <w:rFonts w:hint="default" w:ascii="Times New Roman" w:hAnsi="Times New Roman" w:eastAsia="黑体" w:cs="Times New Roman"/>
          <w:b w:val="0"/>
          <w:bCs/>
          <w:szCs w:val="21"/>
        </w:rPr>
      </w:pPr>
      <w:r>
        <w:rPr>
          <w:rFonts w:hint="default" w:ascii="Times New Roman" w:hAnsi="Times New Roman" w:eastAsia="黑体" w:cs="Times New Roman"/>
          <w:bCs/>
          <w:szCs w:val="21"/>
        </w:rPr>
        <w:t>表</w:t>
      </w:r>
      <w:r>
        <w:rPr>
          <w:rFonts w:hint="eastAsia" w:ascii="Times New Roman" w:hAnsi="Times New Roman" w:eastAsia="黑体" w:cs="Times New Roman"/>
          <w:bCs/>
          <w:szCs w:val="21"/>
          <w:lang w:val="en-US" w:eastAsia="zh-CN"/>
        </w:rPr>
        <w:t>B</w:t>
      </w:r>
      <w:r>
        <w:rPr>
          <w:rFonts w:hint="default" w:ascii="Times New Roman" w:hAnsi="Times New Roman" w:eastAsia="黑体" w:cs="Times New Roman"/>
          <w:bCs/>
          <w:szCs w:val="21"/>
        </w:rPr>
        <w:t>.1</w:t>
      </w:r>
      <w:r>
        <w:rPr>
          <w:rFonts w:hint="default" w:ascii="Times New Roman" w:hAnsi="Times New Roman" w:eastAsia="黑体" w:cs="Times New Roman"/>
          <w:bCs/>
          <w:color w:val="C00000"/>
          <w:szCs w:val="21"/>
        </w:rPr>
        <w:t xml:space="preserve"> </w:t>
      </w:r>
      <w:r>
        <w:rPr>
          <w:rFonts w:hint="default" w:ascii="Times New Roman" w:hAnsi="Times New Roman" w:eastAsia="黑体" w:cs="Times New Roman"/>
          <w:bCs/>
          <w:szCs w:val="21"/>
        </w:rPr>
        <w:t xml:space="preserve"> </w:t>
      </w:r>
      <w:r>
        <w:rPr>
          <w:rFonts w:hint="eastAsia" w:ascii="Times New Roman" w:hAnsi="Times New Roman" w:eastAsia="黑体" w:cs="Times New Roman"/>
          <w:b w:val="0"/>
          <w:bCs/>
          <w:szCs w:val="21"/>
        </w:rPr>
        <w:t>主观全面评定（</w:t>
      </w:r>
      <w:r>
        <w:rPr>
          <w:rFonts w:hint="default" w:ascii="Times New Roman" w:hAnsi="Times New Roman" w:eastAsia="黑体" w:cs="Times New Roman"/>
          <w:b w:val="0"/>
          <w:bCs/>
          <w:szCs w:val="21"/>
        </w:rPr>
        <w:t>Subjective Global Assessment, SGA）</w:t>
      </w:r>
    </w:p>
    <w:p w14:paraId="4E2E95A9">
      <w:pPr>
        <w:spacing w:after="0" w:line="360" w:lineRule="auto"/>
        <w:rPr>
          <w:rFonts w:ascii="Times New Roman" w:hAnsi="Times New Roman" w:eastAsia="楷体" w:cs="Times New Roman"/>
          <w:b/>
          <w:bCs/>
          <w:sz w:val="21"/>
          <w:szCs w:val="21"/>
        </w:rPr>
      </w:pPr>
      <w:r>
        <w:rPr>
          <w:rFonts w:hint="eastAsia" w:ascii="Times New Roman" w:hAnsi="Times New Roman" w:eastAsia="宋体" w:cs="Times New Roman"/>
          <w:b/>
          <w:bCs/>
          <w:sz w:val="21"/>
          <w:szCs w:val="21"/>
        </w:rPr>
        <w:t xml:space="preserve"> </w:t>
      </w:r>
      <w:r>
        <w:rPr>
          <w:rFonts w:ascii="Times New Roman" w:hAnsi="Times New Roman" w:eastAsia="宋体" w:cs="Times New Roman"/>
          <w:b/>
          <w:bCs/>
          <w:sz w:val="21"/>
          <w:szCs w:val="21"/>
        </w:rPr>
        <w:t xml:space="preserve"> </w:t>
      </w:r>
      <w:r>
        <w:rPr>
          <w:rFonts w:hint="eastAsia" w:ascii="宋体" w:hAnsi="宋体" w:eastAsia="宋体" w:cs="宋体"/>
          <w:bCs/>
          <w:szCs w:val="21"/>
        </w:rPr>
        <w:t>基本信息</w:t>
      </w:r>
    </w:p>
    <w:tbl>
      <w:tblPr>
        <w:tblStyle w:val="13"/>
        <w:tblW w:w="87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703"/>
        <w:gridCol w:w="2224"/>
        <w:gridCol w:w="2415"/>
      </w:tblGrid>
      <w:tr w14:paraId="1B24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6" w:type="dxa"/>
            <w:tcBorders>
              <w:top w:val="single" w:color="000000" w:themeColor="text1" w:sz="12" w:space="0"/>
              <w:left w:val="single" w:color="000000" w:themeColor="text1" w:sz="12" w:space="0"/>
              <w:bottom w:val="single" w:color="000000" w:themeColor="text1" w:sz="4" w:space="0"/>
              <w:right w:val="single" w:color="000000" w:themeColor="text1" w:sz="4" w:space="0"/>
            </w:tcBorders>
            <w:vAlign w:val="center"/>
          </w:tcPr>
          <w:p w14:paraId="6C305B1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姓名</w:t>
            </w:r>
          </w:p>
        </w:tc>
        <w:tc>
          <w:tcPr>
            <w:tcW w:w="2703"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16231F5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c>
          <w:tcPr>
            <w:tcW w:w="2224"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5C75A6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住院号</w:t>
            </w:r>
          </w:p>
        </w:tc>
        <w:tc>
          <w:tcPr>
            <w:tcW w:w="2415" w:type="dxa"/>
            <w:tcBorders>
              <w:top w:val="single" w:color="000000" w:themeColor="text1" w:sz="12" w:space="0"/>
              <w:left w:val="single" w:color="000000" w:themeColor="text1" w:sz="4" w:space="0"/>
              <w:bottom w:val="single" w:color="000000" w:themeColor="text1" w:sz="4" w:space="0"/>
              <w:right w:val="single" w:color="000000" w:themeColor="text1" w:sz="12" w:space="0"/>
            </w:tcBorders>
            <w:vAlign w:val="center"/>
          </w:tcPr>
          <w:p w14:paraId="287492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r>
      <w:tr w14:paraId="55F0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6" w:type="dxa"/>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6C22B0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性别</w:t>
            </w:r>
          </w:p>
        </w:tc>
        <w:tc>
          <w:tcPr>
            <w:tcW w:w="27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E1480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c>
          <w:tcPr>
            <w:tcW w:w="2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95D4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身高（m）</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14:paraId="691140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r>
      <w:tr w14:paraId="7CB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6" w:type="dxa"/>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0676AC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年龄</w:t>
            </w:r>
          </w:p>
        </w:tc>
        <w:tc>
          <w:tcPr>
            <w:tcW w:w="27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C233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c>
          <w:tcPr>
            <w:tcW w:w="2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4A4D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体重（kg）</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14:paraId="579EA8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r>
      <w:tr w14:paraId="632C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6" w:type="dxa"/>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50E678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临床诊断</w:t>
            </w:r>
          </w:p>
        </w:tc>
        <w:tc>
          <w:tcPr>
            <w:tcW w:w="27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B195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c>
          <w:tcPr>
            <w:tcW w:w="2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C0BF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入院日期</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12" w:space="0"/>
            </w:tcBorders>
            <w:vAlign w:val="center"/>
          </w:tcPr>
          <w:p w14:paraId="4C7297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r>
      <w:tr w14:paraId="5D46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6" w:type="dxa"/>
            <w:tcBorders>
              <w:top w:val="single" w:color="000000" w:themeColor="text1" w:sz="4" w:space="0"/>
              <w:left w:val="single" w:color="000000" w:themeColor="text1" w:sz="12" w:space="0"/>
              <w:bottom w:val="single" w:color="000000" w:themeColor="text1" w:sz="12" w:space="0"/>
              <w:right w:val="single" w:color="000000" w:themeColor="text1" w:sz="4" w:space="0"/>
            </w:tcBorders>
            <w:vAlign w:val="center"/>
          </w:tcPr>
          <w:p w14:paraId="2E8C12F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筛查日期</w:t>
            </w:r>
          </w:p>
        </w:tc>
        <w:tc>
          <w:tcPr>
            <w:tcW w:w="2703" w:type="dxa"/>
            <w:tcBorders>
              <w:top w:val="single" w:color="000000" w:themeColor="text1" w:sz="4" w:space="0"/>
              <w:left w:val="single" w:color="000000" w:themeColor="text1" w:sz="4" w:space="0"/>
              <w:bottom w:val="single" w:color="000000" w:themeColor="text1" w:sz="12" w:space="0"/>
              <w:right w:val="single" w:color="000000" w:themeColor="text1" w:sz="4" w:space="0"/>
            </w:tcBorders>
            <w:vAlign w:val="center"/>
          </w:tcPr>
          <w:p w14:paraId="4EC0F5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c>
          <w:tcPr>
            <w:tcW w:w="2224" w:type="dxa"/>
            <w:tcBorders>
              <w:top w:val="single" w:color="000000" w:themeColor="text1" w:sz="4" w:space="0"/>
              <w:left w:val="single" w:color="000000" w:themeColor="text1" w:sz="4" w:space="0"/>
              <w:bottom w:val="single" w:color="000000" w:themeColor="text1" w:sz="12" w:space="0"/>
              <w:right w:val="single" w:color="000000" w:themeColor="text1" w:sz="4" w:space="0"/>
            </w:tcBorders>
            <w:vAlign w:val="center"/>
          </w:tcPr>
          <w:p w14:paraId="5BA4C8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筛查人</w:t>
            </w:r>
          </w:p>
        </w:tc>
        <w:tc>
          <w:tcPr>
            <w:tcW w:w="2415" w:type="dxa"/>
            <w:tcBorders>
              <w:top w:val="single" w:color="000000" w:themeColor="text1" w:sz="4" w:space="0"/>
              <w:left w:val="single" w:color="000000" w:themeColor="text1" w:sz="4" w:space="0"/>
              <w:bottom w:val="single" w:color="000000" w:themeColor="text1" w:sz="12" w:space="0"/>
              <w:right w:val="single" w:color="000000" w:themeColor="text1" w:sz="12" w:space="0"/>
            </w:tcBorders>
            <w:vAlign w:val="center"/>
          </w:tcPr>
          <w:p w14:paraId="5B9E26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p>
        </w:tc>
      </w:tr>
    </w:tbl>
    <w:p w14:paraId="17595E81">
      <w:pPr>
        <w:spacing w:after="0" w:line="360" w:lineRule="auto"/>
        <w:ind w:firstLine="210" w:firstLineChars="100"/>
        <w:rPr>
          <w:rFonts w:hint="eastAsia" w:ascii="宋体" w:hAnsi="宋体" w:eastAsia="宋体" w:cs="宋体"/>
          <w:bCs/>
          <w:szCs w:val="21"/>
        </w:rPr>
      </w:pPr>
      <w:r>
        <w:rPr>
          <w:rFonts w:hint="eastAsia" w:ascii="宋体" w:hAnsi="宋体" w:eastAsia="宋体" w:cs="宋体"/>
          <w:bCs/>
          <w:szCs w:val="21"/>
        </w:rPr>
        <w:t>评估项目</w:t>
      </w:r>
    </w:p>
    <w:tbl>
      <w:tblPr>
        <w:tblStyle w:val="13"/>
        <w:tblW w:w="8864" w:type="dxa"/>
        <w:tblInd w:w="27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1855"/>
        <w:gridCol w:w="2140"/>
        <w:gridCol w:w="2015"/>
      </w:tblGrid>
      <w:tr w14:paraId="79137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5A8B2AE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指标</w:t>
            </w:r>
          </w:p>
        </w:tc>
        <w:tc>
          <w:tcPr>
            <w:tcW w:w="1855" w:type="dxa"/>
            <w:tcBorders>
              <w:tl2br w:val="nil"/>
              <w:tr2bl w:val="nil"/>
            </w:tcBorders>
            <w:vAlign w:val="center"/>
          </w:tcPr>
          <w:p w14:paraId="27F9573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A级</w:t>
            </w:r>
          </w:p>
        </w:tc>
        <w:tc>
          <w:tcPr>
            <w:tcW w:w="2140" w:type="dxa"/>
            <w:tcBorders>
              <w:tl2br w:val="nil"/>
              <w:tr2bl w:val="nil"/>
            </w:tcBorders>
            <w:vAlign w:val="center"/>
          </w:tcPr>
          <w:p w14:paraId="239423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B级</w:t>
            </w:r>
          </w:p>
        </w:tc>
        <w:tc>
          <w:tcPr>
            <w:tcW w:w="2015" w:type="dxa"/>
            <w:tcBorders>
              <w:tl2br w:val="nil"/>
              <w:tr2bl w:val="nil"/>
            </w:tcBorders>
            <w:vAlign w:val="center"/>
          </w:tcPr>
          <w:p w14:paraId="0517B1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C级</w:t>
            </w:r>
          </w:p>
        </w:tc>
      </w:tr>
      <w:tr w14:paraId="225C4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79FFB9D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近期（2周）体重改变</w:t>
            </w:r>
          </w:p>
        </w:tc>
        <w:tc>
          <w:tcPr>
            <w:tcW w:w="1855" w:type="dxa"/>
            <w:tcBorders>
              <w:tl2br w:val="nil"/>
              <w:tr2bl w:val="nil"/>
            </w:tcBorders>
            <w:vAlign w:val="center"/>
          </w:tcPr>
          <w:p w14:paraId="6289B7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无或升高</w:t>
            </w:r>
          </w:p>
        </w:tc>
        <w:tc>
          <w:tcPr>
            <w:tcW w:w="2140" w:type="dxa"/>
            <w:tcBorders>
              <w:tl2br w:val="nil"/>
              <w:tr2bl w:val="nil"/>
            </w:tcBorders>
            <w:vAlign w:val="center"/>
          </w:tcPr>
          <w:p w14:paraId="5856C1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减少&lt;5%</w:t>
            </w:r>
          </w:p>
        </w:tc>
        <w:tc>
          <w:tcPr>
            <w:tcW w:w="2015" w:type="dxa"/>
            <w:tcBorders>
              <w:tl2br w:val="nil"/>
              <w:tr2bl w:val="nil"/>
            </w:tcBorders>
            <w:vAlign w:val="center"/>
          </w:tcPr>
          <w:p w14:paraId="133CE6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减少&gt;5%</w:t>
            </w:r>
          </w:p>
        </w:tc>
      </w:tr>
      <w:tr w14:paraId="1F3A0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4970337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饮食改变</w:t>
            </w:r>
          </w:p>
        </w:tc>
        <w:tc>
          <w:tcPr>
            <w:tcW w:w="1855" w:type="dxa"/>
            <w:tcBorders>
              <w:tl2br w:val="nil"/>
              <w:tr2bl w:val="nil"/>
            </w:tcBorders>
            <w:vAlign w:val="center"/>
          </w:tcPr>
          <w:p w14:paraId="707245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2140" w:type="dxa"/>
            <w:tcBorders>
              <w:tl2br w:val="nil"/>
              <w:tr2bl w:val="nil"/>
            </w:tcBorders>
            <w:vAlign w:val="center"/>
          </w:tcPr>
          <w:p w14:paraId="6AE8C1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减少</w:t>
            </w:r>
          </w:p>
        </w:tc>
        <w:tc>
          <w:tcPr>
            <w:tcW w:w="2015" w:type="dxa"/>
            <w:tcBorders>
              <w:tl2br w:val="nil"/>
              <w:tr2bl w:val="nil"/>
            </w:tcBorders>
            <w:vAlign w:val="center"/>
          </w:tcPr>
          <w:p w14:paraId="7E4459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不进食或低热量流食</w:t>
            </w:r>
          </w:p>
        </w:tc>
      </w:tr>
      <w:tr w14:paraId="4F71E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11698D6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胃肠道症状（持续2周）</w:t>
            </w:r>
          </w:p>
        </w:tc>
        <w:tc>
          <w:tcPr>
            <w:tcW w:w="1855" w:type="dxa"/>
            <w:tcBorders>
              <w:tl2br w:val="nil"/>
              <w:tr2bl w:val="nil"/>
            </w:tcBorders>
            <w:vAlign w:val="center"/>
          </w:tcPr>
          <w:p w14:paraId="1961B9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无或食欲不减</w:t>
            </w:r>
          </w:p>
        </w:tc>
        <w:tc>
          <w:tcPr>
            <w:tcW w:w="2140" w:type="dxa"/>
            <w:tcBorders>
              <w:tl2br w:val="nil"/>
              <w:tr2bl w:val="nil"/>
            </w:tcBorders>
            <w:vAlign w:val="center"/>
          </w:tcPr>
          <w:p w14:paraId="552869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轻微恶心呕吐</w:t>
            </w:r>
          </w:p>
        </w:tc>
        <w:tc>
          <w:tcPr>
            <w:tcW w:w="2015" w:type="dxa"/>
            <w:tcBorders>
              <w:tl2br w:val="nil"/>
              <w:tr2bl w:val="nil"/>
            </w:tcBorders>
            <w:vAlign w:val="center"/>
          </w:tcPr>
          <w:p w14:paraId="0A5DE6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严重恶心呕吐</w:t>
            </w:r>
          </w:p>
        </w:tc>
      </w:tr>
      <w:tr w14:paraId="67DCF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6000734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活动能力改变</w:t>
            </w:r>
          </w:p>
        </w:tc>
        <w:tc>
          <w:tcPr>
            <w:tcW w:w="1855" w:type="dxa"/>
            <w:tcBorders>
              <w:tl2br w:val="nil"/>
              <w:tr2bl w:val="nil"/>
            </w:tcBorders>
            <w:vAlign w:val="center"/>
          </w:tcPr>
          <w:p w14:paraId="0C526B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无减退</w:t>
            </w:r>
          </w:p>
        </w:tc>
        <w:tc>
          <w:tcPr>
            <w:tcW w:w="2140" w:type="dxa"/>
            <w:tcBorders>
              <w:tl2br w:val="nil"/>
              <w:tr2bl w:val="nil"/>
            </w:tcBorders>
            <w:vAlign w:val="center"/>
          </w:tcPr>
          <w:p w14:paraId="50E703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能下床活动</w:t>
            </w:r>
          </w:p>
        </w:tc>
        <w:tc>
          <w:tcPr>
            <w:tcW w:w="2015" w:type="dxa"/>
            <w:tcBorders>
              <w:tl2br w:val="nil"/>
              <w:tr2bl w:val="nil"/>
            </w:tcBorders>
            <w:vAlign w:val="center"/>
          </w:tcPr>
          <w:p w14:paraId="498AAB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卧床</w:t>
            </w:r>
          </w:p>
        </w:tc>
      </w:tr>
      <w:tr w14:paraId="3D918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22E31C2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应激反应</w:t>
            </w:r>
          </w:p>
        </w:tc>
        <w:tc>
          <w:tcPr>
            <w:tcW w:w="1855" w:type="dxa"/>
            <w:tcBorders>
              <w:tl2br w:val="nil"/>
              <w:tr2bl w:val="nil"/>
            </w:tcBorders>
            <w:vAlign w:val="center"/>
          </w:tcPr>
          <w:p w14:paraId="7DBB04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无或轻微</w:t>
            </w:r>
          </w:p>
        </w:tc>
        <w:tc>
          <w:tcPr>
            <w:tcW w:w="2140" w:type="dxa"/>
            <w:tcBorders>
              <w:tl2br w:val="nil"/>
              <w:tr2bl w:val="nil"/>
            </w:tcBorders>
            <w:vAlign w:val="center"/>
          </w:tcPr>
          <w:p w14:paraId="0AA81B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中度</w:t>
            </w:r>
          </w:p>
        </w:tc>
        <w:tc>
          <w:tcPr>
            <w:tcW w:w="2015" w:type="dxa"/>
            <w:tcBorders>
              <w:tl2br w:val="nil"/>
              <w:tr2bl w:val="nil"/>
            </w:tcBorders>
            <w:vAlign w:val="center"/>
          </w:tcPr>
          <w:p w14:paraId="6E408D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重度</w:t>
            </w:r>
          </w:p>
        </w:tc>
      </w:tr>
      <w:tr w14:paraId="3419A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12A3862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肌肉消耗</w:t>
            </w:r>
          </w:p>
        </w:tc>
        <w:tc>
          <w:tcPr>
            <w:tcW w:w="1855" w:type="dxa"/>
            <w:tcBorders>
              <w:tl2br w:val="nil"/>
              <w:tr2bl w:val="nil"/>
            </w:tcBorders>
            <w:vAlign w:val="center"/>
          </w:tcPr>
          <w:p w14:paraId="265F4F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2140" w:type="dxa"/>
            <w:tcBorders>
              <w:tl2br w:val="nil"/>
              <w:tr2bl w:val="nil"/>
            </w:tcBorders>
            <w:vAlign w:val="center"/>
          </w:tcPr>
          <w:p w14:paraId="317601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轻度</w:t>
            </w:r>
          </w:p>
        </w:tc>
        <w:tc>
          <w:tcPr>
            <w:tcW w:w="2015" w:type="dxa"/>
            <w:tcBorders>
              <w:tl2br w:val="nil"/>
              <w:tr2bl w:val="nil"/>
            </w:tcBorders>
            <w:vAlign w:val="center"/>
          </w:tcPr>
          <w:p w14:paraId="1718F91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重度</w:t>
            </w:r>
          </w:p>
        </w:tc>
      </w:tr>
      <w:tr w14:paraId="5E80D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tl2br w:val="nil"/>
              <w:tr2bl w:val="nil"/>
            </w:tcBorders>
            <w:vAlign w:val="center"/>
          </w:tcPr>
          <w:p w14:paraId="56A1664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肱三头肌皮褶厚度</w:t>
            </w:r>
          </w:p>
        </w:tc>
        <w:tc>
          <w:tcPr>
            <w:tcW w:w="1855" w:type="dxa"/>
            <w:tcBorders>
              <w:tl2br w:val="nil"/>
              <w:tr2bl w:val="nil"/>
            </w:tcBorders>
            <w:vAlign w:val="center"/>
          </w:tcPr>
          <w:p w14:paraId="08DD54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正常</w:t>
            </w:r>
          </w:p>
        </w:tc>
        <w:tc>
          <w:tcPr>
            <w:tcW w:w="2140" w:type="dxa"/>
            <w:tcBorders>
              <w:tl2br w:val="nil"/>
              <w:tr2bl w:val="nil"/>
            </w:tcBorders>
            <w:vAlign w:val="center"/>
          </w:tcPr>
          <w:p w14:paraId="2E1035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轻度减少</w:t>
            </w:r>
          </w:p>
        </w:tc>
        <w:tc>
          <w:tcPr>
            <w:tcW w:w="2015" w:type="dxa"/>
            <w:tcBorders>
              <w:tl2br w:val="nil"/>
              <w:tr2bl w:val="nil"/>
            </w:tcBorders>
            <w:vAlign w:val="center"/>
          </w:tcPr>
          <w:p w14:paraId="3EF1D4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重度减少</w:t>
            </w:r>
          </w:p>
        </w:tc>
      </w:tr>
      <w:tr w14:paraId="1F9A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54" w:type="dxa"/>
            <w:tcBorders>
              <w:bottom w:val="single" w:color="000000" w:themeColor="text1" w:sz="12" w:space="0"/>
              <w:tl2br w:val="nil"/>
              <w:tr2bl w:val="nil"/>
            </w:tcBorders>
            <w:vAlign w:val="center"/>
          </w:tcPr>
          <w:p w14:paraId="0EFB589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踝部水肿</w:t>
            </w:r>
          </w:p>
        </w:tc>
        <w:tc>
          <w:tcPr>
            <w:tcW w:w="1855" w:type="dxa"/>
            <w:tcBorders>
              <w:bottom w:val="single" w:color="000000" w:themeColor="text1" w:sz="12" w:space="0"/>
              <w:tl2br w:val="nil"/>
              <w:tr2bl w:val="nil"/>
            </w:tcBorders>
            <w:vAlign w:val="center"/>
          </w:tcPr>
          <w:p w14:paraId="5B8268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2140" w:type="dxa"/>
            <w:tcBorders>
              <w:bottom w:val="single" w:color="000000" w:themeColor="text1" w:sz="12" w:space="0"/>
              <w:tl2br w:val="nil"/>
              <w:tr2bl w:val="nil"/>
            </w:tcBorders>
            <w:vAlign w:val="center"/>
          </w:tcPr>
          <w:p w14:paraId="34E75A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轻度</w:t>
            </w:r>
          </w:p>
        </w:tc>
        <w:tc>
          <w:tcPr>
            <w:tcW w:w="2015" w:type="dxa"/>
            <w:tcBorders>
              <w:bottom w:val="single" w:color="000000" w:themeColor="text1" w:sz="12" w:space="0"/>
              <w:tl2br w:val="nil"/>
              <w:tr2bl w:val="nil"/>
            </w:tcBorders>
            <w:vAlign w:val="center"/>
          </w:tcPr>
          <w:p w14:paraId="2A8085D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重度</w:t>
            </w:r>
          </w:p>
        </w:tc>
      </w:tr>
      <w:tr w14:paraId="505F7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864"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14:paraId="3BEEBA0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至少5项为B级或C级的患者分别诊断为中度或重度营养不良。</w:t>
            </w:r>
          </w:p>
        </w:tc>
      </w:tr>
    </w:tbl>
    <w:p w14:paraId="1E59F808">
      <w:pPr>
        <w:spacing w:after="0" w:line="360" w:lineRule="auto"/>
        <w:jc w:val="both"/>
        <w:rPr>
          <w:rFonts w:ascii="Times New Roman" w:hAnsi="Times New Roman" w:eastAsia="宋体" w:cs="Times New Roman"/>
          <w:sz w:val="21"/>
          <w:szCs w:val="21"/>
        </w:rPr>
      </w:pPr>
    </w:p>
    <w:p w14:paraId="5A103B47">
      <w:pP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br w:type="page"/>
      </w:r>
    </w:p>
    <w:p w14:paraId="16600C48">
      <w:pPr>
        <w:jc w:val="center"/>
        <w:outlineLvl w:val="0"/>
        <w:rPr>
          <w:rFonts w:hint="eastAsia" w:ascii="Times New Roman" w:hAnsi="Times New Roman" w:eastAsia="黑体" w:cs="Times New Roman"/>
          <w:bCs/>
          <w:szCs w:val="21"/>
          <w:lang w:eastAsia="zh-CN"/>
        </w:rPr>
      </w:pPr>
      <w:bookmarkStart w:id="52" w:name="_Toc7617"/>
      <w:r>
        <w:rPr>
          <w:rFonts w:ascii="Times New Roman" w:hAnsi="Times New Roman" w:eastAsia="黑体" w:cs="Times New Roman"/>
          <w:bCs/>
          <w:szCs w:val="21"/>
        </w:rPr>
        <w:t>附</w:t>
      </w:r>
      <w:r>
        <w:rPr>
          <w:rFonts w:hint="eastAsia" w:ascii="Times New Roman" w:hAnsi="Times New Roman" w:eastAsia="黑体" w:cs="Times New Roman"/>
          <w:bCs/>
          <w:szCs w:val="21"/>
          <w:lang w:val="en-US" w:eastAsia="zh-CN"/>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
          <w:bCs w:val="0"/>
          <w:szCs w:val="21"/>
          <w:lang w:val="en-US" w:eastAsia="zh-CN"/>
        </w:rPr>
        <w:t>C</w:t>
      </w:r>
      <w:bookmarkEnd w:id="52"/>
    </w:p>
    <w:p w14:paraId="038C0997">
      <w:pPr>
        <w:jc w:val="center"/>
        <w:outlineLvl w:val="0"/>
        <w:rPr>
          <w:rFonts w:hint="eastAsia" w:ascii="Times New Roman" w:hAnsi="Times New Roman" w:eastAsia="黑体" w:cs="Times New Roman"/>
          <w:bCs/>
          <w:szCs w:val="21"/>
          <w:lang w:eastAsia="zh-CN"/>
        </w:rPr>
      </w:pPr>
      <w:bookmarkStart w:id="53" w:name="_Toc10889"/>
      <w:bookmarkStart w:id="54" w:name="_Toc2181"/>
      <w:r>
        <w:rPr>
          <w:rFonts w:hint="eastAsia" w:ascii="Times New Roman" w:hAnsi="Times New Roman" w:eastAsia="黑体" w:cs="Times New Roman"/>
          <w:bCs/>
          <w:szCs w:val="21"/>
          <w:lang w:eastAsia="zh-CN"/>
        </w:rPr>
        <w:t>（）</w:t>
      </w:r>
      <w:bookmarkEnd w:id="53"/>
      <w:bookmarkEnd w:id="54"/>
    </w:p>
    <w:p w14:paraId="5584AC76">
      <w:pPr>
        <w:keepNext w:val="0"/>
        <w:keepLines w:val="0"/>
        <w:pageBreakBefore w:val="0"/>
        <w:widowControl w:val="0"/>
        <w:kinsoku/>
        <w:wordWrap/>
        <w:overflowPunct/>
        <w:topLinePunct w:val="0"/>
        <w:autoSpaceDE/>
        <w:autoSpaceDN/>
        <w:bidi w:val="0"/>
        <w:adjustRightInd/>
        <w:snapToGrid/>
        <w:spacing w:before="157" w:beforeLines="50" w:after="0" w:afterLines="50"/>
        <w:jc w:val="center"/>
        <w:textAlignment w:val="auto"/>
        <w:rPr>
          <w:rFonts w:hint="eastAsia" w:ascii="Times New Roman" w:hAnsi="Times New Roman" w:eastAsia="黑体" w:cs="Times New Roman"/>
          <w:b w:val="0"/>
          <w:bCs/>
          <w:szCs w:val="21"/>
        </w:rPr>
      </w:pPr>
      <w:r>
        <w:rPr>
          <w:rFonts w:hint="default" w:ascii="Times New Roman" w:hAnsi="Times New Roman" w:eastAsia="黑体" w:cs="Times New Roman"/>
          <w:bCs/>
          <w:szCs w:val="21"/>
        </w:rPr>
        <w:t>表</w:t>
      </w:r>
      <w:r>
        <w:rPr>
          <w:rFonts w:hint="eastAsia" w:ascii="Times New Roman" w:hAnsi="Times New Roman" w:eastAsia="黑体" w:cs="Times New Roman"/>
          <w:b w:val="0"/>
          <w:bCs/>
          <w:szCs w:val="21"/>
          <w:lang w:val="en-US" w:eastAsia="zh-CN"/>
        </w:rPr>
        <w:t xml:space="preserve">C.1  </w:t>
      </w:r>
      <w:r>
        <w:rPr>
          <w:rFonts w:hint="eastAsia" w:ascii="Times New Roman" w:hAnsi="Times New Roman" w:eastAsia="黑体" w:cs="Times New Roman"/>
          <w:b w:val="0"/>
          <w:bCs/>
          <w:szCs w:val="21"/>
        </w:rPr>
        <w:t>GLIM营养不良诊断标准（Global Leadership Initiative on Malnutrition Criteria)</w:t>
      </w:r>
    </w:p>
    <w:tbl>
      <w:tblPr>
        <w:tblStyle w:val="48"/>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962"/>
        <w:gridCol w:w="1275"/>
        <w:gridCol w:w="1289"/>
      </w:tblGrid>
      <w:tr w14:paraId="7BE8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658" w:type="dxa"/>
            <w:gridSpan w:val="2"/>
            <w:tcBorders>
              <w:top w:val="single" w:color="auto" w:sz="12" w:space="0"/>
              <w:left w:val="single" w:color="auto" w:sz="12" w:space="0"/>
              <w:bottom w:val="single" w:color="auto" w:sz="12" w:space="0"/>
            </w:tcBorders>
            <w:vAlign w:val="center"/>
          </w:tcPr>
          <w:p w14:paraId="6B53F1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表现型指标</w:t>
            </w:r>
          </w:p>
        </w:tc>
        <w:tc>
          <w:tcPr>
            <w:tcW w:w="1275" w:type="dxa"/>
            <w:tcBorders>
              <w:top w:val="single" w:color="auto" w:sz="12" w:space="0"/>
              <w:bottom w:val="single" w:color="auto" w:sz="12" w:space="0"/>
            </w:tcBorders>
            <w:vAlign w:val="center"/>
          </w:tcPr>
          <w:p w14:paraId="0E5FFD0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c>
          <w:tcPr>
            <w:tcW w:w="1289" w:type="dxa"/>
            <w:tcBorders>
              <w:top w:val="single" w:color="auto" w:sz="12" w:space="0"/>
              <w:bottom w:val="single" w:color="auto" w:sz="12" w:space="0"/>
              <w:right w:val="single" w:color="auto" w:sz="12" w:space="0"/>
            </w:tcBorders>
            <w:vAlign w:val="center"/>
          </w:tcPr>
          <w:p w14:paraId="137B4A9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4B4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96" w:type="dxa"/>
            <w:tcBorders>
              <w:top w:val="single" w:color="auto" w:sz="12" w:space="0"/>
              <w:left w:val="single" w:color="auto" w:sz="12" w:space="0"/>
            </w:tcBorders>
            <w:vAlign w:val="center"/>
          </w:tcPr>
          <w:p w14:paraId="1CAABF1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体重减轻</w:t>
            </w:r>
          </w:p>
        </w:tc>
        <w:tc>
          <w:tcPr>
            <w:tcW w:w="4962" w:type="dxa"/>
            <w:tcBorders>
              <w:top w:val="single" w:color="auto" w:sz="12" w:space="0"/>
            </w:tcBorders>
            <w:vAlign w:val="center"/>
          </w:tcPr>
          <w:p w14:paraId="5D70E5F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过去6个月以内体重减轻&gt;5%</w:t>
            </w:r>
          </w:p>
          <w:p w14:paraId="4F31FE3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或过去6个月以上体重减轻&gt;10%</w:t>
            </w:r>
          </w:p>
        </w:tc>
        <w:tc>
          <w:tcPr>
            <w:tcW w:w="1275" w:type="dxa"/>
            <w:tcBorders>
              <w:top w:val="single" w:color="auto" w:sz="12" w:space="0"/>
            </w:tcBorders>
            <w:vAlign w:val="center"/>
          </w:tcPr>
          <w:p w14:paraId="4BF1FEC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1289" w:type="dxa"/>
            <w:tcBorders>
              <w:top w:val="single" w:color="auto" w:sz="12" w:space="0"/>
              <w:right w:val="single" w:color="auto" w:sz="12" w:space="0"/>
            </w:tcBorders>
            <w:vAlign w:val="center"/>
          </w:tcPr>
          <w:p w14:paraId="1DC936F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2FB9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tcBorders>
              <w:left w:val="single" w:color="auto" w:sz="12" w:space="0"/>
            </w:tcBorders>
            <w:vAlign w:val="center"/>
          </w:tcPr>
          <w:p w14:paraId="014DDF9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低BMI</w:t>
            </w:r>
          </w:p>
        </w:tc>
        <w:tc>
          <w:tcPr>
            <w:tcW w:w="4962" w:type="dxa"/>
            <w:vAlign w:val="center"/>
          </w:tcPr>
          <w:p w14:paraId="2387A54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70岁以下者，&lt; 18.5 kg/m2</w:t>
            </w:r>
          </w:p>
          <w:p w14:paraId="25DBA30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 ≥70岁者，&lt; 20 kg/m2</w:t>
            </w:r>
          </w:p>
        </w:tc>
        <w:tc>
          <w:tcPr>
            <w:tcW w:w="1275" w:type="dxa"/>
            <w:vAlign w:val="center"/>
          </w:tcPr>
          <w:p w14:paraId="760B196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1289" w:type="dxa"/>
            <w:tcBorders>
              <w:right w:val="single" w:color="auto" w:sz="12" w:space="0"/>
            </w:tcBorders>
            <w:vAlign w:val="center"/>
          </w:tcPr>
          <w:p w14:paraId="22DA674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11C6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96" w:type="dxa"/>
            <w:tcBorders>
              <w:left w:val="single" w:color="auto" w:sz="12" w:space="0"/>
              <w:bottom w:val="single" w:color="auto" w:sz="12" w:space="0"/>
            </w:tcBorders>
            <w:vAlign w:val="center"/>
          </w:tcPr>
          <w:p w14:paraId="7043907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肌肉减少*</w:t>
            </w:r>
          </w:p>
        </w:tc>
        <w:tc>
          <w:tcPr>
            <w:tcW w:w="4962" w:type="dxa"/>
            <w:tcBorders>
              <w:bottom w:val="single" w:color="auto" w:sz="12" w:space="0"/>
            </w:tcBorders>
            <w:vAlign w:val="center"/>
          </w:tcPr>
          <w:p w14:paraId="6B09984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上臂围度（MUAC）&lt; 12.5 cm</w:t>
            </w:r>
          </w:p>
          <w:p w14:paraId="6A2358B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或基于CT-L3的SMI：M≤52.4 cm2/m2, F≤38.5</w:t>
            </w:r>
          </w:p>
        </w:tc>
        <w:tc>
          <w:tcPr>
            <w:tcW w:w="2564" w:type="dxa"/>
            <w:gridSpan w:val="2"/>
            <w:tcBorders>
              <w:bottom w:val="single" w:color="auto" w:sz="12" w:space="0"/>
              <w:right w:val="single" w:color="auto" w:sz="12" w:space="0"/>
            </w:tcBorders>
            <w:vAlign w:val="center"/>
          </w:tcPr>
          <w:p w14:paraId="690F79F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腹部CT：有□ 无□</w:t>
            </w:r>
          </w:p>
        </w:tc>
      </w:tr>
      <w:tr w14:paraId="2441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222" w:type="dxa"/>
            <w:gridSpan w:val="4"/>
            <w:tcBorders>
              <w:top w:val="single" w:color="auto" w:sz="12" w:space="0"/>
              <w:left w:val="single" w:color="auto" w:sz="12" w:space="0"/>
              <w:bottom w:val="single" w:color="auto" w:sz="12" w:space="0"/>
              <w:right w:val="single" w:color="auto" w:sz="12" w:space="0"/>
            </w:tcBorders>
            <w:vAlign w:val="center"/>
          </w:tcPr>
          <w:p w14:paraId="2F533464">
            <w:pPr>
              <w:tabs>
                <w:tab w:val="left" w:pos="1365"/>
              </w:tabs>
              <w:spacing w:after="0" w:line="360" w:lineRule="auto"/>
              <w:rPr>
                <w:rFonts w:hint="default" w:ascii="Times New Roman" w:hAnsi="Times New Roman" w:eastAsia="宋体" w:cs="Times New Roman"/>
                <w:sz w:val="18"/>
                <w:szCs w:val="18"/>
              </w:rPr>
            </w:pPr>
            <w:r>
              <w:rPr>
                <w:rFonts w:hint="eastAsia" w:ascii="黑体" w:hAnsi="黑体" w:eastAsia="黑体" w:cs="黑体"/>
                <w:sz w:val="18"/>
                <w:szCs w:val="18"/>
              </w:rPr>
              <w:t>注：</w:t>
            </w:r>
            <w:r>
              <w:rPr>
                <w:rFonts w:hint="default" w:ascii="Times New Roman" w:hAnsi="Times New Roman" w:eastAsia="宋体" w:cs="Times New Roman"/>
                <w:sz w:val="18"/>
                <w:szCs w:val="18"/>
              </w:rPr>
              <w:t>目前国内缺乏基于DEXA或BIA等方法建立的FFMI参考值范围，可使用人体测量学指标或CT测量L3骨骼肌面积等指标替代。</w:t>
            </w:r>
          </w:p>
        </w:tc>
      </w:tr>
    </w:tbl>
    <w:p w14:paraId="1AC8C952">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ascii="Times New Roman" w:hAnsi="Times New Roman" w:eastAsia="楷体" w:cs="Times New Roman"/>
          <w:sz w:val="21"/>
          <w:szCs w:val="21"/>
        </w:rPr>
      </w:pPr>
      <w:r>
        <w:rPr>
          <w:rFonts w:hint="default" w:ascii="Times New Roman" w:hAnsi="Times New Roman" w:eastAsia="黑体" w:cs="Times New Roman"/>
          <w:bCs/>
          <w:szCs w:val="21"/>
        </w:rPr>
        <w:t>表</w:t>
      </w:r>
      <w:r>
        <w:rPr>
          <w:rFonts w:hint="eastAsia" w:ascii="Times New Roman" w:hAnsi="Times New Roman" w:eastAsia="黑体" w:cs="Times New Roman"/>
          <w:b w:val="0"/>
          <w:bCs/>
          <w:szCs w:val="21"/>
          <w:lang w:val="en-US" w:eastAsia="zh-CN"/>
        </w:rPr>
        <w:t>C.2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6995"/>
        <w:gridCol w:w="582"/>
        <w:gridCol w:w="582"/>
      </w:tblGrid>
      <w:tr w14:paraId="5C29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55" w:type="dxa"/>
            <w:gridSpan w:val="2"/>
            <w:tcBorders>
              <w:top w:val="single" w:color="000000" w:themeColor="text1" w:sz="12" w:space="0"/>
              <w:left w:val="single" w:color="000000" w:themeColor="text1" w:sz="12" w:space="0"/>
              <w:bottom w:val="single" w:color="000000" w:themeColor="text1" w:sz="12" w:space="0"/>
              <w:right w:val="single" w:color="000000" w:themeColor="text1" w:sz="4" w:space="0"/>
            </w:tcBorders>
            <w:vAlign w:val="center"/>
          </w:tcPr>
          <w:p w14:paraId="4736D75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病因型指标</w:t>
            </w:r>
          </w:p>
        </w:tc>
        <w:tc>
          <w:tcPr>
            <w:tcW w:w="582" w:type="dxa"/>
            <w:tcBorders>
              <w:top w:val="single" w:color="000000" w:themeColor="text1" w:sz="12" w:space="0"/>
              <w:left w:val="single" w:color="000000" w:themeColor="text1" w:sz="4" w:space="0"/>
              <w:bottom w:val="single" w:color="000000" w:themeColor="text1" w:sz="12" w:space="0"/>
              <w:right w:val="single" w:color="000000" w:themeColor="text1" w:sz="4" w:space="0"/>
            </w:tcBorders>
          </w:tcPr>
          <w:p w14:paraId="1DF0E87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c>
          <w:tcPr>
            <w:tcW w:w="582" w:type="dxa"/>
            <w:tcBorders>
              <w:top w:val="single" w:color="000000" w:themeColor="text1" w:sz="12" w:space="0"/>
              <w:left w:val="single" w:color="000000" w:themeColor="text1" w:sz="4" w:space="0"/>
              <w:bottom w:val="single" w:color="000000" w:themeColor="text1" w:sz="12" w:space="0"/>
              <w:right w:val="single" w:color="000000" w:themeColor="text1" w:sz="12" w:space="0"/>
            </w:tcBorders>
          </w:tcPr>
          <w:p w14:paraId="3E1239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399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60" w:type="dxa"/>
            <w:vMerge w:val="restart"/>
            <w:tcBorders>
              <w:top w:val="single" w:color="000000" w:themeColor="text1" w:sz="12" w:space="0"/>
              <w:left w:val="single" w:color="000000" w:themeColor="text1" w:sz="12" w:space="0"/>
              <w:bottom w:val="single" w:color="000000" w:themeColor="text1" w:sz="4" w:space="0"/>
              <w:right w:val="single" w:color="000000" w:themeColor="text1" w:sz="4" w:space="0"/>
            </w:tcBorders>
            <w:vAlign w:val="center"/>
          </w:tcPr>
          <w:p w14:paraId="3692AD1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饮食摄入或</w:t>
            </w:r>
          </w:p>
          <w:p w14:paraId="34063D2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吸收减少</w:t>
            </w:r>
          </w:p>
        </w:tc>
        <w:tc>
          <w:tcPr>
            <w:tcW w:w="6995"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6E64715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（1）能量摄入≤50%需求量持续&gt;1周， </w:t>
            </w:r>
          </w:p>
        </w:tc>
        <w:tc>
          <w:tcPr>
            <w:tcW w:w="582" w:type="dxa"/>
            <w:tcBorders>
              <w:top w:val="single" w:color="000000" w:themeColor="text1" w:sz="12" w:space="0"/>
              <w:left w:val="single" w:color="000000" w:themeColor="text1" w:sz="4" w:space="0"/>
              <w:bottom w:val="single" w:color="000000" w:themeColor="text1" w:sz="4" w:space="0"/>
              <w:right w:val="single" w:color="000000" w:themeColor="text1" w:sz="4" w:space="0"/>
            </w:tcBorders>
          </w:tcPr>
          <w:p w14:paraId="1E5DA3C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582" w:type="dxa"/>
            <w:tcBorders>
              <w:top w:val="single" w:color="000000" w:themeColor="text1" w:sz="12" w:space="0"/>
              <w:left w:val="single" w:color="000000" w:themeColor="text1" w:sz="4" w:space="0"/>
              <w:bottom w:val="single" w:color="000000" w:themeColor="text1" w:sz="4" w:space="0"/>
              <w:right w:val="single" w:color="000000" w:themeColor="text1" w:sz="12" w:space="0"/>
            </w:tcBorders>
          </w:tcPr>
          <w:p w14:paraId="095FC19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264A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60" w:type="dxa"/>
            <w:vMerge w:val="continue"/>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6426B30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69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AFABC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或（2）持续减少&gt;2周，</w:t>
            </w: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5DB1A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14:paraId="6E7554F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5B9B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60" w:type="dxa"/>
            <w:vMerge w:val="continue"/>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13603E6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69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46A9D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或（3）任何导致消化、吸收障碍慢性胃肠病症，如：</w:t>
            </w:r>
          </w:p>
          <w:p w14:paraId="27EF892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吞咽困难□恶心□呕吐□腹泻□便秘□腹痛□（程度/频率/持续时间）</w:t>
            </w:r>
          </w:p>
          <w:p w14:paraId="2B6E9A5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短肠综合征□ 胰腺功能不全□ 减重术后□ </w:t>
            </w:r>
          </w:p>
          <w:p w14:paraId="4D23629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食管狭窄□ 胃排空障碍□ 肠梗阻□ 脂肪泻□ 造口大量排液□</w:t>
            </w: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89AE5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14:paraId="79F232F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2F2F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60" w:type="dxa"/>
            <w:vMerge w:val="restart"/>
            <w:tcBorders>
              <w:top w:val="single" w:color="000000" w:themeColor="text1" w:sz="4" w:space="0"/>
              <w:left w:val="single" w:color="000000" w:themeColor="text1" w:sz="12" w:space="0"/>
              <w:bottom w:val="single" w:color="000000" w:themeColor="text1" w:sz="4" w:space="0"/>
              <w:right w:val="single" w:color="000000" w:themeColor="text1" w:sz="4" w:space="0"/>
            </w:tcBorders>
            <w:vAlign w:val="center"/>
          </w:tcPr>
          <w:p w14:paraId="6B8CBE2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炎症状态</w:t>
            </w:r>
          </w:p>
        </w:tc>
        <w:tc>
          <w:tcPr>
            <w:tcW w:w="69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687FD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（1）急性疾病或损伤，如：严重感染□ 烧伤□ 创伤□ 颅脑闭合伤□</w:t>
            </w: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FD3DA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14:paraId="3E326A9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5858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60" w:type="dxa"/>
            <w:vMerge w:val="continue"/>
            <w:tcBorders>
              <w:top w:val="single" w:color="000000" w:themeColor="text1" w:sz="4" w:space="0"/>
              <w:left w:val="single" w:color="000000" w:themeColor="text1" w:sz="12" w:space="0"/>
              <w:bottom w:val="single" w:color="000000" w:themeColor="text1" w:sz="4" w:space="0"/>
              <w:right w:val="single" w:color="000000" w:themeColor="text1" w:sz="4" w:space="0"/>
            </w:tcBorders>
          </w:tcPr>
          <w:p w14:paraId="568C6B9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69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0850D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或（2）慢性疾病相关，如：恶性肿瘤□ COPD□ 充血性心衰□ </w:t>
            </w:r>
          </w:p>
          <w:p w14:paraId="2E12A29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慢性肾病□ 慢性肝病□ 类风湿性关节炎□</w:t>
            </w: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F4948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582"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14:paraId="10F3142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641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160" w:type="dxa"/>
            <w:vMerge w:val="continue"/>
            <w:tcBorders>
              <w:top w:val="single" w:color="000000" w:themeColor="text1" w:sz="4" w:space="0"/>
              <w:left w:val="single" w:color="000000" w:themeColor="text1" w:sz="12" w:space="0"/>
              <w:bottom w:val="single" w:color="000000" w:themeColor="text1" w:sz="12" w:space="0"/>
              <w:right w:val="single" w:color="000000" w:themeColor="text1" w:sz="4" w:space="0"/>
            </w:tcBorders>
          </w:tcPr>
          <w:p w14:paraId="64CEDFD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8159" w:type="dxa"/>
            <w:gridSpan w:val="3"/>
            <w:tcBorders>
              <w:top w:val="single" w:color="000000" w:themeColor="text1" w:sz="4" w:space="0"/>
              <w:left w:val="single" w:color="000000" w:themeColor="text1" w:sz="4" w:space="0"/>
              <w:bottom w:val="single" w:color="000000" w:themeColor="text1" w:sz="12" w:space="0"/>
              <w:right w:val="single" w:color="000000" w:themeColor="text1" w:sz="12" w:space="0"/>
            </w:tcBorders>
            <w:vAlign w:val="center"/>
          </w:tcPr>
          <w:p w14:paraId="6F6DD86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实验室指标：C反应蛋白 ______ mg/L</w:t>
            </w:r>
          </w:p>
        </w:tc>
      </w:tr>
      <w:tr w14:paraId="6B64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319"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Pr>
          <w:p w14:paraId="008ED8F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任一表现型指标同时合并任一病因型指标，营养不良诊断成立；进而行营养不良严重程度评估</w:t>
            </w:r>
          </w:p>
        </w:tc>
      </w:tr>
    </w:tbl>
    <w:p w14:paraId="42B47747">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ascii="Times New Roman" w:hAnsi="Times New Roman" w:eastAsia="楷体" w:cs="Times New Roman"/>
          <w:sz w:val="21"/>
          <w:szCs w:val="21"/>
        </w:rPr>
      </w:pPr>
      <w:r>
        <w:rPr>
          <w:rFonts w:hint="default" w:ascii="Times New Roman" w:hAnsi="Times New Roman" w:eastAsia="黑体" w:cs="Times New Roman"/>
          <w:bCs/>
          <w:szCs w:val="21"/>
        </w:rPr>
        <w:t>表</w:t>
      </w:r>
      <w:r>
        <w:rPr>
          <w:rFonts w:hint="eastAsia" w:ascii="Times New Roman" w:hAnsi="Times New Roman" w:eastAsia="黑体" w:cs="Times New Roman"/>
          <w:b w:val="0"/>
          <w:bCs/>
          <w:szCs w:val="21"/>
          <w:lang w:val="en-US" w:eastAsia="zh-CN"/>
        </w:rPr>
        <w:t>C.2</w:t>
      </w:r>
    </w:p>
    <w:tbl>
      <w:tblPr>
        <w:tblStyle w:val="48"/>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962"/>
        <w:gridCol w:w="1275"/>
        <w:gridCol w:w="1289"/>
      </w:tblGrid>
      <w:tr w14:paraId="0B08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658" w:type="dxa"/>
            <w:gridSpan w:val="2"/>
            <w:tcBorders>
              <w:top w:val="single" w:color="000000" w:themeColor="text1" w:sz="12" w:space="0"/>
              <w:left w:val="single" w:color="000000" w:themeColor="text1" w:sz="12" w:space="0"/>
              <w:bottom w:val="single" w:color="000000" w:themeColor="text1" w:sz="12" w:space="0"/>
              <w:right w:val="single" w:color="000000" w:themeColor="text1" w:sz="4" w:space="0"/>
            </w:tcBorders>
            <w:vAlign w:val="center"/>
          </w:tcPr>
          <w:p w14:paraId="0FF8850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重度营养不良诊断标准</w:t>
            </w:r>
          </w:p>
        </w:tc>
        <w:tc>
          <w:tcPr>
            <w:tcW w:w="1275" w:type="dxa"/>
            <w:tcBorders>
              <w:top w:val="single" w:color="000000" w:themeColor="text1" w:sz="12" w:space="0"/>
              <w:left w:val="single" w:color="000000" w:themeColor="text1" w:sz="4" w:space="0"/>
              <w:bottom w:val="single" w:color="000000" w:themeColor="text1" w:sz="12" w:space="0"/>
              <w:right w:val="single" w:color="000000" w:themeColor="text1" w:sz="4" w:space="0"/>
            </w:tcBorders>
            <w:vAlign w:val="center"/>
          </w:tcPr>
          <w:p w14:paraId="4C14E5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w:t>
            </w:r>
          </w:p>
        </w:tc>
        <w:tc>
          <w:tcPr>
            <w:tcW w:w="1289" w:type="dxa"/>
            <w:tcBorders>
              <w:top w:val="single" w:color="000000" w:themeColor="text1" w:sz="12" w:space="0"/>
              <w:left w:val="single" w:color="000000" w:themeColor="text1" w:sz="4" w:space="0"/>
              <w:bottom w:val="single" w:color="000000" w:themeColor="text1" w:sz="12" w:space="0"/>
              <w:right w:val="single" w:color="000000" w:themeColor="text1" w:sz="12" w:space="0"/>
            </w:tcBorders>
            <w:vAlign w:val="center"/>
          </w:tcPr>
          <w:p w14:paraId="58C14F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否</w:t>
            </w:r>
          </w:p>
        </w:tc>
      </w:tr>
      <w:tr w14:paraId="5DE4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96" w:type="dxa"/>
            <w:tcBorders>
              <w:top w:val="single" w:color="000000" w:themeColor="text1" w:sz="12" w:space="0"/>
              <w:left w:val="single" w:color="000000" w:themeColor="text1" w:sz="12" w:space="0"/>
              <w:bottom w:val="single" w:color="000000" w:themeColor="text1" w:sz="4" w:space="0"/>
              <w:right w:val="single" w:color="000000" w:themeColor="text1" w:sz="4" w:space="0"/>
            </w:tcBorders>
            <w:vAlign w:val="center"/>
          </w:tcPr>
          <w:p w14:paraId="5996388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体重显著下降</w:t>
            </w:r>
          </w:p>
        </w:tc>
        <w:tc>
          <w:tcPr>
            <w:tcW w:w="4962"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730476B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过去6个月以内体重减轻&gt;10%</w:t>
            </w:r>
          </w:p>
          <w:p w14:paraId="0D4BA0E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或过去6个月以上体重减轻&gt;20%</w:t>
            </w:r>
          </w:p>
        </w:tc>
        <w:tc>
          <w:tcPr>
            <w:tcW w:w="1275" w:type="dxa"/>
            <w:tcBorders>
              <w:top w:val="single" w:color="000000" w:themeColor="text1" w:sz="12" w:space="0"/>
              <w:left w:val="single" w:color="000000" w:themeColor="text1" w:sz="4" w:space="0"/>
              <w:bottom w:val="single" w:color="000000" w:themeColor="text1" w:sz="4" w:space="0"/>
              <w:right w:val="single" w:color="000000" w:themeColor="text1" w:sz="4" w:space="0"/>
            </w:tcBorders>
            <w:vAlign w:val="center"/>
          </w:tcPr>
          <w:p w14:paraId="2969788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1289" w:type="dxa"/>
            <w:tcBorders>
              <w:top w:val="single" w:color="000000" w:themeColor="text1" w:sz="12" w:space="0"/>
              <w:left w:val="single" w:color="000000" w:themeColor="text1" w:sz="4" w:space="0"/>
              <w:bottom w:val="single" w:color="000000" w:themeColor="text1" w:sz="4" w:space="0"/>
              <w:right w:val="single" w:color="000000" w:themeColor="text1" w:sz="12" w:space="0"/>
            </w:tcBorders>
            <w:vAlign w:val="center"/>
          </w:tcPr>
          <w:p w14:paraId="4E423B2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79F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tcBorders>
              <w:top w:val="single" w:color="000000" w:themeColor="text1" w:sz="4" w:space="0"/>
              <w:left w:val="single" w:color="000000" w:themeColor="text1" w:sz="12" w:space="0"/>
              <w:bottom w:val="single" w:color="000000" w:themeColor="text1" w:sz="12" w:space="0"/>
              <w:right w:val="single" w:color="000000" w:themeColor="text1" w:sz="4" w:space="0"/>
            </w:tcBorders>
            <w:vAlign w:val="center"/>
          </w:tcPr>
          <w:p w14:paraId="2EF9A2B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低BMI</w:t>
            </w:r>
          </w:p>
        </w:tc>
        <w:tc>
          <w:tcPr>
            <w:tcW w:w="4962" w:type="dxa"/>
            <w:tcBorders>
              <w:top w:val="single" w:color="000000" w:themeColor="text1" w:sz="4" w:space="0"/>
              <w:left w:val="single" w:color="000000" w:themeColor="text1" w:sz="4" w:space="0"/>
              <w:bottom w:val="single" w:color="000000" w:themeColor="text1" w:sz="12" w:space="0"/>
              <w:right w:val="single" w:color="000000" w:themeColor="text1" w:sz="4" w:space="0"/>
            </w:tcBorders>
            <w:vAlign w:val="center"/>
          </w:tcPr>
          <w:p w14:paraId="39E31D1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&lt;70岁者，&lt; 18.5 kg/m2</w:t>
            </w:r>
          </w:p>
          <w:p w14:paraId="58DEFAE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或 ≥70岁者，&lt; 20 kg/m2</w:t>
            </w:r>
          </w:p>
        </w:tc>
        <w:tc>
          <w:tcPr>
            <w:tcW w:w="1275" w:type="dxa"/>
            <w:tcBorders>
              <w:top w:val="single" w:color="000000" w:themeColor="text1" w:sz="4" w:space="0"/>
              <w:left w:val="single" w:color="000000" w:themeColor="text1" w:sz="4" w:space="0"/>
              <w:bottom w:val="single" w:color="000000" w:themeColor="text1" w:sz="12" w:space="0"/>
              <w:right w:val="single" w:color="000000" w:themeColor="text1" w:sz="4" w:space="0"/>
            </w:tcBorders>
            <w:vAlign w:val="center"/>
          </w:tcPr>
          <w:p w14:paraId="7D4D498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c>
          <w:tcPr>
            <w:tcW w:w="1289" w:type="dxa"/>
            <w:tcBorders>
              <w:top w:val="single" w:color="000000" w:themeColor="text1" w:sz="4" w:space="0"/>
              <w:left w:val="single" w:color="000000" w:themeColor="text1" w:sz="4" w:space="0"/>
              <w:bottom w:val="single" w:color="000000" w:themeColor="text1" w:sz="12" w:space="0"/>
              <w:right w:val="single" w:color="000000" w:themeColor="text1" w:sz="12" w:space="0"/>
            </w:tcBorders>
            <w:vAlign w:val="center"/>
          </w:tcPr>
          <w:p w14:paraId="190BEFA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18"/>
                <w:szCs w:val="18"/>
              </w:rPr>
            </w:pPr>
          </w:p>
        </w:tc>
      </w:tr>
      <w:tr w14:paraId="4F5D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222"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14:paraId="7DA7E873">
            <w:pPr>
              <w:pStyle w:val="3"/>
              <w:spacing w:before="91" w:line="198" w:lineRule="auto"/>
              <w:ind w:left="32"/>
              <w:outlineLvl w:val="0"/>
              <w:rPr>
                <w:rFonts w:hint="default" w:ascii="Times New Roman" w:hAnsi="Times New Roman" w:eastAsia="宋体" w:cs="Times New Roman"/>
                <w:sz w:val="18"/>
                <w:szCs w:val="18"/>
              </w:rPr>
            </w:pPr>
            <w:bookmarkStart w:id="55" w:name="_Toc11970"/>
            <w:r>
              <w:rPr>
                <w:rFonts w:hint="default" w:ascii="Times New Roman" w:hAnsi="Times New Roman" w:eastAsia="宋体" w:cs="Times New Roman"/>
                <w:kern w:val="2"/>
                <w:sz w:val="18"/>
                <w:szCs w:val="18"/>
                <w:lang w:val="en-US" w:eastAsia="zh-CN" w:bidi="ar-SA"/>
              </w:rPr>
              <w:t>符合任一标准即为重度营养不良，否则为中度营养不良。</w:t>
            </w:r>
            <w:bookmarkEnd w:id="55"/>
          </w:p>
        </w:tc>
      </w:tr>
    </w:tbl>
    <w:p w14:paraId="0A99864F">
      <w:pPr>
        <w:pStyle w:val="3"/>
        <w:spacing w:before="91" w:line="198" w:lineRule="auto"/>
        <w:ind w:left="32"/>
        <w:outlineLvl w:val="0"/>
        <w:rPr>
          <w:rFonts w:hint="eastAsia" w:ascii="宋体" w:hAnsi="宋体" w:eastAsia="宋体" w:cs="宋体"/>
          <w:spacing w:val="3"/>
          <w:sz w:val="20"/>
          <w:szCs w:val="20"/>
        </w:rPr>
        <w:sectPr>
          <w:headerReference r:id="rId15" w:type="first"/>
          <w:footerReference r:id="rId18" w:type="first"/>
          <w:headerReference r:id="rId13" w:type="default"/>
          <w:footerReference r:id="rId16" w:type="default"/>
          <w:headerReference r:id="rId14" w:type="even"/>
          <w:footerReference r:id="rId17" w:type="even"/>
          <w:pgSz w:w="11906" w:h="16838"/>
          <w:pgMar w:top="1417" w:right="1134" w:bottom="1134" w:left="1417" w:header="850" w:footer="992" w:gutter="0"/>
          <w:pgBorders>
            <w:top w:val="none" w:sz="0" w:space="0"/>
            <w:left w:val="none" w:sz="0" w:space="0"/>
            <w:bottom w:val="none" w:sz="0" w:space="0"/>
            <w:right w:val="none" w:sz="0" w:space="0"/>
          </w:pgBorders>
          <w:pgNumType w:fmt="decimal" w:start="1"/>
          <w:cols w:space="0" w:num="1"/>
          <w:titlePg/>
          <w:rtlGutter w:val="0"/>
          <w:docGrid w:type="lines" w:linePitch="317" w:charSpace="0"/>
        </w:sectPr>
      </w:pPr>
      <w:bookmarkStart w:id="56" w:name="bookmark9"/>
      <w:bookmarkEnd w:id="56"/>
    </w:p>
    <w:p w14:paraId="35232170">
      <w:pPr>
        <w:keepNext w:val="0"/>
        <w:keepLines w:val="0"/>
        <w:pageBreakBefore w:val="0"/>
        <w:widowControl/>
        <w:kinsoku/>
        <w:wordWrap/>
        <w:overflowPunct/>
        <w:topLinePunct w:val="0"/>
        <w:autoSpaceDE/>
        <w:autoSpaceDN/>
        <w:bidi w:val="0"/>
        <w:adjustRightInd/>
        <w:snapToGrid w:val="0"/>
        <w:spacing w:before="313" w:beforeLines="100" w:after="313" w:afterLines="100" w:line="240" w:lineRule="auto"/>
        <w:jc w:val="center"/>
        <w:textAlignment w:val="auto"/>
        <w:rPr>
          <w:rFonts w:hint="eastAsia" w:ascii="Times New Roman" w:hAnsi="Times New Roman" w:eastAsia="黑体" w:cs="Times New Roman"/>
          <w:bCs/>
          <w:szCs w:val="21"/>
        </w:rPr>
      </w:pPr>
      <w:bookmarkStart w:id="57" w:name="bookmark10"/>
      <w:bookmarkEnd w:id="57"/>
      <w:r>
        <w:rPr>
          <w:rFonts w:hint="eastAsia" w:ascii="Times New Roman" w:hAnsi="Times New Roman" w:eastAsia="黑体" w:cs="Times New Roman"/>
          <w:bCs/>
          <w:szCs w:val="21"/>
        </w:rPr>
        <w:t>参   考   文   献</w:t>
      </w:r>
    </w:p>
    <w:p w14:paraId="4D66710C">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广东省药学会.肠外肠内营养临床药学实践共识(2022年版)[J].今日药学, 2023;33(6):414-421.</w:t>
      </w:r>
    </w:p>
    <w:p w14:paraId="6BA72D22">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lang w:val="en-US" w:eastAsia="zh-CN"/>
        </w:rPr>
        <w:t xml:space="preserve">中国研究型医院学会老年外科专业委员会.老年外科患者围手术期营养支持中国专家共识（2024版）[J].中华消化外科杂志,2024,23(5):629-641.  </w:t>
      </w:r>
    </w:p>
    <w:p w14:paraId="08F8DC8E">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中国研究型医院学会老年外科专业委员会.老年外科患者围手术期营养支持中国专家共识（2024版）[J].中华外科杂志,2024,62(7):624-636.</w:t>
      </w:r>
    </w:p>
    <w:p w14:paraId="5FC9C142">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[1]中国研究型医院学会老年外科专委会.老年外科患者围手术期营养支持中国专家共识（2024版）[J].中华普通外科杂志,2024,39(5):386-394.</w:t>
      </w:r>
    </w:p>
    <w:p w14:paraId="29CD3041">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中华医学会肠外肠内营养学分会“营养风险-营养不足-支持-结局-成本/效果比(NUSOC)”多中心数据共享协作组. 营养风险及营养风险筛查工具营养风险筛查2002临床应用专家共识(2018版)[J]. 中华临床营养杂志, 2018, 26(3):131-135.</w:t>
      </w:r>
    </w:p>
    <w:p w14:paraId="012A1212">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张献娜, 蒋朱明, 吴河水, 等. NRS 2002营养风险筛查暨GLIM第二步诊断营养不良(目前不用肌肉量理由)[J]. 中华临床营养杂志, 2020, 28(1): 1-6.</w:t>
      </w:r>
    </w:p>
    <w:p w14:paraId="2678B86B">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De Groot LM, Lee G, Ackerie A, et al. Malnutrition Screening and Assessment in the Cancer Care Ambulatory Setting: Mortality Predictability and Validity of the Patient-Generated Subjective Global Assessment Short form (PG-SGA SF) and the GLIM Criteria. Nutrients. 2020;12(8):2287.</w:t>
      </w:r>
    </w:p>
    <w:p w14:paraId="723ADFED">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Jie B, Jiang ZM, Nolan MT, et al. Impact of preoperative nutritional support on clinical outcome in abdominal surgical patients at nutritional risk. Nutrition. 2012 Oct;28(10):1022-1027.</w:t>
      </w:r>
    </w:p>
    <w:p w14:paraId="27D62B69">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Kondrup J, Allison SP, Elia M, et al; Educational and Clinical Practice Committee, European Society of Parenteral and Enteral Nutrition (ESPEN). ESPEN guidelines for nutrition screening 2002. Clin Nutr. 2003;22(4):415-421.</w:t>
      </w:r>
    </w:p>
    <w:p w14:paraId="39291535">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Previtali P, Fiore M, Colombo J, et al. Malnutrition and Perioperative Nutritional Support in Retroperitoneal Sarcoma Patients: Results from a Prospective Study. Ann Surg Oncol. 2020;27(6):2025-2032.</w:t>
      </w:r>
    </w:p>
    <w:p w14:paraId="1602CFAD">
      <w:pPr>
        <w:pStyle w:val="18"/>
        <w:keepNext w:val="0"/>
        <w:keepLines w:val="0"/>
        <w:pageBreakBefore w:val="0"/>
        <w:widowControl w:val="0"/>
        <w:numPr>
          <w:ilvl w:val="0"/>
          <w:numId w:val="6"/>
        </w:numPr>
        <w:kinsoku/>
        <w:wordWrap w:val="0"/>
        <w:overflowPunct/>
        <w:topLinePunct w:val="0"/>
        <w:autoSpaceDE/>
        <w:autoSpaceDN/>
        <w:bidi w:val="0"/>
        <w:adjustRightInd/>
        <w:snapToGrid w:val="0"/>
        <w:ind w:left="-399" w:leftChars="0" w:firstLine="408" w:firstLineChars="0"/>
        <w:textAlignment w:val="auto"/>
        <w:rPr>
          <w:rFonts w:hint="eastAsia" w:ascii="宋体" w:hAnsi="宋体" w:eastAsia="宋体" w:cs="宋体"/>
          <w:bCs/>
          <w:szCs w:val="21"/>
        </w:rPr>
      </w:pPr>
      <w:r>
        <w:rPr>
          <w:rFonts w:hint="eastAsia" w:ascii="宋体" w:hAnsi="宋体" w:eastAsia="宋体" w:cs="宋体"/>
          <w:bCs/>
          <w:szCs w:val="21"/>
        </w:rPr>
        <w:t>Weimann A, Braga M, Carli F, et al. ESPEN practical guideline: Clinical nutrition in surgery. Clin Nutr. 2021;40(7):4745-4761.</w:t>
      </w:r>
    </w:p>
    <w:p w14:paraId="33BB218D">
      <w:pPr>
        <w:spacing w:line="360" w:lineRule="auto"/>
        <w:ind w:firstLine="3060"/>
        <w:rPr>
          <w:rFonts w:hint="eastAsia" w:ascii="宋体" w:hAnsi="宋体" w:eastAsia="宋体" w:cs="宋体"/>
          <w:sz w:val="21"/>
          <w:szCs w:val="21"/>
        </w:rPr>
      </w:pPr>
    </w:p>
    <w:p w14:paraId="21E989D8">
      <w:pPr>
        <w:spacing w:line="360" w:lineRule="auto"/>
        <w:ind w:firstLine="3060"/>
        <w:rPr>
          <w:rFonts w:hint="eastAsia" w:ascii="宋体" w:hAnsi="宋体" w:eastAsia="宋体" w:cs="宋体"/>
          <w:sz w:val="21"/>
          <w:szCs w:val="21"/>
        </w:rPr>
      </w:pPr>
      <w:r>
        <w:rPr>
          <w:rFonts w:hint="eastAsia"/>
          <w:color w:val="000000"/>
          <w:highlight w:val="none"/>
        </w:rPr>
        <mc:AlternateContent>
          <mc:Choice Requires="wps">
            <w:drawing>
              <wp:anchor distT="0" distB="0" distL="0" distR="0" simplePos="0" relativeHeight="251668480" behindDoc="0" locked="0" layoutInCell="1" allowOverlap="1">
                <wp:simplePos x="0" y="0"/>
                <wp:positionH relativeFrom="column">
                  <wp:posOffset>1905635</wp:posOffset>
                </wp:positionH>
                <wp:positionV relativeFrom="page">
                  <wp:posOffset>6911975</wp:posOffset>
                </wp:positionV>
                <wp:extent cx="1461770" cy="6985"/>
                <wp:effectExtent l="0" t="0" r="0" b="0"/>
                <wp:wrapNone/>
                <wp:docPr id="1030" name="直接连接符 20"/>
                <wp:cNvGraphicFramePr/>
                <a:graphic xmlns:a="http://schemas.openxmlformats.org/drawingml/2006/main">
                  <a:graphicData uri="http://schemas.microsoft.com/office/word/2010/wordprocessingShape">
                    <wps:wsp>
                      <wps:cNvCnPr/>
                      <wps:spPr>
                        <a:xfrm flipV="1">
                          <a:off x="0" y="0"/>
                          <a:ext cx="1461770" cy="6985"/>
                        </a:xfrm>
                        <a:prstGeom prst="line">
                          <a:avLst/>
                        </a:prstGeom>
                        <a:ln w="6350" cap="flat" cmpd="sng">
                          <a:solidFill>
                            <a:srgbClr val="000000"/>
                          </a:solidFill>
                          <a:prstDash val="solid"/>
                          <a:miter/>
                        </a:ln>
                      </wps:spPr>
                      <wps:bodyPr/>
                    </wps:wsp>
                  </a:graphicData>
                </a:graphic>
              </wp:anchor>
            </w:drawing>
          </mc:Choice>
          <mc:Fallback>
            <w:pict>
              <v:line id="直接连接符 20" o:spid="_x0000_s1026" o:spt="20" style="position:absolute;left:0pt;flip:y;margin-left:150.05pt;margin-top:544.25pt;height:0.55pt;width:115.1pt;mso-position-vertical-relative:page;z-index:251668480;mso-width-relative:page;mso-height-relative:page;" filled="f" stroked="t" coordsize="21600,21600" o:gfxdata="UEsDBAoAAAAAAIdO4kAAAAAAAAAAAAAAAAAEAAAAZHJzL1BLAwQUAAAACACHTuJAXSRnW9kAAAAN&#10;AQAADwAAAGRycy9kb3ducmV2LnhtbE2PwU7DMAyG70i8Q2QkbiwpZVPbNZ0YEnBDYmP3rPHaao1T&#10;mnQbb4/hAkf7//T7c7m6uF6ccAydJw3JTIFAqr3tqNHwsX2+y0CEaMia3hNq+MIAq+r6qjSF9Wd6&#10;x9MmNoJLKBRGQxvjUEgZ6hadCTM/IHF28KMzkcexkXY0Zy53vbxXaiGd6YgvtGbApxbr42ZyGtbb&#10;PH2xu+n1+JY/4OM6T8L0udP69iZRSxARL/EPhh99VoeKnfZ+IhtEryFVKmGUA5VlcxCMzFOVgtj/&#10;rvIFyKqU/7+ovgFQSwMEFAAAAAgAh07iQM7azhfdAQAAnwMAAA4AAABkcnMvZTJvRG9jLnhtbK1T&#10;zW4TMRC+I/EOlu9kk5SmZZVND43KBUEkoHfHa2ct+U8zbjZ5CV4AiRucOHLv21Aeo2NvSKFcemAP&#10;3vHM+Jv5Po/nFztn2VYBmuAbPhmNOVNehtb4TcM/frh6cc4ZJuFbYYNXDd8r5BeL58/mfazVNHTB&#10;tgoYgXis+9jwLqVYVxXKTjmBoxCVp6AO4ESiLWyqFkRP6M5W0/F4VvUB2ghBKkTyLocgPyDCUwCD&#10;1kaqZZA3Tvk0oIKyIhEl7ExEvijdaq1keqc1qsRsw4lpKisVIXud12oxF/UGROyMPLQgntLCI05O&#10;GE9Fj1BLkQS7AfMPlDMSAgadRjK4aiBSFCEWk/Ejbd53IqrChaTGeBQd/x+sfLtdATMtTcL4hETx&#10;wtGd333+8fPT11+3X2i9+/6NTYtQfcSa8i/9Cki2vMO4gsx6p8ExbU28JpyiAzFjuyLz/iiz2iUm&#10;yTl5OZucnVExSbHZq/PTfAvVgJLRImB6rYJj2Wi4NT6LIGqxfYNpSP2dkt3Ws55wTk4zoqCJ1DQJ&#10;ZLpIrNBvylkM1rRXxtp8AmGzvrTAtiJPRfkOLfyVlossBXZDXgkN8+JMUlkC6tl6+j1Ika11aPdF&#10;oeKneyuJhxnLg/Hnvpx+eFe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0kZ1vZAAAADQEAAA8A&#10;AAAAAAAAAQAgAAAAIgAAAGRycy9kb3ducmV2LnhtbFBLAQIUABQAAAAIAIdO4kDO2s4X3QEAAJ8D&#10;AAAOAAAAAAAAAAEAIAAAACgBAABkcnMvZTJvRG9jLnhtbFBLBQYAAAAABgAGAFkBAAB3BQAAAAA=&#10;">
                <v:fill on="f" focussize="0,0"/>
                <v:stroke weight="0.5pt" color="#000000" joinstyle="miter"/>
                <v:imagedata o:title=""/>
                <o:lock v:ext="edit" aspectratio="f"/>
              </v:line>
            </w:pict>
          </mc:Fallback>
        </mc:AlternateContent>
      </w:r>
    </w:p>
    <w:p w14:paraId="0AC1E3B8">
      <w:pPr>
        <w:spacing w:line="360" w:lineRule="auto"/>
        <w:ind w:firstLine="3060"/>
        <w:rPr>
          <w:rFonts w:hint="eastAsia" w:ascii="宋体" w:hAnsi="宋体" w:eastAsia="宋体" w:cs="宋体"/>
          <w:sz w:val="21"/>
          <w:szCs w:val="21"/>
        </w:rPr>
      </w:pPr>
    </w:p>
    <w:p w14:paraId="56899E7E">
      <w:pPr>
        <w:spacing w:line="360" w:lineRule="auto"/>
        <w:rPr>
          <w:rFonts w:ascii="宋体" w:hAnsi="宋体" w:eastAsia="宋体" w:cs="Times New Roman"/>
          <w:bCs/>
          <w:sz w:val="24"/>
          <w:szCs w:val="24"/>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17" w:right="1134" w:bottom="1134" w:left="1417" w:header="850" w:footer="992" w:gutter="0"/>
      <w:pgBorders>
        <w:top w:val="none" w:sz="0" w:space="0"/>
        <w:left w:val="none" w:sz="0" w:space="0"/>
        <w:bottom w:val="none" w:sz="0" w:space="0"/>
        <w:right w:val="none" w:sz="0" w:space="0"/>
      </w:pgBorders>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0B3B">
    <w:pPr>
      <w:pStyle w:val="5"/>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v:textbox>
            </v:shape>
          </w:pict>
        </mc:Fallback>
      </mc:AlternateContent>
    </w:r>
  </w:p>
  <w:p w14:paraId="4F021C94">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73FC">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DD0E5">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9BDD0E5">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18B9">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F574">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D3F574">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DEDE">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DDA6">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4CDDA6">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9F3C">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B7E1">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E7B7E1">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DF29">
    <w:pPr>
      <w:pStyle w:val="3"/>
      <w:spacing w:line="157" w:lineRule="auto"/>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0A30">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3F0A30">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1F6C">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22AB6">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922AB6">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1A2D">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8E5E4">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E8E5E4">
                    <w:pPr>
                      <w:pStyle w:val="5"/>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3C6">
    <w:pPr>
      <w:pStyle w:val="5"/>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5826">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3E5826">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6C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8926CC0"/>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705B">
    <w:pPr>
      <w:pStyle w:val="5"/>
      <w:tabs>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57707">
                          <w:pPr>
                            <w:pStyle w:val="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B57707">
                    <w:pPr>
                      <w:pStyle w:val="5"/>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2C6C">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61C03">
    <w:pPr>
      <w:pStyle w:val="6"/>
      <w:pBdr>
        <w:bottom w:val="none" w:color="auto" w:sz="0" w:space="1"/>
      </w:pBdr>
      <w:jc w:val="right"/>
      <w:rPr>
        <w:rFonts w:hint="eastAsia"/>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06C">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7EFFB44B">
    <w:pPr>
      <w:pStyle w:val="6"/>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4D0F">
    <w:pPr>
      <w:pStyle w:val="6"/>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726A">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1F25747">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FB7C">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9894">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B97D3">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1AB46DC4">
    <w:pPr>
      <w:pStyle w:val="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37C">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2BC0DE4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A6DA">
    <w:pPr>
      <w:pStyle w:val="6"/>
      <w:pBdr>
        <w:bottom w:val="none" w:color="auto" w:sz="0" w:space="1"/>
      </w:pBdr>
      <w:jc w:val="right"/>
      <w:rPr>
        <w:rFonts w:hint="eastAsia"/>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E98D">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42DCD40B">
    <w:pPr>
      <w:pStyle w:val="6"/>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ED81">
    <w:pPr>
      <w:pStyle w:val="6"/>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EA78C"/>
    <w:multiLevelType w:val="singleLevel"/>
    <w:tmpl w:val="DA5EA78C"/>
    <w:lvl w:ilvl="0" w:tentative="0">
      <w:start w:val="1"/>
      <w:numFmt w:val="lowerLetter"/>
      <w:lvlText w:val="%1）"/>
      <w:lvlJc w:val="left"/>
      <w:pPr>
        <w:tabs>
          <w:tab w:val="left" w:pos="840"/>
        </w:tabs>
        <w:ind w:left="845" w:leftChars="0" w:hanging="425" w:firstLineChars="0"/>
      </w:pPr>
      <w:rPr>
        <w:rFonts w:hint="default"/>
      </w:rPr>
    </w:lvl>
  </w:abstractNum>
  <w:abstractNum w:abstractNumId="1">
    <w:nsid w:val="F2571037"/>
    <w:multiLevelType w:val="singleLevel"/>
    <w:tmpl w:val="F2571037"/>
    <w:lvl w:ilvl="0" w:tentative="0">
      <w:start w:val="1"/>
      <w:numFmt w:val="lowerLetter"/>
      <w:lvlText w:val="%1）"/>
      <w:lvlJc w:val="left"/>
      <w:pPr>
        <w:tabs>
          <w:tab w:val="left" w:pos="840"/>
        </w:tabs>
        <w:ind w:left="845" w:leftChars="0" w:hanging="425" w:firstLineChars="0"/>
      </w:pPr>
      <w:rPr>
        <w:rFonts w:hint="default"/>
      </w:rPr>
    </w:lvl>
  </w:abstractNum>
  <w:abstractNum w:abstractNumId="2">
    <w:nsid w:val="FDAB50B8"/>
    <w:multiLevelType w:val="singleLevel"/>
    <w:tmpl w:val="FDAB50B8"/>
    <w:lvl w:ilvl="0" w:tentative="0">
      <w:start w:val="1"/>
      <w:numFmt w:val="lowerLetter"/>
      <w:lvlText w:val="%1）"/>
      <w:lvlJc w:val="left"/>
      <w:pPr>
        <w:tabs>
          <w:tab w:val="left" w:pos="840"/>
        </w:tabs>
        <w:ind w:left="845" w:leftChars="0" w:hanging="425" w:firstLineChars="0"/>
      </w:pPr>
      <w:rPr>
        <w:rFonts w:hint="default"/>
      </w:rPr>
    </w:lvl>
  </w:abstractNum>
  <w:abstractNum w:abstractNumId="3">
    <w:nsid w:val="11A214A5"/>
    <w:multiLevelType w:val="singleLevel"/>
    <w:tmpl w:val="11A214A5"/>
    <w:lvl w:ilvl="0" w:tentative="0">
      <w:start w:val="1"/>
      <w:numFmt w:val="lowerLetter"/>
      <w:lvlText w:val="%1）"/>
      <w:lvlJc w:val="left"/>
      <w:pPr>
        <w:tabs>
          <w:tab w:val="left" w:pos="840"/>
        </w:tabs>
        <w:ind w:left="845" w:leftChars="0" w:hanging="425" w:firstLineChars="0"/>
      </w:pPr>
      <w:rPr>
        <w:rFonts w:hint="default"/>
      </w:rPr>
    </w:lvl>
  </w:abstractNum>
  <w:abstractNum w:abstractNumId="4">
    <w:nsid w:val="1B8783B9"/>
    <w:multiLevelType w:val="singleLevel"/>
    <w:tmpl w:val="1B8783B9"/>
    <w:lvl w:ilvl="0" w:tentative="0">
      <w:start w:val="1"/>
      <w:numFmt w:val="decimal"/>
      <w:suff w:val="space"/>
      <w:lvlText w:val="[%1]"/>
      <w:lvlJc w:val="left"/>
      <w:pPr>
        <w:ind w:left="-409"/>
      </w:pPr>
      <w:rPr>
        <w:rFonts w:hint="default" w:ascii="宋体" w:hAnsi="宋体" w:eastAsia="宋体"/>
        <w:sz w:val="21"/>
        <w:szCs w:val="21"/>
      </w:rPr>
    </w:lvl>
  </w:abstractNum>
  <w:abstractNum w:abstractNumId="5">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CE61304"/>
    <w:rsid w:val="1D5E7B70"/>
    <w:rsid w:val="1EEB7D15"/>
    <w:rsid w:val="206E0FC8"/>
    <w:rsid w:val="23B02BC5"/>
    <w:rsid w:val="25FE5651"/>
    <w:rsid w:val="26472A30"/>
    <w:rsid w:val="274779FD"/>
    <w:rsid w:val="2ACB3B4E"/>
    <w:rsid w:val="2D5D6C5F"/>
    <w:rsid w:val="2DAE49EB"/>
    <w:rsid w:val="2E47409D"/>
    <w:rsid w:val="34803EC8"/>
    <w:rsid w:val="34B9379B"/>
    <w:rsid w:val="35E772E4"/>
    <w:rsid w:val="3EAE7781"/>
    <w:rsid w:val="3F779754"/>
    <w:rsid w:val="3FA78228"/>
    <w:rsid w:val="413A3D72"/>
    <w:rsid w:val="43B12F69"/>
    <w:rsid w:val="4687467B"/>
    <w:rsid w:val="487A124B"/>
    <w:rsid w:val="49A2495C"/>
    <w:rsid w:val="4A603B63"/>
    <w:rsid w:val="4BC13157"/>
    <w:rsid w:val="4C303B79"/>
    <w:rsid w:val="5439223A"/>
    <w:rsid w:val="553F0BCB"/>
    <w:rsid w:val="5C696B87"/>
    <w:rsid w:val="5D002955"/>
    <w:rsid w:val="5DAB167E"/>
    <w:rsid w:val="60732830"/>
    <w:rsid w:val="61452CD9"/>
    <w:rsid w:val="63DE1DF7"/>
    <w:rsid w:val="650F518F"/>
    <w:rsid w:val="66462D73"/>
    <w:rsid w:val="678D25CA"/>
    <w:rsid w:val="68964C95"/>
    <w:rsid w:val="6C2142DB"/>
    <w:rsid w:val="6D6C01D4"/>
    <w:rsid w:val="6EBBEF1C"/>
    <w:rsid w:val="70120D53"/>
    <w:rsid w:val="701E08C7"/>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style>
  <w:style w:type="paragraph" w:styleId="3">
    <w:name w:val="Body Text"/>
    <w:basedOn w:val="1"/>
    <w:qFormat/>
    <w:uiPriority w:val="1"/>
    <w:pPr>
      <w:spacing w:before="37"/>
      <w:ind w:left="540"/>
    </w:pPr>
    <w:rPr>
      <w:rFonts w:ascii="宋体" w:hAnsi="宋体" w:eastAsia="宋体"/>
      <w:sz w:val="21"/>
      <w:szCs w:val="21"/>
    </w:rPr>
  </w:style>
  <w:style w:type="paragraph" w:styleId="4">
    <w:name w:val="Balloon Text"/>
    <w:basedOn w:val="1"/>
    <w:link w:val="29"/>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Subtitle"/>
    <w:next w:val="1"/>
    <w:qFormat/>
    <w:uiPriority w:val="0"/>
    <w:pPr>
      <w:wordWrap w:val="0"/>
      <w:spacing w:after="60"/>
      <w:jc w:val="center"/>
    </w:pPr>
    <w:rPr>
      <w:rFonts w:ascii="宋体" w:hAnsi="宋体" w:eastAsia="宋体" w:cs="宋体"/>
      <w:sz w:val="24"/>
      <w:lang w:val="en-US" w:eastAsia="zh-CN" w:bidi="ar-SA"/>
    </w:rPr>
  </w:style>
  <w:style w:type="paragraph" w:styleId="9">
    <w:name w:val="HTML Preformatted"/>
    <w:basedOn w:val="1"/>
    <w:link w:val="3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28"/>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autoRedefine/>
    <w:qFormat/>
    <w:uiPriority w:val="20"/>
    <w:rPr>
      <w:i/>
      <w:i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unhideWhenUsed/>
    <w:qFormat/>
    <w:uiPriority w:val="99"/>
    <w:rPr>
      <w:sz w:val="21"/>
      <w:szCs w:val="21"/>
    </w:rPr>
  </w:style>
  <w:style w:type="paragraph" w:customStyle="1" w:styleId="18">
    <w:name w:val="列出段落1"/>
    <w:basedOn w:val="1"/>
    <w:link w:val="22"/>
    <w:autoRedefine/>
    <w:qFormat/>
    <w:uiPriority w:val="34"/>
    <w:pPr>
      <w:ind w:firstLine="420" w:firstLineChars="200"/>
    </w:pPr>
  </w:style>
  <w:style w:type="character" w:customStyle="1" w:styleId="19">
    <w:name w:val="页眉 Char"/>
    <w:basedOn w:val="14"/>
    <w:link w:val="6"/>
    <w:autoRedefine/>
    <w:qFormat/>
    <w:uiPriority w:val="99"/>
    <w:rPr>
      <w:sz w:val="18"/>
      <w:szCs w:val="18"/>
    </w:rPr>
  </w:style>
  <w:style w:type="character" w:customStyle="1" w:styleId="20">
    <w:name w:val="页脚 Char"/>
    <w:basedOn w:val="14"/>
    <w:link w:val="5"/>
    <w:autoRedefine/>
    <w:qFormat/>
    <w:uiPriority w:val="99"/>
    <w:rPr>
      <w:sz w:val="18"/>
      <w:szCs w:val="18"/>
    </w:rPr>
  </w:style>
  <w:style w:type="paragraph" w:customStyle="1" w:styleId="21">
    <w:name w:val="EndNote Bibliography Title"/>
    <w:basedOn w:val="1"/>
    <w:link w:val="23"/>
    <w:autoRedefine/>
    <w:qFormat/>
    <w:uiPriority w:val="0"/>
    <w:pPr>
      <w:jc w:val="center"/>
    </w:pPr>
    <w:rPr>
      <w:rFonts w:ascii="等线" w:hAnsi="等线" w:eastAsia="等线"/>
      <w:sz w:val="20"/>
    </w:rPr>
  </w:style>
  <w:style w:type="character" w:customStyle="1" w:styleId="22">
    <w:name w:val="列出段落 Char"/>
    <w:basedOn w:val="14"/>
    <w:link w:val="18"/>
    <w:autoRedefine/>
    <w:qFormat/>
    <w:uiPriority w:val="34"/>
  </w:style>
  <w:style w:type="character" w:customStyle="1" w:styleId="23">
    <w:name w:val="EndNote Bibliography Title 字符"/>
    <w:basedOn w:val="22"/>
    <w:link w:val="21"/>
    <w:autoRedefine/>
    <w:qFormat/>
    <w:uiPriority w:val="0"/>
    <w:rPr>
      <w:rFonts w:ascii="等线" w:hAnsi="等线" w:eastAsia="等线"/>
      <w:sz w:val="20"/>
    </w:rPr>
  </w:style>
  <w:style w:type="paragraph" w:customStyle="1" w:styleId="24">
    <w:name w:val="EndNote Bibliography"/>
    <w:basedOn w:val="1"/>
    <w:link w:val="25"/>
    <w:autoRedefine/>
    <w:qFormat/>
    <w:uiPriority w:val="0"/>
    <w:rPr>
      <w:rFonts w:ascii="等线" w:hAnsi="等线" w:eastAsia="等线"/>
      <w:sz w:val="20"/>
    </w:rPr>
  </w:style>
  <w:style w:type="character" w:customStyle="1" w:styleId="25">
    <w:name w:val="EndNote Bibliography 字符"/>
    <w:basedOn w:val="22"/>
    <w:link w:val="24"/>
    <w:autoRedefine/>
    <w:qFormat/>
    <w:uiPriority w:val="0"/>
    <w:rPr>
      <w:rFonts w:ascii="等线" w:hAnsi="等线" w:eastAsia="等线"/>
      <w:sz w:val="20"/>
    </w:rPr>
  </w:style>
  <w:style w:type="character" w:customStyle="1" w:styleId="26">
    <w:name w:val="未处理的提及1"/>
    <w:basedOn w:val="14"/>
    <w:autoRedefine/>
    <w:unhideWhenUsed/>
    <w:qFormat/>
    <w:uiPriority w:val="99"/>
    <w:rPr>
      <w:color w:val="605E5C"/>
      <w:shd w:val="clear" w:color="auto" w:fill="E1DFDD"/>
    </w:rPr>
  </w:style>
  <w:style w:type="character" w:customStyle="1" w:styleId="27">
    <w:name w:val="批注文字 Char"/>
    <w:basedOn w:val="14"/>
    <w:link w:val="2"/>
    <w:autoRedefine/>
    <w:semiHidden/>
    <w:qFormat/>
    <w:uiPriority w:val="99"/>
  </w:style>
  <w:style w:type="character" w:customStyle="1" w:styleId="28">
    <w:name w:val="批注主题 Char"/>
    <w:basedOn w:val="27"/>
    <w:link w:val="11"/>
    <w:autoRedefine/>
    <w:semiHidden/>
    <w:qFormat/>
    <w:uiPriority w:val="99"/>
    <w:rPr>
      <w:b/>
      <w:bCs/>
    </w:rPr>
  </w:style>
  <w:style w:type="character" w:customStyle="1" w:styleId="29">
    <w:name w:val="批注框文本 Char"/>
    <w:basedOn w:val="14"/>
    <w:link w:val="4"/>
    <w:autoRedefine/>
    <w:semiHidden/>
    <w:qFormat/>
    <w:uiPriority w:val="99"/>
    <w:rPr>
      <w:sz w:val="18"/>
      <w:szCs w:val="18"/>
    </w:rPr>
  </w:style>
  <w:style w:type="paragraph" w:customStyle="1" w:styleId="3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Char"/>
    <w:basedOn w:val="14"/>
    <w:link w:val="9"/>
    <w:autoRedefine/>
    <w:semiHidden/>
    <w:qFormat/>
    <w:uiPriority w:val="99"/>
    <w:rPr>
      <w:rFonts w:ascii="宋体" w:hAnsi="宋体" w:eastAsia="宋体" w:cs="宋体"/>
      <w:kern w:val="0"/>
      <w:sz w:val="24"/>
      <w:szCs w:val="24"/>
    </w:rPr>
  </w:style>
  <w:style w:type="character" w:customStyle="1" w:styleId="32">
    <w:name w:val="y2iqfc"/>
    <w:basedOn w:val="14"/>
    <w:autoRedefine/>
    <w:qFormat/>
    <w:uiPriority w:val="0"/>
  </w:style>
  <w:style w:type="character" w:customStyle="1" w:styleId="33">
    <w:name w:val="inner-text-paragraph-org"/>
    <w:basedOn w:val="14"/>
    <w:autoRedefine/>
    <w:qFormat/>
    <w:uiPriority w:val="0"/>
  </w:style>
  <w:style w:type="character" w:customStyle="1" w:styleId="34">
    <w:name w:val="未处理的提及2"/>
    <w:basedOn w:val="14"/>
    <w:autoRedefine/>
    <w:unhideWhenUsed/>
    <w:qFormat/>
    <w:uiPriority w:val="99"/>
    <w:rPr>
      <w:color w:val="605E5C"/>
      <w:shd w:val="clear" w:color="auto" w:fill="E1DFDD"/>
    </w:rPr>
  </w:style>
  <w:style w:type="character" w:customStyle="1" w:styleId="35">
    <w:name w:val="列表段落 字符1"/>
    <w:basedOn w:val="14"/>
    <w:autoRedefine/>
    <w:qFormat/>
    <w:uiPriority w:val="34"/>
  </w:style>
  <w:style w:type="paragraph" w:customStyle="1" w:styleId="3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next w:val="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autoRedefine/>
    <w:qFormat/>
    <w:uiPriority w:val="0"/>
    <w:pPr>
      <w:framePr w:vAnchor="page" w:hAnchor="text" w:x="1419"/>
    </w:pPr>
  </w:style>
  <w:style w:type="paragraph" w:customStyle="1" w:styleId="4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7"/>
    <w:autoRedefine/>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table" w:customStyle="1" w:styleId="48">
    <w:name w:val="网格型1"/>
    <w:basedOn w:val="12"/>
    <w:qFormat/>
    <w:uiPriority w:val="3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章标题"/>
    <w:next w:val="4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一级条标题"/>
    <w:next w:val="4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4226</Words>
  <Characters>4970</Characters>
  <Lines>63</Lines>
  <Paragraphs>17</Paragraphs>
  <TotalTime>10</TotalTime>
  <ScaleCrop>false</ScaleCrop>
  <LinksUpToDate>false</LinksUpToDate>
  <CharactersWithSpaces>5210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2025-11-12T07:50:19Z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C2D2708EFEA248A08B9BCD738E4DD556_13</vt:lpwstr>
  </property>
  <property fmtid="{D5CDD505-2E9C-101B-9397-08002B2CF9AE}" pid="4" name="KSOTemplateDocerSaveRecord">
    <vt:lpwstr>eyJoZGlkIjoiMTFmMDJjZGU0YzYzNjgxMjg1NzBlNDNlZWZkY2IyNjMiLCJ1c2VySWQiOiIxMzc2MzQzNjk3In0=</vt:lpwstr>
  </property>
</Properties>
</file>