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5AD67D0">
      <w:pPr>
        <w:pStyle w:val="202"/>
        <w:framePr w:wrap="around" w:vAnchor="page" w:hAnchor="page" w:x="1848" w:y="732"/>
        <w:rPr>
          <w:rFonts w:ascii="Times New Roman"/>
          <w:b/>
          <w:bCs/>
        </w:rPr>
      </w:pPr>
      <w:r>
        <w:rPr>
          <w:rFonts w:ascii="Times New Roman"/>
          <w:b/>
          <w:bCs/>
        </w:rPr>
        <w:t>ICS</w:t>
      </w:r>
      <w:r>
        <w:rPr>
          <w:rFonts w:hint="eastAsia" w:ascii="Times New Roman"/>
          <w:b/>
          <w:bCs/>
        </w:rPr>
        <w:t xml:space="preserve"> </w:t>
      </w:r>
      <w:r>
        <w:rPr>
          <w:rFonts w:ascii="Times New Roman"/>
          <w:b/>
          <w:bCs/>
        </w:rPr>
        <w:t>11.020</w:t>
      </w:r>
    </w:p>
    <w:p w14:paraId="146B0B1A">
      <w:pPr>
        <w:pStyle w:val="202"/>
        <w:framePr w:wrap="around" w:vAnchor="page" w:hAnchor="page" w:x="1848" w:y="732"/>
        <w:rPr>
          <w:rFonts w:ascii="Times New Roman"/>
          <w:b/>
          <w:bCs/>
        </w:rPr>
      </w:pPr>
      <w:r>
        <w:rPr>
          <w:rFonts w:ascii="Times New Roman"/>
          <w:b/>
          <w:bCs/>
        </w:rPr>
        <w:t>CCS C 05</w:t>
      </w:r>
    </w:p>
    <w:p w14:paraId="4616A2D3">
      <w:pPr>
        <w:pStyle w:val="205"/>
        <w:framePr w:w="8178" w:h="856" w:hRule="exact" w:wrap="around" w:x="2055" w:y="2221"/>
        <w:jc w:val="distribute"/>
        <w:rPr>
          <w:rFonts w:ascii="Times New Roman" w:eastAsia="黑体"/>
          <w:b w:val="0"/>
          <w:sz w:val="56"/>
          <w:szCs w:val="52"/>
        </w:rPr>
      </w:pPr>
      <w:r>
        <w:rPr>
          <w:rFonts w:ascii="Times New Roman" w:eastAsia="黑体"/>
          <w:b w:val="0"/>
          <w:sz w:val="56"/>
          <w:szCs w:val="52"/>
        </w:rPr>
        <w:t>团体标准</w:t>
      </w:r>
    </w:p>
    <w:tbl>
      <w:tblPr>
        <w:tblStyle w:val="31"/>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24A1D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noWrap w:val="0"/>
          </w:tcPr>
          <w:p w14:paraId="463FA516">
            <w:pPr>
              <w:pStyle w:val="204"/>
              <w:framePr w:wrap="around" w:x="1382" w:y="3031"/>
              <w:rPr>
                <w:rFonts w:ascii="Times New Roman"/>
                <w:lang w:val="fr-FR"/>
              </w:rPr>
            </w:pPr>
            <w:r>
              <w:rPr>
                <w:rFonts w:ascii="Times New Roman"/>
                <w:b/>
                <w:bCs/>
                <w:lang w:val="fr-FR"/>
              </w:rPr>
              <w:t>T/C</w:t>
            </w:r>
            <w:bookmarkStart w:id="0" w:name="StdNo1"/>
            <w:r>
              <w:rPr>
                <w:rFonts w:ascii="Times New Roman"/>
                <w:b/>
                <w:bCs/>
                <w:lang w:val="fr-FR"/>
              </w:rPr>
              <w:t>RHA</w:t>
            </w:r>
            <w:bookmarkEnd w:id="0"/>
            <w:r>
              <w:rPr>
                <w:rFonts w:ascii="Times New Roman"/>
                <w:lang w:val="fr-FR"/>
              </w:rPr>
              <w:t xml:space="preserve"> XXX—202X</w:t>
            </w:r>
          </w:p>
        </w:tc>
      </w:tr>
    </w:tbl>
    <w:p w14:paraId="0A0E6EA3">
      <w:pPr>
        <w:pStyle w:val="204"/>
        <w:framePr w:wrap="around" w:x="1382" w:y="3031"/>
        <w:jc w:val="center"/>
        <w:rPr>
          <w:rFonts w:ascii="Times New Roman"/>
          <w:lang w:val="fr-FR"/>
        </w:rPr>
      </w:pPr>
      <w:r>
        <w:rPr>
          <w:rFonts w:ascii="Times New Roman"/>
          <w:lang w:val="fr-FR"/>
        </w:rPr>
        <w:t>————————————————————————————————————————</w:t>
      </w:r>
    </w:p>
    <w:p w14:paraId="71A815B1">
      <w:pPr>
        <w:pStyle w:val="204"/>
        <w:framePr w:wrap="around" w:x="1382" w:y="3031"/>
        <w:rPr>
          <w:rFonts w:ascii="Times New Roman"/>
          <w:lang w:val="fr-FR"/>
        </w:rPr>
      </w:pPr>
    </w:p>
    <w:p w14:paraId="2255D562">
      <w:pPr>
        <w:pStyle w:val="203"/>
        <w:keepNext/>
        <w:keepLines/>
        <w:framePr w:w="9116" w:h="4482" w:hRule="exact" w:wrap="around" w:vAnchor="page" w:hAnchor="page" w:x="1327" w:y="6897"/>
        <w:ind w:firstLine="0"/>
        <w:jc w:val="center"/>
        <w:outlineLvl w:val="9"/>
        <w:rPr>
          <w:rFonts w:hint="eastAsia" w:ascii="黑体" w:hAnsi="黑体" w:eastAsia="黑体" w:cs="Times New Roman"/>
          <w:b/>
          <w:bCs/>
          <w:sz w:val="52"/>
          <w:szCs w:val="52"/>
          <w:lang w:val="en-US" w:eastAsia="zh-CN"/>
        </w:rPr>
      </w:pPr>
      <w:bookmarkStart w:id="1" w:name="StdEnglishName"/>
      <w:r>
        <w:rPr>
          <w:rFonts w:hint="eastAsia" w:ascii="黑体" w:hAnsi="黑体" w:eastAsia="黑体" w:cs="Times New Roman"/>
          <w:b/>
          <w:bCs/>
          <w:sz w:val="52"/>
          <w:szCs w:val="52"/>
          <w:lang w:val="en-US" w:eastAsia="zh-CN"/>
        </w:rPr>
        <w:t>过敏专科护士岗位技能标准</w:t>
      </w:r>
    </w:p>
    <w:p w14:paraId="6F043FCA">
      <w:pPr>
        <w:pStyle w:val="203"/>
        <w:keepNext/>
        <w:keepLines/>
        <w:framePr w:w="9116" w:h="4482" w:hRule="exact" w:wrap="around" w:vAnchor="page" w:hAnchor="page" w:x="1327" w:y="6897"/>
        <w:ind w:firstLine="0"/>
        <w:jc w:val="center"/>
        <w:outlineLvl w:val="9"/>
        <w:rPr>
          <w:rFonts w:ascii="Times New Roman" w:hAnsi="Times New Roman" w:cs="Times New Roman"/>
          <w:b/>
          <w:bCs/>
          <w:sz w:val="28"/>
          <w:szCs w:val="28"/>
          <w:lang w:val="en-US" w:eastAsia="zh-CN"/>
        </w:rPr>
      </w:pPr>
      <w:r>
        <w:rPr>
          <w:rFonts w:hint="eastAsia" w:ascii="Times New Roman" w:hAnsi="Times New Roman" w:cs="Times New Roman"/>
          <w:b/>
          <w:bCs/>
          <w:sz w:val="28"/>
          <w:szCs w:val="28"/>
          <w:lang w:val="en-US" w:eastAsia="zh-CN"/>
        </w:rPr>
        <w:t>（征求意见稿）</w:t>
      </w:r>
    </w:p>
    <w:p w14:paraId="335568BE">
      <w:pPr>
        <w:pStyle w:val="207"/>
        <w:framePr w:w="9331" w:wrap="around" w:hAnchor="page" w:x="1308" w:y="15166"/>
      </w:pPr>
      <w:r>
        <w:t>202X-XX-</w:t>
      </w:r>
      <w:r>
        <w:rPr>
          <w:szCs w:val="22"/>
        </w:rPr>
        <w:t>XX</w:t>
      </w:r>
      <w:r>
        <w:t xml:space="preserve">发布                                 </w:t>
      </w:r>
      <w:r>
        <w:rPr>
          <w:szCs w:val="22"/>
        </w:rPr>
        <w:t>202X-XX-XX实施</w:t>
      </w:r>
    </w:p>
    <w:p w14:paraId="2050F7DA">
      <w:pPr>
        <w:pStyle w:val="206"/>
        <w:framePr w:w="9416" w:wrap="around" w:x="1306" w:y="15597"/>
        <w:pBdr>
          <w:top w:val="single" w:color="000000" w:sz="4" w:space="1"/>
          <w:left w:val="none" w:color="000000" w:sz="0" w:space="4"/>
          <w:bottom w:val="none" w:color="000000" w:sz="0" w:space="1"/>
          <w:right w:val="none" w:color="000000" w:sz="0" w:space="4"/>
        </w:pBdr>
        <w:rPr>
          <w:rFonts w:ascii="Times New Roman" w:eastAsia="黑体"/>
          <w:b w:val="0"/>
          <w:bCs/>
          <w:szCs w:val="28"/>
        </w:rPr>
      </w:pPr>
      <w:r>
        <w:rPr>
          <w:rFonts w:hint="eastAsia" w:ascii="Times New Roman" w:eastAsia="黑体"/>
          <w:b w:val="0"/>
          <w:bCs/>
          <w:szCs w:val="28"/>
        </w:rPr>
        <w:t>中国研究型医院学会</w:t>
      </w:r>
      <w:r>
        <w:rPr>
          <w:rFonts w:ascii="Times New Roman" w:eastAsia="黑体"/>
          <w:b w:val="0"/>
          <w:bCs/>
          <w:szCs w:val="28"/>
        </w:rPr>
        <w:t xml:space="preserve"> </w:t>
      </w:r>
      <w:r>
        <w:rPr>
          <w:rFonts w:hint="eastAsia" w:ascii="Times New Roman" w:eastAsia="黑体"/>
          <w:b w:val="0"/>
          <w:bCs/>
          <w:szCs w:val="28"/>
        </w:rPr>
        <w:t>发布</w:t>
      </w:r>
      <w:bookmarkEnd w:id="1"/>
    </w:p>
    <w:p w14:paraId="113CC7D1">
      <w:pPr>
        <w:pStyle w:val="21"/>
        <w:jc w:val="center"/>
        <w:rPr>
          <w:rFonts w:hint="eastAsia" w:ascii="黑体" w:hAnsi="黑体" w:eastAsia="黑体" w:cs="黑体"/>
          <w:sz w:val="32"/>
          <w:szCs w:val="32"/>
        </w:rPr>
      </w:pPr>
      <w:r>
        <w:rPr>
          <w:rFonts w:ascii="Times New Roman" w:hAnsi="Times New Roman" w:eastAsia="宋体" w:cs="Times New Roman"/>
        </w:rPr>
        <w:drawing>
          <wp:anchor distT="0" distB="0" distL="114300" distR="114300" simplePos="0" relativeHeight="251659264" behindDoc="0" locked="0" layoutInCell="1" allowOverlap="1">
            <wp:simplePos x="0" y="0"/>
            <wp:positionH relativeFrom="column">
              <wp:posOffset>4502785</wp:posOffset>
            </wp:positionH>
            <wp:positionV relativeFrom="page">
              <wp:posOffset>175260</wp:posOffset>
            </wp:positionV>
            <wp:extent cx="1075055" cy="1043305"/>
            <wp:effectExtent l="0" t="0" r="0" b="4445"/>
            <wp:wrapTopAndBottom/>
            <wp:docPr id="1" name="图片 1" descr="a06827f94baeb281ac1150c54aaec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06827f94baeb281ac1150c54aaec17"/>
                    <pic:cNvPicPr>
                      <a:picLocks noChangeAspect="1"/>
                    </pic:cNvPicPr>
                  </pic:nvPicPr>
                  <pic:blipFill>
                    <a:blip r:embed="rId6"/>
                    <a:stretch>
                      <a:fillRect/>
                    </a:stretch>
                  </pic:blipFill>
                  <pic:spPr>
                    <a:xfrm>
                      <a:off x="0" y="0"/>
                      <a:ext cx="1075055" cy="1043305"/>
                    </a:xfrm>
                    <a:prstGeom prst="rect">
                      <a:avLst/>
                    </a:prstGeom>
                  </pic:spPr>
                </pic:pic>
              </a:graphicData>
            </a:graphic>
          </wp:anchor>
        </w:drawing>
      </w:r>
    </w:p>
    <w:p w14:paraId="7B20CA2C">
      <w:pPr>
        <w:pStyle w:val="21"/>
        <w:jc w:val="center"/>
        <w:rPr>
          <w:rFonts w:hint="eastAsia" w:ascii="黑体" w:hAnsi="黑体" w:eastAsia="黑体" w:cs="黑体"/>
          <w:sz w:val="32"/>
          <w:szCs w:val="32"/>
        </w:rPr>
      </w:pPr>
      <w:r>
        <w:rPr>
          <w:rFonts w:hint="eastAsia" w:ascii="黑体" w:hAnsi="黑体" w:eastAsia="黑体" w:cs="黑体"/>
          <w:sz w:val="32"/>
          <w:szCs w:val="32"/>
        </w:rPr>
        <w:br w:type="page" w:clear="all"/>
      </w:r>
    </w:p>
    <w:p w14:paraId="286AB86A">
      <w:pPr>
        <w:jc w:val="center"/>
        <w:rPr>
          <w:rFonts w:hint="eastAsia" w:ascii="黑体" w:hAnsi="黑体" w:eastAsia="黑体" w:cs="黑体"/>
          <w:sz w:val="32"/>
          <w:szCs w:val="32"/>
        </w:rPr>
      </w:pPr>
      <w:r>
        <w:rPr>
          <w:rFonts w:hint="eastAsia" w:ascii="黑体" w:hAnsi="黑体" w:eastAsia="黑体" w:cs="黑体"/>
          <w:sz w:val="32"/>
          <w:szCs w:val="32"/>
        </w:rPr>
        <w:t>目  录</w:t>
      </w:r>
    </w:p>
    <w:sdt>
      <w:sdtPr>
        <w:rPr>
          <w:rFonts w:asciiTheme="minorHAnsi" w:hAnsiTheme="minorHAnsi" w:eastAsiaTheme="minorEastAsia" w:cstheme="minorBidi"/>
          <w:color w:val="auto"/>
          <w:sz w:val="21"/>
          <w:szCs w:val="22"/>
          <w:lang w:val="zh-CN"/>
        </w:rPr>
        <w:id w:val="-410692419"/>
        <w:docPartObj>
          <w:docPartGallery w:val="Table of Contents"/>
          <w:docPartUnique/>
        </w:docPartObj>
      </w:sdtPr>
      <w:sdtEndPr>
        <w:rPr>
          <w:rFonts w:asciiTheme="minorHAnsi" w:hAnsiTheme="minorHAnsi" w:eastAsiaTheme="minorEastAsia" w:cstheme="minorBidi"/>
          <w:color w:val="auto"/>
          <w:sz w:val="21"/>
          <w:szCs w:val="22"/>
          <w:lang w:val="zh-CN"/>
        </w:rPr>
      </w:sdtEndPr>
      <w:sdtContent>
        <w:p w14:paraId="681FD76D">
          <w:pPr>
            <w:pStyle w:val="210"/>
            <w:rPr>
              <w:rFonts w:hint="eastAsia"/>
              <w:sz w:val="21"/>
              <w:szCs w:val="21"/>
            </w:rPr>
          </w:pPr>
        </w:p>
        <w:p w14:paraId="520F7F10">
          <w:pPr>
            <w:pStyle w:val="21"/>
            <w:tabs>
              <w:tab w:val="right" w:leader="dot" w:pos="8296"/>
            </w:tabs>
            <w:rPr>
              <w:rFonts w:hint="eastAsia" w:ascii="Times New Roman" w:hAnsi="Times New Roman" w:eastAsia="宋体" w:cs="Times New Roman"/>
              <w:sz w:val="22"/>
              <w:szCs w:val="24"/>
              <w14:ligatures w14:val="standardContextual"/>
            </w:rPr>
          </w:pPr>
          <w:r>
            <w:fldChar w:fldCharType="begin"/>
          </w:r>
          <w:r>
            <w:instrText xml:space="preserve"> TOC \o "1-3" \h \z \u </w:instrText>
          </w:r>
          <w:r>
            <w:fldChar w:fldCharType="separate"/>
          </w:r>
          <w:r>
            <w:rPr>
              <w:rStyle w:val="35"/>
              <w:rFonts w:hint="eastAsia" w:ascii="Times New Roman" w:hAnsi="Times New Roman" w:eastAsia="宋体" w:cs="Times New Roman"/>
            </w:rPr>
            <w:fldChar w:fldCharType="begin"/>
          </w:r>
          <w:r>
            <w:rPr>
              <w:rStyle w:val="35"/>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"_Toc208235236"</w:instrText>
          </w:r>
          <w:r>
            <w:rPr>
              <w:rStyle w:val="35"/>
              <w:rFonts w:hint="eastAsia" w:ascii="Times New Roman" w:hAnsi="Times New Roman" w:eastAsia="宋体" w:cs="Times New Roman"/>
            </w:rPr>
            <w:instrText xml:space="preserve"> </w:instrText>
          </w:r>
          <w:r>
            <w:rPr>
              <w:rStyle w:val="35"/>
              <w:rFonts w:hint="eastAsia" w:ascii="Times New Roman" w:hAnsi="Times New Roman" w:eastAsia="宋体" w:cs="Times New Roman"/>
            </w:rPr>
            <w:fldChar w:fldCharType="separate"/>
          </w:r>
          <w:r>
            <w:rPr>
              <w:rStyle w:val="35"/>
              <w:rFonts w:hint="eastAsia" w:ascii="Times New Roman" w:hAnsi="Times New Roman" w:eastAsia="宋体" w:cs="Times New Roman"/>
            </w:rPr>
            <w:t>前言</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_Toc208235236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III</w:t>
          </w:r>
          <w:r>
            <w:rPr>
              <w:rFonts w:hint="eastAsia" w:ascii="Times New Roman" w:hAnsi="Times New Roman" w:eastAsia="宋体" w:cs="Times New Roman"/>
            </w:rPr>
            <w:fldChar w:fldCharType="end"/>
          </w:r>
          <w:r>
            <w:rPr>
              <w:rStyle w:val="35"/>
              <w:rFonts w:hint="eastAsia" w:ascii="Times New Roman" w:hAnsi="Times New Roman" w:eastAsia="宋体" w:cs="Times New Roman"/>
            </w:rPr>
            <w:fldChar w:fldCharType="end"/>
          </w:r>
        </w:p>
        <w:p w14:paraId="53C25D4A">
          <w:pPr>
            <w:pStyle w:val="21"/>
            <w:tabs>
              <w:tab w:val="left" w:pos="230"/>
              <w:tab w:val="right" w:leader="dot" w:pos="8296"/>
            </w:tabs>
            <w:rPr>
              <w:rFonts w:hint="eastAsia" w:ascii="Times New Roman" w:hAnsi="Times New Roman" w:eastAsia="宋体" w:cs="Times New Roman"/>
              <w:sz w:val="22"/>
              <w:szCs w:val="24"/>
              <w14:ligatures w14:val="standardContextual"/>
            </w:rPr>
          </w:pPr>
          <w:r>
            <w:rPr>
              <w:rStyle w:val="35"/>
              <w:rFonts w:hint="eastAsia" w:ascii="Times New Roman" w:hAnsi="Times New Roman" w:eastAsia="宋体" w:cs="Times New Roman"/>
            </w:rPr>
            <w:fldChar w:fldCharType="begin"/>
          </w:r>
          <w:r>
            <w:rPr>
              <w:rStyle w:val="35"/>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"_Toc208235237"</w:instrText>
          </w:r>
          <w:r>
            <w:rPr>
              <w:rStyle w:val="35"/>
              <w:rFonts w:hint="eastAsia" w:ascii="Times New Roman" w:hAnsi="Times New Roman" w:eastAsia="宋体" w:cs="Times New Roman"/>
            </w:rPr>
            <w:instrText xml:space="preserve"> </w:instrText>
          </w:r>
          <w:r>
            <w:rPr>
              <w:rStyle w:val="35"/>
              <w:rFonts w:hint="eastAsia" w:ascii="Times New Roman" w:hAnsi="Times New Roman" w:eastAsia="宋体" w:cs="Times New Roman"/>
            </w:rPr>
            <w:fldChar w:fldCharType="separate"/>
          </w:r>
          <w:r>
            <w:rPr>
              <w:rStyle w:val="35"/>
              <w:rFonts w:hint="eastAsia" w:ascii="Times New Roman" w:hAnsi="Times New Roman" w:eastAsia="宋体" w:cs="Times New Roman"/>
              <w:bCs/>
            </w:rPr>
            <w:t>1</w:t>
          </w:r>
          <w:r>
            <w:rPr>
              <w:rFonts w:hint="eastAsia" w:ascii="Times New Roman" w:hAnsi="Times New Roman" w:eastAsia="宋体" w:cs="Times New Roman"/>
              <w:sz w:val="22"/>
              <w:szCs w:val="24"/>
              <w14:ligatures w14:val="standardContextual"/>
            </w:rPr>
            <w:tab/>
          </w:r>
          <w:r>
            <w:rPr>
              <w:rStyle w:val="35"/>
              <w:rFonts w:hint="eastAsia" w:ascii="Times New Roman" w:hAnsi="Times New Roman" w:eastAsia="宋体" w:cs="Times New Roman"/>
            </w:rPr>
            <w:t>范围</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_Toc208235237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1</w:t>
          </w:r>
          <w:r>
            <w:rPr>
              <w:rFonts w:hint="eastAsia" w:ascii="Times New Roman" w:hAnsi="Times New Roman" w:eastAsia="宋体" w:cs="Times New Roman"/>
            </w:rPr>
            <w:fldChar w:fldCharType="end"/>
          </w:r>
          <w:r>
            <w:rPr>
              <w:rStyle w:val="35"/>
              <w:rFonts w:hint="eastAsia" w:ascii="Times New Roman" w:hAnsi="Times New Roman" w:eastAsia="宋体" w:cs="Times New Roman"/>
            </w:rPr>
            <w:fldChar w:fldCharType="end"/>
          </w:r>
        </w:p>
        <w:p w14:paraId="19007630">
          <w:pPr>
            <w:pStyle w:val="21"/>
            <w:tabs>
              <w:tab w:val="left" w:pos="230"/>
              <w:tab w:val="right" w:leader="dot" w:pos="8296"/>
            </w:tabs>
            <w:rPr>
              <w:rFonts w:hint="eastAsia" w:ascii="Times New Roman" w:hAnsi="Times New Roman" w:eastAsia="宋体" w:cs="Times New Roman"/>
              <w:sz w:val="22"/>
              <w:szCs w:val="24"/>
              <w14:ligatures w14:val="standardContextual"/>
            </w:rPr>
          </w:pPr>
          <w:r>
            <w:rPr>
              <w:rStyle w:val="35"/>
              <w:rFonts w:hint="eastAsia" w:ascii="Times New Roman" w:hAnsi="Times New Roman" w:eastAsia="宋体" w:cs="Times New Roman"/>
            </w:rPr>
            <w:fldChar w:fldCharType="begin"/>
          </w:r>
          <w:r>
            <w:rPr>
              <w:rStyle w:val="35"/>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"_Toc208235238"</w:instrText>
          </w:r>
          <w:r>
            <w:rPr>
              <w:rStyle w:val="35"/>
              <w:rFonts w:hint="eastAsia" w:ascii="Times New Roman" w:hAnsi="Times New Roman" w:eastAsia="宋体" w:cs="Times New Roman"/>
            </w:rPr>
            <w:instrText xml:space="preserve"> </w:instrText>
          </w:r>
          <w:r>
            <w:rPr>
              <w:rStyle w:val="35"/>
              <w:rFonts w:hint="eastAsia" w:ascii="Times New Roman" w:hAnsi="Times New Roman" w:eastAsia="宋体" w:cs="Times New Roman"/>
            </w:rPr>
            <w:fldChar w:fldCharType="separate"/>
          </w:r>
          <w:r>
            <w:rPr>
              <w:rStyle w:val="35"/>
              <w:rFonts w:hint="eastAsia" w:ascii="Times New Roman" w:hAnsi="Times New Roman" w:eastAsia="宋体" w:cs="Times New Roman"/>
            </w:rPr>
            <w:t>2</w:t>
          </w:r>
          <w:r>
            <w:rPr>
              <w:rFonts w:hint="eastAsia" w:ascii="Times New Roman" w:hAnsi="Times New Roman" w:eastAsia="宋体" w:cs="Times New Roman"/>
              <w:sz w:val="22"/>
              <w:szCs w:val="24"/>
              <w14:ligatures w14:val="standardContextual"/>
            </w:rPr>
            <w:tab/>
          </w:r>
          <w:r>
            <w:rPr>
              <w:rStyle w:val="35"/>
              <w:rFonts w:hint="eastAsia" w:ascii="Times New Roman" w:hAnsi="Times New Roman" w:eastAsia="宋体" w:cs="Times New Roman"/>
            </w:rPr>
            <w:t>规范性引用文件</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_Toc208235238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1</w:t>
          </w:r>
          <w:r>
            <w:rPr>
              <w:rFonts w:hint="eastAsia" w:ascii="Times New Roman" w:hAnsi="Times New Roman" w:eastAsia="宋体" w:cs="Times New Roman"/>
            </w:rPr>
            <w:fldChar w:fldCharType="end"/>
          </w:r>
          <w:r>
            <w:rPr>
              <w:rStyle w:val="35"/>
              <w:rFonts w:hint="eastAsia" w:ascii="Times New Roman" w:hAnsi="Times New Roman" w:eastAsia="宋体" w:cs="Times New Roman"/>
            </w:rPr>
            <w:fldChar w:fldCharType="end"/>
          </w:r>
        </w:p>
        <w:p w14:paraId="0F837113">
          <w:pPr>
            <w:pStyle w:val="21"/>
            <w:tabs>
              <w:tab w:val="left" w:pos="230"/>
              <w:tab w:val="right" w:leader="dot" w:pos="8296"/>
            </w:tabs>
            <w:rPr>
              <w:rFonts w:hint="eastAsia" w:ascii="Times New Roman" w:hAnsi="Times New Roman" w:eastAsia="宋体" w:cs="Times New Roman"/>
              <w:sz w:val="22"/>
              <w:szCs w:val="24"/>
              <w14:ligatures w14:val="standardContextual"/>
            </w:rPr>
          </w:pPr>
          <w:r>
            <w:rPr>
              <w:rStyle w:val="35"/>
              <w:rFonts w:hint="eastAsia" w:ascii="Times New Roman" w:hAnsi="Times New Roman" w:eastAsia="宋体" w:cs="Times New Roman"/>
            </w:rPr>
            <w:fldChar w:fldCharType="begin"/>
          </w:r>
          <w:r>
            <w:rPr>
              <w:rStyle w:val="35"/>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"_Toc208235239"</w:instrText>
          </w:r>
          <w:r>
            <w:rPr>
              <w:rStyle w:val="35"/>
              <w:rFonts w:hint="eastAsia" w:ascii="Times New Roman" w:hAnsi="Times New Roman" w:eastAsia="宋体" w:cs="Times New Roman"/>
            </w:rPr>
            <w:instrText xml:space="preserve"> </w:instrText>
          </w:r>
          <w:r>
            <w:rPr>
              <w:rStyle w:val="35"/>
              <w:rFonts w:hint="eastAsia" w:ascii="Times New Roman" w:hAnsi="Times New Roman" w:eastAsia="宋体" w:cs="Times New Roman"/>
            </w:rPr>
            <w:fldChar w:fldCharType="separate"/>
          </w:r>
          <w:r>
            <w:rPr>
              <w:rStyle w:val="35"/>
              <w:rFonts w:hint="eastAsia" w:ascii="Times New Roman" w:hAnsi="Times New Roman" w:eastAsia="宋体" w:cs="Times New Roman"/>
            </w:rPr>
            <w:t>3</w:t>
          </w:r>
          <w:r>
            <w:rPr>
              <w:rFonts w:hint="eastAsia" w:ascii="Times New Roman" w:hAnsi="Times New Roman" w:eastAsia="宋体" w:cs="Times New Roman"/>
              <w:sz w:val="22"/>
              <w:szCs w:val="24"/>
              <w14:ligatures w14:val="standardContextual"/>
            </w:rPr>
            <w:tab/>
          </w:r>
          <w:r>
            <w:rPr>
              <w:rStyle w:val="35"/>
              <w:rFonts w:hint="eastAsia" w:ascii="Times New Roman" w:hAnsi="Times New Roman" w:eastAsia="宋体" w:cs="Times New Roman"/>
            </w:rPr>
            <w:t>术语和定义</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_Toc208235239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1</w:t>
          </w:r>
          <w:r>
            <w:rPr>
              <w:rFonts w:hint="eastAsia" w:ascii="Times New Roman" w:hAnsi="Times New Roman" w:eastAsia="宋体" w:cs="Times New Roman"/>
            </w:rPr>
            <w:fldChar w:fldCharType="end"/>
          </w:r>
          <w:r>
            <w:rPr>
              <w:rStyle w:val="35"/>
              <w:rFonts w:hint="eastAsia" w:ascii="Times New Roman" w:hAnsi="Times New Roman" w:eastAsia="宋体" w:cs="Times New Roman"/>
            </w:rPr>
            <w:fldChar w:fldCharType="end"/>
          </w:r>
        </w:p>
        <w:p w14:paraId="75C0C76A">
          <w:pPr>
            <w:pStyle w:val="21"/>
            <w:tabs>
              <w:tab w:val="left" w:pos="230"/>
              <w:tab w:val="right" w:leader="dot" w:pos="8296"/>
            </w:tabs>
            <w:rPr>
              <w:rFonts w:hint="eastAsia" w:ascii="Times New Roman" w:hAnsi="Times New Roman" w:eastAsia="宋体" w:cs="Times New Roman"/>
              <w:sz w:val="22"/>
              <w:szCs w:val="24"/>
              <w14:ligatures w14:val="standardContextual"/>
            </w:rPr>
          </w:pPr>
          <w:r>
            <w:rPr>
              <w:rStyle w:val="35"/>
              <w:rFonts w:hint="eastAsia" w:ascii="Times New Roman" w:hAnsi="Times New Roman" w:eastAsia="宋体" w:cs="Times New Roman"/>
            </w:rPr>
            <w:fldChar w:fldCharType="begin"/>
          </w:r>
          <w:r>
            <w:rPr>
              <w:rStyle w:val="35"/>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"_Toc208235240"</w:instrText>
          </w:r>
          <w:r>
            <w:rPr>
              <w:rStyle w:val="35"/>
              <w:rFonts w:hint="eastAsia" w:ascii="Times New Roman" w:hAnsi="Times New Roman" w:eastAsia="宋体" w:cs="Times New Roman"/>
            </w:rPr>
            <w:instrText xml:space="preserve"> </w:instrText>
          </w:r>
          <w:r>
            <w:rPr>
              <w:rStyle w:val="35"/>
              <w:rFonts w:hint="eastAsia" w:ascii="Times New Roman" w:hAnsi="Times New Roman" w:eastAsia="宋体" w:cs="Times New Roman"/>
            </w:rPr>
            <w:fldChar w:fldCharType="separate"/>
          </w:r>
          <w:r>
            <w:rPr>
              <w:rStyle w:val="35"/>
              <w:rFonts w:hint="eastAsia" w:ascii="Times New Roman" w:hAnsi="Times New Roman" w:eastAsia="宋体" w:cs="Times New Roman"/>
            </w:rPr>
            <w:t>4</w:t>
          </w:r>
          <w:r>
            <w:rPr>
              <w:rFonts w:hint="eastAsia" w:ascii="Times New Roman" w:hAnsi="Times New Roman" w:eastAsia="宋体" w:cs="Times New Roman"/>
              <w:sz w:val="22"/>
              <w:szCs w:val="24"/>
              <w14:ligatures w14:val="standardContextual"/>
            </w:rPr>
            <w:tab/>
          </w:r>
          <w:r>
            <w:rPr>
              <w:rStyle w:val="35"/>
              <w:rFonts w:hint="eastAsia" w:ascii="Times New Roman" w:hAnsi="Times New Roman" w:eastAsia="宋体" w:cs="Times New Roman"/>
            </w:rPr>
            <w:t>专科门诊科室设施</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_Toc208235240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2</w:t>
          </w:r>
          <w:r>
            <w:rPr>
              <w:rFonts w:hint="eastAsia" w:ascii="Times New Roman" w:hAnsi="Times New Roman" w:eastAsia="宋体" w:cs="Times New Roman"/>
            </w:rPr>
            <w:fldChar w:fldCharType="end"/>
          </w:r>
          <w:r>
            <w:rPr>
              <w:rStyle w:val="35"/>
              <w:rFonts w:hint="eastAsia" w:ascii="Times New Roman" w:hAnsi="Times New Roman" w:eastAsia="宋体" w:cs="Times New Roman"/>
            </w:rPr>
            <w:fldChar w:fldCharType="end"/>
          </w:r>
        </w:p>
        <w:p w14:paraId="1D89DA27">
          <w:pPr>
            <w:pStyle w:val="21"/>
            <w:tabs>
              <w:tab w:val="left" w:pos="230"/>
              <w:tab w:val="right" w:leader="dot" w:pos="8296"/>
            </w:tabs>
            <w:rPr>
              <w:rFonts w:hint="eastAsia" w:ascii="Times New Roman" w:hAnsi="Times New Roman" w:eastAsia="宋体" w:cs="Times New Roman"/>
              <w:sz w:val="22"/>
              <w:szCs w:val="24"/>
              <w14:ligatures w14:val="standardContextual"/>
            </w:rPr>
          </w:pPr>
          <w:r>
            <w:rPr>
              <w:rStyle w:val="35"/>
              <w:rFonts w:hint="eastAsia" w:ascii="Times New Roman" w:hAnsi="Times New Roman" w:eastAsia="宋体" w:cs="Times New Roman"/>
            </w:rPr>
            <w:fldChar w:fldCharType="begin"/>
          </w:r>
          <w:r>
            <w:rPr>
              <w:rStyle w:val="35"/>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"_Toc208235241"</w:instrText>
          </w:r>
          <w:r>
            <w:rPr>
              <w:rStyle w:val="35"/>
              <w:rFonts w:hint="eastAsia" w:ascii="Times New Roman" w:hAnsi="Times New Roman" w:eastAsia="宋体" w:cs="Times New Roman"/>
            </w:rPr>
            <w:instrText xml:space="preserve"> </w:instrText>
          </w:r>
          <w:r>
            <w:rPr>
              <w:rStyle w:val="35"/>
              <w:rFonts w:hint="eastAsia" w:ascii="Times New Roman" w:hAnsi="Times New Roman" w:eastAsia="宋体" w:cs="Times New Roman"/>
            </w:rPr>
            <w:fldChar w:fldCharType="separate"/>
          </w:r>
          <w:r>
            <w:rPr>
              <w:rStyle w:val="35"/>
              <w:rFonts w:hint="eastAsia" w:ascii="Times New Roman" w:hAnsi="Times New Roman" w:eastAsia="宋体" w:cs="Times New Roman"/>
            </w:rPr>
            <w:t>5</w:t>
          </w:r>
          <w:r>
            <w:rPr>
              <w:rFonts w:hint="eastAsia" w:ascii="Times New Roman" w:hAnsi="Times New Roman" w:eastAsia="宋体" w:cs="Times New Roman"/>
              <w:sz w:val="22"/>
              <w:szCs w:val="24"/>
              <w14:ligatures w14:val="standardContextual"/>
            </w:rPr>
            <w:tab/>
          </w:r>
          <w:r>
            <w:rPr>
              <w:rStyle w:val="35"/>
              <w:rFonts w:hint="eastAsia" w:ascii="Times New Roman" w:hAnsi="Times New Roman" w:eastAsia="宋体" w:cs="Times New Roman"/>
            </w:rPr>
            <w:t>专科护理人员配置及管理</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_Toc208235241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4</w:t>
          </w:r>
          <w:r>
            <w:rPr>
              <w:rFonts w:hint="eastAsia" w:ascii="Times New Roman" w:hAnsi="Times New Roman" w:eastAsia="宋体" w:cs="Times New Roman"/>
            </w:rPr>
            <w:fldChar w:fldCharType="end"/>
          </w:r>
          <w:r>
            <w:rPr>
              <w:rStyle w:val="35"/>
              <w:rFonts w:hint="eastAsia" w:ascii="Times New Roman" w:hAnsi="Times New Roman" w:eastAsia="宋体" w:cs="Times New Roman"/>
            </w:rPr>
            <w:fldChar w:fldCharType="end"/>
          </w:r>
        </w:p>
        <w:p w14:paraId="25BBA246">
          <w:pPr>
            <w:pStyle w:val="21"/>
            <w:tabs>
              <w:tab w:val="left" w:pos="230"/>
              <w:tab w:val="right" w:leader="dot" w:pos="8296"/>
            </w:tabs>
            <w:rPr>
              <w:rFonts w:hint="eastAsia" w:ascii="Times New Roman" w:hAnsi="Times New Roman" w:eastAsia="宋体" w:cs="Times New Roman"/>
              <w:sz w:val="22"/>
              <w:szCs w:val="24"/>
              <w14:ligatures w14:val="standardContextual"/>
            </w:rPr>
          </w:pPr>
          <w:r>
            <w:rPr>
              <w:rStyle w:val="35"/>
              <w:rFonts w:hint="eastAsia" w:ascii="Times New Roman" w:hAnsi="Times New Roman" w:eastAsia="宋体" w:cs="Times New Roman"/>
            </w:rPr>
            <w:fldChar w:fldCharType="begin"/>
          </w:r>
          <w:r>
            <w:rPr>
              <w:rStyle w:val="35"/>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"_Toc208235242"</w:instrText>
          </w:r>
          <w:r>
            <w:rPr>
              <w:rStyle w:val="35"/>
              <w:rFonts w:hint="eastAsia" w:ascii="Times New Roman" w:hAnsi="Times New Roman" w:eastAsia="宋体" w:cs="Times New Roman"/>
            </w:rPr>
            <w:instrText xml:space="preserve"> </w:instrText>
          </w:r>
          <w:r>
            <w:rPr>
              <w:rStyle w:val="35"/>
              <w:rFonts w:hint="eastAsia" w:ascii="Times New Roman" w:hAnsi="Times New Roman" w:eastAsia="宋体" w:cs="Times New Roman"/>
            </w:rPr>
            <w:fldChar w:fldCharType="separate"/>
          </w:r>
          <w:r>
            <w:rPr>
              <w:rStyle w:val="35"/>
              <w:rFonts w:hint="eastAsia" w:ascii="Times New Roman" w:hAnsi="Times New Roman" w:eastAsia="宋体" w:cs="Times New Roman"/>
            </w:rPr>
            <w:t>6</w:t>
          </w:r>
          <w:r>
            <w:rPr>
              <w:rFonts w:hint="eastAsia" w:ascii="Times New Roman" w:hAnsi="Times New Roman" w:eastAsia="宋体" w:cs="Times New Roman"/>
              <w:sz w:val="22"/>
              <w:szCs w:val="24"/>
              <w14:ligatures w14:val="standardContextual"/>
            </w:rPr>
            <w:tab/>
          </w:r>
          <w:r>
            <w:rPr>
              <w:rStyle w:val="35"/>
              <w:rFonts w:hint="eastAsia" w:ascii="Times New Roman" w:hAnsi="Times New Roman" w:eastAsia="宋体" w:cs="Times New Roman"/>
            </w:rPr>
            <w:t>专科操作技术</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_Toc208235242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4</w:t>
          </w:r>
          <w:r>
            <w:rPr>
              <w:rFonts w:hint="eastAsia" w:ascii="Times New Roman" w:hAnsi="Times New Roman" w:eastAsia="宋体" w:cs="Times New Roman"/>
            </w:rPr>
            <w:fldChar w:fldCharType="end"/>
          </w:r>
          <w:r>
            <w:rPr>
              <w:rStyle w:val="35"/>
              <w:rFonts w:hint="eastAsia" w:ascii="Times New Roman" w:hAnsi="Times New Roman" w:eastAsia="宋体" w:cs="Times New Roman"/>
            </w:rPr>
            <w:fldChar w:fldCharType="end"/>
          </w:r>
        </w:p>
        <w:p w14:paraId="2FC4F42E">
          <w:pPr>
            <w:pStyle w:val="21"/>
            <w:tabs>
              <w:tab w:val="left" w:pos="230"/>
              <w:tab w:val="right" w:leader="dot" w:pos="8296"/>
            </w:tabs>
            <w:rPr>
              <w:rFonts w:hint="eastAsia" w:ascii="Times New Roman" w:hAnsi="Times New Roman" w:eastAsia="宋体" w:cs="Times New Roman"/>
              <w:sz w:val="22"/>
              <w:szCs w:val="24"/>
              <w14:ligatures w14:val="standardContextual"/>
            </w:rPr>
          </w:pPr>
          <w:r>
            <w:rPr>
              <w:rStyle w:val="35"/>
              <w:rFonts w:hint="eastAsia" w:ascii="Times New Roman" w:hAnsi="Times New Roman" w:eastAsia="宋体" w:cs="Times New Roman"/>
            </w:rPr>
            <w:fldChar w:fldCharType="begin"/>
          </w:r>
          <w:r>
            <w:rPr>
              <w:rStyle w:val="35"/>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"_Toc208235243"</w:instrText>
          </w:r>
          <w:r>
            <w:rPr>
              <w:rStyle w:val="35"/>
              <w:rFonts w:hint="eastAsia" w:ascii="Times New Roman" w:hAnsi="Times New Roman" w:eastAsia="宋体" w:cs="Times New Roman"/>
            </w:rPr>
            <w:instrText xml:space="preserve"> </w:instrText>
          </w:r>
          <w:r>
            <w:rPr>
              <w:rStyle w:val="35"/>
              <w:rFonts w:hint="eastAsia" w:ascii="Times New Roman" w:hAnsi="Times New Roman" w:eastAsia="宋体" w:cs="Times New Roman"/>
            </w:rPr>
            <w:fldChar w:fldCharType="separate"/>
          </w:r>
          <w:r>
            <w:rPr>
              <w:rStyle w:val="35"/>
              <w:rFonts w:hint="eastAsia" w:ascii="Times New Roman" w:hAnsi="Times New Roman" w:eastAsia="宋体" w:cs="Times New Roman"/>
            </w:rPr>
            <w:t>7</w:t>
          </w:r>
          <w:r>
            <w:rPr>
              <w:rFonts w:hint="eastAsia" w:ascii="Times New Roman" w:hAnsi="Times New Roman" w:eastAsia="宋体" w:cs="Times New Roman"/>
              <w:sz w:val="22"/>
              <w:szCs w:val="24"/>
              <w14:ligatures w14:val="standardContextual"/>
            </w:rPr>
            <w:tab/>
          </w:r>
          <w:r>
            <w:rPr>
              <w:rStyle w:val="35"/>
              <w:rFonts w:hint="eastAsia" w:ascii="Times New Roman" w:hAnsi="Times New Roman" w:eastAsia="宋体" w:cs="Times New Roman"/>
            </w:rPr>
            <w:t>不良反应的应急处理</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_Toc208235243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10</w:t>
          </w:r>
          <w:r>
            <w:rPr>
              <w:rFonts w:hint="eastAsia" w:ascii="Times New Roman" w:hAnsi="Times New Roman" w:eastAsia="宋体" w:cs="Times New Roman"/>
            </w:rPr>
            <w:fldChar w:fldCharType="end"/>
          </w:r>
          <w:r>
            <w:rPr>
              <w:rStyle w:val="35"/>
              <w:rFonts w:hint="eastAsia" w:ascii="Times New Roman" w:hAnsi="Times New Roman" w:eastAsia="宋体" w:cs="Times New Roman"/>
            </w:rPr>
            <w:fldChar w:fldCharType="end"/>
          </w:r>
        </w:p>
        <w:p w14:paraId="3CD763DE">
          <w:pPr>
            <w:pStyle w:val="21"/>
            <w:tabs>
              <w:tab w:val="left" w:pos="230"/>
              <w:tab w:val="right" w:leader="dot" w:pos="8296"/>
            </w:tabs>
            <w:rPr>
              <w:rFonts w:hint="eastAsia" w:ascii="Times New Roman" w:hAnsi="Times New Roman" w:eastAsia="宋体" w:cs="Times New Roman"/>
              <w:sz w:val="22"/>
              <w:szCs w:val="24"/>
              <w14:ligatures w14:val="standardContextual"/>
            </w:rPr>
          </w:pPr>
          <w:r>
            <w:rPr>
              <w:rStyle w:val="35"/>
              <w:rFonts w:hint="eastAsia" w:ascii="Times New Roman" w:hAnsi="Times New Roman" w:eastAsia="宋体" w:cs="Times New Roman"/>
            </w:rPr>
            <w:fldChar w:fldCharType="begin"/>
          </w:r>
          <w:r>
            <w:rPr>
              <w:rStyle w:val="35"/>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"_Toc208235244"</w:instrText>
          </w:r>
          <w:r>
            <w:rPr>
              <w:rStyle w:val="35"/>
              <w:rFonts w:hint="eastAsia" w:ascii="Times New Roman" w:hAnsi="Times New Roman" w:eastAsia="宋体" w:cs="Times New Roman"/>
            </w:rPr>
            <w:instrText xml:space="preserve"> </w:instrText>
          </w:r>
          <w:r>
            <w:rPr>
              <w:rStyle w:val="35"/>
              <w:rFonts w:hint="eastAsia" w:ascii="Times New Roman" w:hAnsi="Times New Roman" w:eastAsia="宋体" w:cs="Times New Roman"/>
            </w:rPr>
            <w:fldChar w:fldCharType="separate"/>
          </w:r>
          <w:r>
            <w:rPr>
              <w:rStyle w:val="35"/>
              <w:rFonts w:hint="eastAsia" w:ascii="Times New Roman" w:hAnsi="Times New Roman" w:eastAsia="宋体" w:cs="Times New Roman"/>
            </w:rPr>
            <w:t>8</w:t>
          </w:r>
          <w:r>
            <w:rPr>
              <w:rFonts w:hint="eastAsia" w:ascii="Times New Roman" w:hAnsi="Times New Roman" w:eastAsia="宋体" w:cs="Times New Roman"/>
              <w:sz w:val="22"/>
              <w:szCs w:val="24"/>
              <w14:ligatures w14:val="standardContextual"/>
            </w:rPr>
            <w:tab/>
          </w:r>
          <w:r>
            <w:rPr>
              <w:rStyle w:val="35"/>
              <w:rFonts w:hint="eastAsia" w:ascii="Times New Roman" w:hAnsi="Times New Roman" w:eastAsia="宋体" w:cs="Times New Roman"/>
            </w:rPr>
            <w:t>专科护理教育</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_Toc208235244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11</w:t>
          </w:r>
          <w:r>
            <w:rPr>
              <w:rFonts w:hint="eastAsia" w:ascii="Times New Roman" w:hAnsi="Times New Roman" w:eastAsia="宋体" w:cs="Times New Roman"/>
            </w:rPr>
            <w:fldChar w:fldCharType="end"/>
          </w:r>
          <w:r>
            <w:rPr>
              <w:rStyle w:val="35"/>
              <w:rFonts w:hint="eastAsia" w:ascii="Times New Roman" w:hAnsi="Times New Roman" w:eastAsia="宋体" w:cs="Times New Roman"/>
            </w:rPr>
            <w:fldChar w:fldCharType="end"/>
          </w:r>
        </w:p>
        <w:p w14:paraId="2E1864B1">
          <w:pPr>
            <w:pStyle w:val="21"/>
            <w:tabs>
              <w:tab w:val="left" w:pos="230"/>
              <w:tab w:val="right" w:leader="dot" w:pos="8296"/>
            </w:tabs>
            <w:rPr>
              <w:rFonts w:hint="eastAsia" w:ascii="Times New Roman" w:hAnsi="Times New Roman" w:eastAsia="宋体" w:cs="Times New Roman"/>
              <w:sz w:val="22"/>
              <w:szCs w:val="24"/>
              <w14:ligatures w14:val="standardContextual"/>
            </w:rPr>
          </w:pPr>
          <w:r>
            <w:rPr>
              <w:rStyle w:val="35"/>
              <w:rFonts w:hint="eastAsia" w:ascii="Times New Roman" w:hAnsi="Times New Roman" w:eastAsia="宋体" w:cs="Times New Roman"/>
            </w:rPr>
            <w:fldChar w:fldCharType="begin"/>
          </w:r>
          <w:r>
            <w:rPr>
              <w:rStyle w:val="35"/>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"_Toc208235245"</w:instrText>
          </w:r>
          <w:r>
            <w:rPr>
              <w:rStyle w:val="35"/>
              <w:rFonts w:hint="eastAsia" w:ascii="Times New Roman" w:hAnsi="Times New Roman" w:eastAsia="宋体" w:cs="Times New Roman"/>
            </w:rPr>
            <w:instrText xml:space="preserve"> </w:instrText>
          </w:r>
          <w:r>
            <w:rPr>
              <w:rStyle w:val="35"/>
              <w:rFonts w:hint="eastAsia" w:ascii="Times New Roman" w:hAnsi="Times New Roman" w:eastAsia="宋体" w:cs="Times New Roman"/>
            </w:rPr>
            <w:fldChar w:fldCharType="separate"/>
          </w:r>
          <w:r>
            <w:rPr>
              <w:rStyle w:val="35"/>
              <w:rFonts w:hint="eastAsia" w:ascii="Times New Roman" w:hAnsi="Times New Roman" w:eastAsia="宋体" w:cs="Times New Roman"/>
            </w:rPr>
            <w:t>9</w:t>
          </w:r>
          <w:r>
            <w:rPr>
              <w:rFonts w:hint="eastAsia" w:ascii="Times New Roman" w:hAnsi="Times New Roman" w:eastAsia="宋体" w:cs="Times New Roman"/>
              <w:sz w:val="22"/>
              <w:szCs w:val="24"/>
              <w14:ligatures w14:val="standardContextual"/>
            </w:rPr>
            <w:tab/>
          </w:r>
          <w:r>
            <w:rPr>
              <w:rStyle w:val="35"/>
              <w:rFonts w:hint="eastAsia" w:ascii="Times New Roman" w:hAnsi="Times New Roman" w:eastAsia="宋体" w:cs="Times New Roman"/>
            </w:rPr>
            <w:t>科研护理操作</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_Toc208235245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12</w:t>
          </w:r>
          <w:r>
            <w:rPr>
              <w:rFonts w:hint="eastAsia" w:ascii="Times New Roman" w:hAnsi="Times New Roman" w:eastAsia="宋体" w:cs="Times New Roman"/>
            </w:rPr>
            <w:fldChar w:fldCharType="end"/>
          </w:r>
          <w:r>
            <w:rPr>
              <w:rStyle w:val="35"/>
              <w:rFonts w:hint="eastAsia" w:ascii="Times New Roman" w:hAnsi="Times New Roman" w:eastAsia="宋体" w:cs="Times New Roman"/>
            </w:rPr>
            <w:fldChar w:fldCharType="end"/>
          </w:r>
        </w:p>
        <w:p w14:paraId="60E8A900">
          <w:pPr>
            <w:rPr>
              <w:rFonts w:hint="eastAsia"/>
              <w:b/>
              <w:bCs/>
              <w:lang w:val="zh-CN"/>
            </w:rPr>
          </w:pPr>
          <w:r>
            <w:rPr>
              <w:b/>
              <w:bCs/>
              <w:lang w:val="zh-CN"/>
            </w:rPr>
            <w:fldChar w:fldCharType="end"/>
          </w:r>
        </w:p>
      </w:sdtContent>
    </w:sdt>
    <w:p w14:paraId="356BD6DD">
      <w:pPr>
        <w:rPr>
          <w:rFonts w:hint="eastAsia" w:asciiTheme="minorHAnsi" w:hAnsiTheme="minorHAnsi" w:eastAsiaTheme="minorEastAsia" w:cstheme="minorBidi"/>
          <w:sz w:val="21"/>
          <w:szCs w:val="22"/>
        </w:rPr>
      </w:pPr>
      <w:r>
        <w:rPr>
          <w:rFonts w:hint="eastAsia" w:ascii="黑体" w:hAnsi="黑体" w:eastAsia="黑体" w:cs="黑体"/>
          <w:sz w:val="32"/>
          <w:szCs w:val="32"/>
        </w:rPr>
        <w:br w:type="page" w:clear="all"/>
      </w:r>
    </w:p>
    <w:p w14:paraId="69A355BC">
      <w:pPr>
        <w:pStyle w:val="21"/>
        <w:jc w:val="center"/>
        <w:outlineLvl w:val="0"/>
        <w:rPr>
          <w:rFonts w:hint="eastAsia" w:ascii="黑体" w:hAnsi="黑体" w:eastAsia="黑体" w:cs="黑体"/>
          <w:sz w:val="32"/>
          <w:szCs w:val="32"/>
        </w:rPr>
      </w:pPr>
      <w:bookmarkStart w:id="2" w:name="_Toc208235236"/>
      <w:r>
        <w:rPr>
          <w:rFonts w:hint="eastAsia" w:ascii="黑体" w:hAnsi="黑体" w:eastAsia="黑体" w:cs="黑体"/>
          <w:sz w:val="32"/>
          <w:szCs w:val="32"/>
        </w:rPr>
        <w:t>前  言</w:t>
      </w:r>
      <w:bookmarkEnd w:id="2"/>
    </w:p>
    <w:p w14:paraId="0842053A">
      <w:pPr>
        <w:rPr>
          <w:rFonts w:hint="eastAsia" w:ascii="黑体" w:hAnsi="黑体" w:eastAsia="黑体" w:cs="黑体"/>
          <w:sz w:val="32"/>
          <w:szCs w:val="32"/>
        </w:rPr>
      </w:pPr>
    </w:p>
    <w:p w14:paraId="19F476B8">
      <w:pPr>
        <w:ind w:firstLine="420"/>
        <w:rPr>
          <w:rFonts w:ascii="Times New Roman" w:hAnsi="Times New Roman" w:eastAsia="宋体" w:cs="Times New Roman"/>
          <w:szCs w:val="21"/>
        </w:rPr>
      </w:pPr>
      <w:r>
        <w:rPr>
          <w:rFonts w:hint="eastAsia" w:ascii="Times New Roman" w:hAnsi="Times New Roman" w:eastAsia="宋体" w:cs="Times New Roman"/>
          <w:szCs w:val="21"/>
        </w:rPr>
        <w:t>本文件按照GB/T 1.1</w:t>
      </w:r>
      <w:r>
        <w:rPr>
          <w:rFonts w:hint="eastAsia" w:ascii="Times New Roman" w:hAnsi="Times New Roman" w:eastAsia="宋体" w:cs="Times New Roman"/>
          <w:szCs w:val="21"/>
        </w:rPr>
        <w:t>-</w:t>
      </w:r>
      <w:r>
        <w:rPr>
          <w:rFonts w:hint="eastAsia" w:ascii="Times New Roman" w:hAnsi="Times New Roman" w:eastAsia="宋体" w:cs="Times New Roman"/>
          <w:szCs w:val="21"/>
        </w:rPr>
        <w:t>2020</w:t>
      </w:r>
      <w:r>
        <w:rPr>
          <w:rFonts w:hint="eastAsia" w:ascii="Times New Roman" w:hAnsi="Times New Roman" w:eastAsia="宋体" w:cs="Times New Roman"/>
          <w:szCs w:val="21"/>
        </w:rPr>
        <w:t xml:space="preserve"> </w:t>
      </w:r>
      <w:r>
        <w:rPr>
          <w:rFonts w:hint="eastAsia" w:ascii="Times New Roman" w:hAnsi="Times New Roman" w:eastAsia="宋体" w:cs="Times New Roman"/>
          <w:szCs w:val="21"/>
        </w:rPr>
        <w:t>《标准化工作导则 第1部分：标准化文件的结构和起草规则》的规定起草。</w:t>
      </w:r>
    </w:p>
    <w:p w14:paraId="4AF00D00">
      <w:pPr>
        <w:ind w:firstLine="420"/>
        <w:rPr>
          <w:rFonts w:hint="eastAsia" w:ascii="Times New Roman" w:hAnsi="Times New Roman" w:eastAsia="宋体" w:cs="Times New Roman"/>
          <w:szCs w:val="21"/>
        </w:rPr>
      </w:pPr>
      <w:r>
        <w:rPr>
          <w:rFonts w:hint="eastAsia" w:ascii="Times New Roman" w:hAnsi="Times New Roman" w:eastAsia="宋体" w:cs="Times New Roman"/>
          <w:szCs w:val="21"/>
        </w:rPr>
        <w:t>本文件的某些内容可能涉及专利，本文件的发布机构不承担识别专利的责任。</w:t>
      </w:r>
    </w:p>
    <w:p w14:paraId="15B1EB19">
      <w:pPr>
        <w:ind w:firstLine="420"/>
        <w:rPr>
          <w:rFonts w:hint="eastAsia" w:ascii="Times New Roman" w:hAnsi="Times New Roman" w:eastAsia="宋体" w:cs="Times New Roman"/>
          <w:szCs w:val="21"/>
        </w:rPr>
      </w:pPr>
      <w:r>
        <w:rPr>
          <w:rFonts w:hint="eastAsia" w:ascii="Times New Roman" w:hAnsi="Times New Roman" w:eastAsia="宋体" w:cs="Times New Roman"/>
          <w:szCs w:val="21"/>
        </w:rPr>
        <w:t>本文件由中国研究型医院学会过敏医学专业委员会提出。</w:t>
      </w:r>
    </w:p>
    <w:p w14:paraId="1155C1C9">
      <w:pPr>
        <w:ind w:firstLine="420"/>
        <w:rPr>
          <w:rFonts w:hint="eastAsia" w:ascii="Times New Roman" w:hAnsi="Times New Roman" w:eastAsia="宋体" w:cs="Times New Roman"/>
          <w:szCs w:val="21"/>
        </w:rPr>
      </w:pPr>
      <w:r>
        <w:rPr>
          <w:rFonts w:hint="eastAsia" w:ascii="Times New Roman" w:hAnsi="Times New Roman" w:eastAsia="宋体" w:cs="Times New Roman"/>
          <w:szCs w:val="21"/>
        </w:rPr>
        <w:t>本文件由中国研究型医院学会归口。</w:t>
      </w:r>
    </w:p>
    <w:p w14:paraId="01D57ACF">
      <w:pPr>
        <w:ind w:firstLine="420"/>
        <w:rPr>
          <w:rFonts w:hint="eastAsia" w:ascii="Times New Roman" w:hAnsi="Times New Roman" w:eastAsia="宋体" w:cs="Times New Roman"/>
          <w:szCs w:val="21"/>
        </w:rPr>
      </w:pPr>
      <w:r>
        <w:rPr>
          <w:rFonts w:hint="eastAsia" w:ascii="Times New Roman" w:hAnsi="Times New Roman" w:eastAsia="宋体" w:cs="Times New Roman"/>
          <w:szCs w:val="21"/>
        </w:rPr>
        <w:t>本文件起草单位：。</w:t>
      </w:r>
    </w:p>
    <w:p w14:paraId="3F034C7B">
      <w:pPr>
        <w:ind w:firstLine="420"/>
        <w:rPr>
          <w:rFonts w:hint="eastAsia" w:ascii="Times New Roman" w:hAnsi="Times New Roman" w:eastAsia="宋体" w:cs="Times New Roman"/>
          <w:szCs w:val="21"/>
        </w:rPr>
      </w:pPr>
      <w:r>
        <w:rPr>
          <w:rFonts w:hint="eastAsia" w:ascii="Times New Roman" w:hAnsi="Times New Roman" w:eastAsia="宋体" w:cs="Times New Roman"/>
          <w:szCs w:val="21"/>
        </w:rPr>
        <w:t>本文件主要起草人：</w:t>
      </w:r>
      <w:r>
        <w:rPr>
          <w:rFonts w:hint="eastAsia" w:ascii="Times New Roman" w:hAnsi="Times New Roman" w:eastAsia="宋体" w:cs="Times New Roman"/>
          <w:szCs w:val="21"/>
        </w:rPr>
        <w:t>。</w:t>
      </w:r>
      <w:bookmarkStart w:id="25" w:name="_GoBack"/>
      <w:bookmarkEnd w:id="25"/>
    </w:p>
    <w:p w14:paraId="793E5D64">
      <w:pPr>
        <w:rPr>
          <w:rFonts w:hint="eastAsia" w:ascii="宋体" w:hAnsi="宋体" w:eastAsia="宋体" w:cs="Times New Roman"/>
          <w:szCs w:val="21"/>
        </w:rPr>
        <w:sectPr>
          <w:footerReference r:id="rId3" w:type="default"/>
          <w:pgSz w:w="11906" w:h="16838" w:orient="landscape"/>
          <w:pgMar w:top="1440" w:right="1800" w:bottom="1440" w:left="1800" w:header="851" w:footer="992" w:gutter="0"/>
          <w:cols w:space="425" w:num="1"/>
          <w:titlePg/>
        </w:sectPr>
      </w:pPr>
      <w:r>
        <w:rPr>
          <w:rFonts w:hint="eastAsia" w:ascii="宋体" w:hAnsi="宋体" w:eastAsia="宋体" w:cs="Times New Roman"/>
          <w:szCs w:val="21"/>
        </w:rPr>
        <w:br w:type="page" w:clear="all"/>
      </w:r>
    </w:p>
    <w:p w14:paraId="6986F126">
      <w:pPr>
        <w:pStyle w:val="21"/>
        <w:jc w:val="center"/>
        <w:rPr>
          <w:rFonts w:hint="eastAsia" w:ascii="黑体" w:hAnsi="黑体" w:eastAsia="黑体" w:cs="黑体"/>
          <w:sz w:val="32"/>
          <w:szCs w:val="32"/>
        </w:rPr>
      </w:pPr>
      <w:r>
        <w:rPr>
          <w:rFonts w:hint="eastAsia" w:ascii="黑体" w:hAnsi="黑体" w:eastAsia="黑体" w:cs="黑体"/>
          <w:sz w:val="32"/>
          <w:szCs w:val="32"/>
        </w:rPr>
        <w:t>过敏专科护士岗位技能标准</w:t>
      </w:r>
    </w:p>
    <w:p w14:paraId="740D9AB6">
      <w:pPr>
        <w:pStyle w:val="184"/>
        <w:rPr>
          <w:rFonts w:hint="eastAsia"/>
          <w:bCs/>
        </w:rPr>
      </w:pPr>
      <w:bookmarkStart w:id="3" w:name="_Toc208235237"/>
      <w:r>
        <w:rPr>
          <w:rFonts w:hint="eastAsia"/>
        </w:rPr>
        <w:t>范围</w:t>
      </w:r>
      <w:bookmarkEnd w:id="3"/>
    </w:p>
    <w:p w14:paraId="55E08CCB">
      <w:pPr>
        <w:ind w:firstLine="420"/>
        <w:jc w:val="both"/>
        <w:rPr>
          <w:rFonts w:hint="eastAsia" w:ascii="宋体" w:hAnsi="宋体" w:eastAsia="宋体" w:cstheme="minorEastAsia"/>
          <w:position w:val="-24"/>
          <w:szCs w:val="21"/>
        </w:rPr>
      </w:pPr>
      <w:r>
        <w:rPr>
          <w:rFonts w:hint="eastAsia" w:ascii="宋体" w:hAnsi="宋体" w:eastAsia="宋体" w:cstheme="minorEastAsia"/>
          <w:position w:val="-24"/>
          <w:szCs w:val="21"/>
        </w:rPr>
        <w:t>本文件给出了变态反应（过敏）专科设置，包括过敏门诊护理操作功能间的设置及详细布局，人员设置，各类皮肤试验操作、皮肤试验药品的配制与保管、变应原特异性免疫治疗的操作、变应原特异性免疫治疗药物的配制与管理、肺功能操作。</w:t>
      </w:r>
    </w:p>
    <w:p w14:paraId="583F75C3">
      <w:pPr>
        <w:pStyle w:val="184"/>
        <w:rPr>
          <w:rFonts w:hint="eastAsia"/>
        </w:rPr>
      </w:pPr>
      <w:bookmarkStart w:id="4" w:name="_Toc208235238"/>
      <w:r>
        <w:rPr>
          <w:rFonts w:hint="eastAsia"/>
        </w:rPr>
        <w:t>规范性引用文件</w:t>
      </w:r>
      <w:bookmarkEnd w:id="4"/>
    </w:p>
    <w:p w14:paraId="1D1D85E9">
      <w:pPr>
        <w:ind w:firstLine="420"/>
        <w:rPr>
          <w:rFonts w:hint="eastAsia" w:ascii="宋体" w:hAnsi="宋体" w:eastAsia="宋体" w:cstheme="minorEastAsia"/>
          <w:position w:val="-24"/>
          <w:szCs w:val="21"/>
        </w:rPr>
      </w:pPr>
      <w:r>
        <w:rPr>
          <w:rFonts w:hint="eastAsia" w:ascii="宋体" w:hAnsi="宋体" w:eastAsia="宋体" w:cstheme="minorEastAsia"/>
          <w:position w:val="-24"/>
          <w:szCs w:val="21"/>
        </w:rPr>
        <w:t>下列文件中的内容通过本文件的规范性引用而成为本文件必不可少的条款。凡是注日期的引用文件，仅注日期的版本适用于本文件。凡是不注日期的引用文件，其最新版本（包括所有的修改单）适用于本文件。</w:t>
      </w:r>
    </w:p>
    <w:p w14:paraId="25DB1222">
      <w:pPr>
        <w:pStyle w:val="184"/>
        <w:rPr>
          <w:rFonts w:hint="eastAsia"/>
        </w:rPr>
      </w:pPr>
      <w:bookmarkStart w:id="5" w:name="_Toc208235239"/>
      <w:r>
        <w:rPr>
          <w:rFonts w:hint="eastAsia"/>
        </w:rPr>
        <w:t>术语和定义</w:t>
      </w:r>
      <w:bookmarkEnd w:id="5"/>
    </w:p>
    <w:p w14:paraId="0FDB88FD">
      <w:pPr>
        <w:ind w:firstLine="420"/>
        <w:rPr>
          <w:rFonts w:hint="eastAsia" w:ascii="宋体" w:hAnsi="宋体" w:eastAsia="宋体" w:cstheme="minorEastAsia"/>
          <w:bCs w:val="0"/>
          <w:position w:val="-24"/>
          <w:szCs w:val="21"/>
        </w:rPr>
      </w:pPr>
      <w:r>
        <w:rPr>
          <w:rFonts w:hint="eastAsia" w:ascii="宋体" w:hAnsi="宋体" w:eastAsia="宋体" w:cstheme="minorEastAsia"/>
          <w:bCs w:val="0"/>
          <w:position w:val="-24"/>
          <w:szCs w:val="21"/>
        </w:rPr>
        <w:t>下列术语</w:t>
      </w:r>
      <w:r>
        <w:rPr>
          <w:rFonts w:hint="eastAsia" w:ascii="宋体" w:hAnsi="宋体" w:eastAsia="宋体" w:cstheme="minorEastAsia"/>
          <w:bCs w:val="0"/>
          <w:position w:val="-24"/>
          <w:szCs w:val="21"/>
        </w:rPr>
        <w:t>和</w:t>
      </w:r>
      <w:r>
        <w:rPr>
          <w:rFonts w:hint="eastAsia" w:ascii="宋体" w:hAnsi="宋体" w:eastAsia="宋体" w:cstheme="minorEastAsia"/>
          <w:bCs w:val="0"/>
          <w:position w:val="-24"/>
          <w:szCs w:val="21"/>
        </w:rPr>
        <w:t>定义适用于本文件。</w:t>
      </w:r>
    </w:p>
    <w:p w14:paraId="3A3C8A96">
      <w:pPr>
        <w:spacing w:before="156" w:after="156"/>
        <w:jc w:val="left"/>
        <w:rPr>
          <w:rFonts w:hint="eastAsia" w:ascii="黑体" w:hAnsi="黑体" w:eastAsia="黑体" w:cstheme="minorEastAsia"/>
          <w:position w:val="-24"/>
          <w:szCs w:val="21"/>
        </w:rPr>
      </w:pPr>
      <w:r>
        <w:rPr>
          <w:rFonts w:hint="eastAsia" w:ascii="黑体" w:hAnsi="黑体" w:eastAsia="黑体" w:cstheme="minorEastAsia"/>
          <w:position w:val="-24"/>
          <w:szCs w:val="21"/>
        </w:rPr>
        <w:t>3.1</w:t>
      </w:r>
    </w:p>
    <w:p w14:paraId="256807F2">
      <w:pPr>
        <w:ind w:firstLine="420"/>
        <w:jc w:val="left"/>
        <w:rPr>
          <w:rFonts w:hint="eastAsia" w:ascii="Times New Roman" w:hAnsi="Times New Roman" w:cs="Times New Roman"/>
          <w:position w:val="-24"/>
          <w:szCs w:val="21"/>
        </w:rPr>
      </w:pPr>
      <w:r>
        <w:rPr>
          <w:rFonts w:hint="eastAsia" w:ascii="黑体" w:hAnsi="黑体" w:eastAsia="黑体" w:cstheme="minorEastAsia"/>
          <w:position w:val="-24"/>
          <w:szCs w:val="21"/>
        </w:rPr>
        <w:t>变态反应（过敏）</w:t>
      </w:r>
      <w:r>
        <w:rPr>
          <w:rFonts w:hint="eastAsia" w:ascii="Times New Roman" w:hAnsi="Times New Roman" w:cs="Times New Roman"/>
          <w:position w:val="-24"/>
          <w:szCs w:val="21"/>
        </w:rPr>
        <w:t>（allergy）</w:t>
      </w:r>
    </w:p>
    <w:p w14:paraId="6832F653">
      <w:pPr>
        <w:numPr>
          <w:ilvl w:val="0"/>
          <w:numId w:val="0"/>
        </w:numPr>
        <w:ind w:left="0" w:firstLine="420"/>
        <w:jc w:val="both"/>
        <w:rPr>
          <w:rFonts w:hint="eastAsia" w:ascii="Times New Roman" w:hAnsi="Times New Roman" w:eastAsia="宋体" w:cs="Times New Roman"/>
          <w:position w:val="-24"/>
          <w:szCs w:val="21"/>
        </w:rPr>
      </w:pPr>
      <w:r>
        <w:rPr>
          <w:rFonts w:hint="eastAsia" w:ascii="Times New Roman" w:hAnsi="Times New Roman" w:eastAsia="宋体" w:cs="Times New Roman"/>
          <w:position w:val="-24"/>
          <w:szCs w:val="21"/>
        </w:rPr>
        <w:t>机体与抗原性物质在一定条件下相互作用，产生致敏淋巴细胞或特异性抗体，如与再次进入的抗原结合，可导致机体生理功能紊乱和组织损害的病理性免疫应答。引起变态反应的抗原性物质叫变应原，它可以是完全抗原（异种动物血清、尘螨、植物花粉、兽类皮毛、牛奶、鸡蛋等），也可以是半抗原（如青霉素、磺胺、非那西汀等药物，或生漆等低分子物质）。</w:t>
      </w:r>
    </w:p>
    <w:p w14:paraId="77D6662A">
      <w:pPr>
        <w:widowControl w:val="0"/>
        <w:shd w:val="clear" w:color="auto" w:fill="auto"/>
        <w:spacing w:before="156" w:after="156"/>
        <w:jc w:val="left"/>
        <w:rPr>
          <w:rFonts w:hint="eastAsia" w:ascii="黑体" w:hAnsi="黑体" w:eastAsia="黑体" w:cstheme="minorEastAsia"/>
          <w:position w:val="-24"/>
          <w:szCs w:val="21"/>
        </w:rPr>
      </w:pPr>
      <w:r>
        <w:rPr>
          <w:rFonts w:hint="eastAsia" w:ascii="黑体" w:hAnsi="黑体" w:eastAsia="黑体" w:cstheme="minorEastAsia"/>
          <w:position w:val="-24"/>
          <w:szCs w:val="21"/>
        </w:rPr>
        <w:t>3.2</w:t>
      </w:r>
    </w:p>
    <w:p w14:paraId="4310B8A5">
      <w:pPr>
        <w:widowControl/>
        <w:shd w:val="clear" w:color="auto" w:fill="FFFFFF"/>
        <w:ind w:firstLine="420"/>
        <w:jc w:val="left"/>
        <w:rPr>
          <w:rFonts w:hint="eastAsia" w:ascii="Times New Roman" w:hAnsi="Times New Roman" w:cs="Times New Roman"/>
          <w:szCs w:val="21"/>
        </w:rPr>
      </w:pPr>
      <w:r>
        <w:rPr>
          <w:rFonts w:hint="eastAsia" w:ascii="黑体" w:hAnsi="黑体" w:eastAsia="黑体" w:cstheme="minorEastAsia"/>
          <w:szCs w:val="21"/>
        </w:rPr>
        <w:t>皮肤试验</w:t>
      </w:r>
      <w:r>
        <w:rPr>
          <w:rFonts w:hint="eastAsia" w:asciiTheme="minorEastAsia" w:hAnsiTheme="minorEastAsia" w:cstheme="minorEastAsia"/>
          <w:szCs w:val="21"/>
        </w:rPr>
        <w:t xml:space="preserve"> </w:t>
      </w:r>
      <w:r>
        <w:rPr>
          <w:rFonts w:hint="eastAsia" w:ascii="Times New Roman" w:hAnsi="Times New Roman" w:cs="Times New Roman"/>
          <w:szCs w:val="21"/>
        </w:rPr>
        <w:t>skin test</w:t>
      </w:r>
    </w:p>
    <w:p w14:paraId="662724B1">
      <w:pPr>
        <w:widowControl w:val="0"/>
        <w:shd w:val="clear" w:color="auto" w:fill="auto"/>
        <w:ind w:firstLine="420"/>
        <w:jc w:val="both"/>
        <w:rPr>
          <w:rFonts w:hint="eastAsia" w:ascii="Times New Roman" w:hAnsi="Times New Roman" w:eastAsia="宋体" w:cs="Times New Roman"/>
          <w:position w:val="-24"/>
          <w:szCs w:val="21"/>
        </w:rPr>
      </w:pPr>
      <w:r>
        <w:rPr>
          <w:rFonts w:hint="eastAsia" w:ascii="Times New Roman" w:hAnsi="Times New Roman" w:eastAsia="宋体" w:cs="Times New Roman"/>
          <w:position w:val="-24"/>
          <w:szCs w:val="21"/>
        </w:rPr>
        <w:t>皮肤试验是借助抗原、抗体在皮肤内或皮肤上的反应进行</w:t>
      </w:r>
      <w:r>
        <w:rPr>
          <w:rFonts w:hint="eastAsia" w:ascii="Times New Roman" w:hAnsi="Times New Roman" w:eastAsia="宋体" w:cs="Times New Roman"/>
          <w:position w:val="-24"/>
          <w:szCs w:val="21"/>
        </w:rPr>
        <w:fldChar w:fldCharType="begin"/>
      </w:r>
      <w:r>
        <w:rPr>
          <w:rFonts w:hint="eastAsia" w:ascii="Times New Roman" w:hAnsi="Times New Roman" w:eastAsia="宋体" w:cs="Times New Roman"/>
          <w:position w:val="-24"/>
          <w:szCs w:val="21"/>
        </w:rPr>
        <w:instrText xml:space="preserve"> HYPERLINK "https://baike.baidu.com/item/%E5%85%8D%E7%96%AB%E5%AD%A6%E6%A3%80%E6%B5%8B/16305067?fromModule=lemma_inlink" \t "https://baike.baidu.com/item/_blank" </w:instrText>
      </w:r>
      <w:r>
        <w:rPr>
          <w:rFonts w:hint="eastAsia" w:ascii="Times New Roman" w:hAnsi="Times New Roman" w:eastAsia="宋体" w:cs="Times New Roman"/>
          <w:position w:val="-24"/>
          <w:szCs w:val="21"/>
        </w:rPr>
        <w:fldChar w:fldCharType="separate"/>
      </w:r>
      <w:r>
        <w:rPr>
          <w:rFonts w:hint="eastAsia" w:ascii="Times New Roman" w:hAnsi="Times New Roman" w:eastAsia="宋体" w:cs="Times New Roman"/>
          <w:position w:val="-24"/>
          <w:szCs w:val="21"/>
        </w:rPr>
        <w:t>免疫学检测</w:t>
      </w:r>
      <w:r>
        <w:rPr>
          <w:rFonts w:hint="eastAsia" w:ascii="Times New Roman" w:hAnsi="Times New Roman" w:eastAsia="宋体" w:cs="Times New Roman"/>
          <w:position w:val="-24"/>
          <w:szCs w:val="21"/>
        </w:rPr>
        <w:fldChar w:fldCharType="end"/>
      </w:r>
      <w:r>
        <w:rPr>
          <w:rFonts w:hint="eastAsia" w:ascii="Times New Roman" w:hAnsi="Times New Roman" w:eastAsia="宋体" w:cs="Times New Roman"/>
          <w:position w:val="-24"/>
          <w:szCs w:val="21"/>
        </w:rPr>
        <w:t>的方法。常用试验方法包括：</w:t>
      </w:r>
      <w:bookmarkStart w:id="6" w:name="OLE_LINK3"/>
      <w:r>
        <w:rPr>
          <w:rFonts w:ascii="Times New Roman" w:hAnsi="Times New Roman" w:eastAsia="宋体" w:cs="Times New Roman"/>
          <w:position w:val="-24"/>
          <w:szCs w:val="21"/>
        </w:rPr>
        <w:fldChar w:fldCharType="begin"/>
      </w:r>
      <w:r>
        <w:rPr>
          <w:rFonts w:hint="eastAsia" w:ascii="Times New Roman" w:hAnsi="Times New Roman" w:eastAsia="宋体" w:cs="Times New Roman"/>
          <w:position w:val="-24"/>
          <w:szCs w:val="21"/>
        </w:rPr>
        <w:instrText xml:space="preserve">HYPERLINK "https://baike.baidu.com/item/%E7%9A%AE%E5%86%85%E8%AF%95%E9%AA%8C/4855062?fromModule=lemma_inlink" \t "https://baike.baidu.com/item/_blank"</w:instrText>
      </w:r>
      <w:r>
        <w:rPr>
          <w:rFonts w:ascii="Times New Roman" w:hAnsi="Times New Roman" w:eastAsia="宋体" w:cs="Times New Roman"/>
          <w:position w:val="-24"/>
          <w:szCs w:val="21"/>
        </w:rPr>
        <w:fldChar w:fldCharType="separate"/>
      </w:r>
      <w:r>
        <w:rPr>
          <w:rFonts w:hint="eastAsia" w:ascii="Times New Roman" w:hAnsi="Times New Roman" w:eastAsia="宋体" w:cs="Times New Roman"/>
          <w:position w:val="-24"/>
          <w:szCs w:val="21"/>
        </w:rPr>
        <w:t>皮内试验</w:t>
      </w:r>
      <w:r>
        <w:rPr>
          <w:rFonts w:ascii="Times New Roman" w:hAnsi="Times New Roman" w:eastAsia="宋体" w:cs="Times New Roman"/>
          <w:position w:val="-24"/>
          <w:szCs w:val="21"/>
        </w:rPr>
        <w:fldChar w:fldCharType="end"/>
      </w:r>
      <w:r>
        <w:rPr>
          <w:rFonts w:hint="eastAsia" w:ascii="Times New Roman" w:hAnsi="Times New Roman" w:eastAsia="宋体" w:cs="Times New Roman"/>
          <w:position w:val="-24"/>
          <w:szCs w:val="21"/>
        </w:rPr>
        <w:t>（intradermal test）</w:t>
      </w:r>
      <w:bookmarkEnd w:id="6"/>
      <w:r>
        <w:rPr>
          <w:rFonts w:hint="eastAsia" w:ascii="Times New Roman" w:hAnsi="Times New Roman" w:eastAsia="宋体" w:cs="Times New Roman"/>
          <w:position w:val="-24"/>
          <w:szCs w:val="21"/>
        </w:rPr>
        <w:t>和</w:t>
      </w:r>
      <w:r>
        <w:rPr>
          <w:rFonts w:hint="eastAsia" w:ascii="Times New Roman" w:hAnsi="Times New Roman" w:eastAsia="宋体" w:cs="Times New Roman"/>
          <w:position w:val="-24"/>
          <w:szCs w:val="21"/>
        </w:rPr>
        <w:t>点刺试验（prick test）。</w:t>
      </w:r>
    </w:p>
    <w:p w14:paraId="4D3849AB">
      <w:pPr>
        <w:widowControl w:val="0"/>
        <w:shd w:val="clear" w:color="auto" w:fill="auto"/>
        <w:spacing w:before="156" w:after="156"/>
        <w:jc w:val="left"/>
        <w:rPr>
          <w:rFonts w:hint="eastAsia" w:ascii="黑体" w:hAnsi="黑体" w:eastAsia="黑体" w:cstheme="minorEastAsia"/>
          <w:position w:val="-24"/>
          <w:szCs w:val="21"/>
        </w:rPr>
      </w:pPr>
      <w:r>
        <w:rPr>
          <w:rFonts w:hint="eastAsia" w:ascii="黑体" w:hAnsi="黑体" w:eastAsia="黑体" w:cstheme="minorEastAsia"/>
          <w:position w:val="-24"/>
          <w:szCs w:val="21"/>
        </w:rPr>
        <w:t>3.3</w:t>
      </w:r>
    </w:p>
    <w:p w14:paraId="5937E03D">
      <w:pPr>
        <w:widowControl/>
        <w:shd w:val="clear" w:color="auto" w:fill="FFFFFF"/>
        <w:ind w:firstLine="420"/>
        <w:jc w:val="left"/>
        <w:rPr>
          <w:rFonts w:hint="eastAsia" w:ascii="Times New Roman" w:hAnsi="Times New Roman" w:cs="Times New Roman"/>
          <w:szCs w:val="21"/>
        </w:rPr>
      </w:pPr>
      <w:r>
        <w:rPr>
          <w:rFonts w:ascii="黑体" w:hAnsi="黑体" w:eastAsia="黑体"/>
        </w:rPr>
        <w:fldChar w:fldCharType="begin"/>
      </w:r>
      <w:r>
        <w:rPr>
          <w:rFonts w:hint="eastAsia" w:ascii="黑体" w:hAnsi="黑体" w:eastAsia="黑体"/>
        </w:rPr>
        <w:instrText xml:space="preserve">HYPERLINK "https://baike.baidu.com/item/%E7%9A%AE%E5%86%85%E8%AF%95%E9%AA%8C/4855062?fromModule=lemma_inlink" \t "https://baike.baidu.com/item/_blank"</w:instrText>
      </w:r>
      <w:r>
        <w:rPr>
          <w:rFonts w:ascii="黑体" w:hAnsi="黑体" w:eastAsia="黑体"/>
        </w:rPr>
        <w:fldChar w:fldCharType="separate"/>
      </w:r>
      <w:r>
        <w:rPr>
          <w:rFonts w:hint="eastAsia" w:ascii="黑体" w:hAnsi="黑体" w:eastAsia="黑体" w:cstheme="minorEastAsia"/>
          <w:szCs w:val="21"/>
        </w:rPr>
        <w:t>皮内试验</w:t>
      </w:r>
      <w:r>
        <w:rPr>
          <w:rFonts w:ascii="黑体" w:hAnsi="黑体" w:eastAsia="黑体"/>
        </w:rPr>
        <w:fldChar w:fldCharType="end"/>
      </w:r>
      <w:r>
        <w:rPr>
          <w:rFonts w:hint="eastAsia" w:asciiTheme="minorEastAsia" w:hAnsiTheme="minorEastAsia" w:cstheme="minorEastAsia"/>
          <w:szCs w:val="21"/>
        </w:rPr>
        <w:t xml:space="preserve"> </w:t>
      </w:r>
      <w:r>
        <w:rPr>
          <w:rFonts w:hint="eastAsia" w:ascii="Times New Roman" w:hAnsi="Times New Roman" w:cs="Times New Roman"/>
          <w:szCs w:val="21"/>
        </w:rPr>
        <w:t>intradermal test</w:t>
      </w:r>
    </w:p>
    <w:p w14:paraId="5558E407">
      <w:pPr>
        <w:widowControl w:val="0"/>
        <w:shd w:val="clear" w:color="auto" w:fill="auto"/>
        <w:ind w:firstLine="420"/>
        <w:jc w:val="both"/>
        <w:rPr>
          <w:rFonts w:hint="eastAsia" w:ascii="Times New Roman" w:hAnsi="Times New Roman" w:eastAsia="宋体" w:cs="Times New Roman"/>
          <w:position w:val="-24"/>
          <w:szCs w:val="21"/>
        </w:rPr>
      </w:pPr>
      <w:r>
        <w:rPr>
          <w:rFonts w:hint="eastAsia" w:ascii="Times New Roman" w:hAnsi="Times New Roman" w:eastAsia="宋体" w:cs="Times New Roman"/>
          <w:position w:val="-24"/>
          <w:szCs w:val="21"/>
        </w:rPr>
        <w:t>皮内试验是指将适当稀释的试验抗原与对照液各0.01</w:t>
      </w:r>
      <w:r>
        <w:rPr>
          <w:rFonts w:hint="eastAsia" w:ascii="Times New Roman" w:hAnsi="Times New Roman" w:eastAsia="宋体" w:cs="Times New Roman"/>
          <w:position w:val="-24"/>
          <w:szCs w:val="21"/>
        </w:rPr>
        <w:t>ml</w:t>
      </w:r>
      <w:r>
        <w:rPr>
          <w:rFonts w:hint="eastAsia" w:ascii="Times New Roman" w:hAnsi="Times New Roman" w:eastAsia="宋体" w:cs="Times New Roman"/>
          <w:position w:val="-24"/>
          <w:szCs w:val="21"/>
        </w:rPr>
        <w:t>-0.03ml用一次性注射器分别注入皮内，使局部产生一个圆形小丘，直径约3mm，皮内试验的敏感性较高，但应警惕诱发严重过敏反应</w:t>
      </w:r>
      <w:bookmarkStart w:id="7" w:name="3-2"/>
      <w:bookmarkEnd w:id="7"/>
      <w:bookmarkStart w:id="8" w:name="挑刺试验"/>
      <w:bookmarkEnd w:id="8"/>
      <w:r>
        <w:rPr>
          <w:rFonts w:hint="eastAsia" w:ascii="Times New Roman" w:hAnsi="Times New Roman" w:eastAsia="宋体" w:cs="Times New Roman"/>
          <w:position w:val="-24"/>
          <w:szCs w:val="21"/>
        </w:rPr>
        <w:t>。</w:t>
      </w:r>
    </w:p>
    <w:p w14:paraId="3E761D51">
      <w:pPr>
        <w:widowControl w:val="0"/>
        <w:shd w:val="clear" w:color="auto" w:fill="auto"/>
        <w:spacing w:before="156" w:after="156"/>
        <w:jc w:val="left"/>
        <w:rPr>
          <w:rFonts w:hint="eastAsia" w:ascii="黑体" w:hAnsi="黑体" w:eastAsia="黑体" w:cstheme="minorEastAsia"/>
          <w:position w:val="-24"/>
          <w:szCs w:val="21"/>
        </w:rPr>
      </w:pPr>
      <w:r>
        <w:rPr>
          <w:rFonts w:hint="eastAsia" w:ascii="黑体" w:hAnsi="黑体" w:eastAsia="黑体" w:cstheme="minorEastAsia"/>
          <w:position w:val="-24"/>
          <w:szCs w:val="21"/>
        </w:rPr>
        <w:t>3.4</w:t>
      </w:r>
    </w:p>
    <w:p w14:paraId="51E0A65E">
      <w:pPr>
        <w:widowControl/>
        <w:shd w:val="clear" w:color="auto" w:fill="FFFFFF"/>
        <w:ind w:firstLine="420"/>
        <w:jc w:val="left"/>
        <w:rPr>
          <w:rFonts w:hint="eastAsia" w:ascii="Times New Roman" w:hAnsi="Times New Roman" w:cs="Times New Roman"/>
          <w:szCs w:val="21"/>
        </w:rPr>
      </w:pPr>
      <w:r>
        <w:rPr>
          <w:rFonts w:hint="eastAsia" w:ascii="黑体" w:hAnsi="黑体" w:eastAsia="黑体" w:cstheme="minorEastAsia"/>
          <w:szCs w:val="21"/>
        </w:rPr>
        <w:t>点刺试验</w:t>
      </w:r>
      <w:r>
        <w:rPr>
          <w:rFonts w:hint="eastAsia" w:asciiTheme="minorEastAsia" w:hAnsiTheme="minorEastAsia" w:cstheme="minorEastAsia"/>
          <w:szCs w:val="21"/>
        </w:rPr>
        <w:t xml:space="preserve"> </w:t>
      </w:r>
      <w:r>
        <w:rPr>
          <w:rFonts w:hint="eastAsia" w:ascii="Times New Roman" w:hAnsi="Times New Roman" w:cs="Times New Roman"/>
          <w:szCs w:val="21"/>
        </w:rPr>
        <w:t>prick test</w:t>
      </w:r>
    </w:p>
    <w:p w14:paraId="0725B41A">
      <w:pPr>
        <w:widowControl w:val="0"/>
        <w:numPr>
          <w:ilvl w:val="0"/>
          <w:numId w:val="0"/>
        </w:numPr>
        <w:shd w:val="clear" w:color="auto" w:fill="auto"/>
        <w:ind w:left="0" w:firstLine="420"/>
        <w:jc w:val="both"/>
        <w:rPr>
          <w:rFonts w:hint="eastAsia" w:ascii="Times New Roman" w:hAnsi="Times New Roman" w:eastAsia="宋体" w:cs="Times New Roman"/>
          <w:position w:val="-24"/>
          <w:szCs w:val="21"/>
        </w:rPr>
      </w:pPr>
      <w:r>
        <w:rPr>
          <w:rFonts w:hint="eastAsia" w:ascii="Times New Roman" w:hAnsi="Times New Roman" w:eastAsia="宋体" w:cs="Times New Roman"/>
          <w:position w:val="-24"/>
          <w:szCs w:val="21"/>
        </w:rPr>
        <w:fldChar w:fldCharType="begin"/>
      </w:r>
      <w:r>
        <w:rPr>
          <w:rFonts w:hint="eastAsia" w:ascii="Times New Roman" w:hAnsi="Times New Roman" w:eastAsia="宋体" w:cs="Times New Roman"/>
          <w:position w:val="-24"/>
          <w:szCs w:val="21"/>
        </w:rPr>
        <w:instrText xml:space="preserve"> HYPERLINK "https://baike.baidu.com/item/%E7%82%B9%E5%88%BA/10961818?fromModule=lemma_inlink" \t "https://baike.baidu.com/item/_blank" </w:instrText>
      </w:r>
      <w:r>
        <w:rPr>
          <w:rFonts w:hint="eastAsia" w:ascii="Times New Roman" w:hAnsi="Times New Roman" w:eastAsia="宋体" w:cs="Times New Roman"/>
          <w:position w:val="-24"/>
          <w:szCs w:val="21"/>
        </w:rPr>
        <w:fldChar w:fldCharType="separate"/>
      </w:r>
      <w:r>
        <w:rPr>
          <w:rFonts w:hint="eastAsia" w:ascii="Times New Roman" w:hAnsi="Times New Roman" w:eastAsia="宋体" w:cs="Times New Roman"/>
          <w:position w:val="-24"/>
          <w:szCs w:val="21"/>
        </w:rPr>
        <w:t>点刺</w:t>
      </w:r>
      <w:r>
        <w:rPr>
          <w:rFonts w:hint="eastAsia" w:ascii="Times New Roman" w:hAnsi="Times New Roman" w:eastAsia="宋体" w:cs="Times New Roman"/>
          <w:position w:val="-24"/>
          <w:szCs w:val="21"/>
        </w:rPr>
        <w:fldChar w:fldCharType="end"/>
      </w:r>
      <w:r>
        <w:rPr>
          <w:rFonts w:hint="eastAsia" w:ascii="Times New Roman" w:hAnsi="Times New Roman" w:eastAsia="宋体" w:cs="Times New Roman"/>
          <w:position w:val="-24"/>
          <w:szCs w:val="21"/>
        </w:rPr>
        <w:t>试验是指将适当浓度的试验抗原与对照液分别滴于试验部位皮肤上，用点刺针尖透过液滴轻轻地刺入皮肤，以刺破皮肤而不出血为最佳，点刺试验比皮内试验敏感性稍低，如临床高度怀疑过敏，但点刺试验阴性，可以再进行皮内试验。皮肤试验主要检测I型变态反应。</w:t>
      </w:r>
    </w:p>
    <w:p w14:paraId="56E43B96">
      <w:pPr>
        <w:spacing w:before="156" w:after="156"/>
        <w:jc w:val="left"/>
        <w:rPr>
          <w:rFonts w:hint="eastAsia" w:ascii="黑体" w:hAnsi="黑体" w:eastAsia="黑体" w:cstheme="minorEastAsia"/>
          <w:position w:val="-24"/>
          <w:szCs w:val="21"/>
        </w:rPr>
      </w:pPr>
      <w:r>
        <w:rPr>
          <w:rFonts w:hint="eastAsia" w:ascii="黑体" w:hAnsi="黑体" w:eastAsia="黑体" w:cstheme="minorEastAsia"/>
          <w:position w:val="-24"/>
          <w:szCs w:val="21"/>
        </w:rPr>
        <w:t>3.5</w:t>
      </w:r>
    </w:p>
    <w:p w14:paraId="74CA1AAE">
      <w:pPr>
        <w:ind w:firstLine="420"/>
        <w:jc w:val="left"/>
        <w:rPr>
          <w:rFonts w:hint="eastAsia" w:ascii="Times New Roman" w:hAnsi="Times New Roman" w:cs="Times New Roman"/>
          <w:position w:val="-24"/>
          <w:szCs w:val="21"/>
        </w:rPr>
      </w:pPr>
      <w:r>
        <w:rPr>
          <w:rFonts w:hint="eastAsia" w:ascii="黑体" w:hAnsi="黑体" w:eastAsia="黑体" w:cstheme="minorEastAsia"/>
          <w:position w:val="-24"/>
          <w:szCs w:val="21"/>
        </w:rPr>
        <w:t>斑贴试验</w:t>
      </w:r>
      <w:r>
        <w:rPr>
          <w:rFonts w:hint="eastAsia" w:asciiTheme="minorEastAsia" w:hAnsiTheme="minorEastAsia" w:cstheme="minorEastAsia"/>
          <w:position w:val="-24"/>
          <w:szCs w:val="21"/>
        </w:rPr>
        <w:t xml:space="preserve"> </w:t>
      </w:r>
      <w:r>
        <w:rPr>
          <w:rFonts w:hint="eastAsia" w:ascii="Times New Roman" w:hAnsi="Times New Roman" w:cs="Times New Roman"/>
          <w:position w:val="-24"/>
          <w:szCs w:val="21"/>
        </w:rPr>
        <w:t>patch test</w:t>
      </w:r>
    </w:p>
    <w:p w14:paraId="26DABBB1">
      <w:pPr>
        <w:numPr>
          <w:ilvl w:val="0"/>
          <w:numId w:val="0"/>
        </w:numPr>
        <w:ind w:left="0" w:firstLine="420"/>
        <w:jc w:val="both"/>
        <w:rPr>
          <w:rFonts w:hint="eastAsia" w:ascii="Times New Roman" w:hAnsi="Times New Roman" w:eastAsia="宋体" w:cs="Times New Roman"/>
          <w:position w:val="-24"/>
          <w:szCs w:val="21"/>
        </w:rPr>
      </w:pPr>
      <w:r>
        <w:rPr>
          <w:rFonts w:hint="eastAsia" w:ascii="Times New Roman" w:hAnsi="Times New Roman" w:eastAsia="宋体" w:cs="Times New Roman"/>
          <w:position w:val="-24"/>
          <w:szCs w:val="21"/>
        </w:rPr>
        <w:t>多用于接触变应原皮肤试验，将试验抗原依次放入斑试器，贴至患者皮肤，观察患者皮肤反应判读结果。斑贴试验主要是检测Ⅳ型变态反应。</w:t>
      </w:r>
    </w:p>
    <w:p w14:paraId="53C92FF1">
      <w:pPr>
        <w:spacing w:before="156" w:after="156"/>
        <w:jc w:val="left"/>
        <w:rPr>
          <w:rFonts w:hint="eastAsia" w:ascii="黑体" w:hAnsi="黑体" w:eastAsia="黑体" w:cstheme="minorEastAsia"/>
          <w:position w:val="-24"/>
          <w:szCs w:val="21"/>
        </w:rPr>
      </w:pPr>
      <w:r>
        <w:rPr>
          <w:rFonts w:hint="eastAsia" w:ascii="黑体" w:hAnsi="黑体" w:eastAsia="黑体" w:cstheme="minorEastAsia"/>
          <w:position w:val="-24"/>
          <w:szCs w:val="21"/>
        </w:rPr>
        <w:t>3.6</w:t>
      </w:r>
    </w:p>
    <w:p w14:paraId="7B0CFDE1">
      <w:pPr>
        <w:ind w:firstLine="420"/>
        <w:jc w:val="left"/>
        <w:rPr>
          <w:rFonts w:hint="eastAsia" w:ascii="Times New Roman" w:hAnsi="Times New Roman" w:cs="Times New Roman"/>
          <w:position w:val="-24"/>
          <w:szCs w:val="21"/>
        </w:rPr>
      </w:pPr>
      <w:r>
        <w:rPr>
          <w:rFonts w:hint="eastAsia" w:ascii="黑体" w:hAnsi="黑体" w:eastAsia="黑体" w:cstheme="minorEastAsia"/>
          <w:position w:val="-24"/>
          <w:szCs w:val="21"/>
        </w:rPr>
        <w:t>变应原特异性免疫治疗</w:t>
      </w:r>
      <w:r>
        <w:rPr>
          <w:rFonts w:hint="eastAsia" w:asciiTheme="minorEastAsia" w:hAnsiTheme="minorEastAsia" w:cstheme="minorEastAsia"/>
          <w:position w:val="-24"/>
          <w:szCs w:val="21"/>
        </w:rPr>
        <w:t xml:space="preserve"> </w:t>
      </w:r>
      <w:r>
        <w:rPr>
          <w:rFonts w:hint="eastAsia" w:ascii="Times New Roman" w:hAnsi="Times New Roman" w:cs="Times New Roman"/>
          <w:position w:val="-24"/>
          <w:szCs w:val="21"/>
        </w:rPr>
        <w:t>allergen specific immunotherapy</w:t>
      </w:r>
    </w:p>
    <w:p w14:paraId="6CB9F681">
      <w:pPr>
        <w:numPr>
          <w:ilvl w:val="0"/>
          <w:numId w:val="0"/>
        </w:numPr>
        <w:ind w:left="0" w:firstLine="420"/>
        <w:jc w:val="both"/>
        <w:rPr>
          <w:rFonts w:hint="eastAsia" w:ascii="Times New Roman" w:hAnsi="Times New Roman" w:eastAsia="宋体" w:cs="Times New Roman"/>
          <w:position w:val="-24"/>
          <w:szCs w:val="21"/>
        </w:rPr>
      </w:pPr>
      <w:r>
        <w:rPr>
          <w:rFonts w:hint="eastAsia" w:ascii="Times New Roman" w:hAnsi="Times New Roman" w:eastAsia="宋体" w:cs="Times New Roman"/>
          <w:position w:val="-24"/>
          <w:szCs w:val="21"/>
        </w:rPr>
        <w:t>也可称为免疫治疗，脱敏治疗，是对某些Ⅰ型变态反应疾病，在确定患者致敏变应原后，给患者使用逐渐递增剂量的该变应原提取物，从而提高患者对该变应原的耐受能力，患者再次接触该致敏变应原后，症状减轻甚至不出现症状。变应原免疫治疗是治疗吸入变应原过敏的一种有效的对因治疗方法。并且在终止治疗后可维持长期的临床疗效。</w:t>
      </w:r>
    </w:p>
    <w:p w14:paraId="363F245B">
      <w:pPr>
        <w:spacing w:before="156" w:after="156"/>
        <w:jc w:val="left"/>
        <w:rPr>
          <w:rFonts w:hint="eastAsia" w:ascii="黑体" w:hAnsi="黑体" w:eastAsia="黑体" w:cstheme="minorEastAsia"/>
          <w:position w:val="-24"/>
          <w:szCs w:val="21"/>
        </w:rPr>
      </w:pPr>
      <w:r>
        <w:rPr>
          <w:rFonts w:hint="eastAsia" w:ascii="黑体" w:hAnsi="黑体" w:eastAsia="黑体" w:cstheme="minorEastAsia"/>
          <w:position w:val="-24"/>
          <w:szCs w:val="21"/>
        </w:rPr>
        <w:t>3.7</w:t>
      </w:r>
    </w:p>
    <w:p w14:paraId="6F928512">
      <w:pPr>
        <w:ind w:firstLine="420"/>
        <w:jc w:val="left"/>
        <w:rPr>
          <w:rFonts w:hint="eastAsia" w:ascii="Times New Roman" w:hAnsi="Times New Roman" w:cs="Times New Roman"/>
          <w:position w:val="-24"/>
          <w:szCs w:val="21"/>
        </w:rPr>
      </w:pPr>
      <w:r>
        <w:rPr>
          <w:rFonts w:hint="eastAsia" w:ascii="黑体" w:hAnsi="黑体" w:eastAsia="黑体" w:cstheme="minorEastAsia"/>
          <w:position w:val="-24"/>
          <w:szCs w:val="21"/>
        </w:rPr>
        <w:t>集群免疫治疗</w:t>
      </w:r>
      <w:r>
        <w:rPr>
          <w:rFonts w:hint="eastAsia" w:asciiTheme="minorEastAsia" w:hAnsiTheme="minorEastAsia" w:cstheme="minorEastAsia"/>
          <w:position w:val="-24"/>
          <w:szCs w:val="21"/>
        </w:rPr>
        <w:t xml:space="preserve"> </w:t>
      </w:r>
      <w:r>
        <w:rPr>
          <w:rFonts w:hint="eastAsia" w:ascii="Times New Roman" w:hAnsi="Times New Roman" w:cs="Times New Roman"/>
          <w:position w:val="-24"/>
          <w:szCs w:val="21"/>
        </w:rPr>
        <w:t>cluster immunotherapy</w:t>
      </w:r>
    </w:p>
    <w:p w14:paraId="185EE777">
      <w:pPr>
        <w:numPr>
          <w:ilvl w:val="0"/>
          <w:numId w:val="0"/>
        </w:numPr>
        <w:ind w:left="0" w:firstLine="420"/>
        <w:jc w:val="both"/>
        <w:rPr>
          <w:rFonts w:hint="eastAsia" w:ascii="Times New Roman" w:hAnsi="Times New Roman" w:eastAsia="宋体" w:cs="Times New Roman"/>
          <w:position w:val="-24"/>
          <w:szCs w:val="21"/>
        </w:rPr>
      </w:pPr>
      <w:r>
        <w:rPr>
          <w:rFonts w:hint="eastAsia" w:ascii="Times New Roman" w:hAnsi="Times New Roman" w:eastAsia="宋体" w:cs="Times New Roman"/>
          <w:position w:val="-24"/>
          <w:szCs w:val="21"/>
        </w:rPr>
        <w:t>是一种改进的皮下注射免疫治疗方法，相较于传统的皮下注射免疫治疗，集群免疫治疗在患者每次进行变应原免疫治疗时，医生会给予患者2次或更多次注射变应原制剂，从而快速达到变应原的维持剂量。这种治疗方法有助于患者更快建立对特定变应原的免疫耐受。</w:t>
      </w:r>
    </w:p>
    <w:p w14:paraId="60B82B3C">
      <w:pPr>
        <w:spacing w:before="156" w:after="156"/>
        <w:jc w:val="left"/>
        <w:rPr>
          <w:rFonts w:hint="eastAsia" w:ascii="黑体" w:hAnsi="黑体" w:eastAsia="黑体" w:cstheme="minorEastAsia"/>
          <w:position w:val="-24"/>
          <w:szCs w:val="21"/>
        </w:rPr>
      </w:pPr>
      <w:r>
        <w:rPr>
          <w:rFonts w:hint="eastAsia" w:ascii="黑体" w:hAnsi="黑体" w:eastAsia="黑体" w:cstheme="minorEastAsia"/>
          <w:position w:val="-24"/>
          <w:szCs w:val="21"/>
        </w:rPr>
        <w:t>3.8</w:t>
      </w:r>
    </w:p>
    <w:p w14:paraId="20F97431">
      <w:pPr>
        <w:ind w:firstLine="420"/>
        <w:jc w:val="left"/>
        <w:rPr>
          <w:rFonts w:hint="eastAsia" w:ascii="Times New Roman" w:hAnsi="Times New Roman" w:cs="Times New Roman"/>
          <w:position w:val="-24"/>
          <w:szCs w:val="21"/>
        </w:rPr>
      </w:pPr>
      <w:r>
        <w:rPr>
          <w:rFonts w:hint="eastAsia" w:ascii="黑体" w:hAnsi="黑体" w:eastAsia="黑体" w:cstheme="minorEastAsia"/>
          <w:position w:val="-24"/>
          <w:szCs w:val="21"/>
        </w:rPr>
        <w:t>变应原免疫治疗药物的配制</w:t>
      </w:r>
      <w:r>
        <w:rPr>
          <w:rFonts w:hint="eastAsia" w:asciiTheme="minorEastAsia" w:hAnsiTheme="minorEastAsia" w:cstheme="minorEastAsia"/>
          <w:position w:val="-24"/>
          <w:szCs w:val="21"/>
        </w:rPr>
        <w:t xml:space="preserve"> </w:t>
      </w:r>
    </w:p>
    <w:p w14:paraId="35CDFA0F">
      <w:pPr>
        <w:numPr>
          <w:ilvl w:val="0"/>
          <w:numId w:val="0"/>
        </w:numPr>
        <w:ind w:left="0" w:firstLine="420"/>
        <w:jc w:val="both"/>
        <w:rPr>
          <w:rFonts w:hint="eastAsia" w:ascii="宋体" w:hAnsi="宋体" w:eastAsia="宋体" w:cstheme="minorEastAsia"/>
          <w:position w:val="-24"/>
          <w:szCs w:val="21"/>
        </w:rPr>
      </w:pPr>
      <w:r>
        <w:rPr>
          <w:rFonts w:hint="eastAsia" w:ascii="宋体" w:hAnsi="宋体" w:eastAsia="宋体" w:cstheme="minorEastAsia"/>
          <w:position w:val="-24"/>
          <w:szCs w:val="21"/>
        </w:rPr>
        <w:t>也称为配脱敏药，是在确定患者临床相关过敏原的前提下，根据患者需要注射的浓度，将患者的一种或多种过敏原按浓度要求配制的过程。配制过程要求严格无菌，药物用量精准，配制浓度计算准确。</w:t>
      </w:r>
    </w:p>
    <w:p w14:paraId="343F62FE">
      <w:pPr>
        <w:pStyle w:val="184"/>
        <w:rPr>
          <w:rFonts w:hint="eastAsia" w:asciiTheme="minorEastAsia" w:hAnsiTheme="minorEastAsia" w:cstheme="minorEastAsia"/>
          <w:position w:val="-24"/>
          <w:szCs w:val="21"/>
        </w:rPr>
      </w:pPr>
      <w:bookmarkStart w:id="9" w:name="_Toc208235240"/>
      <w:r>
        <w:rPr>
          <w:rFonts w:hint="eastAsia" w:asciiTheme="minorEastAsia" w:hAnsiTheme="minorEastAsia" w:cstheme="minorEastAsia"/>
          <w:position w:val="-24"/>
        </w:rPr>
        <w:t>专科门诊科室设施</w:t>
      </w:r>
      <w:bookmarkEnd w:id="9"/>
    </w:p>
    <w:p w14:paraId="6B0EDE92">
      <w:pPr>
        <w:ind w:firstLine="420"/>
        <w:jc w:val="both"/>
        <w:rPr>
          <w:rFonts w:hint="eastAsia" w:ascii="Times New Roman" w:hAnsi="Times New Roman" w:eastAsia="宋体" w:cs="Times New Roman"/>
          <w:position w:val="-24"/>
          <w:szCs w:val="21"/>
        </w:rPr>
      </w:pPr>
      <w:r>
        <w:rPr>
          <w:rFonts w:hint="eastAsia" w:ascii="Times New Roman" w:hAnsi="Times New Roman" w:eastAsia="宋体" w:cs="Times New Roman"/>
          <w:position w:val="-24"/>
          <w:szCs w:val="21"/>
        </w:rPr>
        <w:t>过敏专科门诊基本配置包括：护士站、诊室、专科治疗室、抢救室（或抢救区）、脱敏药配制药房、肺功能室、专科临床实验室、库房、专科科研实验室（可根据科室需求设置）。</w:t>
      </w:r>
    </w:p>
    <w:p w14:paraId="352F0261">
      <w:pPr>
        <w:spacing w:before="156" w:after="156"/>
        <w:jc w:val="left"/>
        <w:rPr>
          <w:rFonts w:hint="eastAsia" w:asciiTheme="minorEastAsia" w:hAnsiTheme="minorEastAsia" w:cstheme="minorEastAsia"/>
          <w:position w:val="-24"/>
          <w:szCs w:val="21"/>
        </w:rPr>
      </w:pPr>
      <w:r>
        <w:rPr>
          <w:rFonts w:hint="eastAsia" w:ascii="黑体" w:hAnsi="黑体" w:eastAsia="黑体" w:cstheme="minorEastAsia"/>
          <w:position w:val="-24"/>
          <w:szCs w:val="21"/>
        </w:rPr>
        <w:t>4.1 护士站设置</w:t>
      </w:r>
    </w:p>
    <w:p w14:paraId="4EE8F632">
      <w:pPr>
        <w:ind w:firstLine="420"/>
        <w:jc w:val="both"/>
        <w:rPr>
          <w:rFonts w:hint="eastAsia" w:ascii="Times New Roman" w:hAnsi="Times New Roman" w:eastAsia="宋体" w:cs="Times New Roman"/>
          <w:position w:val="-24"/>
          <w:szCs w:val="21"/>
        </w:rPr>
      </w:pPr>
      <w:r>
        <w:rPr>
          <w:rFonts w:hint="eastAsia" w:ascii="Times New Roman" w:hAnsi="Times New Roman" w:eastAsia="宋体" w:cs="Times New Roman"/>
          <w:position w:val="-24"/>
          <w:szCs w:val="21"/>
        </w:rPr>
        <w:t>电脑：用于医嘱查询、报到、检查治疗排序等工作。</w:t>
      </w:r>
    </w:p>
    <w:p w14:paraId="46F8DB6E">
      <w:pPr>
        <w:ind w:firstLine="420"/>
        <w:jc w:val="both"/>
        <w:rPr>
          <w:rFonts w:hint="eastAsia" w:ascii="Times New Roman" w:hAnsi="Times New Roman" w:eastAsia="宋体" w:cs="Times New Roman"/>
          <w:position w:val="-24"/>
          <w:szCs w:val="21"/>
        </w:rPr>
      </w:pPr>
      <w:r>
        <w:rPr>
          <w:rFonts w:hint="eastAsia" w:ascii="Times New Roman" w:hAnsi="Times New Roman" w:eastAsia="宋体" w:cs="Times New Roman"/>
          <w:position w:val="-24"/>
          <w:szCs w:val="21"/>
        </w:rPr>
        <w:t>电话：用于联系医生、患者及各类事件的沟通。</w:t>
      </w:r>
    </w:p>
    <w:p w14:paraId="54E858CC">
      <w:pPr>
        <w:ind w:firstLine="420"/>
        <w:jc w:val="both"/>
        <w:rPr>
          <w:rFonts w:hint="eastAsia" w:ascii="Times New Roman" w:hAnsi="Times New Roman" w:eastAsia="宋体" w:cs="Times New Roman"/>
          <w:position w:val="-24"/>
          <w:szCs w:val="21"/>
        </w:rPr>
      </w:pPr>
      <w:r>
        <w:rPr>
          <w:rFonts w:hint="eastAsia" w:ascii="Times New Roman" w:hAnsi="Times New Roman" w:eastAsia="宋体" w:cs="Times New Roman"/>
          <w:position w:val="-24"/>
          <w:szCs w:val="21"/>
        </w:rPr>
        <w:t>宣教系统：用于护士为患者提供口头宣教或播放宣教资料等。</w:t>
      </w:r>
    </w:p>
    <w:p w14:paraId="6D59EA84">
      <w:pPr>
        <w:ind w:firstLine="420"/>
        <w:jc w:val="both"/>
        <w:rPr>
          <w:rFonts w:hint="eastAsia" w:ascii="Times New Roman" w:hAnsi="Times New Roman" w:eastAsia="宋体" w:cs="Times New Roman"/>
          <w:position w:val="-24"/>
          <w:szCs w:val="21"/>
        </w:rPr>
      </w:pPr>
      <w:r>
        <w:rPr>
          <w:rFonts w:hint="eastAsia" w:ascii="Times New Roman" w:hAnsi="Times New Roman" w:eastAsia="宋体" w:cs="Times New Roman"/>
          <w:position w:val="-24"/>
          <w:szCs w:val="21"/>
        </w:rPr>
        <w:t>物品柜：用于常用物品及各类文件资料的放置，便于分类放置及保持整洁。</w:t>
      </w:r>
    </w:p>
    <w:p w14:paraId="39D070B1">
      <w:pPr>
        <w:ind w:firstLine="420"/>
        <w:jc w:val="both"/>
        <w:rPr>
          <w:rFonts w:hint="eastAsia" w:ascii="Times New Roman" w:hAnsi="Times New Roman" w:eastAsia="宋体" w:cs="Times New Roman"/>
          <w:position w:val="-24"/>
          <w:szCs w:val="21"/>
        </w:rPr>
      </w:pPr>
      <w:r>
        <w:rPr>
          <w:rFonts w:hint="eastAsia" w:ascii="Times New Roman" w:hAnsi="Times New Roman" w:eastAsia="宋体" w:cs="Times New Roman"/>
          <w:position w:val="-24"/>
          <w:szCs w:val="21"/>
        </w:rPr>
        <w:t>便民物品：为患者提供方便（例如：胶水、曲别针、纸笔、发圈、老花镜等）。</w:t>
      </w:r>
    </w:p>
    <w:p w14:paraId="567507AA">
      <w:pPr>
        <w:spacing w:before="156" w:after="156"/>
        <w:jc w:val="left"/>
        <w:rPr>
          <w:rFonts w:hint="eastAsia" w:ascii="黑体" w:hAnsi="黑体" w:eastAsia="黑体" w:cstheme="minorEastAsia"/>
          <w:position w:val="-24"/>
          <w:szCs w:val="21"/>
        </w:rPr>
      </w:pPr>
      <w:r>
        <w:rPr>
          <w:rFonts w:hint="eastAsia" w:ascii="黑体" w:hAnsi="黑体" w:eastAsia="黑体" w:cstheme="minorEastAsia"/>
          <w:position w:val="-24"/>
          <w:szCs w:val="21"/>
        </w:rPr>
        <w:t>4.2 诊室设置</w:t>
      </w:r>
    </w:p>
    <w:p w14:paraId="523A5B15">
      <w:pPr>
        <w:ind w:firstLine="420"/>
        <w:jc w:val="both"/>
        <w:rPr>
          <w:rFonts w:hint="eastAsia" w:ascii="Times New Roman" w:hAnsi="Times New Roman" w:eastAsia="宋体" w:cs="Times New Roman"/>
          <w:position w:val="-24"/>
          <w:szCs w:val="21"/>
        </w:rPr>
      </w:pPr>
      <w:r>
        <w:rPr>
          <w:rFonts w:hint="eastAsia" w:ascii="Times New Roman" w:hAnsi="Times New Roman" w:eastAsia="宋体" w:cs="Times New Roman"/>
          <w:position w:val="-24"/>
          <w:szCs w:val="21"/>
        </w:rPr>
        <w:t>电脑：用于医生的病历录入、医嘱开具及查询检查结果等。</w:t>
      </w:r>
    </w:p>
    <w:p w14:paraId="38106013">
      <w:pPr>
        <w:ind w:firstLine="420"/>
        <w:jc w:val="both"/>
        <w:rPr>
          <w:rFonts w:hint="eastAsia" w:ascii="Times New Roman" w:hAnsi="Times New Roman" w:eastAsia="宋体" w:cs="Times New Roman"/>
          <w:position w:val="-24"/>
          <w:szCs w:val="21"/>
        </w:rPr>
      </w:pPr>
      <w:r>
        <w:rPr>
          <w:rFonts w:hint="eastAsia" w:ascii="Times New Roman" w:hAnsi="Times New Roman" w:eastAsia="宋体" w:cs="Times New Roman"/>
          <w:position w:val="-24"/>
          <w:szCs w:val="21"/>
        </w:rPr>
        <w:t>诊床：用于医生为患者查体</w:t>
      </w:r>
      <w:r>
        <w:rPr>
          <w:rFonts w:hint="eastAsia" w:ascii="Times New Roman" w:hAnsi="Times New Roman" w:eastAsia="宋体" w:cs="Times New Roman"/>
          <w:position w:val="-24"/>
          <w:szCs w:val="21"/>
        </w:rPr>
        <w:t>。</w:t>
      </w:r>
    </w:p>
    <w:p w14:paraId="15F6943D">
      <w:pPr>
        <w:ind w:firstLine="420"/>
        <w:jc w:val="both"/>
        <w:rPr>
          <w:rFonts w:hint="eastAsia" w:ascii="Times New Roman" w:hAnsi="Times New Roman" w:eastAsia="宋体" w:cs="Times New Roman"/>
          <w:position w:val="-24"/>
          <w:szCs w:val="21"/>
        </w:rPr>
      </w:pPr>
      <w:r>
        <w:rPr>
          <w:rFonts w:hint="eastAsia" w:ascii="Times New Roman" w:hAnsi="Times New Roman" w:eastAsia="宋体" w:cs="Times New Roman"/>
          <w:position w:val="-24"/>
          <w:szCs w:val="21"/>
        </w:rPr>
        <w:t>专科检查宣教用物：根据医生需要放置听诊器、血压计、前鼻镜、手电等。</w:t>
      </w:r>
    </w:p>
    <w:p w14:paraId="7F8DCD0D">
      <w:pPr>
        <w:spacing w:before="156" w:after="156"/>
        <w:jc w:val="left"/>
        <w:rPr>
          <w:rFonts w:hint="eastAsia" w:asciiTheme="minorEastAsia" w:hAnsiTheme="minorEastAsia" w:cstheme="minorEastAsia"/>
          <w:position w:val="-24"/>
          <w:szCs w:val="21"/>
        </w:rPr>
      </w:pPr>
      <w:r>
        <w:rPr>
          <w:rFonts w:hint="eastAsia" w:ascii="黑体" w:hAnsi="黑体" w:eastAsia="黑体" w:cstheme="minorEastAsia"/>
          <w:position w:val="-24"/>
          <w:szCs w:val="21"/>
        </w:rPr>
        <w:t>4.3 专科治疗室设置</w:t>
      </w:r>
    </w:p>
    <w:p w14:paraId="60621AA2">
      <w:pPr>
        <w:ind w:firstLine="420"/>
        <w:jc w:val="both"/>
        <w:rPr>
          <w:rFonts w:hint="eastAsia" w:ascii="Times New Roman" w:hAnsi="Times New Roman" w:eastAsia="宋体" w:cs="Times New Roman"/>
          <w:position w:val="-24"/>
          <w:szCs w:val="21"/>
        </w:rPr>
      </w:pPr>
      <w:r>
        <w:rPr>
          <w:rFonts w:hint="eastAsia" w:ascii="Times New Roman" w:hAnsi="Times New Roman" w:eastAsia="宋体" w:cs="Times New Roman"/>
          <w:position w:val="-24"/>
          <w:szCs w:val="21"/>
        </w:rPr>
        <w:t>专用操作台：用于护士为患者做各种皮肤试验、注射等专科检查治疗，设计应便于护士操作，符合物品分类放置原则。操作台建议使用弧形或T型设计，便于护士为患者操作同时观察患者情况。物品能够分类放置，便于使用及整理，无菌物品、非无菌物品、废物处理分类分区放置。</w:t>
      </w:r>
    </w:p>
    <w:p w14:paraId="20C5B59F">
      <w:pPr>
        <w:ind w:firstLine="420"/>
        <w:jc w:val="both"/>
        <w:rPr>
          <w:rFonts w:hint="eastAsia" w:ascii="Times New Roman" w:hAnsi="Times New Roman" w:eastAsia="宋体" w:cs="Times New Roman"/>
          <w:position w:val="-24"/>
          <w:szCs w:val="21"/>
        </w:rPr>
      </w:pPr>
      <w:r>
        <w:rPr>
          <w:rFonts w:hint="eastAsia" w:ascii="Times New Roman" w:hAnsi="Times New Roman" w:eastAsia="宋体" w:cs="Times New Roman"/>
          <w:position w:val="-24"/>
          <w:szCs w:val="21"/>
        </w:rPr>
        <w:t>电脑：用于医嘱查询及执行。</w:t>
      </w:r>
    </w:p>
    <w:p w14:paraId="3DFD63C5">
      <w:pPr>
        <w:ind w:firstLine="420"/>
        <w:jc w:val="both"/>
        <w:rPr>
          <w:rFonts w:hint="eastAsia" w:ascii="Times New Roman" w:hAnsi="Times New Roman" w:eastAsia="宋体" w:cs="Times New Roman"/>
          <w:position w:val="-24"/>
          <w:szCs w:val="21"/>
        </w:rPr>
      </w:pPr>
      <w:r>
        <w:rPr>
          <w:rFonts w:hint="eastAsia" w:ascii="Times New Roman" w:hAnsi="Times New Roman" w:eastAsia="宋体" w:cs="Times New Roman"/>
          <w:position w:val="-24"/>
          <w:szCs w:val="21"/>
        </w:rPr>
        <w:t>屏风：必要时为患者遮挡。</w:t>
      </w:r>
    </w:p>
    <w:p w14:paraId="4EA80D75">
      <w:pPr>
        <w:ind w:firstLine="420"/>
        <w:jc w:val="both"/>
        <w:rPr>
          <w:rFonts w:hint="eastAsia" w:ascii="Times New Roman" w:hAnsi="Times New Roman" w:eastAsia="宋体" w:cs="Times New Roman"/>
          <w:position w:val="-24"/>
          <w:szCs w:val="21"/>
        </w:rPr>
      </w:pPr>
      <w:r>
        <w:rPr>
          <w:rFonts w:hint="eastAsia" w:ascii="Times New Roman" w:hAnsi="Times New Roman" w:eastAsia="宋体" w:cs="Times New Roman"/>
          <w:position w:val="-24"/>
          <w:szCs w:val="21"/>
        </w:rPr>
        <w:t>物品柜：分类放置治疗室常用物品，一次性无菌注射器、一次性无菌注射针头、酒精、无菌棉签、垫巾、被服等。按要求分开放置，无菌物品尽量放置上层，非无菌物品放置下层，酒精等易燃品严格按要求保管并登记。</w:t>
      </w:r>
    </w:p>
    <w:p w14:paraId="6A01F675">
      <w:pPr>
        <w:ind w:firstLine="420"/>
        <w:jc w:val="both"/>
        <w:rPr>
          <w:rFonts w:hint="eastAsia" w:ascii="Times New Roman" w:hAnsi="Times New Roman" w:eastAsia="宋体" w:cs="Times New Roman"/>
          <w:position w:val="-24"/>
          <w:szCs w:val="21"/>
        </w:rPr>
      </w:pPr>
      <w:r>
        <w:rPr>
          <w:rFonts w:hint="eastAsia" w:ascii="Times New Roman" w:hAnsi="Times New Roman" w:eastAsia="宋体" w:cs="Times New Roman"/>
          <w:position w:val="-24"/>
          <w:szCs w:val="21"/>
        </w:rPr>
        <w:t>冰箱：用于放置皮试液、注射用药等。根据科室的需要量准备冰箱数量，建议使用玻璃门展示柜式冰箱，便于护士查找拿取药物。冰箱应有温度显示，每日有专人监测冰箱温度并登记签字，为了保证药品安全，冰箱应上锁管理。</w:t>
      </w:r>
    </w:p>
    <w:p w14:paraId="56E86A93">
      <w:pPr>
        <w:spacing w:before="156" w:after="156"/>
        <w:jc w:val="left"/>
        <w:rPr>
          <w:rFonts w:hint="eastAsia" w:ascii="黑体" w:hAnsi="黑体" w:eastAsia="黑体" w:cstheme="minorEastAsia"/>
          <w:position w:val="-24"/>
          <w:szCs w:val="21"/>
        </w:rPr>
      </w:pPr>
      <w:r>
        <w:rPr>
          <w:rFonts w:hint="eastAsia" w:ascii="黑体" w:hAnsi="黑体" w:eastAsia="黑体" w:cstheme="minorEastAsia"/>
          <w:position w:val="-24"/>
          <w:szCs w:val="21"/>
        </w:rPr>
        <w:t>4.4 抢救室（或抢救区）</w:t>
      </w:r>
    </w:p>
    <w:p w14:paraId="2437D48B">
      <w:pPr>
        <w:ind w:firstLine="420"/>
        <w:jc w:val="both"/>
        <w:rPr>
          <w:rFonts w:hint="eastAsia" w:ascii="Times New Roman" w:hAnsi="Times New Roman" w:eastAsia="宋体" w:cs="Times New Roman"/>
          <w:position w:val="-24"/>
          <w:szCs w:val="21"/>
        </w:rPr>
      </w:pPr>
      <w:r>
        <w:rPr>
          <w:rFonts w:hint="eastAsia" w:ascii="Times New Roman" w:hAnsi="Times New Roman" w:eastAsia="宋体" w:cs="Times New Roman"/>
          <w:position w:val="-24"/>
          <w:szCs w:val="21"/>
        </w:rPr>
        <w:t>抢救车：可根据医院要求设置统一抢救车或根据科室需求设置抢救药物及物品。备有常用专科抢救用药，推荐备有：肾上腺素注射液、苯海拉明注射液、地塞米松注射液、沙丁胺醇气雾剂、西替利嗪滴剂等。备有常用抢救用物：喉镜、静脉输液装置、气管插管等。</w:t>
      </w:r>
    </w:p>
    <w:p w14:paraId="3ADB776B">
      <w:pPr>
        <w:ind w:firstLine="420"/>
        <w:jc w:val="both"/>
        <w:rPr>
          <w:rFonts w:hint="eastAsia" w:ascii="Times New Roman" w:hAnsi="Times New Roman" w:eastAsia="宋体" w:cs="Times New Roman"/>
          <w:position w:val="-24"/>
          <w:szCs w:val="21"/>
        </w:rPr>
      </w:pPr>
      <w:r>
        <w:rPr>
          <w:rFonts w:hint="eastAsia" w:ascii="Times New Roman" w:hAnsi="Times New Roman" w:eastAsia="宋体" w:cs="Times New Roman"/>
          <w:position w:val="-24"/>
          <w:szCs w:val="21"/>
        </w:rPr>
        <w:t>监护仪（或单独血氧仪及血压计）：用于突发事件的患者监护。</w:t>
      </w:r>
    </w:p>
    <w:p w14:paraId="32E02390">
      <w:pPr>
        <w:ind w:firstLine="420"/>
        <w:jc w:val="both"/>
        <w:rPr>
          <w:rFonts w:hint="eastAsia" w:ascii="Times New Roman" w:hAnsi="Times New Roman" w:eastAsia="宋体" w:cs="Times New Roman"/>
          <w:position w:val="-24"/>
          <w:szCs w:val="21"/>
        </w:rPr>
      </w:pPr>
      <w:r>
        <w:rPr>
          <w:rFonts w:hint="eastAsia" w:ascii="Times New Roman" w:hAnsi="Times New Roman" w:eastAsia="宋体" w:cs="Times New Roman"/>
          <w:position w:val="-24"/>
          <w:szCs w:val="21"/>
        </w:rPr>
        <w:t>观察床：用于患者出现不良事件或突发事件时病情观察。</w:t>
      </w:r>
    </w:p>
    <w:p w14:paraId="020E6569">
      <w:pPr>
        <w:ind w:firstLine="420"/>
        <w:jc w:val="both"/>
        <w:rPr>
          <w:rFonts w:hint="eastAsia" w:ascii="Times New Roman" w:hAnsi="Times New Roman" w:eastAsia="宋体" w:cs="Times New Roman"/>
          <w:position w:val="-24"/>
          <w:szCs w:val="21"/>
        </w:rPr>
      </w:pPr>
      <w:r>
        <w:rPr>
          <w:rFonts w:hint="eastAsia" w:ascii="Times New Roman" w:hAnsi="Times New Roman" w:eastAsia="宋体" w:cs="Times New Roman"/>
          <w:position w:val="-24"/>
          <w:szCs w:val="21"/>
        </w:rPr>
        <w:t>平车：当患者发生不良事件或突发事件需紧急转运或送急诊。</w:t>
      </w:r>
    </w:p>
    <w:p w14:paraId="0DB5B70E">
      <w:pPr>
        <w:ind w:firstLine="420"/>
        <w:jc w:val="both"/>
        <w:rPr>
          <w:rFonts w:hint="eastAsia" w:ascii="Times New Roman" w:hAnsi="Times New Roman" w:eastAsia="宋体" w:cs="Times New Roman"/>
          <w:position w:val="-24"/>
          <w:szCs w:val="21"/>
        </w:rPr>
      </w:pPr>
      <w:r>
        <w:rPr>
          <w:rFonts w:hint="eastAsia" w:ascii="Times New Roman" w:hAnsi="Times New Roman" w:eastAsia="宋体" w:cs="Times New Roman"/>
          <w:position w:val="-24"/>
          <w:szCs w:val="21"/>
        </w:rPr>
        <w:t>吸氧装置：用于患者必要时的吸氧。</w:t>
      </w:r>
    </w:p>
    <w:p w14:paraId="027AB8E7">
      <w:pPr>
        <w:ind w:firstLine="420"/>
        <w:jc w:val="both"/>
        <w:rPr>
          <w:rFonts w:hint="eastAsia" w:ascii="Times New Roman" w:hAnsi="Times New Roman" w:eastAsia="宋体" w:cs="Times New Roman"/>
          <w:position w:val="-24"/>
          <w:szCs w:val="21"/>
        </w:rPr>
      </w:pPr>
      <w:r>
        <w:rPr>
          <w:rFonts w:hint="eastAsia" w:ascii="Times New Roman" w:hAnsi="Times New Roman" w:eastAsia="宋体" w:cs="Times New Roman"/>
          <w:position w:val="-24"/>
          <w:szCs w:val="21"/>
        </w:rPr>
        <w:t>便携式氧气瓶：用于运送患者时使用。</w:t>
      </w:r>
    </w:p>
    <w:p w14:paraId="1EB13B87">
      <w:pPr>
        <w:ind w:firstLine="420"/>
        <w:jc w:val="both"/>
        <w:rPr>
          <w:rFonts w:hint="eastAsia" w:ascii="Times New Roman" w:hAnsi="Times New Roman" w:eastAsia="宋体" w:cs="Times New Roman"/>
          <w:position w:val="-24"/>
          <w:szCs w:val="21"/>
        </w:rPr>
      </w:pPr>
      <w:r>
        <w:rPr>
          <w:rFonts w:hint="eastAsia" w:ascii="Times New Roman" w:hAnsi="Times New Roman" w:eastAsia="宋体" w:cs="Times New Roman"/>
          <w:position w:val="-24"/>
          <w:szCs w:val="21"/>
        </w:rPr>
        <w:t>备用插线板：用于处理突发事件时连接仪器设备。</w:t>
      </w:r>
    </w:p>
    <w:p w14:paraId="75A60A51">
      <w:pPr>
        <w:ind w:firstLine="420"/>
        <w:jc w:val="both"/>
        <w:rPr>
          <w:rFonts w:hint="eastAsia" w:ascii="Times New Roman" w:hAnsi="Times New Roman" w:eastAsia="宋体" w:cs="Times New Roman"/>
          <w:position w:val="-24"/>
          <w:szCs w:val="21"/>
        </w:rPr>
      </w:pPr>
      <w:r>
        <w:rPr>
          <w:rFonts w:hint="eastAsia" w:ascii="Times New Roman" w:hAnsi="Times New Roman" w:eastAsia="宋体" w:cs="Times New Roman"/>
          <w:position w:val="-24"/>
          <w:szCs w:val="21"/>
        </w:rPr>
        <w:t>负压装置：用于紧急抢救。</w:t>
      </w:r>
    </w:p>
    <w:p w14:paraId="37B2D081">
      <w:pPr>
        <w:ind w:firstLine="420"/>
        <w:jc w:val="both"/>
        <w:rPr>
          <w:rFonts w:hint="eastAsia" w:ascii="Times New Roman" w:hAnsi="Times New Roman" w:eastAsia="宋体" w:cs="Times New Roman"/>
          <w:position w:val="-24"/>
          <w:szCs w:val="21"/>
        </w:rPr>
      </w:pPr>
      <w:r>
        <w:rPr>
          <w:rFonts w:hint="eastAsia" w:ascii="Times New Roman" w:hAnsi="Times New Roman" w:eastAsia="宋体" w:cs="Times New Roman"/>
          <w:position w:val="-24"/>
          <w:szCs w:val="21"/>
        </w:rPr>
        <w:t>其他用物：冰糖、水等</w:t>
      </w:r>
      <w:r>
        <w:rPr>
          <w:rFonts w:hint="eastAsia" w:ascii="Times New Roman" w:hAnsi="Times New Roman" w:eastAsia="宋体" w:cs="Times New Roman"/>
          <w:position w:val="-24"/>
          <w:szCs w:val="21"/>
        </w:rPr>
        <w:t>。</w:t>
      </w:r>
    </w:p>
    <w:p w14:paraId="3BCD8C70">
      <w:pPr>
        <w:spacing w:before="156" w:after="156"/>
        <w:jc w:val="left"/>
        <w:rPr>
          <w:rFonts w:hint="eastAsia" w:ascii="黑体" w:hAnsi="黑体" w:eastAsia="黑体" w:cstheme="minorEastAsia"/>
          <w:position w:val="-24"/>
          <w:szCs w:val="21"/>
        </w:rPr>
      </w:pPr>
      <w:r>
        <w:rPr>
          <w:rFonts w:hint="eastAsia" w:ascii="黑体" w:hAnsi="黑体" w:eastAsia="黑体" w:cstheme="minorEastAsia"/>
          <w:position w:val="-24"/>
          <w:szCs w:val="21"/>
        </w:rPr>
        <w:t>4.5 变应原免疫治疗药房</w:t>
      </w:r>
    </w:p>
    <w:p w14:paraId="6262B3E6">
      <w:pPr>
        <w:ind w:firstLine="420"/>
        <w:jc w:val="both"/>
        <w:rPr>
          <w:rFonts w:hint="eastAsia" w:ascii="Times New Roman" w:hAnsi="Times New Roman" w:eastAsia="宋体" w:cs="Times New Roman"/>
          <w:position w:val="-24"/>
          <w:szCs w:val="21"/>
        </w:rPr>
      </w:pPr>
      <w:r>
        <w:rPr>
          <w:rFonts w:hint="eastAsia" w:ascii="Times New Roman" w:hAnsi="Times New Roman" w:eastAsia="宋体" w:cs="Times New Roman"/>
          <w:position w:val="-24"/>
          <w:szCs w:val="21"/>
        </w:rPr>
        <w:t>洁净台：用于脱敏药物的配制，每4小时消毒一次，并登记。</w:t>
      </w:r>
    </w:p>
    <w:p w14:paraId="5152D2E9">
      <w:pPr>
        <w:ind w:firstLine="420"/>
        <w:jc w:val="both"/>
        <w:rPr>
          <w:rFonts w:hint="eastAsia" w:ascii="Times New Roman" w:hAnsi="Times New Roman" w:eastAsia="宋体" w:cs="Times New Roman"/>
          <w:position w:val="-24"/>
          <w:szCs w:val="21"/>
        </w:rPr>
      </w:pPr>
      <w:r>
        <w:rPr>
          <w:rFonts w:hint="eastAsia" w:ascii="Times New Roman" w:hAnsi="Times New Roman" w:eastAsia="宋体" w:cs="Times New Roman"/>
          <w:position w:val="-24"/>
          <w:szCs w:val="21"/>
        </w:rPr>
        <w:t>冰箱：用于放置配制脱敏药物的原液。</w:t>
      </w:r>
    </w:p>
    <w:p w14:paraId="797BFBE3">
      <w:pPr>
        <w:ind w:firstLine="420"/>
        <w:jc w:val="both"/>
        <w:rPr>
          <w:rFonts w:hint="eastAsia" w:ascii="Times New Roman" w:hAnsi="Times New Roman" w:eastAsia="宋体" w:cs="Times New Roman"/>
          <w:position w:val="-24"/>
          <w:szCs w:val="21"/>
        </w:rPr>
      </w:pPr>
      <w:r>
        <w:rPr>
          <w:rFonts w:hint="eastAsia" w:ascii="Times New Roman" w:hAnsi="Times New Roman" w:eastAsia="宋体" w:cs="Times New Roman"/>
          <w:position w:val="-24"/>
          <w:szCs w:val="21"/>
        </w:rPr>
        <w:t>操作台：用于分类放置待配制及已配制药品。</w:t>
      </w:r>
    </w:p>
    <w:p w14:paraId="03B60BC6">
      <w:pPr>
        <w:ind w:firstLine="420"/>
        <w:jc w:val="both"/>
        <w:rPr>
          <w:rFonts w:hint="eastAsia" w:ascii="Times New Roman" w:hAnsi="Times New Roman" w:eastAsia="宋体" w:cs="Times New Roman"/>
          <w:position w:val="-24"/>
          <w:szCs w:val="21"/>
        </w:rPr>
      </w:pPr>
      <w:r>
        <w:rPr>
          <w:rFonts w:hint="eastAsia" w:ascii="Times New Roman" w:hAnsi="Times New Roman" w:eastAsia="宋体" w:cs="Times New Roman"/>
          <w:position w:val="-24"/>
          <w:szCs w:val="21"/>
        </w:rPr>
        <w:t>电脑：用于医嘱查询、执行、治疗单打印及药品发放操作。</w:t>
      </w:r>
    </w:p>
    <w:p w14:paraId="3833D82A">
      <w:pPr>
        <w:ind w:firstLine="420"/>
        <w:jc w:val="both"/>
        <w:rPr>
          <w:rFonts w:hint="eastAsia" w:ascii="Times New Roman" w:hAnsi="Times New Roman" w:eastAsia="宋体" w:cs="Times New Roman"/>
          <w:position w:val="-24"/>
          <w:szCs w:val="21"/>
        </w:rPr>
      </w:pPr>
      <w:r>
        <w:rPr>
          <w:rFonts w:hint="eastAsia" w:ascii="Times New Roman" w:hAnsi="Times New Roman" w:eastAsia="宋体" w:cs="Times New Roman"/>
          <w:position w:val="-24"/>
          <w:szCs w:val="21"/>
        </w:rPr>
        <w:t>打印机：治疗单及各类标签的打印。</w:t>
      </w:r>
    </w:p>
    <w:p w14:paraId="4EE09354">
      <w:pPr>
        <w:ind w:firstLine="420"/>
        <w:jc w:val="both"/>
        <w:rPr>
          <w:rFonts w:hint="eastAsia" w:ascii="Times New Roman" w:hAnsi="Times New Roman" w:eastAsia="宋体" w:cs="Times New Roman"/>
          <w:position w:val="-24"/>
          <w:szCs w:val="21"/>
        </w:rPr>
      </w:pPr>
      <w:r>
        <w:rPr>
          <w:rFonts w:hint="eastAsia" w:ascii="Times New Roman" w:hAnsi="Times New Roman" w:eastAsia="宋体" w:cs="Times New Roman"/>
          <w:position w:val="-24"/>
          <w:szCs w:val="21"/>
        </w:rPr>
        <w:t>宣教装置：用于呼叫患者并进行药物使用的健康宣教。</w:t>
      </w:r>
    </w:p>
    <w:p w14:paraId="56E4EB21">
      <w:pPr>
        <w:ind w:firstLine="420"/>
        <w:jc w:val="both"/>
        <w:rPr>
          <w:rFonts w:hint="eastAsia" w:ascii="Times New Roman" w:hAnsi="Times New Roman" w:eastAsia="宋体" w:cs="Times New Roman"/>
          <w:position w:val="-24"/>
          <w:szCs w:val="21"/>
        </w:rPr>
      </w:pPr>
      <w:r>
        <w:rPr>
          <w:rFonts w:hint="eastAsia" w:ascii="Times New Roman" w:hAnsi="Times New Roman" w:eastAsia="宋体" w:cs="Times New Roman"/>
          <w:position w:val="-24"/>
          <w:szCs w:val="21"/>
        </w:rPr>
        <w:t>物品柜：配药用物品的放置。一次性注射器、一次性注射针头、无菌棉签、分类药品盒等分类放置。</w:t>
      </w:r>
    </w:p>
    <w:p w14:paraId="34406FF9">
      <w:pPr>
        <w:ind w:firstLine="420"/>
        <w:jc w:val="both"/>
        <w:rPr>
          <w:rFonts w:hint="eastAsia" w:ascii="Times New Roman" w:hAnsi="Times New Roman" w:eastAsia="宋体" w:cs="Times New Roman"/>
          <w:position w:val="-24"/>
          <w:szCs w:val="21"/>
        </w:rPr>
      </w:pPr>
      <w:r>
        <w:rPr>
          <w:rFonts w:hint="eastAsia" w:ascii="Times New Roman" w:hAnsi="Times New Roman" w:eastAsia="宋体" w:cs="Times New Roman"/>
          <w:position w:val="-24"/>
          <w:szCs w:val="21"/>
        </w:rPr>
        <w:t>分类标签：不同浓度药物用不同颜色标签分类标识。</w:t>
      </w:r>
    </w:p>
    <w:p w14:paraId="047AB931">
      <w:pPr>
        <w:spacing w:before="156" w:after="156"/>
        <w:jc w:val="left"/>
        <w:rPr>
          <w:rFonts w:hint="eastAsia" w:ascii="黑体" w:hAnsi="黑体" w:eastAsia="黑体" w:cstheme="minorEastAsia"/>
          <w:position w:val="-24"/>
          <w:szCs w:val="21"/>
        </w:rPr>
      </w:pPr>
      <w:r>
        <w:rPr>
          <w:rFonts w:hint="eastAsia" w:ascii="黑体" w:hAnsi="黑体" w:eastAsia="黑体" w:cstheme="minorEastAsia"/>
          <w:position w:val="-24"/>
          <w:szCs w:val="21"/>
        </w:rPr>
        <w:t>4.6 肺功能室设置</w:t>
      </w:r>
    </w:p>
    <w:p w14:paraId="17D5C841">
      <w:pPr>
        <w:ind w:firstLine="420"/>
        <w:jc w:val="both"/>
        <w:rPr>
          <w:rFonts w:hint="eastAsia" w:ascii="Times New Roman" w:hAnsi="Times New Roman" w:eastAsia="宋体" w:cs="Times New Roman"/>
          <w:position w:val="-24"/>
          <w:szCs w:val="21"/>
        </w:rPr>
      </w:pPr>
      <w:r>
        <w:rPr>
          <w:rFonts w:hint="eastAsia" w:ascii="Times New Roman" w:hAnsi="Times New Roman" w:eastAsia="宋体" w:cs="Times New Roman"/>
          <w:position w:val="-24"/>
          <w:szCs w:val="21"/>
        </w:rPr>
        <w:t>肺功能仪：根据科室使用需求配置型号及数量。</w:t>
      </w:r>
    </w:p>
    <w:p w14:paraId="26BCA3BC">
      <w:pPr>
        <w:ind w:firstLine="420"/>
        <w:jc w:val="both"/>
        <w:rPr>
          <w:rFonts w:hint="eastAsia" w:ascii="Times New Roman" w:hAnsi="Times New Roman" w:eastAsia="宋体" w:cs="Times New Roman"/>
          <w:position w:val="-24"/>
          <w:szCs w:val="21"/>
        </w:rPr>
      </w:pPr>
      <w:r>
        <w:rPr>
          <w:rFonts w:hint="eastAsia" w:ascii="Times New Roman" w:hAnsi="Times New Roman" w:eastAsia="宋体" w:cs="Times New Roman"/>
          <w:position w:val="-24"/>
          <w:szCs w:val="21"/>
        </w:rPr>
        <w:t>操作台：用于药物准备、核对等操作。</w:t>
      </w:r>
    </w:p>
    <w:p w14:paraId="4886808F">
      <w:pPr>
        <w:ind w:firstLine="420"/>
        <w:jc w:val="both"/>
        <w:rPr>
          <w:rFonts w:hint="eastAsia" w:ascii="Times New Roman" w:hAnsi="Times New Roman" w:eastAsia="宋体" w:cs="Times New Roman"/>
          <w:position w:val="-24"/>
          <w:szCs w:val="21"/>
        </w:rPr>
      </w:pPr>
      <w:r>
        <w:rPr>
          <w:rFonts w:hint="eastAsia" w:ascii="Times New Roman" w:hAnsi="Times New Roman" w:eastAsia="宋体" w:cs="Times New Roman"/>
          <w:position w:val="-24"/>
          <w:szCs w:val="21"/>
        </w:rPr>
        <w:t>电脑：用于医嘱查询及执行。</w:t>
      </w:r>
    </w:p>
    <w:p w14:paraId="0A4EA0FD">
      <w:pPr>
        <w:ind w:firstLine="420"/>
        <w:jc w:val="both"/>
        <w:rPr>
          <w:rFonts w:hint="eastAsia" w:ascii="Times New Roman" w:hAnsi="Times New Roman" w:eastAsia="宋体" w:cs="Times New Roman"/>
          <w:position w:val="-24"/>
          <w:szCs w:val="21"/>
        </w:rPr>
      </w:pPr>
      <w:r>
        <w:rPr>
          <w:rFonts w:hint="eastAsia" w:ascii="Times New Roman" w:hAnsi="Times New Roman" w:eastAsia="宋体" w:cs="Times New Roman"/>
          <w:position w:val="-24"/>
          <w:szCs w:val="21"/>
        </w:rPr>
        <w:t>打印机：用于检查结果的打印。</w:t>
      </w:r>
    </w:p>
    <w:p w14:paraId="503E44F1">
      <w:pPr>
        <w:ind w:firstLine="420"/>
        <w:jc w:val="both"/>
        <w:rPr>
          <w:rFonts w:hint="eastAsia" w:ascii="Times New Roman" w:hAnsi="Times New Roman" w:eastAsia="宋体" w:cs="Times New Roman"/>
          <w:position w:val="-24"/>
          <w:szCs w:val="21"/>
        </w:rPr>
      </w:pPr>
      <w:r>
        <w:rPr>
          <w:rFonts w:hint="eastAsia" w:ascii="Times New Roman" w:hAnsi="Times New Roman" w:eastAsia="宋体" w:cs="Times New Roman"/>
          <w:position w:val="-24"/>
          <w:szCs w:val="21"/>
        </w:rPr>
        <w:t>物品柜：用于一次性口嘴等物品放置。</w:t>
      </w:r>
    </w:p>
    <w:p w14:paraId="1F7252BF">
      <w:pPr>
        <w:spacing w:before="156" w:after="156"/>
        <w:jc w:val="left"/>
        <w:rPr>
          <w:rFonts w:hint="eastAsia" w:ascii="黑体" w:hAnsi="黑体" w:eastAsia="黑体" w:cstheme="minorEastAsia"/>
          <w:position w:val="-24"/>
          <w:szCs w:val="21"/>
        </w:rPr>
      </w:pPr>
      <w:r>
        <w:rPr>
          <w:rFonts w:hint="eastAsia" w:ascii="黑体" w:hAnsi="黑体" w:eastAsia="黑体" w:cstheme="minorEastAsia"/>
          <w:position w:val="-24"/>
          <w:szCs w:val="21"/>
        </w:rPr>
        <w:t>4.7 专用临床实验室</w:t>
      </w:r>
    </w:p>
    <w:p w14:paraId="29B2FCAC">
      <w:pPr>
        <w:ind w:firstLine="420"/>
        <w:jc w:val="both"/>
        <w:rPr>
          <w:rFonts w:hint="eastAsia" w:ascii="Times New Roman" w:hAnsi="Times New Roman" w:eastAsia="宋体" w:cs="Times New Roman"/>
          <w:position w:val="-24"/>
          <w:szCs w:val="21"/>
        </w:rPr>
      </w:pPr>
      <w:r>
        <w:rPr>
          <w:rFonts w:hint="eastAsia" w:ascii="Times New Roman" w:hAnsi="Times New Roman" w:eastAsia="宋体" w:cs="Times New Roman"/>
          <w:position w:val="-24"/>
          <w:szCs w:val="21"/>
        </w:rPr>
        <w:t>检测仪：用于专科血清总IgE和sIgE的化验</w:t>
      </w:r>
      <w:r>
        <w:rPr>
          <w:rFonts w:hint="eastAsia" w:ascii="Times New Roman" w:hAnsi="Times New Roman" w:eastAsia="宋体" w:cs="Times New Roman"/>
          <w:position w:val="-24"/>
          <w:szCs w:val="21"/>
        </w:rPr>
        <w:t>。</w:t>
      </w:r>
    </w:p>
    <w:p w14:paraId="5318DA4F">
      <w:pPr>
        <w:ind w:firstLine="420"/>
        <w:jc w:val="both"/>
        <w:rPr>
          <w:rFonts w:hint="eastAsia" w:ascii="Times New Roman" w:hAnsi="Times New Roman" w:eastAsia="宋体" w:cs="Times New Roman"/>
          <w:position w:val="-24"/>
          <w:szCs w:val="21"/>
        </w:rPr>
      </w:pPr>
      <w:r>
        <w:rPr>
          <w:rFonts w:hint="eastAsia" w:ascii="Times New Roman" w:hAnsi="Times New Roman" w:eastAsia="宋体" w:cs="Times New Roman"/>
          <w:position w:val="-24"/>
          <w:szCs w:val="21"/>
        </w:rPr>
        <w:t>冰箱：根据科室使用量配置冰箱数量，用于血液样品的存放及试剂的分类存放。</w:t>
      </w:r>
    </w:p>
    <w:p w14:paraId="7E861D17">
      <w:pPr>
        <w:ind w:firstLine="420"/>
        <w:jc w:val="both"/>
        <w:rPr>
          <w:rFonts w:hint="eastAsia" w:ascii="Times New Roman" w:hAnsi="Times New Roman" w:eastAsia="宋体" w:cs="Times New Roman"/>
          <w:position w:val="-24"/>
          <w:szCs w:val="21"/>
        </w:rPr>
      </w:pPr>
      <w:r>
        <w:rPr>
          <w:rFonts w:hint="eastAsia" w:ascii="Times New Roman" w:hAnsi="Times New Roman" w:eastAsia="宋体" w:cs="Times New Roman"/>
          <w:position w:val="-24"/>
          <w:szCs w:val="21"/>
        </w:rPr>
        <w:t>操作台：用于检验操作</w:t>
      </w:r>
      <w:r>
        <w:rPr>
          <w:rFonts w:hint="eastAsia" w:ascii="Times New Roman" w:hAnsi="Times New Roman" w:eastAsia="宋体" w:cs="Times New Roman"/>
          <w:position w:val="-24"/>
          <w:szCs w:val="21"/>
        </w:rPr>
        <w:t>。</w:t>
      </w:r>
    </w:p>
    <w:p w14:paraId="3E7D4DED">
      <w:pPr>
        <w:ind w:firstLine="420"/>
        <w:jc w:val="both"/>
        <w:rPr>
          <w:rFonts w:hint="eastAsia" w:ascii="Times New Roman" w:hAnsi="Times New Roman" w:eastAsia="宋体" w:cs="Times New Roman"/>
          <w:position w:val="-24"/>
          <w:szCs w:val="21"/>
        </w:rPr>
      </w:pPr>
      <w:r>
        <w:rPr>
          <w:rFonts w:hint="eastAsia" w:ascii="Times New Roman" w:hAnsi="Times New Roman" w:eastAsia="宋体" w:cs="Times New Roman"/>
          <w:position w:val="-24"/>
          <w:szCs w:val="21"/>
        </w:rPr>
        <w:t>电脑：医嘱接收查询</w:t>
      </w:r>
      <w:r>
        <w:rPr>
          <w:rFonts w:hint="eastAsia" w:ascii="Times New Roman" w:hAnsi="Times New Roman" w:eastAsia="宋体" w:cs="Times New Roman"/>
          <w:position w:val="-24"/>
          <w:szCs w:val="21"/>
        </w:rPr>
        <w:t>。</w:t>
      </w:r>
    </w:p>
    <w:p w14:paraId="7EA866BF">
      <w:pPr>
        <w:ind w:firstLine="420"/>
        <w:jc w:val="both"/>
        <w:rPr>
          <w:rFonts w:hint="eastAsia" w:ascii="Times New Roman" w:hAnsi="Times New Roman" w:eastAsia="宋体" w:cs="Times New Roman"/>
          <w:position w:val="-24"/>
          <w:szCs w:val="21"/>
        </w:rPr>
      </w:pPr>
      <w:r>
        <w:rPr>
          <w:rFonts w:hint="eastAsia" w:ascii="Times New Roman" w:hAnsi="Times New Roman" w:eastAsia="宋体" w:cs="Times New Roman"/>
          <w:position w:val="-24"/>
          <w:szCs w:val="21"/>
        </w:rPr>
        <w:t>物品柜：用于常用物品的分类存放。</w:t>
      </w:r>
    </w:p>
    <w:p w14:paraId="37C9B3AD">
      <w:pPr>
        <w:spacing w:before="156" w:after="156"/>
        <w:jc w:val="left"/>
        <w:rPr>
          <w:rFonts w:hint="eastAsia" w:ascii="黑体" w:hAnsi="黑体" w:eastAsia="黑体" w:cstheme="minorEastAsia"/>
          <w:position w:val="-24"/>
          <w:szCs w:val="21"/>
        </w:rPr>
      </w:pPr>
      <w:r>
        <w:rPr>
          <w:rFonts w:hint="eastAsia" w:ascii="黑体" w:hAnsi="黑体" w:eastAsia="黑体" w:cstheme="minorEastAsia"/>
          <w:position w:val="-24"/>
          <w:szCs w:val="21"/>
        </w:rPr>
        <w:t>4.8 库房</w:t>
      </w:r>
    </w:p>
    <w:p w14:paraId="374F8C9B">
      <w:pPr>
        <w:ind w:firstLine="420"/>
        <w:jc w:val="both"/>
        <w:rPr>
          <w:rFonts w:hint="eastAsia" w:ascii="Times New Roman" w:hAnsi="Times New Roman" w:eastAsia="宋体" w:cs="Times New Roman"/>
          <w:position w:val="-24"/>
          <w:szCs w:val="21"/>
        </w:rPr>
      </w:pPr>
      <w:r>
        <w:rPr>
          <w:rFonts w:hint="eastAsia" w:ascii="Times New Roman" w:hAnsi="Times New Roman" w:eastAsia="宋体" w:cs="Times New Roman"/>
          <w:position w:val="-24"/>
          <w:szCs w:val="21"/>
        </w:rPr>
        <w:t>用于科室常用物品存放，无菌物品与非无菌物品分开放置，无菌物品尽量放置在上方。物品不能直接放置于地面，应放置于柜子或架子上，大件物品在码放时地面应有垫板与地面分隔。</w:t>
      </w:r>
    </w:p>
    <w:p w14:paraId="42143F00">
      <w:pPr>
        <w:pStyle w:val="184"/>
        <w:rPr>
          <w:rFonts w:hint="eastAsia" w:asciiTheme="minorEastAsia" w:hAnsiTheme="minorEastAsia" w:cstheme="minorEastAsia"/>
          <w:position w:val="-24"/>
          <w:szCs w:val="21"/>
        </w:rPr>
      </w:pPr>
      <w:bookmarkStart w:id="10" w:name="_Toc208235241"/>
      <w:r>
        <w:rPr>
          <w:rFonts w:hint="eastAsia" w:asciiTheme="minorEastAsia" w:hAnsiTheme="minorEastAsia" w:cstheme="minorEastAsia"/>
          <w:position w:val="-24"/>
        </w:rPr>
        <w:t>专科护理人员配置及管理</w:t>
      </w:r>
      <w:bookmarkEnd w:id="10"/>
    </w:p>
    <w:p w14:paraId="40ACFC4A">
      <w:pPr>
        <w:spacing w:before="156" w:after="156"/>
        <w:jc w:val="left"/>
        <w:rPr>
          <w:rFonts w:hint="eastAsia" w:ascii="黑体" w:hAnsi="黑体" w:eastAsia="黑体" w:cstheme="minorEastAsia"/>
          <w:position w:val="-24"/>
          <w:szCs w:val="21"/>
        </w:rPr>
      </w:pPr>
      <w:r>
        <w:rPr>
          <w:rFonts w:hint="eastAsia" w:ascii="黑体" w:hAnsi="黑体" w:eastAsia="黑体" w:cstheme="minorEastAsia"/>
          <w:position w:val="-24"/>
          <w:szCs w:val="21"/>
        </w:rPr>
        <w:t>5.1 专科护理人员配置</w:t>
      </w:r>
    </w:p>
    <w:p w14:paraId="7646F757">
      <w:pPr>
        <w:ind w:firstLine="420"/>
        <w:jc w:val="both"/>
        <w:rPr>
          <w:rFonts w:hint="eastAsia" w:ascii="Times New Roman" w:hAnsi="Times New Roman" w:eastAsia="宋体" w:cs="Times New Roman"/>
          <w:position w:val="-24"/>
          <w:szCs w:val="21"/>
        </w:rPr>
      </w:pPr>
      <w:r>
        <w:rPr>
          <w:rFonts w:hint="eastAsia" w:ascii="Times New Roman" w:hAnsi="Times New Roman" w:eastAsia="宋体" w:cs="Times New Roman"/>
          <w:position w:val="-24"/>
          <w:szCs w:val="21"/>
        </w:rPr>
        <w:t>护士站：根据科室工作量配置1-2名护士。负责完成维持候诊秩序、患者答疑、各项出诊相关工作的联络、协调药房治疗室工作、患者观察、突发事件的应急处理等。</w:t>
      </w:r>
    </w:p>
    <w:p w14:paraId="080F3F49">
      <w:pPr>
        <w:spacing w:before="156" w:after="156"/>
        <w:jc w:val="left"/>
        <w:rPr>
          <w:rFonts w:hint="eastAsia" w:ascii="黑体" w:hAnsi="黑体" w:eastAsia="黑体" w:cstheme="minorEastAsia"/>
          <w:position w:val="-24"/>
          <w:szCs w:val="21"/>
        </w:rPr>
      </w:pPr>
      <w:r>
        <w:rPr>
          <w:rFonts w:hint="eastAsia" w:ascii="黑体" w:hAnsi="黑体" w:eastAsia="黑体" w:cstheme="minorEastAsia"/>
          <w:position w:val="-24"/>
          <w:szCs w:val="21"/>
        </w:rPr>
        <w:t>5.2 专科治疗室</w:t>
      </w:r>
    </w:p>
    <w:p w14:paraId="2EDA4184">
      <w:pPr>
        <w:ind w:firstLine="420"/>
        <w:jc w:val="both"/>
        <w:rPr>
          <w:rFonts w:hint="eastAsia" w:ascii="Times New Roman" w:hAnsi="Times New Roman" w:eastAsia="宋体" w:cs="Times New Roman"/>
          <w:position w:val="-24"/>
          <w:szCs w:val="21"/>
        </w:rPr>
      </w:pPr>
      <w:r>
        <w:rPr>
          <w:rFonts w:hint="eastAsia" w:ascii="Times New Roman" w:hAnsi="Times New Roman" w:eastAsia="宋体" w:cs="Times New Roman"/>
          <w:position w:val="-24"/>
          <w:szCs w:val="21"/>
        </w:rPr>
        <w:t>根据科室工作量安排具体护士数。负责各类皮肤试验、皮试液的配制与各类药品管理、单抗类药物的配制与注射，变应原特异性免疫治疗、各类专科科研试验的配合、突发事件急救处理等。</w:t>
      </w:r>
    </w:p>
    <w:p w14:paraId="7C44670B">
      <w:pPr>
        <w:spacing w:before="156" w:after="156"/>
        <w:jc w:val="left"/>
        <w:rPr>
          <w:rFonts w:hint="eastAsia" w:ascii="黑体" w:hAnsi="黑体" w:eastAsia="黑体" w:cstheme="minorEastAsia"/>
          <w:position w:val="-24"/>
          <w:szCs w:val="21"/>
        </w:rPr>
      </w:pPr>
      <w:r>
        <w:rPr>
          <w:rFonts w:hint="eastAsia" w:ascii="黑体" w:hAnsi="黑体" w:eastAsia="黑体" w:cstheme="minorEastAsia"/>
          <w:position w:val="-24"/>
          <w:szCs w:val="21"/>
        </w:rPr>
        <w:t>5.3 变应原免疫治疗药房</w:t>
      </w:r>
    </w:p>
    <w:p w14:paraId="329302A5">
      <w:pPr>
        <w:ind w:firstLine="420"/>
        <w:jc w:val="both"/>
        <w:rPr>
          <w:rFonts w:hint="eastAsia" w:ascii="Times New Roman" w:hAnsi="Times New Roman" w:eastAsia="宋体" w:cs="Times New Roman"/>
          <w:position w:val="-24"/>
          <w:szCs w:val="21"/>
        </w:rPr>
      </w:pPr>
      <w:r>
        <w:rPr>
          <w:rFonts w:hint="eastAsia" w:ascii="Times New Roman" w:hAnsi="Times New Roman" w:eastAsia="宋体" w:cs="Times New Roman"/>
          <w:position w:val="-24"/>
          <w:szCs w:val="21"/>
        </w:rPr>
        <w:t>根据药房工作量设置药房人数，至少2人。负责免疫治疗药物的配制、药品管理、药品的发放、健康宣教等。</w:t>
      </w:r>
    </w:p>
    <w:p w14:paraId="001AAFCE">
      <w:pPr>
        <w:pStyle w:val="184"/>
        <w:rPr>
          <w:rFonts w:hint="eastAsia" w:asciiTheme="minorEastAsia" w:hAnsiTheme="minorEastAsia" w:cstheme="minorEastAsia"/>
          <w:position w:val="-24"/>
          <w:szCs w:val="21"/>
        </w:rPr>
      </w:pPr>
      <w:bookmarkStart w:id="11" w:name="_Toc208235242"/>
      <w:r>
        <w:rPr>
          <w:rFonts w:hint="eastAsia" w:asciiTheme="minorEastAsia" w:hAnsiTheme="minorEastAsia" w:cstheme="minorEastAsia"/>
          <w:position w:val="-24"/>
        </w:rPr>
        <w:t>专科操作技术</w:t>
      </w:r>
      <w:bookmarkEnd w:id="11"/>
    </w:p>
    <w:p w14:paraId="74576717">
      <w:pPr>
        <w:spacing w:before="156" w:after="156"/>
        <w:jc w:val="left"/>
        <w:rPr>
          <w:rFonts w:hint="eastAsia" w:ascii="黑体" w:hAnsi="黑体" w:eastAsia="黑体" w:cstheme="minorEastAsia"/>
          <w:position w:val="-24"/>
          <w:szCs w:val="21"/>
        </w:rPr>
      </w:pPr>
      <w:r>
        <w:rPr>
          <w:rFonts w:hint="eastAsia" w:ascii="黑体" w:hAnsi="黑体" w:eastAsia="黑体" w:cstheme="minorEastAsia"/>
          <w:position w:val="-24"/>
          <w:szCs w:val="21"/>
        </w:rPr>
        <w:t>6.1 皮内试验</w:t>
      </w:r>
    </w:p>
    <w:p w14:paraId="14666876">
      <w:pPr>
        <w:jc w:val="left"/>
        <w:rPr>
          <w:rFonts w:hint="eastAsia" w:ascii="黑体" w:hAnsi="黑体" w:eastAsia="黑体" w:cstheme="minorEastAsia"/>
          <w:position w:val="-24"/>
          <w:szCs w:val="21"/>
        </w:rPr>
      </w:pPr>
      <w:r>
        <w:rPr>
          <w:rFonts w:hint="eastAsia" w:ascii="黑体" w:hAnsi="黑体" w:eastAsia="黑体" w:cstheme="minorEastAsia"/>
          <w:position w:val="-24"/>
          <w:szCs w:val="21"/>
        </w:rPr>
        <w:t xml:space="preserve">6.1.1 </w:t>
      </w:r>
      <w:r>
        <w:rPr>
          <w:rFonts w:hint="eastAsia" w:ascii="黑体" w:hAnsi="黑体" w:eastAsia="黑体" w:cstheme="minorEastAsia"/>
          <w:position w:val="-24"/>
          <w:szCs w:val="21"/>
        </w:rPr>
        <w:t>物品准备</w:t>
      </w:r>
    </w:p>
    <w:p w14:paraId="6501BD6A">
      <w:pPr>
        <w:ind w:firstLine="420"/>
        <w:jc w:val="both"/>
        <w:rPr>
          <w:rFonts w:hint="eastAsia" w:ascii="Times New Roman" w:hAnsi="Times New Roman" w:eastAsia="宋体" w:cs="Times New Roman"/>
          <w:position w:val="-24"/>
          <w:szCs w:val="21"/>
        </w:rPr>
      </w:pPr>
      <w:r>
        <w:rPr>
          <w:rFonts w:hint="eastAsia" w:ascii="Times New Roman" w:hAnsi="Times New Roman" w:eastAsia="宋体" w:cs="Times New Roman"/>
          <w:position w:val="-24"/>
          <w:szCs w:val="21"/>
        </w:rPr>
        <w:t>1ml注射器（或专门的皮试用注射器）、皮内试验用变应原皮试液、75%酒精、无菌棉签、直尺、电脑、打印机、冰糖、饮用水、锐器桶、生活垃圾及医用垃圾袋。</w:t>
      </w:r>
    </w:p>
    <w:p w14:paraId="68CB235D">
      <w:pPr>
        <w:jc w:val="left"/>
        <w:rPr>
          <w:rFonts w:hint="eastAsia" w:ascii="黑体" w:hAnsi="黑体" w:eastAsia="黑体" w:cstheme="minorEastAsia"/>
          <w:position w:val="-24"/>
          <w:szCs w:val="21"/>
        </w:rPr>
      </w:pPr>
      <w:r>
        <w:rPr>
          <w:rFonts w:hint="eastAsia" w:ascii="黑体" w:hAnsi="黑体" w:eastAsia="黑体" w:cstheme="minorEastAsia"/>
          <w:position w:val="-24"/>
          <w:szCs w:val="21"/>
        </w:rPr>
        <w:t xml:space="preserve">6.1.2 </w:t>
      </w:r>
      <w:r>
        <w:rPr>
          <w:rFonts w:hint="eastAsia" w:ascii="黑体" w:hAnsi="黑体" w:eastAsia="黑体" w:cstheme="minorEastAsia"/>
          <w:position w:val="-24"/>
          <w:szCs w:val="21"/>
        </w:rPr>
        <w:t>操作步骤</w:t>
      </w:r>
    </w:p>
    <w:p w14:paraId="648FF038">
      <w:pPr>
        <w:pStyle w:val="185"/>
        <w:numPr>
          <w:ilvl w:val="0"/>
          <w:numId w:val="3"/>
        </w:numPr>
        <w:ind w:left="884" w:hanging="442"/>
        <w:jc w:val="both"/>
        <w:rPr>
          <w:rFonts w:hint="eastAsia" w:ascii="Times New Roman" w:hAnsi="Times New Roman" w:eastAsia="宋体" w:cs="Times New Roman"/>
        </w:rPr>
      </w:pPr>
      <w:r>
        <w:rPr>
          <w:rFonts w:hint="eastAsia" w:ascii="Times New Roman" w:hAnsi="Times New Roman" w:eastAsia="宋体" w:cs="Times New Roman"/>
        </w:rPr>
        <w:t>每日开始操作前，先核对变应原皮试液名称、浓度、有效期正确，核对变应原的顺序，保障皮试液顺序与医嘱单常规顺序保持绝对一致。</w:t>
      </w:r>
    </w:p>
    <w:p w14:paraId="6F9C9AFB">
      <w:pPr>
        <w:pStyle w:val="185"/>
        <w:numPr>
          <w:ilvl w:val="0"/>
          <w:numId w:val="3"/>
        </w:numPr>
        <w:ind w:left="884" w:hanging="442"/>
        <w:jc w:val="both"/>
        <w:rPr>
          <w:rFonts w:hint="eastAsia" w:ascii="Times New Roman" w:hAnsi="Times New Roman" w:eastAsia="宋体" w:cs="Times New Roman"/>
        </w:rPr>
      </w:pPr>
      <w:r>
        <w:rPr>
          <w:rFonts w:hint="eastAsia" w:ascii="Times New Roman" w:hAnsi="Times New Roman" w:eastAsia="宋体" w:cs="Times New Roman"/>
        </w:rPr>
        <w:t>核对患者基本信息，通过读卡等方式核对，避免因口述发生差错。</w:t>
      </w:r>
    </w:p>
    <w:p w14:paraId="1703FAD3">
      <w:pPr>
        <w:pStyle w:val="185"/>
        <w:numPr>
          <w:ilvl w:val="0"/>
          <w:numId w:val="3"/>
        </w:numPr>
        <w:ind w:left="884" w:hanging="442"/>
        <w:jc w:val="both"/>
        <w:rPr>
          <w:rFonts w:hint="eastAsia" w:ascii="Times New Roman" w:hAnsi="Times New Roman" w:eastAsia="宋体" w:cs="Times New Roman"/>
        </w:rPr>
      </w:pPr>
      <w:r>
        <w:rPr>
          <w:rFonts w:hint="eastAsia" w:ascii="Times New Roman" w:hAnsi="Times New Roman" w:eastAsia="宋体" w:cs="Times New Roman"/>
        </w:rPr>
        <w:t>评估患者基本情况良好、是否服用抗组胺药等对皮试结果有影响的药物、是否过敏症状高峰期、局部皮肤情况、是否空腹、有无晕针及晕血史等。</w:t>
      </w:r>
    </w:p>
    <w:p w14:paraId="01365068">
      <w:pPr>
        <w:pStyle w:val="185"/>
        <w:numPr>
          <w:ilvl w:val="0"/>
          <w:numId w:val="3"/>
        </w:numPr>
        <w:ind w:left="884" w:hanging="442"/>
        <w:jc w:val="both"/>
        <w:rPr>
          <w:rFonts w:hint="eastAsia" w:ascii="Times New Roman" w:hAnsi="Times New Roman" w:eastAsia="宋体" w:cs="Times New Roman"/>
        </w:rPr>
      </w:pPr>
      <w:r>
        <w:rPr>
          <w:rFonts w:hint="eastAsia" w:ascii="Times New Roman" w:hAnsi="Times New Roman" w:eastAsia="宋体" w:cs="Times New Roman"/>
        </w:rPr>
        <w:t>给予患者健康宣教，告知患者操作过程中的注意事项及如有不适及时告知护士。</w:t>
      </w:r>
    </w:p>
    <w:p w14:paraId="32EA8741">
      <w:pPr>
        <w:pStyle w:val="185"/>
        <w:numPr>
          <w:ilvl w:val="0"/>
          <w:numId w:val="3"/>
        </w:numPr>
        <w:ind w:left="884" w:hanging="442"/>
        <w:jc w:val="both"/>
        <w:rPr>
          <w:rFonts w:hint="eastAsia" w:ascii="Times New Roman" w:hAnsi="Times New Roman" w:eastAsia="宋体" w:cs="Times New Roman"/>
        </w:rPr>
      </w:pPr>
      <w:r>
        <w:rPr>
          <w:rFonts w:hint="eastAsia" w:ascii="Times New Roman" w:hAnsi="Times New Roman" w:eastAsia="宋体" w:cs="Times New Roman"/>
        </w:rPr>
        <w:t>因每位患者皮肤试验需要检测的变应原种类通常较多，为了避免反复拿取时发生错位，建议根据医嘱单内容挑选需要皮试的变应原并将注射器插入变应原瓶内备用，并核对准备好的变应原与医嘱单名称、顺序一致。</w:t>
      </w:r>
    </w:p>
    <w:p w14:paraId="0F582BD4">
      <w:pPr>
        <w:pStyle w:val="185"/>
        <w:numPr>
          <w:ilvl w:val="0"/>
          <w:numId w:val="3"/>
        </w:numPr>
        <w:ind w:left="884" w:hanging="442"/>
        <w:jc w:val="both"/>
        <w:rPr>
          <w:rFonts w:hint="eastAsia" w:ascii="Times New Roman" w:hAnsi="Times New Roman" w:eastAsia="宋体" w:cs="Times New Roman"/>
        </w:rPr>
      </w:pPr>
      <w:r>
        <w:rPr>
          <w:rFonts w:hint="eastAsia" w:ascii="Times New Roman" w:hAnsi="Times New Roman" w:eastAsia="宋体" w:cs="Times New Roman"/>
        </w:rPr>
        <w:t>指导患者摆放体位，暴露上臂外侧，首选左侧上臂，便于护士操作过程中观察患者，必要时可选择后背。</w:t>
      </w:r>
    </w:p>
    <w:p w14:paraId="57B65FAD">
      <w:pPr>
        <w:pStyle w:val="185"/>
        <w:numPr>
          <w:ilvl w:val="0"/>
          <w:numId w:val="3"/>
        </w:numPr>
        <w:ind w:left="884" w:hanging="442"/>
        <w:jc w:val="both"/>
        <w:rPr>
          <w:rFonts w:hint="eastAsia" w:ascii="Times New Roman" w:hAnsi="Times New Roman" w:eastAsia="宋体" w:cs="Times New Roman"/>
        </w:rPr>
      </w:pPr>
      <w:r>
        <w:rPr>
          <w:rFonts w:hint="eastAsia" w:ascii="Times New Roman" w:hAnsi="Times New Roman" w:eastAsia="宋体" w:cs="Times New Roman"/>
        </w:rPr>
        <w:t>75%酒精消毒局部皮肤，自上至下、自左至右消毒，消毒面积大于操作范围。酒精过敏严重患者可选用0.9%生理盐水清洁皮肤。</w:t>
      </w:r>
    </w:p>
    <w:p w14:paraId="418AFE88">
      <w:pPr>
        <w:pStyle w:val="185"/>
        <w:numPr>
          <w:ilvl w:val="0"/>
          <w:numId w:val="3"/>
        </w:numPr>
        <w:ind w:left="884" w:hanging="442"/>
        <w:jc w:val="both"/>
        <w:rPr>
          <w:rFonts w:hint="eastAsia" w:ascii="Times New Roman" w:hAnsi="Times New Roman" w:eastAsia="宋体" w:cs="Times New Roman"/>
        </w:rPr>
      </w:pPr>
      <w:r>
        <w:rPr>
          <w:rFonts w:hint="eastAsia" w:ascii="Times New Roman" w:hAnsi="Times New Roman" w:eastAsia="宋体" w:cs="Times New Roman"/>
        </w:rPr>
        <w:t>根据变应原数量及患者皮肤情况，设计注射点，常规自上至下、自左至右均匀分布排列。对于儿童等可用于皮试面积较小的患者，可分布在两侧上臂注射。对于局部皮肤有皮损等情况，不能整齐排列、均匀分布时，根据患者局部情况选择注射点，应用记号笔标识，避免判读结果时混淆。</w:t>
      </w:r>
    </w:p>
    <w:p w14:paraId="6393B44B">
      <w:pPr>
        <w:pStyle w:val="185"/>
        <w:numPr>
          <w:ilvl w:val="0"/>
          <w:numId w:val="3"/>
        </w:numPr>
        <w:ind w:left="884" w:hanging="442"/>
        <w:jc w:val="both"/>
        <w:rPr>
          <w:rFonts w:hint="eastAsia" w:ascii="Times New Roman" w:hAnsi="Times New Roman" w:eastAsia="宋体" w:cs="Times New Roman"/>
        </w:rPr>
      </w:pPr>
      <w:r>
        <w:rPr>
          <w:rFonts w:hint="eastAsia" w:ascii="Times New Roman" w:hAnsi="Times New Roman" w:eastAsia="宋体" w:cs="Times New Roman"/>
        </w:rPr>
        <w:t>按顺序抽取变应原0.05ml，在相应注射点皮内注射0.01-0.02ml，注射皮丘直径3mm为宜。注射前对注射器排气，避免注入空气。每个变应原注射时均核对变应原与注射点位置对应，避免错位，导致判读结果时错误。</w:t>
      </w:r>
    </w:p>
    <w:p w14:paraId="0B56445C">
      <w:pPr>
        <w:pStyle w:val="185"/>
        <w:numPr>
          <w:ilvl w:val="0"/>
          <w:numId w:val="3"/>
        </w:numPr>
        <w:ind w:left="884" w:hanging="442"/>
        <w:jc w:val="both"/>
        <w:rPr>
          <w:rFonts w:hint="eastAsia" w:ascii="Times New Roman" w:hAnsi="Times New Roman" w:eastAsia="宋体" w:cs="Times New Roman"/>
        </w:rPr>
      </w:pPr>
      <w:r>
        <w:rPr>
          <w:rFonts w:hint="eastAsia" w:ascii="Times New Roman" w:hAnsi="Times New Roman" w:eastAsia="宋体" w:cs="Times New Roman"/>
        </w:rPr>
        <w:t>依次注射完成后，再次核对变应原数量及位置无误。</w:t>
      </w:r>
    </w:p>
    <w:p w14:paraId="67CEC5BD">
      <w:pPr>
        <w:pStyle w:val="185"/>
        <w:numPr>
          <w:ilvl w:val="0"/>
          <w:numId w:val="3"/>
        </w:numPr>
        <w:ind w:left="884" w:hanging="442"/>
        <w:jc w:val="both"/>
        <w:rPr>
          <w:rFonts w:hint="eastAsia" w:ascii="Times New Roman" w:hAnsi="Times New Roman" w:eastAsia="宋体" w:cs="Times New Roman"/>
        </w:rPr>
      </w:pPr>
      <w:r>
        <w:rPr>
          <w:rFonts w:hint="eastAsia" w:ascii="Times New Roman" w:hAnsi="Times New Roman" w:eastAsia="宋体" w:cs="Times New Roman"/>
        </w:rPr>
        <w:t>由于操作针次较多，操作过程中，观察患者情况，如有不适，立即停止操作，呼叫医生查看患者。具体处理可参见不良反应处理。</w:t>
      </w:r>
    </w:p>
    <w:p w14:paraId="7417F40B">
      <w:pPr>
        <w:pStyle w:val="185"/>
        <w:numPr>
          <w:ilvl w:val="0"/>
          <w:numId w:val="3"/>
        </w:numPr>
        <w:ind w:left="884" w:hanging="442"/>
        <w:jc w:val="both"/>
        <w:rPr>
          <w:rFonts w:hint="eastAsia" w:ascii="Times New Roman" w:hAnsi="Times New Roman" w:eastAsia="宋体" w:cs="Times New Roman"/>
        </w:rPr>
      </w:pPr>
      <w:r>
        <w:rPr>
          <w:rFonts w:hint="eastAsia" w:ascii="Times New Roman" w:hAnsi="Times New Roman" w:eastAsia="宋体" w:cs="Times New Roman"/>
        </w:rPr>
        <w:t>给予患者健康宣教，嘱患者观察区观察15分钟，避免局部抓挠，如有不适及时告知医护人员，15分钟后查看局部反应，为患者出具检验报告。</w:t>
      </w:r>
    </w:p>
    <w:p w14:paraId="483B030A">
      <w:pPr>
        <w:pStyle w:val="185"/>
        <w:numPr>
          <w:ilvl w:val="0"/>
          <w:numId w:val="3"/>
        </w:numPr>
        <w:ind w:left="884" w:hanging="442"/>
        <w:jc w:val="both"/>
        <w:rPr>
          <w:rFonts w:hint="eastAsia" w:ascii="Times New Roman" w:hAnsi="Times New Roman" w:eastAsia="宋体" w:cs="Times New Roman"/>
        </w:rPr>
      </w:pPr>
      <w:r>
        <w:rPr>
          <w:rFonts w:hint="eastAsia" w:ascii="Times New Roman" w:hAnsi="Times New Roman" w:eastAsia="宋体" w:cs="Times New Roman"/>
        </w:rPr>
        <w:t>15分钟后根据操作顺序，依次测定患者每个变应原反应的风团最大直径出具检验报告，皮内试验结果判读方法如表1</w:t>
      </w:r>
      <w:r>
        <w:rPr>
          <w:rFonts w:hint="eastAsia" w:ascii="Times New Roman" w:hAnsi="Times New Roman" w:eastAsia="宋体" w:cs="Times New Roman"/>
        </w:rPr>
        <w:t>。</w:t>
      </w:r>
    </w:p>
    <w:p w14:paraId="69DDCCDB">
      <w:pPr>
        <w:ind w:left="0"/>
        <w:jc w:val="center"/>
        <w:rPr>
          <w:rFonts w:hint="eastAsia" w:ascii="Times New Roman" w:hAnsi="Times New Roman" w:eastAsia="宋体" w:cs="Times New Roman"/>
        </w:rPr>
      </w:pPr>
      <w:r>
        <w:rPr>
          <w:rFonts w:hint="eastAsia" w:ascii="Times New Roman" w:hAnsi="Times New Roman" w:eastAsia="宋体" w:cs="Times New Roman"/>
        </w:rPr>
        <w:t>表1</w:t>
      </w:r>
      <w:r>
        <w:rPr>
          <w:rFonts w:hint="eastAsia" w:ascii="Times New Roman" w:hAnsi="Times New Roman" w:eastAsia="宋体" w:cs="Times New Roman"/>
        </w:rPr>
        <w:t xml:space="preserve"> </w:t>
      </w:r>
      <w:r>
        <w:rPr>
          <w:rFonts w:hint="eastAsia" w:ascii="Times New Roman" w:hAnsi="Times New Roman" w:eastAsia="宋体" w:cs="Times New Roman"/>
        </w:rPr>
        <w:t>变应原皮内试验结果判定</w:t>
      </w:r>
    </w:p>
    <w:tbl>
      <w:tblPr>
        <w:tblStyle w:val="186"/>
        <w:tblW w:w="0" w:type="auto"/>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65"/>
        <w:gridCol w:w="2765"/>
        <w:gridCol w:w="2766"/>
      </w:tblGrid>
      <w:tr w14:paraId="6B9F0C6F">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765" w:type="dxa"/>
            <w:noWrap w:val="0"/>
          </w:tcPr>
          <w:p w14:paraId="4999B589">
            <w:pPr>
              <w:rPr>
                <w:rFonts w:hint="eastAsia" w:ascii="Times New Roman" w:hAnsi="Times New Roman" w:eastAsia="宋体" w:cs="Times New Roman"/>
                <w:b w:val="0"/>
                <w:bCs w:val="0"/>
              </w:rPr>
            </w:pPr>
            <w:r>
              <w:rPr>
                <w:rFonts w:hint="eastAsia" w:ascii="Times New Roman" w:hAnsi="Times New Roman" w:eastAsia="宋体" w:cs="Times New Roman"/>
              </w:rPr>
              <w:t>分级</w:t>
            </w:r>
          </w:p>
        </w:tc>
        <w:tc>
          <w:tcPr>
            <w:tcW w:w="2765" w:type="dxa"/>
            <w:noWrap w:val="0"/>
          </w:tcPr>
          <w:p w14:paraId="35829924">
            <w:pPr>
              <w:rPr>
                <w:rFonts w:hint="eastAsia" w:ascii="Times New Roman" w:hAnsi="Times New Roman" w:eastAsia="宋体" w:cs="Times New Roman"/>
                <w:b w:val="0"/>
                <w:bCs w:val="0"/>
              </w:rPr>
            </w:pPr>
            <w:r>
              <w:rPr>
                <w:rFonts w:hint="eastAsia" w:ascii="Times New Roman" w:hAnsi="Times New Roman" w:eastAsia="宋体" w:cs="Times New Roman"/>
              </w:rPr>
              <w:t>风团直径（mm）</w:t>
            </w:r>
          </w:p>
        </w:tc>
        <w:tc>
          <w:tcPr>
            <w:tcW w:w="2766" w:type="dxa"/>
            <w:noWrap w:val="0"/>
          </w:tcPr>
          <w:p w14:paraId="34D72497">
            <w:pPr>
              <w:rPr>
                <w:rFonts w:hint="eastAsia" w:ascii="Times New Roman" w:hAnsi="Times New Roman" w:eastAsia="宋体" w:cs="Times New Roman"/>
                <w:b w:val="0"/>
                <w:bCs w:val="0"/>
              </w:rPr>
            </w:pPr>
            <w:r>
              <w:rPr>
                <w:rFonts w:hint="eastAsia" w:ascii="Times New Roman" w:hAnsi="Times New Roman" w:eastAsia="宋体" w:cs="Times New Roman"/>
              </w:rPr>
              <w:t>红晕直径（mm）</w:t>
            </w:r>
          </w:p>
        </w:tc>
      </w:tr>
      <w:tr w14:paraId="2831EDE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765" w:type="dxa"/>
            <w:tcBorders>
              <w:top w:val="single" w:color="7E7E7E" w:themeColor="text1" w:themeTint="80" w:sz="4" w:space="0"/>
              <w:bottom w:val="single" w:color="7E7E7E" w:themeColor="text1" w:themeTint="80" w:sz="4" w:space="0"/>
            </w:tcBorders>
            <w:noWrap w:val="0"/>
          </w:tcPr>
          <w:p w14:paraId="7128EAF2">
            <w:pPr>
              <w:rPr>
                <w:rFonts w:hint="eastAsia" w:ascii="Times New Roman" w:hAnsi="Times New Roman" w:eastAsia="宋体" w:cs="Times New Roman"/>
                <w:b w:val="0"/>
                <w:bCs w:val="0"/>
              </w:rPr>
            </w:pPr>
            <w:r>
              <w:rPr>
                <w:rFonts w:hint="eastAsia" w:ascii="Times New Roman" w:hAnsi="Times New Roman" w:eastAsia="宋体" w:cs="Times New Roman"/>
              </w:rPr>
              <w:t>—</w:t>
            </w:r>
          </w:p>
        </w:tc>
        <w:tc>
          <w:tcPr>
            <w:tcW w:w="2765" w:type="dxa"/>
            <w:tcBorders>
              <w:top w:val="single" w:color="7E7E7E" w:themeColor="text1" w:themeTint="80" w:sz="4" w:space="0"/>
              <w:bottom w:val="single" w:color="7E7E7E" w:themeColor="text1" w:themeTint="80" w:sz="4" w:space="0"/>
            </w:tcBorders>
            <w:noWrap w:val="0"/>
          </w:tcPr>
          <w:p w14:paraId="152B183E">
            <w:pPr>
              <w:rPr>
                <w:rFonts w:hint="eastAsia" w:ascii="Times New Roman" w:hAnsi="Times New Roman" w:eastAsia="宋体" w:cs="Times New Roman"/>
              </w:rPr>
            </w:pPr>
            <w:r>
              <w:rPr>
                <w:rFonts w:hint="eastAsia" w:ascii="Times New Roman" w:hAnsi="Times New Roman" w:eastAsia="宋体" w:cs="Times New Roman"/>
              </w:rPr>
              <w:t>＜5</w:t>
            </w:r>
          </w:p>
        </w:tc>
        <w:tc>
          <w:tcPr>
            <w:tcW w:w="2766" w:type="dxa"/>
            <w:tcBorders>
              <w:top w:val="single" w:color="7E7E7E" w:themeColor="text1" w:themeTint="80" w:sz="4" w:space="0"/>
              <w:bottom w:val="single" w:color="7E7E7E" w:themeColor="text1" w:themeTint="80" w:sz="4" w:space="0"/>
            </w:tcBorders>
            <w:noWrap w:val="0"/>
          </w:tcPr>
          <w:p w14:paraId="3F1B5AFD">
            <w:pPr>
              <w:rPr>
                <w:rFonts w:hint="eastAsia" w:ascii="Times New Roman" w:hAnsi="Times New Roman" w:eastAsia="宋体" w:cs="Times New Roman"/>
              </w:rPr>
            </w:pPr>
            <w:r>
              <w:rPr>
                <w:rFonts w:hint="eastAsia" w:ascii="Times New Roman" w:hAnsi="Times New Roman" w:eastAsia="宋体" w:cs="Times New Roman"/>
              </w:rPr>
              <w:t>无</w:t>
            </w:r>
          </w:p>
        </w:tc>
      </w:tr>
      <w:tr w14:paraId="18869AE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765" w:type="dxa"/>
            <w:noWrap w:val="0"/>
          </w:tcPr>
          <w:p w14:paraId="24E9E985">
            <w:pPr>
              <w:rPr>
                <w:rFonts w:hint="eastAsia" w:ascii="Times New Roman" w:hAnsi="Times New Roman" w:eastAsia="宋体" w:cs="Times New Roman"/>
                <w:b w:val="0"/>
                <w:bCs w:val="0"/>
              </w:rPr>
            </w:pPr>
            <w:r>
              <w:rPr>
                <w:rFonts w:hint="eastAsia" w:ascii="Times New Roman" w:hAnsi="Times New Roman" w:eastAsia="宋体" w:cs="Times New Roman"/>
              </w:rPr>
              <w:t>+</w:t>
            </w:r>
          </w:p>
        </w:tc>
        <w:tc>
          <w:tcPr>
            <w:tcW w:w="2765" w:type="dxa"/>
            <w:noWrap w:val="0"/>
          </w:tcPr>
          <w:p w14:paraId="74BFD8FE">
            <w:pPr>
              <w:rPr>
                <w:rFonts w:hint="eastAsia" w:ascii="Times New Roman" w:hAnsi="Times New Roman" w:eastAsia="宋体" w:cs="Times New Roman"/>
              </w:rPr>
            </w:pPr>
            <w:r>
              <w:rPr>
                <w:rFonts w:hint="eastAsia" w:ascii="Times New Roman" w:hAnsi="Times New Roman" w:eastAsia="宋体" w:cs="Times New Roman"/>
              </w:rPr>
              <w:t>≥5，＜10</w:t>
            </w:r>
          </w:p>
        </w:tc>
        <w:tc>
          <w:tcPr>
            <w:tcW w:w="2766" w:type="dxa"/>
            <w:noWrap w:val="0"/>
          </w:tcPr>
          <w:p w14:paraId="4B5AB826">
            <w:pPr>
              <w:rPr>
                <w:rFonts w:hint="eastAsia" w:ascii="Times New Roman" w:hAnsi="Times New Roman" w:eastAsia="宋体" w:cs="Times New Roman"/>
              </w:rPr>
            </w:pPr>
            <w:r>
              <w:rPr>
                <w:rFonts w:hint="eastAsia" w:ascii="Times New Roman" w:hAnsi="Times New Roman" w:eastAsia="宋体" w:cs="Times New Roman"/>
              </w:rPr>
              <w:t>轻度红晕</w:t>
            </w:r>
          </w:p>
        </w:tc>
      </w:tr>
      <w:tr w14:paraId="0B3571D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765" w:type="dxa"/>
            <w:tcBorders>
              <w:top w:val="single" w:color="7E7E7E" w:themeColor="text1" w:themeTint="80" w:sz="4" w:space="0"/>
              <w:bottom w:val="single" w:color="7E7E7E" w:themeColor="text1" w:themeTint="80" w:sz="4" w:space="0"/>
            </w:tcBorders>
            <w:noWrap w:val="0"/>
          </w:tcPr>
          <w:p w14:paraId="237FD11F">
            <w:pPr>
              <w:rPr>
                <w:rFonts w:hint="eastAsia" w:ascii="Times New Roman" w:hAnsi="Times New Roman" w:eastAsia="宋体" w:cs="Times New Roman"/>
                <w:b w:val="0"/>
                <w:bCs w:val="0"/>
              </w:rPr>
            </w:pPr>
            <w:r>
              <w:rPr>
                <w:rFonts w:hint="eastAsia" w:ascii="Times New Roman" w:hAnsi="Times New Roman" w:eastAsia="宋体" w:cs="Times New Roman"/>
              </w:rPr>
              <w:t>++</w:t>
            </w:r>
          </w:p>
        </w:tc>
        <w:tc>
          <w:tcPr>
            <w:tcW w:w="2765" w:type="dxa"/>
            <w:tcBorders>
              <w:top w:val="single" w:color="7E7E7E" w:themeColor="text1" w:themeTint="80" w:sz="4" w:space="0"/>
              <w:bottom w:val="single" w:color="7E7E7E" w:themeColor="text1" w:themeTint="80" w:sz="4" w:space="0"/>
            </w:tcBorders>
            <w:noWrap w:val="0"/>
          </w:tcPr>
          <w:p w14:paraId="0D2F12C7">
            <w:pPr>
              <w:rPr>
                <w:rFonts w:hint="eastAsia" w:ascii="Times New Roman" w:hAnsi="Times New Roman" w:eastAsia="宋体" w:cs="Times New Roman"/>
              </w:rPr>
            </w:pPr>
            <w:r>
              <w:rPr>
                <w:rFonts w:hint="eastAsia" w:ascii="Times New Roman" w:hAnsi="Times New Roman" w:eastAsia="宋体" w:cs="Times New Roman"/>
              </w:rPr>
              <w:t>≥10，＜15</w:t>
            </w:r>
          </w:p>
        </w:tc>
        <w:tc>
          <w:tcPr>
            <w:tcW w:w="2766" w:type="dxa"/>
            <w:tcBorders>
              <w:top w:val="single" w:color="7E7E7E" w:themeColor="text1" w:themeTint="80" w:sz="4" w:space="0"/>
              <w:bottom w:val="single" w:color="7E7E7E" w:themeColor="text1" w:themeTint="80" w:sz="4" w:space="0"/>
            </w:tcBorders>
            <w:noWrap w:val="0"/>
          </w:tcPr>
          <w:p w14:paraId="20875A06">
            <w:pPr>
              <w:rPr>
                <w:rFonts w:hint="eastAsia" w:ascii="Times New Roman" w:hAnsi="Times New Roman" w:eastAsia="宋体" w:cs="Times New Roman"/>
              </w:rPr>
            </w:pPr>
            <w:r>
              <w:rPr>
                <w:rFonts w:hint="eastAsia" w:ascii="Times New Roman" w:hAnsi="Times New Roman" w:eastAsia="宋体" w:cs="Times New Roman"/>
              </w:rPr>
              <w:t>直径＞10</w:t>
            </w:r>
          </w:p>
        </w:tc>
      </w:tr>
      <w:tr w14:paraId="5202D82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765" w:type="dxa"/>
            <w:noWrap w:val="0"/>
          </w:tcPr>
          <w:p w14:paraId="1F9DA254">
            <w:pPr>
              <w:rPr>
                <w:rFonts w:hint="eastAsia" w:ascii="Times New Roman" w:hAnsi="Times New Roman" w:eastAsia="宋体" w:cs="Times New Roman"/>
                <w:b w:val="0"/>
                <w:bCs w:val="0"/>
              </w:rPr>
            </w:pPr>
            <w:r>
              <w:rPr>
                <w:rFonts w:hint="eastAsia" w:ascii="Times New Roman" w:hAnsi="Times New Roman" w:eastAsia="宋体" w:cs="Times New Roman"/>
              </w:rPr>
              <w:t>+++</w:t>
            </w:r>
          </w:p>
        </w:tc>
        <w:tc>
          <w:tcPr>
            <w:tcW w:w="2765" w:type="dxa"/>
            <w:noWrap w:val="0"/>
          </w:tcPr>
          <w:p w14:paraId="4BF6B0E4">
            <w:pPr>
              <w:rPr>
                <w:rFonts w:hint="eastAsia" w:ascii="Times New Roman" w:hAnsi="Times New Roman" w:eastAsia="宋体" w:cs="Times New Roman"/>
              </w:rPr>
            </w:pPr>
            <w:r>
              <w:rPr>
                <w:rFonts w:hint="eastAsia" w:ascii="Times New Roman" w:hAnsi="Times New Roman" w:eastAsia="宋体" w:cs="Times New Roman"/>
              </w:rPr>
              <w:t>≥15，＜20</w:t>
            </w:r>
          </w:p>
        </w:tc>
        <w:tc>
          <w:tcPr>
            <w:tcW w:w="2766" w:type="dxa"/>
            <w:noWrap w:val="0"/>
          </w:tcPr>
          <w:p w14:paraId="668DA832">
            <w:pPr>
              <w:rPr>
                <w:rFonts w:hint="eastAsia" w:ascii="Times New Roman" w:hAnsi="Times New Roman" w:eastAsia="宋体" w:cs="Times New Roman"/>
              </w:rPr>
            </w:pPr>
            <w:r>
              <w:rPr>
                <w:rFonts w:hint="eastAsia" w:ascii="Times New Roman" w:hAnsi="Times New Roman" w:eastAsia="宋体" w:cs="Times New Roman"/>
              </w:rPr>
              <w:t>同上</w:t>
            </w:r>
          </w:p>
        </w:tc>
      </w:tr>
      <w:tr w14:paraId="4232F821">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765" w:type="dxa"/>
            <w:tcBorders>
              <w:top w:val="single" w:color="7E7E7E" w:themeColor="text1" w:themeTint="80" w:sz="4" w:space="0"/>
              <w:bottom w:val="single" w:color="7E7E7E" w:themeColor="text1" w:themeTint="80" w:sz="4" w:space="0"/>
            </w:tcBorders>
            <w:noWrap w:val="0"/>
          </w:tcPr>
          <w:p w14:paraId="1174D71D">
            <w:pPr>
              <w:rPr>
                <w:rFonts w:hint="eastAsia" w:ascii="Times New Roman" w:hAnsi="Times New Roman" w:eastAsia="宋体" w:cs="Times New Roman"/>
                <w:b w:val="0"/>
                <w:bCs w:val="0"/>
              </w:rPr>
            </w:pPr>
            <w:r>
              <w:rPr>
                <w:rFonts w:hint="eastAsia" w:ascii="Times New Roman" w:hAnsi="Times New Roman" w:eastAsia="宋体" w:cs="Times New Roman"/>
              </w:rPr>
              <w:t>++++</w:t>
            </w:r>
          </w:p>
        </w:tc>
        <w:tc>
          <w:tcPr>
            <w:tcW w:w="2765" w:type="dxa"/>
            <w:tcBorders>
              <w:top w:val="single" w:color="7E7E7E" w:themeColor="text1" w:themeTint="80" w:sz="4" w:space="0"/>
              <w:bottom w:val="single" w:color="7E7E7E" w:themeColor="text1" w:themeTint="80" w:sz="4" w:space="0"/>
            </w:tcBorders>
            <w:noWrap w:val="0"/>
          </w:tcPr>
          <w:p w14:paraId="19F2149A">
            <w:pPr>
              <w:rPr>
                <w:rFonts w:hint="eastAsia" w:ascii="Times New Roman" w:hAnsi="Times New Roman" w:eastAsia="宋体" w:cs="Times New Roman"/>
              </w:rPr>
            </w:pPr>
            <w:r>
              <w:rPr>
                <w:rFonts w:hint="eastAsia" w:ascii="Times New Roman" w:hAnsi="Times New Roman" w:eastAsia="宋体" w:cs="Times New Roman"/>
              </w:rPr>
              <w:t>≥20</w:t>
            </w:r>
          </w:p>
        </w:tc>
        <w:tc>
          <w:tcPr>
            <w:tcW w:w="2766" w:type="dxa"/>
            <w:tcBorders>
              <w:top w:val="single" w:color="7E7E7E" w:themeColor="text1" w:themeTint="80" w:sz="4" w:space="0"/>
              <w:bottom w:val="single" w:color="7E7E7E" w:themeColor="text1" w:themeTint="80" w:sz="4" w:space="0"/>
            </w:tcBorders>
            <w:noWrap w:val="0"/>
          </w:tcPr>
          <w:p w14:paraId="316DB261">
            <w:pPr>
              <w:rPr>
                <w:rFonts w:hint="eastAsia" w:ascii="Times New Roman" w:hAnsi="Times New Roman" w:eastAsia="宋体" w:cs="Times New Roman"/>
              </w:rPr>
            </w:pPr>
            <w:r>
              <w:rPr>
                <w:rFonts w:hint="eastAsia" w:ascii="Times New Roman" w:hAnsi="Times New Roman" w:eastAsia="宋体" w:cs="Times New Roman"/>
              </w:rPr>
              <w:t>同上</w:t>
            </w:r>
          </w:p>
        </w:tc>
      </w:tr>
    </w:tbl>
    <w:p w14:paraId="0B52D67E">
      <w:pPr>
        <w:ind w:left="440" w:hanging="440"/>
        <w:rPr>
          <w:rFonts w:hint="eastAsia" w:ascii="Times New Roman" w:hAnsi="Times New Roman" w:eastAsia="宋体" w:cs="Times New Roman"/>
          <w:sz w:val="18"/>
          <w:szCs w:val="18"/>
        </w:rPr>
      </w:pPr>
      <w:r>
        <w:rPr>
          <w:rFonts w:hint="eastAsia" w:ascii="Times New Roman" w:hAnsi="Times New Roman" w:eastAsia="宋体" w:cs="Times New Roman"/>
          <w:b/>
          <w:bCs/>
          <w:sz w:val="18"/>
          <w:szCs w:val="18"/>
        </w:rPr>
        <w:t>注：</w:t>
      </w:r>
      <w:r>
        <w:rPr>
          <w:rFonts w:hint="eastAsia" w:ascii="Times New Roman" w:hAnsi="Times New Roman" w:eastAsia="宋体" w:cs="Times New Roman"/>
          <w:sz w:val="18"/>
          <w:szCs w:val="18"/>
        </w:rPr>
        <w:t>风团如出现伪足应升一级，最高为“++++”；风团周围应绕以红晕，级别越高红晕越明显。</w:t>
      </w:r>
    </w:p>
    <w:p w14:paraId="747881B7">
      <w:pPr>
        <w:pStyle w:val="185"/>
        <w:numPr>
          <w:ilvl w:val="0"/>
          <w:numId w:val="3"/>
        </w:numPr>
        <w:ind w:left="884" w:hanging="442"/>
        <w:jc w:val="both"/>
        <w:rPr>
          <w:rFonts w:hint="eastAsia" w:ascii="Times New Roman" w:hAnsi="Times New Roman" w:eastAsia="宋体" w:cs="Times New Roman"/>
        </w:rPr>
      </w:pPr>
      <w:r>
        <w:rPr>
          <w:rFonts w:hint="eastAsia" w:ascii="Times New Roman" w:hAnsi="Times New Roman" w:eastAsia="宋体" w:cs="Times New Roman"/>
        </w:rPr>
        <w:t>出具检验报告后，给予健康宣教，嘱患者避免泡澡、游泳、剧烈运动、饮酒等，尤其局部反应大时，要待局部反应消失，并嘱患者及时返回诊室就诊。如离院后有不适可就近就医。</w:t>
      </w:r>
    </w:p>
    <w:p w14:paraId="4C1453BE">
      <w:pPr>
        <w:pStyle w:val="185"/>
        <w:numPr>
          <w:ilvl w:val="0"/>
          <w:numId w:val="3"/>
        </w:numPr>
        <w:ind w:left="884" w:hanging="442"/>
        <w:jc w:val="both"/>
        <w:rPr>
          <w:rFonts w:hint="eastAsia" w:ascii="Times New Roman" w:hAnsi="Times New Roman" w:eastAsia="宋体" w:cs="Times New Roman"/>
        </w:rPr>
      </w:pPr>
      <w:r>
        <w:rPr>
          <w:rFonts w:hint="eastAsia" w:ascii="Times New Roman" w:hAnsi="Times New Roman" w:eastAsia="宋体" w:cs="Times New Roman"/>
        </w:rPr>
        <w:t>开单医生应核对皮试结果报告，核对局部反应情况，如对结果及顺序位置有疑问，及时与操作护士核对处理。</w:t>
      </w:r>
    </w:p>
    <w:p w14:paraId="784002B8">
      <w:pPr>
        <w:spacing w:before="156" w:after="156"/>
        <w:jc w:val="left"/>
        <w:rPr>
          <w:rFonts w:hint="eastAsia" w:ascii="黑体" w:hAnsi="黑体" w:eastAsia="黑体" w:cstheme="minorEastAsia"/>
          <w:position w:val="-24"/>
          <w:szCs w:val="21"/>
        </w:rPr>
      </w:pPr>
      <w:r>
        <w:rPr>
          <w:rFonts w:hint="eastAsia" w:ascii="黑体" w:hAnsi="黑体" w:eastAsia="黑体" w:cstheme="minorEastAsia"/>
          <w:position w:val="-24"/>
          <w:szCs w:val="21"/>
        </w:rPr>
        <w:t>6.2 点刺试验</w:t>
      </w:r>
    </w:p>
    <w:p w14:paraId="43EF61C1">
      <w:pPr>
        <w:jc w:val="left"/>
        <w:rPr>
          <w:rFonts w:hint="eastAsia" w:ascii="黑体" w:hAnsi="黑体" w:eastAsia="黑体" w:cstheme="minorEastAsia"/>
          <w:position w:val="-24"/>
          <w:szCs w:val="21"/>
        </w:rPr>
      </w:pPr>
      <w:r>
        <w:rPr>
          <w:rFonts w:hint="eastAsia" w:ascii="黑体" w:hAnsi="黑体" w:eastAsia="黑体" w:cstheme="minorEastAsia"/>
          <w:position w:val="-24"/>
          <w:szCs w:val="21"/>
        </w:rPr>
        <w:t xml:space="preserve">6.2.1 </w:t>
      </w:r>
      <w:r>
        <w:rPr>
          <w:rFonts w:hint="eastAsia" w:ascii="黑体" w:hAnsi="黑体" w:eastAsia="黑体" w:cstheme="minorEastAsia"/>
          <w:position w:val="-24"/>
          <w:szCs w:val="21"/>
        </w:rPr>
        <w:t>物品准备</w:t>
      </w:r>
    </w:p>
    <w:p w14:paraId="53764E0F">
      <w:pPr>
        <w:ind w:firstLine="420"/>
        <w:jc w:val="both"/>
        <w:rPr>
          <w:rFonts w:hint="eastAsia" w:ascii="Times New Roman" w:hAnsi="Times New Roman" w:eastAsia="宋体" w:cs="Times New Roman"/>
          <w:position w:val="-24"/>
          <w:szCs w:val="21"/>
        </w:rPr>
      </w:pPr>
      <w:r>
        <w:rPr>
          <w:rFonts w:hint="eastAsia" w:ascii="Times New Roman" w:hAnsi="Times New Roman" w:eastAsia="宋体" w:cs="Times New Roman"/>
          <w:position w:val="-24"/>
          <w:szCs w:val="21"/>
        </w:rPr>
        <w:t>点刺试验用变应原点刺液、点刺针、75%酒精、无菌棉签、直尺、电脑、打印机、冰糖、饮用水、锐器桶、生活垃圾及医用垃圾袋。</w:t>
      </w:r>
    </w:p>
    <w:p w14:paraId="59B5FBE5">
      <w:pPr>
        <w:jc w:val="left"/>
        <w:rPr>
          <w:rFonts w:hint="eastAsia" w:ascii="黑体" w:hAnsi="黑体" w:eastAsia="黑体" w:cstheme="minorEastAsia"/>
          <w:position w:val="-24"/>
          <w:szCs w:val="21"/>
        </w:rPr>
      </w:pPr>
      <w:r>
        <w:rPr>
          <w:rFonts w:hint="eastAsia" w:ascii="黑体" w:hAnsi="黑体" w:eastAsia="黑体" w:cstheme="minorEastAsia"/>
          <w:position w:val="-24"/>
          <w:szCs w:val="21"/>
        </w:rPr>
        <w:t xml:space="preserve">6.2.2 </w:t>
      </w:r>
      <w:r>
        <w:rPr>
          <w:rFonts w:hint="eastAsia" w:ascii="黑体" w:hAnsi="黑体" w:eastAsia="黑体" w:cstheme="minorEastAsia"/>
          <w:position w:val="-24"/>
          <w:szCs w:val="21"/>
        </w:rPr>
        <w:t>操作步骤</w:t>
      </w:r>
    </w:p>
    <w:p w14:paraId="19FE2797">
      <w:pPr>
        <w:pStyle w:val="185"/>
        <w:numPr>
          <w:ilvl w:val="0"/>
          <w:numId w:val="4"/>
        </w:numPr>
        <w:ind w:left="884" w:hanging="442"/>
        <w:jc w:val="both"/>
        <w:rPr>
          <w:rFonts w:hint="eastAsia" w:ascii="Times New Roman" w:hAnsi="Times New Roman" w:eastAsia="宋体" w:cs="Times New Roman"/>
        </w:rPr>
      </w:pPr>
      <w:r>
        <w:rPr>
          <w:rFonts w:hint="eastAsia" w:ascii="Times New Roman" w:hAnsi="Times New Roman" w:eastAsia="宋体" w:cs="Times New Roman"/>
        </w:rPr>
        <w:t>每日开始操作前，先核对变应原点刺液名称、有效期正确，核对变应原的顺序，保障点刺液顺序与医嘱单常规顺序保持绝对一致。</w:t>
      </w:r>
    </w:p>
    <w:p w14:paraId="74AC3D07">
      <w:pPr>
        <w:pStyle w:val="185"/>
        <w:numPr>
          <w:ilvl w:val="0"/>
          <w:numId w:val="4"/>
        </w:numPr>
        <w:ind w:left="884" w:hanging="442"/>
        <w:jc w:val="both"/>
        <w:rPr>
          <w:rFonts w:hint="eastAsia" w:ascii="Times New Roman" w:hAnsi="Times New Roman" w:eastAsia="宋体" w:cs="Times New Roman"/>
        </w:rPr>
      </w:pPr>
      <w:r>
        <w:rPr>
          <w:rFonts w:hint="eastAsia" w:ascii="Times New Roman" w:hAnsi="Times New Roman" w:eastAsia="宋体" w:cs="Times New Roman"/>
        </w:rPr>
        <w:t>核对患者基本信息，通过读卡等方式核对，避免因口述发生差错。</w:t>
      </w:r>
    </w:p>
    <w:p w14:paraId="1C9D67E1">
      <w:pPr>
        <w:pStyle w:val="185"/>
        <w:numPr>
          <w:ilvl w:val="0"/>
          <w:numId w:val="4"/>
        </w:numPr>
        <w:ind w:left="884" w:hanging="442"/>
        <w:jc w:val="both"/>
        <w:rPr>
          <w:rFonts w:hint="eastAsia" w:ascii="Times New Roman" w:hAnsi="Times New Roman" w:eastAsia="宋体" w:cs="Times New Roman"/>
        </w:rPr>
      </w:pPr>
      <w:r>
        <w:rPr>
          <w:rFonts w:hint="eastAsia" w:ascii="Times New Roman" w:hAnsi="Times New Roman" w:eastAsia="宋体" w:cs="Times New Roman"/>
        </w:rPr>
        <w:t>评估患者基本情况良好、是否服用抗组胺药等对皮试结果有影响的药物、是否过敏症状高峰期、局部皮肤情况、是否空腹、有无晕针及晕血史等。</w:t>
      </w:r>
    </w:p>
    <w:p w14:paraId="13E274F4">
      <w:pPr>
        <w:pStyle w:val="185"/>
        <w:numPr>
          <w:ilvl w:val="0"/>
          <w:numId w:val="4"/>
        </w:numPr>
        <w:ind w:left="884" w:hanging="442"/>
        <w:jc w:val="both"/>
        <w:rPr>
          <w:rFonts w:hint="eastAsia" w:ascii="Times New Roman" w:hAnsi="Times New Roman" w:eastAsia="宋体" w:cs="Times New Roman"/>
        </w:rPr>
      </w:pPr>
      <w:r>
        <w:rPr>
          <w:rFonts w:hint="eastAsia" w:ascii="Times New Roman" w:hAnsi="Times New Roman" w:eastAsia="宋体" w:cs="Times New Roman"/>
        </w:rPr>
        <w:t>给予患者健康宣教，告知患者操作过程中的注意事项及如有不适及时告知护士。</w:t>
      </w:r>
    </w:p>
    <w:p w14:paraId="78E5BF88">
      <w:pPr>
        <w:pStyle w:val="185"/>
        <w:numPr>
          <w:ilvl w:val="0"/>
          <w:numId w:val="4"/>
        </w:numPr>
        <w:ind w:left="884" w:hanging="442"/>
        <w:jc w:val="both"/>
        <w:rPr>
          <w:rFonts w:hint="eastAsia" w:ascii="Times New Roman" w:hAnsi="Times New Roman" w:eastAsia="宋体" w:cs="Times New Roman"/>
        </w:rPr>
      </w:pPr>
      <w:r>
        <w:rPr>
          <w:rFonts w:hint="eastAsia" w:ascii="Times New Roman" w:hAnsi="Times New Roman" w:eastAsia="宋体" w:cs="Times New Roman"/>
        </w:rPr>
        <w:t>指导患者摆放体位，暴露前臂内侧，根据患者检查数量，选择单侧或双侧肢体。</w:t>
      </w:r>
    </w:p>
    <w:p w14:paraId="49AA15D5">
      <w:pPr>
        <w:pStyle w:val="185"/>
        <w:numPr>
          <w:ilvl w:val="0"/>
          <w:numId w:val="4"/>
        </w:numPr>
        <w:ind w:left="884" w:hanging="442"/>
        <w:jc w:val="both"/>
        <w:rPr>
          <w:rFonts w:hint="eastAsia" w:ascii="Times New Roman" w:hAnsi="Times New Roman" w:eastAsia="宋体" w:cs="Times New Roman"/>
        </w:rPr>
      </w:pPr>
      <w:r>
        <w:rPr>
          <w:rFonts w:hint="eastAsia" w:ascii="Times New Roman" w:hAnsi="Times New Roman" w:eastAsia="宋体" w:cs="Times New Roman"/>
        </w:rPr>
        <w:t>75%酒精消毒局部皮肤，自上至下、自左至右消毒，消毒面积大于操作范围。酒精过敏严重患者可选用0.9%生理盐水清洁皮肤。</w:t>
      </w:r>
    </w:p>
    <w:p w14:paraId="3A1F1101">
      <w:pPr>
        <w:pStyle w:val="185"/>
        <w:numPr>
          <w:ilvl w:val="0"/>
          <w:numId w:val="4"/>
        </w:numPr>
        <w:ind w:left="884" w:hanging="442"/>
        <w:jc w:val="both"/>
        <w:rPr>
          <w:rFonts w:hint="eastAsia" w:ascii="Times New Roman" w:hAnsi="Times New Roman" w:eastAsia="宋体" w:cs="Times New Roman"/>
        </w:rPr>
      </w:pPr>
      <w:r>
        <w:rPr>
          <w:rFonts w:hint="eastAsia" w:ascii="Times New Roman" w:hAnsi="Times New Roman" w:eastAsia="宋体" w:cs="Times New Roman"/>
        </w:rPr>
        <w:t>根据变应原数量及患者皮肤情况，设计点刺点，常规自上至下、自左至右均匀分布排列。对于变应原数量多或儿童等局部面积较小的患者，可分布在两侧前臂。对于局部皮肤有皮损等情况，不能整齐排列、均匀分布时，根据患者局部情况选择点刺点，应用记号笔标识，避免判读结果时混淆。</w:t>
      </w:r>
    </w:p>
    <w:p w14:paraId="5E1CBD07">
      <w:pPr>
        <w:pStyle w:val="185"/>
        <w:numPr>
          <w:ilvl w:val="0"/>
          <w:numId w:val="4"/>
        </w:numPr>
        <w:ind w:left="884" w:hanging="442"/>
        <w:jc w:val="both"/>
        <w:rPr>
          <w:rFonts w:hint="eastAsia" w:ascii="Times New Roman" w:hAnsi="Times New Roman" w:eastAsia="宋体" w:cs="Times New Roman"/>
        </w:rPr>
      </w:pPr>
      <w:r>
        <w:rPr>
          <w:rFonts w:hint="eastAsia" w:ascii="Times New Roman" w:hAnsi="Times New Roman" w:eastAsia="宋体" w:cs="Times New Roman"/>
        </w:rPr>
        <w:t>将一滴点刺液滴至点刺部位，液滴量以越少越好，如点刺液需多次使用，应避免滴头触碰患者皮肤，以免污染滴头。取点刺针，垂直穿过液滴刺入皮肤并停留3秒，刺入深度为刺破皮肤不出血为宜。严格按医嘱顺序进行操作。每个变应原点刺时均核对变应原与点刺点位置对应，避免错位，导致判读结果时错误。</w:t>
      </w:r>
    </w:p>
    <w:p w14:paraId="4756B594">
      <w:pPr>
        <w:pStyle w:val="185"/>
        <w:numPr>
          <w:ilvl w:val="0"/>
          <w:numId w:val="4"/>
        </w:numPr>
        <w:ind w:left="884" w:hanging="442"/>
        <w:jc w:val="both"/>
        <w:rPr>
          <w:rFonts w:hint="eastAsia" w:ascii="Times New Roman" w:hAnsi="Times New Roman" w:eastAsia="宋体" w:cs="Times New Roman"/>
        </w:rPr>
      </w:pPr>
      <w:r>
        <w:rPr>
          <w:rFonts w:hint="eastAsia" w:ascii="Times New Roman" w:hAnsi="Times New Roman" w:eastAsia="宋体" w:cs="Times New Roman"/>
        </w:rPr>
        <w:t>对于液滴量较多时，可用干棉签在点刺点侧方，轻轻按压皮肤，吸除多余液体，</w:t>
      </w:r>
      <w:bookmarkStart w:id="12" w:name="_Hlk193295341"/>
      <w:r>
        <w:rPr>
          <w:rFonts w:hint="eastAsia" w:ascii="Times New Roman" w:hAnsi="Times New Roman" w:eastAsia="宋体" w:cs="Times New Roman"/>
        </w:rPr>
        <w:t>避免变应原液体流动，造成各变应原之间的相互混淆</w:t>
      </w:r>
      <w:bookmarkEnd w:id="12"/>
      <w:r>
        <w:rPr>
          <w:rFonts w:hint="eastAsia" w:ascii="Times New Roman" w:hAnsi="Times New Roman" w:eastAsia="宋体" w:cs="Times New Roman"/>
        </w:rPr>
        <w:t>，影响结果。</w:t>
      </w:r>
    </w:p>
    <w:p w14:paraId="5D58C9EC">
      <w:pPr>
        <w:pStyle w:val="185"/>
        <w:numPr>
          <w:ilvl w:val="0"/>
          <w:numId w:val="4"/>
        </w:numPr>
        <w:ind w:left="884" w:hanging="442"/>
        <w:jc w:val="both"/>
        <w:rPr>
          <w:rFonts w:hint="eastAsia" w:ascii="Times New Roman" w:hAnsi="Times New Roman" w:eastAsia="宋体" w:cs="Times New Roman"/>
        </w:rPr>
      </w:pPr>
      <w:r>
        <w:rPr>
          <w:rFonts w:hint="eastAsia" w:ascii="Times New Roman" w:hAnsi="Times New Roman" w:eastAsia="宋体" w:cs="Times New Roman"/>
        </w:rPr>
        <w:t>依次点刺完成后，再次核对变应原数量及位置无误。</w:t>
      </w:r>
    </w:p>
    <w:p w14:paraId="6C059A34">
      <w:pPr>
        <w:pStyle w:val="185"/>
        <w:numPr>
          <w:ilvl w:val="0"/>
          <w:numId w:val="4"/>
        </w:numPr>
        <w:ind w:left="884" w:hanging="442"/>
        <w:jc w:val="both"/>
        <w:rPr>
          <w:rFonts w:hint="eastAsia" w:ascii="Times New Roman" w:hAnsi="Times New Roman" w:eastAsia="宋体" w:cs="Times New Roman"/>
        </w:rPr>
      </w:pPr>
      <w:r>
        <w:rPr>
          <w:rFonts w:hint="eastAsia" w:ascii="Times New Roman" w:hAnsi="Times New Roman" w:eastAsia="宋体" w:cs="Times New Roman"/>
        </w:rPr>
        <w:t>由于操作针次较多，操作过程中，观察患者情况，如有不适，立即停止操作，呼叫医生查看患者。具体处理可参见不良反应处理。</w:t>
      </w:r>
    </w:p>
    <w:p w14:paraId="2810DC41">
      <w:pPr>
        <w:pStyle w:val="185"/>
        <w:numPr>
          <w:ilvl w:val="0"/>
          <w:numId w:val="4"/>
        </w:numPr>
        <w:ind w:left="884" w:hanging="442"/>
        <w:jc w:val="both"/>
        <w:rPr>
          <w:rFonts w:hint="eastAsia" w:ascii="Times New Roman" w:hAnsi="Times New Roman" w:eastAsia="宋体" w:cs="Times New Roman"/>
        </w:rPr>
      </w:pPr>
      <w:r>
        <w:rPr>
          <w:rFonts w:hint="eastAsia" w:ascii="Times New Roman" w:hAnsi="Times New Roman" w:eastAsia="宋体" w:cs="Times New Roman"/>
        </w:rPr>
        <w:t>给予患者健康宣教，嘱患者观察区观察15分钟，尽量放平前臂，避免变应原液体流动，造成各变应原之间的相互混淆，避免局部抓挠，如有不适及时告知医护人员，15分钟后查看局部反应，为患者出具检验报告。</w:t>
      </w:r>
    </w:p>
    <w:p w14:paraId="4A214506">
      <w:pPr>
        <w:pStyle w:val="185"/>
        <w:numPr>
          <w:ilvl w:val="0"/>
          <w:numId w:val="4"/>
        </w:numPr>
        <w:ind w:left="884" w:hanging="442"/>
        <w:jc w:val="both"/>
        <w:rPr>
          <w:rFonts w:hint="eastAsia" w:ascii="Times New Roman" w:hAnsi="Times New Roman" w:eastAsia="宋体" w:cs="Times New Roman"/>
        </w:rPr>
      </w:pPr>
      <w:r>
        <w:rPr>
          <w:rFonts w:hint="eastAsia" w:ascii="Times New Roman" w:hAnsi="Times New Roman" w:eastAsia="宋体" w:cs="Times New Roman"/>
        </w:rPr>
        <w:t>15分钟后根据患者逐个变应原反应的风团及红晕最大直径出具检验报告，由于变应原不同，判读结果的方式不同，请以使用的相应变应原提供的说明书为准。</w:t>
      </w:r>
    </w:p>
    <w:p w14:paraId="72F99434">
      <w:pPr>
        <w:pStyle w:val="185"/>
        <w:numPr>
          <w:ilvl w:val="0"/>
          <w:numId w:val="4"/>
        </w:numPr>
        <w:ind w:left="884" w:hanging="442"/>
        <w:jc w:val="both"/>
        <w:rPr>
          <w:rFonts w:hint="eastAsia" w:ascii="Times New Roman" w:hAnsi="Times New Roman" w:eastAsia="宋体" w:cs="Times New Roman"/>
        </w:rPr>
      </w:pPr>
      <w:r>
        <w:rPr>
          <w:rFonts w:hint="eastAsia" w:ascii="Times New Roman" w:hAnsi="Times New Roman" w:eastAsia="宋体" w:cs="Times New Roman"/>
        </w:rPr>
        <w:t>出具检验报告后，给予健康宣教，嘱患者避免泡澡、游泳、剧烈运动、饮酒等，尤其局部反应大时，要待局部反应消失，</w:t>
      </w:r>
      <w:bookmarkStart w:id="13" w:name="_Hlk193295600"/>
      <w:r>
        <w:rPr>
          <w:rFonts w:hint="eastAsia" w:ascii="Times New Roman" w:hAnsi="Times New Roman" w:eastAsia="宋体" w:cs="Times New Roman"/>
        </w:rPr>
        <w:t>并嘱患者及时返回诊室就诊。</w:t>
      </w:r>
      <w:bookmarkEnd w:id="13"/>
      <w:r>
        <w:rPr>
          <w:rFonts w:hint="eastAsia" w:ascii="Times New Roman" w:hAnsi="Times New Roman" w:eastAsia="宋体" w:cs="Times New Roman"/>
        </w:rPr>
        <w:t>离院后如有不适可就近就医。</w:t>
      </w:r>
    </w:p>
    <w:p w14:paraId="0CAA151E">
      <w:pPr>
        <w:pStyle w:val="185"/>
        <w:numPr>
          <w:ilvl w:val="0"/>
          <w:numId w:val="4"/>
        </w:numPr>
        <w:ind w:left="884" w:hanging="442"/>
        <w:jc w:val="both"/>
        <w:rPr>
          <w:rFonts w:hint="eastAsia" w:ascii="Times New Roman" w:hAnsi="Times New Roman" w:eastAsia="宋体" w:cs="Times New Roman"/>
        </w:rPr>
      </w:pPr>
      <w:r>
        <w:rPr>
          <w:rFonts w:hint="eastAsia" w:ascii="Times New Roman" w:hAnsi="Times New Roman" w:eastAsia="宋体" w:cs="Times New Roman"/>
        </w:rPr>
        <w:t>开单医生应核对皮试结果报告，核对局部反应情况，对结果及顺序位置有疑问，及时与操作护士核对处理。</w:t>
      </w:r>
    </w:p>
    <w:p w14:paraId="4A9DBD60">
      <w:pPr>
        <w:pStyle w:val="185"/>
        <w:numPr>
          <w:ilvl w:val="0"/>
          <w:numId w:val="4"/>
        </w:numPr>
        <w:ind w:left="884" w:hanging="442"/>
        <w:jc w:val="both"/>
        <w:rPr>
          <w:rFonts w:hint="eastAsia" w:ascii="Times New Roman" w:hAnsi="Times New Roman" w:eastAsia="宋体" w:cs="Times New Roman"/>
          <w:position w:val="-24"/>
          <w:szCs w:val="21"/>
        </w:rPr>
      </w:pPr>
      <w:r>
        <w:rPr>
          <w:rFonts w:hint="eastAsia" w:ascii="Times New Roman" w:hAnsi="Times New Roman" w:eastAsia="宋体" w:cs="Times New Roman"/>
          <w:position w:val="-24"/>
          <w:szCs w:val="21"/>
        </w:rPr>
        <w:t>特殊点刺试验，例如：新鲜水果及蔬菜、药物等针对某个患者个性化设计的特殊点刺试验，点刺用过敏原需新鲜配制后使用，配制过程中避免多种过敏原的相互混淆，试验顺序应与医嘱顺序严格一致，并由双人核对。</w:t>
      </w:r>
    </w:p>
    <w:p w14:paraId="38D0C2D3">
      <w:pPr>
        <w:spacing w:before="156" w:after="156"/>
        <w:jc w:val="left"/>
        <w:rPr>
          <w:rFonts w:hint="eastAsia" w:ascii="黑体" w:hAnsi="黑体" w:eastAsia="黑体" w:cstheme="minorEastAsia"/>
          <w:position w:val="-24"/>
          <w:szCs w:val="21"/>
        </w:rPr>
      </w:pPr>
      <w:r>
        <w:rPr>
          <w:rFonts w:hint="eastAsia" w:ascii="黑体" w:hAnsi="黑体" w:eastAsia="黑体" w:cstheme="minorEastAsia"/>
          <w:position w:val="-24"/>
          <w:szCs w:val="21"/>
        </w:rPr>
        <w:t>6.3 斑贴试验</w:t>
      </w:r>
    </w:p>
    <w:p w14:paraId="6398DBE1">
      <w:pPr>
        <w:jc w:val="left"/>
        <w:rPr>
          <w:rFonts w:hint="eastAsia" w:ascii="黑体" w:hAnsi="黑体" w:eastAsia="黑体" w:cstheme="minorEastAsia"/>
          <w:position w:val="-24"/>
          <w:szCs w:val="21"/>
        </w:rPr>
      </w:pPr>
      <w:r>
        <w:rPr>
          <w:rFonts w:hint="eastAsia" w:ascii="黑体" w:hAnsi="黑体" w:eastAsia="黑体" w:cstheme="minorEastAsia"/>
          <w:position w:val="-24"/>
          <w:szCs w:val="21"/>
        </w:rPr>
        <w:t xml:space="preserve">6.3.1 </w:t>
      </w:r>
      <w:r>
        <w:rPr>
          <w:rFonts w:hint="eastAsia" w:ascii="黑体" w:hAnsi="黑体" w:eastAsia="黑体" w:cstheme="minorEastAsia"/>
          <w:position w:val="-24"/>
          <w:szCs w:val="21"/>
        </w:rPr>
        <w:t>用物准备</w:t>
      </w:r>
    </w:p>
    <w:p w14:paraId="1AF25D15">
      <w:pPr>
        <w:ind w:firstLine="420"/>
        <w:jc w:val="left"/>
        <w:rPr>
          <w:rFonts w:hint="eastAsia" w:ascii="宋体" w:hAnsi="宋体" w:eastAsia="宋体" w:cstheme="minorEastAsia"/>
          <w:position w:val="-24"/>
          <w:szCs w:val="21"/>
        </w:rPr>
      </w:pPr>
      <w:r>
        <w:rPr>
          <w:rFonts w:hint="eastAsia" w:ascii="宋体" w:hAnsi="宋体" w:eastAsia="宋体" w:cstheme="minorEastAsia"/>
          <w:position w:val="-24"/>
          <w:szCs w:val="21"/>
        </w:rPr>
        <w:t>相应变应原、斑试器、棉签、记号笔。</w:t>
      </w:r>
    </w:p>
    <w:p w14:paraId="5CF75A49">
      <w:pPr>
        <w:jc w:val="left"/>
        <w:rPr>
          <w:rFonts w:hint="eastAsia" w:ascii="黑体" w:hAnsi="黑体" w:eastAsia="黑体" w:cstheme="minorEastAsia"/>
          <w:position w:val="-24"/>
          <w:szCs w:val="21"/>
        </w:rPr>
      </w:pPr>
      <w:r>
        <w:rPr>
          <w:rFonts w:hint="eastAsia" w:ascii="黑体" w:hAnsi="黑体" w:eastAsia="黑体" w:cstheme="minorEastAsia"/>
          <w:position w:val="-24"/>
          <w:szCs w:val="21"/>
        </w:rPr>
        <w:t xml:space="preserve">6.3.2 </w:t>
      </w:r>
      <w:r>
        <w:rPr>
          <w:rFonts w:hint="eastAsia" w:ascii="黑体" w:hAnsi="黑体" w:eastAsia="黑体" w:cstheme="minorEastAsia"/>
          <w:position w:val="-24"/>
          <w:szCs w:val="21"/>
        </w:rPr>
        <w:t>操作步骤</w:t>
      </w:r>
    </w:p>
    <w:p w14:paraId="0FF14269">
      <w:pPr>
        <w:pStyle w:val="185"/>
        <w:numPr>
          <w:ilvl w:val="0"/>
          <w:numId w:val="5"/>
        </w:numPr>
        <w:ind w:left="884" w:hanging="442"/>
        <w:jc w:val="both"/>
        <w:rPr>
          <w:rFonts w:hint="eastAsia" w:ascii="Times New Roman" w:hAnsi="Times New Roman" w:eastAsia="宋体" w:cs="Times New Roman"/>
        </w:rPr>
      </w:pPr>
      <w:r>
        <w:rPr>
          <w:rFonts w:hint="eastAsia" w:ascii="Times New Roman" w:hAnsi="Times New Roman" w:eastAsia="宋体" w:cs="Times New Roman"/>
        </w:rPr>
        <w:t>核对患者基本信息，通过读卡等方式核对，避免因口述发生差错。</w:t>
      </w:r>
    </w:p>
    <w:p w14:paraId="7EEAA88C">
      <w:pPr>
        <w:pStyle w:val="185"/>
        <w:numPr>
          <w:ilvl w:val="0"/>
          <w:numId w:val="5"/>
        </w:numPr>
        <w:ind w:left="884" w:hanging="442"/>
        <w:jc w:val="both"/>
        <w:rPr>
          <w:rFonts w:hint="eastAsia" w:ascii="Times New Roman" w:hAnsi="Times New Roman" w:eastAsia="宋体" w:cs="Times New Roman"/>
        </w:rPr>
      </w:pPr>
      <w:r>
        <w:rPr>
          <w:rFonts w:hint="eastAsia" w:ascii="Times New Roman" w:hAnsi="Times New Roman" w:eastAsia="宋体" w:cs="Times New Roman"/>
        </w:rPr>
        <w:t>评估患者基本情况良好、是否使用免疫抑制剂或系统性激素等对皮试结果有影响的药物、是否处于疾病发作期、后背皮肤情况及局部皮肤是否涂抹药物、护肤品等。</w:t>
      </w:r>
    </w:p>
    <w:p w14:paraId="70EE5BDD">
      <w:pPr>
        <w:pStyle w:val="185"/>
        <w:numPr>
          <w:ilvl w:val="0"/>
          <w:numId w:val="5"/>
        </w:numPr>
        <w:ind w:left="884" w:hanging="442"/>
        <w:jc w:val="both"/>
        <w:rPr>
          <w:rFonts w:hint="eastAsia" w:ascii="Times New Roman" w:hAnsi="Times New Roman" w:eastAsia="宋体" w:cs="Times New Roman"/>
        </w:rPr>
      </w:pPr>
      <w:r>
        <w:rPr>
          <w:rFonts w:hint="eastAsia" w:ascii="Times New Roman" w:hAnsi="Times New Roman" w:eastAsia="宋体" w:cs="Times New Roman"/>
        </w:rPr>
        <w:t>给予患者健康宣教，告知患者操作过程中的注意事项及如有不适及时告知护士。</w:t>
      </w:r>
    </w:p>
    <w:p w14:paraId="1673AE3B">
      <w:pPr>
        <w:pStyle w:val="185"/>
        <w:numPr>
          <w:ilvl w:val="0"/>
          <w:numId w:val="5"/>
        </w:numPr>
        <w:ind w:left="884" w:hanging="442"/>
        <w:jc w:val="both"/>
        <w:rPr>
          <w:rFonts w:hint="eastAsia" w:ascii="Times New Roman" w:hAnsi="Times New Roman" w:eastAsia="宋体" w:cs="Times New Roman"/>
        </w:rPr>
      </w:pPr>
      <w:r>
        <w:rPr>
          <w:rFonts w:hint="eastAsia" w:ascii="Times New Roman" w:hAnsi="Times New Roman" w:eastAsia="宋体" w:cs="Times New Roman"/>
        </w:rPr>
        <w:t>核对医嘱并选择变应原及斑试器，进行双人核对。将变应原严格按医嘱顺序依次加至斑试器，注意加入变应原时，关注斑试器位置，因斑试器贴至患者皮肤时会翻转位置，避免左右错误。加入量以黄豆粒大小为宜。</w:t>
      </w:r>
    </w:p>
    <w:p w14:paraId="0B2C48B7">
      <w:pPr>
        <w:pStyle w:val="185"/>
        <w:numPr>
          <w:ilvl w:val="0"/>
          <w:numId w:val="5"/>
        </w:numPr>
        <w:ind w:left="884" w:hanging="442"/>
        <w:jc w:val="both"/>
        <w:rPr>
          <w:rFonts w:hint="eastAsia" w:ascii="Times New Roman" w:hAnsi="Times New Roman" w:eastAsia="宋体" w:cs="Times New Roman"/>
        </w:rPr>
      </w:pPr>
      <w:r>
        <w:rPr>
          <w:rFonts w:hint="eastAsia" w:ascii="Times New Roman" w:hAnsi="Times New Roman" w:eastAsia="宋体" w:cs="Times New Roman"/>
        </w:rPr>
        <w:t>用干棉签擦拭局部皮肤进行清洁。首选后背部皮肤，选择平整，无皮损、无红斑等位置，各种原因不能选择后背，可选择上臂内侧，量少时也可选择前臂内侧，注意嘱患者避免摩擦及刮蹭，以免脱落。</w:t>
      </w:r>
    </w:p>
    <w:p w14:paraId="2677B7F1">
      <w:pPr>
        <w:pStyle w:val="185"/>
        <w:numPr>
          <w:ilvl w:val="0"/>
          <w:numId w:val="5"/>
        </w:numPr>
        <w:ind w:left="884" w:hanging="442"/>
        <w:jc w:val="both"/>
        <w:rPr>
          <w:rFonts w:hint="eastAsia" w:ascii="Times New Roman" w:hAnsi="Times New Roman" w:eastAsia="宋体" w:cs="Times New Roman"/>
        </w:rPr>
      </w:pPr>
      <w:r>
        <w:rPr>
          <w:rFonts w:hint="eastAsia" w:ascii="Times New Roman" w:hAnsi="Times New Roman" w:eastAsia="宋体" w:cs="Times New Roman"/>
        </w:rPr>
        <w:t>将加好变应原的斑试器依次贴至患者背部皮肤，用记号笔依次编写序号并标识每个变应原位置边框。</w:t>
      </w:r>
    </w:p>
    <w:p w14:paraId="744F6BEE">
      <w:pPr>
        <w:pStyle w:val="185"/>
        <w:numPr>
          <w:ilvl w:val="0"/>
          <w:numId w:val="5"/>
        </w:numPr>
        <w:ind w:left="884" w:hanging="442"/>
        <w:jc w:val="both"/>
        <w:rPr>
          <w:rFonts w:hint="eastAsia" w:ascii="Times New Roman" w:hAnsi="Times New Roman" w:eastAsia="宋体" w:cs="Times New Roman"/>
        </w:rPr>
      </w:pPr>
      <w:r>
        <w:rPr>
          <w:rFonts w:hint="eastAsia" w:ascii="Times New Roman" w:hAnsi="Times New Roman" w:eastAsia="宋体" w:cs="Times New Roman"/>
        </w:rPr>
        <w:t>协助患者整理衣物，并给予健康宣教，嘱患者注意保护斑试器，不要清洗，避免刮蹭、移位、潮湿、局部搔抓、日光照射、避免剧烈运动等。</w:t>
      </w:r>
    </w:p>
    <w:p w14:paraId="301D9A22">
      <w:pPr>
        <w:pStyle w:val="185"/>
        <w:numPr>
          <w:ilvl w:val="0"/>
          <w:numId w:val="5"/>
        </w:numPr>
        <w:ind w:left="884" w:hanging="442"/>
        <w:jc w:val="both"/>
        <w:rPr>
          <w:rFonts w:hint="eastAsia" w:ascii="Times New Roman" w:hAnsi="Times New Roman" w:eastAsia="宋体" w:cs="Times New Roman"/>
        </w:rPr>
      </w:pPr>
      <w:r>
        <w:rPr>
          <w:rFonts w:hint="eastAsia" w:ascii="Times New Roman" w:hAnsi="Times New Roman" w:eastAsia="宋体" w:cs="Times New Roman"/>
        </w:rPr>
        <w:t>指导患者48小时后取下斑试器，拍照留存皮试部位的反应情况，仍不要清洗局部。72小时再次拍照留存并及时就诊，了解检查结果。</w:t>
      </w:r>
    </w:p>
    <w:p w14:paraId="190107C3">
      <w:pPr>
        <w:pStyle w:val="185"/>
        <w:numPr>
          <w:ilvl w:val="0"/>
          <w:numId w:val="5"/>
        </w:numPr>
        <w:ind w:left="884" w:hanging="442"/>
        <w:jc w:val="both"/>
        <w:rPr>
          <w:rFonts w:hint="eastAsia" w:ascii="Times New Roman" w:hAnsi="Times New Roman" w:eastAsia="宋体" w:cs="Times New Roman"/>
        </w:rPr>
      </w:pPr>
      <w:r>
        <w:rPr>
          <w:rFonts w:hint="eastAsia" w:ascii="Times New Roman" w:hAnsi="Times New Roman" w:eastAsia="宋体" w:cs="Times New Roman"/>
        </w:rPr>
        <w:t>指导患者在试验期间，如有可疑移位、蹭掉可能，必要时可自行使用胶带固定。如出现全身不适，或局部反应强烈，有疼痛或灼烧感可立即取下斑试器并就医。</w:t>
      </w:r>
    </w:p>
    <w:p w14:paraId="2CD68058">
      <w:pPr>
        <w:spacing w:before="156" w:after="156"/>
        <w:jc w:val="left"/>
        <w:rPr>
          <w:rFonts w:hint="eastAsia" w:ascii="黑体" w:hAnsi="黑体" w:eastAsia="黑体" w:cstheme="minorEastAsia"/>
          <w:position w:val="-24"/>
          <w:szCs w:val="21"/>
        </w:rPr>
      </w:pPr>
      <w:r>
        <w:rPr>
          <w:rFonts w:hint="eastAsia" w:ascii="黑体" w:hAnsi="黑体" w:eastAsia="黑体" w:cstheme="minorEastAsia"/>
          <w:position w:val="-24"/>
          <w:szCs w:val="21"/>
        </w:rPr>
        <w:t>6.4 皮内试验皮试液的配制与保管</w:t>
      </w:r>
    </w:p>
    <w:p w14:paraId="60B77D99">
      <w:pPr>
        <w:jc w:val="left"/>
        <w:rPr>
          <w:rFonts w:hint="eastAsia" w:ascii="黑体" w:hAnsi="黑体" w:eastAsia="黑体" w:cstheme="minorEastAsia"/>
          <w:position w:val="-24"/>
          <w:szCs w:val="21"/>
        </w:rPr>
      </w:pPr>
      <w:r>
        <w:rPr>
          <w:rFonts w:hint="eastAsia" w:ascii="黑体" w:hAnsi="黑体" w:eastAsia="黑体" w:cstheme="minorEastAsia"/>
          <w:position w:val="-24"/>
          <w:szCs w:val="21"/>
        </w:rPr>
        <w:t xml:space="preserve">6.4.1 </w:t>
      </w:r>
      <w:r>
        <w:rPr>
          <w:rFonts w:hint="eastAsia" w:ascii="黑体" w:hAnsi="黑体" w:eastAsia="黑体" w:cstheme="minorEastAsia"/>
          <w:position w:val="-24"/>
          <w:szCs w:val="21"/>
        </w:rPr>
        <w:t>物品准备</w:t>
      </w:r>
    </w:p>
    <w:p w14:paraId="088119C8">
      <w:pPr>
        <w:ind w:firstLine="420"/>
        <w:jc w:val="left"/>
        <w:rPr>
          <w:rFonts w:hint="eastAsia" w:ascii="Times New Roman" w:hAnsi="Times New Roman" w:eastAsia="宋体" w:cs="Times New Roman"/>
          <w:position w:val="-24"/>
          <w:szCs w:val="21"/>
        </w:rPr>
      </w:pPr>
      <w:r>
        <w:rPr>
          <w:rFonts w:hint="eastAsia" w:ascii="Times New Roman" w:hAnsi="Times New Roman" w:eastAsia="宋体" w:cs="Times New Roman"/>
          <w:position w:val="-24"/>
          <w:szCs w:val="21"/>
        </w:rPr>
        <w:t>需配制的变应原、变应原溶媒（9ml/瓶）、一次性注射器、无菌棉签、75%酒精、彩色标签（区分不同浓度）、锐器桶、生活垃圾及医用垃圾袋。</w:t>
      </w:r>
    </w:p>
    <w:p w14:paraId="62C6074B">
      <w:pPr>
        <w:jc w:val="left"/>
        <w:rPr>
          <w:rFonts w:hint="eastAsia" w:ascii="黑体" w:hAnsi="黑体" w:eastAsia="黑体" w:cstheme="minorEastAsia"/>
          <w:position w:val="-24"/>
          <w:szCs w:val="21"/>
        </w:rPr>
      </w:pPr>
      <w:r>
        <w:rPr>
          <w:rFonts w:hint="eastAsia" w:ascii="黑体" w:hAnsi="黑体" w:eastAsia="黑体" w:cstheme="minorEastAsia"/>
          <w:position w:val="-24"/>
          <w:szCs w:val="21"/>
        </w:rPr>
        <w:t xml:space="preserve">6.4.2 </w:t>
      </w:r>
      <w:r>
        <w:rPr>
          <w:rFonts w:hint="eastAsia" w:ascii="黑体" w:hAnsi="黑体" w:eastAsia="黑体" w:cstheme="minorEastAsia"/>
          <w:position w:val="-24"/>
          <w:szCs w:val="21"/>
        </w:rPr>
        <w:t>操作步骤</w:t>
      </w:r>
    </w:p>
    <w:p w14:paraId="6914EDF0">
      <w:pPr>
        <w:pStyle w:val="185"/>
        <w:numPr>
          <w:ilvl w:val="0"/>
          <w:numId w:val="6"/>
        </w:numPr>
        <w:ind w:left="884" w:hanging="442"/>
        <w:jc w:val="both"/>
        <w:rPr>
          <w:rFonts w:hint="eastAsia" w:ascii="Times New Roman" w:hAnsi="Times New Roman" w:eastAsia="宋体" w:cs="Times New Roman"/>
        </w:rPr>
      </w:pPr>
      <w:bookmarkStart w:id="14" w:name="_Hlk193304383"/>
      <w:r>
        <w:rPr>
          <w:rFonts w:hint="eastAsia" w:ascii="Times New Roman" w:hAnsi="Times New Roman" w:eastAsia="宋体" w:cs="Times New Roman"/>
        </w:rPr>
        <w:t>准备需配制的变应原，核对变应原名称、日期、浓度，按配制顺序排放并双人核对。</w:t>
      </w:r>
    </w:p>
    <w:p w14:paraId="31C2E1DE">
      <w:pPr>
        <w:pStyle w:val="185"/>
        <w:numPr>
          <w:ilvl w:val="0"/>
          <w:numId w:val="6"/>
        </w:numPr>
        <w:ind w:left="884" w:hanging="442"/>
        <w:jc w:val="both"/>
        <w:rPr>
          <w:rFonts w:hint="eastAsia" w:ascii="Times New Roman" w:hAnsi="Times New Roman" w:eastAsia="宋体" w:cs="Times New Roman"/>
        </w:rPr>
      </w:pPr>
      <w:r>
        <w:rPr>
          <w:rFonts w:hint="eastAsia" w:ascii="Times New Roman" w:hAnsi="Times New Roman" w:eastAsia="宋体" w:cs="Times New Roman"/>
        </w:rPr>
        <w:t>按配制品种准备相应数量的溶媒，并查看有效期。</w:t>
      </w:r>
    </w:p>
    <w:p w14:paraId="37EFAEE2">
      <w:pPr>
        <w:pStyle w:val="185"/>
        <w:numPr>
          <w:ilvl w:val="0"/>
          <w:numId w:val="6"/>
        </w:numPr>
        <w:ind w:left="884" w:hanging="442"/>
        <w:jc w:val="both"/>
        <w:rPr>
          <w:rFonts w:hint="eastAsia" w:ascii="Times New Roman" w:hAnsi="Times New Roman" w:eastAsia="宋体" w:cs="Times New Roman"/>
        </w:rPr>
      </w:pPr>
      <w:r>
        <w:rPr>
          <w:rFonts w:hint="eastAsia" w:ascii="Times New Roman" w:hAnsi="Times New Roman" w:eastAsia="宋体" w:cs="Times New Roman"/>
        </w:rPr>
        <w:t>用75%酒精棉签消毒瓶口三遍。</w:t>
      </w:r>
    </w:p>
    <w:p w14:paraId="53E7970B">
      <w:pPr>
        <w:pStyle w:val="185"/>
        <w:numPr>
          <w:ilvl w:val="0"/>
          <w:numId w:val="6"/>
        </w:numPr>
        <w:ind w:left="884" w:hanging="442"/>
        <w:jc w:val="both"/>
        <w:rPr>
          <w:rFonts w:hint="eastAsia" w:ascii="Times New Roman" w:hAnsi="Times New Roman" w:eastAsia="宋体" w:cs="Times New Roman"/>
        </w:rPr>
      </w:pPr>
      <w:r>
        <w:rPr>
          <w:rFonts w:hint="eastAsia" w:ascii="Times New Roman" w:hAnsi="Times New Roman" w:eastAsia="宋体" w:cs="Times New Roman"/>
        </w:rPr>
        <w:t>根据医嘱要求配制相应浓度的变应原皮试液。常用吸入变应原皮试液浓度为1：100，对于部分强致敏的变应原浓度为1：1000（目前在用葎草、大籽蒿）。对于高风险人群可根据患者具体情况选用更低浓度变应原皮试液。</w:t>
      </w:r>
    </w:p>
    <w:p w14:paraId="6914C52F">
      <w:pPr>
        <w:pStyle w:val="185"/>
        <w:numPr>
          <w:ilvl w:val="0"/>
          <w:numId w:val="6"/>
        </w:numPr>
        <w:ind w:left="884" w:hanging="442"/>
        <w:jc w:val="both"/>
        <w:rPr>
          <w:rFonts w:hint="eastAsia" w:ascii="Times New Roman" w:hAnsi="Times New Roman" w:eastAsia="宋体" w:cs="Times New Roman"/>
        </w:rPr>
      </w:pPr>
      <w:r>
        <w:rPr>
          <w:rFonts w:hint="eastAsia" w:ascii="Times New Roman" w:hAnsi="Times New Roman" w:eastAsia="宋体" w:cs="Times New Roman"/>
        </w:rPr>
        <w:t>具体制作方法：分别以圆柏（1：100）及葎草</w:t>
      </w:r>
      <w:bookmarkStart w:id="15" w:name="_Hlk193303321"/>
      <w:r>
        <w:rPr>
          <w:rFonts w:hint="eastAsia" w:ascii="Times New Roman" w:hAnsi="Times New Roman" w:eastAsia="宋体" w:cs="Times New Roman"/>
        </w:rPr>
        <w:t>（1：1000）</w:t>
      </w:r>
      <w:bookmarkEnd w:id="15"/>
      <w:r>
        <w:rPr>
          <w:rFonts w:hint="eastAsia" w:ascii="Times New Roman" w:hAnsi="Times New Roman" w:eastAsia="宋体" w:cs="Times New Roman"/>
        </w:rPr>
        <w:t>为例</w:t>
      </w:r>
    </w:p>
    <w:p w14:paraId="7E078C24">
      <w:pPr>
        <w:pStyle w:val="185"/>
        <w:numPr>
          <w:ilvl w:val="1"/>
          <w:numId w:val="6"/>
        </w:numPr>
        <w:ind w:left="1321" w:hanging="442"/>
        <w:jc w:val="both"/>
        <w:rPr>
          <w:rFonts w:hint="eastAsia" w:ascii="Times New Roman" w:hAnsi="Times New Roman" w:eastAsia="宋体" w:cs="Times New Roman"/>
        </w:rPr>
      </w:pPr>
      <w:r>
        <w:rPr>
          <w:rFonts w:hint="eastAsia" w:ascii="Times New Roman" w:hAnsi="Times New Roman" w:eastAsia="宋体" w:cs="Times New Roman"/>
        </w:rPr>
        <w:t>圆柏（1：100）皮试液配制方法：方法1：选取圆柏原液及溶媒两支，取一瓶溶媒抽出0.9ml后加入至另一瓶，配成9.9ml溶媒，再加入0.1ml圆柏原液，配制成1：100的圆柏皮试液。方法2：选取1：10圆柏变应原及溶媒1支，将1：10的圆柏变应原1ml，加入9ml溶媒中，配制成1：100的圆柏皮试液。尽量选取原液配制，保证皮试液的有效性，因稀释后有效期变短，如需使用1：10的圆柏变应原，需为新鲜配制的，以确保皮试液的有效性。</w:t>
      </w:r>
    </w:p>
    <w:p w14:paraId="37245A53">
      <w:pPr>
        <w:pStyle w:val="185"/>
        <w:numPr>
          <w:ilvl w:val="1"/>
          <w:numId w:val="6"/>
        </w:numPr>
        <w:ind w:left="1321" w:hanging="442"/>
        <w:jc w:val="both"/>
        <w:rPr>
          <w:rFonts w:hint="eastAsia" w:ascii="Times New Roman" w:hAnsi="Times New Roman" w:eastAsia="宋体" w:cs="Times New Roman"/>
        </w:rPr>
      </w:pPr>
      <w:r>
        <w:rPr>
          <w:rFonts w:hint="eastAsia" w:ascii="Times New Roman" w:hAnsi="Times New Roman" w:eastAsia="宋体" w:cs="Times New Roman"/>
        </w:rPr>
        <w:t>葎草（1：1000）皮试液配制方法：选取1：10葎草变应原及溶媒两支，将9ml溶媒加至9.9ml，再加入1：10葎草变应原0.1ml，配制成1：1000的葎草皮试液。1：10的葎草变应原，需为新鲜配制的，以确保皮试液的有效性。</w:t>
      </w:r>
    </w:p>
    <w:p w14:paraId="1B6476DB">
      <w:pPr>
        <w:pStyle w:val="185"/>
        <w:numPr>
          <w:ilvl w:val="0"/>
          <w:numId w:val="6"/>
        </w:numPr>
        <w:ind w:left="884" w:hanging="442"/>
        <w:jc w:val="both"/>
        <w:rPr>
          <w:rFonts w:hint="eastAsia" w:ascii="Times New Roman" w:hAnsi="Times New Roman" w:eastAsia="宋体" w:cs="Times New Roman"/>
        </w:rPr>
      </w:pPr>
      <w:r>
        <w:rPr>
          <w:rFonts w:hint="eastAsia" w:ascii="Times New Roman" w:hAnsi="Times New Roman" w:eastAsia="宋体" w:cs="Times New Roman"/>
        </w:rPr>
        <w:t>每配制一种皮试液，均需双人核对后粘贴对应标签，标签标识有皮试液名称、浓度、配制日期及有效期。标识有开启日期，暂为空白，待开启使用时，标注开启日期及有效期。</w:t>
      </w:r>
    </w:p>
    <w:p w14:paraId="74833EDD">
      <w:pPr>
        <w:pStyle w:val="185"/>
        <w:numPr>
          <w:ilvl w:val="0"/>
          <w:numId w:val="6"/>
        </w:numPr>
        <w:ind w:left="884" w:hanging="442"/>
        <w:jc w:val="both"/>
        <w:rPr>
          <w:rFonts w:hint="eastAsia" w:ascii="Times New Roman" w:hAnsi="Times New Roman" w:eastAsia="宋体" w:cs="Times New Roman"/>
        </w:rPr>
      </w:pPr>
      <w:r>
        <w:rPr>
          <w:rFonts w:hint="eastAsia" w:ascii="Times New Roman" w:hAnsi="Times New Roman" w:eastAsia="宋体" w:cs="Times New Roman"/>
        </w:rPr>
        <w:t>皮试液配制后严格按常规顺序放置于特定容器中，再次双人核对皮试液名称、浓度、配制日期、有效期、顺序。在专用登记表中登记配制皮试液的日期、名称、浓度、数量并双人签字。</w:t>
      </w:r>
    </w:p>
    <w:p w14:paraId="5F6BC524">
      <w:pPr>
        <w:pStyle w:val="185"/>
        <w:numPr>
          <w:ilvl w:val="0"/>
          <w:numId w:val="6"/>
        </w:numPr>
        <w:ind w:left="884" w:hanging="442"/>
        <w:jc w:val="both"/>
        <w:rPr>
          <w:rFonts w:hint="eastAsia" w:ascii="Times New Roman" w:hAnsi="Times New Roman" w:eastAsia="宋体" w:cs="Times New Roman"/>
        </w:rPr>
      </w:pPr>
      <w:r>
        <w:rPr>
          <w:rFonts w:hint="eastAsia" w:ascii="Times New Roman" w:hAnsi="Times New Roman" w:eastAsia="宋体" w:cs="Times New Roman"/>
        </w:rPr>
        <w:t>配制完成的皮试液2-8℃冰箱保存，标有配制日期及到期日期，有效期为一个月。皮试液开启使用后，标明开启日期及到期日期，有效期为两周。</w:t>
      </w:r>
    </w:p>
    <w:p w14:paraId="7F0D7A3F">
      <w:pPr>
        <w:pStyle w:val="185"/>
        <w:numPr>
          <w:ilvl w:val="0"/>
          <w:numId w:val="6"/>
        </w:numPr>
        <w:ind w:left="884" w:hanging="442"/>
        <w:jc w:val="both"/>
        <w:rPr>
          <w:rFonts w:hint="eastAsia" w:ascii="Times New Roman" w:hAnsi="Times New Roman" w:eastAsia="宋体" w:cs="Times New Roman"/>
        </w:rPr>
      </w:pPr>
      <w:r>
        <w:rPr>
          <w:rFonts w:hint="eastAsia" w:ascii="Times New Roman" w:hAnsi="Times New Roman" w:eastAsia="宋体" w:cs="Times New Roman"/>
        </w:rPr>
        <w:t>整组皮试液开始使用时要再次双人核对</w:t>
      </w:r>
      <w:bookmarkStart w:id="16" w:name="_Hlk193304101"/>
      <w:r>
        <w:rPr>
          <w:rFonts w:hint="eastAsia" w:ascii="Times New Roman" w:hAnsi="Times New Roman" w:eastAsia="宋体" w:cs="Times New Roman"/>
        </w:rPr>
        <w:t>名称、浓度、顺序、有效期</w:t>
      </w:r>
      <w:bookmarkEnd w:id="16"/>
      <w:r>
        <w:rPr>
          <w:rFonts w:hint="eastAsia" w:ascii="Times New Roman" w:hAnsi="Times New Roman" w:eastAsia="宋体" w:cs="Times New Roman"/>
        </w:rPr>
        <w:t>，并立即标明开启日期及到期日期。每日使用时均需核对名称、浓度、顺序、配制及开启的两个有效期。如需更换单个皮试液，也需双人核对名称、浓度、顺序、有效期，并立即标明开启日期及到期日期。皮试液在使用时不允许同时拿取两支，避免放回时顺序错误。</w:t>
      </w:r>
      <w:bookmarkEnd w:id="14"/>
    </w:p>
    <w:p w14:paraId="1B5A8C27">
      <w:pPr>
        <w:spacing w:before="156" w:after="156"/>
        <w:jc w:val="left"/>
        <w:rPr>
          <w:rFonts w:hint="eastAsia" w:ascii="黑体" w:hAnsi="黑体" w:eastAsia="黑体" w:cstheme="minorEastAsia"/>
          <w:position w:val="-24"/>
          <w:szCs w:val="21"/>
        </w:rPr>
      </w:pPr>
      <w:r>
        <w:rPr>
          <w:rFonts w:hint="eastAsia" w:ascii="黑体" w:hAnsi="黑体" w:eastAsia="黑体" w:cstheme="minorEastAsia"/>
          <w:position w:val="-24"/>
          <w:szCs w:val="21"/>
        </w:rPr>
        <w:t>6.5 变应原特异性免疫治疗（脱敏治疗）</w:t>
      </w:r>
    </w:p>
    <w:p w14:paraId="327AE7A4">
      <w:pPr>
        <w:ind w:firstLine="420"/>
        <w:jc w:val="left"/>
        <w:rPr>
          <w:rFonts w:hint="eastAsia" w:asciiTheme="minorEastAsia" w:hAnsiTheme="minorEastAsia" w:cstheme="minorEastAsia"/>
          <w:position w:val="-24"/>
          <w:szCs w:val="21"/>
        </w:rPr>
      </w:pPr>
      <w:r>
        <w:rPr>
          <w:rFonts w:hint="eastAsia" w:asciiTheme="minorEastAsia" w:hAnsiTheme="minorEastAsia" w:cstheme="minorEastAsia"/>
          <w:position w:val="-24"/>
          <w:szCs w:val="21"/>
        </w:rPr>
        <w:t>变应原特异性免疫治疗目前主要分为两种给药方式：舌下/口服给药和皮下注射给药。舌下/口服给药可由患者拿回家</w:t>
      </w:r>
      <w:r>
        <w:rPr>
          <w:rFonts w:asciiTheme="minorEastAsia" w:hAnsiTheme="minorEastAsia" w:cstheme="minorEastAsia"/>
          <w:position w:val="-24"/>
          <w:szCs w:val="21"/>
        </w:rPr>
        <w:t>中</w:t>
      </w:r>
      <w:r>
        <w:rPr>
          <w:rFonts w:hint="eastAsia" w:asciiTheme="minorEastAsia" w:hAnsiTheme="minorEastAsia" w:cstheme="minorEastAsia"/>
          <w:position w:val="-24"/>
          <w:szCs w:val="21"/>
        </w:rPr>
        <w:t>自行用药，皮下注射用药需在医院由护士操作完成。以下描述为皮下注射变应原特异性免疫治疗，也称为脱敏注射。</w:t>
      </w:r>
    </w:p>
    <w:p w14:paraId="3B2894D5">
      <w:pPr>
        <w:jc w:val="both"/>
        <w:rPr>
          <w:rFonts w:hint="eastAsia" w:ascii="黑体" w:hAnsi="黑体" w:eastAsia="黑体" w:cs="Times New Roman"/>
          <w:position w:val="-24"/>
          <w:szCs w:val="21"/>
        </w:rPr>
      </w:pPr>
      <w:r>
        <w:rPr>
          <w:rFonts w:hint="eastAsia" w:ascii="黑体" w:hAnsi="黑体" w:eastAsia="黑体" w:cs="Times New Roman"/>
          <w:position w:val="-24"/>
          <w:szCs w:val="21"/>
        </w:rPr>
        <w:t xml:space="preserve">6.5.1 </w:t>
      </w:r>
      <w:r>
        <w:rPr>
          <w:rFonts w:hint="eastAsia" w:ascii="黑体" w:hAnsi="黑体" w:eastAsia="黑体" w:cs="Times New Roman"/>
          <w:position w:val="-24"/>
          <w:szCs w:val="21"/>
        </w:rPr>
        <w:t>物品准备</w:t>
      </w:r>
    </w:p>
    <w:p w14:paraId="77C22955">
      <w:pPr>
        <w:ind w:firstLine="420"/>
        <w:jc w:val="both"/>
        <w:rPr>
          <w:rFonts w:hint="eastAsia" w:ascii="宋体" w:hAnsi="宋体" w:eastAsia="宋体" w:cstheme="minorEastAsia"/>
          <w:position w:val="-24"/>
          <w:szCs w:val="21"/>
        </w:rPr>
      </w:pPr>
      <w:r>
        <w:rPr>
          <w:rFonts w:hint="eastAsia" w:ascii="宋体" w:hAnsi="宋体" w:eastAsia="宋体" w:cstheme="minorEastAsia"/>
          <w:position w:val="-24"/>
          <w:szCs w:val="21"/>
        </w:rPr>
        <w:t>配制好的脱敏注射药物、治疗单、一次性注射器、无菌棉签、75%酒精、电脑、冰箱、锐器桶、生活垃圾及医用垃圾袋。</w:t>
      </w:r>
    </w:p>
    <w:p w14:paraId="5D7A5ED6">
      <w:pPr>
        <w:jc w:val="both"/>
        <w:rPr>
          <w:rFonts w:hint="eastAsia" w:ascii="黑体" w:hAnsi="黑体" w:eastAsia="黑体" w:cs="Times New Roman"/>
          <w:position w:val="-24"/>
          <w:szCs w:val="21"/>
        </w:rPr>
      </w:pPr>
      <w:r>
        <w:rPr>
          <w:rFonts w:hint="eastAsia" w:ascii="黑体" w:hAnsi="黑体" w:eastAsia="黑体" w:cs="Times New Roman"/>
          <w:position w:val="-24"/>
          <w:szCs w:val="21"/>
        </w:rPr>
        <w:t xml:space="preserve">6.5.2 </w:t>
      </w:r>
      <w:r>
        <w:rPr>
          <w:rFonts w:hint="eastAsia" w:ascii="黑体" w:hAnsi="黑体" w:eastAsia="黑体" w:cs="Times New Roman"/>
          <w:position w:val="-24"/>
          <w:szCs w:val="21"/>
        </w:rPr>
        <w:t>操作方法</w:t>
      </w:r>
    </w:p>
    <w:p w14:paraId="6C2BC565">
      <w:pPr>
        <w:pStyle w:val="185"/>
        <w:numPr>
          <w:ilvl w:val="0"/>
          <w:numId w:val="7"/>
        </w:numPr>
        <w:ind w:left="884" w:hanging="442"/>
        <w:jc w:val="both"/>
        <w:rPr>
          <w:rFonts w:hint="eastAsia" w:ascii="Times New Roman" w:hAnsi="Times New Roman" w:eastAsia="宋体" w:cs="Times New Roman"/>
        </w:rPr>
      </w:pPr>
      <w:r>
        <w:rPr>
          <w:rFonts w:hint="eastAsia" w:ascii="Times New Roman" w:hAnsi="Times New Roman" w:eastAsia="宋体" w:cs="Times New Roman"/>
        </w:rPr>
        <w:t>患者注射当日需由医生评估患者一般状况、脱敏治疗用药过程、上次用药情况（包括上次注射的时间、浓度、剂量、用药后反应）、峰流速值，其他用药情况：必须应用β受体阻滞剂治疗的患者不建议进行此项免疫治疗。注射其他疫苗时，建议注射疫苗前后各停用此项免疫治疗至少1周。</w:t>
      </w:r>
    </w:p>
    <w:p w14:paraId="0BDDF3BF">
      <w:pPr>
        <w:pStyle w:val="185"/>
        <w:numPr>
          <w:ilvl w:val="0"/>
          <w:numId w:val="7"/>
        </w:numPr>
        <w:ind w:left="884" w:hanging="442"/>
        <w:jc w:val="both"/>
        <w:rPr>
          <w:rFonts w:hint="eastAsia" w:ascii="Times New Roman" w:hAnsi="Times New Roman" w:eastAsia="宋体" w:cs="Times New Roman"/>
        </w:rPr>
      </w:pPr>
      <w:r>
        <w:rPr>
          <w:rFonts w:hint="eastAsia" w:ascii="Times New Roman" w:hAnsi="Times New Roman" w:eastAsia="宋体" w:cs="Times New Roman"/>
        </w:rPr>
        <w:t>制定此次注射浓度及剂量。</w:t>
      </w:r>
    </w:p>
    <w:p w14:paraId="23D3CDE7">
      <w:pPr>
        <w:pStyle w:val="185"/>
        <w:numPr>
          <w:ilvl w:val="0"/>
          <w:numId w:val="7"/>
        </w:numPr>
        <w:ind w:left="884" w:hanging="442"/>
        <w:jc w:val="both"/>
        <w:rPr>
          <w:rFonts w:hint="eastAsia" w:ascii="Times New Roman" w:hAnsi="Times New Roman" w:eastAsia="宋体" w:cs="Times New Roman"/>
        </w:rPr>
      </w:pPr>
      <w:r>
        <w:rPr>
          <w:rFonts w:hint="eastAsia" w:ascii="Times New Roman" w:hAnsi="Times New Roman" w:eastAsia="宋体" w:cs="Times New Roman"/>
        </w:rPr>
        <w:t>开具医嘱后，患者到护士站排序。</w:t>
      </w:r>
    </w:p>
    <w:p w14:paraId="0399BAE1">
      <w:pPr>
        <w:pStyle w:val="185"/>
        <w:numPr>
          <w:ilvl w:val="0"/>
          <w:numId w:val="7"/>
        </w:numPr>
        <w:ind w:left="884" w:hanging="442"/>
        <w:jc w:val="both"/>
        <w:rPr>
          <w:rFonts w:hint="eastAsia" w:ascii="Times New Roman" w:hAnsi="Times New Roman" w:eastAsia="宋体" w:cs="Times New Roman"/>
        </w:rPr>
      </w:pPr>
      <w:r>
        <w:rPr>
          <w:rFonts w:hint="eastAsia" w:ascii="Times New Roman" w:hAnsi="Times New Roman" w:eastAsia="宋体" w:cs="Times New Roman"/>
        </w:rPr>
        <w:t>治疗室呼叫患者后，通过读卡、核对姓名等多种方式核对患者基本信息。</w:t>
      </w:r>
    </w:p>
    <w:p w14:paraId="7F4D957B">
      <w:pPr>
        <w:pStyle w:val="185"/>
        <w:numPr>
          <w:ilvl w:val="0"/>
          <w:numId w:val="7"/>
        </w:numPr>
        <w:ind w:left="884" w:hanging="442"/>
        <w:jc w:val="both"/>
        <w:rPr>
          <w:rFonts w:hint="eastAsia" w:ascii="Times New Roman" w:hAnsi="Times New Roman" w:eastAsia="宋体" w:cs="Times New Roman"/>
        </w:rPr>
      </w:pPr>
      <w:r>
        <w:rPr>
          <w:rFonts w:hint="eastAsia" w:ascii="Times New Roman" w:hAnsi="Times New Roman" w:eastAsia="宋体" w:cs="Times New Roman"/>
        </w:rPr>
        <w:t>核对患者医嘱、治疗单、及药品瓶签的内容一致，评估药品质量：药品无沉淀、结冰、浑浊、变色、是否正确保存（常规2</w:t>
      </w:r>
      <w:r>
        <w:rPr>
          <w:rFonts w:ascii="Times New Roman" w:hAnsi="Times New Roman" w:eastAsia="宋体" w:cs="Times New Roman"/>
        </w:rPr>
        <w:t>℃</w:t>
      </w:r>
      <w:r>
        <w:rPr>
          <w:rFonts w:hint="eastAsia" w:ascii="Times New Roman" w:hAnsi="Times New Roman" w:eastAsia="宋体" w:cs="Times New Roman"/>
        </w:rPr>
        <w:t>-</w:t>
      </w:r>
      <w:r>
        <w:rPr>
          <w:rFonts w:hint="eastAsia" w:ascii="Times New Roman" w:hAnsi="Times New Roman" w:eastAsia="宋体" w:cs="Times New Roman"/>
        </w:rPr>
        <w:t>8</w:t>
      </w:r>
      <w:bookmarkStart w:id="17" w:name="OLE_LINK4"/>
      <w:r>
        <w:rPr>
          <w:rFonts w:hint="eastAsia" w:ascii="Times New Roman" w:hAnsi="Times New Roman" w:eastAsia="宋体" w:cs="Times New Roman"/>
        </w:rPr>
        <w:t>℃</w:t>
      </w:r>
      <w:bookmarkEnd w:id="17"/>
      <w:r>
        <w:rPr>
          <w:rFonts w:hint="eastAsia" w:ascii="Times New Roman" w:hAnsi="Times New Roman" w:eastAsia="宋体" w:cs="Times New Roman"/>
        </w:rPr>
        <w:t>冷藏），及该瓶药物开启时间、注射次数。因此类药物需反复抽吸注射，为保证药物安全，推荐每瓶药物开启后注射次数不超过10次。核对药品有效期及开启后有效期，不同种类药物开启后的有效期不同，推荐遵循药物说明书保存和使用。</w:t>
      </w:r>
    </w:p>
    <w:p w14:paraId="16193D18">
      <w:pPr>
        <w:pStyle w:val="185"/>
        <w:numPr>
          <w:ilvl w:val="0"/>
          <w:numId w:val="7"/>
        </w:numPr>
        <w:ind w:left="884" w:hanging="442"/>
        <w:jc w:val="both"/>
        <w:rPr>
          <w:rFonts w:hint="eastAsia" w:ascii="Times New Roman" w:hAnsi="Times New Roman" w:eastAsia="宋体" w:cs="Times New Roman"/>
        </w:rPr>
      </w:pPr>
      <w:r>
        <w:rPr>
          <w:rFonts w:hint="eastAsia" w:ascii="Times New Roman" w:hAnsi="Times New Roman" w:eastAsia="宋体" w:cs="Times New Roman"/>
        </w:rPr>
        <w:t>评估患者一般状况，注射局部皮肤无红肿、硬结等。核对峰流速值，患者上次注射的时间、浓度、剂量、用药后记录，评估此次医嘱注射药物的名称、浓度、剂量、给药时间是否符合递增规律，对有疑问的医嘱应与医生及患者核实后方可用药。</w:t>
      </w:r>
    </w:p>
    <w:p w14:paraId="14705E3A">
      <w:pPr>
        <w:pStyle w:val="185"/>
        <w:numPr>
          <w:ilvl w:val="0"/>
          <w:numId w:val="7"/>
        </w:numPr>
        <w:ind w:left="884" w:hanging="442"/>
        <w:jc w:val="both"/>
        <w:rPr>
          <w:rFonts w:hint="eastAsia" w:ascii="Times New Roman" w:hAnsi="Times New Roman" w:eastAsia="宋体" w:cs="Times New Roman"/>
        </w:rPr>
      </w:pPr>
      <w:r>
        <w:rPr>
          <w:rFonts w:hint="eastAsia" w:ascii="Times New Roman" w:hAnsi="Times New Roman" w:eastAsia="宋体" w:cs="Times New Roman"/>
        </w:rPr>
        <w:t>协助患者摆放体位，暴露注射部位，优先选取上臂外侧皮下注射部位。</w:t>
      </w:r>
    </w:p>
    <w:p w14:paraId="7487ACF6">
      <w:pPr>
        <w:pStyle w:val="185"/>
        <w:numPr>
          <w:ilvl w:val="0"/>
          <w:numId w:val="7"/>
        </w:numPr>
        <w:ind w:left="884" w:hanging="442"/>
        <w:jc w:val="both"/>
        <w:rPr>
          <w:rFonts w:hint="eastAsia" w:ascii="Times New Roman" w:hAnsi="Times New Roman" w:eastAsia="宋体" w:cs="Times New Roman"/>
        </w:rPr>
      </w:pPr>
      <w:r>
        <w:rPr>
          <w:rFonts w:hint="eastAsia" w:ascii="Times New Roman" w:hAnsi="Times New Roman" w:eastAsia="宋体" w:cs="Times New Roman"/>
        </w:rPr>
        <w:t>用75%酒精以穿刺点为中心消毒注射部位，不建议使用含碘消毒剂，以防影响对注射部位局部不良反应的观察。</w:t>
      </w:r>
    </w:p>
    <w:p w14:paraId="3B4D2DB1">
      <w:pPr>
        <w:pStyle w:val="185"/>
        <w:numPr>
          <w:ilvl w:val="0"/>
          <w:numId w:val="7"/>
        </w:numPr>
        <w:ind w:left="884" w:hanging="442"/>
        <w:jc w:val="both"/>
        <w:rPr>
          <w:rFonts w:hint="eastAsia" w:ascii="Times New Roman" w:hAnsi="Times New Roman" w:eastAsia="宋体" w:cs="Times New Roman"/>
        </w:rPr>
      </w:pPr>
      <w:r>
        <w:rPr>
          <w:rFonts w:hint="eastAsia" w:ascii="Times New Roman" w:hAnsi="Times New Roman" w:eastAsia="宋体" w:cs="Times New Roman"/>
        </w:rPr>
        <w:t>因一瓶药物反复使用，再次核对药物两个效期及此次抽吸药物浓度、剂量。使用一次性1ml注射器抽吸药物，且抽吸药物前，要轻轻颠倒药品数次摇匀，确保药物用量准确。</w:t>
      </w:r>
    </w:p>
    <w:p w14:paraId="5A56670E">
      <w:pPr>
        <w:pStyle w:val="185"/>
        <w:numPr>
          <w:ilvl w:val="0"/>
          <w:numId w:val="7"/>
        </w:numPr>
        <w:ind w:left="884" w:hanging="442"/>
        <w:jc w:val="both"/>
        <w:rPr>
          <w:rFonts w:hint="eastAsia" w:ascii="Times New Roman" w:hAnsi="Times New Roman" w:eastAsia="宋体" w:cs="Times New Roman"/>
        </w:rPr>
      </w:pPr>
      <w:r>
        <w:rPr>
          <w:rFonts w:hint="eastAsia" w:ascii="Times New Roman" w:hAnsi="Times New Roman" w:eastAsia="宋体" w:cs="Times New Roman"/>
        </w:rPr>
        <w:t>局部皮下注射时采用深部皮下注射，采用1 ml注射器，推荐注射部位：双上臂三角肌下缘，注射角度：注射器与皮肤呈30°</w:t>
      </w:r>
      <w:r>
        <w:rPr>
          <w:rFonts w:hint="eastAsia" w:ascii="Times New Roman" w:hAnsi="Times New Roman" w:eastAsia="宋体" w:cs="Times New Roman"/>
        </w:rPr>
        <w:t>-</w:t>
      </w:r>
      <w:r>
        <w:rPr>
          <w:rFonts w:hint="eastAsia" w:ascii="Times New Roman" w:hAnsi="Times New Roman" w:eastAsia="宋体" w:cs="Times New Roman"/>
        </w:rPr>
        <w:t>60°角进针，注射深度约1 cm，可根据患者具体情况调整，避免肌内注射，但不宜注射表浅，易增加局部不良反应的发生率。建议双上肢交替注射。</w:t>
      </w:r>
    </w:p>
    <w:p w14:paraId="4230ED04">
      <w:pPr>
        <w:pStyle w:val="185"/>
        <w:numPr>
          <w:ilvl w:val="0"/>
          <w:numId w:val="7"/>
        </w:numPr>
        <w:ind w:left="884" w:hanging="442"/>
        <w:jc w:val="both"/>
        <w:rPr>
          <w:rFonts w:hint="eastAsia" w:ascii="Times New Roman" w:hAnsi="Times New Roman" w:eastAsia="宋体" w:cs="Times New Roman"/>
        </w:rPr>
      </w:pPr>
      <w:r>
        <w:rPr>
          <w:rFonts w:hint="eastAsia" w:ascii="Times New Roman" w:hAnsi="Times New Roman" w:eastAsia="宋体" w:cs="Times New Roman"/>
        </w:rPr>
        <w:t>因注射剂量少，要求精准，药液推注结束后需停留6s后再拔针，并按压注射点，避免造成药物外渗。</w:t>
      </w:r>
    </w:p>
    <w:p w14:paraId="268E08F1">
      <w:pPr>
        <w:pStyle w:val="185"/>
        <w:numPr>
          <w:ilvl w:val="0"/>
          <w:numId w:val="7"/>
        </w:numPr>
        <w:ind w:left="884" w:hanging="442"/>
        <w:jc w:val="both"/>
        <w:rPr>
          <w:rFonts w:hint="eastAsia" w:ascii="Times New Roman" w:hAnsi="Times New Roman" w:eastAsia="宋体" w:cs="Times New Roman"/>
        </w:rPr>
      </w:pPr>
      <w:r>
        <w:rPr>
          <w:rFonts w:hint="eastAsia" w:ascii="Times New Roman" w:hAnsi="Times New Roman" w:eastAsia="宋体" w:cs="Times New Roman"/>
        </w:rPr>
        <w:t>注射速度严格要求1ml/min。推注速度过快，易增加患者不良反应的发生率。</w:t>
      </w:r>
    </w:p>
    <w:p w14:paraId="2ADA13AD">
      <w:pPr>
        <w:pStyle w:val="185"/>
        <w:numPr>
          <w:ilvl w:val="0"/>
          <w:numId w:val="7"/>
        </w:numPr>
        <w:ind w:left="884" w:hanging="442"/>
        <w:jc w:val="both"/>
        <w:rPr>
          <w:rFonts w:hint="eastAsia" w:ascii="Times New Roman" w:hAnsi="Times New Roman" w:eastAsia="宋体" w:cs="Times New Roman"/>
        </w:rPr>
      </w:pPr>
      <w:r>
        <w:rPr>
          <w:rFonts w:hint="eastAsia" w:ascii="Times New Roman" w:hAnsi="Times New Roman" w:eastAsia="宋体" w:cs="Times New Roman"/>
        </w:rPr>
        <w:t>严格抽吸回血，推注药物前先回抽，无回血方可缓慢推注，推注药物过程中建议每注射0.2ml抽吸回血1次。若变应原注射入血管，可能导致患者迅速发生全身不良反应，严重者可造成过敏性休克。抽吸过程中，如果出现回血，应立即停止注射，增加按压时间5</w:t>
      </w:r>
      <w:r>
        <w:rPr>
          <w:rFonts w:hint="eastAsia" w:ascii="Times New Roman" w:hAnsi="Times New Roman" w:eastAsia="宋体" w:cs="Times New Roman"/>
        </w:rPr>
        <w:t>min-</w:t>
      </w:r>
      <w:r>
        <w:rPr>
          <w:rFonts w:hint="eastAsia" w:ascii="Times New Roman" w:hAnsi="Times New Roman" w:eastAsia="宋体" w:cs="Times New Roman"/>
        </w:rPr>
        <w:t>10min，将被血液污染的药物丢弃，同时观察患者30min；若无不良反应发生，重新抽取该次注射剩余的药液量，更换注射部位，注射剩余剂量，再次观察30min。</w:t>
      </w:r>
    </w:p>
    <w:p w14:paraId="128A63CD">
      <w:pPr>
        <w:pStyle w:val="185"/>
        <w:numPr>
          <w:ilvl w:val="0"/>
          <w:numId w:val="7"/>
        </w:numPr>
        <w:ind w:left="884" w:hanging="442"/>
        <w:jc w:val="both"/>
        <w:rPr>
          <w:rFonts w:hint="eastAsia" w:ascii="Times New Roman" w:hAnsi="Times New Roman" w:eastAsia="宋体" w:cs="Times New Roman"/>
        </w:rPr>
      </w:pPr>
      <w:r>
        <w:rPr>
          <w:rFonts w:hint="eastAsia" w:ascii="Times New Roman" w:hAnsi="Times New Roman" w:eastAsia="宋体" w:cs="Times New Roman"/>
        </w:rPr>
        <w:t>注射后留观30min。研究表明，不良反应大多发生在注射后30min内，且90%的严重不良反应均发生在注射后30min内。推荐有条件时，设置专门的观察区，安排专业护士集中观察并及时听取患者主诉，发现问题及时处理。指导患者如有不适及时联系医护人员。</w:t>
      </w:r>
    </w:p>
    <w:p w14:paraId="02190C49">
      <w:pPr>
        <w:pStyle w:val="185"/>
        <w:numPr>
          <w:ilvl w:val="0"/>
          <w:numId w:val="7"/>
        </w:numPr>
        <w:ind w:left="884" w:hanging="442"/>
        <w:jc w:val="both"/>
        <w:rPr>
          <w:rFonts w:hint="eastAsia" w:ascii="Times New Roman" w:hAnsi="Times New Roman" w:eastAsia="宋体" w:cs="Times New Roman"/>
        </w:rPr>
      </w:pPr>
      <w:r>
        <w:rPr>
          <w:rFonts w:hint="eastAsia" w:ascii="Times New Roman" w:hAnsi="Times New Roman" w:eastAsia="宋体" w:cs="Times New Roman"/>
        </w:rPr>
        <w:t>此类治疗药物多为反复多次使用，需严格无菌操作，正确进行药品保管，以确保药物质量。</w:t>
      </w:r>
    </w:p>
    <w:p w14:paraId="0B72CC4F">
      <w:pPr>
        <w:pStyle w:val="185"/>
        <w:numPr>
          <w:ilvl w:val="0"/>
          <w:numId w:val="7"/>
        </w:numPr>
        <w:ind w:left="884" w:hanging="442"/>
        <w:jc w:val="both"/>
        <w:rPr>
          <w:rFonts w:hint="eastAsia" w:ascii="Times New Roman" w:hAnsi="Times New Roman" w:eastAsia="宋体" w:cs="Times New Roman"/>
        </w:rPr>
      </w:pPr>
      <w:r>
        <w:rPr>
          <w:rFonts w:hint="eastAsia" w:ascii="Times New Roman" w:hAnsi="Times New Roman" w:eastAsia="宋体" w:cs="Times New Roman"/>
        </w:rPr>
        <w:t>注射后30min，对患者情况进行评估并记录，为下次规律治疗提供依据。若护士评估患者无不良反应，记录并给予患者相关知识指导，接诊医生再次评估后并书写病历，告知下次注射时间。</w:t>
      </w:r>
    </w:p>
    <w:p w14:paraId="6BC7E386">
      <w:pPr>
        <w:pStyle w:val="185"/>
        <w:numPr>
          <w:ilvl w:val="0"/>
          <w:numId w:val="7"/>
        </w:numPr>
        <w:ind w:left="884" w:hanging="442"/>
        <w:jc w:val="both"/>
        <w:rPr>
          <w:rFonts w:hint="eastAsia" w:ascii="Times New Roman" w:hAnsi="Times New Roman" w:eastAsia="宋体" w:cs="Times New Roman"/>
        </w:rPr>
      </w:pPr>
      <w:r>
        <w:rPr>
          <w:rFonts w:hint="eastAsia" w:ascii="Times New Roman" w:hAnsi="Times New Roman" w:eastAsia="宋体" w:cs="Times New Roman"/>
        </w:rPr>
        <w:t>注射后健康宣教：</w:t>
      </w:r>
    </w:p>
    <w:p w14:paraId="4C5E8F06">
      <w:pPr>
        <w:pStyle w:val="185"/>
        <w:numPr>
          <w:ilvl w:val="0"/>
          <w:numId w:val="8"/>
        </w:numPr>
        <w:ind w:left="1321" w:hanging="442"/>
        <w:jc w:val="both"/>
        <w:rPr>
          <w:rFonts w:hint="eastAsia" w:ascii="Times New Roman" w:hAnsi="Times New Roman" w:eastAsia="宋体" w:cs="Times New Roman"/>
        </w:rPr>
      </w:pPr>
      <w:r>
        <w:rPr>
          <w:rFonts w:hint="eastAsia" w:ascii="Times New Roman" w:hAnsi="Times New Roman" w:eastAsia="宋体" w:cs="Times New Roman"/>
        </w:rPr>
        <w:t>因此项治疗疗程较长，需3</w:t>
      </w:r>
      <w:r>
        <w:rPr>
          <w:rFonts w:hint="eastAsia" w:ascii="Times New Roman" w:hAnsi="Times New Roman" w:eastAsia="宋体" w:cs="Times New Roman"/>
        </w:rPr>
        <w:t>年-</w:t>
      </w:r>
      <w:r>
        <w:rPr>
          <w:rFonts w:hint="eastAsia" w:ascii="Times New Roman" w:hAnsi="Times New Roman" w:eastAsia="宋体" w:cs="Times New Roman"/>
        </w:rPr>
        <w:t>5年，患者依从性直接影响治疗进程及效果，因而护士为患者提供健康指导，督促并鼓励患者坚持规律治疗，可提高患者依从性，保障治疗疗效。</w:t>
      </w:r>
    </w:p>
    <w:p w14:paraId="77C3BDC1">
      <w:pPr>
        <w:pStyle w:val="185"/>
        <w:numPr>
          <w:ilvl w:val="0"/>
          <w:numId w:val="8"/>
        </w:numPr>
        <w:ind w:left="1321" w:hanging="442"/>
        <w:jc w:val="both"/>
        <w:rPr>
          <w:rFonts w:hint="eastAsia" w:ascii="Times New Roman" w:hAnsi="Times New Roman" w:eastAsia="宋体" w:cs="Times New Roman"/>
        </w:rPr>
      </w:pPr>
      <w:r>
        <w:rPr>
          <w:rFonts w:hint="eastAsia" w:ascii="Times New Roman" w:hAnsi="Times New Roman" w:eastAsia="宋体" w:cs="Times New Roman"/>
        </w:rPr>
        <w:t>讲解注射前后的注意事项，告知不同药物的保管要求、治疗流程等。</w:t>
      </w:r>
    </w:p>
    <w:p w14:paraId="5CE2D520">
      <w:pPr>
        <w:pStyle w:val="185"/>
        <w:numPr>
          <w:ilvl w:val="0"/>
          <w:numId w:val="8"/>
        </w:numPr>
        <w:ind w:left="1321" w:hanging="442"/>
        <w:jc w:val="both"/>
        <w:rPr>
          <w:rFonts w:hint="eastAsia" w:ascii="Times New Roman" w:hAnsi="Times New Roman" w:eastAsia="宋体" w:cs="Times New Roman"/>
        </w:rPr>
      </w:pPr>
      <w:r>
        <w:rPr>
          <w:rFonts w:hint="eastAsia" w:ascii="Times New Roman" w:hAnsi="Times New Roman" w:eastAsia="宋体" w:cs="Times New Roman"/>
        </w:rPr>
        <w:t>指导注射后可能出现的不良反应的自我观察，并及时与医护人员沟通。</w:t>
      </w:r>
    </w:p>
    <w:p w14:paraId="570AFCBF">
      <w:pPr>
        <w:pStyle w:val="185"/>
        <w:numPr>
          <w:ilvl w:val="0"/>
          <w:numId w:val="8"/>
        </w:numPr>
        <w:ind w:left="1321" w:hanging="442"/>
        <w:jc w:val="both"/>
        <w:rPr>
          <w:rFonts w:hint="eastAsia" w:ascii="Times New Roman" w:hAnsi="Times New Roman" w:eastAsia="宋体" w:cs="Times New Roman"/>
        </w:rPr>
      </w:pPr>
      <w:r>
        <w:rPr>
          <w:rFonts w:hint="eastAsia" w:ascii="Times New Roman" w:hAnsi="Times New Roman" w:eastAsia="宋体" w:cs="Times New Roman"/>
        </w:rPr>
        <w:t>教育患者离院后出现不良反应后的自救方法。指导患者随身常备抗组胺药，必要时自行服用。及时就近就医，并指导患者就医时与医护人员有效沟通，告知治疗用药时间、剂量及自行急救用药情况。</w:t>
      </w:r>
    </w:p>
    <w:p w14:paraId="022606B5">
      <w:pPr>
        <w:pStyle w:val="185"/>
        <w:numPr>
          <w:ilvl w:val="0"/>
          <w:numId w:val="8"/>
        </w:numPr>
        <w:ind w:left="1321" w:hanging="442"/>
        <w:jc w:val="both"/>
        <w:rPr>
          <w:rFonts w:hint="eastAsia" w:ascii="Times New Roman" w:hAnsi="Times New Roman" w:eastAsia="宋体" w:cs="Times New Roman"/>
        </w:rPr>
      </w:pPr>
      <w:r>
        <w:rPr>
          <w:rFonts w:hint="eastAsia" w:ascii="Times New Roman" w:hAnsi="Times New Roman" w:eastAsia="宋体" w:cs="Times New Roman"/>
        </w:rPr>
        <w:t>强调如患者离院后出现任何不适，在下次治疗评估时，如实告知医护人员。</w:t>
      </w:r>
    </w:p>
    <w:p w14:paraId="7294F434">
      <w:pPr>
        <w:pStyle w:val="185"/>
        <w:numPr>
          <w:ilvl w:val="0"/>
          <w:numId w:val="8"/>
        </w:numPr>
        <w:ind w:left="1321" w:hanging="442"/>
        <w:jc w:val="both"/>
        <w:rPr>
          <w:rFonts w:hint="eastAsia" w:ascii="Times New Roman" w:hAnsi="Times New Roman" w:eastAsia="宋体" w:cs="Times New Roman"/>
        </w:rPr>
      </w:pPr>
      <w:r>
        <w:rPr>
          <w:rFonts w:hint="eastAsia" w:ascii="Times New Roman" w:hAnsi="Times New Roman" w:eastAsia="宋体" w:cs="Times New Roman"/>
        </w:rPr>
        <w:t>儿童及青少年（18岁以下）必须有家长陪同，确保患儿安全，减少不良反应发生的危险因素，及时发现患儿不良反应以配合医护人员及时处理。</w:t>
      </w:r>
    </w:p>
    <w:p w14:paraId="0E604F89">
      <w:pPr>
        <w:pStyle w:val="185"/>
        <w:numPr>
          <w:ilvl w:val="0"/>
          <w:numId w:val="8"/>
        </w:numPr>
        <w:ind w:left="1321" w:hanging="442"/>
        <w:jc w:val="both"/>
        <w:rPr>
          <w:rFonts w:hint="eastAsia" w:ascii="Times New Roman" w:hAnsi="Times New Roman" w:eastAsia="宋体" w:cs="Times New Roman"/>
        </w:rPr>
      </w:pPr>
      <w:r>
        <w:rPr>
          <w:rFonts w:hint="eastAsia" w:ascii="Times New Roman" w:hAnsi="Times New Roman" w:eastAsia="宋体" w:cs="Times New Roman"/>
        </w:rPr>
        <w:t>药品2</w:t>
      </w:r>
      <w:r>
        <w:rPr>
          <w:rFonts w:ascii="Times New Roman" w:hAnsi="Times New Roman" w:eastAsia="宋体" w:cs="Times New Roman"/>
        </w:rPr>
        <w:t>℃</w:t>
      </w:r>
      <w:r>
        <w:rPr>
          <w:rFonts w:hint="eastAsia" w:ascii="Times New Roman" w:hAnsi="Times New Roman" w:eastAsia="宋体" w:cs="Times New Roman"/>
        </w:rPr>
        <w:t>-</w:t>
      </w:r>
      <w:r>
        <w:rPr>
          <w:rFonts w:hint="eastAsia" w:ascii="Times New Roman" w:hAnsi="Times New Roman" w:eastAsia="宋体" w:cs="Times New Roman"/>
        </w:rPr>
        <w:t>8℃冰箱冷藏储存，包裹严密，避免污染、冰冻、浸泡等。路途中可使用保温瓶、冰袋等物品保温，避免震荡。</w:t>
      </w:r>
    </w:p>
    <w:p w14:paraId="0999CA26">
      <w:pPr>
        <w:pStyle w:val="185"/>
        <w:numPr>
          <w:ilvl w:val="0"/>
          <w:numId w:val="8"/>
        </w:numPr>
        <w:ind w:left="1321" w:hanging="442"/>
        <w:jc w:val="both"/>
        <w:rPr>
          <w:rFonts w:hint="eastAsia" w:ascii="Times New Roman" w:hAnsi="Times New Roman" w:eastAsia="宋体" w:cs="Times New Roman"/>
        </w:rPr>
      </w:pPr>
      <w:r>
        <w:rPr>
          <w:rFonts w:hint="eastAsia" w:ascii="Times New Roman" w:hAnsi="Times New Roman" w:eastAsia="宋体" w:cs="Times New Roman"/>
        </w:rPr>
        <w:t>建议患者根据医嘱及个人疾病状况，每6</w:t>
      </w:r>
      <w:r>
        <w:rPr>
          <w:rFonts w:ascii="Times New Roman" w:hAnsi="Times New Roman" w:eastAsia="宋体" w:cs="Times New Roman"/>
        </w:rPr>
        <w:t>个月</w:t>
      </w:r>
      <w:r>
        <w:rPr>
          <w:rFonts w:hint="eastAsia" w:ascii="Times New Roman" w:hAnsi="Times New Roman" w:eastAsia="宋体" w:cs="Times New Roman"/>
        </w:rPr>
        <w:t>-</w:t>
      </w:r>
      <w:r>
        <w:rPr>
          <w:rFonts w:hint="eastAsia" w:ascii="Times New Roman" w:hAnsi="Times New Roman" w:eastAsia="宋体" w:cs="Times New Roman"/>
        </w:rPr>
        <w:t>12</w:t>
      </w:r>
      <w:bookmarkStart w:id="18" w:name="OLE_LINK5"/>
      <w:r>
        <w:rPr>
          <w:rFonts w:hint="eastAsia" w:ascii="Times New Roman" w:hAnsi="Times New Roman" w:eastAsia="宋体" w:cs="Times New Roman"/>
        </w:rPr>
        <w:t>个月</w:t>
      </w:r>
      <w:bookmarkEnd w:id="18"/>
      <w:r>
        <w:rPr>
          <w:rFonts w:hint="eastAsia" w:ascii="Times New Roman" w:hAnsi="Times New Roman" w:eastAsia="宋体" w:cs="Times New Roman"/>
        </w:rPr>
        <w:t>复查。</w:t>
      </w:r>
    </w:p>
    <w:p w14:paraId="24E525D7">
      <w:pPr>
        <w:pStyle w:val="185"/>
        <w:numPr>
          <w:ilvl w:val="0"/>
          <w:numId w:val="8"/>
        </w:numPr>
        <w:ind w:left="1321" w:hanging="442"/>
        <w:jc w:val="both"/>
        <w:rPr>
          <w:rFonts w:hint="eastAsia" w:ascii="Times New Roman" w:hAnsi="Times New Roman" w:eastAsia="宋体" w:cs="Times New Roman"/>
        </w:rPr>
      </w:pPr>
      <w:r>
        <w:rPr>
          <w:rFonts w:hint="eastAsia" w:ascii="Times New Roman" w:hAnsi="Times New Roman" w:eastAsia="宋体" w:cs="Times New Roman"/>
        </w:rPr>
        <w:t>预脱落患者指导：发现患者有脱落迹象，及时沟通，寻找原因，给予指导并协助患者解决困难。多种方式鼓励患者规律治疗。</w:t>
      </w:r>
    </w:p>
    <w:p w14:paraId="289A7A8A">
      <w:pPr>
        <w:pStyle w:val="185"/>
        <w:numPr>
          <w:ilvl w:val="0"/>
          <w:numId w:val="8"/>
        </w:numPr>
        <w:ind w:left="1321" w:hanging="442"/>
        <w:jc w:val="both"/>
        <w:rPr>
          <w:rFonts w:hint="eastAsia" w:ascii="Times New Roman" w:hAnsi="Times New Roman" w:eastAsia="宋体" w:cs="Times New Roman"/>
        </w:rPr>
      </w:pPr>
      <w:r>
        <w:rPr>
          <w:rFonts w:hint="eastAsia" w:ascii="Times New Roman" w:hAnsi="Times New Roman" w:eastAsia="宋体" w:cs="Times New Roman"/>
        </w:rPr>
        <w:t>护士应根据临床出现的具体情况及患者反馈，不断补充、更新宣教内容。</w:t>
      </w:r>
    </w:p>
    <w:p w14:paraId="36F5F166">
      <w:pPr>
        <w:spacing w:before="156" w:after="156"/>
        <w:jc w:val="left"/>
        <w:rPr>
          <w:rFonts w:hint="eastAsia" w:ascii="黑体" w:hAnsi="黑体" w:eastAsia="黑体" w:cstheme="minorEastAsia"/>
          <w:position w:val="-24"/>
          <w:szCs w:val="21"/>
        </w:rPr>
      </w:pPr>
      <w:r>
        <w:rPr>
          <w:rFonts w:hint="eastAsia" w:ascii="黑体" w:hAnsi="黑体" w:eastAsia="黑体" w:cstheme="minorEastAsia"/>
          <w:position w:val="-24"/>
          <w:szCs w:val="21"/>
        </w:rPr>
        <w:t>6.6 生物制剂类药物的配制与治疗</w:t>
      </w:r>
    </w:p>
    <w:p w14:paraId="7EBF2B7A">
      <w:pPr>
        <w:ind w:firstLine="420"/>
        <w:jc w:val="left"/>
        <w:rPr>
          <w:rFonts w:hint="eastAsia" w:ascii="Times New Roman" w:hAnsi="Times New Roman" w:eastAsia="宋体" w:cs="Times New Roman"/>
          <w:position w:val="-24"/>
          <w:szCs w:val="21"/>
        </w:rPr>
      </w:pPr>
      <w:r>
        <w:rPr>
          <w:rFonts w:hint="eastAsia" w:ascii="Times New Roman" w:hAnsi="Times New Roman" w:eastAsia="宋体" w:cs="Times New Roman"/>
          <w:position w:val="-24"/>
          <w:szCs w:val="21"/>
        </w:rPr>
        <w:t>生物制剂类药物是近一二十年用于过敏性疾病治疗的药物，对于某些过敏性疾病进展较快，对传统药物治疗不佳的患者，选择生物制剂治疗的越来越多。生物制剂通过特异性抑制过敏反应中的关键步骤有效控制过敏症状，且比传统药物药效更长，可与传统药物配合使用。目前多采用注射给药，临床使用有预充针及粉针剂两种，粉针剂药物需要配制且配制时间长，要求高，需要护士操作规范。</w:t>
      </w:r>
    </w:p>
    <w:p w14:paraId="665F2F6A">
      <w:pPr>
        <w:pStyle w:val="185"/>
        <w:numPr>
          <w:ilvl w:val="0"/>
          <w:numId w:val="9"/>
        </w:numPr>
        <w:ind w:left="879" w:hanging="442"/>
        <w:rPr>
          <w:rFonts w:hint="eastAsia" w:ascii="Times New Roman" w:hAnsi="Times New Roman" w:eastAsia="宋体" w:cs="Times New Roman"/>
        </w:rPr>
      </w:pPr>
      <w:r>
        <w:rPr>
          <w:rFonts w:hint="eastAsia" w:ascii="Times New Roman" w:hAnsi="Times New Roman" w:eastAsia="宋体" w:cs="Times New Roman"/>
        </w:rPr>
        <w:t>门诊患者，在医生开具医嘱后，药房取药，护士严格核对患者信息及药物名称、剂量。因目前临床在用生物制剂通用名称相同，但商品名不同，护士核对时，一定仔细核对通用名称及商品名。</w:t>
      </w:r>
    </w:p>
    <w:p w14:paraId="379F31EC">
      <w:pPr>
        <w:pStyle w:val="185"/>
        <w:numPr>
          <w:ilvl w:val="0"/>
          <w:numId w:val="9"/>
        </w:numPr>
        <w:ind w:left="879" w:hanging="442"/>
        <w:rPr>
          <w:rFonts w:hint="eastAsia" w:ascii="Times New Roman" w:hAnsi="Times New Roman" w:eastAsia="宋体" w:cs="Times New Roman"/>
        </w:rPr>
      </w:pPr>
      <w:r>
        <w:rPr>
          <w:rFonts w:hint="eastAsia" w:ascii="Times New Roman" w:hAnsi="Times New Roman" w:eastAsia="宋体" w:cs="Times New Roman"/>
        </w:rPr>
        <w:t>粉针剂生物制剂药物配制过程需严格按照说明书方法配制，因一些生物制剂在配制时需抽出溶媒注入粉针剂中溶解，溶解后抽出注射量与注入溶媒量不同，为保证注射剂量的准确，需严格按说明书配制。因而，新的生物制剂使用前，应认真阅读说明书配制方法。</w:t>
      </w:r>
    </w:p>
    <w:p w14:paraId="6267C6DC">
      <w:pPr>
        <w:pStyle w:val="185"/>
        <w:numPr>
          <w:ilvl w:val="0"/>
          <w:numId w:val="9"/>
        </w:numPr>
        <w:ind w:left="879" w:hanging="442"/>
        <w:rPr>
          <w:rFonts w:hint="eastAsia" w:ascii="Times New Roman" w:hAnsi="Times New Roman" w:eastAsia="宋体" w:cs="Times New Roman"/>
        </w:rPr>
      </w:pPr>
      <w:r>
        <w:rPr>
          <w:rFonts w:hint="eastAsia" w:ascii="Times New Roman" w:hAnsi="Times New Roman" w:eastAsia="宋体" w:cs="Times New Roman"/>
        </w:rPr>
        <w:t>粉针剂生物制剂配制过程中，将一定量溶媒注入粉针剂后，多不能很快溶解，因而需要旋转溶解，避免用力上下颠倒摇晃药物及剧烈震荡，建议使用专用的溶药用震荡仪，保证药物质量。</w:t>
      </w:r>
    </w:p>
    <w:p w14:paraId="7A36D413">
      <w:pPr>
        <w:pStyle w:val="185"/>
        <w:numPr>
          <w:ilvl w:val="0"/>
          <w:numId w:val="9"/>
        </w:numPr>
        <w:ind w:left="879" w:hanging="442"/>
        <w:rPr>
          <w:rFonts w:hint="eastAsia" w:ascii="Times New Roman" w:hAnsi="Times New Roman" w:eastAsia="宋体" w:cs="Times New Roman"/>
        </w:rPr>
      </w:pPr>
      <w:r>
        <w:rPr>
          <w:rFonts w:hint="eastAsia" w:ascii="Times New Roman" w:hAnsi="Times New Roman" w:eastAsia="宋体" w:cs="Times New Roman"/>
        </w:rPr>
        <w:t>粉针剂配制方法：</w:t>
      </w:r>
    </w:p>
    <w:p w14:paraId="06493ED6">
      <w:pPr>
        <w:pStyle w:val="185"/>
        <w:numPr>
          <w:ilvl w:val="1"/>
          <w:numId w:val="2"/>
        </w:numPr>
        <w:ind w:left="1321" w:hanging="442"/>
        <w:rPr>
          <w:rFonts w:hint="eastAsia" w:ascii="Times New Roman" w:hAnsi="Times New Roman" w:eastAsia="宋体" w:cs="Times New Roman"/>
        </w:rPr>
      </w:pPr>
      <w:r>
        <w:rPr>
          <w:rFonts w:hint="eastAsia" w:ascii="Times New Roman" w:hAnsi="Times New Roman" w:eastAsia="宋体" w:cs="Times New Roman"/>
        </w:rPr>
        <w:t>核对药物无误后，检查溶媒及粉针剂的质量及效期，消毒瓶口。</w:t>
      </w:r>
    </w:p>
    <w:p w14:paraId="4FCDDC23">
      <w:pPr>
        <w:pStyle w:val="185"/>
        <w:numPr>
          <w:ilvl w:val="1"/>
          <w:numId w:val="2"/>
        </w:numPr>
        <w:ind w:left="1321" w:hanging="442"/>
        <w:rPr>
          <w:rFonts w:hint="eastAsia" w:ascii="Times New Roman" w:hAnsi="Times New Roman" w:eastAsia="宋体" w:cs="Times New Roman"/>
        </w:rPr>
      </w:pPr>
      <w:r>
        <w:rPr>
          <w:rFonts w:hint="eastAsia" w:ascii="Times New Roman" w:hAnsi="Times New Roman" w:eastAsia="宋体" w:cs="Times New Roman"/>
        </w:rPr>
        <w:t>按说明书要求剂量抽取溶媒，缓慢注入粉针剂中，轻轻旋转药物，使溶媒与粉剂充分混合，确保药物溶解时间及质量。</w:t>
      </w:r>
    </w:p>
    <w:p w14:paraId="19A95B85">
      <w:pPr>
        <w:pStyle w:val="185"/>
        <w:numPr>
          <w:ilvl w:val="1"/>
          <w:numId w:val="2"/>
        </w:numPr>
        <w:ind w:left="1321" w:hanging="442"/>
        <w:rPr>
          <w:rFonts w:hint="eastAsia" w:ascii="Times New Roman" w:hAnsi="Times New Roman" w:eastAsia="宋体" w:cs="Times New Roman"/>
        </w:rPr>
      </w:pPr>
      <w:r>
        <w:rPr>
          <w:rFonts w:hint="eastAsia" w:ascii="Times New Roman" w:hAnsi="Times New Roman" w:eastAsia="宋体" w:cs="Times New Roman"/>
        </w:rPr>
        <w:t>将药物放入药物震荡仪，设定时间，具体时间以药物说明书推荐时间为参考。</w:t>
      </w:r>
    </w:p>
    <w:p w14:paraId="56E7D90D">
      <w:pPr>
        <w:pStyle w:val="185"/>
        <w:numPr>
          <w:ilvl w:val="1"/>
          <w:numId w:val="2"/>
        </w:numPr>
        <w:ind w:left="1321" w:hanging="442"/>
        <w:rPr>
          <w:rFonts w:hint="eastAsia" w:ascii="Times New Roman" w:hAnsi="Times New Roman" w:eastAsia="宋体" w:cs="Times New Roman"/>
        </w:rPr>
      </w:pPr>
      <w:r>
        <w:rPr>
          <w:rFonts w:hint="eastAsia" w:ascii="Times New Roman" w:hAnsi="Times New Roman" w:eastAsia="宋体" w:cs="Times New Roman"/>
        </w:rPr>
        <w:t>震荡结束后，根据药物具体情况，静置数分钟，药物无小气泡后检查药物无粉末漂浮，确保充分溶解。如溶解不充分，可适当增加震荡时间，至溶解充分。溶解不充分影响治疗效果，增加不良反应的发生。</w:t>
      </w:r>
    </w:p>
    <w:p w14:paraId="6854DF27">
      <w:pPr>
        <w:pStyle w:val="185"/>
        <w:numPr>
          <w:ilvl w:val="1"/>
          <w:numId w:val="2"/>
        </w:numPr>
        <w:ind w:left="1321" w:hanging="442"/>
        <w:rPr>
          <w:rFonts w:hint="eastAsia" w:ascii="Times New Roman" w:hAnsi="Times New Roman" w:eastAsia="宋体" w:cs="Times New Roman"/>
        </w:rPr>
      </w:pPr>
      <w:r>
        <w:rPr>
          <w:rFonts w:hint="eastAsia" w:ascii="Times New Roman" w:hAnsi="Times New Roman" w:eastAsia="宋体" w:cs="Times New Roman"/>
        </w:rPr>
        <w:t>震荡结束后，静置至无小气泡，药液清亮。将安瓿倒立，使药液充分流至瓶口，尽量减少药品在瓶壁的存留，保证溶解后药量充足。按药品说明书量抽吸至空针中。</w:t>
      </w:r>
    </w:p>
    <w:p w14:paraId="607D4635">
      <w:pPr>
        <w:pStyle w:val="185"/>
        <w:numPr>
          <w:ilvl w:val="0"/>
          <w:numId w:val="9"/>
        </w:numPr>
        <w:ind w:left="879" w:hanging="442"/>
        <w:rPr>
          <w:rFonts w:hint="eastAsia" w:ascii="Times New Roman" w:hAnsi="Times New Roman" w:eastAsia="宋体" w:cs="Times New Roman"/>
        </w:rPr>
      </w:pPr>
      <w:r>
        <w:rPr>
          <w:rFonts w:hint="eastAsia" w:ascii="Times New Roman" w:hAnsi="Times New Roman" w:eastAsia="宋体" w:cs="Times New Roman"/>
        </w:rPr>
        <w:t>注射方法：</w:t>
      </w:r>
    </w:p>
    <w:p w14:paraId="09408060">
      <w:pPr>
        <w:pStyle w:val="185"/>
        <w:numPr>
          <w:ilvl w:val="1"/>
          <w:numId w:val="10"/>
        </w:numPr>
        <w:ind w:left="1321" w:hanging="442"/>
        <w:rPr>
          <w:rFonts w:hint="eastAsia" w:ascii="Times New Roman" w:hAnsi="Times New Roman" w:eastAsia="宋体" w:cs="Times New Roman"/>
        </w:rPr>
      </w:pPr>
      <w:r>
        <w:rPr>
          <w:rFonts w:hint="eastAsia" w:ascii="Times New Roman" w:hAnsi="Times New Roman" w:eastAsia="宋体" w:cs="Times New Roman"/>
        </w:rPr>
        <w:t>再次核对患者信息及药品名称、剂量、效期、质量。预充针检查药品完好，针头无弯折。粉针剂药物检查充分溶解并用药量准确。</w:t>
      </w:r>
    </w:p>
    <w:p w14:paraId="30EA7520">
      <w:pPr>
        <w:pStyle w:val="185"/>
        <w:ind w:left="1321" w:hanging="442"/>
        <w:rPr>
          <w:rFonts w:hint="eastAsia" w:ascii="Times New Roman" w:hAnsi="Times New Roman" w:eastAsia="宋体" w:cs="Times New Roman"/>
        </w:rPr>
      </w:pPr>
      <w:r>
        <w:rPr>
          <w:rFonts w:hint="eastAsia" w:ascii="Times New Roman" w:hAnsi="Times New Roman" w:eastAsia="宋体" w:cs="Times New Roman"/>
        </w:rPr>
        <w:t>评估患者注射部位的局部情况，首选上臂三角肌下缘，如有特殊情况，可选择大腿外侧或腹部。评估局部无红肿硬结，以穿刺点为中心酒精消毒皮肤。</w:t>
      </w:r>
    </w:p>
    <w:p w14:paraId="43287245">
      <w:pPr>
        <w:pStyle w:val="185"/>
        <w:ind w:left="1321" w:hanging="442"/>
        <w:rPr>
          <w:rFonts w:hint="eastAsia" w:ascii="Times New Roman" w:hAnsi="Times New Roman" w:eastAsia="宋体" w:cs="Times New Roman"/>
        </w:rPr>
      </w:pPr>
      <w:r>
        <w:rPr>
          <w:rFonts w:hint="eastAsia" w:ascii="Times New Roman" w:hAnsi="Times New Roman" w:eastAsia="宋体" w:cs="Times New Roman"/>
        </w:rPr>
        <w:t>目前生物制剂类药物多采用皮下注射操作。为减轻注射时疼痛，预充针针头多细小，推注时避免移动位置。粉针剂因药物粘稠，推注需较用力，推注时注意掌握速度，匀速慢推，避免用力过度，造成注射器与针头连接处分离，影响药物剂量。</w:t>
      </w:r>
    </w:p>
    <w:p w14:paraId="12672EB6">
      <w:pPr>
        <w:pStyle w:val="185"/>
        <w:ind w:left="1321" w:hanging="442"/>
        <w:rPr>
          <w:rFonts w:hint="eastAsia" w:ascii="Times New Roman" w:hAnsi="Times New Roman" w:eastAsia="宋体" w:cs="Times New Roman"/>
        </w:rPr>
      </w:pPr>
      <w:r>
        <w:rPr>
          <w:rFonts w:hint="eastAsia" w:ascii="Times New Roman" w:hAnsi="Times New Roman" w:eastAsia="宋体" w:cs="Times New Roman"/>
        </w:rPr>
        <w:t>推注结束，停留6秒，保证药物充分进入皮下。</w:t>
      </w:r>
    </w:p>
    <w:p w14:paraId="23319E7D">
      <w:pPr>
        <w:pStyle w:val="185"/>
        <w:ind w:left="1321" w:hanging="442"/>
        <w:rPr>
          <w:rFonts w:hint="eastAsia" w:ascii="Times New Roman" w:hAnsi="Times New Roman" w:eastAsia="宋体" w:cs="Times New Roman"/>
        </w:rPr>
      </w:pPr>
      <w:r>
        <w:rPr>
          <w:rFonts w:hint="eastAsia" w:ascii="Times New Roman" w:hAnsi="Times New Roman" w:eastAsia="宋体" w:cs="Times New Roman"/>
        </w:rPr>
        <w:t>拔出注射器，嘱患者局部按压。</w:t>
      </w:r>
    </w:p>
    <w:p w14:paraId="31BBB06C">
      <w:pPr>
        <w:pStyle w:val="185"/>
        <w:ind w:left="1321" w:hanging="442"/>
        <w:rPr>
          <w:rFonts w:hint="eastAsia" w:ascii="Times New Roman" w:hAnsi="Times New Roman" w:eastAsia="宋体" w:cs="Times New Roman"/>
        </w:rPr>
      </w:pPr>
      <w:r>
        <w:rPr>
          <w:rFonts w:hint="eastAsia" w:ascii="Times New Roman" w:hAnsi="Times New Roman" w:eastAsia="宋体" w:cs="Times New Roman"/>
        </w:rPr>
        <w:t>根据使用的注射器不同，按医用垃圾及锐器桶分类处理。</w:t>
      </w:r>
    </w:p>
    <w:p w14:paraId="49596BB8">
      <w:pPr>
        <w:pStyle w:val="185"/>
        <w:numPr>
          <w:ilvl w:val="0"/>
          <w:numId w:val="9"/>
        </w:numPr>
        <w:ind w:left="879" w:hanging="442"/>
        <w:rPr>
          <w:rFonts w:hint="eastAsia" w:ascii="Times New Roman" w:hAnsi="Times New Roman" w:eastAsia="宋体" w:cs="Times New Roman"/>
        </w:rPr>
      </w:pPr>
      <w:r>
        <w:rPr>
          <w:rFonts w:hint="eastAsia" w:ascii="Times New Roman" w:hAnsi="Times New Roman" w:eastAsia="宋体" w:cs="Times New Roman"/>
        </w:rPr>
        <w:t>注射后，再次核对患者信息及药品信息无误，在系统中执行医嘱。</w:t>
      </w:r>
    </w:p>
    <w:p w14:paraId="7E119C9E">
      <w:pPr>
        <w:pStyle w:val="185"/>
        <w:numPr>
          <w:ilvl w:val="0"/>
          <w:numId w:val="9"/>
        </w:numPr>
        <w:ind w:left="879" w:hanging="442"/>
        <w:rPr>
          <w:rFonts w:hint="eastAsia" w:ascii="Times New Roman" w:hAnsi="Times New Roman" w:eastAsia="宋体" w:cs="Times New Roman"/>
        </w:rPr>
      </w:pPr>
      <w:r>
        <w:rPr>
          <w:rFonts w:hint="eastAsia" w:ascii="Times New Roman" w:hAnsi="Times New Roman" w:eastAsia="宋体" w:cs="Times New Roman"/>
        </w:rPr>
        <w:t>根据药物说明书要求时间嘱患者留观。留观后护士及医生评估患者无不良反应，给予患者健康宣教。</w:t>
      </w:r>
    </w:p>
    <w:p w14:paraId="561E8111">
      <w:pPr>
        <w:spacing w:before="156" w:after="156"/>
        <w:jc w:val="left"/>
        <w:rPr>
          <w:rFonts w:hint="eastAsia" w:ascii="黑体" w:hAnsi="黑体" w:eastAsia="黑体" w:cstheme="minorEastAsia"/>
          <w:position w:val="-24"/>
          <w:szCs w:val="21"/>
        </w:rPr>
      </w:pPr>
      <w:r>
        <w:rPr>
          <w:rFonts w:hint="eastAsia" w:ascii="黑体" w:hAnsi="黑体" w:eastAsia="黑体" w:cstheme="minorEastAsia"/>
          <w:position w:val="-24"/>
          <w:szCs w:val="21"/>
        </w:rPr>
        <w:t>6.7 变应原特异性免疫治疗（脱敏治疗）药物的配制与保管</w:t>
      </w:r>
    </w:p>
    <w:p w14:paraId="61740E7F">
      <w:pPr>
        <w:rPr>
          <w:rFonts w:ascii="黑体" w:hAnsi="黑体" w:eastAsia="黑体" w:cs="Times New Roman"/>
          <w:position w:val="-24"/>
          <w:szCs w:val="21"/>
        </w:rPr>
      </w:pPr>
      <w:r>
        <w:rPr>
          <w:rFonts w:ascii="黑体" w:hAnsi="黑体" w:eastAsia="黑体" w:cs="Times New Roman"/>
          <w:position w:val="-24"/>
          <w:szCs w:val="21"/>
        </w:rPr>
        <w:t xml:space="preserve">6.7.1 </w:t>
      </w:r>
      <w:r>
        <w:rPr>
          <w:rFonts w:hint="eastAsia" w:ascii="黑体" w:hAnsi="黑体" w:eastAsia="黑体" w:cs="Times New Roman"/>
          <w:position w:val="-24"/>
          <w:szCs w:val="21"/>
        </w:rPr>
        <w:t>物品准备</w:t>
      </w:r>
    </w:p>
    <w:p w14:paraId="36A66A16">
      <w:pPr>
        <w:ind w:firstLine="420"/>
        <w:jc w:val="both"/>
        <w:rPr>
          <w:rFonts w:hint="eastAsia" w:ascii="Times New Roman" w:hAnsi="Times New Roman" w:eastAsia="宋体" w:cs="Times New Roman"/>
          <w:position w:val="-24"/>
          <w:szCs w:val="21"/>
        </w:rPr>
      </w:pPr>
      <w:r>
        <w:rPr>
          <w:rFonts w:hint="eastAsia" w:ascii="Times New Roman" w:hAnsi="Times New Roman" w:eastAsia="宋体" w:cs="Times New Roman"/>
          <w:position w:val="-24"/>
          <w:szCs w:val="21"/>
        </w:rPr>
        <w:t>需配制的变应原、溶媒（9ml/瓶）、一次性注射器、一次性注射针头、无菌棉签、75%酒精、电脑、打印机、治疗单、瓶签、消毒好的配药柜、冰箱、锐器桶、生活垃圾及医用垃圾袋。</w:t>
      </w:r>
    </w:p>
    <w:p w14:paraId="68CFC906">
      <w:pPr>
        <w:jc w:val="both"/>
        <w:rPr>
          <w:rFonts w:hint="eastAsia" w:ascii="黑体" w:hAnsi="黑体" w:eastAsia="黑体" w:cs="Times New Roman"/>
          <w:position w:val="-24"/>
          <w:szCs w:val="21"/>
        </w:rPr>
      </w:pPr>
      <w:r>
        <w:rPr>
          <w:rFonts w:hint="eastAsia" w:ascii="黑体" w:hAnsi="黑体" w:eastAsia="黑体" w:cs="Times New Roman"/>
          <w:position w:val="-24"/>
          <w:szCs w:val="21"/>
        </w:rPr>
        <w:t xml:space="preserve">6.7.2 </w:t>
      </w:r>
      <w:r>
        <w:rPr>
          <w:rFonts w:hint="eastAsia" w:ascii="黑体" w:hAnsi="黑体" w:eastAsia="黑体" w:cs="Times New Roman"/>
          <w:position w:val="-24"/>
          <w:szCs w:val="21"/>
        </w:rPr>
        <w:t>操作步骤</w:t>
      </w:r>
    </w:p>
    <w:p w14:paraId="135DD85A">
      <w:pPr>
        <w:pStyle w:val="185"/>
        <w:numPr>
          <w:ilvl w:val="0"/>
          <w:numId w:val="11"/>
        </w:numPr>
        <w:ind w:hanging="442"/>
        <w:jc w:val="both"/>
        <w:rPr>
          <w:rFonts w:hint="eastAsia" w:ascii="Times New Roman" w:hAnsi="Times New Roman" w:eastAsia="宋体" w:cs="Times New Roman"/>
        </w:rPr>
      </w:pPr>
      <w:r>
        <w:rPr>
          <w:rFonts w:hint="eastAsia" w:ascii="Times New Roman" w:hAnsi="Times New Roman" w:eastAsia="宋体" w:cs="Times New Roman"/>
        </w:rPr>
        <w:t>配药室工作前，应准备好当日配药所需物品，配药柜清洁消毒通风，检查药品冰箱情况，自冰箱中取出配药用变应原母液并核对变应原母液名称、浓度、顺序、效期。</w:t>
      </w:r>
    </w:p>
    <w:p w14:paraId="743549C6">
      <w:pPr>
        <w:pStyle w:val="185"/>
        <w:numPr>
          <w:ilvl w:val="0"/>
          <w:numId w:val="11"/>
        </w:numPr>
        <w:ind w:hanging="442"/>
        <w:jc w:val="both"/>
        <w:rPr>
          <w:rFonts w:hint="eastAsia" w:ascii="Times New Roman" w:hAnsi="Times New Roman" w:eastAsia="宋体" w:cs="Times New Roman"/>
        </w:rPr>
      </w:pPr>
      <w:r>
        <w:rPr>
          <w:rFonts w:hint="eastAsia" w:ascii="Times New Roman" w:hAnsi="Times New Roman" w:eastAsia="宋体" w:cs="Times New Roman"/>
        </w:rPr>
        <w:t>变应原母液使用效期，除变应原药品瓶身标注有效期外，标记开启日期，开启后根据变应原母液浓度不同，有效期不同：变应原原液有效为半年，1：10变应原稀释液为3个月，1：100变应原稀释液为2个月，1：1000变应原稀释液为1个月，1：10000以下浓度的变应原稀释液应为新鲜配置。配药用变应原母液瓶签使用不同颜色标签区分（例如：原液为红色标签，1:10为橘色标签，1:100为粉色，1:1000为黄色等）</w:t>
      </w:r>
    </w:p>
    <w:p w14:paraId="726A78FF">
      <w:pPr>
        <w:pStyle w:val="185"/>
        <w:numPr>
          <w:ilvl w:val="0"/>
          <w:numId w:val="11"/>
        </w:numPr>
        <w:ind w:hanging="442"/>
        <w:jc w:val="both"/>
        <w:rPr>
          <w:rFonts w:hint="eastAsia" w:ascii="Times New Roman" w:hAnsi="Times New Roman" w:eastAsia="宋体" w:cs="Times New Roman"/>
        </w:rPr>
      </w:pPr>
      <w:r>
        <w:rPr>
          <w:rFonts w:hint="eastAsia" w:ascii="Times New Roman" w:hAnsi="Times New Roman" w:eastAsia="宋体" w:cs="Times New Roman"/>
        </w:rPr>
        <w:t>医生开具医嘱后，患者如当日取药，需完成报到，如不能当日取药，需在取药日报到。为保证患者安全，取药日不超过医嘱日后两周。取药间隔时间过长，有可能需调整使用剂量。为保证患者安全，超过两周需要医生再次确认浓度、剂量是否适用。</w:t>
      </w:r>
    </w:p>
    <w:p w14:paraId="6A1003AE">
      <w:pPr>
        <w:pStyle w:val="185"/>
        <w:numPr>
          <w:ilvl w:val="0"/>
          <w:numId w:val="11"/>
        </w:numPr>
        <w:ind w:hanging="442"/>
        <w:jc w:val="both"/>
        <w:rPr>
          <w:rFonts w:hint="eastAsia" w:ascii="Times New Roman" w:hAnsi="Times New Roman" w:eastAsia="宋体" w:cs="Times New Roman"/>
        </w:rPr>
      </w:pPr>
      <w:r>
        <w:rPr>
          <w:rFonts w:hint="eastAsia" w:ascii="Times New Roman" w:hAnsi="Times New Roman" w:eastAsia="宋体" w:cs="Times New Roman"/>
        </w:rPr>
        <w:t>药房接收到报到的医嘱，应打印治疗单及瓶签。治疗单打印内容包括患者姓名、年龄、性别、ID号、诊断、药物名称、药物浓度、药物每次注射剂量、医生姓名、配制人员姓名、发药人员姓名、配制日期，并印有相关注意事项。瓶签打印内容包括患者姓名、ID号、药瓶号（代表药物浓度，例如</w:t>
      </w:r>
      <w:bookmarkStart w:id="19" w:name="_Hlk193305192"/>
      <w:r>
        <w:rPr>
          <w:rFonts w:hint="eastAsia" w:ascii="Times New Roman" w:hAnsi="Times New Roman" w:eastAsia="宋体" w:cs="Times New Roman"/>
        </w:rPr>
        <w:t>1：100标记为“2”号瓶，</w:t>
      </w:r>
      <w:bookmarkEnd w:id="19"/>
      <w:r>
        <w:rPr>
          <w:rFonts w:hint="eastAsia" w:ascii="Times New Roman" w:hAnsi="Times New Roman" w:eastAsia="宋体" w:cs="Times New Roman"/>
        </w:rPr>
        <w:t>1：1000标记为“3”号瓶，依此类推标记4、5、6……）、药物名称、配制日期、到期日期。</w:t>
      </w:r>
    </w:p>
    <w:p w14:paraId="703343D5">
      <w:pPr>
        <w:pStyle w:val="185"/>
        <w:numPr>
          <w:ilvl w:val="0"/>
          <w:numId w:val="11"/>
        </w:numPr>
        <w:ind w:hanging="442"/>
        <w:jc w:val="both"/>
        <w:rPr>
          <w:rFonts w:hint="eastAsia" w:ascii="Times New Roman" w:hAnsi="Times New Roman" w:eastAsia="宋体" w:cs="Times New Roman"/>
        </w:rPr>
      </w:pPr>
      <w:r>
        <w:rPr>
          <w:rFonts w:hint="eastAsia" w:ascii="Times New Roman" w:hAnsi="Times New Roman" w:eastAsia="宋体" w:cs="Times New Roman"/>
        </w:rPr>
        <w:t>打印后，护士应核对医嘱、治疗单、瓶签三单内容一致。</w:t>
      </w:r>
    </w:p>
    <w:p w14:paraId="48A8DC1B">
      <w:pPr>
        <w:pStyle w:val="185"/>
        <w:numPr>
          <w:ilvl w:val="0"/>
          <w:numId w:val="11"/>
        </w:numPr>
        <w:ind w:hanging="442"/>
        <w:jc w:val="both"/>
        <w:rPr>
          <w:rFonts w:hint="eastAsia" w:ascii="Times New Roman" w:hAnsi="Times New Roman" w:eastAsia="宋体" w:cs="Times New Roman"/>
        </w:rPr>
      </w:pPr>
      <w:r>
        <w:rPr>
          <w:rFonts w:hint="eastAsia" w:ascii="Times New Roman" w:hAnsi="Times New Roman" w:eastAsia="宋体" w:cs="Times New Roman"/>
        </w:rPr>
        <w:t>因脱敏治疗药物为个性化药物，根据患者过敏原不同，配制脱敏治疗药物成分、浓度各不相同。发药护士负责准备配制用相应浓度的变应原稀释液母液，与治疗单、瓶签一起交予配药护士。</w:t>
      </w:r>
    </w:p>
    <w:p w14:paraId="3AE1A2AF">
      <w:pPr>
        <w:pStyle w:val="185"/>
        <w:numPr>
          <w:ilvl w:val="0"/>
          <w:numId w:val="11"/>
        </w:numPr>
        <w:ind w:hanging="442"/>
        <w:jc w:val="both"/>
        <w:rPr>
          <w:rFonts w:hint="eastAsia" w:ascii="Times New Roman" w:hAnsi="Times New Roman" w:eastAsia="宋体" w:cs="Times New Roman"/>
        </w:rPr>
      </w:pPr>
      <w:r>
        <w:rPr>
          <w:rFonts w:hint="eastAsia" w:ascii="Times New Roman" w:hAnsi="Times New Roman" w:eastAsia="宋体" w:cs="Times New Roman"/>
        </w:rPr>
        <w:t>配药护士再次核对治疗单、瓶签及准备好的变应原稀释液名称、浓度、日期，无误后开始配药。</w:t>
      </w:r>
    </w:p>
    <w:p w14:paraId="7A337D6F">
      <w:pPr>
        <w:pStyle w:val="185"/>
        <w:numPr>
          <w:ilvl w:val="0"/>
          <w:numId w:val="11"/>
        </w:numPr>
        <w:ind w:hanging="442"/>
        <w:jc w:val="both"/>
        <w:rPr>
          <w:rFonts w:hint="eastAsia" w:ascii="Times New Roman" w:hAnsi="Times New Roman" w:eastAsia="宋体" w:cs="Times New Roman"/>
        </w:rPr>
      </w:pPr>
      <w:r>
        <w:rPr>
          <w:rFonts w:hint="eastAsia" w:ascii="Times New Roman" w:hAnsi="Times New Roman" w:eastAsia="宋体" w:cs="Times New Roman"/>
        </w:rPr>
        <w:t>准备相应数量的9ml溶媒，并核对效期。</w:t>
      </w:r>
    </w:p>
    <w:p w14:paraId="518565BE">
      <w:pPr>
        <w:pStyle w:val="185"/>
        <w:numPr>
          <w:ilvl w:val="0"/>
          <w:numId w:val="11"/>
        </w:numPr>
        <w:ind w:hanging="442"/>
        <w:jc w:val="both"/>
        <w:rPr>
          <w:rFonts w:hint="eastAsia" w:ascii="Times New Roman" w:hAnsi="Times New Roman" w:eastAsia="宋体" w:cs="Times New Roman"/>
        </w:rPr>
      </w:pPr>
      <w:r>
        <w:rPr>
          <w:rFonts w:hint="eastAsia" w:ascii="Times New Roman" w:hAnsi="Times New Roman" w:eastAsia="宋体" w:cs="Times New Roman"/>
        </w:rPr>
        <w:t>75%酒精棉签消毒母液及溶媒瓶口3次。</w:t>
      </w:r>
    </w:p>
    <w:p w14:paraId="5B2A896C">
      <w:pPr>
        <w:pStyle w:val="185"/>
        <w:numPr>
          <w:ilvl w:val="0"/>
          <w:numId w:val="11"/>
        </w:numPr>
        <w:ind w:hanging="442"/>
        <w:jc w:val="both"/>
        <w:rPr>
          <w:rFonts w:hint="eastAsia" w:ascii="Times New Roman" w:hAnsi="Times New Roman" w:eastAsia="宋体" w:cs="Times New Roman"/>
        </w:rPr>
      </w:pPr>
      <w:r>
        <w:rPr>
          <w:rFonts w:hint="eastAsia" w:ascii="Times New Roman" w:hAnsi="Times New Roman" w:eastAsia="宋体" w:cs="Times New Roman"/>
        </w:rPr>
        <w:t>计算配药医嘱要求浓度的药物。以下分别以单种及多种药物配制为例。</w:t>
      </w:r>
    </w:p>
    <w:p w14:paraId="57035E43">
      <w:pPr>
        <w:pStyle w:val="185"/>
        <w:numPr>
          <w:ilvl w:val="0"/>
          <w:numId w:val="12"/>
        </w:numPr>
        <w:ind w:left="1320" w:hanging="442"/>
        <w:jc w:val="both"/>
        <w:rPr>
          <w:rFonts w:hint="eastAsia" w:ascii="Times New Roman" w:hAnsi="Times New Roman" w:eastAsia="宋体" w:cs="Times New Roman"/>
        </w:rPr>
      </w:pPr>
      <w:r>
        <w:rPr>
          <w:rFonts w:hint="eastAsia" w:ascii="Times New Roman" w:hAnsi="Times New Roman" w:eastAsia="宋体" w:cs="Times New Roman"/>
        </w:rPr>
        <w:t>单种药物配制：例如需配制1：100的尘螨稀释液。方法1：选取尘螨原液及溶媒两支，取一瓶溶媒抽出0.9ml后加入至另一瓶，配成9.9ml溶媒，再加入0.1ml尘螨原液，配制成1：100的尘螨稀释液。方法2：选取1：10尘螨变应原稀释液及溶媒1支，将1：10的尘螨变应原稀释液1ml，加入9ml溶媒中，配置成1：100的尘螨变应原稀释液。</w:t>
      </w:r>
    </w:p>
    <w:p w14:paraId="04C665AB">
      <w:pPr>
        <w:pStyle w:val="185"/>
        <w:numPr>
          <w:ilvl w:val="0"/>
          <w:numId w:val="12"/>
        </w:numPr>
        <w:ind w:left="1320" w:hanging="442"/>
        <w:jc w:val="both"/>
        <w:rPr>
          <w:rFonts w:hint="eastAsia" w:ascii="Times New Roman" w:hAnsi="Times New Roman" w:eastAsia="宋体" w:cs="Times New Roman"/>
        </w:rPr>
      </w:pPr>
      <w:r>
        <w:rPr>
          <w:rFonts w:hint="eastAsia" w:ascii="Times New Roman" w:hAnsi="Times New Roman" w:eastAsia="宋体" w:cs="Times New Roman"/>
        </w:rPr>
        <w:t>多种药物配制：例如需配制1：1000的圆柏、葎草、大籽蒿变应原稀释液。方法：选取</w:t>
      </w:r>
      <w:bookmarkStart w:id="20" w:name="_Hlk193306647"/>
      <w:r>
        <w:rPr>
          <w:rFonts w:hint="eastAsia" w:ascii="Times New Roman" w:hAnsi="Times New Roman" w:eastAsia="宋体" w:cs="Times New Roman"/>
        </w:rPr>
        <w:t>1：10的圆柏、葎草、蒿草变应原稀释液</w:t>
      </w:r>
      <w:bookmarkEnd w:id="20"/>
      <w:r>
        <w:rPr>
          <w:rFonts w:hint="eastAsia" w:ascii="Times New Roman" w:hAnsi="Times New Roman" w:eastAsia="宋体" w:cs="Times New Roman"/>
        </w:rPr>
        <w:t>，及溶媒两支，将0.7ml溶媒加入9ml溶媒中配制成9.7ml溶媒，再分别加入</w:t>
      </w:r>
      <w:bookmarkStart w:id="21" w:name="_Hlk193306676"/>
      <w:r>
        <w:rPr>
          <w:rFonts w:hint="eastAsia" w:ascii="Times New Roman" w:hAnsi="Times New Roman" w:eastAsia="宋体" w:cs="Times New Roman"/>
        </w:rPr>
        <w:t>1：10的圆柏、葎草、大籽蒿变应原稀释液</w:t>
      </w:r>
      <w:bookmarkEnd w:id="21"/>
      <w:r>
        <w:rPr>
          <w:rFonts w:hint="eastAsia" w:ascii="Times New Roman" w:hAnsi="Times New Roman" w:eastAsia="宋体" w:cs="Times New Roman"/>
        </w:rPr>
        <w:t>各0.1ml，共0.3ml，配制成1：1000的圆柏、葎草、大籽蒿变应原稀释液10ml。</w:t>
      </w:r>
    </w:p>
    <w:p w14:paraId="09F3CBE4">
      <w:pPr>
        <w:pStyle w:val="185"/>
        <w:numPr>
          <w:ilvl w:val="0"/>
          <w:numId w:val="11"/>
        </w:numPr>
        <w:ind w:hanging="442"/>
        <w:jc w:val="both"/>
        <w:rPr>
          <w:rFonts w:hint="eastAsia" w:ascii="Times New Roman" w:hAnsi="Times New Roman" w:eastAsia="宋体" w:cs="Times New Roman"/>
        </w:rPr>
      </w:pPr>
      <w:r>
        <w:rPr>
          <w:rFonts w:hint="eastAsia" w:ascii="Times New Roman" w:hAnsi="Times New Roman" w:eastAsia="宋体" w:cs="Times New Roman"/>
        </w:rPr>
        <w:t>配制多种变应原稀释液时注意抽取每种变应原均需更换一次性注射器或一次性注射针头，避免药液之间的相互污染。</w:t>
      </w:r>
    </w:p>
    <w:p w14:paraId="449DF918">
      <w:pPr>
        <w:pStyle w:val="185"/>
        <w:numPr>
          <w:ilvl w:val="0"/>
          <w:numId w:val="11"/>
        </w:numPr>
        <w:ind w:hanging="442"/>
        <w:jc w:val="both"/>
        <w:rPr>
          <w:rFonts w:hint="eastAsia" w:ascii="Times New Roman" w:hAnsi="Times New Roman" w:eastAsia="宋体" w:cs="Times New Roman"/>
        </w:rPr>
      </w:pPr>
      <w:r>
        <w:rPr>
          <w:rFonts w:hint="eastAsia" w:ascii="Times New Roman" w:hAnsi="Times New Roman" w:eastAsia="宋体" w:cs="Times New Roman"/>
        </w:rPr>
        <w:t>配制脱敏注射药物后，配药护士再次核对治疗单、瓶签患者姓名、药物瓶号与配制用的变应原稀释液母液名称、浓度、日期均正确，将配制好的脱敏治疗药物贴好瓶签，并在治疗单配药护士栏签字。将治疗单、贴好瓶签的脱敏治疗药物，以及配制用的变应原母液一同交予发药护士。</w:t>
      </w:r>
    </w:p>
    <w:p w14:paraId="21F0C383">
      <w:pPr>
        <w:pStyle w:val="185"/>
        <w:numPr>
          <w:ilvl w:val="0"/>
          <w:numId w:val="11"/>
        </w:numPr>
        <w:ind w:hanging="442"/>
        <w:jc w:val="both"/>
        <w:rPr>
          <w:rFonts w:hint="eastAsia" w:ascii="Times New Roman" w:hAnsi="Times New Roman" w:eastAsia="宋体" w:cs="Times New Roman"/>
        </w:rPr>
      </w:pPr>
      <w:r>
        <w:rPr>
          <w:rFonts w:hint="eastAsia" w:ascii="Times New Roman" w:hAnsi="Times New Roman" w:eastAsia="宋体" w:cs="Times New Roman"/>
        </w:rPr>
        <w:t>发药护士再次核对治疗单、瓶签患者姓名、药物瓶号与配制用的变应原稀释液母液名称、浓度、日期正确，将配制用变应原稀释液母液放回相应位置。</w:t>
      </w:r>
    </w:p>
    <w:p w14:paraId="02E20B9C">
      <w:pPr>
        <w:pStyle w:val="185"/>
        <w:numPr>
          <w:ilvl w:val="0"/>
          <w:numId w:val="11"/>
        </w:numPr>
        <w:ind w:hanging="442"/>
        <w:jc w:val="both"/>
        <w:rPr>
          <w:rFonts w:hint="eastAsia" w:ascii="Times New Roman" w:hAnsi="Times New Roman" w:eastAsia="宋体" w:cs="Times New Roman"/>
        </w:rPr>
      </w:pPr>
      <w:r>
        <w:rPr>
          <w:rFonts w:hint="eastAsia" w:ascii="Times New Roman" w:hAnsi="Times New Roman" w:eastAsia="宋体" w:cs="Times New Roman"/>
        </w:rPr>
        <w:t>药品传递过程中，未配制药物与已配制药物分开不同颜色容器、不同区域放置，避免混淆。</w:t>
      </w:r>
    </w:p>
    <w:p w14:paraId="6878323E">
      <w:pPr>
        <w:pStyle w:val="185"/>
        <w:numPr>
          <w:ilvl w:val="0"/>
          <w:numId w:val="11"/>
        </w:numPr>
        <w:ind w:hanging="442"/>
        <w:jc w:val="both"/>
        <w:rPr>
          <w:rFonts w:hint="eastAsia" w:ascii="Times New Roman" w:hAnsi="Times New Roman" w:eastAsia="宋体" w:cs="Times New Roman"/>
        </w:rPr>
      </w:pPr>
      <w:r>
        <w:rPr>
          <w:rFonts w:hint="eastAsia" w:ascii="Times New Roman" w:hAnsi="Times New Roman" w:eastAsia="宋体" w:cs="Times New Roman"/>
        </w:rPr>
        <w:t>呼叫患者，通过读卡、核对姓名等方式核对患者信息，并核对医嘱、治疗单、瓶签三单内容一致，并在治疗单发药护士栏签字后发放给患者，提醒患者自我核对信息无误后，在医院信息系统点击发药。</w:t>
      </w:r>
    </w:p>
    <w:p w14:paraId="3C474EE3">
      <w:pPr>
        <w:pStyle w:val="185"/>
        <w:numPr>
          <w:ilvl w:val="0"/>
          <w:numId w:val="11"/>
        </w:numPr>
        <w:ind w:hanging="442"/>
        <w:jc w:val="both"/>
        <w:rPr>
          <w:rFonts w:hint="eastAsia" w:ascii="Times New Roman" w:hAnsi="Times New Roman" w:eastAsia="宋体" w:cs="Times New Roman"/>
        </w:rPr>
      </w:pPr>
      <w:r>
        <w:rPr>
          <w:rFonts w:hint="eastAsia" w:ascii="Times New Roman" w:hAnsi="Times New Roman" w:eastAsia="宋体" w:cs="Times New Roman"/>
        </w:rPr>
        <w:t>发药护士向患者讲解药物使用、保管方法，进行相关注意事项宣教。</w:t>
      </w:r>
    </w:p>
    <w:p w14:paraId="749D1556">
      <w:pPr>
        <w:pStyle w:val="185"/>
        <w:numPr>
          <w:ilvl w:val="0"/>
          <w:numId w:val="11"/>
        </w:numPr>
        <w:ind w:hanging="442"/>
        <w:jc w:val="both"/>
        <w:rPr>
          <w:rFonts w:hint="eastAsia" w:ascii="Times New Roman" w:hAnsi="Times New Roman" w:eastAsia="宋体" w:cs="Times New Roman"/>
        </w:rPr>
      </w:pPr>
      <w:r>
        <w:rPr>
          <w:rFonts w:hint="eastAsia" w:ascii="Times New Roman" w:hAnsi="Times New Roman" w:eastAsia="宋体" w:cs="Times New Roman"/>
        </w:rPr>
        <w:t>配药柜每4小时消毒通风一次。脱敏注射药物一般为多次使用，配制过程严格无菌操作。</w:t>
      </w:r>
    </w:p>
    <w:p w14:paraId="17FC7F46">
      <w:pPr>
        <w:pStyle w:val="185"/>
        <w:numPr>
          <w:ilvl w:val="0"/>
          <w:numId w:val="11"/>
        </w:numPr>
        <w:ind w:hanging="442"/>
        <w:jc w:val="both"/>
        <w:rPr>
          <w:rFonts w:hint="eastAsia" w:ascii="Times New Roman" w:hAnsi="Times New Roman" w:eastAsia="宋体" w:cs="Times New Roman"/>
        </w:rPr>
      </w:pPr>
      <w:r>
        <w:rPr>
          <w:rFonts w:hint="eastAsia" w:ascii="Times New Roman" w:hAnsi="Times New Roman" w:eastAsia="宋体" w:cs="Times New Roman"/>
        </w:rPr>
        <w:t>每日完成药物配制后，药房护士应将配药柜及操作台整理干净，并将第二日使用物品补充添加备用。</w:t>
      </w:r>
    </w:p>
    <w:p w14:paraId="4FEE488C">
      <w:pPr>
        <w:pStyle w:val="185"/>
        <w:numPr>
          <w:ilvl w:val="0"/>
          <w:numId w:val="11"/>
        </w:numPr>
        <w:ind w:hanging="442"/>
        <w:jc w:val="both"/>
        <w:rPr>
          <w:rFonts w:hint="eastAsia" w:ascii="Times New Roman" w:hAnsi="Times New Roman" w:eastAsia="宋体" w:cs="Times New Roman"/>
        </w:rPr>
      </w:pPr>
      <w:r>
        <w:rPr>
          <w:rFonts w:hint="eastAsia" w:ascii="Times New Roman" w:hAnsi="Times New Roman" w:eastAsia="宋体" w:cs="Times New Roman"/>
        </w:rPr>
        <w:t>各种变应原放冰箱保存并上锁保管。</w:t>
      </w:r>
    </w:p>
    <w:p w14:paraId="125B8BDA">
      <w:pPr>
        <w:pStyle w:val="185"/>
        <w:numPr>
          <w:ilvl w:val="0"/>
          <w:numId w:val="11"/>
        </w:numPr>
        <w:ind w:hanging="442"/>
        <w:jc w:val="both"/>
        <w:rPr>
          <w:rFonts w:hint="eastAsia" w:ascii="Times New Roman" w:hAnsi="Times New Roman" w:eastAsia="宋体" w:cs="Times New Roman"/>
        </w:rPr>
      </w:pPr>
      <w:r>
        <w:rPr>
          <w:rFonts w:hint="eastAsia" w:ascii="Times New Roman" w:hAnsi="Times New Roman" w:eastAsia="宋体" w:cs="Times New Roman"/>
        </w:rPr>
        <w:t>在冰箱取用贵重变应原药物，要登记签字并双人核对。</w:t>
      </w:r>
    </w:p>
    <w:p w14:paraId="2E46B202">
      <w:pPr>
        <w:pStyle w:val="184"/>
        <w:rPr>
          <w:rFonts w:hint="eastAsia" w:asciiTheme="minorEastAsia" w:hAnsiTheme="minorEastAsia" w:cstheme="minorEastAsia"/>
          <w:position w:val="-24"/>
          <w:szCs w:val="21"/>
        </w:rPr>
      </w:pPr>
      <w:bookmarkStart w:id="22" w:name="_Toc208235243"/>
      <w:r>
        <w:rPr>
          <w:rFonts w:hint="eastAsia" w:asciiTheme="minorEastAsia" w:hAnsiTheme="minorEastAsia" w:cstheme="minorEastAsia"/>
          <w:position w:val="-24"/>
        </w:rPr>
        <w:t>不良反应的应急处理</w:t>
      </w:r>
      <w:bookmarkEnd w:id="22"/>
    </w:p>
    <w:p w14:paraId="34D0E7E2">
      <w:pPr>
        <w:ind w:firstLine="420"/>
        <w:jc w:val="both"/>
        <w:rPr>
          <w:rFonts w:hint="eastAsia" w:ascii="Times New Roman" w:hAnsi="Times New Roman" w:eastAsia="宋体" w:cs="Times New Roman"/>
          <w:position w:val="-24"/>
          <w:szCs w:val="21"/>
        </w:rPr>
      </w:pPr>
      <w:r>
        <w:rPr>
          <w:rFonts w:hint="eastAsia" w:ascii="Times New Roman" w:hAnsi="Times New Roman" w:eastAsia="宋体" w:cs="Times New Roman"/>
          <w:position w:val="-24"/>
          <w:szCs w:val="21"/>
        </w:rPr>
        <w:t>变应原皮肤试验及脱敏注射均将变应原导入患者体内，因而有发生不良反应的风险，护士应告知患者操作过程中及操作后有任何不适及时告知医护人员，护士应严密观察患者情况，出现不良反应，应尽早处理，减少严重不良反应的发生。</w:t>
      </w:r>
    </w:p>
    <w:p w14:paraId="2E6FC8BB">
      <w:pPr>
        <w:spacing w:before="156" w:after="156"/>
        <w:jc w:val="left"/>
        <w:rPr>
          <w:rFonts w:hint="eastAsia" w:ascii="黑体" w:hAnsi="黑体" w:eastAsia="黑体" w:cstheme="minorEastAsia"/>
          <w:position w:val="-24"/>
          <w:szCs w:val="21"/>
        </w:rPr>
      </w:pPr>
      <w:r>
        <w:rPr>
          <w:rFonts w:hint="eastAsia" w:ascii="黑体" w:hAnsi="黑体" w:eastAsia="黑体" w:cstheme="minorEastAsia"/>
          <w:position w:val="-24"/>
          <w:szCs w:val="21"/>
        </w:rPr>
        <w:t>7.1 局部不良反应</w:t>
      </w:r>
    </w:p>
    <w:p w14:paraId="752392BB">
      <w:pPr>
        <w:ind w:firstLine="420"/>
        <w:jc w:val="both"/>
        <w:rPr>
          <w:rFonts w:hint="eastAsia" w:ascii="Times New Roman" w:hAnsi="Times New Roman" w:eastAsia="宋体" w:cs="Times New Roman"/>
          <w:position w:val="-24"/>
          <w:szCs w:val="21"/>
        </w:rPr>
      </w:pPr>
      <w:r>
        <w:rPr>
          <w:rFonts w:hint="eastAsia" w:ascii="Times New Roman" w:hAnsi="Times New Roman" w:eastAsia="宋体" w:cs="Times New Roman"/>
          <w:position w:val="-24"/>
          <w:szCs w:val="21"/>
        </w:rPr>
        <w:t>主要包括注射局部瘙痒、肿胀、硬结、红晕等。若局部出现红肿且患者无其他不适主诉，可间断冰敷注射部位，并告知医生，适当增加留观时间，并记录；若局部红肿严重或患者主诉局部痒、痛等情况，可遵医嘱局部用药或口服药物治疗；若局部反应强烈且持续进展，可遵医嘱予肾上腺素注射液封闭注射以使局部血管收缩，减少药物吸收，避免局部反应不断扩大，并延长留院观察时间30min，再次评估患者情况，决定继续就诊、留观或离院，并在病历中详细记录。局部封闭采用肾上腺素注射液（1mg/ml）原液，对于局部反应较大的部位四周采用4点注射法（一般采用12:00，03:00，06:00，09:00 4个部位），分别在4个点进行皮内注射，4点总剂量一般不超过</w:t>
      </w:r>
      <w:r>
        <w:rPr>
          <w:rFonts w:hint="eastAsia" w:ascii="Times New Roman" w:hAnsi="Times New Roman" w:eastAsia="宋体" w:cs="Times New Roman"/>
          <w:bCs w:val="0"/>
          <w:position w:val="-24"/>
          <w:szCs w:val="21"/>
        </w:rPr>
        <w:t>0.1 ml</w:t>
      </w:r>
      <w:r>
        <w:rPr>
          <w:rFonts w:hint="eastAsia" w:ascii="Times New Roman" w:hAnsi="Times New Roman" w:eastAsia="宋体" w:cs="Times New Roman"/>
          <w:position w:val="-24"/>
          <w:szCs w:val="21"/>
        </w:rPr>
        <w:t>。必要时可间隔大于5</w:t>
      </w:r>
      <w:r>
        <w:rPr>
          <w:rFonts w:hint="eastAsia" w:ascii="Times New Roman" w:hAnsi="Times New Roman" w:eastAsia="宋体" w:cs="Times New Roman"/>
          <w:position w:val="-24"/>
          <w:szCs w:val="21"/>
        </w:rPr>
        <w:t>min-</w:t>
      </w:r>
      <w:r>
        <w:rPr>
          <w:rFonts w:hint="eastAsia" w:ascii="Times New Roman" w:hAnsi="Times New Roman" w:eastAsia="宋体" w:cs="Times New Roman"/>
          <w:position w:val="-24"/>
          <w:szCs w:val="21"/>
        </w:rPr>
        <w:t>15min反复注射，根据局部反应情况调整4点位置，也可根据患者情况将肾上腺素注射液稀释后多点封闭，注意肾上腺素的使用量。封闭使用肾上腺素注射液的总量与抢救过程中注射用量共同计算。</w:t>
      </w:r>
    </w:p>
    <w:p w14:paraId="454CB309">
      <w:pPr>
        <w:spacing w:before="156" w:after="156"/>
        <w:jc w:val="left"/>
        <w:rPr>
          <w:rFonts w:hint="eastAsia" w:ascii="黑体" w:hAnsi="黑体" w:eastAsia="黑体" w:cstheme="minorEastAsia"/>
          <w:position w:val="-24"/>
          <w:szCs w:val="21"/>
        </w:rPr>
      </w:pPr>
      <w:r>
        <w:rPr>
          <w:rFonts w:hint="eastAsia" w:ascii="黑体" w:hAnsi="黑体" w:eastAsia="黑体" w:cstheme="minorEastAsia"/>
          <w:position w:val="-24"/>
          <w:szCs w:val="21"/>
        </w:rPr>
        <w:t>7.2 全身不良反应</w:t>
      </w:r>
    </w:p>
    <w:p w14:paraId="0F17A86E">
      <w:pPr>
        <w:ind w:firstLine="420"/>
        <w:jc w:val="both"/>
        <w:rPr>
          <w:rFonts w:hint="eastAsia" w:ascii="Times New Roman" w:hAnsi="Times New Roman" w:eastAsia="宋体" w:cs="Times New Roman"/>
          <w:position w:val="-24"/>
          <w:szCs w:val="21"/>
        </w:rPr>
      </w:pPr>
      <w:r>
        <w:rPr>
          <w:rFonts w:hint="eastAsia" w:ascii="Times New Roman" w:hAnsi="Times New Roman" w:eastAsia="宋体" w:cs="Times New Roman"/>
          <w:position w:val="-24"/>
          <w:szCs w:val="21"/>
        </w:rPr>
        <w:t>除注射局部反应外，应警惕患者身体其他部位出现不良反应，如其他部位皮疹、咳嗽、流涕、喘息等单一反应而未达到严重过敏反应情况，应立即将患者置于抢救区，并通知医生。医生评估患者整体情况、测量生命体征并听取主诉。必要时给予抗组胺药物、吸入支气管扩张剂治疗，根据患者具体情况，选择是否使用肾上腺素注射液。待患者病情稳定后再次评估，根据患者具体情况，决定继续就诊、留观或离院，完成病历记录。给予健康教育，并提示调整下次用药剂量。</w:t>
      </w:r>
    </w:p>
    <w:p w14:paraId="774DDA94">
      <w:pPr>
        <w:spacing w:before="156" w:after="156"/>
        <w:jc w:val="left"/>
        <w:rPr>
          <w:rFonts w:hint="eastAsia" w:ascii="黑体" w:hAnsi="黑体" w:eastAsia="黑体" w:cstheme="minorEastAsia"/>
          <w:position w:val="-24"/>
          <w:szCs w:val="21"/>
        </w:rPr>
      </w:pPr>
      <w:r>
        <w:rPr>
          <w:rFonts w:hint="eastAsia" w:ascii="黑体" w:hAnsi="黑体" w:eastAsia="黑体" w:cstheme="minorEastAsia"/>
          <w:position w:val="-24"/>
          <w:szCs w:val="21"/>
        </w:rPr>
        <w:t>7.3 严重不良反应</w:t>
      </w:r>
    </w:p>
    <w:p w14:paraId="72B04EB6">
      <w:pPr>
        <w:ind w:firstLine="420"/>
        <w:rPr>
          <w:rFonts w:ascii="Cambria Math" w:hAnsi="Cambria Math" w:eastAsia="宋体" w:cs="Cambria Math"/>
          <w:position w:val="-24"/>
          <w:szCs w:val="21"/>
        </w:rPr>
      </w:pPr>
      <w:r>
        <w:rPr>
          <w:rFonts w:hint="eastAsia" w:ascii="Times New Roman" w:hAnsi="Times New Roman" w:eastAsia="宋体" w:cs="Times New Roman"/>
          <w:bCs w:val="0"/>
          <w:position w:val="-24"/>
          <w:szCs w:val="21"/>
        </w:rPr>
        <w:t>根据不良反应程度积极应对处理。</w:t>
      </w:r>
    </w:p>
    <w:p w14:paraId="0E50741D">
      <w:pPr>
        <w:ind w:firstLine="420"/>
        <w:rPr>
          <w:rFonts w:ascii="Cambria Math" w:hAnsi="Cambria Math" w:eastAsia="宋体" w:cs="Cambria Math"/>
          <w:position w:val="-24"/>
          <w:szCs w:val="21"/>
        </w:rPr>
      </w:pPr>
      <w:r>
        <w:rPr>
          <w:rFonts w:hint="eastAsia" w:ascii="Cambria Math" w:hAnsi="Cambria Math" w:eastAsia="宋体" w:cs="Cambria Math"/>
          <w:position w:val="-24"/>
          <w:szCs w:val="21"/>
        </w:rPr>
        <w:t>①</w:t>
      </w:r>
      <w:r>
        <w:rPr>
          <w:rFonts w:hint="eastAsia" w:ascii="Times New Roman" w:hAnsi="Times New Roman" w:eastAsia="宋体" w:cs="Times New Roman"/>
          <w:bCs w:val="0"/>
          <w:position w:val="-24"/>
          <w:szCs w:val="21"/>
        </w:rPr>
        <w:t>发现患者发生严重过敏反应时，立即通知医生，安置于抢救区。必要时给予吸氧。</w:t>
      </w:r>
    </w:p>
    <w:p w14:paraId="7A6D39A1">
      <w:pPr>
        <w:ind w:firstLine="420"/>
        <w:rPr>
          <w:rFonts w:ascii="Times New Roman" w:hAnsi="Times New Roman" w:eastAsia="宋体" w:cs="Times New Roman"/>
          <w:position w:val="-24"/>
          <w:szCs w:val="21"/>
        </w:rPr>
      </w:pPr>
      <w:r>
        <w:rPr>
          <w:rFonts w:hint="eastAsia" w:ascii="Cambria Math" w:hAnsi="Cambria Math" w:eastAsia="宋体" w:cs="Cambria Math"/>
          <w:position w:val="-24"/>
          <w:szCs w:val="21"/>
        </w:rPr>
        <w:t>②</w:t>
      </w:r>
      <w:r>
        <w:rPr>
          <w:rFonts w:hint="eastAsia" w:ascii="Times New Roman" w:hAnsi="Times New Roman" w:eastAsia="宋体" w:cs="Times New Roman"/>
          <w:bCs w:val="0"/>
          <w:position w:val="-24"/>
          <w:szCs w:val="21"/>
        </w:rPr>
        <w:t>根据患者情况遵医嘱用药，首选肾上腺素注射液肌内注射，协同医生抢救。必要时建立静脉通道。</w:t>
      </w:r>
    </w:p>
    <w:p w14:paraId="6C2F2664">
      <w:pPr>
        <w:ind w:left="0" w:firstLine="420"/>
        <w:rPr>
          <w:rFonts w:ascii="Cambria Math" w:hAnsi="Cambria Math" w:eastAsia="宋体" w:cs="Cambria Math"/>
          <w:position w:val="-24"/>
          <w:szCs w:val="21"/>
        </w:rPr>
      </w:pPr>
      <w:r>
        <w:rPr>
          <w:rFonts w:hint="eastAsia" w:ascii="Cambria Math" w:hAnsi="Cambria Math" w:eastAsia="宋体" w:cs="Cambria Math"/>
          <w:position w:val="-24"/>
          <w:szCs w:val="21"/>
        </w:rPr>
        <w:t>③</w:t>
      </w:r>
      <w:r>
        <w:rPr>
          <w:rFonts w:hint="eastAsia" w:ascii="Times New Roman" w:hAnsi="Times New Roman" w:eastAsia="宋体" w:cs="Times New Roman"/>
          <w:bCs w:val="0"/>
          <w:position w:val="-24"/>
          <w:szCs w:val="21"/>
        </w:rPr>
        <w:t>随时观察病情变化，及时与医生沟通，积极处理。</w:t>
      </w:r>
    </w:p>
    <w:p w14:paraId="7B0B3711">
      <w:pPr>
        <w:ind w:firstLine="420"/>
        <w:jc w:val="both"/>
        <w:rPr>
          <w:rFonts w:hint="eastAsia" w:ascii="Times New Roman" w:hAnsi="Times New Roman" w:eastAsia="宋体" w:cs="Times New Roman"/>
          <w:bCs w:val="0"/>
          <w:position w:val="-24"/>
          <w:szCs w:val="21"/>
        </w:rPr>
      </w:pPr>
      <w:r>
        <w:rPr>
          <w:rFonts w:hint="eastAsia" w:ascii="Cambria Math" w:hAnsi="Cambria Math" w:eastAsia="宋体" w:cs="Cambria Math"/>
          <w:position w:val="-24"/>
          <w:szCs w:val="21"/>
        </w:rPr>
        <w:t>④</w:t>
      </w:r>
      <w:r>
        <w:rPr>
          <w:rFonts w:hint="eastAsia" w:ascii="Times New Roman" w:hAnsi="Times New Roman" w:eastAsia="宋体" w:cs="Times New Roman"/>
          <w:bCs w:val="0"/>
          <w:position w:val="-24"/>
          <w:szCs w:val="21"/>
        </w:rPr>
        <w:t>科室配有抢救车、抢救设备、平车等均完好备用，如患者发生意识丧失、呼吸困难等危及生命症状时立即进行抢救，必要时送急诊抢救室。</w:t>
      </w:r>
    </w:p>
    <w:p w14:paraId="1D5D31E0">
      <w:pPr>
        <w:pStyle w:val="184"/>
        <w:rPr>
          <w:rFonts w:hint="eastAsia" w:asciiTheme="minorEastAsia" w:hAnsiTheme="minorEastAsia" w:cstheme="minorEastAsia"/>
          <w:position w:val="-24"/>
          <w:szCs w:val="21"/>
        </w:rPr>
      </w:pPr>
      <w:bookmarkStart w:id="23" w:name="_Toc208235244"/>
      <w:r>
        <w:rPr>
          <w:rFonts w:hint="eastAsia" w:asciiTheme="minorEastAsia" w:hAnsiTheme="minorEastAsia" w:cstheme="minorEastAsia"/>
          <w:position w:val="-24"/>
        </w:rPr>
        <w:t>专科护理教育</w:t>
      </w:r>
      <w:bookmarkEnd w:id="23"/>
    </w:p>
    <w:p w14:paraId="20290A62">
      <w:pPr>
        <w:ind w:firstLine="420"/>
        <w:jc w:val="both"/>
        <w:rPr>
          <w:rFonts w:hint="eastAsia" w:ascii="Times New Roman" w:hAnsi="Times New Roman" w:eastAsia="宋体" w:cs="Times New Roman"/>
          <w:position w:val="-24"/>
          <w:szCs w:val="21"/>
        </w:rPr>
      </w:pPr>
      <w:r>
        <w:rPr>
          <w:rFonts w:hint="eastAsia" w:ascii="Times New Roman" w:hAnsi="Times New Roman" w:eastAsia="宋体" w:cs="Times New Roman"/>
          <w:position w:val="-24"/>
          <w:szCs w:val="21"/>
        </w:rPr>
        <w:t>过敏专科护士应定期接受专科学习与培训，并具有培训授课能力。</w:t>
      </w:r>
    </w:p>
    <w:p w14:paraId="077CEE35">
      <w:pPr>
        <w:spacing w:before="156" w:after="156"/>
        <w:jc w:val="left"/>
        <w:rPr>
          <w:rFonts w:hint="eastAsia" w:ascii="黑体" w:hAnsi="黑体" w:eastAsia="黑体" w:cstheme="minorEastAsia"/>
          <w:position w:val="-24"/>
          <w:szCs w:val="21"/>
        </w:rPr>
      </w:pPr>
      <w:r>
        <w:rPr>
          <w:rFonts w:hint="eastAsia" w:ascii="黑体" w:hAnsi="黑体" w:eastAsia="黑体" w:cstheme="minorEastAsia"/>
          <w:position w:val="-24"/>
          <w:szCs w:val="21"/>
        </w:rPr>
        <w:t>8.1 新入科护士应进行专科操作培训</w:t>
      </w:r>
    </w:p>
    <w:p w14:paraId="7FC92581">
      <w:pPr>
        <w:ind w:firstLine="420"/>
        <w:jc w:val="both"/>
        <w:rPr>
          <w:rFonts w:hint="eastAsia" w:ascii="Times New Roman" w:hAnsi="Times New Roman" w:eastAsia="宋体" w:cs="Times New Roman"/>
          <w:position w:val="-24"/>
          <w:szCs w:val="21"/>
        </w:rPr>
      </w:pPr>
      <w:r>
        <w:rPr>
          <w:rFonts w:hint="eastAsia" w:ascii="Times New Roman" w:hAnsi="Times New Roman" w:eastAsia="宋体" w:cs="Times New Roman"/>
          <w:position w:val="-24"/>
          <w:szCs w:val="21"/>
        </w:rPr>
        <w:t>新入科护士首先了解专科工作内容，进行专科操作培训，培训内容包括各类皮肤试验，生物制剂注射、变应原免疫治疗、变应原免疫治疗药物配制、各种皮肤试验药物的配制与保管、各类健康宣教、协调科室各项工作能力、处理各类应急事件的能力，完成上述培训后方可独立完成操作。</w:t>
      </w:r>
    </w:p>
    <w:p w14:paraId="52F42ABB">
      <w:pPr>
        <w:spacing w:before="156" w:after="156"/>
        <w:jc w:val="left"/>
        <w:rPr>
          <w:rFonts w:hint="eastAsia" w:ascii="黑体" w:hAnsi="黑体" w:eastAsia="黑体" w:cstheme="minorEastAsia"/>
          <w:position w:val="-24"/>
          <w:szCs w:val="21"/>
        </w:rPr>
      </w:pPr>
      <w:r>
        <w:rPr>
          <w:rFonts w:hint="eastAsia" w:ascii="黑体" w:hAnsi="黑体" w:eastAsia="黑体" w:cstheme="minorEastAsia"/>
          <w:position w:val="-24"/>
          <w:szCs w:val="21"/>
        </w:rPr>
        <w:t>8.2 过敏专科护士培训与考核</w:t>
      </w:r>
    </w:p>
    <w:p w14:paraId="510E3A9E">
      <w:pPr>
        <w:ind w:firstLine="420"/>
        <w:jc w:val="both"/>
        <w:rPr>
          <w:rFonts w:hint="eastAsia" w:ascii="Times New Roman" w:hAnsi="Times New Roman" w:eastAsia="宋体" w:cs="Times New Roman"/>
          <w:position w:val="-24"/>
          <w:szCs w:val="21"/>
        </w:rPr>
      </w:pPr>
      <w:r>
        <w:rPr>
          <w:rFonts w:hint="eastAsia" w:ascii="Times New Roman" w:hAnsi="Times New Roman" w:eastAsia="宋体" w:cs="Times New Roman"/>
          <w:position w:val="-24"/>
          <w:szCs w:val="21"/>
        </w:rPr>
        <w:t>每月完成专科业务学习，每年进行专科操作技术培训及考核，定期组织突发事件处理讨论及总结、参与突发事件的应急演练及急救操作的考核。</w:t>
      </w:r>
    </w:p>
    <w:p w14:paraId="35611E47">
      <w:pPr>
        <w:spacing w:before="156" w:after="156"/>
        <w:jc w:val="left"/>
        <w:rPr>
          <w:rFonts w:hint="eastAsia" w:ascii="黑体" w:hAnsi="黑体" w:eastAsia="黑体" w:cstheme="minorEastAsia"/>
          <w:position w:val="-24"/>
          <w:szCs w:val="21"/>
        </w:rPr>
      </w:pPr>
      <w:r>
        <w:rPr>
          <w:rFonts w:hint="eastAsia" w:ascii="黑体" w:hAnsi="黑体" w:eastAsia="黑体" w:cstheme="minorEastAsia"/>
          <w:position w:val="-24"/>
          <w:szCs w:val="21"/>
        </w:rPr>
        <w:t>8.3 专科护士应具备培训授课能力</w:t>
      </w:r>
    </w:p>
    <w:p w14:paraId="7BF08381">
      <w:pPr>
        <w:ind w:firstLine="420"/>
        <w:jc w:val="both"/>
        <w:rPr>
          <w:rFonts w:hint="eastAsia" w:ascii="Times New Roman" w:hAnsi="Times New Roman" w:eastAsia="宋体" w:cs="Times New Roman"/>
          <w:position w:val="-24"/>
          <w:szCs w:val="21"/>
        </w:rPr>
      </w:pPr>
      <w:r>
        <w:rPr>
          <w:rFonts w:hint="eastAsia" w:ascii="Times New Roman" w:hAnsi="Times New Roman" w:eastAsia="宋体" w:cs="Times New Roman"/>
          <w:position w:val="-24"/>
          <w:szCs w:val="21"/>
        </w:rPr>
        <w:t>专科护士每年完成学生带教及进修生的教学工作，应具有专科知识授课及操作临床带教能力。</w:t>
      </w:r>
    </w:p>
    <w:p w14:paraId="48E42D03">
      <w:pPr>
        <w:pStyle w:val="184"/>
        <w:rPr>
          <w:rFonts w:hint="eastAsia" w:asciiTheme="minorEastAsia" w:hAnsiTheme="minorEastAsia" w:cstheme="minorEastAsia"/>
          <w:position w:val="-24"/>
          <w:szCs w:val="21"/>
        </w:rPr>
      </w:pPr>
      <w:bookmarkStart w:id="24" w:name="_Toc208235245"/>
      <w:r>
        <w:rPr>
          <w:rFonts w:hint="eastAsia" w:asciiTheme="minorEastAsia" w:hAnsiTheme="minorEastAsia" w:cstheme="minorEastAsia"/>
          <w:position w:val="-24"/>
        </w:rPr>
        <w:t>科研护理操作</w:t>
      </w:r>
      <w:bookmarkEnd w:id="24"/>
    </w:p>
    <w:p w14:paraId="6BCD8BA6">
      <w:pPr>
        <w:ind w:firstLine="420"/>
        <w:jc w:val="left"/>
        <w:rPr>
          <w:rFonts w:hint="eastAsia" w:ascii="Times New Roman" w:hAnsi="Times New Roman" w:eastAsia="宋体" w:cs="Times New Roman"/>
          <w:position w:val="-24"/>
          <w:szCs w:val="21"/>
        </w:rPr>
      </w:pPr>
      <w:r>
        <w:rPr>
          <w:rFonts w:hint="eastAsia" w:ascii="Times New Roman" w:hAnsi="Times New Roman" w:eastAsia="宋体" w:cs="Times New Roman"/>
          <w:position w:val="-24"/>
          <w:szCs w:val="21"/>
        </w:rPr>
        <w:t>临床中无论是护理科研及药物临床试验，均需要护士参与操作。例如：新药物的临床试验、特殊可疑过敏原的皮肤试验、食物药物激发试验等，试验过程中，注射操作、变应原皮肤试验等均需护士完成操作。护士参与过敏专科科研试验操作具体步骤：</w:t>
      </w:r>
    </w:p>
    <w:p w14:paraId="2F24522A">
      <w:pPr>
        <w:pStyle w:val="185"/>
        <w:numPr>
          <w:ilvl w:val="0"/>
          <w:numId w:val="13"/>
        </w:numPr>
        <w:ind w:left="884" w:hanging="442"/>
        <w:jc w:val="both"/>
        <w:rPr>
          <w:rFonts w:hint="eastAsia" w:ascii="Times New Roman" w:hAnsi="Times New Roman" w:eastAsia="宋体" w:cs="Times New Roman"/>
          <w:position w:val="-24"/>
          <w:szCs w:val="21"/>
        </w:rPr>
      </w:pPr>
      <w:r>
        <w:rPr>
          <w:rFonts w:hint="eastAsia" w:ascii="Times New Roman" w:hAnsi="Times New Roman" w:eastAsia="宋体" w:cs="Times New Roman"/>
          <w:position w:val="-24"/>
          <w:szCs w:val="21"/>
        </w:rPr>
        <w:t>参与试验操作前，充分了解试验步骤、试验目的、是否双盲或单盲、试验风险、试验可能发生的不良反应、试验用药物或物品使用的方法步骤及注意事项。</w:t>
      </w:r>
    </w:p>
    <w:p w14:paraId="1680226E">
      <w:pPr>
        <w:pStyle w:val="185"/>
        <w:numPr>
          <w:ilvl w:val="0"/>
          <w:numId w:val="13"/>
        </w:numPr>
        <w:ind w:left="884" w:hanging="442"/>
        <w:jc w:val="both"/>
        <w:rPr>
          <w:rFonts w:hint="eastAsia" w:ascii="Times New Roman" w:hAnsi="Times New Roman" w:eastAsia="宋体" w:cs="Times New Roman"/>
          <w:position w:val="-24"/>
          <w:szCs w:val="21"/>
        </w:rPr>
      </w:pPr>
      <w:r>
        <w:rPr>
          <w:rFonts w:hint="eastAsia" w:ascii="Times New Roman" w:hAnsi="Times New Roman" w:eastAsia="宋体" w:cs="Times New Roman"/>
          <w:position w:val="-24"/>
          <w:szCs w:val="21"/>
        </w:rPr>
        <w:t>试验开始前，对参与操作的护士进行相关知识及操作培训。</w:t>
      </w:r>
    </w:p>
    <w:p w14:paraId="10428EB2">
      <w:pPr>
        <w:pStyle w:val="185"/>
        <w:numPr>
          <w:ilvl w:val="0"/>
          <w:numId w:val="13"/>
        </w:numPr>
        <w:ind w:left="884" w:hanging="442"/>
        <w:jc w:val="both"/>
        <w:rPr>
          <w:rFonts w:hint="eastAsia" w:ascii="Times New Roman" w:hAnsi="Times New Roman" w:eastAsia="宋体" w:cs="Times New Roman"/>
          <w:position w:val="-24"/>
          <w:szCs w:val="21"/>
        </w:rPr>
      </w:pPr>
      <w:r>
        <w:rPr>
          <w:rFonts w:hint="eastAsia" w:ascii="Times New Roman" w:hAnsi="Times New Roman" w:eastAsia="宋体" w:cs="Times New Roman"/>
          <w:position w:val="-24"/>
          <w:szCs w:val="21"/>
        </w:rPr>
        <w:t>试验开始前对物品、药品、急救用物准备齐全。</w:t>
      </w:r>
    </w:p>
    <w:p w14:paraId="6D214C8C">
      <w:pPr>
        <w:pStyle w:val="185"/>
        <w:numPr>
          <w:ilvl w:val="0"/>
          <w:numId w:val="13"/>
        </w:numPr>
        <w:ind w:left="884" w:hanging="442"/>
        <w:jc w:val="both"/>
        <w:rPr>
          <w:rFonts w:hint="eastAsia" w:ascii="Times New Roman" w:hAnsi="Times New Roman" w:eastAsia="宋体" w:cs="Times New Roman"/>
          <w:position w:val="-24"/>
          <w:szCs w:val="21"/>
        </w:rPr>
      </w:pPr>
      <w:r>
        <w:rPr>
          <w:rFonts w:hint="eastAsia" w:ascii="Times New Roman" w:hAnsi="Times New Roman" w:eastAsia="宋体" w:cs="Times New Roman"/>
          <w:position w:val="-24"/>
          <w:szCs w:val="21"/>
        </w:rPr>
        <w:t>试验操作一般无常规医嘱，因而对信息传递及核实应有具体流程及方式，根据试验具体情况，在试验开始前进行模拟试验流程，流程步骤修订顺畅合理后，方可进行，确保护士接收到的试验医嘱能进行相关核对，避免仅为临床协调员（Clinical Research Coordinator，简称CRC）的口头传递试验医嘱，避免差错的发生。</w:t>
      </w:r>
    </w:p>
    <w:p w14:paraId="72176819">
      <w:pPr>
        <w:pStyle w:val="185"/>
        <w:numPr>
          <w:ilvl w:val="0"/>
          <w:numId w:val="13"/>
        </w:numPr>
        <w:ind w:left="884" w:hanging="442"/>
        <w:jc w:val="both"/>
        <w:rPr>
          <w:rFonts w:hint="eastAsia" w:ascii="Times New Roman" w:hAnsi="Times New Roman" w:eastAsia="宋体" w:cs="Times New Roman"/>
          <w:position w:val="-24"/>
          <w:szCs w:val="21"/>
        </w:rPr>
      </w:pPr>
      <w:r>
        <w:rPr>
          <w:rFonts w:hint="eastAsia" w:ascii="Times New Roman" w:hAnsi="Times New Roman" w:eastAsia="宋体" w:cs="Times New Roman"/>
          <w:position w:val="-24"/>
          <w:szCs w:val="21"/>
        </w:rPr>
        <w:t>试验操作仍需双人核对无误，护士方可进行操作。操作用物及流程严格按试验要求使用完成。</w:t>
      </w:r>
    </w:p>
    <w:p w14:paraId="26BAB4DD">
      <w:pPr>
        <w:pStyle w:val="185"/>
        <w:numPr>
          <w:ilvl w:val="0"/>
          <w:numId w:val="13"/>
        </w:numPr>
        <w:ind w:left="884" w:hanging="442"/>
        <w:jc w:val="both"/>
        <w:rPr>
          <w:rFonts w:hint="eastAsia" w:ascii="Times New Roman" w:hAnsi="Times New Roman" w:eastAsia="宋体" w:cs="Times New Roman"/>
          <w:position w:val="-24"/>
          <w:szCs w:val="21"/>
        </w:rPr>
      </w:pPr>
      <w:r>
        <w:rPr>
          <w:rFonts w:hint="eastAsia" w:ascii="Times New Roman" w:hAnsi="Times New Roman" w:eastAsia="宋体" w:cs="Times New Roman"/>
          <w:position w:val="-24"/>
          <w:szCs w:val="21"/>
        </w:rPr>
        <w:t>操作过程中，严格按试验步骤完成操作，双盲或单盲试验，护士严禁透露相关信息。</w:t>
      </w:r>
    </w:p>
    <w:p w14:paraId="466DF0D2">
      <w:pPr>
        <w:pStyle w:val="185"/>
        <w:numPr>
          <w:ilvl w:val="0"/>
          <w:numId w:val="13"/>
        </w:numPr>
        <w:ind w:left="884" w:hanging="442"/>
        <w:jc w:val="both"/>
        <w:rPr>
          <w:rFonts w:hint="eastAsia" w:ascii="Times New Roman" w:hAnsi="Times New Roman" w:eastAsia="宋体" w:cs="Times New Roman"/>
          <w:position w:val="-24"/>
          <w:szCs w:val="21"/>
        </w:rPr>
      </w:pPr>
      <w:r>
        <w:rPr>
          <w:rFonts w:hint="eastAsia" w:ascii="Times New Roman" w:hAnsi="Times New Roman" w:eastAsia="宋体" w:cs="Times New Roman"/>
          <w:position w:val="-24"/>
          <w:szCs w:val="21"/>
        </w:rPr>
        <w:t>试验操作结束及时签字存档。</w:t>
      </w:r>
    </w:p>
    <w:p w14:paraId="2232918F">
      <w:pPr>
        <w:pStyle w:val="185"/>
        <w:numPr>
          <w:ilvl w:val="0"/>
          <w:numId w:val="13"/>
        </w:numPr>
        <w:ind w:left="884" w:hanging="442"/>
        <w:jc w:val="both"/>
        <w:rPr>
          <w:rFonts w:hint="eastAsia" w:ascii="Times New Roman" w:hAnsi="Times New Roman" w:eastAsia="宋体" w:cs="Times New Roman"/>
          <w:position w:val="-24"/>
          <w:szCs w:val="21"/>
        </w:rPr>
      </w:pPr>
      <w:r>
        <w:rPr>
          <w:rFonts w:hint="eastAsia" w:ascii="Times New Roman" w:hAnsi="Times New Roman" w:eastAsia="宋体" w:cs="Times New Roman"/>
          <w:position w:val="-24"/>
          <w:szCs w:val="21"/>
        </w:rPr>
        <w:t>试验当天避免仅由CRC安排患者参与试验，要有科研组医生在岗，试验过程中如发生不良反应或突发事件，及时处理，避免发生不良后果。</w:t>
      </w:r>
    </w:p>
    <w:p w14:paraId="01849B5C">
      <w:pPr>
        <w:pStyle w:val="185"/>
        <w:numPr>
          <w:ilvl w:val="0"/>
          <w:numId w:val="13"/>
        </w:numPr>
        <w:ind w:left="884" w:hanging="442"/>
        <w:jc w:val="both"/>
        <w:rPr>
          <w:rFonts w:hint="eastAsia" w:ascii="Times New Roman" w:hAnsi="Times New Roman" w:eastAsia="宋体" w:cs="Times New Roman"/>
          <w:position w:val="-24"/>
          <w:szCs w:val="21"/>
        </w:rPr>
      </w:pPr>
      <w:r>
        <w:rPr>
          <w:rFonts w:hint="eastAsia" w:ascii="Times New Roman" w:hAnsi="Times New Roman" w:eastAsia="宋体" w:cs="Times New Roman"/>
          <w:position w:val="-24"/>
          <w:szCs w:val="21"/>
        </w:rPr>
        <w:t>试验过程中及时观察患者情况，当患者有质疑或不适，立即停止操作，呼叫科研医生及时处理，并注意安抚患者及家属情绪，保护患者隐私。</w:t>
      </w:r>
    </w:p>
    <w:p w14:paraId="25A222EA">
      <w:pPr>
        <w:pStyle w:val="185"/>
        <w:numPr>
          <w:ilvl w:val="0"/>
          <w:numId w:val="13"/>
        </w:numPr>
        <w:ind w:left="884" w:hanging="442"/>
        <w:jc w:val="both"/>
        <w:rPr>
          <w:rFonts w:hint="eastAsia" w:ascii="Times New Roman" w:hAnsi="Times New Roman" w:eastAsia="宋体" w:cs="Times New Roman"/>
          <w:position w:val="-24"/>
          <w:szCs w:val="21"/>
        </w:rPr>
      </w:pPr>
      <w:r>
        <w:rPr>
          <w:rFonts w:hint="eastAsia" w:ascii="Times New Roman" w:hAnsi="Times New Roman" w:eastAsia="宋体" w:cs="Times New Roman"/>
          <w:position w:val="-24"/>
          <w:szCs w:val="21"/>
        </w:rPr>
        <w:t>试验过程中，护士如有疑问，及时与科研医生及科研助理联系核实。</w:t>
      </w:r>
    </w:p>
    <w:p w14:paraId="775DFAEE">
      <w:pPr>
        <w:pStyle w:val="185"/>
        <w:numPr>
          <w:ilvl w:val="0"/>
          <w:numId w:val="13"/>
        </w:numPr>
        <w:ind w:left="884" w:hanging="442"/>
        <w:jc w:val="both"/>
        <w:rPr>
          <w:rFonts w:hint="eastAsia" w:ascii="Times New Roman" w:hAnsi="Times New Roman" w:eastAsia="宋体" w:cs="Times New Roman"/>
          <w:position w:val="-24"/>
          <w:szCs w:val="21"/>
        </w:rPr>
      </w:pPr>
      <w:r>
        <w:rPr>
          <w:rFonts w:hint="eastAsia" w:ascii="Times New Roman" w:hAnsi="Times New Roman" w:eastAsia="宋体" w:cs="Times New Roman"/>
          <w:position w:val="-24"/>
          <w:szCs w:val="21"/>
        </w:rPr>
        <w:t>试验结束及时处理用物，需存档的物品及时回收存档，需销毁的物品，按要求销毁。</w:t>
      </w:r>
    </w:p>
    <w:p w14:paraId="693957C8">
      <w:pPr>
        <w:pStyle w:val="185"/>
        <w:numPr>
          <w:ilvl w:val="0"/>
          <w:numId w:val="13"/>
        </w:numPr>
        <w:ind w:left="884" w:hanging="442"/>
        <w:jc w:val="both"/>
        <w:rPr>
          <w:rFonts w:hint="eastAsia" w:ascii="Times New Roman" w:hAnsi="Times New Roman" w:eastAsia="宋体" w:cs="Times New Roman"/>
          <w:position w:val="-24"/>
          <w:szCs w:val="21"/>
        </w:rPr>
      </w:pPr>
      <w:r>
        <w:rPr>
          <w:rFonts w:hint="eastAsia" w:ascii="Times New Roman" w:hAnsi="Times New Roman" w:eastAsia="宋体" w:cs="Times New Roman"/>
          <w:position w:val="-24"/>
          <w:szCs w:val="21"/>
        </w:rPr>
        <mc:AlternateContent>
          <mc:Choice Requires="wps">
            <w:drawing>
              <wp:anchor distT="0" distB="0" distL="114300" distR="114300" simplePos="0" relativeHeight="251660288" behindDoc="0" locked="0" layoutInCell="1" allowOverlap="1">
                <wp:simplePos x="0" y="0"/>
                <wp:positionH relativeFrom="column">
                  <wp:posOffset>1992630</wp:posOffset>
                </wp:positionH>
                <wp:positionV relativeFrom="paragraph">
                  <wp:posOffset>859155</wp:posOffset>
                </wp:positionV>
                <wp:extent cx="1582420" cy="0"/>
                <wp:effectExtent l="0" t="0" r="0" b="0"/>
                <wp:wrapNone/>
                <wp:docPr id="2" name="直接连接符 1"/>
                <wp:cNvGraphicFramePr/>
                <a:graphic xmlns:a="http://schemas.openxmlformats.org/drawingml/2006/main">
                  <a:graphicData uri="http://schemas.microsoft.com/office/word/2010/wordprocessingShape">
                    <wps:wsp>
                      <wps:cNvCnPr/>
                      <wps:spPr bwMode="auto">
                        <a:xfrm>
                          <a:off x="0" y="0"/>
                          <a:ext cx="1582615" cy="0"/>
                        </a:xfrm>
                        <a:prstGeom prst="line">
                          <a:avLst/>
                        </a:prstGeom>
                      </wps:spPr>
                      <wps:style>
                        <a:lnRef idx="1">
                          <a:schemeClr val="dk1"/>
                        </a:lnRef>
                        <a:fillRef idx="0">
                          <a:schemeClr val="dk1"/>
                        </a:fillRef>
                        <a:effectRef idx="0">
                          <a:schemeClr val="dk1"/>
                        </a:effectRef>
                        <a:fontRef idx="minor">
                          <a:schemeClr val="tx1"/>
                        </a:fontRef>
                      </wps:style>
                      <wps:bodyPr rot="0">
                        <a:noAutofit/>
                      </wps:bodyPr>
                    </wps:wsp>
                  </a:graphicData>
                </a:graphic>
              </wp:anchor>
            </w:drawing>
          </mc:Choice>
          <mc:Fallback>
            <w:pict>
              <v:line id="直接连接符 1" o:spid="_x0000_s1026" o:spt="20" style="position:absolute;left:0pt;margin-left:156.9pt;margin-top:67.65pt;height:0pt;width:124.6pt;z-index:251660288;mso-width-relative:page;mso-height-relative:page;" filled="f" stroked="t" coordsize="21600,21600" o:gfxdata="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1JhGZ1gAAAAsBAAAPAAAAAAAAAAEAIAAAACIAAABkcnMvZG93bnJldi54&#10;bWxQSwECFAAUAAAACACHTuJA7noyUvwBAADhAwAADgAAAAAAAAABACAAAAAlAQAAZHJzL2Uyb0Rv&#10;Yy54bWxQSwUGAAAAAAYABgBZAQAAkwUAAAAA&#10;">
                <v:fill on="f" focussize="0,0"/>
                <v:stroke weight="0.5pt" color="#000000 [3200]" miterlimit="8" joinstyle="miter"/>
                <v:imagedata o:title=""/>
                <o:lock v:ext="edit" aspectratio="f"/>
              </v:line>
            </w:pict>
          </mc:Fallback>
        </mc:AlternateContent>
      </w:r>
      <w:r>
        <w:rPr>
          <w:rFonts w:hint="eastAsia" w:ascii="Times New Roman" w:hAnsi="Times New Roman" w:eastAsia="宋体" w:cs="Times New Roman"/>
          <w:position w:val="-24"/>
          <w:szCs w:val="21"/>
        </w:rPr>
        <w:t>临床试验专科操作对操作精准性、可靠性、熟练程度要求较高，并具有一定的处理应急事件的能力，应安排具有2年以上专科临床经验的护士完成。</w:t>
      </w:r>
    </w:p>
    <w:sectPr>
      <w:footerReference r:id="rId4" w:type="default"/>
      <w:pgSz w:w="11906" w:h="16838" w:orient="landscape"/>
      <w:pgMar w:top="1440" w:right="1800" w:bottom="1440" w:left="1800" w:header="851" w:footer="992" w:gutter="0"/>
      <w:pgNumType w:start="1"/>
      <w:cols w:space="425"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auto"/>
    <w:pitch w:val="default"/>
    <w:sig w:usb0="E0002EFF" w:usb1="C000785B" w:usb2="00000009" w:usb3="00000000" w:csb0="400001FF" w:csb1="FFFF0000"/>
  </w:font>
  <w:font w:name="Heiti SC Medium">
    <w:altName w:val="Segoe Print"/>
    <w:panose1 w:val="020B0604020202020204"/>
    <w:charset w:val="00"/>
    <w:family w:val="auto"/>
    <w:pitch w:val="default"/>
    <w:sig w:usb0="00000000" w:usb1="00000000" w:usb2="00000000" w:usb3="00000000" w:csb0="00000000"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Symbol">
    <w:panose1 w:val="05050102010706020507"/>
    <w:charset w:val="00"/>
    <w:family w:val="auto"/>
    <w:pitch w:val="default"/>
    <w:sig w:usb0="00000000" w:usb1="00000000" w:usb2="00000000" w:usb3="00000000" w:csb0="80000000" w:csb1="00000000"/>
  </w:font>
  <w:font w:name="Cambria Math">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96826177"/>
      <w:docPartObj>
        <w:docPartGallery w:val="AutoText"/>
      </w:docPartObj>
    </w:sdtPr>
    <w:sdtContent>
      <w:p w14:paraId="6ECE5824">
        <w:pPr>
          <w:pStyle w:val="19"/>
          <w:jc w:val="center"/>
          <w:rPr>
            <w:rFonts w:hint="eastAsia" w:ascii="Times New Roman" w:hAnsi="Times New Roman" w:cs="Times New Roman"/>
            <w:sz w:val="21"/>
            <w:szCs w:val="21"/>
          </w:rPr>
        </w:pPr>
        <w:r>
          <w:rPr>
            <w:rFonts w:ascii="Times New Roman" w:hAnsi="Times New Roman" w:cs="Times New Roman"/>
            <w:sz w:val="21"/>
            <w:szCs w:val="21"/>
          </w:rPr>
          <w:fldChar w:fldCharType="begin"/>
        </w:r>
        <w:r>
          <w:rPr>
            <w:rFonts w:hint="eastAsia"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hint="eastAsia" w:ascii="Times New Roman" w:hAnsi="Times New Roman" w:cs="Times New Roman"/>
            <w:sz w:val="21"/>
            <w:szCs w:val="21"/>
            <w:lang w:val="zh-CN"/>
          </w:rPr>
          <w:t>2</w:t>
        </w:r>
        <w:r>
          <w:rPr>
            <w:rFonts w:ascii="Times New Roman" w:hAnsi="Times New Roman" w:cs="Times New Roman"/>
            <w:sz w:val="21"/>
            <w:szCs w:val="21"/>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80013462"/>
      <w:docPartObj>
        <w:docPartGallery w:val="AutoText"/>
      </w:docPartObj>
    </w:sdtPr>
    <w:sdtContent>
      <w:p w14:paraId="61D48E66">
        <w:pPr>
          <w:pStyle w:val="19"/>
          <w:jc w:val="center"/>
          <w:rPr>
            <w:rFonts w:hint="eastAsia" w:ascii="Times New Roman" w:hAnsi="Times New Roman" w:cs="Times New Roman"/>
            <w:sz w:val="21"/>
            <w:szCs w:val="21"/>
          </w:rPr>
        </w:pPr>
        <w:r>
          <w:rPr>
            <w:rFonts w:ascii="Times New Roman" w:hAnsi="Times New Roman" w:cs="Times New Roman"/>
            <w:sz w:val="21"/>
            <w:szCs w:val="21"/>
          </w:rPr>
          <w:fldChar w:fldCharType="begin"/>
        </w:r>
        <w:r>
          <w:rPr>
            <w:rFonts w:hint="eastAsia"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hint="eastAsia" w:ascii="Times New Roman" w:hAnsi="Times New Roman" w:cs="Times New Roman"/>
            <w:sz w:val="21"/>
            <w:szCs w:val="21"/>
            <w:lang w:val="zh-CN"/>
          </w:rPr>
          <w:t>2</w:t>
        </w:r>
        <w:r>
          <w:rPr>
            <w:rFonts w:ascii="Times New Roman" w:hAnsi="Times New Roman" w:cs="Times New Roman"/>
            <w:sz w:val="21"/>
            <w:szCs w:val="21"/>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08CC11"/>
    <w:multiLevelType w:val="multilevel"/>
    <w:tmpl w:val="B108CC11"/>
    <w:lvl w:ilvl="0" w:tentative="0">
      <w:start w:val="1"/>
      <w:numFmt w:val="decimal"/>
      <w:suff w:val="space"/>
      <w:lvlText w:val="%1)"/>
      <w:lvlJc w:val="left"/>
      <w:pPr>
        <w:ind w:left="440" w:hanging="440"/>
      </w:pPr>
    </w:lvl>
    <w:lvl w:ilvl="1" w:tentative="0">
      <w:start w:val="1"/>
      <w:numFmt w:val="lowerLetter"/>
      <w:suff w:val="space"/>
      <w:lvlText w:val="%2)"/>
      <w:lvlJc w:val="left"/>
      <w:pPr>
        <w:ind w:left="880" w:hanging="440"/>
      </w:pPr>
    </w:lvl>
    <w:lvl w:ilvl="2" w:tentative="0">
      <w:start w:val="1"/>
      <w:numFmt w:val="lowerRoman"/>
      <w:suff w:val="space"/>
      <w:lvlText w:val="%3."/>
      <w:lvlJc w:val="right"/>
      <w:pPr>
        <w:ind w:left="1320" w:hanging="440"/>
      </w:pPr>
    </w:lvl>
    <w:lvl w:ilvl="3" w:tentative="0">
      <w:start w:val="1"/>
      <w:numFmt w:val="decimal"/>
      <w:suff w:val="space"/>
      <w:lvlText w:val="%4."/>
      <w:lvlJc w:val="left"/>
      <w:pPr>
        <w:ind w:left="1760" w:hanging="440"/>
      </w:pPr>
    </w:lvl>
    <w:lvl w:ilvl="4" w:tentative="0">
      <w:start w:val="1"/>
      <w:numFmt w:val="lowerLetter"/>
      <w:suff w:val="space"/>
      <w:lvlText w:val="%5)"/>
      <w:lvlJc w:val="left"/>
      <w:pPr>
        <w:ind w:left="2200" w:hanging="440"/>
      </w:pPr>
    </w:lvl>
    <w:lvl w:ilvl="5" w:tentative="0">
      <w:start w:val="1"/>
      <w:numFmt w:val="lowerRoman"/>
      <w:suff w:val="space"/>
      <w:lvlText w:val="%6."/>
      <w:lvlJc w:val="right"/>
      <w:pPr>
        <w:ind w:left="2640" w:hanging="440"/>
      </w:pPr>
    </w:lvl>
    <w:lvl w:ilvl="6" w:tentative="0">
      <w:start w:val="1"/>
      <w:numFmt w:val="decimal"/>
      <w:suff w:val="space"/>
      <w:lvlText w:val="%7."/>
      <w:lvlJc w:val="left"/>
      <w:pPr>
        <w:ind w:left="3080" w:hanging="440"/>
      </w:pPr>
    </w:lvl>
    <w:lvl w:ilvl="7" w:tentative="0">
      <w:start w:val="1"/>
      <w:numFmt w:val="lowerLetter"/>
      <w:suff w:val="space"/>
      <w:lvlText w:val="%8)"/>
      <w:lvlJc w:val="left"/>
      <w:pPr>
        <w:ind w:left="3520" w:hanging="440"/>
      </w:pPr>
    </w:lvl>
    <w:lvl w:ilvl="8" w:tentative="0">
      <w:start w:val="1"/>
      <w:numFmt w:val="lowerRoman"/>
      <w:suff w:val="space"/>
      <w:lvlText w:val="%9."/>
      <w:lvlJc w:val="right"/>
      <w:pPr>
        <w:ind w:left="3960" w:hanging="440"/>
      </w:pPr>
    </w:lvl>
  </w:abstractNum>
  <w:abstractNum w:abstractNumId="1">
    <w:nsid w:val="B5ED0E7A"/>
    <w:multiLevelType w:val="multilevel"/>
    <w:tmpl w:val="B5ED0E7A"/>
    <w:lvl w:ilvl="0" w:tentative="0">
      <w:start w:val="1"/>
      <w:numFmt w:val="lowerLetter"/>
      <w:suff w:val="space"/>
      <w:lvlText w:val="%1)"/>
      <w:lvlJc w:val="left"/>
      <w:pPr>
        <w:ind w:left="880" w:hanging="440"/>
      </w:pPr>
    </w:lvl>
    <w:lvl w:ilvl="1" w:tentative="0">
      <w:start w:val="1"/>
      <w:numFmt w:val="lowerLetter"/>
      <w:suff w:val="space"/>
      <w:lvlText w:val="%2)"/>
      <w:lvlJc w:val="left"/>
      <w:pPr>
        <w:ind w:left="1320" w:hanging="440"/>
      </w:pPr>
    </w:lvl>
    <w:lvl w:ilvl="2" w:tentative="0">
      <w:start w:val="1"/>
      <w:numFmt w:val="lowerRoman"/>
      <w:suff w:val="space"/>
      <w:lvlText w:val="%3."/>
      <w:lvlJc w:val="right"/>
      <w:pPr>
        <w:ind w:left="1760" w:hanging="440"/>
      </w:pPr>
    </w:lvl>
    <w:lvl w:ilvl="3" w:tentative="0">
      <w:start w:val="1"/>
      <w:numFmt w:val="decimal"/>
      <w:suff w:val="space"/>
      <w:lvlText w:val="%4."/>
      <w:lvlJc w:val="left"/>
      <w:pPr>
        <w:ind w:left="2200" w:hanging="440"/>
      </w:pPr>
    </w:lvl>
    <w:lvl w:ilvl="4" w:tentative="0">
      <w:start w:val="1"/>
      <w:numFmt w:val="lowerLetter"/>
      <w:suff w:val="space"/>
      <w:lvlText w:val="%5)"/>
      <w:lvlJc w:val="left"/>
      <w:pPr>
        <w:ind w:left="2640" w:hanging="440"/>
      </w:pPr>
    </w:lvl>
    <w:lvl w:ilvl="5" w:tentative="0">
      <w:start w:val="1"/>
      <w:numFmt w:val="lowerRoman"/>
      <w:suff w:val="space"/>
      <w:lvlText w:val="%6."/>
      <w:lvlJc w:val="right"/>
      <w:pPr>
        <w:ind w:left="3080" w:hanging="440"/>
      </w:pPr>
    </w:lvl>
    <w:lvl w:ilvl="6" w:tentative="0">
      <w:start w:val="1"/>
      <w:numFmt w:val="decimal"/>
      <w:suff w:val="space"/>
      <w:lvlText w:val="%7."/>
      <w:lvlJc w:val="left"/>
      <w:pPr>
        <w:ind w:left="3520" w:hanging="440"/>
      </w:pPr>
    </w:lvl>
    <w:lvl w:ilvl="7" w:tentative="0">
      <w:start w:val="1"/>
      <w:numFmt w:val="lowerLetter"/>
      <w:suff w:val="space"/>
      <w:lvlText w:val="%8)"/>
      <w:lvlJc w:val="left"/>
      <w:pPr>
        <w:ind w:left="3960" w:hanging="440"/>
      </w:pPr>
    </w:lvl>
    <w:lvl w:ilvl="8" w:tentative="0">
      <w:start w:val="1"/>
      <w:numFmt w:val="lowerRoman"/>
      <w:suff w:val="space"/>
      <w:lvlText w:val="%9."/>
      <w:lvlJc w:val="right"/>
      <w:pPr>
        <w:ind w:left="4400" w:hanging="440"/>
      </w:pPr>
    </w:lvl>
  </w:abstractNum>
  <w:abstractNum w:abstractNumId="2">
    <w:nsid w:val="CF092B84"/>
    <w:multiLevelType w:val="multilevel"/>
    <w:tmpl w:val="CF092B84"/>
    <w:lvl w:ilvl="0" w:tentative="0">
      <w:start w:val="1"/>
      <w:numFmt w:val="lowerLetter"/>
      <w:suff w:val="space"/>
      <w:lvlText w:val="%1)"/>
      <w:lvlJc w:val="left"/>
      <w:pPr>
        <w:ind w:left="440" w:hanging="440"/>
      </w:pPr>
    </w:lvl>
    <w:lvl w:ilvl="1" w:tentative="0">
      <w:start w:val="1"/>
      <w:numFmt w:val="lowerLetter"/>
      <w:pStyle w:val="185"/>
      <w:suff w:val="space"/>
      <w:lvlText w:val="%2)"/>
      <w:lvlJc w:val="left"/>
      <w:pPr>
        <w:ind w:left="880" w:hanging="440"/>
      </w:pPr>
    </w:lvl>
    <w:lvl w:ilvl="2" w:tentative="0">
      <w:start w:val="1"/>
      <w:numFmt w:val="lowerRoman"/>
      <w:suff w:val="space"/>
      <w:lvlText w:val="%3."/>
      <w:lvlJc w:val="right"/>
      <w:pPr>
        <w:ind w:left="1320" w:hanging="440"/>
      </w:pPr>
    </w:lvl>
    <w:lvl w:ilvl="3" w:tentative="0">
      <w:start w:val="1"/>
      <w:numFmt w:val="decimal"/>
      <w:suff w:val="space"/>
      <w:lvlText w:val="%4."/>
      <w:lvlJc w:val="left"/>
      <w:pPr>
        <w:ind w:left="1760" w:hanging="440"/>
      </w:pPr>
    </w:lvl>
    <w:lvl w:ilvl="4" w:tentative="0">
      <w:start w:val="1"/>
      <w:numFmt w:val="lowerLetter"/>
      <w:suff w:val="space"/>
      <w:lvlText w:val="%5)"/>
      <w:lvlJc w:val="left"/>
      <w:pPr>
        <w:ind w:left="2200" w:hanging="440"/>
      </w:pPr>
    </w:lvl>
    <w:lvl w:ilvl="5" w:tentative="0">
      <w:start w:val="1"/>
      <w:numFmt w:val="lowerRoman"/>
      <w:suff w:val="space"/>
      <w:lvlText w:val="%6."/>
      <w:lvlJc w:val="right"/>
      <w:pPr>
        <w:ind w:left="2640" w:hanging="440"/>
      </w:pPr>
    </w:lvl>
    <w:lvl w:ilvl="6" w:tentative="0">
      <w:start w:val="1"/>
      <w:numFmt w:val="decimal"/>
      <w:suff w:val="space"/>
      <w:lvlText w:val="%7."/>
      <w:lvlJc w:val="left"/>
      <w:pPr>
        <w:ind w:left="3080" w:hanging="440"/>
      </w:pPr>
    </w:lvl>
    <w:lvl w:ilvl="7" w:tentative="0">
      <w:start w:val="1"/>
      <w:numFmt w:val="lowerLetter"/>
      <w:suff w:val="space"/>
      <w:lvlText w:val="%8)"/>
      <w:lvlJc w:val="left"/>
      <w:pPr>
        <w:ind w:left="3520" w:hanging="440"/>
      </w:pPr>
    </w:lvl>
    <w:lvl w:ilvl="8" w:tentative="0">
      <w:start w:val="1"/>
      <w:numFmt w:val="lowerRoman"/>
      <w:suff w:val="space"/>
      <w:lvlText w:val="%9."/>
      <w:lvlJc w:val="right"/>
      <w:pPr>
        <w:ind w:left="3960" w:hanging="440"/>
      </w:pPr>
    </w:lvl>
  </w:abstractNum>
  <w:abstractNum w:abstractNumId="3">
    <w:nsid w:val="E7051897"/>
    <w:multiLevelType w:val="multilevel"/>
    <w:tmpl w:val="E7051897"/>
    <w:lvl w:ilvl="0" w:tentative="0">
      <w:start w:val="1"/>
      <w:numFmt w:val="lowerLetter"/>
      <w:suff w:val="space"/>
      <w:lvlText w:val="%1)"/>
      <w:lvlJc w:val="left"/>
      <w:pPr>
        <w:ind w:left="1320" w:hanging="440"/>
      </w:pPr>
    </w:lvl>
    <w:lvl w:ilvl="1" w:tentative="0">
      <w:start w:val="1"/>
      <w:numFmt w:val="lowerLetter"/>
      <w:suff w:val="space"/>
      <w:lvlText w:val="%2)"/>
      <w:lvlJc w:val="left"/>
      <w:pPr>
        <w:ind w:left="1760" w:hanging="440"/>
      </w:pPr>
    </w:lvl>
    <w:lvl w:ilvl="2" w:tentative="0">
      <w:start w:val="1"/>
      <w:numFmt w:val="lowerRoman"/>
      <w:suff w:val="space"/>
      <w:lvlText w:val="%3."/>
      <w:lvlJc w:val="right"/>
      <w:pPr>
        <w:ind w:left="2200" w:hanging="440"/>
      </w:pPr>
    </w:lvl>
    <w:lvl w:ilvl="3" w:tentative="0">
      <w:start w:val="1"/>
      <w:numFmt w:val="decimal"/>
      <w:suff w:val="space"/>
      <w:lvlText w:val="%4."/>
      <w:lvlJc w:val="left"/>
      <w:pPr>
        <w:ind w:left="2640" w:hanging="440"/>
      </w:pPr>
    </w:lvl>
    <w:lvl w:ilvl="4" w:tentative="0">
      <w:start w:val="1"/>
      <w:numFmt w:val="lowerLetter"/>
      <w:suff w:val="space"/>
      <w:lvlText w:val="%5)"/>
      <w:lvlJc w:val="left"/>
      <w:pPr>
        <w:ind w:left="3080" w:hanging="440"/>
      </w:pPr>
    </w:lvl>
    <w:lvl w:ilvl="5" w:tentative="0">
      <w:start w:val="1"/>
      <w:numFmt w:val="lowerRoman"/>
      <w:suff w:val="space"/>
      <w:lvlText w:val="%6."/>
      <w:lvlJc w:val="right"/>
      <w:pPr>
        <w:ind w:left="3520" w:hanging="440"/>
      </w:pPr>
    </w:lvl>
    <w:lvl w:ilvl="6" w:tentative="0">
      <w:start w:val="1"/>
      <w:numFmt w:val="decimal"/>
      <w:suff w:val="space"/>
      <w:lvlText w:val="%7."/>
      <w:lvlJc w:val="left"/>
      <w:pPr>
        <w:ind w:left="3960" w:hanging="440"/>
      </w:pPr>
    </w:lvl>
    <w:lvl w:ilvl="7" w:tentative="0">
      <w:start w:val="1"/>
      <w:numFmt w:val="lowerLetter"/>
      <w:suff w:val="space"/>
      <w:lvlText w:val="%8)"/>
      <w:lvlJc w:val="left"/>
      <w:pPr>
        <w:ind w:left="4400" w:hanging="440"/>
      </w:pPr>
    </w:lvl>
    <w:lvl w:ilvl="8" w:tentative="0">
      <w:start w:val="1"/>
      <w:numFmt w:val="lowerRoman"/>
      <w:suff w:val="space"/>
      <w:lvlText w:val="%9."/>
      <w:lvlJc w:val="right"/>
      <w:pPr>
        <w:ind w:left="4840" w:hanging="440"/>
      </w:pPr>
    </w:lvl>
  </w:abstractNum>
  <w:abstractNum w:abstractNumId="4">
    <w:nsid w:val="0053208E"/>
    <w:multiLevelType w:val="multilevel"/>
    <w:tmpl w:val="0053208E"/>
    <w:lvl w:ilvl="0" w:tentative="0">
      <w:start w:val="1"/>
      <w:numFmt w:val="decimal"/>
      <w:pStyle w:val="184"/>
      <w:suff w:val="space"/>
      <w:lvlText w:val="%1"/>
      <w:lvlJc w:val="left"/>
      <w:pPr>
        <w:ind w:left="0" w:firstLine="0"/>
      </w:pPr>
      <w:rPr>
        <w:rFonts w:hint="default" w:ascii="黑体" w:hAnsi="黑体" w:eastAsia="黑体" w:cs="Heiti SC Medium"/>
        <w:i w:val="0"/>
        <w:szCs w:val="21"/>
      </w:rPr>
    </w:lvl>
    <w:lvl w:ilvl="1" w:tentative="0">
      <w:start w:val="1"/>
      <w:numFmt w:val="decimal"/>
      <w:suff w:val="space"/>
      <w:lvlText w:val="%1.%2"/>
      <w:lvlJc w:val="left"/>
      <w:pPr>
        <w:ind w:left="0" w:firstLine="0"/>
      </w:pPr>
      <w:rPr>
        <w:rFonts w:hint="default" w:ascii="黑体" w:hAnsi="黑体" w:eastAsia="黑体" w:cs="黑体"/>
        <w:szCs w:val="21"/>
      </w:rPr>
    </w:lvl>
    <w:lvl w:ilvl="2" w:tentative="0">
      <w:start w:val="1"/>
      <w:numFmt w:val="decimal"/>
      <w:suff w:val="space"/>
      <w:lvlText w:val="%1.%2.%3"/>
      <w:lvlJc w:val="left"/>
      <w:pPr>
        <w:ind w:left="0" w:firstLine="0"/>
      </w:pPr>
      <w:rPr>
        <w:rFonts w:hint="default" w:ascii="黑体" w:hAnsi="黑体" w:eastAsia="黑体" w:cs="黑体"/>
        <w:b w:val="0"/>
        <w:bCs w:val="0"/>
      </w:rPr>
    </w:lvl>
    <w:lvl w:ilvl="3" w:tentative="0">
      <w:start w:val="1"/>
      <w:numFmt w:val="decimal"/>
      <w:suff w:val="space"/>
      <w:lvlText w:val="%1.%2.%3.%4"/>
      <w:lvlJc w:val="left"/>
      <w:pPr>
        <w:ind w:left="284" w:hanging="284"/>
      </w:pPr>
      <w:rPr>
        <w:rFonts w:hint="default" w:ascii="黑体" w:hAnsi="黑体" w:eastAsia="黑体" w:cs="黑体"/>
      </w:rPr>
    </w:lvl>
    <w:lvl w:ilvl="4" w:tentative="0">
      <w:start w:val="1"/>
      <w:numFmt w:val="decimal"/>
      <w:suff w:val="space"/>
      <w:lvlText w:val="%1.%2.%3.%4.%5."/>
      <w:lvlJc w:val="left"/>
      <w:pPr>
        <w:ind w:left="0" w:firstLine="0"/>
      </w:pPr>
      <w:rPr>
        <w:rFonts w:hint="eastAsia"/>
      </w:rPr>
    </w:lvl>
    <w:lvl w:ilvl="5" w:tentative="0">
      <w:start w:val="1"/>
      <w:numFmt w:val="decimal"/>
      <w:suff w:val="space"/>
      <w:lvlText w:val="%1.%2.%3.%4.%5.%6."/>
      <w:lvlJc w:val="left"/>
      <w:pPr>
        <w:ind w:left="0" w:firstLine="0"/>
      </w:pPr>
      <w:rPr>
        <w:rFonts w:hint="eastAsia"/>
      </w:rPr>
    </w:lvl>
    <w:lvl w:ilvl="6" w:tentative="0">
      <w:start w:val="1"/>
      <w:numFmt w:val="decimal"/>
      <w:suff w:val="space"/>
      <w:lvlText w:val="%1.%2.%3.%4.%5.%6.%7."/>
      <w:lvlJc w:val="left"/>
      <w:pPr>
        <w:ind w:left="284" w:hanging="284"/>
      </w:pPr>
      <w:rPr>
        <w:rFonts w:hint="eastAsia"/>
      </w:rPr>
    </w:lvl>
    <w:lvl w:ilvl="7" w:tentative="0">
      <w:start w:val="1"/>
      <w:numFmt w:val="decimal"/>
      <w:suff w:val="space"/>
      <w:lvlText w:val="%1.%2.%3.%4.%5.%6.%7.%8."/>
      <w:lvlJc w:val="left"/>
      <w:pPr>
        <w:ind w:left="284" w:hanging="284"/>
      </w:pPr>
      <w:rPr>
        <w:rFonts w:hint="eastAsia"/>
      </w:rPr>
    </w:lvl>
    <w:lvl w:ilvl="8" w:tentative="0">
      <w:start w:val="1"/>
      <w:numFmt w:val="decimal"/>
      <w:suff w:val="space"/>
      <w:lvlText w:val="%1.%2.%3.%4.%5.%6.%7.%8.%9."/>
      <w:lvlJc w:val="left"/>
      <w:pPr>
        <w:ind w:left="284" w:hanging="284"/>
      </w:pPr>
      <w:rPr>
        <w:rFonts w:hint="eastAsia"/>
      </w:rPr>
    </w:lvl>
  </w:abstractNum>
  <w:abstractNum w:abstractNumId="5">
    <w:nsid w:val="13B1AAF9"/>
    <w:multiLevelType w:val="multilevel"/>
    <w:tmpl w:val="13B1AAF9"/>
    <w:lvl w:ilvl="0" w:tentative="0">
      <w:start w:val="1"/>
      <w:numFmt w:val="decimal"/>
      <w:suff w:val="space"/>
      <w:lvlText w:val="%1)"/>
      <w:lvlJc w:val="left"/>
      <w:pPr>
        <w:ind w:left="440" w:hanging="440"/>
      </w:pPr>
    </w:lvl>
    <w:lvl w:ilvl="1" w:tentative="0">
      <w:start w:val="1"/>
      <w:numFmt w:val="lowerLetter"/>
      <w:suff w:val="space"/>
      <w:lvlText w:val="%2)"/>
      <w:lvlJc w:val="left"/>
      <w:pPr>
        <w:ind w:left="880" w:hanging="440"/>
      </w:pPr>
    </w:lvl>
    <w:lvl w:ilvl="2" w:tentative="0">
      <w:start w:val="1"/>
      <w:numFmt w:val="lowerRoman"/>
      <w:suff w:val="space"/>
      <w:lvlText w:val="%3."/>
      <w:lvlJc w:val="right"/>
      <w:pPr>
        <w:ind w:left="1320" w:hanging="440"/>
      </w:pPr>
    </w:lvl>
    <w:lvl w:ilvl="3" w:tentative="0">
      <w:start w:val="1"/>
      <w:numFmt w:val="decimal"/>
      <w:suff w:val="space"/>
      <w:lvlText w:val="%4."/>
      <w:lvlJc w:val="left"/>
      <w:pPr>
        <w:ind w:left="1760" w:hanging="440"/>
      </w:pPr>
    </w:lvl>
    <w:lvl w:ilvl="4" w:tentative="0">
      <w:start w:val="1"/>
      <w:numFmt w:val="lowerLetter"/>
      <w:suff w:val="space"/>
      <w:lvlText w:val="%5)"/>
      <w:lvlJc w:val="left"/>
      <w:pPr>
        <w:ind w:left="2200" w:hanging="440"/>
      </w:pPr>
    </w:lvl>
    <w:lvl w:ilvl="5" w:tentative="0">
      <w:start w:val="1"/>
      <w:numFmt w:val="lowerRoman"/>
      <w:suff w:val="space"/>
      <w:lvlText w:val="%6."/>
      <w:lvlJc w:val="right"/>
      <w:pPr>
        <w:ind w:left="2640" w:hanging="440"/>
      </w:pPr>
    </w:lvl>
    <w:lvl w:ilvl="6" w:tentative="0">
      <w:start w:val="1"/>
      <w:numFmt w:val="decimal"/>
      <w:suff w:val="space"/>
      <w:lvlText w:val="%7."/>
      <w:lvlJc w:val="left"/>
      <w:pPr>
        <w:ind w:left="3080" w:hanging="440"/>
      </w:pPr>
    </w:lvl>
    <w:lvl w:ilvl="7" w:tentative="0">
      <w:start w:val="1"/>
      <w:numFmt w:val="lowerLetter"/>
      <w:suff w:val="space"/>
      <w:lvlText w:val="%8)"/>
      <w:lvlJc w:val="left"/>
      <w:pPr>
        <w:ind w:left="3520" w:hanging="440"/>
      </w:pPr>
    </w:lvl>
    <w:lvl w:ilvl="8" w:tentative="0">
      <w:start w:val="1"/>
      <w:numFmt w:val="lowerRoman"/>
      <w:suff w:val="space"/>
      <w:lvlText w:val="%9."/>
      <w:lvlJc w:val="right"/>
      <w:pPr>
        <w:ind w:left="3960" w:hanging="440"/>
      </w:pPr>
    </w:lvl>
  </w:abstractNum>
  <w:abstractNum w:abstractNumId="6">
    <w:nsid w:val="1F29B800"/>
    <w:multiLevelType w:val="multilevel"/>
    <w:tmpl w:val="1F29B800"/>
    <w:lvl w:ilvl="0" w:tentative="0">
      <w:start w:val="1"/>
      <w:numFmt w:val="decimal"/>
      <w:suff w:val="space"/>
      <w:lvlText w:val="%1)"/>
      <w:lvlJc w:val="left"/>
      <w:pPr>
        <w:ind w:left="440" w:hanging="440"/>
      </w:pPr>
    </w:lvl>
    <w:lvl w:ilvl="1" w:tentative="0">
      <w:start w:val="1"/>
      <w:numFmt w:val="lowerLetter"/>
      <w:suff w:val="space"/>
      <w:lvlText w:val="%2)"/>
      <w:lvlJc w:val="left"/>
      <w:pPr>
        <w:ind w:left="880" w:hanging="440"/>
      </w:pPr>
    </w:lvl>
    <w:lvl w:ilvl="2" w:tentative="0">
      <w:start w:val="1"/>
      <w:numFmt w:val="lowerRoman"/>
      <w:suff w:val="space"/>
      <w:lvlText w:val="%3."/>
      <w:lvlJc w:val="right"/>
      <w:pPr>
        <w:ind w:left="1320" w:hanging="440"/>
      </w:pPr>
    </w:lvl>
    <w:lvl w:ilvl="3" w:tentative="0">
      <w:start w:val="1"/>
      <w:numFmt w:val="decimal"/>
      <w:suff w:val="space"/>
      <w:lvlText w:val="%4."/>
      <w:lvlJc w:val="left"/>
      <w:pPr>
        <w:ind w:left="1760" w:hanging="440"/>
      </w:pPr>
    </w:lvl>
    <w:lvl w:ilvl="4" w:tentative="0">
      <w:start w:val="1"/>
      <w:numFmt w:val="lowerLetter"/>
      <w:suff w:val="space"/>
      <w:lvlText w:val="%5)"/>
      <w:lvlJc w:val="left"/>
      <w:pPr>
        <w:ind w:left="2200" w:hanging="440"/>
      </w:pPr>
    </w:lvl>
    <w:lvl w:ilvl="5" w:tentative="0">
      <w:start w:val="1"/>
      <w:numFmt w:val="lowerRoman"/>
      <w:suff w:val="space"/>
      <w:lvlText w:val="%6."/>
      <w:lvlJc w:val="right"/>
      <w:pPr>
        <w:ind w:left="2640" w:hanging="440"/>
      </w:pPr>
    </w:lvl>
    <w:lvl w:ilvl="6" w:tentative="0">
      <w:start w:val="1"/>
      <w:numFmt w:val="decimal"/>
      <w:suff w:val="space"/>
      <w:lvlText w:val="%7."/>
      <w:lvlJc w:val="left"/>
      <w:pPr>
        <w:ind w:left="3080" w:hanging="440"/>
      </w:pPr>
    </w:lvl>
    <w:lvl w:ilvl="7" w:tentative="0">
      <w:start w:val="1"/>
      <w:numFmt w:val="lowerLetter"/>
      <w:suff w:val="space"/>
      <w:lvlText w:val="%8)"/>
      <w:lvlJc w:val="left"/>
      <w:pPr>
        <w:ind w:left="3520" w:hanging="440"/>
      </w:pPr>
    </w:lvl>
    <w:lvl w:ilvl="8" w:tentative="0">
      <w:start w:val="1"/>
      <w:numFmt w:val="lowerRoman"/>
      <w:suff w:val="space"/>
      <w:lvlText w:val="%9."/>
      <w:lvlJc w:val="right"/>
      <w:pPr>
        <w:ind w:left="3960" w:hanging="440"/>
      </w:pPr>
    </w:lvl>
  </w:abstractNum>
  <w:abstractNum w:abstractNumId="7">
    <w:nsid w:val="37E4423A"/>
    <w:multiLevelType w:val="multilevel"/>
    <w:tmpl w:val="37E4423A"/>
    <w:lvl w:ilvl="0" w:tentative="0">
      <w:start w:val="1"/>
      <w:numFmt w:val="decimal"/>
      <w:suff w:val="space"/>
      <w:lvlText w:val="%1)"/>
      <w:lvlJc w:val="left"/>
      <w:pPr>
        <w:ind w:left="440" w:hanging="440"/>
      </w:pPr>
    </w:lvl>
    <w:lvl w:ilvl="1" w:tentative="0">
      <w:start w:val="1"/>
      <w:numFmt w:val="lowerLetter"/>
      <w:suff w:val="space"/>
      <w:lvlText w:val="%2)"/>
      <w:lvlJc w:val="left"/>
      <w:pPr>
        <w:ind w:left="880" w:hanging="440"/>
      </w:pPr>
    </w:lvl>
    <w:lvl w:ilvl="2" w:tentative="0">
      <w:start w:val="1"/>
      <w:numFmt w:val="lowerRoman"/>
      <w:suff w:val="space"/>
      <w:lvlText w:val="%3."/>
      <w:lvlJc w:val="right"/>
      <w:pPr>
        <w:ind w:left="1320" w:hanging="440"/>
      </w:pPr>
    </w:lvl>
    <w:lvl w:ilvl="3" w:tentative="0">
      <w:start w:val="1"/>
      <w:numFmt w:val="decimal"/>
      <w:suff w:val="space"/>
      <w:lvlText w:val="%4."/>
      <w:lvlJc w:val="left"/>
      <w:pPr>
        <w:ind w:left="1760" w:hanging="440"/>
      </w:pPr>
    </w:lvl>
    <w:lvl w:ilvl="4" w:tentative="0">
      <w:start w:val="1"/>
      <w:numFmt w:val="lowerLetter"/>
      <w:suff w:val="space"/>
      <w:lvlText w:val="%5)"/>
      <w:lvlJc w:val="left"/>
      <w:pPr>
        <w:ind w:left="2200" w:hanging="440"/>
      </w:pPr>
    </w:lvl>
    <w:lvl w:ilvl="5" w:tentative="0">
      <w:start w:val="1"/>
      <w:numFmt w:val="lowerRoman"/>
      <w:suff w:val="space"/>
      <w:lvlText w:val="%6."/>
      <w:lvlJc w:val="right"/>
      <w:pPr>
        <w:ind w:left="2640" w:hanging="440"/>
      </w:pPr>
    </w:lvl>
    <w:lvl w:ilvl="6" w:tentative="0">
      <w:start w:val="1"/>
      <w:numFmt w:val="decimal"/>
      <w:suff w:val="space"/>
      <w:lvlText w:val="%7."/>
      <w:lvlJc w:val="left"/>
      <w:pPr>
        <w:ind w:left="3080" w:hanging="440"/>
      </w:pPr>
    </w:lvl>
    <w:lvl w:ilvl="7" w:tentative="0">
      <w:start w:val="1"/>
      <w:numFmt w:val="lowerLetter"/>
      <w:suff w:val="space"/>
      <w:lvlText w:val="%8)"/>
      <w:lvlJc w:val="left"/>
      <w:pPr>
        <w:ind w:left="3520" w:hanging="440"/>
      </w:pPr>
    </w:lvl>
    <w:lvl w:ilvl="8" w:tentative="0">
      <w:start w:val="1"/>
      <w:numFmt w:val="lowerRoman"/>
      <w:suff w:val="space"/>
      <w:lvlText w:val="%9."/>
      <w:lvlJc w:val="right"/>
      <w:pPr>
        <w:ind w:left="3960" w:hanging="440"/>
      </w:pPr>
    </w:lvl>
  </w:abstractNum>
  <w:abstractNum w:abstractNumId="8">
    <w:nsid w:val="3D7A41D6"/>
    <w:multiLevelType w:val="multilevel"/>
    <w:tmpl w:val="3D7A41D6"/>
    <w:lvl w:ilvl="0" w:tentative="0">
      <w:start w:val="1"/>
      <w:numFmt w:val="decimal"/>
      <w:suff w:val="space"/>
      <w:lvlText w:val="%1)"/>
      <w:lvlJc w:val="left"/>
      <w:pPr>
        <w:ind w:left="440" w:hanging="440"/>
      </w:pPr>
    </w:lvl>
    <w:lvl w:ilvl="1" w:tentative="0">
      <w:start w:val="1"/>
      <w:numFmt w:val="lowerLetter"/>
      <w:suff w:val="space"/>
      <w:lvlText w:val="%2)"/>
      <w:lvlJc w:val="left"/>
      <w:pPr>
        <w:ind w:left="880" w:hanging="440"/>
      </w:pPr>
    </w:lvl>
    <w:lvl w:ilvl="2" w:tentative="0">
      <w:start w:val="1"/>
      <w:numFmt w:val="lowerRoman"/>
      <w:suff w:val="space"/>
      <w:lvlText w:val="%3."/>
      <w:lvlJc w:val="right"/>
      <w:pPr>
        <w:ind w:left="1320" w:hanging="440"/>
      </w:pPr>
    </w:lvl>
    <w:lvl w:ilvl="3" w:tentative="0">
      <w:start w:val="1"/>
      <w:numFmt w:val="decimal"/>
      <w:suff w:val="space"/>
      <w:lvlText w:val="%4."/>
      <w:lvlJc w:val="left"/>
      <w:pPr>
        <w:ind w:left="1760" w:hanging="440"/>
      </w:pPr>
    </w:lvl>
    <w:lvl w:ilvl="4" w:tentative="0">
      <w:start w:val="1"/>
      <w:numFmt w:val="lowerLetter"/>
      <w:suff w:val="space"/>
      <w:lvlText w:val="%5)"/>
      <w:lvlJc w:val="left"/>
      <w:pPr>
        <w:ind w:left="2200" w:hanging="440"/>
      </w:pPr>
    </w:lvl>
    <w:lvl w:ilvl="5" w:tentative="0">
      <w:start w:val="1"/>
      <w:numFmt w:val="lowerRoman"/>
      <w:suff w:val="space"/>
      <w:lvlText w:val="%6."/>
      <w:lvlJc w:val="right"/>
      <w:pPr>
        <w:ind w:left="2640" w:hanging="440"/>
      </w:pPr>
    </w:lvl>
    <w:lvl w:ilvl="6" w:tentative="0">
      <w:start w:val="1"/>
      <w:numFmt w:val="decimal"/>
      <w:suff w:val="space"/>
      <w:lvlText w:val="%7."/>
      <w:lvlJc w:val="left"/>
      <w:pPr>
        <w:ind w:left="3080" w:hanging="440"/>
      </w:pPr>
    </w:lvl>
    <w:lvl w:ilvl="7" w:tentative="0">
      <w:start w:val="1"/>
      <w:numFmt w:val="lowerLetter"/>
      <w:suff w:val="space"/>
      <w:lvlText w:val="%8)"/>
      <w:lvlJc w:val="left"/>
      <w:pPr>
        <w:ind w:left="3520" w:hanging="440"/>
      </w:pPr>
    </w:lvl>
    <w:lvl w:ilvl="8" w:tentative="0">
      <w:start w:val="1"/>
      <w:numFmt w:val="lowerRoman"/>
      <w:suff w:val="space"/>
      <w:lvlText w:val="%9."/>
      <w:lvlJc w:val="right"/>
      <w:pPr>
        <w:ind w:left="3960" w:hanging="440"/>
      </w:pPr>
    </w:lvl>
  </w:abstractNum>
  <w:abstractNum w:abstractNumId="9">
    <w:nsid w:val="572B3D77"/>
    <w:multiLevelType w:val="multilevel"/>
    <w:tmpl w:val="572B3D77"/>
    <w:lvl w:ilvl="0" w:tentative="0">
      <w:start w:val="1"/>
      <w:numFmt w:val="decimal"/>
      <w:suff w:val="space"/>
      <w:lvlText w:val="%1)"/>
      <w:lvlJc w:val="left"/>
      <w:pPr>
        <w:ind w:left="880" w:hanging="440"/>
      </w:pPr>
    </w:lvl>
    <w:lvl w:ilvl="1" w:tentative="0">
      <w:start w:val="1"/>
      <w:numFmt w:val="lowerLetter"/>
      <w:suff w:val="space"/>
      <w:lvlText w:val="%2)"/>
      <w:lvlJc w:val="left"/>
      <w:pPr>
        <w:ind w:left="1320" w:hanging="440"/>
      </w:pPr>
    </w:lvl>
    <w:lvl w:ilvl="2" w:tentative="0">
      <w:start w:val="1"/>
      <w:numFmt w:val="lowerRoman"/>
      <w:suff w:val="space"/>
      <w:lvlText w:val="%3."/>
      <w:lvlJc w:val="right"/>
      <w:pPr>
        <w:ind w:left="1760" w:hanging="440"/>
      </w:pPr>
    </w:lvl>
    <w:lvl w:ilvl="3" w:tentative="0">
      <w:start w:val="1"/>
      <w:numFmt w:val="decimal"/>
      <w:suff w:val="space"/>
      <w:lvlText w:val="%4."/>
      <w:lvlJc w:val="left"/>
      <w:pPr>
        <w:ind w:left="2200" w:hanging="440"/>
      </w:pPr>
    </w:lvl>
    <w:lvl w:ilvl="4" w:tentative="0">
      <w:start w:val="1"/>
      <w:numFmt w:val="lowerLetter"/>
      <w:suff w:val="space"/>
      <w:lvlText w:val="%5)"/>
      <w:lvlJc w:val="left"/>
      <w:pPr>
        <w:ind w:left="2640" w:hanging="440"/>
      </w:pPr>
    </w:lvl>
    <w:lvl w:ilvl="5" w:tentative="0">
      <w:start w:val="1"/>
      <w:numFmt w:val="lowerRoman"/>
      <w:suff w:val="space"/>
      <w:lvlText w:val="%6."/>
      <w:lvlJc w:val="right"/>
      <w:pPr>
        <w:ind w:left="3080" w:hanging="440"/>
      </w:pPr>
    </w:lvl>
    <w:lvl w:ilvl="6" w:tentative="0">
      <w:start w:val="1"/>
      <w:numFmt w:val="decimal"/>
      <w:suff w:val="space"/>
      <w:lvlText w:val="%7."/>
      <w:lvlJc w:val="left"/>
      <w:pPr>
        <w:ind w:left="3520" w:hanging="440"/>
      </w:pPr>
    </w:lvl>
    <w:lvl w:ilvl="7" w:tentative="0">
      <w:start w:val="1"/>
      <w:numFmt w:val="lowerLetter"/>
      <w:suff w:val="space"/>
      <w:lvlText w:val="%8)"/>
      <w:lvlJc w:val="left"/>
      <w:pPr>
        <w:ind w:left="3960" w:hanging="440"/>
      </w:pPr>
    </w:lvl>
    <w:lvl w:ilvl="8" w:tentative="0">
      <w:start w:val="1"/>
      <w:numFmt w:val="lowerRoman"/>
      <w:suff w:val="space"/>
      <w:lvlText w:val="%9."/>
      <w:lvlJc w:val="right"/>
      <w:pPr>
        <w:ind w:left="4400" w:hanging="440"/>
      </w:pPr>
    </w:lvl>
  </w:abstractNum>
  <w:abstractNum w:abstractNumId="10">
    <w:nsid w:val="65093DB2"/>
    <w:multiLevelType w:val="multilevel"/>
    <w:tmpl w:val="65093DB2"/>
    <w:lvl w:ilvl="0" w:tentative="0">
      <w:start w:val="1"/>
      <w:numFmt w:val="decimal"/>
      <w:suff w:val="space"/>
      <w:lvlText w:val="%1)"/>
      <w:lvlJc w:val="left"/>
      <w:pPr>
        <w:ind w:left="440" w:hanging="440"/>
      </w:pPr>
    </w:lvl>
    <w:lvl w:ilvl="1" w:tentative="0">
      <w:start w:val="1"/>
      <w:numFmt w:val="lowerLetter"/>
      <w:suff w:val="space"/>
      <w:lvlText w:val="%2)"/>
      <w:lvlJc w:val="left"/>
      <w:pPr>
        <w:ind w:left="880" w:hanging="440"/>
      </w:pPr>
    </w:lvl>
    <w:lvl w:ilvl="2" w:tentative="0">
      <w:start w:val="1"/>
      <w:numFmt w:val="lowerRoman"/>
      <w:suff w:val="space"/>
      <w:lvlText w:val="%3."/>
      <w:lvlJc w:val="right"/>
      <w:pPr>
        <w:ind w:left="1320" w:hanging="440"/>
      </w:pPr>
    </w:lvl>
    <w:lvl w:ilvl="3" w:tentative="0">
      <w:start w:val="1"/>
      <w:numFmt w:val="decimal"/>
      <w:suff w:val="space"/>
      <w:lvlText w:val="%4."/>
      <w:lvlJc w:val="left"/>
      <w:pPr>
        <w:ind w:left="1760" w:hanging="440"/>
      </w:pPr>
    </w:lvl>
    <w:lvl w:ilvl="4" w:tentative="0">
      <w:start w:val="1"/>
      <w:numFmt w:val="lowerLetter"/>
      <w:suff w:val="space"/>
      <w:lvlText w:val="%5)"/>
      <w:lvlJc w:val="left"/>
      <w:pPr>
        <w:ind w:left="2200" w:hanging="440"/>
      </w:pPr>
    </w:lvl>
    <w:lvl w:ilvl="5" w:tentative="0">
      <w:start w:val="1"/>
      <w:numFmt w:val="lowerRoman"/>
      <w:suff w:val="space"/>
      <w:lvlText w:val="%6."/>
      <w:lvlJc w:val="right"/>
      <w:pPr>
        <w:ind w:left="2640" w:hanging="440"/>
      </w:pPr>
    </w:lvl>
    <w:lvl w:ilvl="6" w:tentative="0">
      <w:start w:val="1"/>
      <w:numFmt w:val="decimal"/>
      <w:suff w:val="space"/>
      <w:lvlText w:val="%7."/>
      <w:lvlJc w:val="left"/>
      <w:pPr>
        <w:ind w:left="3080" w:hanging="440"/>
      </w:pPr>
    </w:lvl>
    <w:lvl w:ilvl="7" w:tentative="0">
      <w:start w:val="1"/>
      <w:numFmt w:val="lowerLetter"/>
      <w:suff w:val="space"/>
      <w:lvlText w:val="%8)"/>
      <w:lvlJc w:val="left"/>
      <w:pPr>
        <w:ind w:left="3520" w:hanging="440"/>
      </w:pPr>
    </w:lvl>
    <w:lvl w:ilvl="8" w:tentative="0">
      <w:start w:val="1"/>
      <w:numFmt w:val="lowerRoman"/>
      <w:suff w:val="space"/>
      <w:lvlText w:val="%9."/>
      <w:lvlJc w:val="right"/>
      <w:pPr>
        <w:ind w:left="3960" w:hanging="440"/>
      </w:pPr>
    </w:lvl>
  </w:abstractNum>
  <w:abstractNum w:abstractNumId="11">
    <w:nsid w:val="7806B357"/>
    <w:multiLevelType w:val="multilevel"/>
    <w:tmpl w:val="7806B357"/>
    <w:lvl w:ilvl="0" w:tentative="0">
      <w:start w:val="1"/>
      <w:numFmt w:val="decimal"/>
      <w:suff w:val="space"/>
      <w:lvlText w:val="%1)"/>
      <w:lvlJc w:val="left"/>
      <w:pPr>
        <w:ind w:left="440" w:hanging="440"/>
      </w:pPr>
    </w:lvl>
    <w:lvl w:ilvl="1" w:tentative="0">
      <w:start w:val="1"/>
      <w:numFmt w:val="lowerLetter"/>
      <w:suff w:val="space"/>
      <w:lvlText w:val="%2)"/>
      <w:lvlJc w:val="left"/>
      <w:pPr>
        <w:ind w:left="880" w:hanging="440"/>
      </w:pPr>
    </w:lvl>
    <w:lvl w:ilvl="2" w:tentative="0">
      <w:start w:val="1"/>
      <w:numFmt w:val="lowerRoman"/>
      <w:suff w:val="space"/>
      <w:lvlText w:val="%3."/>
      <w:lvlJc w:val="right"/>
      <w:pPr>
        <w:ind w:left="1320" w:hanging="440"/>
      </w:pPr>
    </w:lvl>
    <w:lvl w:ilvl="3" w:tentative="0">
      <w:start w:val="1"/>
      <w:numFmt w:val="decimal"/>
      <w:suff w:val="space"/>
      <w:lvlText w:val="%4."/>
      <w:lvlJc w:val="left"/>
      <w:pPr>
        <w:ind w:left="1760" w:hanging="440"/>
      </w:pPr>
    </w:lvl>
    <w:lvl w:ilvl="4" w:tentative="0">
      <w:start w:val="1"/>
      <w:numFmt w:val="lowerLetter"/>
      <w:suff w:val="space"/>
      <w:lvlText w:val="%5)"/>
      <w:lvlJc w:val="left"/>
      <w:pPr>
        <w:ind w:left="2200" w:hanging="440"/>
      </w:pPr>
    </w:lvl>
    <w:lvl w:ilvl="5" w:tentative="0">
      <w:start w:val="1"/>
      <w:numFmt w:val="lowerRoman"/>
      <w:suff w:val="space"/>
      <w:lvlText w:val="%6."/>
      <w:lvlJc w:val="right"/>
      <w:pPr>
        <w:ind w:left="2640" w:hanging="440"/>
      </w:pPr>
    </w:lvl>
    <w:lvl w:ilvl="6" w:tentative="0">
      <w:start w:val="1"/>
      <w:numFmt w:val="decimal"/>
      <w:suff w:val="space"/>
      <w:lvlText w:val="%7."/>
      <w:lvlJc w:val="left"/>
      <w:pPr>
        <w:ind w:left="3080" w:hanging="440"/>
      </w:pPr>
    </w:lvl>
    <w:lvl w:ilvl="7" w:tentative="0">
      <w:start w:val="1"/>
      <w:numFmt w:val="lowerLetter"/>
      <w:suff w:val="space"/>
      <w:lvlText w:val="%8)"/>
      <w:lvlJc w:val="left"/>
      <w:pPr>
        <w:ind w:left="3520" w:hanging="440"/>
      </w:pPr>
    </w:lvl>
    <w:lvl w:ilvl="8" w:tentative="0">
      <w:start w:val="1"/>
      <w:numFmt w:val="lowerRoman"/>
      <w:suff w:val="space"/>
      <w:lvlText w:val="%9."/>
      <w:lvlJc w:val="right"/>
      <w:pPr>
        <w:ind w:left="3960" w:hanging="440"/>
      </w:pPr>
    </w:lvl>
  </w:abstractNum>
  <w:num w:numId="1">
    <w:abstractNumId w:val="4"/>
  </w:num>
  <w:num w:numId="2">
    <w:abstractNumId w:val="2"/>
  </w:num>
  <w:num w:numId="3">
    <w:abstractNumId w:val="0"/>
  </w:num>
  <w:num w:numId="4">
    <w:abstractNumId w:val="7"/>
  </w:num>
  <w:num w:numId="5">
    <w:abstractNumId w:val="8"/>
  </w:num>
  <w:num w:numId="6">
    <w:abstractNumId w:val="5"/>
  </w:num>
  <w:num w:numId="7">
    <w:abstractNumId w:val="11"/>
  </w:num>
  <w:num w:numId="8">
    <w:abstractNumId w:val="1"/>
  </w:num>
  <w:num w:numId="9">
    <w:abstractNumId w:val="10"/>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characterSpacingControl w:val="doNotCompress"/>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775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semiHidden="0" w:name="annotation text"/>
    <w:lsdException w:qFormat="1" w:uiPriority="99" w:semiHidden="0" w:name="header"/>
    <w:lsdException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uiPriority="99" w:semiHidden="0" w:name="footnote reference"/>
    <w:lsdException w:qFormat="1" w:uiPriority="99" w:semiHidden="0" w:name="annotation reference"/>
    <w:lsdException w:uiPriority="99" w:name="line number"/>
    <w:lsdException w:uiPriority="99" w:name="page number"/>
    <w:lsdException w:qFormat="1"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heme="minorHAnsi" w:hAnsiTheme="minorHAnsi" w:eastAsiaTheme="minorEastAsia" w:cstheme="minorBidi"/>
      <w:sz w:val="21"/>
      <w:szCs w:val="22"/>
    </w:rPr>
  </w:style>
  <w:style w:type="paragraph" w:styleId="2">
    <w:name w:val="heading 1"/>
    <w:basedOn w:val="1"/>
    <w:next w:val="1"/>
    <w:link w:val="209"/>
    <w:qFormat/>
    <w:uiPriority w:val="9"/>
    <w:pPr>
      <w:keepNext/>
      <w:keepLines/>
      <w:spacing w:before="340" w:after="330" w:line="578" w:lineRule="auto"/>
      <w:outlineLvl w:val="0"/>
    </w:pPr>
    <w:rPr>
      <w:b/>
      <w:bCs/>
      <w:sz w:val="44"/>
      <w:szCs w:val="44"/>
    </w:rPr>
  </w:style>
  <w:style w:type="paragraph" w:styleId="3">
    <w:name w:val="heading 2"/>
    <w:basedOn w:val="1"/>
    <w:next w:val="1"/>
    <w:link w:val="39"/>
    <w:unhideWhenUsed/>
    <w:qFormat/>
    <w:uiPriority w:val="9"/>
    <w:pPr>
      <w:keepNext/>
      <w:keepLines/>
      <w:spacing w:before="360" w:after="200"/>
      <w:outlineLvl w:val="1"/>
    </w:pPr>
    <w:rPr>
      <w:rFonts w:ascii="等线" w:hAnsi="等线" w:eastAsia="等线" w:cs="等线"/>
      <w:sz w:val="34"/>
    </w:rPr>
  </w:style>
  <w:style w:type="paragraph" w:styleId="4">
    <w:name w:val="heading 3"/>
    <w:basedOn w:val="1"/>
    <w:next w:val="1"/>
    <w:link w:val="40"/>
    <w:unhideWhenUsed/>
    <w:qFormat/>
    <w:uiPriority w:val="9"/>
    <w:pPr>
      <w:keepNext/>
      <w:keepLines/>
      <w:spacing w:before="320" w:after="200"/>
      <w:outlineLvl w:val="2"/>
    </w:pPr>
    <w:rPr>
      <w:rFonts w:ascii="等线" w:hAnsi="等线" w:eastAsia="等线" w:cs="等线"/>
      <w:sz w:val="30"/>
      <w:szCs w:val="30"/>
    </w:rPr>
  </w:style>
  <w:style w:type="paragraph" w:styleId="5">
    <w:name w:val="heading 4"/>
    <w:basedOn w:val="1"/>
    <w:next w:val="1"/>
    <w:link w:val="41"/>
    <w:unhideWhenUsed/>
    <w:qFormat/>
    <w:uiPriority w:val="9"/>
    <w:pPr>
      <w:keepNext/>
      <w:keepLines/>
      <w:spacing w:before="320" w:after="200"/>
      <w:outlineLvl w:val="3"/>
    </w:pPr>
    <w:rPr>
      <w:rFonts w:ascii="等线" w:hAnsi="等线" w:eastAsia="等线" w:cs="等线"/>
      <w:b/>
      <w:bCs/>
      <w:sz w:val="26"/>
      <w:szCs w:val="26"/>
    </w:rPr>
  </w:style>
  <w:style w:type="paragraph" w:styleId="6">
    <w:name w:val="heading 5"/>
    <w:basedOn w:val="1"/>
    <w:next w:val="1"/>
    <w:link w:val="42"/>
    <w:unhideWhenUsed/>
    <w:qFormat/>
    <w:uiPriority w:val="9"/>
    <w:pPr>
      <w:keepNext/>
      <w:keepLines/>
      <w:spacing w:before="320" w:after="200"/>
      <w:outlineLvl w:val="4"/>
    </w:pPr>
    <w:rPr>
      <w:rFonts w:ascii="等线" w:hAnsi="等线" w:eastAsia="等线" w:cs="等线"/>
      <w:b/>
      <w:bCs/>
      <w:sz w:val="24"/>
      <w:szCs w:val="24"/>
    </w:rPr>
  </w:style>
  <w:style w:type="paragraph" w:styleId="7">
    <w:name w:val="heading 6"/>
    <w:basedOn w:val="1"/>
    <w:next w:val="1"/>
    <w:link w:val="43"/>
    <w:unhideWhenUsed/>
    <w:qFormat/>
    <w:uiPriority w:val="9"/>
    <w:pPr>
      <w:keepNext/>
      <w:keepLines/>
      <w:spacing w:before="320" w:after="200"/>
      <w:outlineLvl w:val="5"/>
    </w:pPr>
    <w:rPr>
      <w:rFonts w:ascii="等线" w:hAnsi="等线" w:eastAsia="等线" w:cs="等线"/>
      <w:b/>
      <w:bCs/>
      <w:sz w:val="22"/>
      <w:szCs w:val="22"/>
    </w:rPr>
  </w:style>
  <w:style w:type="paragraph" w:styleId="8">
    <w:name w:val="heading 7"/>
    <w:basedOn w:val="1"/>
    <w:next w:val="1"/>
    <w:link w:val="44"/>
    <w:unhideWhenUsed/>
    <w:qFormat/>
    <w:uiPriority w:val="9"/>
    <w:pPr>
      <w:keepNext/>
      <w:keepLines/>
      <w:spacing w:before="320" w:after="200"/>
      <w:outlineLvl w:val="6"/>
    </w:pPr>
    <w:rPr>
      <w:rFonts w:ascii="等线" w:hAnsi="等线" w:eastAsia="等线" w:cs="等线"/>
      <w:b/>
      <w:bCs/>
      <w:i/>
      <w:iCs/>
      <w:sz w:val="22"/>
      <w:szCs w:val="22"/>
    </w:rPr>
  </w:style>
  <w:style w:type="paragraph" w:styleId="9">
    <w:name w:val="heading 8"/>
    <w:basedOn w:val="1"/>
    <w:next w:val="1"/>
    <w:link w:val="45"/>
    <w:unhideWhenUsed/>
    <w:qFormat/>
    <w:uiPriority w:val="9"/>
    <w:pPr>
      <w:keepNext/>
      <w:keepLines/>
      <w:spacing w:before="320" w:after="200"/>
      <w:outlineLvl w:val="7"/>
    </w:pPr>
    <w:rPr>
      <w:rFonts w:ascii="等线" w:hAnsi="等线" w:eastAsia="等线" w:cs="等线"/>
      <w:i/>
      <w:iCs/>
      <w:sz w:val="22"/>
      <w:szCs w:val="22"/>
    </w:rPr>
  </w:style>
  <w:style w:type="paragraph" w:styleId="10">
    <w:name w:val="heading 9"/>
    <w:basedOn w:val="1"/>
    <w:next w:val="1"/>
    <w:link w:val="46"/>
    <w:unhideWhenUsed/>
    <w:qFormat/>
    <w:uiPriority w:val="9"/>
    <w:pPr>
      <w:keepNext/>
      <w:keepLines/>
      <w:spacing w:before="320" w:after="200"/>
      <w:outlineLvl w:val="8"/>
    </w:pPr>
    <w:rPr>
      <w:rFonts w:ascii="等线" w:hAnsi="等线" w:eastAsia="等线" w:cs="等线"/>
      <w:i/>
      <w:iCs/>
      <w:sz w:val="21"/>
      <w:szCs w:val="21"/>
    </w:rPr>
  </w:style>
  <w:style w:type="character" w:default="1" w:styleId="33">
    <w:name w:val="Default Paragraph Font"/>
    <w:semiHidden/>
    <w:unhideWhenUsed/>
    <w:uiPriority w:val="1"/>
  </w:style>
  <w:style w:type="table" w:default="1" w:styleId="31">
    <w:name w:val="Normal Table"/>
    <w:semiHidden/>
    <w:unhideWhenUsed/>
    <w:qFormat/>
    <w:uiPriority w:val="99"/>
    <w:tblPr>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paragraph" w:styleId="11">
    <w:name w:val="toc 7"/>
    <w:basedOn w:val="1"/>
    <w:next w:val="1"/>
    <w:unhideWhenUsed/>
    <w:qFormat/>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5B9BD5" w:themeColor="accent1"/>
      <w:sz w:val="18"/>
      <w:szCs w:val="18"/>
      <w14:textFill>
        <w14:solidFill>
          <w14:schemeClr w14:val="accent1"/>
        </w14:solidFill>
      </w14:textFill>
    </w:rPr>
  </w:style>
  <w:style w:type="paragraph" w:styleId="13">
    <w:name w:val="annotation text"/>
    <w:basedOn w:val="1"/>
    <w:link w:val="201"/>
    <w:unhideWhenUsed/>
    <w:qFormat/>
    <w:uiPriority w:val="99"/>
    <w:pPr>
      <w:jc w:val="left"/>
    </w:pPr>
  </w:style>
  <w:style w:type="paragraph" w:styleId="14">
    <w:name w:val="toc 5"/>
    <w:basedOn w:val="1"/>
    <w:next w:val="1"/>
    <w:unhideWhenUsed/>
    <w:uiPriority w:val="39"/>
    <w:pPr>
      <w:spacing w:after="57"/>
      <w:ind w:left="1134" w:right="0" w:firstLine="0"/>
    </w:pPr>
  </w:style>
  <w:style w:type="paragraph" w:styleId="15">
    <w:name w:val="toc 3"/>
    <w:basedOn w:val="1"/>
    <w:next w:val="1"/>
    <w:unhideWhenUsed/>
    <w:uiPriority w:val="39"/>
    <w:pPr>
      <w:spacing w:after="57"/>
      <w:ind w:left="567" w:right="0" w:firstLine="0"/>
    </w:pPr>
  </w:style>
  <w:style w:type="paragraph" w:styleId="16">
    <w:name w:val="toc 8"/>
    <w:basedOn w:val="1"/>
    <w:next w:val="1"/>
    <w:unhideWhenUsed/>
    <w:qFormat/>
    <w:uiPriority w:val="39"/>
    <w:pPr>
      <w:spacing w:after="57"/>
      <w:ind w:left="1984" w:right="0" w:firstLine="0"/>
    </w:pPr>
  </w:style>
  <w:style w:type="paragraph" w:styleId="17">
    <w:name w:val="endnote text"/>
    <w:basedOn w:val="1"/>
    <w:link w:val="183"/>
    <w:semiHidden/>
    <w:unhideWhenUsed/>
    <w:uiPriority w:val="99"/>
    <w:pPr>
      <w:spacing w:after="0" w:line="240" w:lineRule="auto"/>
    </w:pPr>
    <w:rPr>
      <w:sz w:val="20"/>
    </w:rPr>
  </w:style>
  <w:style w:type="paragraph" w:styleId="18">
    <w:name w:val="Balloon Text"/>
    <w:basedOn w:val="1"/>
    <w:link w:val="198"/>
    <w:semiHidden/>
    <w:unhideWhenUsed/>
    <w:qFormat/>
    <w:uiPriority w:val="99"/>
    <w:rPr>
      <w:sz w:val="18"/>
      <w:szCs w:val="18"/>
    </w:rPr>
  </w:style>
  <w:style w:type="paragraph" w:styleId="19">
    <w:name w:val="footer"/>
    <w:basedOn w:val="1"/>
    <w:link w:val="197"/>
    <w:unhideWhenUsed/>
    <w:uiPriority w:val="99"/>
    <w:pPr>
      <w:tabs>
        <w:tab w:val="center" w:pos="4153"/>
        <w:tab w:val="right" w:pos="8306"/>
      </w:tabs>
      <w:jc w:val="left"/>
    </w:pPr>
    <w:rPr>
      <w:sz w:val="18"/>
      <w:szCs w:val="18"/>
    </w:rPr>
  </w:style>
  <w:style w:type="paragraph" w:styleId="20">
    <w:name w:val="header"/>
    <w:basedOn w:val="1"/>
    <w:link w:val="196"/>
    <w:unhideWhenUsed/>
    <w:qFormat/>
    <w:uiPriority w:val="99"/>
    <w:pPr>
      <w:tabs>
        <w:tab w:val="center" w:pos="4153"/>
        <w:tab w:val="right" w:pos="8306"/>
      </w:tabs>
      <w:jc w:val="center"/>
    </w:pPr>
    <w:rPr>
      <w:sz w:val="18"/>
      <w:szCs w:val="18"/>
    </w:rPr>
  </w:style>
  <w:style w:type="paragraph" w:styleId="21">
    <w:name w:val="toc 1"/>
    <w:basedOn w:val="1"/>
    <w:next w:val="1"/>
    <w:unhideWhenUsed/>
    <w:qFormat/>
    <w:uiPriority w:val="39"/>
  </w:style>
  <w:style w:type="paragraph" w:styleId="22">
    <w:name w:val="toc 4"/>
    <w:basedOn w:val="1"/>
    <w:next w:val="1"/>
    <w:unhideWhenUsed/>
    <w:uiPriority w:val="39"/>
    <w:pPr>
      <w:spacing w:after="57"/>
      <w:ind w:left="850" w:right="0" w:firstLine="0"/>
    </w:pPr>
  </w:style>
  <w:style w:type="paragraph" w:styleId="23">
    <w:name w:val="Subtitle"/>
    <w:basedOn w:val="1"/>
    <w:next w:val="1"/>
    <w:link w:val="49"/>
    <w:qFormat/>
    <w:uiPriority w:val="11"/>
    <w:pPr>
      <w:spacing w:before="200" w:after="200"/>
    </w:pPr>
    <w:rPr>
      <w:sz w:val="24"/>
      <w:szCs w:val="24"/>
    </w:rPr>
  </w:style>
  <w:style w:type="paragraph" w:styleId="24">
    <w:name w:val="footnote text"/>
    <w:basedOn w:val="1"/>
    <w:link w:val="182"/>
    <w:semiHidden/>
    <w:unhideWhenUsed/>
    <w:uiPriority w:val="99"/>
    <w:pPr>
      <w:spacing w:after="40" w:line="240" w:lineRule="auto"/>
    </w:pPr>
    <w:rPr>
      <w:sz w:val="18"/>
    </w:rPr>
  </w:style>
  <w:style w:type="paragraph" w:styleId="25">
    <w:name w:val="toc 6"/>
    <w:basedOn w:val="1"/>
    <w:next w:val="1"/>
    <w:unhideWhenUsed/>
    <w:uiPriority w:val="39"/>
    <w:pPr>
      <w:spacing w:after="57"/>
      <w:ind w:left="1417" w:right="0" w:firstLine="0"/>
    </w:pPr>
  </w:style>
  <w:style w:type="paragraph" w:styleId="26">
    <w:name w:val="table of figures"/>
    <w:basedOn w:val="1"/>
    <w:next w:val="1"/>
    <w:unhideWhenUsed/>
    <w:qFormat/>
    <w:uiPriority w:val="99"/>
    <w:pPr>
      <w:spacing w:after="0" w:afterAutospacing="0"/>
    </w:pPr>
  </w:style>
  <w:style w:type="paragraph" w:styleId="27">
    <w:name w:val="toc 2"/>
    <w:basedOn w:val="1"/>
    <w:next w:val="1"/>
    <w:unhideWhenUsed/>
    <w:uiPriority w:val="39"/>
    <w:pPr>
      <w:spacing w:after="57"/>
      <w:ind w:left="283" w:right="0" w:firstLine="0"/>
    </w:pPr>
  </w:style>
  <w:style w:type="paragraph" w:styleId="28">
    <w:name w:val="toc 9"/>
    <w:basedOn w:val="1"/>
    <w:next w:val="1"/>
    <w:unhideWhenUsed/>
    <w:qFormat/>
    <w:uiPriority w:val="39"/>
    <w:pPr>
      <w:spacing w:after="57"/>
      <w:ind w:left="2268" w:right="0" w:firstLine="0"/>
    </w:pPr>
  </w:style>
  <w:style w:type="paragraph" w:styleId="29">
    <w:name w:val="Title"/>
    <w:basedOn w:val="1"/>
    <w:next w:val="1"/>
    <w:link w:val="48"/>
    <w:qFormat/>
    <w:uiPriority w:val="10"/>
    <w:pPr>
      <w:spacing w:before="300" w:after="200"/>
      <w:contextualSpacing/>
    </w:pPr>
    <w:rPr>
      <w:sz w:val="48"/>
      <w:szCs w:val="48"/>
    </w:rPr>
  </w:style>
  <w:style w:type="paragraph" w:styleId="30">
    <w:name w:val="annotation subject"/>
    <w:basedOn w:val="13"/>
    <w:next w:val="13"/>
    <w:link w:val="208"/>
    <w:semiHidden/>
    <w:unhideWhenUsed/>
    <w:uiPriority w:val="99"/>
    <w:rPr>
      <w:b/>
      <w:bCs/>
    </w:rPr>
  </w:style>
  <w:style w:type="table" w:styleId="32">
    <w:name w:val="Table Grid"/>
    <w:basedOn w:val="31"/>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character" w:styleId="34">
    <w:name w:val="endnote reference"/>
    <w:basedOn w:val="33"/>
    <w:semiHidden/>
    <w:unhideWhenUsed/>
    <w:qFormat/>
    <w:uiPriority w:val="99"/>
    <w:rPr>
      <w:vertAlign w:val="superscript"/>
    </w:rPr>
  </w:style>
  <w:style w:type="character" w:styleId="35">
    <w:name w:val="Hyperlink"/>
    <w:basedOn w:val="33"/>
    <w:unhideWhenUsed/>
    <w:qFormat/>
    <w:uiPriority w:val="99"/>
    <w:rPr>
      <w:color w:val="0563C1" w:themeColor="hyperlink"/>
      <w:u w:val="single"/>
      <w14:textFill>
        <w14:solidFill>
          <w14:schemeClr w14:val="hlink"/>
        </w14:solidFill>
      </w14:textFill>
    </w:rPr>
  </w:style>
  <w:style w:type="character" w:styleId="36">
    <w:name w:val="annotation reference"/>
    <w:basedOn w:val="33"/>
    <w:unhideWhenUsed/>
    <w:qFormat/>
    <w:uiPriority w:val="99"/>
    <w:rPr>
      <w:sz w:val="21"/>
      <w:szCs w:val="21"/>
    </w:rPr>
  </w:style>
  <w:style w:type="character" w:styleId="37">
    <w:name w:val="footnote reference"/>
    <w:basedOn w:val="33"/>
    <w:unhideWhenUsed/>
    <w:uiPriority w:val="99"/>
    <w:rPr>
      <w:vertAlign w:val="superscript"/>
    </w:rPr>
  </w:style>
  <w:style w:type="character" w:customStyle="1" w:styleId="38">
    <w:name w:val="Heading 1 Char"/>
    <w:basedOn w:val="33"/>
    <w:uiPriority w:val="9"/>
    <w:rPr>
      <w:rFonts w:ascii="等线" w:hAnsi="等线" w:eastAsia="等线" w:cs="等线"/>
      <w:sz w:val="40"/>
      <w:szCs w:val="40"/>
    </w:rPr>
  </w:style>
  <w:style w:type="character" w:customStyle="1" w:styleId="39">
    <w:name w:val="Heading 2 Char"/>
    <w:basedOn w:val="33"/>
    <w:link w:val="3"/>
    <w:uiPriority w:val="9"/>
    <w:rPr>
      <w:rFonts w:ascii="等线" w:hAnsi="等线" w:eastAsia="等线" w:cs="等线"/>
      <w:sz w:val="34"/>
    </w:rPr>
  </w:style>
  <w:style w:type="character" w:customStyle="1" w:styleId="40">
    <w:name w:val="Heading 3 Char"/>
    <w:basedOn w:val="33"/>
    <w:link w:val="4"/>
    <w:uiPriority w:val="9"/>
    <w:rPr>
      <w:rFonts w:ascii="等线" w:hAnsi="等线" w:eastAsia="等线" w:cs="等线"/>
      <w:sz w:val="30"/>
      <w:szCs w:val="30"/>
    </w:rPr>
  </w:style>
  <w:style w:type="character" w:customStyle="1" w:styleId="41">
    <w:name w:val="Heading 4 Char"/>
    <w:basedOn w:val="33"/>
    <w:link w:val="5"/>
    <w:uiPriority w:val="9"/>
    <w:rPr>
      <w:rFonts w:ascii="等线" w:hAnsi="等线" w:eastAsia="等线" w:cs="等线"/>
      <w:b/>
      <w:bCs/>
      <w:sz w:val="26"/>
      <w:szCs w:val="26"/>
    </w:rPr>
  </w:style>
  <w:style w:type="character" w:customStyle="1" w:styleId="42">
    <w:name w:val="Heading 5 Char"/>
    <w:basedOn w:val="33"/>
    <w:link w:val="6"/>
    <w:uiPriority w:val="9"/>
    <w:rPr>
      <w:rFonts w:ascii="等线" w:hAnsi="等线" w:eastAsia="等线" w:cs="等线"/>
      <w:b/>
      <w:bCs/>
      <w:sz w:val="24"/>
      <w:szCs w:val="24"/>
    </w:rPr>
  </w:style>
  <w:style w:type="character" w:customStyle="1" w:styleId="43">
    <w:name w:val="Heading 6 Char"/>
    <w:basedOn w:val="33"/>
    <w:link w:val="7"/>
    <w:uiPriority w:val="9"/>
    <w:rPr>
      <w:rFonts w:ascii="等线" w:hAnsi="等线" w:eastAsia="等线" w:cs="等线"/>
      <w:b/>
      <w:bCs/>
      <w:sz w:val="22"/>
      <w:szCs w:val="22"/>
    </w:rPr>
  </w:style>
  <w:style w:type="character" w:customStyle="1" w:styleId="44">
    <w:name w:val="Heading 7 Char"/>
    <w:basedOn w:val="33"/>
    <w:link w:val="8"/>
    <w:uiPriority w:val="9"/>
    <w:rPr>
      <w:rFonts w:ascii="等线" w:hAnsi="等线" w:eastAsia="等线" w:cs="等线"/>
      <w:b/>
      <w:bCs/>
      <w:i/>
      <w:iCs/>
      <w:sz w:val="22"/>
      <w:szCs w:val="22"/>
    </w:rPr>
  </w:style>
  <w:style w:type="character" w:customStyle="1" w:styleId="45">
    <w:name w:val="Heading 8 Char"/>
    <w:basedOn w:val="33"/>
    <w:link w:val="9"/>
    <w:uiPriority w:val="9"/>
    <w:rPr>
      <w:rFonts w:ascii="等线" w:hAnsi="等线" w:eastAsia="等线" w:cs="等线"/>
      <w:i/>
      <w:iCs/>
      <w:sz w:val="22"/>
      <w:szCs w:val="22"/>
    </w:rPr>
  </w:style>
  <w:style w:type="character" w:customStyle="1" w:styleId="46">
    <w:name w:val="Heading 9 Char"/>
    <w:basedOn w:val="33"/>
    <w:link w:val="10"/>
    <w:uiPriority w:val="9"/>
    <w:rPr>
      <w:rFonts w:ascii="等线" w:hAnsi="等线" w:eastAsia="等线" w:cs="等线"/>
      <w:i/>
      <w:iCs/>
      <w:sz w:val="21"/>
      <w:szCs w:val="21"/>
    </w:rPr>
  </w:style>
  <w:style w:type="paragraph" w:styleId="47">
    <w:name w:val="No Spacing"/>
    <w:qFormat/>
    <w:uiPriority w:val="1"/>
    <w:pPr>
      <w:spacing w:before="0" w:after="0" w:line="240" w:lineRule="auto"/>
    </w:pPr>
    <w:rPr>
      <w:rFonts w:hint="default" w:asciiTheme="minorHAnsi" w:hAnsiTheme="minorHAnsi" w:eastAsiaTheme="minorEastAsia" w:cstheme="minorBidi"/>
    </w:rPr>
  </w:style>
  <w:style w:type="character" w:customStyle="1" w:styleId="48">
    <w:name w:val="Title Char"/>
    <w:basedOn w:val="33"/>
    <w:link w:val="29"/>
    <w:uiPriority w:val="10"/>
    <w:rPr>
      <w:sz w:val="48"/>
      <w:szCs w:val="48"/>
    </w:rPr>
  </w:style>
  <w:style w:type="character" w:customStyle="1" w:styleId="49">
    <w:name w:val="Subtitle Char"/>
    <w:basedOn w:val="33"/>
    <w:link w:val="23"/>
    <w:uiPriority w:val="11"/>
    <w:rPr>
      <w:sz w:val="24"/>
      <w:szCs w:val="24"/>
    </w:rPr>
  </w:style>
  <w:style w:type="paragraph" w:styleId="50">
    <w:name w:val="Quote"/>
    <w:basedOn w:val="1"/>
    <w:next w:val="1"/>
    <w:link w:val="51"/>
    <w:qFormat/>
    <w:uiPriority w:val="29"/>
    <w:pPr>
      <w:ind w:left="720" w:right="720"/>
    </w:pPr>
    <w:rPr>
      <w:i/>
    </w:rPr>
  </w:style>
  <w:style w:type="character" w:customStyle="1" w:styleId="51">
    <w:name w:val="Quote Char"/>
    <w:link w:val="50"/>
    <w:uiPriority w:val="29"/>
    <w:rPr>
      <w:i/>
    </w:rPr>
  </w:style>
  <w:style w:type="paragraph" w:styleId="52">
    <w:name w:val="Intense Quote"/>
    <w:basedOn w:val="1"/>
    <w:next w:val="1"/>
    <w:link w:val="53"/>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3">
    <w:name w:val="Intense Quote Char"/>
    <w:link w:val="52"/>
    <w:uiPriority w:val="30"/>
    <w:rPr>
      <w:i/>
    </w:rPr>
  </w:style>
  <w:style w:type="character" w:customStyle="1" w:styleId="54">
    <w:name w:val="Header Char"/>
    <w:basedOn w:val="33"/>
    <w:uiPriority w:val="99"/>
  </w:style>
  <w:style w:type="character" w:customStyle="1" w:styleId="55">
    <w:name w:val="Footer Char"/>
    <w:basedOn w:val="33"/>
    <w:uiPriority w:val="99"/>
  </w:style>
  <w:style w:type="character" w:customStyle="1" w:styleId="56">
    <w:name w:val="Caption Char"/>
    <w:uiPriority w:val="99"/>
  </w:style>
  <w:style w:type="table" w:customStyle="1" w:styleId="57">
    <w:name w:val="Table Grid Light"/>
    <w:basedOn w:val="31"/>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8">
    <w:name w:val="Plain Table 1"/>
    <w:basedOn w:val="31"/>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shd w:val="clear" w:color="F1F1F1" w:themeColor="text1" w:themeTint="0D" w:fill="F1F1F1" w:themeFill="text1" w:themeFillTint="0D"/>
      </w:tcPr>
    </w:tblStylePr>
    <w:tblStylePr w:type="band2Vert">
      <w:tblPr/>
    </w:tblStylePr>
    <w:tblStylePr w:type="band1Horz">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9">
    <w:name w:val="Plain Table 2"/>
    <w:basedOn w:val="31"/>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blPr/>
      <w:tcPr>
        <w:tcBorders>
          <w:top w:val="single" w:color="000000" w:themeColor="text1" w:sz="4" w:space="0"/>
          <w:bottom w:val="single" w:color="000000" w:themeColor="text1" w:sz="4" w:space="0"/>
        </w:tcBorders>
      </w:tc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0">
    <w:name w:val="Plain Table 3"/>
    <w:basedOn w:val="31"/>
    <w:uiPriority w:val="99"/>
    <w:pPr>
      <w:spacing w:after="0" w:line="240" w:lineRule="auto"/>
    </w:pPr>
    <w:tblPr/>
    <w:tblStylePr w:type="firstRow">
      <w:rPr>
        <w:b/>
        <w:caps/>
        <w:color w:val="404040"/>
      </w:rPr>
      <w:tblPr/>
      <w:tcPr>
        <w:tcBorders>
          <w:top w:val="nil"/>
          <w:left w:val="nil"/>
          <w:bottom w:val="single" w:color="404040" w:sz="4" w:space="0"/>
          <w:right w:val="nil"/>
        </w:tcBorders>
      </w:tcPr>
    </w:tblStylePr>
    <w:tblStylePr w:type="lastRow">
      <w:rPr>
        <w:b/>
        <w:caps/>
        <w:color w:val="404040"/>
      </w:rPr>
      <w:tblPr/>
    </w:tblStylePr>
    <w:tblStylePr w:type="firstCol">
      <w:rPr>
        <w:b/>
        <w:caps/>
        <w:color w:val="404040"/>
      </w:rPr>
      <w:tblPr/>
      <w:tcPr>
        <w:tcBorders>
          <w:top w:val="nil"/>
          <w:left w:val="nil"/>
          <w:bottom w:val="nil"/>
          <w:right w:val="single" w:color="404040" w:sz="4" w:space="0"/>
        </w:tcBorders>
      </w:tcPr>
    </w:tblStylePr>
    <w:tblStylePr w:type="lastCol">
      <w:rPr>
        <w:b/>
        <w:caps/>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1">
    <w:name w:val="Plain Table 4"/>
    <w:basedOn w:val="31"/>
    <w:uiPriority w:val="99"/>
    <w:pPr>
      <w:spacing w:after="0" w:line="240" w:lineRule="auto"/>
    </w:pPr>
    <w:tblPr/>
    <w:tblStylePr w:type="firstRow">
      <w:rPr>
        <w:b/>
        <w:color w:val="404040"/>
      </w:rPr>
      <w:tbl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2">
    <w:name w:val="Plain Table 5"/>
    <w:basedOn w:val="31"/>
    <w:uiPriority w:val="99"/>
    <w:pPr>
      <w:spacing w:after="0" w:line="240" w:lineRule="auto"/>
    </w:pPr>
    <w:tblPr/>
    <w:tblStylePr w:type="firstRow">
      <w:rPr>
        <w:i/>
        <w:color w:val="404040"/>
      </w:rPr>
      <w:tblPr/>
      <w:tcPr>
        <w:tcBorders>
          <w:left w:val="nil"/>
          <w:bottom w:val="single" w:color="404040" w:sz="4" w:space="0"/>
          <w:right w:val="nil"/>
        </w:tcBorders>
        <w:shd w:val="clear" w:color="FFFFFF" w:fill="auto"/>
      </w:tcPr>
    </w:tblStylePr>
    <w:tblStylePr w:type="lastRow">
      <w:rPr>
        <w:i/>
        <w:color w:val="404040"/>
      </w:rPr>
      <w:tblPr/>
      <w:tcPr>
        <w:tcBorders>
          <w:top w:val="single" w:color="404040" w:sz="4" w:space="0"/>
          <w:left w:val="nil"/>
          <w:right w:val="nil"/>
        </w:tcBorders>
        <w:shd w:val="clear" w:color="FFFFFF" w:fill="auto"/>
      </w:tcPr>
    </w:tblStylePr>
    <w:tblStylePr w:type="firstCol">
      <w:pPr>
        <w:jc w:val="right"/>
      </w:pPr>
      <w:rPr>
        <w:i/>
        <w:color w:val="404040"/>
      </w:rPr>
      <w:tblPr/>
      <w:tcPr>
        <w:tcBorders>
          <w:right w:val="single" w:color="404040" w:sz="4" w:space="0"/>
        </w:tcBorders>
        <w:shd w:val="clear" w:color="FFFFFF" w:fill="auto"/>
      </w:tcPr>
    </w:tblStylePr>
    <w:tblStylePr w:type="lastCol">
      <w:rPr>
        <w:i/>
        <w:color w:val="404040"/>
      </w:rPr>
      <w:tblPr/>
      <w:tcPr>
        <w:tcBorders>
          <w:left w:val="single" w:color="404040" w:sz="4" w:space="0"/>
        </w:tcBorders>
        <w:shd w:val="clear" w:color="FFFFFF" w:fill="auto"/>
      </w:tc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3">
    <w:name w:val="Grid Table 1 Light"/>
    <w:basedOn w:val="31"/>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blPr/>
      <w:tcPr>
        <w:tcBorders>
          <w:bottom w:val="single" w:color="696969" w:themeColor="tex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4">
    <w:name w:val="Grid Table 1 Light - Accent 1"/>
    <w:basedOn w:val="31"/>
    <w:uiPriority w:val="99"/>
    <w:pPr>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b/>
        <w:color w:val="404040"/>
      </w:rPr>
      <w:tblPr/>
      <w:tcPr>
        <w:tcBorders>
          <w:bottom w:val="single" w:color="9FC4E6" w:themeColor="accen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5">
    <w:name w:val="Grid Table 1 Light - Accent 2"/>
    <w:basedOn w:val="31"/>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blPr/>
      <w:tcPr>
        <w:tcBorders>
          <w:bottom w:val="single" w:color="F4B386" w:themeColor="accent2"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6">
    <w:name w:val="Grid Table 1 Light - Accent 3"/>
    <w:basedOn w:val="31"/>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blPr/>
      <w:tcPr>
        <w:tcBorders>
          <w:bottom w:val="single" w:color="CACACA" w:themeColor="accent3"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7">
    <w:name w:val="Grid Table 1 Light - Accent 4"/>
    <w:basedOn w:val="31"/>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blPr/>
      <w:tcPr>
        <w:tcBorders>
          <w:bottom w:val="single" w:color="FFDA69" w:themeColor="accent4"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8">
    <w:name w:val="Grid Table 1 Light - Accent 5"/>
    <w:basedOn w:val="31"/>
    <w:uiPriority w:val="99"/>
    <w:pPr>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b/>
        <w:color w:val="404040"/>
      </w:rPr>
      <w:tblPr/>
      <w:tcPr>
        <w:tcBorders>
          <w:bottom w:val="single" w:color="91ACDC" w:themeColor="accent5"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9">
    <w:name w:val="Grid Table 1 Light - Accent 6"/>
    <w:basedOn w:val="31"/>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blPr/>
      <w:tcPr>
        <w:tcBorders>
          <w:bottom w:val="single" w:color="AAD190" w:themeColor="accent6"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0">
    <w:name w:val="Grid Table 2"/>
    <w:basedOn w:val="31"/>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single" w:color="696969" w:themeColor="text1" w:themeTint="95" w:sz="12" w:space="0"/>
          <w:right w:val="nil"/>
        </w:tcBorders>
        <w:shd w:val="clear" w:color="FFFFFF" w:fill="auto"/>
      </w:tcPr>
    </w:tblStylePr>
    <w:tblStylePr w:type="lastRow">
      <w:rPr>
        <w:b/>
        <w:color w:val="404040"/>
      </w:rPr>
      <w:tblPr/>
      <w:tcPr>
        <w:tcBorders>
          <w:top w:val="single" w:color="696969" w:themeColor="text1" w:themeTint="9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1">
    <w:name w:val="Grid Table 2 - Accent 1"/>
    <w:basedOn w:val="31"/>
    <w:uiPriority w:val="99"/>
    <w:pPr>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blPr/>
      <w:tcPr>
        <w:tcBorders>
          <w:top w:val="nil"/>
          <w:left w:val="nil"/>
          <w:bottom w:val="single" w:color="68A3D8" w:themeColor="accent1" w:themeTint="EA" w:sz="12" w:space="0"/>
          <w:right w:val="nil"/>
        </w:tcBorders>
        <w:shd w:val="clear" w:color="FFFFFF" w:fill="auto"/>
      </w:tcPr>
    </w:tblStylePr>
    <w:tblStylePr w:type="lastRow">
      <w:rPr>
        <w:b/>
        <w:color w:val="404040"/>
      </w:rPr>
      <w:tblPr/>
      <w:tcPr>
        <w:tcBorders>
          <w:top w:val="single" w:color="68A3D8" w:themeColor="accent1" w:themeTint="E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DEAF6" w:themeColor="accent1" w:themeTint="34" w:fill="DDEAF6" w:themeFill="accent1" w:themeFillTint="34"/>
      </w:tcPr>
    </w:tblStylePr>
    <w:tblStylePr w:type="band2Vert">
      <w:tblPr/>
    </w:tblStylePr>
    <w:tblStylePr w:type="band1Horz">
      <w:rPr>
        <w:rFonts w:ascii="Arial" w:hAnsi="Arial"/>
        <w:color w:val="404040"/>
        <w:sz w:val="22"/>
      </w:rPr>
      <w:tblPr/>
      <w:tcPr>
        <w:shd w:val="clear" w:color="DDEAF6" w:themeColor="accent1" w:themeTint="34" w:fill="DDEAF6"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2">
    <w:name w:val="Grid Table 2 - Accent 2"/>
    <w:basedOn w:val="31"/>
    <w:qFormat/>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blPr/>
      <w:tcPr>
        <w:tcBorders>
          <w:top w:val="nil"/>
          <w:left w:val="nil"/>
          <w:bottom w:val="single" w:color="F4B285" w:themeColor="accent2" w:themeTint="97" w:sz="12" w:space="0"/>
          <w:right w:val="nil"/>
        </w:tcBorders>
        <w:shd w:val="clear" w:color="FFFFFF" w:fill="auto"/>
      </w:tcPr>
    </w:tblStylePr>
    <w:tblStylePr w:type="lastRow">
      <w:rPr>
        <w:b/>
        <w:color w:val="404040"/>
      </w:rPr>
      <w:tblPr/>
      <w:tcPr>
        <w:tcBorders>
          <w:top w:val="single" w:color="F4B285" w:themeColor="accent2" w:themeTint="97"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BE5D6" w:themeColor="accent2" w:themeTint="32" w:fill="FBE5D6" w:themeFill="accent2" w:themeFillTint="32"/>
      </w:tcPr>
    </w:tblStylePr>
    <w:tblStylePr w:type="band2Vert">
      <w:tblPr/>
    </w:tblStylePr>
    <w:tblStylePr w:type="band1Horz">
      <w:rPr>
        <w:rFonts w:ascii="Arial" w:hAnsi="Arial"/>
        <w:color w:val="404040"/>
        <w:sz w:val="22"/>
      </w:rPr>
      <w:tblPr/>
      <w:tcPr>
        <w:shd w:val="clear" w:color="FBE5D6" w:themeColor="accent2" w:themeTint="32" w:fill="FBE5D6"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3">
    <w:name w:val="Grid Table 2 - Accent 3"/>
    <w:basedOn w:val="31"/>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blPr/>
      <w:tcPr>
        <w:tcBorders>
          <w:top w:val="nil"/>
          <w:left w:val="nil"/>
          <w:bottom w:val="single" w:color="A5A5A5" w:themeColor="accent3" w:themeTint="FE" w:sz="12" w:space="0"/>
          <w:right w:val="nil"/>
        </w:tcBorders>
        <w:shd w:val="clear" w:color="FFFFFF" w:fill="auto"/>
      </w:tcPr>
    </w:tblStylePr>
    <w:tblStylePr w:type="lastRow">
      <w:rPr>
        <w:b/>
        <w:color w:val="404040"/>
      </w:rPr>
      <w:tblPr/>
      <w:tcPr>
        <w:tcBorders>
          <w:top w:val="single" w:color="A5A5A5" w:themeColor="accent3" w:themeTint="FE"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CECEC" w:themeColor="accent3" w:themeTint="34" w:fill="ECECEC" w:themeFill="accent3" w:themeFillTint="34"/>
      </w:tcPr>
    </w:tblStylePr>
    <w:tblStylePr w:type="band2Vert">
      <w:tblPr/>
    </w:tblStylePr>
    <w:tblStylePr w:type="band1Horz">
      <w:rPr>
        <w:rFonts w:ascii="Arial" w:hAnsi="Arial"/>
        <w:color w:val="404040"/>
        <w:sz w:val="22"/>
      </w:rPr>
      <w:tblPr/>
      <w:tcPr>
        <w:shd w:val="clear" w:color="ECECEC" w:themeColor="accent3" w:themeTint="34" w:fill="ECECEC"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4">
    <w:name w:val="Grid Table 2 - Accent 4"/>
    <w:basedOn w:val="31"/>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blPr/>
      <w:tcPr>
        <w:tcBorders>
          <w:top w:val="nil"/>
          <w:left w:val="nil"/>
          <w:bottom w:val="single" w:color="FFD864" w:themeColor="accent4" w:themeTint="9A" w:sz="12" w:space="0"/>
          <w:right w:val="nil"/>
        </w:tcBorders>
        <w:shd w:val="clear" w:color="FFFFFF" w:fill="auto"/>
      </w:tcPr>
    </w:tblStylePr>
    <w:tblStylePr w:type="lastRow">
      <w:rPr>
        <w:b/>
        <w:color w:val="404040"/>
      </w:rPr>
      <w:tblPr/>
      <w:tcPr>
        <w:tcBorders>
          <w:top w:val="single" w:color="FFD864" w:themeColor="accent4" w:themeTint="9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EF2CA" w:themeColor="accent4" w:themeTint="34" w:fill="FEF2CA" w:themeFill="accent4" w:themeFillTint="34"/>
      </w:tcPr>
    </w:tblStylePr>
    <w:tblStylePr w:type="band2Vert">
      <w:tblPr/>
    </w:tblStylePr>
    <w:tblStylePr w:type="band1Horz">
      <w:rPr>
        <w:rFonts w:ascii="Arial" w:hAnsi="Arial"/>
        <w:color w:val="404040"/>
        <w:sz w:val="22"/>
      </w:rPr>
      <w:tblPr/>
      <w:tcPr>
        <w:shd w:val="clear" w:color="FEF2CA" w:themeColor="accent4" w:themeTint="34" w:fill="FEF2CA"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5">
    <w:name w:val="Grid Table 2 - Accent 5"/>
    <w:basedOn w:val="31"/>
    <w:uiPriority w:val="99"/>
    <w:pPr>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blPr/>
      <w:tcPr>
        <w:tcBorders>
          <w:top w:val="nil"/>
          <w:left w:val="nil"/>
          <w:bottom w:val="single" w:color="4472C4" w:themeColor="accent5" w:sz="12" w:space="0"/>
          <w:right w:val="nil"/>
        </w:tcBorders>
        <w:shd w:val="clear" w:color="FFFFFF" w:fill="auto"/>
      </w:tcPr>
    </w:tblStylePr>
    <w:tblStylePr w:type="lastRow">
      <w:rPr>
        <w:b/>
        <w:color w:val="404040"/>
      </w:rPr>
      <w:tblPr/>
      <w:tcPr>
        <w:tcBorders>
          <w:top w:val="single" w:color="4472C4" w:themeColor="accent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8E2F2" w:themeColor="accent5" w:themeTint="34" w:fill="D8E2F2" w:themeFill="accent5" w:themeFillTint="34"/>
      </w:tcPr>
    </w:tblStylePr>
    <w:tblStylePr w:type="band2Vert">
      <w:tblPr/>
    </w:tblStylePr>
    <w:tblStylePr w:type="band1Horz">
      <w:rPr>
        <w:rFonts w:ascii="Arial" w:hAnsi="Arial"/>
        <w:color w:val="404040"/>
        <w:sz w:val="22"/>
      </w:rPr>
      <w:tblPr/>
      <w:tcPr>
        <w:shd w:val="clear" w:color="D8E2F2" w:themeColor="accent5" w:themeTint="34" w:fill="D8E2F2"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6">
    <w:name w:val="Grid Table 2 - Accent 6"/>
    <w:basedOn w:val="31"/>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blPr/>
      <w:tcPr>
        <w:tcBorders>
          <w:top w:val="nil"/>
          <w:left w:val="nil"/>
          <w:bottom w:val="single" w:color="70AD47" w:themeColor="accent6" w:sz="12" w:space="0"/>
          <w:right w:val="nil"/>
        </w:tcBorders>
        <w:shd w:val="clear" w:color="FFFFFF" w:fill="auto"/>
      </w:tcPr>
    </w:tblStylePr>
    <w:tblStylePr w:type="lastRow">
      <w:rPr>
        <w:b/>
        <w:color w:val="404040"/>
      </w:rPr>
      <w:tblPr/>
      <w:tcPr>
        <w:tcBorders>
          <w:top w:val="single" w:color="70AD47" w:themeColor="accent6"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1EFD8" w:themeColor="accent6" w:themeTint="34" w:fill="E1EFD8" w:themeFill="accent6" w:themeFillTint="34"/>
      </w:tcPr>
    </w:tblStylePr>
    <w:tblStylePr w:type="band2Vert">
      <w:tblPr/>
    </w:tblStylePr>
    <w:tblStylePr w:type="band1Horz">
      <w:rPr>
        <w:rFonts w:ascii="Arial" w:hAnsi="Arial"/>
        <w:color w:val="404040"/>
        <w:sz w:val="22"/>
      </w:rPr>
      <w:tblPr/>
      <w:tcPr>
        <w:shd w:val="clear" w:color="E1EFD8" w:themeColor="accent6" w:themeTint="34" w:fill="E1EFD8"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7">
    <w:name w:val="Grid Table 3"/>
    <w:basedOn w:val="31"/>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8">
    <w:name w:val="Grid Table 3 - Accent 1"/>
    <w:basedOn w:val="31"/>
    <w:uiPriority w:val="99"/>
    <w:pPr>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2Vert">
      <w:tblPr/>
    </w:tblStylePr>
    <w:tblStylePr w:type="band1Horz">
      <w:rPr>
        <w:rFonts w:ascii="Arial" w:hAnsi="Arial"/>
        <w:color w:val="404040"/>
        <w:sz w:val="22"/>
      </w:rPr>
      <w:tblPr/>
      <w:tcPr>
        <w:shd w:val="clear" w:color="DDEAF6" w:themeColor="accent1" w:themeTint="34" w:fill="DDEAF6"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9">
    <w:name w:val="Grid Table 3 - Accent 2"/>
    <w:basedOn w:val="31"/>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2Vert">
      <w:tblPr/>
    </w:tblStylePr>
    <w:tblStylePr w:type="band1Horz">
      <w:rPr>
        <w:rFonts w:ascii="Arial" w:hAnsi="Arial"/>
        <w:color w:val="404040"/>
        <w:sz w:val="22"/>
      </w:rPr>
      <w:tblPr/>
      <w:tcPr>
        <w:shd w:val="clear" w:color="FBE5D6" w:themeColor="accent2" w:themeTint="32" w:fill="FBE5D6"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0">
    <w:name w:val="Grid Table 3 - Accent 3"/>
    <w:basedOn w:val="31"/>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2Vert">
      <w:tblPr/>
    </w:tblStylePr>
    <w:tblStylePr w:type="band1Horz">
      <w:rPr>
        <w:rFonts w:ascii="Arial" w:hAnsi="Arial"/>
        <w:color w:val="404040"/>
        <w:sz w:val="22"/>
      </w:rPr>
      <w:tblPr/>
      <w:tcPr>
        <w:shd w:val="clear" w:color="ECECEC" w:themeColor="accent3" w:themeTint="34" w:fill="ECECEC"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1">
    <w:name w:val="Grid Table 3 - Accent 4"/>
    <w:basedOn w:val="31"/>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EF2CA" w:themeColor="accent4" w:themeTint="34" w:fill="FEF2CA" w:themeFill="accent4" w:themeFillTint="34"/>
      </w:tcPr>
    </w:tblStylePr>
    <w:tblStylePr w:type="band2Vert">
      <w:tblPr/>
    </w:tblStylePr>
    <w:tblStylePr w:type="band1Horz">
      <w:rPr>
        <w:rFonts w:ascii="Arial" w:hAnsi="Arial"/>
        <w:color w:val="404040"/>
        <w:sz w:val="22"/>
      </w:rPr>
      <w:tblPr/>
      <w:tcPr>
        <w:shd w:val="clear" w:color="FEF2CA" w:themeColor="accent4" w:themeTint="34" w:fill="FEF2CA"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2">
    <w:name w:val="Grid Table 3 - Accent 5"/>
    <w:basedOn w:val="31"/>
    <w:uiPriority w:val="99"/>
    <w:pPr>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2" w:themeColor="accent5" w:themeTint="34" w:fill="D8E2F2" w:themeFill="accent5" w:themeFillTint="34"/>
      </w:tcPr>
    </w:tblStylePr>
    <w:tblStylePr w:type="band2Vert">
      <w:tblPr/>
    </w:tblStylePr>
    <w:tblStylePr w:type="band1Horz">
      <w:rPr>
        <w:rFonts w:ascii="Arial" w:hAnsi="Arial"/>
        <w:color w:val="404040"/>
        <w:sz w:val="22"/>
      </w:rPr>
      <w:tblPr/>
      <w:tcPr>
        <w:shd w:val="clear" w:color="D8E2F2" w:themeColor="accent5" w:themeTint="34" w:fill="D8E2F2"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3">
    <w:name w:val="Grid Table 3 - Accent 6"/>
    <w:basedOn w:val="31"/>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2Vert">
      <w:tblPr/>
    </w:tblStylePr>
    <w:tblStylePr w:type="band1Horz">
      <w:rPr>
        <w:rFonts w:ascii="Arial" w:hAnsi="Arial"/>
        <w:color w:val="404040"/>
        <w:sz w:val="22"/>
      </w:rPr>
      <w:tblPr/>
      <w:tcPr>
        <w:shd w:val="clear" w:color="E1EFD8" w:themeColor="accent6" w:themeTint="34" w:fill="E1EFD8"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4">
    <w:name w:val="Grid Table 4"/>
    <w:basedOn w:val="31"/>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blPr/>
      <w:tcPr>
        <w:tcBorders>
          <w:top w:val="single" w:color="000000" w:themeColor="text1"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5">
    <w:name w:val="Grid Table 4 - Accent 1"/>
    <w:basedOn w:val="31"/>
    <w:uiPriority w:val="59"/>
    <w:pPr>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firstRow">
      <w:rPr>
        <w:rFonts w:ascii="Arial" w:hAnsi="Arial"/>
        <w:b/>
        <w:color w:val="FFFFFF"/>
        <w:sz w:val="22"/>
      </w:rPr>
      <w:tblPr/>
      <w:tcPr>
        <w:tcBorders>
          <w:top w:val="single" w:color="68A3D8" w:themeColor="accent1" w:themeTint="EA" w:sz="4" w:space="0"/>
          <w:left w:val="single" w:color="68A3D8" w:themeColor="accent1" w:themeTint="EA" w:sz="4" w:space="0"/>
          <w:bottom w:val="single" w:color="68A3D8" w:themeColor="accent1" w:themeTint="EA" w:sz="4" w:space="0"/>
          <w:right w:val="single" w:color="68A3D8" w:themeColor="accent1" w:themeTint="EA" w:sz="4" w:space="0"/>
        </w:tcBorders>
        <w:shd w:val="clear" w:color="68A3D8" w:themeColor="accent1" w:themeTint="EA" w:fill="68A3D8" w:themeFill="accent1" w:themeFillTint="EA"/>
      </w:tcPr>
    </w:tblStylePr>
    <w:tblStylePr w:type="lastRow">
      <w:rPr>
        <w:b/>
        <w:color w:val="404040"/>
      </w:rPr>
      <w:tblPr/>
      <w:tcPr>
        <w:tcBorders>
          <w:top w:val="single" w:color="68A3D8" w:themeColor="accent1" w:themeTint="E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EEBF6" w:themeColor="accent1" w:themeTint="32" w:fill="DEEBF6" w:themeFill="accent1" w:themeFillTint="32"/>
      </w:tcPr>
    </w:tblStylePr>
    <w:tblStylePr w:type="band2Vert">
      <w:tblPr/>
    </w:tblStylePr>
    <w:tblStylePr w:type="band1Horz">
      <w:rPr>
        <w:rFonts w:ascii="Arial" w:hAnsi="Arial"/>
        <w:color w:val="404040"/>
        <w:sz w:val="22"/>
      </w:rPr>
      <w:tblPr/>
      <w:tcPr>
        <w:shd w:val="clear" w:color="DEEBF6" w:themeColor="accent1" w:themeTint="32" w:fill="DEEBF6" w:themeFill="accent1"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6">
    <w:name w:val="Grid Table 4 - Accent 2"/>
    <w:basedOn w:val="31"/>
    <w:uiPriority w:val="5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bl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blPr/>
      <w:tcPr>
        <w:tcBorders>
          <w:top w:val="single" w:color="F4B285" w:themeColor="accent2" w:themeTint="97"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BE5D6" w:themeColor="accent2" w:themeTint="32" w:fill="FBE5D6" w:themeFill="accent2" w:themeFillTint="32"/>
      </w:tcPr>
    </w:tblStylePr>
    <w:tblStylePr w:type="band2Vert">
      <w:tblPr/>
    </w:tblStylePr>
    <w:tblStylePr w:type="band1Horz">
      <w:rPr>
        <w:rFonts w:ascii="Arial" w:hAnsi="Arial"/>
        <w:color w:val="404040"/>
        <w:sz w:val="22"/>
      </w:rPr>
      <w:tblPr/>
      <w:tcPr>
        <w:shd w:val="clear" w:color="FBE5D6" w:themeColor="accent2" w:themeTint="32" w:fill="FBE5D6"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7">
    <w:name w:val="Grid Table 4 - Accent 3"/>
    <w:basedOn w:val="31"/>
    <w:uiPriority w:val="5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bl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blPr/>
      <w:tcPr>
        <w:tcBorders>
          <w:top w:val="single" w:color="A5A5A5" w:themeColor="accent3" w:themeTint="FE"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CECEC" w:themeColor="accent3" w:themeTint="34" w:fill="ECECEC" w:themeFill="accent3" w:themeFillTint="34"/>
      </w:tcPr>
    </w:tblStylePr>
    <w:tblStylePr w:type="band2Vert">
      <w:tblPr/>
    </w:tblStylePr>
    <w:tblStylePr w:type="band1Horz">
      <w:rPr>
        <w:rFonts w:ascii="Arial" w:hAnsi="Arial"/>
        <w:color w:val="404040"/>
        <w:sz w:val="22"/>
      </w:rPr>
      <w:tblPr/>
      <w:tcPr>
        <w:shd w:val="clear" w:color="ECECEC" w:themeColor="accent3" w:themeTint="34" w:fill="ECECEC"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8">
    <w:name w:val="Grid Table 4 - Accent 4"/>
    <w:basedOn w:val="31"/>
    <w:uiPriority w:val="5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bl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blPr/>
      <w:tcPr>
        <w:tcBorders>
          <w:top w:val="single" w:color="FFD864" w:themeColor="accent4" w:themeTint="9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EF2CA" w:themeColor="accent4" w:themeTint="34" w:fill="FEF2CA" w:themeFill="accent4" w:themeFillTint="34"/>
      </w:tcPr>
    </w:tblStylePr>
    <w:tblStylePr w:type="band2Vert">
      <w:tblPr/>
    </w:tblStylePr>
    <w:tblStylePr w:type="band1Horz">
      <w:rPr>
        <w:rFonts w:ascii="Arial" w:hAnsi="Arial"/>
        <w:color w:val="404040"/>
        <w:sz w:val="22"/>
      </w:rPr>
      <w:tblPr/>
      <w:tcPr>
        <w:shd w:val="clear" w:color="FEF2CA" w:themeColor="accent4" w:themeTint="34" w:fill="FEF2CA"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9">
    <w:name w:val="Grid Table 4 - Accent 5"/>
    <w:basedOn w:val="31"/>
    <w:uiPriority w:val="59"/>
    <w:pPr>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FFFFFF"/>
        <w:sz w:val="22"/>
      </w:rPr>
      <w:tbl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themeColor="accent5" w:fill="4472C4" w:themeFill="accent5"/>
      </w:tcPr>
    </w:tblStylePr>
    <w:tblStylePr w:type="lastRow">
      <w:rPr>
        <w:b/>
        <w:color w:val="404040"/>
      </w:rPr>
      <w:tblPr/>
      <w:tcPr>
        <w:tcBorders>
          <w:top w:val="single" w:color="4472C4" w:themeColor="accent5"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8E2F2" w:themeColor="accent5" w:themeTint="34" w:fill="D8E2F2" w:themeFill="accent5" w:themeFillTint="34"/>
      </w:tcPr>
    </w:tblStylePr>
    <w:tblStylePr w:type="band2Vert">
      <w:tblPr/>
    </w:tblStylePr>
    <w:tblStylePr w:type="band1Horz">
      <w:rPr>
        <w:rFonts w:ascii="Arial" w:hAnsi="Arial"/>
        <w:color w:val="404040"/>
        <w:sz w:val="22"/>
      </w:rPr>
      <w:tblPr/>
      <w:tcPr>
        <w:shd w:val="clear" w:color="D8E2F2" w:themeColor="accent5" w:themeTint="34" w:fill="D8E2F2"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0">
    <w:name w:val="Grid Table 4 - Accent 6"/>
    <w:basedOn w:val="31"/>
    <w:uiPriority w:val="5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blPr/>
      <w:tcPr>
        <w:tcBorders>
          <w:top w:val="single" w:color="70AD47" w:themeColor="accent6"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1EFD8" w:themeColor="accent6" w:themeTint="34" w:fill="E1EFD8" w:themeFill="accent6" w:themeFillTint="34"/>
      </w:tcPr>
    </w:tblStylePr>
    <w:tblStylePr w:type="band2Vert">
      <w:tblPr/>
    </w:tblStylePr>
    <w:tblStylePr w:type="band1Horz">
      <w:rPr>
        <w:rFonts w:ascii="Arial" w:hAnsi="Arial"/>
        <w:color w:val="404040"/>
        <w:sz w:val="22"/>
      </w:rPr>
      <w:tblPr/>
      <w:tcPr>
        <w:shd w:val="clear" w:color="E1EFD8" w:themeColor="accent6" w:themeTint="34" w:fill="E1EFD8"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1">
    <w:name w:val="Grid Table 5 Dark"/>
    <w:basedOn w:val="31"/>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98989" w:themeColor="text1" w:themeTint="75" w:fill="898989" w:themeFill="text1" w:themeFillTint="75"/>
      </w:tcPr>
    </w:tblStylePr>
    <w:tblStylePr w:type="band2Vert">
      <w:tblPr/>
    </w:tblStylePr>
    <w:tblStylePr w:type="band1Horz">
      <w:tblPr/>
      <w:tcPr>
        <w:shd w:val="clear" w:color="898989" w:themeColor="text1" w:themeTint="75" w:fill="898989" w:themeFill="tex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2">
    <w:name w:val="Grid Table 5 Dark- Accent 1"/>
    <w:basedOn w:val="31"/>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color="FFFFFF" w:themeColor="light1" w:sz="4" w:space="0"/>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1EB" w:themeColor="accent1" w:themeTint="75" w:fill="B3D1EB" w:themeFill="accent1" w:themeFillTint="75"/>
      </w:tcPr>
    </w:tblStylePr>
    <w:tblStylePr w:type="band2Vert">
      <w:tblPr/>
    </w:tblStylePr>
    <w:tblStylePr w:type="band1Horz">
      <w:tblPr/>
      <w:tcPr>
        <w:shd w:val="clear" w:color="B3D1EB" w:themeColor="accent1" w:themeTint="75" w:fill="B3D1EB" w:themeFill="accen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3">
    <w:name w:val="Grid Table 5 Dark - Accent 2"/>
    <w:basedOn w:val="31"/>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2Vert">
      <w:tblPr/>
    </w:tblStylePr>
    <w:tblStylePr w:type="band1Horz">
      <w:tblPr/>
      <w:tcPr>
        <w:shd w:val="clear" w:color="F6C3A0" w:themeColor="accent2" w:themeTint="75" w:fill="F6C3A0" w:themeFill="accent2"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4">
    <w:name w:val="Grid Table 5 Dark - Accent 3"/>
    <w:basedOn w:val="31"/>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2Vert">
      <w:tblPr/>
    </w:tblStylePr>
    <w:tblStylePr w:type="band1Horz">
      <w:tblPr/>
      <w:tcPr>
        <w:shd w:val="clear" w:color="D5D5D5" w:themeColor="accent3" w:themeTint="75" w:fill="D5D5D5" w:themeFill="accent3"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5">
    <w:name w:val="Grid Table 5 Dark- Accent 4"/>
    <w:basedOn w:val="31"/>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EE289" w:themeColor="accent4" w:themeTint="75" w:fill="FEE289" w:themeFill="accent4" w:themeFillTint="75"/>
      </w:tcPr>
    </w:tblStylePr>
    <w:tblStylePr w:type="band2Vert">
      <w:tblPr/>
    </w:tblStylePr>
    <w:tblStylePr w:type="band1Horz">
      <w:tblPr/>
      <w:tcPr>
        <w:shd w:val="clear" w:color="FEE289" w:themeColor="accent4" w:themeTint="75" w:fill="FEE289" w:themeFill="accent4"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6">
    <w:name w:val="Grid Table 5 Dark - Accent 5"/>
    <w:basedOn w:val="31"/>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color="FFFFFF" w:themeColor="light1" w:sz="4" w:space="0"/>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3" w:themeColor="accent5" w:themeTint="75" w:fill="A9BEE3" w:themeFill="accent5" w:themeFillTint="75"/>
      </w:tcPr>
    </w:tblStylePr>
    <w:tblStylePr w:type="band2Vert">
      <w:tblPr/>
    </w:tblStylePr>
    <w:tblStylePr w:type="band1Horz">
      <w:tblPr/>
      <w:tcPr>
        <w:shd w:val="clear" w:color="A9BEE3" w:themeColor="accent5" w:themeTint="75" w:fill="A9BEE3" w:themeFill="accent5"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7">
    <w:name w:val="Grid Table 5 Dark - Accent 6"/>
    <w:basedOn w:val="31"/>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2Vert">
      <w:tblPr/>
    </w:tblStylePr>
    <w:tblStylePr w:type="band1Horz">
      <w:tblPr/>
      <w:tcPr>
        <w:shd w:val="clear" w:color="BCDBA8" w:themeColor="accent6" w:themeTint="75" w:fill="BCDBA8" w:themeFill="accent6"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8">
    <w:name w:val="Grid Table 6 Colorful"/>
    <w:basedOn w:val="31"/>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bl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Pr/>
    </w:tblStylePr>
    <w:tblStylePr w:type="firstCol">
      <w:rPr>
        <w:b/>
        <w:color w:val="808080" w:themeColor="text1" w:themeTint="80"/>
        <w14:textFill>
          <w14:solidFill>
            <w14:schemeClr w14:val="tx1">
              <w14:lumMod w14:val="50000"/>
              <w14:lumOff w14:val="50000"/>
            </w14:schemeClr>
          </w14:solidFill>
        </w14:textFill>
      </w:rPr>
      <w:tblPr/>
    </w:tblStylePr>
    <w:tblStylePr w:type="lastCol">
      <w:rPr>
        <w:b/>
        <w:color w:val="808080" w:themeColor="text1" w:themeTint="80"/>
        <w14:textFill>
          <w14:solidFill>
            <w14:schemeClr w14:val="tx1">
              <w14:lumMod w14:val="50000"/>
              <w14:lumOff w14:val="50000"/>
            </w14:schemeClr>
          </w14:solidFill>
        </w14:textFill>
      </w:rPr>
      <w:tblPr/>
    </w:tblStylePr>
    <w:tblStylePr w:type="band1Vert">
      <w:tblPr/>
      <w:tcPr>
        <w:shd w:val="clear" w:color="CACACA" w:themeColor="text1" w:themeTint="34" w:fill="CACACA" w:themeFill="text1" w:themeFillTint="34"/>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99">
    <w:name w:val="Grid Table 6 Colorful - Accent 1"/>
    <w:basedOn w:val="31"/>
    <w:uiPriority w:val="99"/>
    <w:pPr>
      <w:spacing w:after="0" w:line="240" w:lineRule="auto"/>
    </w:pPr>
    <w:tblPr>
      <w:tblBorders>
        <w:top w:val="single" w:color="ACCCE9" w:themeColor="accent1" w:themeTint="80" w:sz="4" w:space="0"/>
        <w:left w:val="single" w:color="ACCCE9" w:themeColor="accent1" w:themeTint="80" w:sz="4" w:space="0"/>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b/>
        <w:color w:val="ADCDEA" w:themeColor="accent1" w:themeTint="80"/>
        <w14:textFill>
          <w14:solidFill>
            <w14:schemeClr w14:val="accent1">
              <w14:lumMod w14:val="50000"/>
              <w14:lumOff w14:val="50000"/>
            </w14:schemeClr>
          </w14:solidFill>
        </w14:textFill>
      </w:rPr>
      <w:tblPr/>
      <w:tcPr>
        <w:tcBorders>
          <w:bottom w:val="single" w:color="ACCCE9" w:themeColor="accent1" w:themeTint="80" w:sz="12" w:space="0"/>
        </w:tcBorders>
      </w:tcPr>
    </w:tblStylePr>
    <w:tblStylePr w:type="lastRow">
      <w:rPr>
        <w:b/>
        <w:color w:val="ADCDEA" w:themeColor="accent1" w:themeTint="80"/>
        <w14:textFill>
          <w14:solidFill>
            <w14:schemeClr w14:val="accent1">
              <w14:lumMod w14:val="50000"/>
              <w14:lumOff w14:val="50000"/>
            </w14:schemeClr>
          </w14:solidFill>
        </w14:textFill>
      </w:rPr>
      <w:tblPr/>
    </w:tblStylePr>
    <w:tblStylePr w:type="firstCol">
      <w:rPr>
        <w:b/>
        <w:color w:val="ADCDEA" w:themeColor="accent1" w:themeTint="80"/>
        <w14:textFill>
          <w14:solidFill>
            <w14:schemeClr w14:val="accent1">
              <w14:lumMod w14:val="50000"/>
              <w14:lumOff w14:val="50000"/>
            </w14:schemeClr>
          </w14:solidFill>
        </w14:textFill>
      </w:rPr>
      <w:tblPr/>
    </w:tblStylePr>
    <w:tblStylePr w:type="lastCol">
      <w:rPr>
        <w:b/>
        <w:color w:val="ADCDEA" w:themeColor="accent1" w:themeTint="80"/>
        <w14:textFill>
          <w14:solidFill>
            <w14:schemeClr w14:val="accent1">
              <w14:lumMod w14:val="50000"/>
              <w14:lumOff w14:val="50000"/>
            </w14:schemeClr>
          </w14:solidFill>
        </w14:textFill>
      </w:rPr>
      <w:tblPr/>
    </w:tblStylePr>
    <w:tblStylePr w:type="band1Vert">
      <w:tblPr/>
      <w:tcPr>
        <w:shd w:val="clear" w:color="DDEAF6" w:themeColor="accent1" w:themeTint="34" w:fill="DDEAF6" w:themeFill="accent1" w:themeFillTint="34"/>
      </w:tcPr>
    </w:tblStylePr>
    <w:tblStylePr w:type="band2Vert">
      <w:tbl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bl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0">
    <w:name w:val="Grid Table 6 Colorful - Accent 2"/>
    <w:basedOn w:val="31"/>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bl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Pr/>
    </w:tblStylePr>
    <w:tblStylePr w:type="firstCol">
      <w:rPr>
        <w:b/>
        <w:color w:val="F4B285" w:themeColor="accent2" w:themeTint="96"/>
        <w14:textFill>
          <w14:solidFill>
            <w14:schemeClr w14:val="accent2">
              <w14:lumMod w14:val="59000"/>
              <w14:lumOff w14:val="41000"/>
            </w14:schemeClr>
          </w14:solidFill>
        </w14:textFill>
      </w:rPr>
      <w:tblPr/>
    </w:tblStylePr>
    <w:tblStylePr w:type="lastCol">
      <w:rPr>
        <w:b/>
        <w:color w:val="F4B285" w:themeColor="accent2" w:themeTint="96"/>
        <w14:textFill>
          <w14:solidFill>
            <w14:schemeClr w14:val="accent2">
              <w14:lumMod w14:val="59000"/>
              <w14:lumOff w14:val="41000"/>
            </w14:schemeClr>
          </w14:solidFill>
        </w14:textFill>
      </w:rPr>
      <w:tblPr/>
    </w:tblStylePr>
    <w:tblStylePr w:type="band1Vert">
      <w:tblPr/>
      <w:tcPr>
        <w:shd w:val="clear" w:color="FBE5D6" w:themeColor="accent2" w:themeTint="32" w:fill="FBE5D6" w:themeFill="accent2" w:themeFillTint="32"/>
      </w:tcPr>
    </w:tblStylePr>
    <w:tblStylePr w:type="band2Vert">
      <w:tbl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bl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1">
    <w:name w:val="Grid Table 6 Colorful - Accent 3"/>
    <w:basedOn w:val="31"/>
    <w:uiPriority w:val="99"/>
    <w:pPr>
      <w:spacing w:after="0" w:line="240" w:lineRule="auto"/>
    </w:pPr>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F"/>
        <w14:textFill>
          <w14:solidFill>
            <w14:schemeClr w14:val="accent3">
              <w14:lumMod w14:val="100000"/>
              <w14:lumOff w14:val="0"/>
            </w14:schemeClr>
          </w14:solidFill>
        </w14:textFill>
      </w:rPr>
      <w:tblPr/>
      <w:tcPr>
        <w:tcBorders>
          <w:bottom w:val="single" w:color="A5A5A5" w:themeColor="accent3" w:themeTint="FE" w:sz="12" w:space="0"/>
        </w:tcBorders>
      </w:tcPr>
    </w:tblStylePr>
    <w:tblStylePr w:type="lastRow">
      <w:rPr>
        <w:b/>
        <w:color w:val="A5A5A5" w:themeColor="accent3" w:themeTint="FF"/>
        <w14:textFill>
          <w14:solidFill>
            <w14:schemeClr w14:val="accent3">
              <w14:lumMod w14:val="100000"/>
              <w14:lumOff w14:val="0"/>
            </w14:schemeClr>
          </w14:solidFill>
        </w14:textFill>
      </w:rPr>
      <w:tblPr/>
    </w:tblStylePr>
    <w:tblStylePr w:type="firstCol">
      <w:rPr>
        <w:b/>
        <w:color w:val="A5A5A5" w:themeColor="accent3" w:themeTint="FF"/>
        <w14:textFill>
          <w14:solidFill>
            <w14:schemeClr w14:val="accent3">
              <w14:lumMod w14:val="100000"/>
              <w14:lumOff w14:val="0"/>
            </w14:schemeClr>
          </w14:solidFill>
        </w14:textFill>
      </w:rPr>
      <w:tblPr/>
    </w:tblStylePr>
    <w:tblStylePr w:type="lastCol">
      <w:rPr>
        <w:b/>
        <w:color w:val="A5A5A5" w:themeColor="accent3" w:themeTint="FF"/>
        <w14:textFill>
          <w14:solidFill>
            <w14:schemeClr w14:val="accent3">
              <w14:lumMod w14:val="100000"/>
              <w14:lumOff w14:val="0"/>
            </w14:schemeClr>
          </w14:solidFill>
        </w14:textFill>
      </w:rPr>
      <w:tblPr/>
    </w:tblStylePr>
    <w:tblStylePr w:type="band1Vert">
      <w:tblPr/>
      <w:tcPr>
        <w:shd w:val="clear" w:color="ECECEC" w:themeColor="accent3" w:themeTint="34" w:fill="ECECEC" w:themeFill="accent3" w:themeFillTint="34"/>
      </w:tcPr>
    </w:tblStylePr>
    <w:tblStylePr w:type="band2Vert">
      <w:tblPr/>
    </w:tblStylePr>
    <w:tblStylePr w:type="band1Horz">
      <w:rPr>
        <w:rFonts w:ascii="Arial" w:hAnsi="Arial"/>
        <w:color w:val="A5A5A5" w:themeColor="accent3" w:themeTint="FF"/>
        <w:sz w:val="22"/>
        <w14:textFill>
          <w14:solidFill>
            <w14:schemeClr w14:val="accent3">
              <w14:lumMod w14:val="100000"/>
              <w14:lumOff w14:val="0"/>
            </w14:schemeClr>
          </w14:solidFill>
        </w14:textFill>
      </w:rPr>
      <w:tbl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2">
    <w:name w:val="Grid Table 6 Colorful - Accent 4"/>
    <w:basedOn w:val="31"/>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bl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Pr/>
    </w:tblStylePr>
    <w:tblStylePr w:type="firstCol">
      <w:rPr>
        <w:b/>
        <w:color w:val="FFD966" w:themeColor="accent4" w:themeTint="99"/>
        <w14:textFill>
          <w14:solidFill>
            <w14:schemeClr w14:val="accent4">
              <w14:lumMod w14:val="60000"/>
              <w14:lumOff w14:val="40000"/>
            </w14:schemeClr>
          </w14:solidFill>
        </w14:textFill>
      </w:rPr>
      <w:tblPr/>
    </w:tblStylePr>
    <w:tblStylePr w:type="lastCol">
      <w:rPr>
        <w:b/>
        <w:color w:val="FFD966" w:themeColor="accent4" w:themeTint="99"/>
        <w14:textFill>
          <w14:solidFill>
            <w14:schemeClr w14:val="accent4">
              <w14:lumMod w14:val="60000"/>
              <w14:lumOff w14:val="40000"/>
            </w14:schemeClr>
          </w14:solidFill>
        </w14:textFill>
      </w:rPr>
      <w:tblPr/>
    </w:tblStylePr>
    <w:tblStylePr w:type="band1Vert">
      <w:tblPr/>
      <w:tcPr>
        <w:shd w:val="clear" w:color="FEF2CA" w:themeColor="accent4" w:themeTint="34" w:fill="FEF2CA" w:themeFill="accent4" w:themeFillTint="34"/>
      </w:tcPr>
    </w:tblStylePr>
    <w:tblStylePr w:type="band2Vert">
      <w:tbl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bl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3">
    <w:name w:val="Grid Table 6 Colorful - Accent 5"/>
    <w:basedOn w:val="31"/>
    <w:uiPriority w:val="99"/>
    <w:pPr>
      <w:spacing w:after="0" w:line="240" w:lineRule="auto"/>
    </w:pPr>
    <w:tblP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b/>
        <w:color w:val="254174" w:themeColor="accent5" w:themeShade="94"/>
      </w:rPr>
      <w:tblPr/>
      <w:tcPr>
        <w:tcBorders>
          <w:bottom w:val="single" w:color="4472C4" w:themeColor="accent5" w:sz="12" w:space="0"/>
        </w:tcBorders>
      </w:tcPr>
    </w:tblStylePr>
    <w:tblStylePr w:type="lastRow">
      <w:rPr>
        <w:b/>
        <w:color w:val="254174" w:themeColor="accent5" w:themeShade="94"/>
      </w:rPr>
      <w:tblPr/>
    </w:tblStylePr>
    <w:tblStylePr w:type="firstCol">
      <w:rPr>
        <w:b/>
        <w:color w:val="254174" w:themeColor="accent5" w:themeShade="94"/>
      </w:rPr>
      <w:tblPr/>
    </w:tblStylePr>
    <w:tblStylePr w:type="lastCol">
      <w:rPr>
        <w:b/>
        <w:color w:val="254174" w:themeColor="accent5" w:themeShade="94"/>
      </w:rPr>
      <w:tblPr/>
    </w:tblStylePr>
    <w:tblStylePr w:type="band1Vert">
      <w:tblPr/>
      <w:tcPr>
        <w:shd w:val="clear" w:color="D8E2F2" w:themeColor="accent5" w:themeTint="34" w:fill="D8E2F2" w:themeFill="accent5" w:themeFillTint="34"/>
      </w:tcPr>
    </w:tblStylePr>
    <w:tblStylePr w:type="band2Vert">
      <w:tblPr/>
    </w:tblStylePr>
    <w:tblStylePr w:type="band1Horz">
      <w:rPr>
        <w:rFonts w:ascii="Arial" w:hAnsi="Arial"/>
        <w:color w:val="254174" w:themeColor="accent5" w:themeShade="94"/>
        <w:sz w:val="22"/>
      </w:rPr>
      <w:tblPr/>
      <w:tcPr>
        <w:shd w:val="clear" w:color="D8E2F2" w:themeColor="accent5" w:themeTint="34" w:fill="D8E2F2" w:themeFill="accent5" w:themeFillTint="34"/>
      </w:tcPr>
    </w:tblStylePr>
    <w:tblStylePr w:type="band2Horz">
      <w:rPr>
        <w:rFonts w:ascii="Arial" w:hAnsi="Arial"/>
        <w:color w:val="254174"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04">
    <w:name w:val="Grid Table 6 Colorful - Accent 6"/>
    <w:basedOn w:val="31"/>
    <w:uiPriority w:val="99"/>
    <w:pPr>
      <w:spacing w:after="0" w:line="240" w:lineRule="auto"/>
    </w:pPr>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54174" w:themeColor="accent5" w:themeShade="94"/>
      </w:rPr>
      <w:tblPr/>
      <w:tcPr>
        <w:tcBorders>
          <w:bottom w:val="single" w:color="70AD47" w:themeColor="accent6" w:sz="12" w:space="0"/>
        </w:tcBorders>
      </w:tcPr>
    </w:tblStylePr>
    <w:tblStylePr w:type="lastRow">
      <w:rPr>
        <w:b/>
        <w:color w:val="254174" w:themeColor="accent5" w:themeShade="94"/>
      </w:rPr>
      <w:tblPr/>
    </w:tblStylePr>
    <w:tblStylePr w:type="firstCol">
      <w:rPr>
        <w:b/>
        <w:color w:val="254174" w:themeColor="accent5" w:themeShade="94"/>
      </w:rPr>
      <w:tblPr/>
    </w:tblStylePr>
    <w:tblStylePr w:type="lastCol">
      <w:rPr>
        <w:b/>
        <w:color w:val="254174" w:themeColor="accent5" w:themeShade="94"/>
      </w:rPr>
      <w:tblPr/>
    </w:tblStylePr>
    <w:tblStylePr w:type="band1Vert">
      <w:tblPr/>
      <w:tcPr>
        <w:shd w:val="clear" w:color="E1EFD8" w:themeColor="accent6" w:themeTint="34" w:fill="E1EFD8" w:themeFill="accent6" w:themeFillTint="34"/>
      </w:tcPr>
    </w:tblStylePr>
    <w:tblStylePr w:type="band2Vert">
      <w:tblPr/>
    </w:tblStylePr>
    <w:tblStylePr w:type="band1Horz">
      <w:rPr>
        <w:rFonts w:ascii="Arial" w:hAnsi="Arial"/>
        <w:color w:val="254174" w:themeColor="accent5" w:themeShade="94"/>
        <w:sz w:val="22"/>
      </w:rPr>
      <w:tblPr/>
      <w:tcPr>
        <w:shd w:val="clear" w:color="E1EFD8" w:themeColor="accent6" w:themeTint="34" w:fill="E1EFD8" w:themeFill="accent6" w:themeFillTint="34"/>
      </w:tcPr>
    </w:tblStylePr>
    <w:tblStylePr w:type="band2Horz">
      <w:rPr>
        <w:rFonts w:ascii="Arial" w:hAnsi="Arial"/>
        <w:color w:val="254174"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05">
    <w:name w:val="Grid Table 7 Colorful"/>
    <w:basedOn w:val="31"/>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single" w:color="7E7E7E" w:themeColor="text1" w:themeTint="80" w:sz="4" w:space="0"/>
          <w:bottom w:val="nil"/>
          <w:right w:val="nil"/>
        </w:tcBorders>
        <w:shd w:val="clear" w:color="FFFFFF" w:fill="auto"/>
      </w:tcPr>
    </w:tblStylePr>
    <w:tblStylePr w:type="band1Vert">
      <w:tblPr/>
      <w:tcPr>
        <w:shd w:val="clear" w:color="F1F1F1" w:themeColor="text1" w:themeTint="0D" w:fill="F1F1F1" w:themeFill="text1" w:themeFillTint="0D"/>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6">
    <w:name w:val="Grid Table 7 Colorful - Accent 1"/>
    <w:basedOn w:val="31"/>
    <w:uiPriority w:val="99"/>
    <w:pPr>
      <w:spacing w:after="0" w:line="240" w:lineRule="auto"/>
    </w:pPr>
    <w:tblPr>
      <w:tblBorders>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rFonts w:ascii="Arial" w:hAnsi="Arial"/>
        <w:b/>
        <w:color w:val="ADCDEA" w:themeColor="accent1" w:themeTint="80"/>
        <w:sz w:val="22"/>
        <w14:textFill>
          <w14:solidFill>
            <w14:schemeClr w14:val="accent1">
              <w14:lumMod w14:val="50000"/>
              <w14:lumOff w14:val="50000"/>
            </w14:schemeClr>
          </w14:solidFill>
        </w14:textFill>
      </w:rPr>
      <w:tblPr/>
      <w:tcPr>
        <w:tcBorders>
          <w:top w:val="nil"/>
          <w:left w:val="nil"/>
          <w:bottom w:val="single" w:color="ACCCE9" w:themeColor="accent1" w:themeTint="80" w:sz="4" w:space="0"/>
          <w:right w:val="nil"/>
        </w:tcBorders>
        <w:shd w:val="clear" w:color="FFFFFF" w:themeColor="light1" w:fill="FFFFFF" w:themeFill="light1"/>
      </w:tcPr>
    </w:tblStylePr>
    <w:tblStylePr w:type="lastRow">
      <w:rPr>
        <w:rFonts w:ascii="Arial" w:hAnsi="Arial"/>
        <w:b/>
        <w:color w:val="ADCDEA" w:themeColor="accent1" w:themeTint="80"/>
        <w:sz w:val="22"/>
        <w14:textFill>
          <w14:solidFill>
            <w14:schemeClr w14:val="accent1">
              <w14:lumMod w14:val="50000"/>
              <w14:lumOff w14:val="50000"/>
            </w14:schemeClr>
          </w14:solidFill>
        </w14:textFill>
      </w:rPr>
      <w:tblPr/>
      <w:tcPr>
        <w:tcBorders>
          <w:top w:val="single" w:color="ACCCE9"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DCDEA" w:themeColor="accent1" w:themeTint="80"/>
        <w:sz w:val="22"/>
        <w14:textFill>
          <w14:solidFill>
            <w14:schemeClr w14:val="accent1">
              <w14:lumMod w14:val="50000"/>
              <w14:lumOff w14:val="50000"/>
            </w14:schemeClr>
          </w14:solidFill>
        </w14:textFill>
      </w:rPr>
      <w:tblPr/>
      <w:tcPr>
        <w:tcBorders>
          <w:top w:val="nil"/>
          <w:left w:val="nil"/>
          <w:bottom w:val="nil"/>
          <w:right w:val="single" w:color="ACCCE9" w:themeColor="accent1" w:themeTint="80" w:sz="4" w:space="0"/>
        </w:tcBorders>
        <w:shd w:val="clear" w:color="FFFFFF" w:fill="auto"/>
      </w:tcPr>
    </w:tblStylePr>
    <w:tblStylePr w:type="lastCol">
      <w:rPr>
        <w:rFonts w:ascii="Arial" w:hAnsi="Arial"/>
        <w:i/>
        <w:color w:val="ADCDEA" w:themeColor="accent1" w:themeTint="80"/>
        <w:sz w:val="22"/>
        <w14:textFill>
          <w14:solidFill>
            <w14:schemeClr w14:val="accent1">
              <w14:lumMod w14:val="50000"/>
              <w14:lumOff w14:val="50000"/>
            </w14:schemeClr>
          </w14:solidFill>
        </w14:textFill>
      </w:rPr>
      <w:tblPr/>
      <w:tcPr>
        <w:tcBorders>
          <w:top w:val="nil"/>
          <w:left w:val="single" w:color="ACCCE9" w:themeColor="accent1" w:themeTint="80" w:sz="4" w:space="0"/>
          <w:bottom w:val="nil"/>
          <w:right w:val="nil"/>
        </w:tcBorders>
        <w:shd w:val="clear" w:color="FFFFFF" w:fill="auto"/>
      </w:tcPr>
    </w:tblStylePr>
    <w:tblStylePr w:type="band1Vert">
      <w:tblPr/>
      <w:tcPr>
        <w:shd w:val="clear" w:color="DDEAF6" w:themeColor="accent1" w:themeTint="34" w:fill="DDEAF6" w:themeFill="accent1" w:themeFillTint="34"/>
      </w:tcPr>
    </w:tblStylePr>
    <w:tblStylePr w:type="band2Vert">
      <w:tbl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bl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7">
    <w:name w:val="Grid Table 7 Colorful - Accent 2"/>
    <w:basedOn w:val="31"/>
    <w:uiPriority w:val="99"/>
    <w:pPr>
      <w:spacing w:after="0" w:line="240" w:lineRule="auto"/>
    </w:pPr>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bl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bl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bl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blPr/>
      <w:tcPr>
        <w:tcBorders>
          <w:top w:val="nil"/>
          <w:left w:val="single" w:color="F4B285" w:themeColor="accent2" w:themeTint="97" w:sz="4" w:space="0"/>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2Vert">
      <w:tbl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bl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8">
    <w:name w:val="Grid Table 7 Colorful - Accent 3"/>
    <w:basedOn w:val="31"/>
    <w:uiPriority w:val="99"/>
    <w:pPr>
      <w:spacing w:after="0" w:line="240" w:lineRule="auto"/>
    </w:pPr>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themeTint="FF"/>
        <w:sz w:val="22"/>
        <w14:textFill>
          <w14:solidFill>
            <w14:schemeClr w14:val="accent3">
              <w14:lumMod w14:val="100000"/>
              <w14:lumOff w14:val="0"/>
            </w14:schemeClr>
          </w14:solidFill>
        </w14:textFill>
      </w:rPr>
      <w:tbl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themeTint="FF"/>
        <w:sz w:val="22"/>
        <w14:textFill>
          <w14:solidFill>
            <w14:schemeClr w14:val="accent3">
              <w14:lumMod w14:val="100000"/>
              <w14:lumOff w14:val="0"/>
            </w14:schemeClr>
          </w14:solidFill>
        </w14:textFill>
      </w:rPr>
      <w:tbl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themeTint="FF"/>
        <w:sz w:val="22"/>
        <w14:textFill>
          <w14:solidFill>
            <w14:schemeClr w14:val="accent3">
              <w14:lumMod w14:val="100000"/>
              <w14:lumOff w14:val="0"/>
            </w14:schemeClr>
          </w14:solidFill>
        </w14:textFill>
      </w:rPr>
      <w:tbl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themeTint="FF"/>
        <w:sz w:val="22"/>
        <w14:textFill>
          <w14:solidFill>
            <w14:schemeClr w14:val="accent3">
              <w14:lumMod w14:val="100000"/>
              <w14:lumOff w14:val="0"/>
            </w14:schemeClr>
          </w14:solidFill>
        </w14:textFill>
      </w:rPr>
      <w:tblPr/>
      <w:tcPr>
        <w:tcBorders>
          <w:top w:val="nil"/>
          <w:left w:val="single" w:color="A5A5A5" w:themeColor="accent3" w:themeTint="FE" w:sz="4" w:space="0"/>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2Vert">
      <w:tblPr/>
    </w:tblStylePr>
    <w:tblStylePr w:type="band1Horz">
      <w:rPr>
        <w:rFonts w:ascii="Arial" w:hAnsi="Arial"/>
        <w:color w:val="A5A5A5" w:themeColor="accent3" w:themeTint="FF"/>
        <w:sz w:val="22"/>
        <w14:textFill>
          <w14:solidFill>
            <w14:schemeClr w14:val="accent3">
              <w14:lumMod w14:val="100000"/>
              <w14:lumOff w14:val="0"/>
            </w14:schemeClr>
          </w14:solidFill>
        </w14:textFill>
      </w:rPr>
      <w:tbl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9">
    <w:name w:val="Grid Table 7 Colorful - Accent 4"/>
    <w:basedOn w:val="31"/>
    <w:uiPriority w:val="99"/>
    <w:pPr>
      <w:spacing w:after="0" w:line="240" w:lineRule="auto"/>
    </w:pPr>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bl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bl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bl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blPr/>
      <w:tcPr>
        <w:tcBorders>
          <w:top w:val="nil"/>
          <w:left w:val="single" w:color="FFD864" w:themeColor="accent4" w:themeTint="9A" w:sz="4" w:space="0"/>
          <w:bottom w:val="nil"/>
          <w:right w:val="nil"/>
        </w:tcBorders>
        <w:shd w:val="clear" w:color="FFFFFF" w:fill="auto"/>
      </w:tcPr>
    </w:tblStylePr>
    <w:tblStylePr w:type="band1Vert">
      <w:tblPr/>
      <w:tcPr>
        <w:shd w:val="clear" w:color="FEF2CA" w:themeColor="accent4" w:themeTint="34" w:fill="FEF2CA" w:themeFill="accent4" w:themeFillTint="34"/>
      </w:tcPr>
    </w:tblStylePr>
    <w:tblStylePr w:type="band2Vert">
      <w:tbl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bl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10">
    <w:name w:val="Grid Table 7 Colorful - Accent 5"/>
    <w:basedOn w:val="31"/>
    <w:uiPriority w:val="99"/>
    <w:pPr>
      <w:spacing w:after="0" w:line="240" w:lineRule="auto"/>
    </w:pPr>
    <w:tblPr>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254174" w:themeColor="accent5" w:themeShade="94"/>
        <w:sz w:val="22"/>
      </w:rPr>
      <w:tblPr/>
      <w:tcPr>
        <w:tcBorders>
          <w:top w:val="nil"/>
          <w:left w:val="nil"/>
          <w:bottom w:val="single" w:color="95AFDD" w:themeColor="accent5" w:themeTint="90" w:sz="4" w:space="0"/>
          <w:right w:val="nil"/>
        </w:tcBorders>
        <w:shd w:val="clear" w:color="FFFFFF" w:themeColor="light1" w:fill="FFFFFF" w:themeFill="light1"/>
      </w:tcPr>
    </w:tblStylePr>
    <w:tblStylePr w:type="lastRow">
      <w:rPr>
        <w:rFonts w:ascii="Arial" w:hAnsi="Arial"/>
        <w:b/>
        <w:color w:val="254174" w:themeColor="accent5" w:themeShade="94"/>
        <w:sz w:val="22"/>
      </w:rPr>
      <w:tblPr/>
      <w:tcPr>
        <w:tcBorders>
          <w:top w:val="single" w:color="95AFDD"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5" w:themeShade="94"/>
        <w:sz w:val="22"/>
      </w:rPr>
      <w:tblPr/>
      <w:tcPr>
        <w:tcBorders>
          <w:top w:val="nil"/>
          <w:left w:val="nil"/>
          <w:bottom w:val="nil"/>
          <w:right w:val="single" w:color="95AFDD" w:themeColor="accent5" w:themeTint="90" w:sz="4" w:space="0"/>
        </w:tcBorders>
        <w:shd w:val="clear" w:color="FFFFFF" w:fill="auto"/>
      </w:tcPr>
    </w:tblStylePr>
    <w:tblStylePr w:type="lastCol">
      <w:rPr>
        <w:rFonts w:ascii="Arial" w:hAnsi="Arial"/>
        <w:i/>
        <w:color w:val="254174" w:themeColor="accent5" w:themeShade="94"/>
        <w:sz w:val="22"/>
      </w:rPr>
      <w:tblPr/>
      <w:tcPr>
        <w:tcBorders>
          <w:top w:val="nil"/>
          <w:left w:val="single" w:color="95AFDD" w:themeColor="accent5" w:themeTint="90" w:sz="4" w:space="0"/>
          <w:bottom w:val="nil"/>
          <w:right w:val="nil"/>
        </w:tcBorders>
        <w:shd w:val="clear" w:color="FFFFFF" w:fill="auto"/>
      </w:tcPr>
    </w:tblStylePr>
    <w:tblStylePr w:type="band1Vert">
      <w:tblPr/>
      <w:tcPr>
        <w:shd w:val="clear" w:color="D8E2F2" w:themeColor="accent5" w:themeTint="34" w:fill="D8E2F2" w:themeFill="accent5" w:themeFillTint="34"/>
      </w:tcPr>
    </w:tblStylePr>
    <w:tblStylePr w:type="band2Vert">
      <w:tblPr/>
    </w:tblStylePr>
    <w:tblStylePr w:type="band1Horz">
      <w:rPr>
        <w:rFonts w:ascii="Arial" w:hAnsi="Arial"/>
        <w:color w:val="254174" w:themeColor="accent5" w:themeShade="94"/>
        <w:sz w:val="22"/>
      </w:rPr>
      <w:tblPr/>
      <w:tcPr>
        <w:shd w:val="clear" w:color="D8E2F2" w:themeColor="accent5" w:themeTint="34" w:fill="D8E2F2" w:themeFill="accent5" w:themeFillTint="34"/>
      </w:tcPr>
    </w:tblStylePr>
    <w:tblStylePr w:type="band2Horz">
      <w:rPr>
        <w:rFonts w:ascii="Arial" w:hAnsi="Arial"/>
        <w:color w:val="254174"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11">
    <w:name w:val="Grid Table 7 Colorful - Accent 6"/>
    <w:basedOn w:val="31"/>
    <w:uiPriority w:val="99"/>
    <w:pPr>
      <w:spacing w:after="0" w:line="240" w:lineRule="auto"/>
    </w:pPr>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bl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bl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bl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blPr/>
      <w:tcPr>
        <w:tcBorders>
          <w:top w:val="nil"/>
          <w:left w:val="single" w:color="ADD394" w:themeColor="accent6" w:themeTint="90" w:sz="4" w:space="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2Vert">
      <w:tblPr/>
    </w:tblStylePr>
    <w:tblStylePr w:type="band1Horz">
      <w:rPr>
        <w:rFonts w:ascii="Arial" w:hAnsi="Arial"/>
        <w:color w:val="416429" w:themeColor="accent6" w:themeShade="94"/>
        <w:sz w:val="22"/>
      </w:rPr>
      <w:tblPr/>
      <w:tcPr>
        <w:shd w:val="clear" w:color="E1EFD8" w:themeColor="accent6" w:themeTint="34" w:fill="E1EFD8" w:themeFill="accent6" w:themeFillTint="34"/>
      </w:tcPr>
    </w:tblStylePr>
    <w:tblStylePr w:type="band2Horz">
      <w:rPr>
        <w:rFonts w:ascii="Arial" w:hAnsi="Arial"/>
        <w:color w:val="416429" w:themeColor="accent6" w:themeShade="94"/>
        <w:sz w:val="22"/>
      </w:rPr>
      <w:tblPr/>
    </w:tblStylePr>
    <w:tblStylePr w:type="neCell">
      <w:tblPr/>
    </w:tblStylePr>
    <w:tblStylePr w:type="nwCell">
      <w:tblPr/>
    </w:tblStylePr>
    <w:tblStylePr w:type="seCell">
      <w:tblPr/>
    </w:tblStylePr>
    <w:tblStylePr w:type="swCell">
      <w:tblPr/>
    </w:tblStylePr>
  </w:style>
  <w:style w:type="table" w:customStyle="1" w:styleId="112">
    <w:name w:val="List Table 1 Light"/>
    <w:basedOn w:val="31"/>
    <w:uiPriority w:val="99"/>
    <w:pPr>
      <w:spacing w:after="0" w:line="240" w:lineRule="auto"/>
    </w:pPr>
    <w:tblPr/>
    <w:tblStylePr w:type="firstRow">
      <w:rPr>
        <w:b/>
        <w:color w:val="404040"/>
      </w:rPr>
      <w:tblPr/>
      <w:tcPr>
        <w:tcBorders>
          <w:top w:val="nil"/>
          <w:left w:val="nil"/>
          <w:bottom w:val="single" w:color="000000" w:themeColor="text1" w:sz="4" w:space="0"/>
          <w:right w:val="nil"/>
        </w:tcBorders>
      </w:tcPr>
    </w:tblStylePr>
    <w:tblStylePr w:type="lastRow">
      <w:rPr>
        <w:b/>
        <w:color w:val="404040"/>
      </w:rPr>
      <w:tblPr/>
      <w:tcPr>
        <w:tcBorders>
          <w:top w:val="single" w:color="000000" w:themeColor="tex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BEBEBE" w:themeColor="text1" w:themeTint="40" w:fill="BEBEBE" w:themeFill="text1" w:themeFillTint="40"/>
      </w:tcPr>
    </w:tblStylePr>
    <w:tblStylePr w:type="band2Vert">
      <w:tblPr/>
    </w:tblStylePr>
    <w:tblStylePr w:type="band1Horz">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3">
    <w:name w:val="List Table 1 Light - Accent 1"/>
    <w:basedOn w:val="31"/>
    <w:uiPriority w:val="99"/>
    <w:pPr>
      <w:spacing w:after="0" w:line="240" w:lineRule="auto"/>
    </w:pPr>
    <w:tblPr/>
    <w:tblStylePr w:type="firstRow">
      <w:rPr>
        <w:b/>
        <w:color w:val="404040"/>
      </w:rPr>
      <w:tblPr/>
      <w:tcPr>
        <w:tcBorders>
          <w:top w:val="nil"/>
          <w:left w:val="nil"/>
          <w:bottom w:val="single" w:color="5B9BD5" w:themeColor="accent1" w:sz="4" w:space="0"/>
          <w:right w:val="nil"/>
        </w:tcBorders>
      </w:tcPr>
    </w:tblStylePr>
    <w:tblStylePr w:type="lastRow">
      <w:rPr>
        <w:b/>
        <w:color w:val="404040"/>
      </w:rPr>
      <w:tblPr/>
      <w:tcPr>
        <w:tcBorders>
          <w:top w:val="single" w:color="5B9BD5" w:themeColor="accen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5E5F4" w:themeColor="accent1" w:themeTint="40" w:fill="D5E5F4" w:themeFill="accent1" w:themeFillTint="40"/>
      </w:tcPr>
    </w:tblStylePr>
    <w:tblStylePr w:type="band2Vert">
      <w:tblPr/>
    </w:tblStylePr>
    <w:tblStylePr w:type="band1Horz">
      <w:tblPr/>
      <w:tcPr>
        <w:shd w:val="clear" w:color="D5E5F4" w:themeColor="accent1" w:themeTint="40" w:fill="D5E5F4"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4">
    <w:name w:val="List Table 1 Light - Accent 2"/>
    <w:basedOn w:val="31"/>
    <w:uiPriority w:val="99"/>
    <w:pPr>
      <w:spacing w:after="0" w:line="240" w:lineRule="auto"/>
    </w:pPr>
    <w:tblPr/>
    <w:tblStylePr w:type="firstRow">
      <w:rPr>
        <w:b/>
        <w:color w:val="404040"/>
      </w:rPr>
      <w:tblPr/>
      <w:tcPr>
        <w:tcBorders>
          <w:top w:val="nil"/>
          <w:left w:val="nil"/>
          <w:bottom w:val="single" w:color="ED7D31" w:themeColor="accent2" w:sz="4" w:space="0"/>
          <w:right w:val="nil"/>
        </w:tcBorders>
      </w:tcPr>
    </w:tblStylePr>
    <w:tblStylePr w:type="lastRow">
      <w:rPr>
        <w:b/>
        <w:color w:val="404040"/>
      </w:rPr>
      <w:tblPr/>
      <w:tcPr>
        <w:tcBorders>
          <w:top w:val="single" w:color="ED7D31" w:themeColor="accent2"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FADECB" w:themeColor="accent2" w:themeTint="40" w:fill="FADECB" w:themeFill="accent2" w:themeFillTint="40"/>
      </w:tcPr>
    </w:tblStylePr>
    <w:tblStylePr w:type="band2Vert">
      <w:tblPr/>
    </w:tblStylePr>
    <w:tblStylePr w:type="band1Horz">
      <w:tblPr/>
      <w:tcPr>
        <w:shd w:val="clear" w:color="FADECB" w:themeColor="accent2" w:themeTint="40" w:fill="FADECB"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5">
    <w:name w:val="List Table 1 Light - Accent 3"/>
    <w:basedOn w:val="31"/>
    <w:uiPriority w:val="99"/>
    <w:pPr>
      <w:spacing w:after="0" w:line="240" w:lineRule="auto"/>
    </w:pPr>
    <w:tblPr/>
    <w:tblStylePr w:type="firstRow">
      <w:rPr>
        <w:b/>
        <w:color w:val="404040"/>
      </w:rPr>
      <w:tblPr/>
      <w:tcPr>
        <w:tcBorders>
          <w:top w:val="nil"/>
          <w:left w:val="nil"/>
          <w:bottom w:val="single" w:color="A5A5A5" w:themeColor="accent3" w:sz="4" w:space="0"/>
          <w:right w:val="nil"/>
        </w:tcBorders>
      </w:tcPr>
    </w:tblStylePr>
    <w:tblStylePr w:type="lastRow">
      <w:rPr>
        <w:b/>
        <w:color w:val="404040"/>
      </w:rPr>
      <w:tblPr/>
      <w:tcPr>
        <w:tcBorders>
          <w:top w:val="single" w:color="A5A5A5" w:themeColor="accent3"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E8E8E8" w:themeColor="accent3" w:themeTint="40" w:fill="E8E8E8" w:themeFill="accent3" w:themeFillTint="40"/>
      </w:tcPr>
    </w:tblStylePr>
    <w:tblStylePr w:type="band2Vert">
      <w:tblPr/>
    </w:tblStylePr>
    <w:tblStylePr w:type="band1Horz">
      <w:tblPr/>
      <w:tcPr>
        <w:shd w:val="clear" w:color="E8E8E8" w:themeColor="accent3" w:themeTint="40" w:fill="E8E8E8"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6">
    <w:name w:val="List Table 1 Light - Accent 4"/>
    <w:basedOn w:val="31"/>
    <w:uiPriority w:val="99"/>
    <w:pPr>
      <w:spacing w:after="0" w:line="240" w:lineRule="auto"/>
    </w:pPr>
    <w:tblPr/>
    <w:tblStylePr w:type="firstRow">
      <w:rPr>
        <w:b/>
        <w:color w:val="404040"/>
      </w:rPr>
      <w:tblPr/>
      <w:tcPr>
        <w:tcBorders>
          <w:top w:val="nil"/>
          <w:left w:val="nil"/>
          <w:bottom w:val="single" w:color="FFC000" w:themeColor="accent4" w:sz="4" w:space="0"/>
          <w:right w:val="nil"/>
        </w:tcBorders>
      </w:tcPr>
    </w:tblStylePr>
    <w:tblStylePr w:type="lastRow">
      <w:rPr>
        <w:b/>
        <w:color w:val="404040"/>
      </w:rPr>
      <w:tblPr/>
      <w:tcPr>
        <w:tcBorders>
          <w:top w:val="single" w:color="FFC000" w:themeColor="accent4"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FFEFBE" w:themeColor="accent4" w:themeTint="40" w:fill="FFEFBE" w:themeFill="accent4" w:themeFillTint="40"/>
      </w:tcPr>
    </w:tblStylePr>
    <w:tblStylePr w:type="band2Vert">
      <w:tblPr/>
    </w:tblStylePr>
    <w:tblStylePr w:type="band1Horz">
      <w:tblPr/>
      <w:tcPr>
        <w:shd w:val="clear" w:color="FFEFBE" w:themeColor="accent4" w:themeTint="40" w:fill="FFEFBE"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7">
    <w:name w:val="List Table 1 Light - Accent 5"/>
    <w:basedOn w:val="31"/>
    <w:qFormat/>
    <w:uiPriority w:val="99"/>
    <w:pPr>
      <w:spacing w:after="0" w:line="240" w:lineRule="auto"/>
    </w:pPr>
    <w:tblPr/>
    <w:tblStylePr w:type="firstRow">
      <w:rPr>
        <w:b/>
        <w:color w:val="404040"/>
      </w:rPr>
      <w:tblPr/>
      <w:tcPr>
        <w:tcBorders>
          <w:top w:val="nil"/>
          <w:left w:val="nil"/>
          <w:bottom w:val="single" w:color="4472C4" w:themeColor="accent5" w:sz="4" w:space="0"/>
          <w:right w:val="nil"/>
        </w:tcBorders>
      </w:tcPr>
    </w:tblStylePr>
    <w:tblStylePr w:type="lastRow">
      <w:rPr>
        <w:b/>
        <w:color w:val="404040"/>
      </w:rPr>
      <w:tblPr/>
      <w:tcPr>
        <w:tcBorders>
          <w:top w:val="single" w:color="4472C4" w:themeColor="accent5"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0DBF0" w:themeColor="accent5" w:themeTint="40" w:fill="D0DBF0" w:themeFill="accent5" w:themeFillTint="40"/>
      </w:tcPr>
    </w:tblStylePr>
    <w:tblStylePr w:type="band2Vert">
      <w:tblPr/>
    </w:tblStylePr>
    <w:tblStylePr w:type="band1Horz">
      <w:tblPr/>
      <w:tcPr>
        <w:shd w:val="clear" w:color="D0DBF0" w:themeColor="accent5" w:themeTint="40" w:fill="D0DB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8">
    <w:name w:val="List Table 1 Light - Accent 6"/>
    <w:basedOn w:val="31"/>
    <w:uiPriority w:val="99"/>
    <w:pPr>
      <w:spacing w:after="0" w:line="240" w:lineRule="auto"/>
    </w:pPr>
    <w:tblPr/>
    <w:tblStylePr w:type="firstRow">
      <w:rPr>
        <w:b/>
        <w:color w:val="404040"/>
      </w:rPr>
      <w:tblPr/>
      <w:tcPr>
        <w:tcBorders>
          <w:top w:val="nil"/>
          <w:left w:val="nil"/>
          <w:bottom w:val="single" w:color="70AD47" w:themeColor="accent6" w:sz="4" w:space="0"/>
          <w:right w:val="nil"/>
        </w:tcBorders>
      </w:tcPr>
    </w:tblStylePr>
    <w:tblStylePr w:type="lastRow">
      <w:rPr>
        <w:b/>
        <w:color w:val="404040"/>
      </w:rPr>
      <w:tblPr/>
      <w:tcPr>
        <w:tcBorders>
          <w:top w:val="single" w:color="70AD47" w:themeColor="accent6"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AEBCF" w:themeColor="accent6" w:themeTint="40" w:fill="DAEBCF" w:themeFill="accent6" w:themeFillTint="40"/>
      </w:tcPr>
    </w:tblStylePr>
    <w:tblStylePr w:type="band2Vert">
      <w:tblPr/>
    </w:tblStylePr>
    <w:tblStylePr w:type="band1Horz">
      <w:tblPr/>
      <w:tcPr>
        <w:shd w:val="clear" w:color="DAEBCF" w:themeColor="accent6" w:themeTint="40" w:fill="DAEBCF"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9">
    <w:name w:val="List Table 2"/>
    <w:basedOn w:val="31"/>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0">
    <w:name w:val="List Table 2 - Accent 1"/>
    <w:basedOn w:val="31"/>
    <w:uiPriority w:val="99"/>
    <w:pPr>
      <w:spacing w:after="0" w:line="240" w:lineRule="auto"/>
    </w:pPr>
    <w:tblPr>
      <w:tblBorders>
        <w:top w:val="single" w:color="A2C6E7" w:themeColor="accent1" w:themeTint="90" w:sz="4" w:space="0"/>
        <w:bottom w:val="single" w:color="A2C6E7" w:themeColor="accent1" w:themeTint="90" w:sz="4" w:space="0"/>
        <w:insideH w:val="single" w:color="A2C6E7" w:themeColor="accent1" w:themeTint="90" w:sz="4" w:space="0"/>
      </w:tblBorders>
    </w:tblPr>
    <w:tblStylePr w:type="firstRow">
      <w:rPr>
        <w:rFonts w:ascii="Arial" w:hAnsi="Arial"/>
        <w:b/>
        <w:color w:val="404040"/>
        <w:sz w:val="22"/>
      </w:rPr>
      <w:tblPr/>
      <w:tcPr>
        <w:tcBorders>
          <w:top w:val="single" w:color="A2C6E7" w:themeColor="accent1" w:themeTint="90" w:sz="4" w:space="0"/>
          <w:left w:val="nil"/>
          <w:bottom w:val="single" w:color="A2C6E7" w:themeColor="accent1" w:themeTint="90" w:sz="4" w:space="0"/>
          <w:right w:val="nil"/>
        </w:tcBorders>
      </w:tcPr>
    </w:tblStylePr>
    <w:tblStylePr w:type="lastRow">
      <w:rPr>
        <w:rFonts w:ascii="Arial" w:hAnsi="Arial"/>
        <w:b/>
        <w:color w:val="404040"/>
        <w:sz w:val="22"/>
      </w:rPr>
      <w:tblPr/>
      <w:tcPr>
        <w:tcBorders>
          <w:top w:val="single" w:color="A2C6E7" w:themeColor="accent1" w:themeTint="90" w:sz="4" w:space="0"/>
          <w:left w:val="nil"/>
          <w:bottom w:val="single" w:color="A2C6E7" w:themeColor="accen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5E5F4" w:themeColor="accent1" w:themeTint="40" w:fill="D5E5F4" w:themeFill="accent1" w:themeFillTint="40"/>
      </w:tcPr>
    </w:tblStylePr>
    <w:tblStylePr w:type="band2Vert">
      <w:tblPr/>
    </w:tblStylePr>
    <w:tblStylePr w:type="band1Horz">
      <w:rPr>
        <w:rFonts w:ascii="Arial" w:hAnsi="Arial"/>
        <w:color w:val="404040"/>
        <w:sz w:val="22"/>
      </w:rPr>
      <w:tblPr/>
      <w:tcPr>
        <w:shd w:val="clear" w:color="D5E5F4" w:themeColor="accent1" w:themeTint="40" w:fill="D5E5F4"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1">
    <w:name w:val="List Table 2 - Accent 2"/>
    <w:basedOn w:val="31"/>
    <w:uiPriority w:val="99"/>
    <w:pPr>
      <w:spacing w:after="0" w:line="240" w:lineRule="auto"/>
    </w:pPr>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bl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bl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FADECB" w:themeColor="accent2" w:themeTint="40" w:fill="FADECB" w:themeFill="accent2" w:themeFillTint="40"/>
      </w:tcPr>
    </w:tblStylePr>
    <w:tblStylePr w:type="band2Vert">
      <w:tblPr/>
    </w:tblStylePr>
    <w:tblStylePr w:type="band1Horz">
      <w:rPr>
        <w:rFonts w:ascii="Arial" w:hAnsi="Arial"/>
        <w:color w:val="404040"/>
        <w:sz w:val="22"/>
      </w:rPr>
      <w:tblPr/>
      <w:tcPr>
        <w:shd w:val="clear" w:color="FADECB" w:themeColor="accent2" w:themeTint="40" w:fill="FADECB"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2">
    <w:name w:val="List Table 2 - Accent 3"/>
    <w:basedOn w:val="31"/>
    <w:uiPriority w:val="99"/>
    <w:pPr>
      <w:spacing w:after="0" w:line="240" w:lineRule="auto"/>
    </w:pPr>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bl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bl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E8E8E8" w:themeColor="accent3" w:themeTint="40" w:fill="E8E8E8" w:themeFill="accent3" w:themeFillTint="40"/>
      </w:tcPr>
    </w:tblStylePr>
    <w:tblStylePr w:type="band2Vert">
      <w:tblPr/>
    </w:tblStylePr>
    <w:tblStylePr w:type="band1Horz">
      <w:rPr>
        <w:rFonts w:ascii="Arial" w:hAnsi="Arial"/>
        <w:color w:val="404040"/>
        <w:sz w:val="22"/>
      </w:rPr>
      <w:tblPr/>
      <w:tcPr>
        <w:shd w:val="clear" w:color="E8E8E8" w:themeColor="accent3" w:themeTint="40" w:fill="E8E8E8"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3">
    <w:name w:val="List Table 2 - Accent 4"/>
    <w:basedOn w:val="31"/>
    <w:uiPriority w:val="99"/>
    <w:pPr>
      <w:spacing w:after="0" w:line="240" w:lineRule="auto"/>
    </w:pPr>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bl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bl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FFEFBE" w:themeColor="accent4" w:themeTint="40" w:fill="FFEFBE" w:themeFill="accent4" w:themeFillTint="40"/>
      </w:tcPr>
    </w:tblStylePr>
    <w:tblStylePr w:type="band2Vert">
      <w:tblPr/>
    </w:tblStylePr>
    <w:tblStylePr w:type="band1Horz">
      <w:rPr>
        <w:rFonts w:ascii="Arial" w:hAnsi="Arial"/>
        <w:color w:val="404040"/>
        <w:sz w:val="22"/>
      </w:rPr>
      <w:tblPr/>
      <w:tcPr>
        <w:shd w:val="clear" w:color="FFEFBE" w:themeColor="accent4" w:themeTint="40" w:fill="FFEFBE"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4">
    <w:name w:val="List Table 2 - Accent 5"/>
    <w:basedOn w:val="31"/>
    <w:qFormat/>
    <w:uiPriority w:val="99"/>
    <w:pPr>
      <w:spacing w:after="0" w:line="240" w:lineRule="auto"/>
    </w:pPr>
    <w:tblPr>
      <w:tblBorders>
        <w:top w:val="single" w:color="95AFDD" w:themeColor="accent5" w:themeTint="90" w:sz="4" w:space="0"/>
        <w:bottom w:val="single" w:color="95AFDD" w:themeColor="accent5" w:themeTint="90" w:sz="4" w:space="0"/>
        <w:insideH w:val="single" w:color="95AFDD" w:themeColor="accent5" w:themeTint="90" w:sz="4" w:space="0"/>
      </w:tblBorders>
    </w:tblPr>
    <w:tblStylePr w:type="firstRow">
      <w:rPr>
        <w:rFonts w:ascii="Arial" w:hAnsi="Arial"/>
        <w:b/>
        <w:color w:val="404040"/>
        <w:sz w:val="22"/>
      </w:rPr>
      <w:tblPr/>
      <w:tcPr>
        <w:tcBorders>
          <w:top w:val="single" w:color="95AFDD" w:themeColor="accent5" w:themeTint="90" w:sz="4" w:space="0"/>
          <w:left w:val="nil"/>
          <w:bottom w:val="single" w:color="95AFDD" w:themeColor="accent5" w:themeTint="90" w:sz="4" w:space="0"/>
          <w:right w:val="nil"/>
        </w:tcBorders>
      </w:tcPr>
    </w:tblStylePr>
    <w:tblStylePr w:type="lastRow">
      <w:rPr>
        <w:rFonts w:ascii="Arial" w:hAnsi="Arial"/>
        <w:b/>
        <w:color w:val="404040"/>
        <w:sz w:val="22"/>
      </w:rPr>
      <w:tblPr/>
      <w:tcPr>
        <w:tcBorders>
          <w:top w:val="single" w:color="95AFDD" w:themeColor="accent5" w:themeTint="90" w:sz="4" w:space="0"/>
          <w:left w:val="nil"/>
          <w:bottom w:val="single" w:color="95AFDD" w:themeColor="accent5"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0DBF0" w:themeColor="accent5" w:themeTint="40" w:fill="D0DBF0" w:themeFill="accent5" w:themeFillTint="40"/>
      </w:tcPr>
    </w:tblStylePr>
    <w:tblStylePr w:type="band2Vert">
      <w:tblPr/>
    </w:tblStylePr>
    <w:tblStylePr w:type="band1Horz">
      <w:rPr>
        <w:rFonts w:ascii="Arial" w:hAnsi="Arial"/>
        <w:color w:val="404040"/>
        <w:sz w:val="22"/>
      </w:rPr>
      <w:tblPr/>
      <w:tcPr>
        <w:shd w:val="clear" w:color="D0DBF0" w:themeColor="accent5" w:themeTint="40" w:fill="D0DB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5">
    <w:name w:val="List Table 2 - Accent 6"/>
    <w:basedOn w:val="31"/>
    <w:uiPriority w:val="99"/>
    <w:pPr>
      <w:spacing w:after="0" w:line="240" w:lineRule="auto"/>
    </w:pPr>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bl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bl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AEBCF" w:themeColor="accent6" w:themeTint="40" w:fill="DAEBCF" w:themeFill="accent6" w:themeFillTint="40"/>
      </w:tcPr>
    </w:tblStylePr>
    <w:tblStylePr w:type="band2Vert">
      <w:tblPr/>
    </w:tblStylePr>
    <w:tblStylePr w:type="band1Horz">
      <w:rPr>
        <w:rFonts w:ascii="Arial" w:hAnsi="Arial"/>
        <w:color w:val="404040"/>
        <w:sz w:val="22"/>
      </w:rPr>
      <w:tblPr/>
      <w:tcPr>
        <w:shd w:val="clear" w:color="DAEBCF" w:themeColor="accent6" w:themeTint="40" w:fill="DAEBCF"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6">
    <w:name w:val="List Table 3"/>
    <w:basedOn w:val="31"/>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000000" w:themeColor="text1" w:sz="4" w:space="0"/>
          <w:right w:val="single" w:color="000000" w:themeColor="text1" w:sz="4" w:space="0"/>
        </w:tcBorders>
      </w:tcPr>
    </w:tblStylePr>
    <w:tblStylePr w:type="band2Vert">
      <w:tblPr/>
    </w:tblStylePr>
    <w:tblStylePr w:type="band1Horz">
      <w:rPr>
        <w:rFonts w:ascii="Arial" w:hAnsi="Arial"/>
        <w:color w:val="404040"/>
        <w:sz w:val="22"/>
      </w:rPr>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7">
    <w:name w:val="List Table 3 - Accent 1"/>
    <w:basedOn w:val="31"/>
    <w:uiPriority w:val="99"/>
    <w:pPr>
      <w:spacing w:after="0" w:line="240" w:lineRule="auto"/>
    </w:pPr>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5B9BD5" w:themeColor="accent1" w:sz="4" w:space="0"/>
          <w:right w:val="single" w:color="5B9BD5" w:themeColor="accent1" w:sz="4" w:space="0"/>
        </w:tcBorders>
      </w:tcPr>
    </w:tblStylePr>
    <w:tblStylePr w:type="band2Vert">
      <w:tblPr/>
    </w:tblStylePr>
    <w:tblStylePr w:type="band1Horz">
      <w:rPr>
        <w:rFonts w:ascii="Arial" w:hAnsi="Arial"/>
        <w:color w:val="404040"/>
        <w:sz w:val="22"/>
      </w:rPr>
      <w:tblPr/>
      <w:tcPr>
        <w:tcBorders>
          <w:top w:val="single" w:color="5B9BD5" w:themeColor="accent1" w:sz="4" w:space="0"/>
          <w:bottom w:val="single" w:color="5B9BD5" w:themeColor="accen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8">
    <w:name w:val="List Table 3 - Accent 2"/>
    <w:basedOn w:val="31"/>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blPr/>
      <w:tcPr>
        <w:shd w:val="clear" w:color="F4B285" w:themeColor="accent2" w:themeTint="97" w:fill="F4B285" w:themeFill="accent2" w:themeFillTint="97"/>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F4B285" w:themeColor="accent2" w:themeTint="97" w:sz="4" w:space="0"/>
          <w:right w:val="single" w:color="F4B285" w:themeColor="accent2" w:themeTint="97" w:sz="4" w:space="0"/>
        </w:tcBorders>
      </w:tcPr>
    </w:tblStylePr>
    <w:tblStylePr w:type="band2Vert">
      <w:tblPr/>
    </w:tblStylePr>
    <w:tblStylePr w:type="band1Horz">
      <w:rPr>
        <w:rFonts w:ascii="Arial" w:hAnsi="Arial"/>
        <w:color w:val="404040"/>
        <w:sz w:val="22"/>
      </w:rPr>
      <w:tblPr/>
      <w:tcPr>
        <w:tcBorders>
          <w:top w:val="single" w:color="F4B285" w:themeColor="accent2" w:themeTint="97" w:sz="4" w:space="0"/>
          <w:bottom w:val="single" w:color="F4B285" w:themeColor="accent2" w:themeTint="9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9">
    <w:name w:val="List Table 3 - Accent 3"/>
    <w:basedOn w:val="31"/>
    <w:uiPriority w:val="99"/>
    <w:pPr>
      <w:spacing w:after="0" w:line="240" w:lineRule="auto"/>
    </w:pPr>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C9C9C9" w:themeColor="accent3" w:themeTint="98" w:sz="4" w:space="0"/>
          <w:right w:val="single" w:color="C9C9C9" w:themeColor="accent3" w:themeTint="98" w:sz="4" w:space="0"/>
        </w:tcBorders>
      </w:tcPr>
    </w:tblStylePr>
    <w:tblStylePr w:type="band2Vert">
      <w:tblPr/>
    </w:tblStylePr>
    <w:tblStylePr w:type="band1Horz">
      <w:rPr>
        <w:rFonts w:ascii="Arial" w:hAnsi="Arial"/>
        <w:color w:val="404040"/>
        <w:sz w:val="22"/>
      </w:rPr>
      <w:tblPr/>
      <w:tcPr>
        <w:tcBorders>
          <w:top w:val="single" w:color="C9C9C9" w:themeColor="accent3" w:themeTint="98" w:sz="4" w:space="0"/>
          <w:bottom w:val="single" w:color="C9C9C9" w:themeColor="accent3"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0">
    <w:name w:val="List Table 3 - Accent 4"/>
    <w:basedOn w:val="31"/>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blPr/>
      <w:tcPr>
        <w:shd w:val="clear" w:color="FFD864" w:themeColor="accent4" w:themeTint="9A" w:fill="FFD864" w:themeFill="accent4"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FFD864" w:themeColor="accent4" w:themeTint="9A" w:sz="4" w:space="0"/>
          <w:right w:val="single" w:color="FFD864" w:themeColor="accent4" w:themeTint="9A" w:sz="4" w:space="0"/>
        </w:tcBorders>
      </w:tcPr>
    </w:tblStylePr>
    <w:tblStylePr w:type="band2Vert">
      <w:tblPr/>
    </w:tblStylePr>
    <w:tblStylePr w:type="band1Horz">
      <w:rPr>
        <w:rFonts w:ascii="Arial" w:hAnsi="Arial"/>
        <w:color w:val="404040"/>
        <w:sz w:val="22"/>
      </w:rPr>
      <w:tblPr/>
      <w:tcPr>
        <w:tcBorders>
          <w:top w:val="single" w:color="FFD864" w:themeColor="accent4" w:themeTint="9A" w:sz="4" w:space="0"/>
          <w:bottom w:val="single" w:color="FFD864" w:themeColor="accent4"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1">
    <w:name w:val="List Table 3 - Accent 5"/>
    <w:basedOn w:val="31"/>
    <w:uiPriority w:val="99"/>
    <w:pPr>
      <w:spacing w:after="0" w:line="240" w:lineRule="auto"/>
    </w:pPr>
    <w:tblPr>
      <w:tblBorders>
        <w:top w:val="single" w:color="8EA9DB" w:themeColor="accent5" w:themeTint="9A" w:sz="4" w:space="0"/>
        <w:left w:val="single" w:color="8EA9DB" w:themeColor="accent5" w:themeTint="9A" w:sz="4" w:space="0"/>
        <w:bottom w:val="single" w:color="8EA9DB" w:themeColor="accent5" w:themeTint="9A" w:sz="4" w:space="0"/>
        <w:right w:val="single" w:color="8EA9DB" w:themeColor="accent5" w:themeTint="9A" w:sz="4" w:space="0"/>
      </w:tblBorders>
    </w:tblPr>
    <w:tblStylePr w:type="firstRow">
      <w:rPr>
        <w:rFonts w:ascii="Arial" w:hAnsi="Arial"/>
        <w:b/>
        <w:color w:val="FFFFFF"/>
        <w:sz w:val="22"/>
      </w:rPr>
      <w:tblPr/>
      <w:tcPr>
        <w:shd w:val="clear" w:color="8EA9DB" w:themeColor="accent5" w:themeTint="9A" w:fill="8EA9DB" w:themeFill="accent5"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8EA9DB" w:themeColor="accent5" w:themeTint="9A" w:sz="4" w:space="0"/>
          <w:right w:val="single" w:color="8EA9DB" w:themeColor="accent5" w:themeTint="9A" w:sz="4" w:space="0"/>
        </w:tcBorders>
      </w:tcPr>
    </w:tblStylePr>
    <w:tblStylePr w:type="band2Vert">
      <w:tblPr/>
    </w:tblStylePr>
    <w:tblStylePr w:type="band1Horz">
      <w:rPr>
        <w:rFonts w:ascii="Arial" w:hAnsi="Arial"/>
        <w:color w:val="404040"/>
        <w:sz w:val="22"/>
      </w:rPr>
      <w:tblPr/>
      <w:tcPr>
        <w:tcBorders>
          <w:top w:val="single" w:color="8EA9DB" w:themeColor="accent5" w:themeTint="9A" w:sz="4" w:space="0"/>
          <w:bottom w:val="single" w:color="8EA9DB" w:themeColor="accent5"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2">
    <w:name w:val="List Table 3 - Accent 6"/>
    <w:basedOn w:val="31"/>
    <w:uiPriority w:val="99"/>
    <w:pPr>
      <w:spacing w:after="0" w:line="240" w:lineRule="auto"/>
    </w:pPr>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A9D08E" w:themeColor="accent6" w:themeTint="98" w:sz="4" w:space="0"/>
          <w:right w:val="single" w:color="A9D08E" w:themeColor="accent6" w:themeTint="98" w:sz="4" w:space="0"/>
        </w:tcBorders>
      </w:tcPr>
    </w:tblStylePr>
    <w:tblStylePr w:type="band2Vert">
      <w:tblPr/>
    </w:tblStylePr>
    <w:tblStylePr w:type="band1Horz">
      <w:rPr>
        <w:rFonts w:ascii="Arial" w:hAnsi="Arial"/>
        <w:color w:val="404040"/>
        <w:sz w:val="22"/>
      </w:rPr>
      <w:tblPr/>
      <w:tcPr>
        <w:tcBorders>
          <w:top w:val="single" w:color="A9D08E" w:themeColor="accent6" w:themeTint="98" w:sz="4" w:space="0"/>
          <w:bottom w:val="single" w:color="A9D08E" w:themeColor="accent6"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3">
    <w:name w:val="List Table 4"/>
    <w:basedOn w:val="31"/>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4">
    <w:name w:val="List Table 4 - Accent 1"/>
    <w:basedOn w:val="31"/>
    <w:uiPriority w:val="99"/>
    <w:pPr>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5E5F4" w:themeColor="accent1" w:themeTint="40" w:fill="D5E5F4" w:themeFill="accent1" w:themeFillTint="40"/>
      </w:tcPr>
    </w:tblStylePr>
    <w:tblStylePr w:type="band2Vert">
      <w:tblPr/>
    </w:tblStylePr>
    <w:tblStylePr w:type="band1Horz">
      <w:rPr>
        <w:rFonts w:ascii="Arial" w:hAnsi="Arial"/>
        <w:color w:val="404040"/>
        <w:sz w:val="22"/>
      </w:rPr>
      <w:tblPr/>
      <w:tcPr>
        <w:shd w:val="clear" w:color="D5E5F4" w:themeColor="accent1" w:themeTint="40" w:fill="D5E5F4"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5">
    <w:name w:val="List Table 4 - Accent 2"/>
    <w:basedOn w:val="31"/>
    <w:uiPriority w:val="9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ADECB" w:themeColor="accent2" w:themeTint="40" w:fill="FADECB" w:themeFill="accent2" w:themeFillTint="40"/>
      </w:tcPr>
    </w:tblStylePr>
    <w:tblStylePr w:type="band2Vert">
      <w:tblPr/>
    </w:tblStylePr>
    <w:tblStylePr w:type="band1Horz">
      <w:rPr>
        <w:rFonts w:ascii="Arial" w:hAnsi="Arial"/>
        <w:color w:val="404040"/>
        <w:sz w:val="22"/>
      </w:rPr>
      <w:tblPr/>
      <w:tcPr>
        <w:shd w:val="clear" w:color="FADECB" w:themeColor="accent2" w:themeTint="40" w:fill="FADECB"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6">
    <w:name w:val="List Table 4 - Accent 3"/>
    <w:basedOn w:val="31"/>
    <w:uiPriority w:val="9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8E8E8" w:themeColor="accent3" w:themeTint="40" w:fill="E8E8E8" w:themeFill="accent3" w:themeFillTint="40"/>
      </w:tcPr>
    </w:tblStylePr>
    <w:tblStylePr w:type="band2Vert">
      <w:tblPr/>
    </w:tblStylePr>
    <w:tblStylePr w:type="band1Horz">
      <w:rPr>
        <w:rFonts w:ascii="Arial" w:hAnsi="Arial"/>
        <w:color w:val="404040"/>
        <w:sz w:val="22"/>
      </w:rPr>
      <w:tblPr/>
      <w:tcPr>
        <w:shd w:val="clear" w:color="E8E8E8" w:themeColor="accent3" w:themeTint="40" w:fill="E8E8E8"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7">
    <w:name w:val="List Table 4 - Accent 4"/>
    <w:basedOn w:val="31"/>
    <w:uiPriority w:val="9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FEFBE" w:themeColor="accent4" w:themeTint="40" w:fill="FFEFBE" w:themeFill="accent4" w:themeFillTint="40"/>
      </w:tcPr>
    </w:tblStylePr>
    <w:tblStylePr w:type="band2Vert">
      <w:tblPr/>
    </w:tblStylePr>
    <w:tblStylePr w:type="band1Horz">
      <w:rPr>
        <w:rFonts w:ascii="Arial" w:hAnsi="Arial"/>
        <w:color w:val="404040"/>
        <w:sz w:val="22"/>
      </w:rPr>
      <w:tblPr/>
      <w:tcPr>
        <w:shd w:val="clear" w:color="FFEFBE" w:themeColor="accent4" w:themeTint="40" w:fill="FFEFBE"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8">
    <w:name w:val="List Table 4 - Accent 5"/>
    <w:basedOn w:val="31"/>
    <w:uiPriority w:val="99"/>
    <w:pPr>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0DBF0" w:themeColor="accent5" w:themeTint="40" w:fill="D0DBF0" w:themeFill="accent5" w:themeFillTint="40"/>
      </w:tcPr>
    </w:tblStylePr>
    <w:tblStylePr w:type="band2Vert">
      <w:tblPr/>
    </w:tblStylePr>
    <w:tblStylePr w:type="band1Horz">
      <w:rPr>
        <w:rFonts w:ascii="Arial" w:hAnsi="Arial"/>
        <w:color w:val="404040"/>
        <w:sz w:val="22"/>
      </w:rPr>
      <w:tblPr/>
      <w:tcPr>
        <w:shd w:val="clear" w:color="D0DBF0" w:themeColor="accent5" w:themeTint="40" w:fill="D0DB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9">
    <w:name w:val="List Table 4 - Accent 6"/>
    <w:basedOn w:val="31"/>
    <w:uiPriority w:val="9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AEBCF" w:themeColor="accent6" w:themeTint="40" w:fill="DAEBCF" w:themeFill="accent6" w:themeFillTint="40"/>
      </w:tcPr>
    </w:tblStylePr>
    <w:tblStylePr w:type="band2Vert">
      <w:tblPr/>
    </w:tblStylePr>
    <w:tblStylePr w:type="band1Horz">
      <w:rPr>
        <w:rFonts w:ascii="Arial" w:hAnsi="Arial"/>
        <w:color w:val="404040"/>
        <w:sz w:val="22"/>
      </w:rPr>
      <w:tblPr/>
      <w:tcPr>
        <w:shd w:val="clear" w:color="DAEBCF" w:themeColor="accent6" w:themeTint="40" w:fill="DAEBCF"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40">
    <w:name w:val="List Table 5 Dark"/>
    <w:basedOn w:val="31"/>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bl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7E7E7E" w:themeColor="text1" w:themeTint="80" w:sz="32" w:space="0"/>
          <w:right w:val="single" w:color="FFFFFF" w:themeColor="light1" w:sz="4" w:space="0"/>
        </w:tcBorders>
      </w:tcPr>
    </w:tblStylePr>
    <w:tblStylePr w:type="lastCol">
      <w:tblPr/>
      <w:tcPr>
        <w:tcBorders>
          <w:left w:val="single" w:color="FFFFFF" w:themeColor="light1" w:sz="4" w:space="0"/>
          <w:right w:val="single" w:color="7E7E7E" w:themeColor="text1" w:themeTint="80" w:sz="32" w:space="0"/>
        </w:tcBorders>
      </w:tcPr>
    </w:tblStylePr>
    <w:tblStylePr w:type="band1Vert">
      <w:tblPr/>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Pr/>
    </w:tblStylePr>
    <w:tblStylePr w:type="nwCell">
      <w:tblPr/>
    </w:tblStylePr>
    <w:tblStylePr w:type="seCell">
      <w:tblPr/>
    </w:tblStylePr>
    <w:tblStylePr w:type="swCell">
      <w:tblPr/>
    </w:tblStylePr>
  </w:style>
  <w:style w:type="table" w:customStyle="1" w:styleId="141">
    <w:name w:val="List Table 5 Dark - Accent 1"/>
    <w:basedOn w:val="31"/>
    <w:uiPriority w:val="99"/>
    <w:pPr>
      <w:spacing w:after="0" w:line="240" w:lineRule="auto"/>
    </w:pPr>
    <w:tblPr>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Pr>
    <w:tblStylePr w:type="firstRow">
      <w:rPr>
        <w:rFonts w:ascii="Arial" w:hAnsi="Arial"/>
        <w:b/>
        <w:color w:val="FFFFFF" w:themeColor="light1"/>
        <w:sz w:val="22"/>
        <w14:textFill>
          <w14:solidFill>
            <w14:schemeClr w14:val="lt1"/>
          </w14:solidFill>
        </w14:textFill>
      </w:rPr>
      <w:tblPr/>
      <w:tcPr>
        <w:tcBorders>
          <w:top w:val="single" w:color="5B9BD5" w:themeColor="accent1" w:sz="32" w:space="0"/>
          <w:bottom w:val="single" w:color="FFFFFF" w:themeColor="light1" w:sz="12" w:space="0"/>
        </w:tcBorders>
        <w:shd w:val="clear" w:color="5B9BD5" w:themeColor="accent1" w:fill="5B9BD5" w:themeFill="accent1"/>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5B9BD5" w:themeColor="accent1" w:sz="32" w:space="0"/>
          <w:right w:val="single" w:color="FFFFFF" w:themeColor="light1" w:sz="4" w:space="0"/>
        </w:tcBorders>
      </w:tcPr>
    </w:tblStylePr>
    <w:tblStylePr w:type="lastCol">
      <w:tblPr/>
      <w:tcPr>
        <w:tcBorders>
          <w:left w:val="single" w:color="FFFFFF" w:themeColor="light1" w:sz="4" w:space="0"/>
          <w:right w:val="single" w:color="5B9BD5" w:themeColor="accent1" w:sz="32" w:space="0"/>
        </w:tcBorders>
      </w:tcPr>
    </w:tblStylePr>
    <w:tblStylePr w:type="band1Vert">
      <w:tblPr/>
      <w:tcPr>
        <w:tcBorders>
          <w:left w:val="single" w:color="FFFFFF" w:themeColor="light1" w:sz="4" w:space="0"/>
          <w:right w:val="single" w:color="FFFFFF" w:themeColor="light1" w:sz="4" w:space="0"/>
        </w:tcBorders>
        <w:shd w:val="clear" w:color="5B9BD5" w:themeColor="accent1" w:fill="5B9BD5"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5B9BD5" w:themeColor="accent1" w:fill="5B9BD5" w:themeFill="accent1"/>
      </w:tcPr>
    </w:tblStylePr>
    <w:tblStylePr w:type="band2Horz">
      <w:tblPr/>
      <w:tcPr>
        <w:tcBorders>
          <w:top w:val="single" w:color="FFFFFF" w:themeColor="light1" w:sz="4" w:space="0"/>
          <w:bottom w:val="single" w:color="FFFFFF" w:themeColor="light1" w:sz="4" w:space="0"/>
        </w:tcBorders>
        <w:shd w:val="clear" w:color="5B9BD5" w:themeColor="accent1" w:fill="5B9BD5" w:themeFill="accent1"/>
      </w:tcPr>
    </w:tblStylePr>
    <w:tblStylePr w:type="neCell">
      <w:tblPr/>
    </w:tblStylePr>
    <w:tblStylePr w:type="nwCell">
      <w:tblPr/>
    </w:tblStylePr>
    <w:tblStylePr w:type="seCell">
      <w:tblPr/>
    </w:tblStylePr>
    <w:tblStylePr w:type="swCell">
      <w:tblPr/>
    </w:tblStylePr>
  </w:style>
  <w:style w:type="table" w:customStyle="1" w:styleId="142">
    <w:name w:val="List Table 5 Dark - Accent 2"/>
    <w:basedOn w:val="31"/>
    <w:uiPriority w:val="99"/>
    <w:pPr>
      <w:spacing w:after="0" w:line="240" w:lineRule="auto"/>
    </w:pPr>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bl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F4B285" w:themeColor="accent2" w:themeTint="97" w:sz="32" w:space="0"/>
          <w:right w:val="single" w:color="FFFFFF" w:themeColor="light1" w:sz="4" w:space="0"/>
        </w:tcBorders>
      </w:tcPr>
    </w:tblStylePr>
    <w:tblStylePr w:type="lastCol">
      <w:tblPr/>
      <w:tcPr>
        <w:tcBorders>
          <w:left w:val="single" w:color="FFFFFF" w:themeColor="light1" w:sz="4" w:space="0"/>
          <w:right w:val="single" w:color="F4B285" w:themeColor="accent2" w:themeTint="97" w:sz="32" w:space="0"/>
        </w:tcBorders>
      </w:tcPr>
    </w:tblStylePr>
    <w:tblStylePr w:type="band1Vert">
      <w:tblPr/>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blPr/>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neCell">
      <w:tblPr/>
    </w:tblStylePr>
    <w:tblStylePr w:type="nwCell">
      <w:tblPr/>
    </w:tblStylePr>
    <w:tblStylePr w:type="seCell">
      <w:tblPr/>
    </w:tblStylePr>
    <w:tblStylePr w:type="swCell">
      <w:tblPr/>
    </w:tblStylePr>
  </w:style>
  <w:style w:type="table" w:customStyle="1" w:styleId="143">
    <w:name w:val="List Table 5 Dark - Accent 3"/>
    <w:basedOn w:val="31"/>
    <w:uiPriority w:val="99"/>
    <w:pPr>
      <w:spacing w:after="0" w:line="240" w:lineRule="auto"/>
    </w:pPr>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bl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C9C9C9" w:themeColor="accent3" w:themeTint="98" w:sz="32" w:space="0"/>
          <w:right w:val="single" w:color="FFFFFF" w:themeColor="light1" w:sz="4" w:space="0"/>
        </w:tcBorders>
      </w:tcPr>
    </w:tblStylePr>
    <w:tblStylePr w:type="lastCol">
      <w:tblPr/>
      <w:tcPr>
        <w:tcBorders>
          <w:left w:val="single" w:color="FFFFFF" w:themeColor="light1" w:sz="4" w:space="0"/>
          <w:right w:val="single" w:color="C9C9C9" w:themeColor="accent3" w:themeTint="98" w:sz="32" w:space="0"/>
        </w:tcBorders>
      </w:tcPr>
    </w:tblStylePr>
    <w:tblStylePr w:type="band1Vert">
      <w:tblPr/>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blPr/>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neCell">
      <w:tblPr/>
    </w:tblStylePr>
    <w:tblStylePr w:type="nwCell">
      <w:tblPr/>
    </w:tblStylePr>
    <w:tblStylePr w:type="seCell">
      <w:tblPr/>
    </w:tblStylePr>
    <w:tblStylePr w:type="swCell">
      <w:tblPr/>
    </w:tblStylePr>
  </w:style>
  <w:style w:type="table" w:customStyle="1" w:styleId="144">
    <w:name w:val="List Table 5 Dark - Accent 4"/>
    <w:basedOn w:val="31"/>
    <w:uiPriority w:val="99"/>
    <w:pPr>
      <w:spacing w:after="0" w:line="240" w:lineRule="auto"/>
    </w:pPr>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bl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FFD864" w:themeColor="accent4" w:themeTint="9A" w:sz="32" w:space="0"/>
          <w:right w:val="single" w:color="FFFFFF" w:themeColor="light1" w:sz="4" w:space="0"/>
        </w:tcBorders>
      </w:tcPr>
    </w:tblStylePr>
    <w:tblStylePr w:type="lastCol">
      <w:tblPr/>
      <w:tcPr>
        <w:tcBorders>
          <w:left w:val="single" w:color="FFFFFF" w:themeColor="light1" w:sz="4" w:space="0"/>
          <w:right w:val="single" w:color="FFD864" w:themeColor="accent4" w:themeTint="9A" w:sz="32" w:space="0"/>
        </w:tcBorders>
      </w:tcPr>
    </w:tblStylePr>
    <w:tblStylePr w:type="band1Vert">
      <w:tblPr/>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blPr/>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neCell">
      <w:tblPr/>
    </w:tblStylePr>
    <w:tblStylePr w:type="nwCell">
      <w:tblPr/>
    </w:tblStylePr>
    <w:tblStylePr w:type="seCell">
      <w:tblPr/>
    </w:tblStylePr>
    <w:tblStylePr w:type="swCell">
      <w:tblPr/>
    </w:tblStylePr>
  </w:style>
  <w:style w:type="table" w:customStyle="1" w:styleId="145">
    <w:name w:val="List Table 5 Dark - Accent 5"/>
    <w:basedOn w:val="31"/>
    <w:qFormat/>
    <w:uiPriority w:val="99"/>
    <w:pPr>
      <w:spacing w:after="0" w:line="240" w:lineRule="auto"/>
    </w:pPr>
    <w:tblPr>
      <w:tblBorders>
        <w:top w:val="single" w:color="8EA9DB" w:themeColor="accent5" w:themeTint="9A" w:sz="32" w:space="0"/>
        <w:left w:val="single" w:color="8EA9DB" w:themeColor="accent5" w:themeTint="9A" w:sz="32" w:space="0"/>
        <w:bottom w:val="single" w:color="8EA9DB" w:themeColor="accent5" w:themeTint="9A" w:sz="32" w:space="0"/>
        <w:right w:val="single" w:color="8EA9DB" w:themeColor="accent5" w:themeTint="9A" w:sz="32" w:space="0"/>
      </w:tblBorders>
    </w:tblPr>
    <w:tblStylePr w:type="firstRow">
      <w:rPr>
        <w:rFonts w:ascii="Arial" w:hAnsi="Arial"/>
        <w:b/>
        <w:color w:val="FFFFFF" w:themeColor="light1"/>
        <w:sz w:val="22"/>
        <w14:textFill>
          <w14:solidFill>
            <w14:schemeClr w14:val="lt1"/>
          </w14:solidFill>
        </w14:textFill>
      </w:rPr>
      <w:tblPr/>
      <w:tcPr>
        <w:tcBorders>
          <w:top w:val="single" w:color="8EA9DB" w:themeColor="accent5" w:themeTint="9A" w:sz="32" w:space="0"/>
          <w:bottom w:val="single" w:color="FFFFFF" w:themeColor="light1" w:sz="12" w:space="0"/>
        </w:tcBorders>
        <w:shd w:val="clear" w:color="8EA9DB" w:themeColor="accent5" w:themeTint="9A" w:fill="8EA9DB" w:themeFill="accent5" w:themeFillTint="9A"/>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8EA9DB" w:themeColor="accent5" w:themeTint="9A" w:sz="32" w:space="0"/>
          <w:right w:val="single" w:color="FFFFFF" w:themeColor="light1" w:sz="4" w:space="0"/>
        </w:tcBorders>
      </w:tcPr>
    </w:tblStylePr>
    <w:tblStylePr w:type="lastCol">
      <w:tblPr/>
      <w:tcPr>
        <w:tcBorders>
          <w:left w:val="single" w:color="FFFFFF" w:themeColor="light1" w:sz="4" w:space="0"/>
          <w:right w:val="single" w:color="8EA9DB" w:themeColor="accent5" w:themeTint="9A" w:sz="32" w:space="0"/>
        </w:tcBorders>
      </w:tcPr>
    </w:tblStylePr>
    <w:tblStylePr w:type="band1Vert">
      <w:tblPr/>
      <w:tcPr>
        <w:tcBorders>
          <w:left w:val="single" w:color="FFFFFF" w:themeColor="light1" w:sz="4" w:space="0"/>
          <w:right w:val="single" w:color="FFFFFF" w:themeColor="light1" w:sz="4" w:space="0"/>
        </w:tcBorders>
        <w:shd w:val="clear" w:color="8EA9DB" w:themeColor="accent5" w:themeTint="9A" w:fill="8EA9DB"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8EA9DB" w:themeColor="accent5" w:themeTint="9A" w:fill="8EA9DB" w:themeFill="accent5" w:themeFillTint="9A"/>
      </w:tcPr>
    </w:tblStylePr>
    <w:tblStylePr w:type="band2Horz">
      <w:tblPr/>
      <w:tcPr>
        <w:tcBorders>
          <w:top w:val="single" w:color="FFFFFF" w:themeColor="light1" w:sz="4" w:space="0"/>
          <w:bottom w:val="single" w:color="FFFFFF" w:themeColor="light1" w:sz="4" w:space="0"/>
        </w:tcBorders>
        <w:shd w:val="clear" w:color="8EA9DB" w:themeColor="accent5" w:themeTint="9A" w:fill="8EA9DB" w:themeFill="accent5" w:themeFillTint="9A"/>
      </w:tcPr>
    </w:tblStylePr>
    <w:tblStylePr w:type="neCell">
      <w:tblPr/>
    </w:tblStylePr>
    <w:tblStylePr w:type="nwCell">
      <w:tblPr/>
    </w:tblStylePr>
    <w:tblStylePr w:type="seCell">
      <w:tblPr/>
    </w:tblStylePr>
    <w:tblStylePr w:type="swCell">
      <w:tblPr/>
    </w:tblStylePr>
  </w:style>
  <w:style w:type="table" w:customStyle="1" w:styleId="146">
    <w:name w:val="List Table 5 Dark - Accent 6"/>
    <w:basedOn w:val="31"/>
    <w:uiPriority w:val="99"/>
    <w:pPr>
      <w:spacing w:after="0" w:line="240" w:lineRule="auto"/>
    </w:pPr>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bl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A9D08E" w:themeColor="accent6" w:themeTint="98" w:sz="32" w:space="0"/>
          <w:right w:val="single" w:color="FFFFFF" w:themeColor="light1" w:sz="4" w:space="0"/>
        </w:tcBorders>
      </w:tcPr>
    </w:tblStylePr>
    <w:tblStylePr w:type="lastCol">
      <w:tblPr/>
      <w:tcPr>
        <w:tcBorders>
          <w:left w:val="single" w:color="FFFFFF" w:themeColor="light1" w:sz="4" w:space="0"/>
          <w:right w:val="single" w:color="A9D08E" w:themeColor="accent6" w:themeTint="98" w:sz="32" w:space="0"/>
        </w:tcBorders>
      </w:tcPr>
    </w:tblStylePr>
    <w:tblStylePr w:type="band1Vert">
      <w:tblPr/>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blPr/>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neCell">
      <w:tblPr/>
    </w:tblStylePr>
    <w:tblStylePr w:type="nwCell">
      <w:tblPr/>
    </w:tblStylePr>
    <w:tblStylePr w:type="seCell">
      <w:tblPr/>
    </w:tblStylePr>
    <w:tblStylePr w:type="swCell">
      <w:tblPr/>
    </w:tblStylePr>
  </w:style>
  <w:style w:type="table" w:customStyle="1" w:styleId="147">
    <w:name w:val="List Table 6 Colorful"/>
    <w:basedOn w:val="31"/>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blPr/>
      <w:tcPr>
        <w:tcBorders>
          <w:bottom w:val="single" w:color="7E7E7E" w:themeColor="text1" w:themeTint="80" w:sz="4" w:space="0"/>
        </w:tcBorders>
      </w:tcPr>
    </w:tblStylePr>
    <w:tblStylePr w:type="lastRow">
      <w:rPr>
        <w:b/>
        <w:color w:val="000000" w:themeColor="text1"/>
        <w14:textFill>
          <w14:solidFill>
            <w14:schemeClr w14:val="tx1"/>
          </w14:solidFill>
        </w14:textFill>
      </w:rPr>
      <w:tblPr/>
      <w:tcPr>
        <w:tcBorders>
          <w:top w:val="single" w:color="7E7E7E" w:themeColor="text1" w:themeTint="80" w:sz="4" w:space="0"/>
        </w:tcBorders>
      </w:tcPr>
    </w:tblStylePr>
    <w:tblStylePr w:type="firstCol">
      <w:rPr>
        <w:b/>
        <w:color w:val="000000" w:themeColor="text1"/>
        <w14:textFill>
          <w14:solidFill>
            <w14:schemeClr w14:val="tx1"/>
          </w14:solidFill>
        </w14:textFill>
      </w:rPr>
      <w:tblPr/>
    </w:tblStylePr>
    <w:tblStylePr w:type="lastCol">
      <w:rPr>
        <w:b/>
        <w:color w:val="000000" w:themeColor="text1"/>
        <w14:textFill>
          <w14:solidFill>
            <w14:schemeClr w14:val="tx1"/>
          </w14:solidFill>
        </w14:textFill>
      </w:rPr>
      <w:tbl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000000" w:themeColor="text1"/>
        <w:sz w:val="22"/>
        <w14:textFill>
          <w14:solidFill>
            <w14:schemeClr w14:val="tx1"/>
          </w14:solidFill>
        </w14:textFill>
      </w:rPr>
      <w:tbl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Pr/>
    </w:tblStylePr>
    <w:tblStylePr w:type="neCell">
      <w:tblPr/>
    </w:tblStylePr>
    <w:tblStylePr w:type="nwCell">
      <w:tblPr/>
    </w:tblStylePr>
    <w:tblStylePr w:type="seCell">
      <w:tblPr/>
    </w:tblStylePr>
    <w:tblStylePr w:type="swCell">
      <w:tblPr/>
    </w:tblStylePr>
  </w:style>
  <w:style w:type="table" w:customStyle="1" w:styleId="148">
    <w:name w:val="List Table 6 Colorful - Accent 1"/>
    <w:basedOn w:val="31"/>
    <w:qFormat/>
    <w:uiPriority w:val="99"/>
    <w:pPr>
      <w:spacing w:after="0" w:line="240" w:lineRule="auto"/>
    </w:pPr>
    <w:tblPr>
      <w:tblBorders>
        <w:top w:val="single" w:color="5B9BD5" w:themeColor="accent1" w:sz="4" w:space="0"/>
        <w:bottom w:val="single" w:color="5B9BD5" w:themeColor="accent1" w:sz="4" w:space="0"/>
      </w:tblBorders>
    </w:tblPr>
    <w:tblStylePr w:type="firstRow">
      <w:rPr>
        <w:b/>
        <w:color w:val="245B8C" w:themeColor="accent1" w:themeShade="94"/>
      </w:rPr>
      <w:tblPr/>
      <w:tcPr>
        <w:tcBorders>
          <w:bottom w:val="single" w:color="5B9BD5" w:themeColor="accent1" w:sz="4" w:space="0"/>
        </w:tcBorders>
      </w:tcPr>
    </w:tblStylePr>
    <w:tblStylePr w:type="lastRow">
      <w:rPr>
        <w:b/>
        <w:color w:val="245B8C" w:themeColor="accent1" w:themeShade="94"/>
      </w:rPr>
      <w:tblPr/>
      <w:tcPr>
        <w:tcBorders>
          <w:top w:val="single" w:color="5B9BD5" w:themeColor="accent1" w:sz="4" w:space="0"/>
        </w:tcBorders>
      </w:tcPr>
    </w:tblStylePr>
    <w:tblStylePr w:type="firstCol">
      <w:rPr>
        <w:b/>
        <w:color w:val="245B8C" w:themeColor="accent1" w:themeShade="94"/>
      </w:rPr>
      <w:tblPr/>
    </w:tblStylePr>
    <w:tblStylePr w:type="lastCol">
      <w:rPr>
        <w:b/>
        <w:color w:val="245B8C" w:themeColor="accent1" w:themeShade="94"/>
      </w:rPr>
      <w:tblPr/>
    </w:tblStylePr>
    <w:tblStylePr w:type="band1Vert">
      <w:tblPr/>
      <w:tcPr>
        <w:shd w:val="clear" w:color="D5E5F4" w:themeColor="accent1" w:themeTint="40" w:fill="D5E5F4" w:themeFill="accent1" w:themeFillTint="40"/>
      </w:tcPr>
    </w:tblStylePr>
    <w:tblStylePr w:type="band2Vert">
      <w:tblPr/>
    </w:tblStylePr>
    <w:tblStylePr w:type="band1Horz">
      <w:rPr>
        <w:rFonts w:ascii="Arial" w:hAnsi="Arial"/>
        <w:color w:val="245B8C" w:themeColor="accent1" w:themeShade="94"/>
        <w:sz w:val="22"/>
      </w:rPr>
      <w:tblPr/>
      <w:tcPr>
        <w:shd w:val="clear" w:color="D5E5F4" w:themeColor="accent1" w:themeTint="40" w:fill="D5E5F4" w:themeFill="accent1" w:themeFillTint="40"/>
      </w:tcPr>
    </w:tblStylePr>
    <w:tblStylePr w:type="band2Horz">
      <w:rPr>
        <w:rFonts w:ascii="Arial" w:hAnsi="Arial"/>
        <w:color w:val="245B8C" w:themeColor="accent1" w:themeShade="94"/>
        <w:sz w:val="22"/>
      </w:rPr>
      <w:tblPr/>
    </w:tblStylePr>
    <w:tblStylePr w:type="neCell">
      <w:tblPr/>
    </w:tblStylePr>
    <w:tblStylePr w:type="nwCell">
      <w:tblPr/>
    </w:tblStylePr>
    <w:tblStylePr w:type="seCell">
      <w:tblPr/>
    </w:tblStylePr>
    <w:tblStylePr w:type="swCell">
      <w:tblPr/>
    </w:tblStylePr>
  </w:style>
  <w:style w:type="table" w:customStyle="1" w:styleId="149">
    <w:name w:val="List Table 6 Colorful - Accent 2"/>
    <w:basedOn w:val="31"/>
    <w:uiPriority w:val="99"/>
    <w:pPr>
      <w:spacing w:after="0" w:line="240" w:lineRule="auto"/>
    </w:pPr>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bl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bl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Pr/>
    </w:tblStylePr>
    <w:tblStylePr w:type="lastCol">
      <w:rPr>
        <w:b/>
        <w:color w:val="F4B285" w:themeColor="accent2" w:themeTint="96"/>
        <w14:textFill>
          <w14:solidFill>
            <w14:schemeClr w14:val="accent2">
              <w14:lumMod w14:val="59000"/>
              <w14:lumOff w14:val="41000"/>
            </w14:schemeClr>
          </w14:solidFill>
        </w14:textFill>
      </w:rPr>
      <w:tblPr/>
    </w:tblStylePr>
    <w:tblStylePr w:type="band1Vert">
      <w:tblPr/>
      <w:tcPr>
        <w:shd w:val="clear" w:color="FADECB" w:themeColor="accent2" w:themeTint="40" w:fill="FADECB" w:themeFill="accent2" w:themeFillTint="40"/>
      </w:tcPr>
    </w:tblStylePr>
    <w:tblStylePr w:type="band2Vert">
      <w:tbl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bl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0">
    <w:name w:val="List Table 6 Colorful - Accent 3"/>
    <w:basedOn w:val="31"/>
    <w:uiPriority w:val="99"/>
    <w:pPr>
      <w:spacing w:after="0" w:line="240" w:lineRule="auto"/>
    </w:pPr>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bl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bl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Pr/>
    </w:tblStylePr>
    <w:tblStylePr w:type="lastCol">
      <w:rPr>
        <w:b/>
        <w:color w:val="C9C9C9" w:themeColor="accent3" w:themeTint="99"/>
        <w14:textFill>
          <w14:solidFill>
            <w14:schemeClr w14:val="accent3">
              <w14:lumMod w14:val="60000"/>
              <w14:lumOff w14:val="40000"/>
            </w14:schemeClr>
          </w14:solidFill>
        </w14:textFill>
      </w:rPr>
      <w:tblPr/>
    </w:tblStylePr>
    <w:tblStylePr w:type="band1Vert">
      <w:tblPr/>
      <w:tcPr>
        <w:shd w:val="clear" w:color="E8E8E8" w:themeColor="accent3" w:themeTint="40" w:fill="E8E8E8" w:themeFill="accent3" w:themeFillTint="40"/>
      </w:tcPr>
    </w:tblStylePr>
    <w:tblStylePr w:type="band2Vert">
      <w:tbl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bl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1">
    <w:name w:val="List Table 6 Colorful - Accent 4"/>
    <w:basedOn w:val="31"/>
    <w:uiPriority w:val="99"/>
    <w:pPr>
      <w:spacing w:after="0" w:line="240" w:lineRule="auto"/>
    </w:pPr>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bl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bl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Pr/>
    </w:tblStylePr>
    <w:tblStylePr w:type="lastCol">
      <w:rPr>
        <w:b/>
        <w:color w:val="FFD966" w:themeColor="accent4" w:themeTint="99"/>
        <w14:textFill>
          <w14:solidFill>
            <w14:schemeClr w14:val="accent4">
              <w14:lumMod w14:val="60000"/>
              <w14:lumOff w14:val="40000"/>
            </w14:schemeClr>
          </w14:solidFill>
        </w14:textFill>
      </w:rPr>
      <w:tblPr/>
    </w:tblStylePr>
    <w:tblStylePr w:type="band1Vert">
      <w:tblPr/>
      <w:tcPr>
        <w:shd w:val="clear" w:color="FFEFBE" w:themeColor="accent4" w:themeTint="40" w:fill="FFEFBE" w:themeFill="accent4" w:themeFillTint="40"/>
      </w:tcPr>
    </w:tblStylePr>
    <w:tblStylePr w:type="band2Vert">
      <w:tbl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bl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2">
    <w:name w:val="List Table 6 Colorful - Accent 5"/>
    <w:basedOn w:val="31"/>
    <w:uiPriority w:val="99"/>
    <w:pPr>
      <w:spacing w:after="0" w:line="240" w:lineRule="auto"/>
    </w:pPr>
    <w:tblPr>
      <w:tblBorders>
        <w:top w:val="single" w:color="8EA9DB" w:themeColor="accent5" w:themeTint="9A" w:sz="4" w:space="0"/>
        <w:bottom w:val="single" w:color="8EA9DB" w:themeColor="accent5" w:themeTint="9A" w:sz="4" w:space="0"/>
      </w:tblBorders>
    </w:tblPr>
    <w:tblStylePr w:type="firstRow">
      <w:rPr>
        <w:b/>
        <w:color w:val="8FAADC" w:themeColor="accent5" w:themeTint="99"/>
        <w14:textFill>
          <w14:solidFill>
            <w14:schemeClr w14:val="accent5">
              <w14:lumMod w14:val="60000"/>
              <w14:lumOff w14:val="40000"/>
            </w14:schemeClr>
          </w14:solidFill>
        </w14:textFill>
      </w:rPr>
      <w:tblPr/>
      <w:tcPr>
        <w:tcBorders>
          <w:bottom w:val="single" w:color="8EA9DB" w:themeColor="accent5" w:themeTint="9A" w:sz="4" w:space="0"/>
        </w:tcBorders>
      </w:tcPr>
    </w:tblStylePr>
    <w:tblStylePr w:type="lastRow">
      <w:rPr>
        <w:b/>
        <w:color w:val="8FAADC" w:themeColor="accent5" w:themeTint="99"/>
        <w14:textFill>
          <w14:solidFill>
            <w14:schemeClr w14:val="accent5">
              <w14:lumMod w14:val="60000"/>
              <w14:lumOff w14:val="40000"/>
            </w14:schemeClr>
          </w14:solidFill>
        </w14:textFill>
      </w:rPr>
      <w:tblPr/>
      <w:tcPr>
        <w:tcBorders>
          <w:top w:val="single" w:color="8EA9DB" w:themeColor="accent5" w:themeTint="9A" w:sz="4" w:space="0"/>
        </w:tcBorders>
      </w:tcPr>
    </w:tblStylePr>
    <w:tblStylePr w:type="firstCol">
      <w:rPr>
        <w:b/>
        <w:color w:val="8FAADC" w:themeColor="accent5" w:themeTint="99"/>
        <w14:textFill>
          <w14:solidFill>
            <w14:schemeClr w14:val="accent5">
              <w14:lumMod w14:val="60000"/>
              <w14:lumOff w14:val="40000"/>
            </w14:schemeClr>
          </w14:solidFill>
        </w14:textFill>
      </w:rPr>
      <w:tblPr/>
    </w:tblStylePr>
    <w:tblStylePr w:type="lastCol">
      <w:rPr>
        <w:b/>
        <w:color w:val="8FAADC" w:themeColor="accent5" w:themeTint="99"/>
        <w14:textFill>
          <w14:solidFill>
            <w14:schemeClr w14:val="accent5">
              <w14:lumMod w14:val="60000"/>
              <w14:lumOff w14:val="40000"/>
            </w14:schemeClr>
          </w14:solidFill>
        </w14:textFill>
      </w:rPr>
      <w:tblPr/>
    </w:tblStylePr>
    <w:tblStylePr w:type="band1Vert">
      <w:tblPr/>
      <w:tcPr>
        <w:shd w:val="clear" w:color="D0DBF0" w:themeColor="accent5" w:themeTint="40" w:fill="D0DBF0" w:themeFill="accent5" w:themeFillTint="40"/>
      </w:tcPr>
    </w:tblStylePr>
    <w:tblStylePr w:type="band2Vert">
      <w:tbl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bl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3">
    <w:name w:val="List Table 6 Colorful - Accent 6"/>
    <w:basedOn w:val="31"/>
    <w:uiPriority w:val="99"/>
    <w:pPr>
      <w:spacing w:after="0" w:line="240" w:lineRule="auto"/>
    </w:pPr>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bl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bl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Pr/>
    </w:tblStylePr>
    <w:tblStylePr w:type="lastCol">
      <w:rPr>
        <w:b/>
        <w:color w:val="A9D18E" w:themeColor="accent6" w:themeTint="99"/>
        <w14:textFill>
          <w14:solidFill>
            <w14:schemeClr w14:val="accent6">
              <w14:lumMod w14:val="60000"/>
              <w14:lumOff w14:val="40000"/>
            </w14:schemeClr>
          </w14:solidFill>
        </w14:textFill>
      </w:rPr>
      <w:tblPr/>
    </w:tblStylePr>
    <w:tblStylePr w:type="band1Vert">
      <w:tblPr/>
      <w:tcPr>
        <w:shd w:val="clear" w:color="DAEBCF" w:themeColor="accent6" w:themeTint="40" w:fill="DAEBCF" w:themeFill="accent6" w:themeFillTint="40"/>
      </w:tcPr>
    </w:tblStylePr>
    <w:tblStylePr w:type="band2Vert">
      <w:tbl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bl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4">
    <w:name w:val="List Table 7 Colorful"/>
    <w:basedOn w:val="31"/>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single" w:color="7E7E7E" w:themeColor="text1" w:themeTint="80" w:sz="4" w:space="0"/>
          <w:bottom w:val="nil"/>
          <w:right w:val="nil"/>
        </w:tcBorders>
        <w:shd w:val="clear" w:color="FFFFFF" w:fill="auto"/>
      </w:tc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5">
    <w:name w:val="List Table 7 Colorful - Accent 1"/>
    <w:basedOn w:val="31"/>
    <w:uiPriority w:val="99"/>
    <w:pPr>
      <w:spacing w:after="0" w:line="240" w:lineRule="auto"/>
    </w:pPr>
    <w:tblPr>
      <w:tblBorders>
        <w:right w:val="single" w:color="5B9BD5" w:themeColor="accent1" w:sz="4" w:space="0"/>
      </w:tblBorders>
    </w:tblPr>
    <w:tblStylePr w:type="firstRow">
      <w:rPr>
        <w:rFonts w:ascii="Arial" w:hAnsi="Arial"/>
        <w:i/>
        <w:color w:val="245B8C" w:themeColor="accent1" w:themeShade="94"/>
        <w:sz w:val="22"/>
      </w:rPr>
      <w:tblPr/>
      <w:tcPr>
        <w:tcBorders>
          <w:top w:val="nil"/>
          <w:left w:val="nil"/>
          <w:bottom w:val="single" w:color="5B9BD5" w:themeColor="accent1" w:sz="4" w:space="0"/>
          <w:right w:val="nil"/>
        </w:tcBorders>
        <w:shd w:val="clear" w:color="FFFFFF" w:themeColor="light1" w:fill="FFFFFF" w:themeFill="light1"/>
      </w:tcPr>
    </w:tblStylePr>
    <w:tblStylePr w:type="lastRow">
      <w:rPr>
        <w:rFonts w:ascii="Arial" w:hAnsi="Arial"/>
        <w:i/>
        <w:color w:val="245B8C" w:themeColor="accent1" w:themeShade="94"/>
        <w:sz w:val="22"/>
      </w:rPr>
      <w:tblPr/>
      <w:tcPr>
        <w:tcBorders>
          <w:top w:val="single" w:color="5B9BD5"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1" w:themeShade="94"/>
        <w:sz w:val="22"/>
      </w:rPr>
      <w:tblPr/>
      <w:tcPr>
        <w:tcBorders>
          <w:top w:val="nil"/>
          <w:left w:val="nil"/>
          <w:bottom w:val="nil"/>
          <w:right w:val="single" w:color="5B9BD5" w:themeColor="accent1" w:sz="4" w:space="0"/>
        </w:tcBorders>
        <w:shd w:val="clear" w:color="FFFFFF" w:fill="auto"/>
      </w:tcPr>
    </w:tblStylePr>
    <w:tblStylePr w:type="lastCol">
      <w:rPr>
        <w:rFonts w:ascii="Arial" w:hAnsi="Arial"/>
        <w:i/>
        <w:color w:val="245B8C" w:themeColor="accent1" w:themeShade="94"/>
        <w:sz w:val="22"/>
      </w:rPr>
      <w:tblPr/>
      <w:tcPr>
        <w:tcBorders>
          <w:top w:val="nil"/>
          <w:left w:val="single" w:color="5B9BD5" w:themeColor="accent1" w:sz="4" w:space="0"/>
          <w:bottom w:val="nil"/>
          <w:right w:val="nil"/>
        </w:tcBorders>
        <w:shd w:val="clear" w:color="FFFFFF" w:fill="auto"/>
      </w:tcPr>
    </w:tblStylePr>
    <w:tblStylePr w:type="band1Vert">
      <w:tblPr/>
      <w:tcPr>
        <w:shd w:val="clear" w:color="D5E5F4" w:themeColor="accent1" w:themeTint="40" w:fill="D5E5F4" w:themeFill="accent1" w:themeFillTint="40"/>
      </w:tcPr>
    </w:tblStylePr>
    <w:tblStylePr w:type="band2Vert">
      <w:tblPr/>
    </w:tblStylePr>
    <w:tblStylePr w:type="band1Horz">
      <w:rPr>
        <w:rFonts w:ascii="Arial" w:hAnsi="Arial"/>
        <w:color w:val="245B8C" w:themeColor="accent1" w:themeShade="94"/>
        <w:sz w:val="22"/>
      </w:rPr>
      <w:tblPr/>
      <w:tcPr>
        <w:shd w:val="clear" w:color="D5E5F4" w:themeColor="accent1" w:themeTint="40" w:fill="D5E5F4" w:themeFill="accent1" w:themeFillTint="40"/>
      </w:tcPr>
    </w:tblStylePr>
    <w:tblStylePr w:type="band2Horz">
      <w:rPr>
        <w:rFonts w:ascii="Arial" w:hAnsi="Arial"/>
        <w:color w:val="245B8C" w:themeColor="accent1" w:themeShade="94"/>
        <w:sz w:val="22"/>
      </w:rPr>
      <w:tblPr/>
    </w:tblStylePr>
    <w:tblStylePr w:type="neCell">
      <w:tblPr/>
    </w:tblStylePr>
    <w:tblStylePr w:type="nwCell">
      <w:tblPr/>
    </w:tblStylePr>
    <w:tblStylePr w:type="seCell">
      <w:tblPr/>
    </w:tblStylePr>
    <w:tblStylePr w:type="swCell">
      <w:tblPr/>
    </w:tblStylePr>
  </w:style>
  <w:style w:type="table" w:customStyle="1" w:styleId="156">
    <w:name w:val="List Table 7 Colorful - Accent 2"/>
    <w:basedOn w:val="31"/>
    <w:uiPriority w:val="99"/>
    <w:pPr>
      <w:spacing w:after="0" w:line="240" w:lineRule="auto"/>
    </w:pPr>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bl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bl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bl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blPr/>
      <w:tcPr>
        <w:tcBorders>
          <w:top w:val="nil"/>
          <w:left w:val="single" w:color="F4B285" w:themeColor="accent2" w:themeTint="97" w:sz="4" w:space="0"/>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2Vert">
      <w:tbl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bl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7">
    <w:name w:val="List Table 7 Colorful - Accent 3"/>
    <w:basedOn w:val="31"/>
    <w:uiPriority w:val="99"/>
    <w:pPr>
      <w:spacing w:after="0" w:line="240" w:lineRule="auto"/>
    </w:pPr>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bl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bl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bl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blPr/>
      <w:tcPr>
        <w:tcBorders>
          <w:top w:val="nil"/>
          <w:left w:val="single" w:color="C9C9C9" w:themeColor="accent3" w:themeTint="98" w:sz="4" w:space="0"/>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2Vert">
      <w:tbl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bl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8">
    <w:name w:val="List Table 7 Colorful - Accent 4"/>
    <w:basedOn w:val="31"/>
    <w:uiPriority w:val="99"/>
    <w:pPr>
      <w:spacing w:after="0" w:line="240" w:lineRule="auto"/>
    </w:pPr>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bl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bl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bl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blPr/>
      <w:tcPr>
        <w:tcBorders>
          <w:top w:val="nil"/>
          <w:left w:val="single" w:color="FFD864" w:themeColor="accent4" w:themeTint="9A" w:sz="4" w:space="0"/>
          <w:bottom w:val="nil"/>
          <w:right w:val="nil"/>
        </w:tcBorders>
        <w:shd w:val="clear" w:color="FFFFFF" w:fill="auto"/>
      </w:tcPr>
    </w:tblStylePr>
    <w:tblStylePr w:type="band1Vert">
      <w:tblPr/>
      <w:tcPr>
        <w:shd w:val="clear" w:color="FFEFBE" w:themeColor="accent4" w:themeTint="40" w:fill="FFEFBE" w:themeFill="accent4" w:themeFillTint="40"/>
      </w:tcPr>
    </w:tblStylePr>
    <w:tblStylePr w:type="band2Vert">
      <w:tbl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bl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9">
    <w:name w:val="List Table 7 Colorful - Accent 5"/>
    <w:basedOn w:val="31"/>
    <w:uiPriority w:val="99"/>
    <w:pPr>
      <w:spacing w:after="0" w:line="240" w:lineRule="auto"/>
    </w:pPr>
    <w:tblPr>
      <w:tblBorders>
        <w:right w:val="single" w:color="8EA9DB" w:themeColor="accent5" w:themeTint="9A" w:sz="4" w:space="0"/>
      </w:tblBorders>
    </w:tblPr>
    <w:tblStylePr w:type="firstRow">
      <w:rPr>
        <w:rFonts w:ascii="Arial" w:hAnsi="Arial"/>
        <w:i/>
        <w:color w:val="8FAADC" w:themeColor="accent5" w:themeTint="99"/>
        <w:sz w:val="22"/>
        <w14:textFill>
          <w14:solidFill>
            <w14:schemeClr w14:val="accent5">
              <w14:lumMod w14:val="60000"/>
              <w14:lumOff w14:val="40000"/>
            </w14:schemeClr>
          </w14:solidFill>
        </w14:textFill>
      </w:rPr>
      <w:tblPr/>
      <w:tcPr>
        <w:tcBorders>
          <w:top w:val="nil"/>
          <w:left w:val="nil"/>
          <w:bottom w:val="single" w:color="8EA9DB" w:themeColor="accent5" w:themeTint="9A" w:sz="4" w:space="0"/>
          <w:right w:val="nil"/>
        </w:tcBorders>
        <w:shd w:val="clear" w:color="FFFFFF" w:themeColor="light1" w:fill="FFFFFF" w:themeFill="light1"/>
      </w:tcPr>
    </w:tblStylePr>
    <w:tblStylePr w:type="lastRow">
      <w:rPr>
        <w:rFonts w:ascii="Arial" w:hAnsi="Arial"/>
        <w:i/>
        <w:color w:val="8FAADC" w:themeColor="accent5" w:themeTint="99"/>
        <w:sz w:val="22"/>
        <w14:textFill>
          <w14:solidFill>
            <w14:schemeClr w14:val="accent5">
              <w14:lumMod w14:val="60000"/>
              <w14:lumOff w14:val="40000"/>
            </w14:schemeClr>
          </w14:solidFill>
        </w14:textFill>
      </w:rPr>
      <w:tblPr/>
      <w:tcPr>
        <w:tcBorders>
          <w:top w:val="single" w:color="8EA9DB"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8FAADC" w:themeColor="accent5" w:themeTint="99"/>
        <w:sz w:val="22"/>
        <w14:textFill>
          <w14:solidFill>
            <w14:schemeClr w14:val="accent5">
              <w14:lumMod w14:val="60000"/>
              <w14:lumOff w14:val="40000"/>
            </w14:schemeClr>
          </w14:solidFill>
        </w14:textFill>
      </w:rPr>
      <w:tblPr/>
      <w:tcPr>
        <w:tcBorders>
          <w:top w:val="nil"/>
          <w:left w:val="nil"/>
          <w:bottom w:val="nil"/>
          <w:right w:val="single" w:color="8EA9DB" w:themeColor="accent5" w:themeTint="9A" w:sz="4" w:space="0"/>
        </w:tcBorders>
        <w:shd w:val="clear" w:color="FFFFFF" w:fill="auto"/>
      </w:tcPr>
    </w:tblStylePr>
    <w:tblStylePr w:type="lastCol">
      <w:rPr>
        <w:rFonts w:ascii="Arial" w:hAnsi="Arial"/>
        <w:i/>
        <w:color w:val="8FAADC" w:themeColor="accent5" w:themeTint="99"/>
        <w:sz w:val="22"/>
        <w14:textFill>
          <w14:solidFill>
            <w14:schemeClr w14:val="accent5">
              <w14:lumMod w14:val="60000"/>
              <w14:lumOff w14:val="40000"/>
            </w14:schemeClr>
          </w14:solidFill>
        </w14:textFill>
      </w:rPr>
      <w:tblPr/>
      <w:tcPr>
        <w:tcBorders>
          <w:top w:val="nil"/>
          <w:left w:val="single" w:color="8EA9DB" w:themeColor="accent5" w:themeTint="9A" w:sz="4" w:space="0"/>
          <w:bottom w:val="nil"/>
          <w:right w:val="nil"/>
        </w:tcBorders>
        <w:shd w:val="clear" w:color="FFFFFF" w:fill="auto"/>
      </w:tcPr>
    </w:tblStylePr>
    <w:tblStylePr w:type="band1Vert">
      <w:tblPr/>
      <w:tcPr>
        <w:shd w:val="clear" w:color="D0DBF0" w:themeColor="accent5" w:themeTint="40" w:fill="D0DBF0" w:themeFill="accent5" w:themeFillTint="40"/>
      </w:tcPr>
    </w:tblStylePr>
    <w:tblStylePr w:type="band2Vert">
      <w:tbl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bl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60">
    <w:name w:val="List Table 7 Colorful - Accent 6"/>
    <w:basedOn w:val="31"/>
    <w:uiPriority w:val="99"/>
    <w:pPr>
      <w:spacing w:after="0" w:line="240" w:lineRule="auto"/>
    </w:pPr>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bl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bl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bl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blPr/>
      <w:tcPr>
        <w:tcBorders>
          <w:top w:val="nil"/>
          <w:left w:val="single" w:color="A9D08E" w:themeColor="accent6" w:themeTint="98" w:sz="4" w:space="0"/>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2Vert">
      <w:tbl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bl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61">
    <w:name w:val="Lined - Accent"/>
    <w:basedOn w:val="31"/>
    <w:uiPriority w:val="99"/>
    <w:pPr>
      <w:spacing w:after="0" w:line="240" w:lineRule="auto"/>
    </w:pPr>
    <w:rPr>
      <w:color w:val="404040"/>
    </w:rPr>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62">
    <w:name w:val="Lined - Accent 1"/>
    <w:basedOn w:val="31"/>
    <w:uiPriority w:val="99"/>
    <w:pPr>
      <w:spacing w:after="0" w:line="240" w:lineRule="auto"/>
    </w:pPr>
    <w:rPr>
      <w:color w:val="404040"/>
    </w:rPr>
    <w:tblPr/>
    <w:tblStylePr w:type="firstRow">
      <w:rPr>
        <w:rFonts w:ascii="Arial" w:hAnsi="Arial"/>
        <w:color w:val="F2F2F2"/>
        <w:sz w:val="22"/>
      </w:rPr>
      <w:tblPr/>
      <w:tcPr>
        <w:shd w:val="clear" w:color="68A3D8" w:themeColor="accent1" w:themeTint="EA" w:fill="68A3D8" w:themeFill="accent1" w:themeFillTint="EA"/>
      </w:tcPr>
    </w:tblStylePr>
    <w:tblStylePr w:type="lastRow">
      <w:rPr>
        <w:rFonts w:ascii="Arial" w:hAnsi="Arial"/>
        <w:color w:val="F2F2F2"/>
        <w:sz w:val="22"/>
      </w:rPr>
      <w:tblPr/>
      <w:tcPr>
        <w:shd w:val="clear" w:color="68A3D8" w:themeColor="accent1" w:themeTint="EA" w:fill="68A3D8" w:themeFill="accent1" w:themeFillTint="EA"/>
      </w:tcPr>
    </w:tblStylePr>
    <w:tblStylePr w:type="firstCol">
      <w:rPr>
        <w:rFonts w:ascii="Arial" w:hAnsi="Arial"/>
        <w:color w:val="F2F2F2"/>
        <w:sz w:val="22"/>
      </w:rPr>
      <w:tblPr/>
      <w:tcPr>
        <w:shd w:val="clear" w:color="68A3D8" w:themeColor="accent1" w:themeTint="EA" w:fill="68A3D8" w:themeFill="accent1" w:themeFillTint="EA"/>
      </w:tcPr>
    </w:tblStylePr>
    <w:tblStylePr w:type="lastCol">
      <w:rPr>
        <w:rFonts w:ascii="Arial" w:hAnsi="Arial"/>
        <w:color w:val="F2F2F2"/>
        <w:sz w:val="22"/>
      </w:rPr>
      <w:tblPr/>
      <w:tcPr>
        <w:shd w:val="clear" w:color="68A3D8" w:themeColor="accent1" w:themeTint="EA" w:fill="68A3D8"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BDFF1" w:themeColor="accent1" w:themeTint="50" w:fill="CBDFF1" w:themeFill="accent1" w:themeFillTint="50"/>
      </w:tcPr>
    </w:tblStylePr>
    <w:tblStylePr w:type="neCell">
      <w:tblPr/>
    </w:tblStylePr>
    <w:tblStylePr w:type="nwCell">
      <w:tblPr/>
    </w:tblStylePr>
    <w:tblStylePr w:type="seCell">
      <w:tblPr/>
    </w:tblStylePr>
    <w:tblStylePr w:type="swCell">
      <w:tblPr/>
    </w:tblStylePr>
  </w:style>
  <w:style w:type="table" w:customStyle="1" w:styleId="163">
    <w:name w:val="Lined - Accent 2"/>
    <w:basedOn w:val="31"/>
    <w:uiPriority w:val="99"/>
    <w:pPr>
      <w:spacing w:after="0" w:line="240" w:lineRule="auto"/>
    </w:pPr>
    <w:rPr>
      <w:color w:val="404040"/>
    </w:rPr>
    <w:tblPr/>
    <w:tblStylePr w:type="firstRow">
      <w:rPr>
        <w:rFonts w:ascii="Arial" w:hAnsi="Arial"/>
        <w:color w:val="F2F2F2"/>
        <w:sz w:val="22"/>
      </w:rPr>
      <w:tblPr/>
      <w:tcPr>
        <w:shd w:val="clear" w:color="F4B285" w:themeColor="accent2" w:themeTint="97" w:fill="F4B285" w:themeFill="accent2" w:themeFillTint="97"/>
      </w:tcPr>
    </w:tblStylePr>
    <w:tblStylePr w:type="lastRow">
      <w:rPr>
        <w:rFonts w:ascii="Arial" w:hAnsi="Arial"/>
        <w:color w:val="F2F2F2"/>
        <w:sz w:val="22"/>
      </w:rPr>
      <w:tblPr/>
      <w:tcPr>
        <w:shd w:val="clear" w:color="F4B285" w:themeColor="accent2" w:themeTint="97" w:fill="F4B285" w:themeFill="accent2" w:themeFillTint="97"/>
      </w:tcPr>
    </w:tblStylePr>
    <w:tblStylePr w:type="firstCol">
      <w:rPr>
        <w:rFonts w:ascii="Arial" w:hAnsi="Arial"/>
        <w:color w:val="F2F2F2"/>
        <w:sz w:val="22"/>
      </w:rPr>
      <w:tblPr/>
      <w:tcPr>
        <w:shd w:val="clear" w:color="F4B285" w:themeColor="accent2" w:themeTint="97" w:fill="F4B285" w:themeFill="accent2" w:themeFillTint="97"/>
      </w:tcPr>
    </w:tblStylePr>
    <w:tblStylePr w:type="lastCol">
      <w:rPr>
        <w:rFonts w:ascii="Arial" w:hAnsi="Arial"/>
        <w:color w:val="F2F2F2"/>
        <w:sz w:val="22"/>
      </w:rPr>
      <w:tblPr/>
      <w:tcPr>
        <w:shd w:val="clear" w:color="F4B285" w:themeColor="accent2" w:themeTint="97" w:fill="F4B28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BE5D6" w:themeColor="accent2" w:themeTint="32" w:fill="FBE5D6" w:themeFill="accent2" w:themeFillTint="32"/>
      </w:tcPr>
    </w:tblStylePr>
    <w:tblStylePr w:type="neCell">
      <w:tblPr/>
    </w:tblStylePr>
    <w:tblStylePr w:type="nwCell">
      <w:tblPr/>
    </w:tblStylePr>
    <w:tblStylePr w:type="seCell">
      <w:tblPr/>
    </w:tblStylePr>
    <w:tblStylePr w:type="swCell">
      <w:tblPr/>
    </w:tblStylePr>
  </w:style>
  <w:style w:type="table" w:customStyle="1" w:styleId="164">
    <w:name w:val="Lined - Accent 3"/>
    <w:basedOn w:val="31"/>
    <w:qFormat/>
    <w:uiPriority w:val="99"/>
    <w:pPr>
      <w:spacing w:after="0" w:line="240" w:lineRule="auto"/>
    </w:pPr>
    <w:rPr>
      <w:color w:val="404040"/>
    </w:rP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CECEC" w:themeColor="accent3" w:themeTint="34" w:fill="ECECEC" w:themeFill="accent3" w:themeFillTint="34"/>
      </w:tcPr>
    </w:tblStylePr>
    <w:tblStylePr w:type="neCell">
      <w:tblPr/>
    </w:tblStylePr>
    <w:tblStylePr w:type="nwCell">
      <w:tblPr/>
    </w:tblStylePr>
    <w:tblStylePr w:type="seCell">
      <w:tblPr/>
    </w:tblStylePr>
    <w:tblStylePr w:type="swCell">
      <w:tblPr/>
    </w:tblStylePr>
  </w:style>
  <w:style w:type="table" w:customStyle="1" w:styleId="165">
    <w:name w:val="Lined - Accent 4"/>
    <w:basedOn w:val="31"/>
    <w:uiPriority w:val="99"/>
    <w:pPr>
      <w:spacing w:after="0" w:line="240" w:lineRule="auto"/>
    </w:pPr>
    <w:rPr>
      <w:color w:val="404040"/>
    </w:rPr>
    <w:tblPr/>
    <w:tblStylePr w:type="firstRow">
      <w:rPr>
        <w:rFonts w:ascii="Arial" w:hAnsi="Arial"/>
        <w:color w:val="F2F2F2"/>
        <w:sz w:val="22"/>
      </w:rPr>
      <w:tblPr/>
      <w:tcPr>
        <w:shd w:val="clear" w:color="FFD864" w:themeColor="accent4" w:themeTint="9A" w:fill="FFD864" w:themeFill="accent4" w:themeFillTint="9A"/>
      </w:tcPr>
    </w:tblStylePr>
    <w:tblStylePr w:type="lastRow">
      <w:rPr>
        <w:rFonts w:ascii="Arial" w:hAnsi="Arial"/>
        <w:color w:val="F2F2F2"/>
        <w:sz w:val="22"/>
      </w:rPr>
      <w:tblPr/>
      <w:tcPr>
        <w:shd w:val="clear" w:color="FFD864" w:themeColor="accent4" w:themeTint="9A" w:fill="FFD864" w:themeFill="accent4" w:themeFillTint="9A"/>
      </w:tcPr>
    </w:tblStylePr>
    <w:tblStylePr w:type="firstCol">
      <w:rPr>
        <w:rFonts w:ascii="Arial" w:hAnsi="Arial"/>
        <w:color w:val="F2F2F2"/>
        <w:sz w:val="22"/>
      </w:rPr>
      <w:tblPr/>
      <w:tcPr>
        <w:shd w:val="clear" w:color="FFD864" w:themeColor="accent4" w:themeTint="9A" w:fill="FFD864" w:themeFill="accent4" w:themeFillTint="9A"/>
      </w:tcPr>
    </w:tblStylePr>
    <w:tblStylePr w:type="lastCol">
      <w:rPr>
        <w:rFonts w:ascii="Arial" w:hAnsi="Arial"/>
        <w:color w:val="F2F2F2"/>
        <w:sz w:val="22"/>
      </w:rPr>
      <w:tblPr/>
      <w:tcPr>
        <w:shd w:val="clear" w:color="FFD864" w:themeColor="accent4" w:themeTint="9A" w:fill="FFD864"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FEF2CA" w:themeColor="accent4" w:themeTint="34" w:fill="FEF2CA"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EF2CA" w:themeColor="accent4" w:themeTint="34" w:fill="FEF2CA" w:themeFill="accent4" w:themeFillTint="34"/>
      </w:tcPr>
    </w:tblStylePr>
    <w:tblStylePr w:type="neCell">
      <w:tblPr/>
    </w:tblStylePr>
    <w:tblStylePr w:type="nwCell">
      <w:tblPr/>
    </w:tblStylePr>
    <w:tblStylePr w:type="seCell">
      <w:tblPr/>
    </w:tblStylePr>
    <w:tblStylePr w:type="swCell">
      <w:tblPr/>
    </w:tblStylePr>
  </w:style>
  <w:style w:type="table" w:customStyle="1" w:styleId="166">
    <w:name w:val="Lined - Accent 5"/>
    <w:basedOn w:val="31"/>
    <w:qFormat/>
    <w:uiPriority w:val="99"/>
    <w:pPr>
      <w:spacing w:after="0" w:line="240" w:lineRule="auto"/>
    </w:pPr>
    <w:rPr>
      <w:color w:val="404040"/>
    </w:rP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8E2F2" w:themeColor="accent5" w:themeTint="34" w:fill="D8E2F2"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8E2F2" w:themeColor="accent5" w:themeTint="34" w:fill="D8E2F2" w:themeFill="accent5" w:themeFillTint="34"/>
      </w:tcPr>
    </w:tblStylePr>
    <w:tblStylePr w:type="neCell">
      <w:tblPr/>
    </w:tblStylePr>
    <w:tblStylePr w:type="nwCell">
      <w:tblPr/>
    </w:tblStylePr>
    <w:tblStylePr w:type="seCell">
      <w:tblPr/>
    </w:tblStylePr>
    <w:tblStylePr w:type="swCell">
      <w:tblPr/>
    </w:tblStylePr>
  </w:style>
  <w:style w:type="table" w:customStyle="1" w:styleId="167">
    <w:name w:val="Lined - Accent 6"/>
    <w:basedOn w:val="31"/>
    <w:uiPriority w:val="99"/>
    <w:pPr>
      <w:spacing w:after="0" w:line="240" w:lineRule="auto"/>
    </w:pPr>
    <w:rPr>
      <w:color w:val="404040"/>
    </w:rP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1EFD8" w:themeColor="accent6" w:themeTint="34" w:fill="E1EFD8" w:themeFill="accent6" w:themeFillTint="34"/>
      </w:tcPr>
    </w:tblStylePr>
    <w:tblStylePr w:type="neCell">
      <w:tblPr/>
    </w:tblStylePr>
    <w:tblStylePr w:type="nwCell">
      <w:tblPr/>
    </w:tblStylePr>
    <w:tblStylePr w:type="seCell">
      <w:tblPr/>
    </w:tblStylePr>
    <w:tblStylePr w:type="swCell">
      <w:tblPr/>
    </w:tblStylePr>
  </w:style>
  <w:style w:type="table" w:customStyle="1" w:styleId="168">
    <w:name w:val="Bordered &amp; Lined - Accent"/>
    <w:basedOn w:val="31"/>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69">
    <w:name w:val="Bordered &amp; Lined - Accent 1"/>
    <w:basedOn w:val="31"/>
    <w:qFormat/>
    <w:uiPriority w:val="99"/>
    <w:pPr>
      <w:spacing w:after="0" w:line="240" w:lineRule="auto"/>
    </w:pPr>
    <w:rPr>
      <w:color w:val="404040"/>
    </w:rPr>
    <w:tblPr>
      <w:tblBorders>
        <w:top w:val="single" w:color="245B8D" w:themeColor="accent1" w:themeShade="95" w:sz="4" w:space="0"/>
        <w:left w:val="single" w:color="245B8D" w:themeColor="accent1" w:themeShade="95" w:sz="4" w:space="0"/>
        <w:bottom w:val="single" w:color="245B8D" w:themeColor="accent1" w:themeShade="95" w:sz="4" w:space="0"/>
        <w:right w:val="single" w:color="245B8D" w:themeColor="accent1" w:themeShade="95" w:sz="4" w:space="0"/>
        <w:insideH w:val="single" w:color="245B8D" w:themeColor="accent1" w:themeShade="95" w:sz="4" w:space="0"/>
        <w:insideV w:val="single" w:color="245B8D" w:themeColor="accent1" w:themeShade="95" w:sz="4" w:space="0"/>
      </w:tblBorders>
    </w:tblPr>
    <w:tblStylePr w:type="firstRow">
      <w:rPr>
        <w:rFonts w:ascii="Arial" w:hAnsi="Arial"/>
        <w:color w:val="F2F2F2"/>
        <w:sz w:val="22"/>
      </w:rPr>
      <w:tblPr/>
      <w:tcPr>
        <w:shd w:val="clear" w:color="68A3D8" w:themeColor="accent1" w:themeTint="EA" w:fill="68A3D8" w:themeFill="accent1" w:themeFillTint="EA"/>
      </w:tcPr>
    </w:tblStylePr>
    <w:tblStylePr w:type="lastRow">
      <w:rPr>
        <w:rFonts w:ascii="Arial" w:hAnsi="Arial"/>
        <w:color w:val="F2F2F2"/>
        <w:sz w:val="22"/>
      </w:rPr>
      <w:tblPr/>
      <w:tcPr>
        <w:shd w:val="clear" w:color="68A3D8" w:themeColor="accent1" w:themeTint="EA" w:fill="68A3D8" w:themeFill="accent1" w:themeFillTint="EA"/>
      </w:tcPr>
    </w:tblStylePr>
    <w:tblStylePr w:type="firstCol">
      <w:rPr>
        <w:rFonts w:ascii="Arial" w:hAnsi="Arial"/>
        <w:color w:val="F2F2F2"/>
        <w:sz w:val="22"/>
      </w:rPr>
      <w:tblPr/>
      <w:tcPr>
        <w:shd w:val="clear" w:color="68A3D8" w:themeColor="accent1" w:themeTint="EA" w:fill="68A3D8" w:themeFill="accent1" w:themeFillTint="EA"/>
      </w:tcPr>
    </w:tblStylePr>
    <w:tblStylePr w:type="lastCol">
      <w:rPr>
        <w:rFonts w:ascii="Arial" w:hAnsi="Arial"/>
        <w:color w:val="F2F2F2"/>
        <w:sz w:val="22"/>
      </w:rPr>
      <w:tblPr/>
      <w:tcPr>
        <w:shd w:val="clear" w:color="68A3D8" w:themeColor="accent1" w:themeTint="EA" w:fill="68A3D8"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BDFF1" w:themeColor="accent1" w:themeTint="50" w:fill="CBDFF1" w:themeFill="accent1" w:themeFillTint="50"/>
      </w:tcPr>
    </w:tblStylePr>
    <w:tblStylePr w:type="neCell">
      <w:tblPr/>
    </w:tblStylePr>
    <w:tblStylePr w:type="nwCell">
      <w:tblPr/>
    </w:tblStylePr>
    <w:tblStylePr w:type="seCell">
      <w:tblPr/>
    </w:tblStylePr>
    <w:tblStylePr w:type="swCell">
      <w:tblPr/>
    </w:tblStylePr>
  </w:style>
  <w:style w:type="table" w:customStyle="1" w:styleId="170">
    <w:name w:val="Bordered &amp; Lined - Accent 2"/>
    <w:basedOn w:val="31"/>
    <w:qFormat/>
    <w:uiPriority w:val="99"/>
    <w:pPr>
      <w:spacing w:after="0" w:line="240" w:lineRule="auto"/>
    </w:pPr>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blPr/>
      <w:tcPr>
        <w:shd w:val="clear" w:color="F4B285" w:themeColor="accent2" w:themeTint="97" w:fill="F4B285" w:themeFill="accent2" w:themeFillTint="97"/>
      </w:tcPr>
    </w:tblStylePr>
    <w:tblStylePr w:type="lastRow">
      <w:rPr>
        <w:rFonts w:ascii="Arial" w:hAnsi="Arial"/>
        <w:color w:val="F2F2F2"/>
        <w:sz w:val="22"/>
      </w:rPr>
      <w:tblPr/>
      <w:tcPr>
        <w:shd w:val="clear" w:color="F4B285" w:themeColor="accent2" w:themeTint="97" w:fill="F4B285" w:themeFill="accent2" w:themeFillTint="97"/>
      </w:tcPr>
    </w:tblStylePr>
    <w:tblStylePr w:type="firstCol">
      <w:rPr>
        <w:rFonts w:ascii="Arial" w:hAnsi="Arial"/>
        <w:color w:val="F2F2F2"/>
        <w:sz w:val="22"/>
      </w:rPr>
      <w:tblPr/>
      <w:tcPr>
        <w:shd w:val="clear" w:color="F4B285" w:themeColor="accent2" w:themeTint="97" w:fill="F4B285" w:themeFill="accent2" w:themeFillTint="97"/>
      </w:tcPr>
    </w:tblStylePr>
    <w:tblStylePr w:type="lastCol">
      <w:rPr>
        <w:rFonts w:ascii="Arial" w:hAnsi="Arial"/>
        <w:color w:val="F2F2F2"/>
        <w:sz w:val="22"/>
      </w:rPr>
      <w:tblPr/>
      <w:tcPr>
        <w:shd w:val="clear" w:color="F4B285" w:themeColor="accent2" w:themeTint="97" w:fill="F4B28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BE5D6" w:themeColor="accent2" w:themeTint="32" w:fill="FBE5D6" w:themeFill="accent2" w:themeFillTint="32"/>
      </w:tcPr>
    </w:tblStylePr>
    <w:tblStylePr w:type="neCell">
      <w:tblPr/>
    </w:tblStylePr>
    <w:tblStylePr w:type="nwCell">
      <w:tblPr/>
    </w:tblStylePr>
    <w:tblStylePr w:type="seCell">
      <w:tblPr/>
    </w:tblStylePr>
    <w:tblStylePr w:type="swCell">
      <w:tblPr/>
    </w:tblStylePr>
  </w:style>
  <w:style w:type="table" w:customStyle="1" w:styleId="171">
    <w:name w:val="Bordered &amp; Lined - Accent 3"/>
    <w:basedOn w:val="31"/>
    <w:uiPriority w:val="99"/>
    <w:pPr>
      <w:spacing w:after="0" w:line="240" w:lineRule="auto"/>
    </w:pPr>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CECEC" w:themeColor="accent3" w:themeTint="34" w:fill="ECECEC" w:themeFill="accent3" w:themeFillTint="34"/>
      </w:tcPr>
    </w:tblStylePr>
    <w:tblStylePr w:type="neCell">
      <w:tblPr/>
    </w:tblStylePr>
    <w:tblStylePr w:type="nwCell">
      <w:tblPr/>
    </w:tblStylePr>
    <w:tblStylePr w:type="seCell">
      <w:tblPr/>
    </w:tblStylePr>
    <w:tblStylePr w:type="swCell">
      <w:tblPr/>
    </w:tblStylePr>
  </w:style>
  <w:style w:type="table" w:customStyle="1" w:styleId="172">
    <w:name w:val="Bordered &amp; Lined - Accent 4"/>
    <w:basedOn w:val="31"/>
    <w:qFormat/>
    <w:uiPriority w:val="99"/>
    <w:pPr>
      <w:spacing w:after="0" w:line="240" w:lineRule="auto"/>
    </w:pPr>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blPr/>
      <w:tcPr>
        <w:shd w:val="clear" w:color="FFD864" w:themeColor="accent4" w:themeTint="9A" w:fill="FFD864" w:themeFill="accent4" w:themeFillTint="9A"/>
      </w:tcPr>
    </w:tblStylePr>
    <w:tblStylePr w:type="lastRow">
      <w:rPr>
        <w:rFonts w:ascii="Arial" w:hAnsi="Arial"/>
        <w:color w:val="F2F2F2"/>
        <w:sz w:val="22"/>
      </w:rPr>
      <w:tblPr/>
      <w:tcPr>
        <w:shd w:val="clear" w:color="FFD864" w:themeColor="accent4" w:themeTint="9A" w:fill="FFD864" w:themeFill="accent4" w:themeFillTint="9A"/>
      </w:tcPr>
    </w:tblStylePr>
    <w:tblStylePr w:type="firstCol">
      <w:rPr>
        <w:rFonts w:ascii="Arial" w:hAnsi="Arial"/>
        <w:color w:val="F2F2F2"/>
        <w:sz w:val="22"/>
      </w:rPr>
      <w:tblPr/>
      <w:tcPr>
        <w:shd w:val="clear" w:color="FFD864" w:themeColor="accent4" w:themeTint="9A" w:fill="FFD864" w:themeFill="accent4" w:themeFillTint="9A"/>
      </w:tcPr>
    </w:tblStylePr>
    <w:tblStylePr w:type="lastCol">
      <w:rPr>
        <w:rFonts w:ascii="Arial" w:hAnsi="Arial"/>
        <w:color w:val="F2F2F2"/>
        <w:sz w:val="22"/>
      </w:rPr>
      <w:tblPr/>
      <w:tcPr>
        <w:shd w:val="clear" w:color="FFD864" w:themeColor="accent4" w:themeTint="9A" w:fill="FFD864"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FEF2CA" w:themeColor="accent4" w:themeTint="34" w:fill="FEF2CA"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EF2CA" w:themeColor="accent4" w:themeTint="34" w:fill="FEF2CA" w:themeFill="accent4" w:themeFillTint="34"/>
      </w:tcPr>
    </w:tblStylePr>
    <w:tblStylePr w:type="neCell">
      <w:tblPr/>
    </w:tblStylePr>
    <w:tblStylePr w:type="nwCell">
      <w:tblPr/>
    </w:tblStylePr>
    <w:tblStylePr w:type="seCell">
      <w:tblPr/>
    </w:tblStylePr>
    <w:tblStylePr w:type="swCell">
      <w:tblPr/>
    </w:tblStylePr>
  </w:style>
  <w:style w:type="table" w:customStyle="1" w:styleId="173">
    <w:name w:val="Bordered &amp; Lined - Accent 5"/>
    <w:basedOn w:val="31"/>
    <w:uiPriority w:val="99"/>
    <w:pPr>
      <w:spacing w:after="0" w:line="240" w:lineRule="auto"/>
    </w:pPr>
    <w:rPr>
      <w:color w:val="404040"/>
    </w:rPr>
    <w:tblPr>
      <w:tblBorders>
        <w:top w:val="single" w:color="244175" w:themeColor="accent5" w:themeShade="95" w:sz="4" w:space="0"/>
        <w:left w:val="single" w:color="244175" w:themeColor="accent5" w:themeShade="95" w:sz="4" w:space="0"/>
        <w:bottom w:val="single" w:color="244175" w:themeColor="accent5" w:themeShade="95" w:sz="4" w:space="0"/>
        <w:right w:val="single" w:color="244175" w:themeColor="accent5" w:themeShade="95" w:sz="4" w:space="0"/>
        <w:insideH w:val="single" w:color="244175" w:themeColor="accent5" w:themeShade="95" w:sz="4" w:space="0"/>
        <w:insideV w:val="single" w:color="244175" w:themeColor="accent5" w:themeShade="95" w:sz="4" w:space="0"/>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8E2F2" w:themeColor="accent5" w:themeTint="34" w:fill="D8E2F2"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8E2F2" w:themeColor="accent5" w:themeTint="34" w:fill="D8E2F2" w:themeFill="accent5" w:themeFillTint="34"/>
      </w:tcPr>
    </w:tblStylePr>
    <w:tblStylePr w:type="neCell">
      <w:tblPr/>
    </w:tblStylePr>
    <w:tblStylePr w:type="nwCell">
      <w:tblPr/>
    </w:tblStylePr>
    <w:tblStylePr w:type="seCell">
      <w:tblPr/>
    </w:tblStylePr>
    <w:tblStylePr w:type="swCell">
      <w:tblPr/>
    </w:tblStylePr>
  </w:style>
  <w:style w:type="table" w:customStyle="1" w:styleId="174">
    <w:name w:val="Bordered &amp; Lined - Accent 6"/>
    <w:basedOn w:val="31"/>
    <w:uiPriority w:val="99"/>
    <w:pPr>
      <w:spacing w:after="0" w:line="240" w:lineRule="auto"/>
    </w:pPr>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1EFD8" w:themeColor="accent6" w:themeTint="34" w:fill="E1EFD8" w:themeFill="accent6" w:themeFillTint="34"/>
      </w:tcPr>
    </w:tblStylePr>
    <w:tblStylePr w:type="neCell">
      <w:tblPr/>
    </w:tblStylePr>
    <w:tblStylePr w:type="nwCell">
      <w:tblPr/>
    </w:tblStylePr>
    <w:tblStylePr w:type="seCell">
      <w:tblPr/>
    </w:tblStylePr>
    <w:tblStylePr w:type="swCell">
      <w:tblPr/>
    </w:tblStylePr>
  </w:style>
  <w:style w:type="table" w:customStyle="1" w:styleId="175">
    <w:name w:val="Bordered"/>
    <w:basedOn w:val="31"/>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blPr/>
      <w:tcPr>
        <w:tcBorders>
          <w:bottom w:val="single" w:color="7E7E7E" w:themeColor="text1" w:themeTint="80" w:sz="12" w:space="0"/>
        </w:tcBorders>
      </w:tcPr>
    </w:tblStylePr>
    <w:tblStylePr w:type="lastRow">
      <w:rPr>
        <w:rFonts w:ascii="Arial" w:hAnsi="Arial"/>
        <w:color w:val="404040"/>
        <w:sz w:val="22"/>
      </w:rPr>
      <w:tblPr/>
      <w:tcPr>
        <w:tcBorders>
          <w:top w:val="single" w:color="7E7E7E" w:themeColor="text1" w:themeTint="80"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7E7E7E" w:themeColor="text1" w:themeTint="80"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6">
    <w:name w:val="Bordered - Accent 1"/>
    <w:basedOn w:val="31"/>
    <w:qFormat/>
    <w:uiPriority w:val="99"/>
    <w:pPr>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rFonts w:ascii="Arial" w:hAnsi="Arial"/>
        <w:color w:val="404040"/>
        <w:sz w:val="22"/>
      </w:rPr>
      <w:tblPr/>
      <w:tcPr>
        <w:tcBorders>
          <w:bottom w:val="single" w:color="5B9BD5" w:themeColor="accent1" w:sz="12" w:space="0"/>
        </w:tcBorders>
      </w:tcPr>
    </w:tblStylePr>
    <w:tblStylePr w:type="lastRow">
      <w:rPr>
        <w:rFonts w:ascii="Arial" w:hAnsi="Arial"/>
        <w:color w:val="404040"/>
        <w:sz w:val="22"/>
      </w:rPr>
      <w:tblPr/>
      <w:tcPr>
        <w:tcBorders>
          <w:top w:val="single" w:color="5B9BD5" w:themeColor="accent1"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5B9BD5" w:themeColor="accent1"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7">
    <w:name w:val="Bordered - Accent 2"/>
    <w:basedOn w:val="31"/>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blPr/>
      <w:tcPr>
        <w:tcBorders>
          <w:bottom w:val="single" w:color="F4B285" w:themeColor="accent2" w:themeTint="97" w:sz="12" w:space="0"/>
        </w:tcBorders>
      </w:tcPr>
    </w:tblStylePr>
    <w:tblStylePr w:type="lastRow">
      <w:rPr>
        <w:rFonts w:ascii="Arial" w:hAnsi="Arial"/>
        <w:color w:val="404040"/>
        <w:sz w:val="22"/>
      </w:rPr>
      <w:tblPr/>
      <w:tcPr>
        <w:tcBorders>
          <w:top w:val="single" w:color="F4B285" w:themeColor="accent2" w:themeTint="97"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F4B285" w:themeColor="accent2" w:themeTint="97"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8">
    <w:name w:val="Bordered - Accent 3"/>
    <w:basedOn w:val="31"/>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blPr/>
      <w:tcPr>
        <w:tcBorders>
          <w:bottom w:val="single" w:color="C9C9C9" w:themeColor="accent3" w:themeTint="98" w:sz="12" w:space="0"/>
        </w:tcBorders>
      </w:tcPr>
    </w:tblStylePr>
    <w:tblStylePr w:type="lastRow">
      <w:rPr>
        <w:rFonts w:ascii="Arial" w:hAnsi="Arial"/>
        <w:color w:val="404040"/>
        <w:sz w:val="22"/>
      </w:rPr>
      <w:tblPr/>
      <w:tcPr>
        <w:tcBorders>
          <w:top w:val="single" w:color="C9C9C9" w:themeColor="accent3"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C9C9C9" w:themeColor="accent3"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9">
    <w:name w:val="Bordered - Accent 4"/>
    <w:basedOn w:val="31"/>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blPr/>
      <w:tcPr>
        <w:tcBorders>
          <w:bottom w:val="single" w:color="FFD864" w:themeColor="accent4" w:themeTint="9A" w:sz="12" w:space="0"/>
        </w:tcBorders>
      </w:tcPr>
    </w:tblStylePr>
    <w:tblStylePr w:type="lastRow">
      <w:rPr>
        <w:rFonts w:ascii="Arial" w:hAnsi="Arial"/>
        <w:color w:val="404040"/>
        <w:sz w:val="22"/>
      </w:rPr>
      <w:tblPr/>
      <w:tcPr>
        <w:tcBorders>
          <w:top w:val="single" w:color="FFD864" w:themeColor="accent4"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FFD864" w:themeColor="accent4"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80">
    <w:name w:val="Bordered - Accent 5"/>
    <w:basedOn w:val="31"/>
    <w:qFormat/>
    <w:uiPriority w:val="99"/>
    <w:pPr>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rFonts w:ascii="Arial" w:hAnsi="Arial"/>
        <w:color w:val="404040"/>
        <w:sz w:val="22"/>
      </w:rPr>
      <w:tblPr/>
      <w:tcPr>
        <w:tcBorders>
          <w:bottom w:val="single" w:color="8EA9DB" w:themeColor="accent5" w:themeTint="9A" w:sz="12" w:space="0"/>
        </w:tcBorders>
      </w:tcPr>
    </w:tblStylePr>
    <w:tblStylePr w:type="lastRow">
      <w:rPr>
        <w:rFonts w:ascii="Arial" w:hAnsi="Arial"/>
        <w:color w:val="404040"/>
        <w:sz w:val="22"/>
      </w:rPr>
      <w:tblPr/>
      <w:tcPr>
        <w:tcBorders>
          <w:top w:val="single" w:color="8EA9DB" w:themeColor="accent5"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8EA9DB" w:themeColor="accent5"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81">
    <w:name w:val="Bordered - Accent 6"/>
    <w:basedOn w:val="31"/>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blPr/>
      <w:tcPr>
        <w:tcBorders>
          <w:bottom w:val="single" w:color="A9D08E" w:themeColor="accent6" w:themeTint="98" w:sz="12" w:space="0"/>
        </w:tcBorders>
      </w:tcPr>
    </w:tblStylePr>
    <w:tblStylePr w:type="lastRow">
      <w:rPr>
        <w:rFonts w:ascii="Arial" w:hAnsi="Arial"/>
        <w:color w:val="404040"/>
        <w:sz w:val="22"/>
      </w:rPr>
      <w:tblPr/>
      <w:tcPr>
        <w:tcBorders>
          <w:top w:val="single" w:color="A9D08E" w:themeColor="accent6"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A9D08E" w:themeColor="accent6"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character" w:customStyle="1" w:styleId="182">
    <w:name w:val="Footnote Text Char"/>
    <w:link w:val="24"/>
    <w:uiPriority w:val="99"/>
    <w:rPr>
      <w:sz w:val="18"/>
    </w:rPr>
  </w:style>
  <w:style w:type="character" w:customStyle="1" w:styleId="183">
    <w:name w:val="Endnote Text Char"/>
    <w:link w:val="17"/>
    <w:qFormat/>
    <w:uiPriority w:val="99"/>
    <w:rPr>
      <w:sz w:val="20"/>
    </w:rPr>
  </w:style>
  <w:style w:type="paragraph" w:customStyle="1" w:styleId="184">
    <w:name w:val="列出段落1"/>
    <w:basedOn w:val="1"/>
    <w:qFormat/>
    <w:uiPriority w:val="34"/>
    <w:pPr>
      <w:numPr>
        <w:ilvl w:val="0"/>
        <w:numId w:val="1"/>
      </w:numPr>
      <w:spacing w:before="312" w:after="312"/>
      <w:outlineLvl w:val="0"/>
    </w:pPr>
    <w:rPr>
      <w:rFonts w:ascii="黑体" w:hAnsi="黑体" w:eastAsia="黑体" w:cs="黑体"/>
      <w:szCs w:val="21"/>
    </w:rPr>
  </w:style>
  <w:style w:type="paragraph" w:styleId="185">
    <w:name w:val="List Paragraph"/>
    <w:basedOn w:val="1"/>
    <w:qFormat/>
    <w:uiPriority w:val="34"/>
    <w:pPr>
      <w:numPr>
        <w:ilvl w:val="1"/>
        <w:numId w:val="2"/>
      </w:numPr>
      <w:jc w:val="left"/>
    </w:pPr>
  </w:style>
  <w:style w:type="table" w:customStyle="1" w:styleId="186">
    <w:name w:val="无格式表格 21"/>
    <w:basedOn w:val="31"/>
    <w:qFormat/>
    <w:uiPriority w:val="42"/>
    <w:tblPr>
      <w:tblBorders>
        <w:top w:val="single" w:color="7E7E7E" w:themeColor="text1" w:themeTint="80" w:sz="4" w:space="0"/>
        <w:bottom w:val="single" w:color="7E7E7E" w:themeColor="text1" w:themeTint="80" w:sz="4" w:space="0"/>
      </w:tblBorders>
    </w:tblPr>
    <w:tblStylePr w:type="firstRow">
      <w:rPr>
        <w:b/>
        <w:bCs/>
      </w:rPr>
      <w:tblPr/>
      <w:tcPr>
        <w:tcBorders>
          <w:bottom w:val="single" w:color="7E7E7E" w:themeColor="text1" w:themeTint="80" w:sz="4" w:space="0"/>
        </w:tcBorders>
      </w:tcPr>
    </w:tblStylePr>
    <w:tblStylePr w:type="lastRow">
      <w:rPr>
        <w:b/>
        <w:bCs/>
      </w:rPr>
      <w:tblPr/>
      <w:tcPr>
        <w:tcBorders>
          <w:top w:val="single" w:color="7E7E7E" w:themeColor="text1" w:themeTint="80" w:sz="4" w:space="0"/>
        </w:tcBorders>
      </w:tcPr>
    </w:tblStylePr>
    <w:tblStylePr w:type="firstCol">
      <w:rPr>
        <w:b/>
        <w:bCs/>
      </w:rPr>
      <w:tblPr/>
    </w:tblStylePr>
    <w:tblStylePr w:type="lastCol">
      <w:rPr>
        <w:b/>
        <w:bCs/>
      </w:rPr>
      <w:tblPr/>
    </w:tblStylePr>
    <w:tblStylePr w:type="band1Vert">
      <w:tblPr/>
      <w:tcPr>
        <w:tcBorders>
          <w:left w:val="single" w:color="7E7E7E" w:themeColor="text1" w:themeTint="80" w:sz="4" w:space="0"/>
          <w:right w:val="single" w:color="7E7E7E" w:themeColor="text1" w:themeTint="80" w:sz="4" w:space="0"/>
        </w:tcBorders>
      </w:tcPr>
    </w:tblStylePr>
    <w:tblStylePr w:type="band2Vert">
      <w:tblPr/>
      <w:tcPr>
        <w:tcBorders>
          <w:left w:val="single" w:color="7E7E7E" w:themeColor="text1" w:themeTint="80" w:sz="4" w:space="0"/>
          <w:right w:val="single" w:color="7E7E7E" w:themeColor="text1" w:themeTint="80" w:sz="4" w:space="0"/>
        </w:tcBorders>
      </w:tcPr>
    </w:tblStylePr>
    <w:tblStylePr w:type="band1Horz">
      <w:tblPr/>
      <w:tcPr>
        <w:tcBorders>
          <w:top w:val="single" w:color="7E7E7E" w:themeColor="text1" w:themeTint="80" w:sz="4" w:space="0"/>
          <w:bottom w:val="single" w:color="7E7E7E" w:themeColor="text1" w:themeTint="80"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87">
    <w:name w:val="网格表 1 浅色 - 着色 31"/>
    <w:basedOn w:val="31"/>
    <w:uiPriority w:val="46"/>
    <w:tblPr>
      <w:tblBorders>
        <w:top w:val="single" w:color="DADADA" w:themeColor="accent3" w:themeTint="66" w:sz="4" w:space="0"/>
        <w:left w:val="single" w:color="DADADA" w:themeColor="accent3" w:themeTint="66" w:sz="4" w:space="0"/>
        <w:bottom w:val="single" w:color="DADADA" w:themeColor="accent3" w:themeTint="66" w:sz="4" w:space="0"/>
        <w:right w:val="single" w:color="DADADA" w:themeColor="accent3" w:themeTint="66" w:sz="4" w:space="0"/>
        <w:insideH w:val="single" w:color="DADADA" w:themeColor="accent3" w:themeTint="66" w:sz="4" w:space="0"/>
        <w:insideV w:val="single" w:color="DADADA" w:themeColor="accent3" w:themeTint="66" w:sz="4" w:space="0"/>
      </w:tblBorders>
    </w:tblPr>
    <w:tblStylePr w:type="firstRow">
      <w:rPr>
        <w:b/>
        <w:bCs/>
      </w:rPr>
      <w:tblPr/>
      <w:tcPr>
        <w:tcBorders>
          <w:bottom w:val="single" w:color="C8C8C8" w:themeColor="accent3" w:themeTint="99" w:sz="12" w:space="0"/>
        </w:tcBorders>
      </w:tcPr>
    </w:tblStylePr>
    <w:tblStylePr w:type="lastRow">
      <w:rPr>
        <w:b/>
        <w:bCs/>
      </w:rPr>
      <w:tblPr/>
      <w:tcPr>
        <w:tcBorders>
          <w:top w:val="single" w:color="C8C8C8" w:themeColor="accent3" w:themeTint="99" w:sz="2" w:space="0"/>
        </w:tcBorders>
      </w:tcPr>
    </w:tblStylePr>
    <w:tblStylePr w:type="firstCol">
      <w:rPr>
        <w:b/>
        <w:bCs/>
      </w:rPr>
      <w:tblPr/>
    </w:tblStylePr>
    <w:tblStylePr w:type="lastCol">
      <w:rPr>
        <w:b/>
        <w:bCs/>
      </w:rPr>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88">
    <w:name w:val="网格表 5 深色 - 着色 31"/>
    <w:basedOn w:val="31"/>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CECEC" w:themeFill="accent3" w:themeFillTint="33"/>
    </w:tcPr>
    <w:tblStylePr w:type="firstRow">
      <w:rPr>
        <w:b/>
        <w:bCs/>
        <w:color w:val="FFFFFF" w:themeColor="background1"/>
        <w14:textFill>
          <w14:solidFill>
            <w14:schemeClr w14:val="bg1"/>
          </w14:solidFill>
        </w14:textFill>
      </w:rPr>
      <w:tblPr/>
      <w:tcPr>
        <w:tcBorders>
          <w:top w:val="single" w:color="FFFFFF" w:themeColor="background1" w:sz="4" w:space="0"/>
          <w:left w:val="single" w:color="FFFFFF" w:themeColor="background1" w:sz="4" w:space="0"/>
          <w:right w:val="single" w:color="FFFFFF" w:themeColor="background1" w:sz="4" w:space="0"/>
        </w:tcBorders>
        <w:shd w:val="clear" w:color="auto" w:fill="A5A5A5" w:themeFill="accent3"/>
      </w:tcPr>
    </w:tblStylePr>
    <w:tblStylePr w:type="lastRow">
      <w:rPr>
        <w:b/>
        <w:bCs/>
        <w:color w:val="FFFFFF" w:themeColor="background1"/>
        <w14:textFill>
          <w14:solidFill>
            <w14:schemeClr w14:val="bg1"/>
          </w14:solidFill>
        </w14:textFill>
      </w:rPr>
      <w:tblPr/>
      <w:tcPr>
        <w:tcBorders>
          <w:left w:val="single" w:color="FFFFFF" w:themeColor="background1" w:sz="4" w:space="0"/>
          <w:bottom w:val="single" w:color="FFFFFF" w:themeColor="background1" w:sz="4" w:space="0"/>
          <w:right w:val="single" w:color="FFFFFF" w:themeColor="background1" w:sz="4" w:space="0"/>
        </w:tcBorders>
        <w:shd w:val="clear" w:color="auto" w:fill="A5A5A5" w:themeFill="accent3"/>
      </w:tcPr>
    </w:tblStylePr>
    <w:tblStylePr w:type="firstCol">
      <w:rPr>
        <w:b/>
        <w:bCs/>
        <w:color w:val="FFFFFF" w:themeColor="background1"/>
        <w14:textFill>
          <w14:solidFill>
            <w14:schemeClr w14:val="bg1"/>
          </w14:solidFill>
        </w14:textFill>
      </w:rPr>
      <w:tblPr/>
      <w:tcPr>
        <w:tcBorders>
          <w:top w:val="single" w:color="FFFFFF" w:themeColor="background1" w:sz="4" w:space="0"/>
          <w:left w:val="single" w:color="FFFFFF" w:themeColor="background1" w:sz="4" w:space="0"/>
          <w:bottom w:val="single" w:color="FFFFFF" w:themeColor="background1" w:sz="4" w:space="0"/>
        </w:tcBorders>
        <w:shd w:val="clear" w:color="auto" w:fill="A5A5A5" w:themeFill="accent3"/>
      </w:tcPr>
    </w:tblStylePr>
    <w:tblStylePr w:type="lastCol">
      <w:rPr>
        <w:b/>
        <w:bCs/>
        <w:color w:val="FFFFFF" w:themeColor="background1"/>
        <w14:textFill>
          <w14:solidFill>
            <w14:schemeClr w14:val="bg1"/>
          </w14:solidFill>
        </w14:textFill>
      </w:rPr>
      <w:tblPr/>
      <w:tcPr>
        <w:tcBorders>
          <w:top w:val="single" w:color="FFFFFF" w:themeColor="background1" w:sz="4" w:space="0"/>
          <w:bottom w:val="single" w:color="FFFFFF" w:themeColor="background1" w:sz="4" w:space="0"/>
          <w:right w:val="single" w:color="FFFFFF" w:themeColor="background1" w:sz="4" w:space="0"/>
        </w:tcBorders>
        <w:shd w:val="clear" w:color="auto" w:fill="A5A5A5" w:themeFill="accent3"/>
      </w:tcPr>
    </w:tblStylePr>
    <w:tblStylePr w:type="band1Vert">
      <w:tblPr/>
      <w:tcPr>
        <w:shd w:val="clear" w:color="auto" w:fill="DADADA" w:themeFill="accent3" w:themeFillTint="66"/>
      </w:tcPr>
    </w:tblStylePr>
    <w:tblStylePr w:type="band2Vert">
      <w:tblPr/>
    </w:tblStylePr>
    <w:tblStylePr w:type="band1Horz">
      <w:tblPr/>
      <w:tcPr>
        <w:shd w:val="clear" w:color="auto" w:fill="DADADA" w:themeFill="accent3" w:themeFillTint="66"/>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89">
    <w:name w:val="网格表 4 - 着色 31"/>
    <w:basedOn w:val="31"/>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color w:val="FFFFFF" w:themeColor="background1"/>
        <w14:textFill>
          <w14:solidFill>
            <w14:schemeClr w14:val="bg1"/>
          </w14:solidFill>
        </w14:textFill>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tcBorders>
        <w:shd w:val="clear" w:color="auto" w:fill="A5A5A5" w:themeFill="accent3"/>
      </w:tcPr>
    </w:tblStylePr>
    <w:tblStylePr w:type="lastRow">
      <w:rPr>
        <w:b/>
        <w:bCs/>
      </w:rPr>
      <w:tblPr/>
      <w:tcPr>
        <w:tcBorders>
          <w:top w:val="single" w:color="A5A5A5" w:themeColor="accent3" w:sz="4" w:space="0"/>
        </w:tcBorders>
      </w:tcPr>
    </w:tblStylePr>
    <w:tblStylePr w:type="firstCol">
      <w:rPr>
        <w:b/>
        <w:bCs/>
      </w:rPr>
      <w:tblPr/>
    </w:tblStylePr>
    <w:tblStylePr w:type="lastCol">
      <w:rPr>
        <w:b/>
        <w:bCs/>
      </w:rPr>
      <w:tblPr/>
    </w:tblStylePr>
    <w:tblStylePr w:type="band1Vert">
      <w:tblPr/>
      <w:tcPr>
        <w:shd w:val="clear" w:color="auto" w:fill="ECECEC" w:themeFill="accent3" w:themeFillTint="33"/>
      </w:tcPr>
    </w:tblStylePr>
    <w:tblStylePr w:type="band2Vert">
      <w:tblPr/>
    </w:tblStylePr>
    <w:tblStylePr w:type="band1Horz">
      <w:tblPr/>
      <w:tcPr>
        <w:shd w:val="clear" w:color="auto" w:fill="ECECEC" w:themeFill="accent3" w:themeFillTint="33"/>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90">
    <w:name w:val="无格式表格 51"/>
    <w:basedOn w:val="31"/>
    <w:uiPriority w:val="45"/>
    <w:tblPr/>
    <w:tblStylePr w:type="firstRow">
      <w:rPr>
        <w:rFonts w:asciiTheme="majorHAnsi" w:hAnsiTheme="majorHAnsi" w:eastAsiaTheme="majorEastAsia" w:cstheme="majorBidi"/>
        <w:i/>
        <w:iCs/>
        <w:sz w:val="26"/>
      </w:rPr>
      <w:tbl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E7E7E" w:themeColor="text1" w:themeTint="80" w:sz="4" w:space="0"/>
        </w:tcBorders>
        <w:shd w:val="clear" w:color="auto" w:fill="FFFFFF" w:themeFill="background1"/>
      </w:tcPr>
    </w:tblStylePr>
    <w:tblStylePr w:type="band1Vert">
      <w:tblPr/>
      <w:tcPr>
        <w:shd w:val="clear" w:color="auto" w:fill="F1F1F1" w:themeFill="background1" w:themeFillShade="F2"/>
      </w:tcPr>
    </w:tblStylePr>
    <w:tblStylePr w:type="band2Vert">
      <w:tblPr/>
    </w:tblStylePr>
    <w:tblStylePr w:type="band1Horz">
      <w:tblPr/>
      <w:tcPr>
        <w:shd w:val="clear" w:color="auto" w:fill="F1F1F1" w:themeFill="background1" w:themeFillShade="F2"/>
      </w:tcPr>
    </w:tblStylePr>
    <w:tblStylePr w:type="band2Horz">
      <w:tbl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91">
    <w:name w:val="无格式表格 41"/>
    <w:basedOn w:val="31"/>
    <w:qFormat/>
    <w:uiPriority w:val="44"/>
    <w:tblPr/>
    <w:tblStylePr w:type="firstRow">
      <w:rPr>
        <w:b/>
        <w:bCs/>
      </w:rPr>
      <w:tblPr/>
    </w:tblStylePr>
    <w:tblStylePr w:type="lastRow">
      <w:rPr>
        <w:b/>
        <w:bCs/>
      </w:rPr>
      <w:tblPr/>
    </w:tblStylePr>
    <w:tblStylePr w:type="firstCol">
      <w:rPr>
        <w:b/>
        <w:bCs/>
      </w:rPr>
      <w:tblPr/>
    </w:tblStylePr>
    <w:tblStylePr w:type="lastCol">
      <w:rPr>
        <w:b/>
        <w:bCs/>
      </w:rPr>
      <w:tblPr/>
    </w:tblStylePr>
    <w:tblStylePr w:type="band1Vert">
      <w:tblPr/>
      <w:tcPr>
        <w:shd w:val="clear" w:color="auto" w:fill="F1F1F1" w:themeFill="background1" w:themeFillShade="F2"/>
      </w:tcPr>
    </w:tblStylePr>
    <w:tblStylePr w:type="band2Vert">
      <w:tblPr/>
    </w:tblStylePr>
    <w:tblStylePr w:type="band1Horz">
      <w:tblPr/>
      <w:tcPr>
        <w:shd w:val="clear" w:color="auto" w:fill="F1F1F1" w:themeFill="background1" w:themeFillShade="F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92">
    <w:name w:val="清单表 4 - 着色 31"/>
    <w:basedOn w:val="31"/>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tblBorders>
    </w:tblPr>
    <w:tblStylePr w:type="firstRow">
      <w:rPr>
        <w:b/>
        <w:bCs/>
        <w:color w:val="FFFFFF" w:themeColor="background1"/>
        <w14:textFill>
          <w14:solidFill>
            <w14:schemeClr w14:val="bg1"/>
          </w14:solidFill>
        </w14:textFill>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tcBorders>
        <w:shd w:val="clear" w:color="auto" w:fill="A5A5A5" w:themeFill="accent3"/>
      </w:tcPr>
    </w:tblStylePr>
    <w:tblStylePr w:type="lastRow">
      <w:rPr>
        <w:b/>
        <w:bCs/>
      </w:rPr>
      <w:tblPr/>
      <w:tcPr>
        <w:tcBorders>
          <w:top w:val="single" w:color="C8C8C8" w:themeColor="accent3" w:themeTint="99" w:sz="4" w:space="0"/>
        </w:tcBorders>
      </w:tcPr>
    </w:tblStylePr>
    <w:tblStylePr w:type="firstCol">
      <w:rPr>
        <w:b/>
        <w:bCs/>
      </w:rPr>
      <w:tblPr/>
    </w:tblStylePr>
    <w:tblStylePr w:type="lastCol">
      <w:rPr>
        <w:b/>
        <w:bCs/>
      </w:rPr>
      <w:tblPr/>
    </w:tblStylePr>
    <w:tblStylePr w:type="band1Vert">
      <w:tblPr/>
      <w:tcPr>
        <w:shd w:val="clear" w:color="auto" w:fill="ECECEC" w:themeFill="accent3" w:themeFillTint="33"/>
      </w:tcPr>
    </w:tblStylePr>
    <w:tblStylePr w:type="band2Vert">
      <w:tblPr/>
    </w:tblStylePr>
    <w:tblStylePr w:type="band1Horz">
      <w:tblPr/>
      <w:tcPr>
        <w:shd w:val="clear" w:color="auto" w:fill="ECECEC" w:themeFill="accent3" w:themeFillTint="33"/>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93">
    <w:name w:val="网格表 7 彩色 - 着色 31"/>
    <w:basedOn w:val="31"/>
    <w:qFormat/>
    <w:uiPriority w:val="52"/>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blPr/>
      <w:tcPr>
        <w:tcBorders>
          <w:top w:val="nil"/>
          <w:left w:val="nil"/>
          <w:right w:val="nil"/>
        </w:tcBorders>
        <w:shd w:val="clear" w:color="auto" w:fill="FFFFFF" w:themeFill="background1"/>
      </w:tcPr>
    </w:tblStylePr>
    <w:tblStylePr w:type="lastRow">
      <w:rPr>
        <w:b/>
        <w:bCs/>
      </w:rPr>
      <w:tblPr/>
      <w:tcPr>
        <w:tcBorders>
          <w:left w:val="nil"/>
          <w:bottom w:val="nil"/>
          <w:right w:val="nil"/>
        </w:tcBorders>
        <w:shd w:val="clear" w:color="auto" w:fill="FFFFFF" w:themeFill="background1"/>
      </w:tcPr>
    </w:tblStylePr>
    <w:tblStylePr w:type="firstCol">
      <w:pPr>
        <w:jc w:val="right"/>
      </w:pPr>
      <w:rPr>
        <w:i/>
        <w:iCs/>
      </w:rPr>
      <w:tblPr/>
      <w:tcPr>
        <w:tcBorders>
          <w:top w:val="nil"/>
          <w:left w:val="nil"/>
          <w:bottom w:val="nil"/>
        </w:tcBorders>
        <w:shd w:val="clear" w:color="auto" w:fill="FFFFFF" w:themeFill="background1"/>
      </w:tcPr>
    </w:tblStylePr>
    <w:tblStylePr w:type="lastCol">
      <w:rPr>
        <w:i/>
        <w:iCs/>
      </w:rPr>
      <w:tblPr/>
      <w:tcPr>
        <w:tcBorders>
          <w:top w:val="nil"/>
          <w:bottom w:val="nil"/>
          <w:right w:val="nil"/>
        </w:tcBorders>
        <w:shd w:val="clear" w:color="auto" w:fill="FFFFFF" w:themeFill="background1"/>
      </w:tcPr>
    </w:tblStylePr>
    <w:tblStylePr w:type="band1Vert">
      <w:tblPr/>
      <w:tcPr>
        <w:shd w:val="clear" w:color="auto" w:fill="ECECEC" w:themeFill="accent3" w:themeFillTint="33"/>
      </w:tcPr>
    </w:tblStylePr>
    <w:tblStylePr w:type="band2Vert">
      <w:tblPr/>
    </w:tblStylePr>
    <w:tblStylePr w:type="band1Horz">
      <w:tblPr/>
      <w:tcPr>
        <w:shd w:val="clear" w:color="auto" w:fill="ECECEC" w:themeFill="accent3" w:themeFillTint="33"/>
      </w:tcPr>
    </w:tblStylePr>
    <w:tblStylePr w:type="band2Horz">
      <w:tblPr/>
    </w:tblStylePr>
    <w:tblStylePr w:type="neCell">
      <w:tblPr/>
      <w:tcPr>
        <w:tcBorders>
          <w:bottom w:val="single" w:color="C8C8C8" w:themeColor="accent3" w:themeTint="99" w:sz="4" w:space="0"/>
        </w:tcBorders>
      </w:tcPr>
    </w:tblStylePr>
    <w:tblStylePr w:type="nwCell">
      <w:tblPr/>
      <w:tcPr>
        <w:tcBorders>
          <w:bottom w:val="single" w:color="C8C8C8" w:themeColor="accent3" w:themeTint="99" w:sz="4" w:space="0"/>
        </w:tcBorders>
      </w:tcPr>
    </w:tblStylePr>
    <w:tblStylePr w:type="seCell">
      <w:tblPr/>
      <w:tcPr>
        <w:tcBorders>
          <w:top w:val="single" w:color="C8C8C8" w:themeColor="accent3" w:themeTint="99" w:sz="4" w:space="0"/>
        </w:tcBorders>
      </w:tcPr>
    </w:tblStylePr>
    <w:tblStylePr w:type="swCell">
      <w:tblPr/>
      <w:tcPr>
        <w:tcBorders>
          <w:top w:val="single" w:color="C8C8C8" w:themeColor="accent3" w:themeTint="99" w:sz="4" w:space="0"/>
        </w:tcBorders>
      </w:tcPr>
    </w:tblStylePr>
  </w:style>
  <w:style w:type="table" w:customStyle="1" w:styleId="194">
    <w:name w:val="清单表 7 彩色 - 着色 31"/>
    <w:basedOn w:val="31"/>
    <w:uiPriority w:val="52"/>
    <w:rPr>
      <w:color w:val="7C7C7C" w:themeColor="accent3" w:themeShade="BF"/>
    </w:rPr>
    <w:tblPr/>
    <w:tblStylePr w:type="firstRow">
      <w:rPr>
        <w:rFonts w:asciiTheme="majorHAnsi" w:hAnsiTheme="majorHAnsi" w:eastAsiaTheme="majorEastAsia" w:cstheme="majorBidi"/>
        <w:i/>
        <w:iCs/>
        <w:sz w:val="26"/>
      </w:rPr>
      <w:tblPr/>
      <w:tcPr>
        <w:tcBorders>
          <w:bottom w:val="single" w:color="A5A5A5"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A5A5A5"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A5A5A5"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A5A5A5" w:themeColor="accent3" w:sz="4" w:space="0"/>
        </w:tcBorders>
        <w:shd w:val="clear" w:color="auto" w:fill="FFFFFF" w:themeFill="background1"/>
      </w:tcPr>
    </w:tblStylePr>
    <w:tblStylePr w:type="band1Vert">
      <w:tblPr/>
      <w:tcPr>
        <w:shd w:val="clear" w:color="auto" w:fill="ECECEC" w:themeFill="accent3" w:themeFillTint="33"/>
      </w:tcPr>
    </w:tblStylePr>
    <w:tblStylePr w:type="band2Vert">
      <w:tblPr/>
    </w:tblStylePr>
    <w:tblStylePr w:type="band1Horz">
      <w:tblPr/>
      <w:tcPr>
        <w:shd w:val="clear" w:color="auto" w:fill="ECECEC" w:themeFill="accent3" w:themeFillTint="33"/>
      </w:tcPr>
    </w:tblStylePr>
    <w:tblStylePr w:type="band2Horz">
      <w:tbl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95">
    <w:name w:val="清单表 7 彩色 - 着色 51"/>
    <w:basedOn w:val="31"/>
    <w:qFormat/>
    <w:uiPriority w:val="52"/>
    <w:rPr>
      <w:color w:val="2F5597" w:themeColor="accent5" w:themeShade="BF"/>
    </w:rPr>
    <w:tblPr/>
    <w:tblStylePr w:type="firstRow">
      <w:rPr>
        <w:rFonts w:asciiTheme="majorHAnsi" w:hAnsiTheme="majorHAnsi" w:eastAsiaTheme="majorEastAsia" w:cstheme="majorBidi"/>
        <w:i/>
        <w:iCs/>
        <w:sz w:val="26"/>
      </w:rPr>
      <w:tblPr/>
      <w:tcPr>
        <w:tcBorders>
          <w:bottom w:val="single" w:color="4472C4"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4472C4"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4472C4"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4472C4" w:themeColor="accent5" w:sz="4" w:space="0"/>
        </w:tcBorders>
        <w:shd w:val="clear" w:color="auto" w:fill="FFFFFF" w:themeFill="background1"/>
      </w:tcPr>
    </w:tblStylePr>
    <w:tblStylePr w:type="band1Vert">
      <w:tblPr/>
      <w:tcPr>
        <w:shd w:val="clear" w:color="auto" w:fill="D9E2F3" w:themeFill="accent5" w:themeFillTint="33"/>
      </w:tcPr>
    </w:tblStylePr>
    <w:tblStylePr w:type="band2Vert">
      <w:tblPr/>
    </w:tblStylePr>
    <w:tblStylePr w:type="band1Horz">
      <w:tblPr/>
      <w:tcPr>
        <w:shd w:val="clear" w:color="auto" w:fill="D9E2F3" w:themeFill="accent5" w:themeFillTint="33"/>
      </w:tcPr>
    </w:tblStylePr>
    <w:tblStylePr w:type="band2Horz">
      <w:tbl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196">
    <w:name w:val="页眉 字符"/>
    <w:basedOn w:val="33"/>
    <w:link w:val="20"/>
    <w:qFormat/>
    <w:uiPriority w:val="99"/>
    <w:rPr>
      <w:sz w:val="18"/>
      <w:szCs w:val="18"/>
    </w:rPr>
  </w:style>
  <w:style w:type="character" w:customStyle="1" w:styleId="197">
    <w:name w:val="页脚 字符"/>
    <w:basedOn w:val="33"/>
    <w:link w:val="19"/>
    <w:qFormat/>
    <w:uiPriority w:val="99"/>
    <w:rPr>
      <w:sz w:val="18"/>
      <w:szCs w:val="18"/>
    </w:rPr>
  </w:style>
  <w:style w:type="character" w:customStyle="1" w:styleId="198">
    <w:name w:val="批注框文本 字符"/>
    <w:basedOn w:val="33"/>
    <w:link w:val="18"/>
    <w:semiHidden/>
    <w:qFormat/>
    <w:uiPriority w:val="99"/>
    <w:rPr>
      <w:sz w:val="18"/>
      <w:szCs w:val="18"/>
    </w:rPr>
  </w:style>
  <w:style w:type="paragraph" w:customStyle="1" w:styleId="199">
    <w:name w:val="修订1"/>
    <w:hidden/>
    <w:semiHidden/>
    <w:qFormat/>
    <w:uiPriority w:val="99"/>
    <w:rPr>
      <w:rFonts w:hint="default" w:asciiTheme="minorHAnsi" w:hAnsiTheme="minorHAnsi" w:eastAsiaTheme="minorEastAsia" w:cstheme="minorBidi"/>
      <w:sz w:val="21"/>
      <w:szCs w:val="22"/>
    </w:rPr>
  </w:style>
  <w:style w:type="paragraph" w:customStyle="1" w:styleId="200">
    <w:name w:val="Revision"/>
    <w:hidden/>
    <w:semiHidden/>
    <w:uiPriority w:val="99"/>
    <w:rPr>
      <w:rFonts w:hint="default" w:asciiTheme="minorHAnsi" w:hAnsiTheme="minorHAnsi" w:eastAsiaTheme="minorEastAsia" w:cstheme="minorBidi"/>
      <w:sz w:val="21"/>
      <w:szCs w:val="22"/>
    </w:rPr>
  </w:style>
  <w:style w:type="character" w:customStyle="1" w:styleId="201">
    <w:name w:val="批注文字 字符"/>
    <w:basedOn w:val="33"/>
    <w:link w:val="13"/>
    <w:qFormat/>
    <w:uiPriority w:val="99"/>
    <w:rPr>
      <w:sz w:val="21"/>
      <w:szCs w:val="22"/>
    </w:rPr>
  </w:style>
  <w:style w:type="paragraph" w:customStyle="1" w:styleId="202">
    <w:name w:val="文献分类号"/>
    <w:qFormat/>
    <w:uiPriority w:val="0"/>
    <w:pPr>
      <w:framePr w:hSpace="180" w:vSpace="180" w:wrap="around" w:vAnchor="margin" w:hAnchor="margin" w:y="1"/>
      <w:widowControl w:val="0"/>
    </w:pPr>
    <w:rPr>
      <w:rFonts w:hint="default" w:ascii="黑体" w:hAnsi="Times New Roman" w:eastAsia="黑体" w:cs="Times New Roman"/>
      <w:sz w:val="21"/>
      <w:szCs w:val="21"/>
    </w:rPr>
  </w:style>
  <w:style w:type="paragraph" w:customStyle="1" w:styleId="203">
    <w:name w:val="Heading #2|1"/>
    <w:basedOn w:val="1"/>
    <w:qFormat/>
    <w:uiPriority w:val="0"/>
    <w:pPr>
      <w:spacing w:after="400"/>
      <w:ind w:hanging="780"/>
      <w:jc w:val="left"/>
      <w:outlineLvl w:val="1"/>
    </w:pPr>
    <w:rPr>
      <w:rFonts w:ascii="宋体" w:hAnsi="宋体" w:eastAsia="宋体" w:cs="宋体"/>
      <w:sz w:val="40"/>
      <w:szCs w:val="40"/>
      <w:lang w:val="zh-TW" w:eastAsia="zh-TW" w:bidi="zh-TW"/>
    </w:rPr>
  </w:style>
  <w:style w:type="paragraph" w:customStyle="1" w:styleId="204">
    <w:name w:val="封面标准号2"/>
    <w:qFormat/>
    <w:uiPriority w:val="0"/>
    <w:pPr>
      <w:framePr w:w="9140" w:h="1242" w:hRule="exact" w:hSpace="284" w:wrap="around" w:vAnchor="page" w:hAnchor="page" w:x="1645" w:y="2910"/>
      <w:spacing w:before="357" w:line="280" w:lineRule="exact"/>
      <w:jc w:val="right"/>
    </w:pPr>
    <w:rPr>
      <w:rFonts w:hint="default" w:ascii="黑体" w:hAnsi="Times New Roman" w:eastAsia="黑体" w:cs="Times New Roman"/>
      <w:sz w:val="28"/>
      <w:szCs w:val="28"/>
    </w:rPr>
  </w:style>
  <w:style w:type="paragraph" w:customStyle="1" w:styleId="205">
    <w:name w:val="标准称谓"/>
    <w:next w:val="1"/>
    <w:qFormat/>
    <w:uiPriority w:val="0"/>
    <w:pPr>
      <w:framePr w:w="9639" w:h="624" w:hRule="exact" w:hSpace="181" w:vSpace="181" w:wrap="around" w:vAnchor="page" w:hAnchor="page" w:x="1419" w:y="2286"/>
      <w:widowControl w:val="0"/>
      <w:spacing w:line="0" w:lineRule="atLeast"/>
      <w:jc w:val="both"/>
    </w:pPr>
    <w:rPr>
      <w:rFonts w:hint="default" w:ascii="宋体" w:hAnsi="Times New Roman" w:eastAsia="宋体" w:cs="Times New Roman"/>
      <w:b/>
      <w:bCs/>
      <w:spacing w:val="20"/>
      <w:sz w:val="48"/>
    </w:rPr>
  </w:style>
  <w:style w:type="paragraph" w:customStyle="1" w:styleId="206">
    <w:name w:val="发布部门"/>
    <w:next w:val="1"/>
    <w:qFormat/>
    <w:uiPriority w:val="0"/>
    <w:pPr>
      <w:framePr w:w="7938" w:h="1134" w:hRule="exact" w:hSpace="125" w:vSpace="181" w:wrap="around" w:vAnchor="page" w:hAnchor="page" w:x="2150" w:y="14630"/>
      <w:jc w:val="center"/>
    </w:pPr>
    <w:rPr>
      <w:rFonts w:hint="default" w:ascii="宋体" w:hAnsi="Times New Roman" w:eastAsia="宋体" w:cs="Times New Roman"/>
      <w:b/>
      <w:spacing w:val="20"/>
      <w:sz w:val="28"/>
    </w:rPr>
  </w:style>
  <w:style w:type="paragraph" w:customStyle="1" w:styleId="207">
    <w:name w:val="其他发布日期"/>
    <w:basedOn w:val="1"/>
    <w:qFormat/>
    <w:uiPriority w:val="0"/>
    <w:pPr>
      <w:framePr w:w="3997" w:h="471" w:hRule="exact" w:vSpace="181" w:wrap="around" w:vAnchor="page" w:hAnchor="text" w:x="1419" w:y="14097"/>
      <w:widowControl/>
      <w:jc w:val="left"/>
    </w:pPr>
    <w:rPr>
      <w:rFonts w:ascii="Times New Roman" w:hAnsi="Times New Roman" w:eastAsia="黑体" w:cs="Times New Roman"/>
      <w:sz w:val="28"/>
      <w:szCs w:val="20"/>
    </w:rPr>
  </w:style>
  <w:style w:type="character" w:customStyle="1" w:styleId="208">
    <w:name w:val="批注主题 字符"/>
    <w:basedOn w:val="201"/>
    <w:link w:val="30"/>
    <w:semiHidden/>
    <w:uiPriority w:val="99"/>
    <w:rPr>
      <w:b/>
      <w:bCs/>
      <w:sz w:val="21"/>
      <w:szCs w:val="22"/>
    </w:rPr>
  </w:style>
  <w:style w:type="character" w:customStyle="1" w:styleId="209">
    <w:name w:val="标题 1 字符"/>
    <w:basedOn w:val="33"/>
    <w:link w:val="2"/>
    <w:uiPriority w:val="9"/>
    <w:rPr>
      <w:b/>
      <w:bCs/>
      <w:sz w:val="44"/>
      <w:szCs w:val="44"/>
    </w:rPr>
  </w:style>
  <w:style w:type="paragraph" w:customStyle="1" w:styleId="210">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等线 Light"/>
        <a:cs typeface="Arial"/>
      </a:majorFont>
      <a:minorFont>
        <a:latin typeface="等线"/>
        <a:ea typeface="等线"/>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8DBD88-7BE8-46B7-9A22-3119569BCF03}">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15</Pages>
  <Words>353</Words>
  <Characters>458</Characters>
  <TotalTime>1</TotalTime>
  <ScaleCrop>false</ScaleCrop>
  <LinksUpToDate>false</LinksUpToDate>
  <CharactersWithSpaces>562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2025-09-05T05:39:00Z</dcterms:created>
  <dc:creator>Administrator</dc:creator>
  <cp:lastModifiedBy>J</cp:lastModifiedBy>
  <dcterms:modified xsi:type="dcterms:W3CDTF">2025-11-12T07:45:38Z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eyJoZGlkIjoiMTFmMDJjZGU0YzYzNjgxMjg1NzBlNDNlZWZkY2IyNjMiLCJ1c2VySWQiOiIxMzc2MzQzNjk3In0=</vt:lpwstr>
  </property>
  <property fmtid="{D5CDD505-2E9C-101B-9397-08002B2CF9AE}" pid="3" name="KSOProductBuildVer">
    <vt:lpwstr>2052-12.1.0.23542</vt:lpwstr>
  </property>
  <property fmtid="{D5CDD505-2E9C-101B-9397-08002B2CF9AE}" pid="4" name="ICV">
    <vt:lpwstr>E3D3853D3C194791BBE3F2B0AD9FEED9_13</vt:lpwstr>
  </property>
</Properties>
</file>