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9D019A">
      <w:pPr>
        <w:pStyle w:val="192"/>
        <w:framePr w:wrap="around" w:vAnchor="page" w:hAnchor="page" w:x="1593" w:y="876"/>
        <w:rPr>
          <w:rFonts w:ascii="Times New Roman"/>
          <w:b/>
          <w:bCs/>
        </w:rPr>
      </w:pPr>
      <w:r>
        <w:rPr>
          <w:rFonts w:ascii="Times New Roman"/>
          <w:b/>
          <w:bCs/>
        </w:rPr>
        <w:t>ICS</w:t>
      </w:r>
      <w:r>
        <w:rPr>
          <w:rFonts w:hint="eastAsia" w:ascii="Times New Roman"/>
          <w:b/>
          <w:bCs/>
        </w:rPr>
        <w:t xml:space="preserve"> </w:t>
      </w:r>
      <w:r>
        <w:rPr>
          <w:rFonts w:ascii="Times New Roman"/>
          <w:b/>
          <w:bCs/>
        </w:rPr>
        <w:t>11.020</w:t>
      </w:r>
    </w:p>
    <w:p w14:paraId="721E46BA">
      <w:pPr>
        <w:pStyle w:val="192"/>
        <w:framePr w:wrap="around" w:vAnchor="page" w:hAnchor="page" w:x="1593" w:y="876"/>
        <w:rPr>
          <w:rFonts w:ascii="Times New Roman"/>
          <w:b/>
          <w:bCs/>
        </w:rPr>
      </w:pPr>
      <w:r>
        <w:rPr>
          <w:rFonts w:ascii="Times New Roman"/>
          <w:b/>
          <w:bCs/>
        </w:rPr>
        <w:t>CCS C 05</w:t>
      </w:r>
    </w:p>
    <w:p w14:paraId="6C45E9F9">
      <w:pPr>
        <w:pStyle w:val="195"/>
        <w:framePr w:w="8178" w:h="856" w:hRule="exact" w:wrap="around" w:x="2055" w:y="2221"/>
        <w:jc w:val="distribute"/>
        <w:rPr>
          <w:rFonts w:ascii="Times New Roman" w:eastAsia="黑体"/>
          <w:b w:val="0"/>
          <w:sz w:val="56"/>
          <w:szCs w:val="52"/>
        </w:rPr>
      </w:pPr>
      <w:r>
        <w:rPr>
          <w:rFonts w:ascii="Times New Roman" w:eastAsia="黑体"/>
          <w:b w:val="0"/>
          <w:sz w:val="56"/>
          <w:szCs w:val="52"/>
        </w:rPr>
        <w:t>团体标准</w:t>
      </w:r>
    </w:p>
    <w:tbl>
      <w:tblPr>
        <w:tblStyle w:val="3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089E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tcPr>
          <w:p w14:paraId="062C3C7D">
            <w:pPr>
              <w:pStyle w:val="194"/>
              <w:framePr w:wrap="around" w:x="1382" w:y="3031"/>
              <w:rPr>
                <w:rFonts w:ascii="Times New Roman"/>
                <w:lang w:val="fr-FR"/>
              </w:rPr>
            </w:pPr>
            <w:r>
              <w:rPr>
                <w:rFonts w:ascii="Times New Roman"/>
                <w:b/>
                <w:bCs/>
                <w:lang w:val="fr-FR"/>
              </w:rPr>
              <w:t>T/C</w:t>
            </w:r>
            <w:bookmarkStart w:id="0" w:name="StdNo1"/>
            <w:r>
              <w:rPr>
                <w:rFonts w:ascii="Times New Roman"/>
                <w:b/>
                <w:bCs/>
                <w:lang w:val="fr-FR"/>
              </w:rPr>
              <w:t>RHA</w:t>
            </w:r>
            <w:bookmarkEnd w:id="0"/>
            <w:r>
              <w:rPr>
                <w:rFonts w:ascii="Times New Roman"/>
                <w:lang w:val="fr-FR"/>
              </w:rPr>
              <w:t xml:space="preserve"> XXX—202X</w:t>
            </w:r>
          </w:p>
        </w:tc>
      </w:tr>
    </w:tbl>
    <w:p w14:paraId="148B9035">
      <w:pPr>
        <w:pStyle w:val="194"/>
        <w:framePr w:wrap="around" w:x="1382" w:y="3031"/>
        <w:jc w:val="center"/>
        <w:rPr>
          <w:rFonts w:ascii="Times New Roman"/>
          <w:lang w:val="fr-FR"/>
        </w:rPr>
      </w:pPr>
      <w:r>
        <w:rPr>
          <w:rFonts w:ascii="Times New Roman"/>
          <w:lang w:val="fr-FR"/>
        </w:rPr>
        <w:t>————————————————————————————————————————</w:t>
      </w:r>
    </w:p>
    <w:p w14:paraId="108198DD">
      <w:pPr>
        <w:pStyle w:val="194"/>
        <w:framePr w:wrap="around" w:x="1382" w:y="3031"/>
        <w:rPr>
          <w:rFonts w:ascii="Times New Roman"/>
          <w:lang w:val="fr-FR"/>
        </w:rPr>
      </w:pPr>
    </w:p>
    <w:p w14:paraId="56DC37F6">
      <w:pPr>
        <w:pStyle w:val="193"/>
        <w:framePr w:w="9116" w:h="4482" w:hRule="exact" w:wrap="around" w:vAnchor="page" w:hAnchor="page" w:x="1327" w:y="6897"/>
        <w:ind w:firstLine="0"/>
        <w:jc w:val="center"/>
        <w:outlineLvl w:val="9"/>
        <w:rPr>
          <w:rFonts w:hint="eastAsia" w:ascii="黑体" w:hAnsi="黑体" w:eastAsia="黑体" w:cs="黑体"/>
          <w:b w:val="0"/>
          <w:bCs w:val="0"/>
          <w:sz w:val="52"/>
          <w:szCs w:val="52"/>
          <w:lang w:val="en-US" w:eastAsia="zh-CN"/>
        </w:rPr>
      </w:pPr>
      <w:bookmarkStart w:id="1" w:name="StdEnglishName"/>
      <w:r>
        <w:rPr>
          <w:rFonts w:hint="eastAsia" w:ascii="黑体" w:hAnsi="黑体" w:eastAsia="黑体" w:cs="黑体"/>
          <w:b w:val="0"/>
          <w:bCs w:val="0"/>
          <w:sz w:val="52"/>
          <w:szCs w:val="52"/>
          <w:lang w:val="en-US" w:eastAsia="zh-CN"/>
        </w:rPr>
        <w:t>过敏专科医师岗位技能标准</w:t>
      </w:r>
    </w:p>
    <w:p w14:paraId="509F6A5B">
      <w:pPr>
        <w:pStyle w:val="193"/>
        <w:framePr w:w="9116" w:h="4482" w:hRule="exact" w:wrap="around" w:vAnchor="page" w:hAnchor="page" w:x="1327" w:y="6897"/>
        <w:ind w:firstLine="0"/>
        <w:jc w:val="center"/>
        <w:outlineLvl w:val="9"/>
        <w:rPr>
          <w:rFonts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（征求意见稿）</w:t>
      </w:r>
      <w:bookmarkStart w:id="29" w:name="_GoBack"/>
      <w:bookmarkEnd w:id="29"/>
    </w:p>
    <w:p w14:paraId="768A58F2">
      <w:pPr>
        <w:pStyle w:val="197"/>
        <w:framePr w:w="9331" w:wrap="around" w:hAnchor="page" w:x="1231" w:y="14888"/>
      </w:pPr>
      <w:r>
        <w:t>202X-XX-</w:t>
      </w:r>
      <w:r>
        <w:rPr>
          <w:szCs w:val="22"/>
        </w:rPr>
        <w:t>XX</w:t>
      </w:r>
      <w:r>
        <w:t xml:space="preserve">发布                               </w:t>
      </w:r>
      <w:r>
        <w:rPr>
          <w:rFonts w:hint="eastAsia"/>
        </w:rPr>
        <w:t xml:space="preserve">                                    </w:t>
      </w:r>
      <w:r>
        <w:t xml:space="preserve">  </w:t>
      </w:r>
      <w:r>
        <w:rPr>
          <w:szCs w:val="22"/>
        </w:rPr>
        <w:t>202X-XX-XX实施</w:t>
      </w:r>
    </w:p>
    <w:p w14:paraId="0F275DAA">
      <w:pPr>
        <w:pStyle w:val="196"/>
        <w:framePr w:w="9416" w:wrap="around" w:x="1194" w:y="15375"/>
        <w:pBdr>
          <w:top w:val="single" w:color="000000" w:sz="4" w:space="1"/>
          <w:left w:val="none" w:color="000000" w:sz="0" w:space="4"/>
          <w:bottom w:val="none" w:color="000000" w:sz="0" w:space="1"/>
          <w:right w:val="none" w:color="000000" w:sz="0" w:space="4"/>
        </w:pBdr>
        <w:rPr>
          <w:rFonts w:ascii="Times New Roman" w:eastAsia="黑体"/>
          <w:b w:val="0"/>
          <w:bCs/>
          <w:szCs w:val="28"/>
        </w:rPr>
      </w:pPr>
      <w:r>
        <w:rPr>
          <w:rFonts w:hint="eastAsia" w:ascii="Times New Roman" w:eastAsia="黑体"/>
          <w:b w:val="0"/>
          <w:bCs/>
          <w:szCs w:val="28"/>
        </w:rPr>
        <w:t>中国研究型医院学会</w:t>
      </w:r>
      <w:r>
        <w:rPr>
          <w:rFonts w:ascii="Times New Roman" w:eastAsia="黑体"/>
          <w:b w:val="0"/>
          <w:bCs/>
          <w:szCs w:val="28"/>
        </w:rPr>
        <w:t xml:space="preserve"> </w:t>
      </w:r>
      <w:r>
        <w:rPr>
          <w:rFonts w:hint="eastAsia" w:ascii="Times New Roman" w:eastAsia="黑体"/>
          <w:b w:val="0"/>
          <w:bCs/>
          <w:szCs w:val="28"/>
        </w:rPr>
        <w:t>发布</w:t>
      </w:r>
      <w:bookmarkEnd w:id="1"/>
    </w:p>
    <w:p w14:paraId="73792469">
      <w:r>
        <w:rPr>
          <w:rFonts w:ascii="Times New Roman" w:hAnsi="Times New Roman" w:eastAsia="宋体" w:cs="Times New Roman"/>
        </w:rPr>
        <w:drawing>
          <wp:anchor distT="0" distB="0" distL="114300" distR="114300" simplePos="0" relativeHeight="251659264" behindDoc="0" locked="0" layoutInCell="1" allowOverlap="1">
            <wp:simplePos x="0" y="0"/>
            <wp:positionH relativeFrom="column">
              <wp:posOffset>4831715</wp:posOffset>
            </wp:positionH>
            <wp:positionV relativeFrom="page">
              <wp:posOffset>104775</wp:posOffset>
            </wp:positionV>
            <wp:extent cx="1075055" cy="1043305"/>
            <wp:effectExtent l="0" t="0" r="0" b="4445"/>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5"/>
                    <a:stretch>
                      <a:fillRect/>
                    </a:stretch>
                  </pic:blipFill>
                  <pic:spPr>
                    <a:xfrm>
                      <a:off x="0" y="0"/>
                      <a:ext cx="1075055" cy="1043305"/>
                    </a:xfrm>
                    <a:prstGeom prst="rect">
                      <a:avLst/>
                    </a:prstGeom>
                  </pic:spPr>
                </pic:pic>
              </a:graphicData>
            </a:graphic>
          </wp:anchor>
        </w:drawing>
      </w:r>
      <w:r>
        <w:rPr/>
        <w:br w:type="page" w:clear="all"/>
      </w:r>
    </w:p>
    <w:p w14:paraId="23CEF301">
      <w:pPr>
        <w:pStyle w:val="3"/>
        <w:jc w:val="center"/>
        <w:rPr>
          <w:rFonts w:hint="eastAsia" w:ascii="黑体" w:hAnsi="黑体" w:eastAsia="黑体"/>
          <w:b w:val="0"/>
          <w:bCs w:val="0"/>
        </w:rPr>
      </w:pPr>
      <w:bookmarkStart w:id="2" w:name="_Toc208244030"/>
      <w:r>
        <w:rPr>
          <w:rFonts w:hint="eastAsia" w:ascii="黑体" w:hAnsi="黑体" w:eastAsia="黑体"/>
          <w:b w:val="0"/>
          <w:bCs w:val="0"/>
        </w:rPr>
        <w:t>目  次</w:t>
      </w:r>
      <w:bookmarkEnd w:id="2"/>
    </w:p>
    <w:sdt>
      <w:sdtPr>
        <w:rPr>
          <w:lang w:val="zh-CN"/>
        </w:rPr>
        <w:id w:val="-590777296"/>
        <w:docPartObj>
          <w:docPartGallery w:val="Table of Contents"/>
          <w:docPartUnique/>
        </w:docPartObj>
      </w:sdtPr>
      <w:sdtEndPr>
        <w:rPr>
          <w:lang w:val="zh-CN"/>
        </w:rPr>
      </w:sdtEndPr>
      <w:sdtContent>
        <w:p w14:paraId="6B959621">
          <w:pPr>
            <w:pStyle w:val="200"/>
            <w:rPr>
              <w:rFonts w:hint="eastAsia"/>
              <w:sz w:val="22"/>
              <w:szCs w:val="24"/>
              <w14:ligatures w14:val="standardContextual"/>
            </w:rPr>
          </w:pPr>
          <w:r>
            <w:fldChar w:fldCharType="begin"/>
          </w:r>
          <w:r>
            <w:instrText xml:space="preserve"> TOC \o "1-3" \h \z \u </w:instrText>
          </w:r>
          <w:r>
            <w:rPr>
              <w:rFonts w:hint="eastAsia"/>
            </w:rPr>
            <w:fldChar w:fldCharType="separate"/>
          </w:r>
        </w:p>
        <w:p w14:paraId="2B045D96">
          <w:pPr>
            <w:pStyle w:val="26"/>
            <w:tabs>
              <w:tab w:val="right" w:leader="dot" w:pos="9016"/>
            </w:tabs>
            <w:ind w:left="0"/>
            <w:rPr>
              <w:rFonts w:hint="default" w:ascii="Times New Roman" w:hAnsi="Times New Roman" w:eastAsia="宋体" w:cs="Times New Roman"/>
              <w:sz w:val="22"/>
              <w:szCs w:val="24"/>
              <w14:ligatures w14:val="standardContextual"/>
            </w:rPr>
          </w:pPr>
          <w:r>
            <w:rPr>
              <w:rStyle w:val="34"/>
              <w:rFonts w:ascii="Times New Roman" w:hAnsi="Times New Roman" w:eastAsia="宋体" w:cs="Times New Roman"/>
            </w:rPr>
            <w:fldChar w:fldCharType="begin"/>
          </w:r>
          <w:r>
            <w:rPr>
              <w:rStyle w:val="34"/>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"_Toc208244031"</w:instrText>
          </w:r>
          <w:r>
            <w:rPr>
              <w:rStyle w:val="34"/>
              <w:rFonts w:ascii="Times New Roman" w:hAnsi="Times New Roman" w:eastAsia="宋体" w:cs="Times New Roman"/>
            </w:rPr>
            <w:instrText xml:space="preserve"> </w:instrText>
          </w:r>
          <w:r>
            <w:rPr>
              <w:rStyle w:val="34"/>
              <w:rFonts w:ascii="Times New Roman" w:hAnsi="Times New Roman" w:eastAsia="宋体" w:cs="Times New Roman"/>
            </w:rPr>
            <w:fldChar w:fldCharType="separate"/>
          </w:r>
          <w:r>
            <w:rPr>
              <w:rStyle w:val="34"/>
              <w:rFonts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_Toc208244031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III</w:t>
          </w:r>
          <w:r>
            <w:rPr>
              <w:rFonts w:hint="default" w:ascii="Times New Roman" w:hAnsi="Times New Roman" w:eastAsia="宋体" w:cs="Times New Roman"/>
            </w:rPr>
            <w:fldChar w:fldCharType="end"/>
          </w:r>
          <w:r>
            <w:rPr>
              <w:rStyle w:val="34"/>
              <w:rFonts w:ascii="Times New Roman" w:hAnsi="Times New Roman" w:eastAsia="宋体" w:cs="Times New Roman"/>
            </w:rPr>
            <w:fldChar w:fldCharType="end"/>
          </w:r>
        </w:p>
        <w:p w14:paraId="70B0ECAC">
          <w:pPr>
            <w:pStyle w:val="26"/>
            <w:tabs>
              <w:tab w:val="right" w:leader="dot" w:pos="9016"/>
            </w:tabs>
            <w:ind w:left="0"/>
            <w:rPr>
              <w:rFonts w:hint="default" w:ascii="Times New Roman" w:hAnsi="Times New Roman" w:eastAsia="宋体" w:cs="Times New Roman"/>
              <w:sz w:val="22"/>
              <w:szCs w:val="24"/>
              <w14:ligatures w14:val="standardContextual"/>
            </w:rPr>
          </w:pPr>
          <w:r>
            <w:rPr>
              <w:rStyle w:val="34"/>
              <w:rFonts w:ascii="Times New Roman" w:hAnsi="Times New Roman" w:eastAsia="宋体" w:cs="Times New Roman"/>
            </w:rPr>
            <w:fldChar w:fldCharType="begin"/>
          </w:r>
          <w:r>
            <w:rPr>
              <w:rStyle w:val="34"/>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"_Toc208244032"</w:instrText>
          </w:r>
          <w:r>
            <w:rPr>
              <w:rStyle w:val="34"/>
              <w:rFonts w:ascii="Times New Roman" w:hAnsi="Times New Roman" w:eastAsia="宋体" w:cs="Times New Roman"/>
            </w:rPr>
            <w:instrText xml:space="preserve"> </w:instrText>
          </w:r>
          <w:r>
            <w:rPr>
              <w:rStyle w:val="34"/>
              <w:rFonts w:ascii="Times New Roman" w:hAnsi="Times New Roman" w:eastAsia="宋体" w:cs="Times New Roman"/>
            </w:rPr>
            <w:fldChar w:fldCharType="separate"/>
          </w:r>
          <w:r>
            <w:rPr>
              <w:rStyle w:val="34"/>
              <w:rFonts w:ascii="Times New Roman" w:hAnsi="Times New Roman" w:eastAsia="宋体" w:cs="Times New Roman"/>
            </w:rPr>
            <w:t>引言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_Toc208244032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IV</w:t>
          </w:r>
          <w:r>
            <w:rPr>
              <w:rFonts w:hint="default" w:ascii="Times New Roman" w:hAnsi="Times New Roman" w:eastAsia="宋体" w:cs="Times New Roman"/>
            </w:rPr>
            <w:fldChar w:fldCharType="end"/>
          </w:r>
          <w:r>
            <w:rPr>
              <w:rStyle w:val="34"/>
              <w:rFonts w:ascii="Times New Roman" w:hAnsi="Times New Roman" w:eastAsia="宋体" w:cs="Times New Roman"/>
            </w:rPr>
            <w:fldChar w:fldCharType="end"/>
          </w:r>
        </w:p>
        <w:p w14:paraId="7F46BE5C">
          <w:pPr>
            <w:pStyle w:val="20"/>
            <w:tabs>
              <w:tab w:val="right" w:leader="dot" w:pos="9016"/>
            </w:tabs>
            <w:rPr>
              <w:rFonts w:hint="default" w:ascii="Times New Roman" w:hAnsi="Times New Roman" w:eastAsia="宋体" w:cs="Times New Roman"/>
              <w:sz w:val="22"/>
              <w:szCs w:val="24"/>
              <w14:ligatures w14:val="standardContextual"/>
            </w:rPr>
          </w:pPr>
          <w:r>
            <w:rPr>
              <w:rStyle w:val="34"/>
              <w:rFonts w:ascii="Times New Roman" w:hAnsi="Times New Roman" w:eastAsia="宋体" w:cs="Times New Roman"/>
            </w:rPr>
            <w:fldChar w:fldCharType="begin"/>
          </w:r>
          <w:r>
            <w:rPr>
              <w:rStyle w:val="34"/>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"_Toc208244034"</w:instrText>
          </w:r>
          <w:r>
            <w:rPr>
              <w:rStyle w:val="34"/>
              <w:rFonts w:ascii="Times New Roman" w:hAnsi="Times New Roman" w:eastAsia="宋体" w:cs="Times New Roman"/>
            </w:rPr>
            <w:instrText xml:space="preserve"> </w:instrText>
          </w:r>
          <w:r>
            <w:rPr>
              <w:rStyle w:val="34"/>
              <w:rFonts w:ascii="Times New Roman" w:hAnsi="Times New Roman" w:eastAsia="宋体" w:cs="Times New Roman"/>
            </w:rPr>
            <w:fldChar w:fldCharType="separate"/>
          </w:r>
          <w:r>
            <w:rPr>
              <w:rStyle w:val="34"/>
              <w:rFonts w:ascii="Times New Roman" w:hAnsi="Times New Roman" w:eastAsia="宋体" w:cs="Times New Roman"/>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_Toc208244034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34"/>
              <w:rFonts w:ascii="Times New Roman" w:hAnsi="Times New Roman" w:eastAsia="宋体" w:cs="Times New Roman"/>
            </w:rPr>
            <w:fldChar w:fldCharType="end"/>
          </w:r>
        </w:p>
        <w:p w14:paraId="2600424A">
          <w:pPr>
            <w:pStyle w:val="20"/>
            <w:tabs>
              <w:tab w:val="right" w:leader="dot" w:pos="9016"/>
            </w:tabs>
            <w:rPr>
              <w:rFonts w:hint="default" w:ascii="Times New Roman" w:hAnsi="Times New Roman" w:eastAsia="宋体" w:cs="Times New Roman"/>
              <w:sz w:val="22"/>
              <w:szCs w:val="24"/>
              <w14:ligatures w14:val="standardContextual"/>
            </w:rPr>
          </w:pPr>
          <w:r>
            <w:rPr>
              <w:rStyle w:val="34"/>
              <w:rFonts w:ascii="Times New Roman" w:hAnsi="Times New Roman" w:eastAsia="宋体" w:cs="Times New Roman"/>
            </w:rPr>
            <w:fldChar w:fldCharType="begin"/>
          </w:r>
          <w:r>
            <w:rPr>
              <w:rStyle w:val="34"/>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"_Toc208244035"</w:instrText>
          </w:r>
          <w:r>
            <w:rPr>
              <w:rStyle w:val="34"/>
              <w:rFonts w:ascii="Times New Roman" w:hAnsi="Times New Roman" w:eastAsia="宋体" w:cs="Times New Roman"/>
            </w:rPr>
            <w:instrText xml:space="preserve"> </w:instrText>
          </w:r>
          <w:r>
            <w:rPr>
              <w:rStyle w:val="34"/>
              <w:rFonts w:ascii="Times New Roman" w:hAnsi="Times New Roman" w:eastAsia="宋体" w:cs="Times New Roman"/>
            </w:rPr>
            <w:fldChar w:fldCharType="separate"/>
          </w:r>
          <w:r>
            <w:rPr>
              <w:rStyle w:val="34"/>
              <w:rFonts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_Toc208244035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34"/>
              <w:rFonts w:ascii="Times New Roman" w:hAnsi="Times New Roman" w:eastAsia="宋体" w:cs="Times New Roman"/>
            </w:rPr>
            <w:fldChar w:fldCharType="end"/>
          </w:r>
        </w:p>
        <w:p w14:paraId="498AA4CB">
          <w:pPr>
            <w:pStyle w:val="20"/>
            <w:tabs>
              <w:tab w:val="right" w:leader="dot" w:pos="9016"/>
            </w:tabs>
            <w:rPr>
              <w:rFonts w:hint="default" w:ascii="Times New Roman" w:hAnsi="Times New Roman" w:eastAsia="宋体" w:cs="Times New Roman"/>
              <w:sz w:val="22"/>
              <w:szCs w:val="24"/>
              <w14:ligatures w14:val="standardContextual"/>
            </w:rPr>
          </w:pPr>
          <w:r>
            <w:rPr>
              <w:rStyle w:val="34"/>
              <w:rFonts w:ascii="Times New Roman" w:hAnsi="Times New Roman" w:eastAsia="宋体" w:cs="Times New Roman"/>
            </w:rPr>
            <w:fldChar w:fldCharType="begin"/>
          </w:r>
          <w:r>
            <w:rPr>
              <w:rStyle w:val="34"/>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"_Toc208244036"</w:instrText>
          </w:r>
          <w:r>
            <w:rPr>
              <w:rStyle w:val="34"/>
              <w:rFonts w:ascii="Times New Roman" w:hAnsi="Times New Roman" w:eastAsia="宋体" w:cs="Times New Roman"/>
            </w:rPr>
            <w:instrText xml:space="preserve"> </w:instrText>
          </w:r>
          <w:r>
            <w:rPr>
              <w:rStyle w:val="34"/>
              <w:rFonts w:ascii="Times New Roman" w:hAnsi="Times New Roman" w:eastAsia="宋体" w:cs="Times New Roman"/>
            </w:rPr>
            <w:fldChar w:fldCharType="separate"/>
          </w:r>
          <w:r>
            <w:rPr>
              <w:rStyle w:val="34"/>
              <w:rFonts w:ascii="Times New Roman" w:hAnsi="Times New Roman" w:eastAsia="宋体" w:cs="Times New Roman"/>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_Toc208244036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34"/>
              <w:rFonts w:ascii="Times New Roman" w:hAnsi="Times New Roman" w:eastAsia="宋体" w:cs="Times New Roman"/>
            </w:rPr>
            <w:fldChar w:fldCharType="end"/>
          </w:r>
        </w:p>
        <w:p w14:paraId="7026CEF1">
          <w:pPr>
            <w:pStyle w:val="20"/>
            <w:tabs>
              <w:tab w:val="right" w:leader="dot" w:pos="9016"/>
            </w:tabs>
            <w:rPr>
              <w:rFonts w:hint="default" w:ascii="Times New Roman" w:hAnsi="Times New Roman" w:eastAsia="宋体" w:cs="Times New Roman"/>
              <w:sz w:val="22"/>
              <w:szCs w:val="24"/>
              <w14:ligatures w14:val="standardContextual"/>
            </w:rPr>
          </w:pPr>
          <w:r>
            <w:rPr>
              <w:rStyle w:val="34"/>
              <w:rFonts w:ascii="Times New Roman" w:hAnsi="Times New Roman" w:eastAsia="宋体" w:cs="Times New Roman"/>
            </w:rPr>
            <w:fldChar w:fldCharType="begin"/>
          </w:r>
          <w:r>
            <w:rPr>
              <w:rStyle w:val="34"/>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"_Toc208244037"</w:instrText>
          </w:r>
          <w:r>
            <w:rPr>
              <w:rStyle w:val="34"/>
              <w:rFonts w:ascii="Times New Roman" w:hAnsi="Times New Roman" w:eastAsia="宋体" w:cs="Times New Roman"/>
            </w:rPr>
            <w:instrText xml:space="preserve"> </w:instrText>
          </w:r>
          <w:r>
            <w:rPr>
              <w:rStyle w:val="34"/>
              <w:rFonts w:ascii="Times New Roman" w:hAnsi="Times New Roman" w:eastAsia="宋体" w:cs="Times New Roman"/>
            </w:rPr>
            <w:fldChar w:fldCharType="separate"/>
          </w:r>
          <w:r>
            <w:rPr>
              <w:rStyle w:val="34"/>
              <w:rFonts w:ascii="Times New Roman" w:hAnsi="Times New Roman" w:eastAsia="宋体" w:cs="Times New Roman"/>
            </w:rPr>
            <w:t>4 准入与基本要求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_Toc208244037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3</w:t>
          </w:r>
          <w:r>
            <w:rPr>
              <w:rFonts w:hint="default" w:ascii="Times New Roman" w:hAnsi="Times New Roman" w:eastAsia="宋体" w:cs="Times New Roman"/>
            </w:rPr>
            <w:fldChar w:fldCharType="end"/>
          </w:r>
          <w:r>
            <w:rPr>
              <w:rStyle w:val="34"/>
              <w:rFonts w:ascii="Times New Roman" w:hAnsi="Times New Roman" w:eastAsia="宋体" w:cs="Times New Roman"/>
            </w:rPr>
            <w:fldChar w:fldCharType="end"/>
          </w:r>
        </w:p>
        <w:p w14:paraId="2708D4D2">
          <w:pPr>
            <w:pStyle w:val="20"/>
            <w:tabs>
              <w:tab w:val="right" w:leader="dot" w:pos="9016"/>
            </w:tabs>
            <w:rPr>
              <w:rFonts w:hint="default" w:ascii="Times New Roman" w:hAnsi="Times New Roman" w:eastAsia="宋体" w:cs="Times New Roman"/>
              <w:sz w:val="22"/>
              <w:szCs w:val="24"/>
              <w14:ligatures w14:val="standardContextual"/>
            </w:rPr>
          </w:pPr>
          <w:r>
            <w:rPr>
              <w:rStyle w:val="34"/>
              <w:rFonts w:ascii="Times New Roman" w:hAnsi="Times New Roman" w:eastAsia="宋体" w:cs="Times New Roman"/>
            </w:rPr>
            <w:fldChar w:fldCharType="begin"/>
          </w:r>
          <w:r>
            <w:rPr>
              <w:rStyle w:val="34"/>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"_Toc208244038"</w:instrText>
          </w:r>
          <w:r>
            <w:rPr>
              <w:rStyle w:val="34"/>
              <w:rFonts w:ascii="Times New Roman" w:hAnsi="Times New Roman" w:eastAsia="宋体" w:cs="Times New Roman"/>
            </w:rPr>
            <w:instrText xml:space="preserve"> </w:instrText>
          </w:r>
          <w:r>
            <w:rPr>
              <w:rStyle w:val="34"/>
              <w:rFonts w:ascii="Times New Roman" w:hAnsi="Times New Roman" w:eastAsia="宋体" w:cs="Times New Roman"/>
            </w:rPr>
            <w:fldChar w:fldCharType="separate"/>
          </w:r>
          <w:r>
            <w:rPr>
              <w:rStyle w:val="34"/>
              <w:rFonts w:ascii="Times New Roman" w:hAnsi="Times New Roman" w:eastAsia="宋体" w:cs="Times New Roman"/>
            </w:rPr>
            <w:t>5 核心专业技能（附件）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_Toc208244038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3</w:t>
          </w:r>
          <w:r>
            <w:rPr>
              <w:rFonts w:hint="default" w:ascii="Times New Roman" w:hAnsi="Times New Roman" w:eastAsia="宋体" w:cs="Times New Roman"/>
            </w:rPr>
            <w:fldChar w:fldCharType="end"/>
          </w:r>
          <w:r>
            <w:rPr>
              <w:rStyle w:val="34"/>
              <w:rFonts w:ascii="Times New Roman" w:hAnsi="Times New Roman" w:eastAsia="宋体" w:cs="Times New Roman"/>
            </w:rPr>
            <w:fldChar w:fldCharType="end"/>
          </w:r>
        </w:p>
        <w:p w14:paraId="24053346">
          <w:pPr>
            <w:pStyle w:val="20"/>
            <w:tabs>
              <w:tab w:val="right" w:leader="dot" w:pos="9016"/>
            </w:tabs>
            <w:rPr>
              <w:rFonts w:hint="default" w:ascii="Times New Roman" w:hAnsi="Times New Roman" w:eastAsia="宋体" w:cs="Times New Roman"/>
              <w:sz w:val="22"/>
              <w:szCs w:val="24"/>
              <w14:ligatures w14:val="standardContextual"/>
            </w:rPr>
          </w:pPr>
          <w:r>
            <w:rPr>
              <w:rStyle w:val="34"/>
              <w:rFonts w:ascii="Times New Roman" w:hAnsi="Times New Roman" w:eastAsia="宋体" w:cs="Times New Roman"/>
            </w:rPr>
            <w:fldChar w:fldCharType="begin"/>
          </w:r>
          <w:r>
            <w:rPr>
              <w:rStyle w:val="34"/>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"_Toc208244045"</w:instrText>
          </w:r>
          <w:r>
            <w:rPr>
              <w:rStyle w:val="34"/>
              <w:rFonts w:ascii="Times New Roman" w:hAnsi="Times New Roman" w:eastAsia="宋体" w:cs="Times New Roman"/>
            </w:rPr>
            <w:instrText xml:space="preserve"> </w:instrText>
          </w:r>
          <w:r>
            <w:rPr>
              <w:rStyle w:val="34"/>
              <w:rFonts w:ascii="Times New Roman" w:hAnsi="Times New Roman" w:eastAsia="宋体" w:cs="Times New Roman"/>
            </w:rPr>
            <w:fldChar w:fldCharType="separate"/>
          </w:r>
          <w:r>
            <w:rPr>
              <w:rStyle w:val="34"/>
              <w:rFonts w:ascii="Times New Roman" w:hAnsi="Times New Roman" w:eastAsia="宋体" w:cs="Times New Roman"/>
            </w:rPr>
            <w:t>6 教学与科研能力</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_Toc208244045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15</w:t>
          </w:r>
          <w:r>
            <w:rPr>
              <w:rFonts w:hint="default" w:ascii="Times New Roman" w:hAnsi="Times New Roman" w:eastAsia="宋体" w:cs="Times New Roman"/>
            </w:rPr>
            <w:fldChar w:fldCharType="end"/>
          </w:r>
          <w:r>
            <w:rPr>
              <w:rStyle w:val="34"/>
              <w:rFonts w:ascii="Times New Roman" w:hAnsi="Times New Roman" w:eastAsia="宋体" w:cs="Times New Roman"/>
            </w:rPr>
            <w:fldChar w:fldCharType="end"/>
          </w:r>
        </w:p>
        <w:p w14:paraId="649717CD">
          <w:pPr>
            <w:rPr>
              <w:rFonts w:hint="eastAsia" w:ascii="黑体" w:hAnsi="黑体" w:eastAsia="黑体"/>
              <w:b w:val="0"/>
              <w:bCs w:val="0"/>
            </w:rPr>
          </w:pPr>
          <w:r>
            <w:rPr>
              <w:b/>
              <w:bCs/>
              <w:lang w:val="zh-CN"/>
            </w:rPr>
            <w:fldChar w:fldCharType="end"/>
          </w:r>
        </w:p>
      </w:sdtContent>
    </w:sdt>
    <w:p w14:paraId="2A1DE460">
      <w:pPr>
        <w:pStyle w:val="3"/>
        <w:jc w:val="center"/>
        <w:rPr>
          <w:rFonts w:hint="eastAsia" w:ascii="黑体" w:hAnsi="黑体" w:eastAsia="黑体"/>
          <w:b w:val="0"/>
          <w:bCs w:val="0"/>
        </w:rPr>
      </w:pPr>
      <w:r>
        <w:rPr>
          <w:rFonts w:hint="eastAsia" w:ascii="黑体" w:hAnsi="黑体" w:eastAsia="黑体"/>
          <w:b w:val="0"/>
          <w:bCs w:val="0"/>
        </w:rPr>
        <w:br w:type="page" w:clear="all"/>
      </w:r>
    </w:p>
    <w:p w14:paraId="321F6A46">
      <w:pPr>
        <w:pStyle w:val="3"/>
        <w:spacing w:before="320" w:after="120" w:line="288" w:lineRule="auto"/>
        <w:jc w:val="center"/>
        <w:rPr>
          <w:rFonts w:hint="eastAsia" w:ascii="黑体" w:hAnsi="黑体" w:eastAsia="黑体"/>
          <w:b w:val="0"/>
          <w:bCs w:val="0"/>
        </w:rPr>
      </w:pPr>
      <w:bookmarkStart w:id="3" w:name="_Toc208244031"/>
      <w:r>
        <w:rPr>
          <w:rFonts w:ascii="黑体" w:hAnsi="黑体" w:eastAsia="黑体"/>
          <w:b w:val="0"/>
          <w:bCs w:val="0"/>
        </w:rPr>
        <w:t>前</w:t>
      </w:r>
      <w:r>
        <w:rPr>
          <w:rFonts w:hint="eastAsia" w:ascii="黑体" w:hAnsi="黑体" w:eastAsia="黑体"/>
          <w:b w:val="0"/>
          <w:bCs w:val="0"/>
        </w:rPr>
        <w:t xml:space="preserve">  </w:t>
      </w:r>
      <w:r>
        <w:rPr>
          <w:rFonts w:ascii="黑体" w:hAnsi="黑体" w:eastAsia="黑体"/>
          <w:b w:val="0"/>
          <w:bCs w:val="0"/>
        </w:rPr>
        <w:t>言</w:t>
      </w:r>
      <w:bookmarkEnd w:id="3"/>
    </w:p>
    <w:p w14:paraId="1C564A8D">
      <w:pPr>
        <w:ind w:firstLine="420"/>
        <w:rPr>
          <w:rFonts w:ascii="Times New Roman" w:hAnsi="Times New Roman" w:eastAsia="宋体" w:cs="Times New Roman"/>
          <w:szCs w:val="21"/>
        </w:rPr>
      </w:pPr>
      <w:r>
        <w:rPr>
          <w:rFonts w:hint="eastAsia" w:ascii="Times New Roman" w:hAnsi="Times New Roman" w:eastAsia="宋体" w:cs="Times New Roman"/>
          <w:szCs w:val="21"/>
        </w:rPr>
        <w:t>本文件按照GB/T 1.1-2020 《标准化工作导则 第1部分：标准化文件的结构和起草规则》的规定起草。</w:t>
      </w:r>
    </w:p>
    <w:p w14:paraId="29F1D179">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本文件的某些内容可能涉及专利，本文件的发布机构不承担识别专利的责任。</w:t>
      </w:r>
    </w:p>
    <w:p w14:paraId="5EBCD886">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本文件由中国研究型医院学会过敏医学专业委员会提出。</w:t>
      </w:r>
    </w:p>
    <w:p w14:paraId="5DC582EA">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08003E69">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2C9A1AB1">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76763BD8">
      <w:pPr>
        <w:pStyle w:val="3"/>
      </w:pPr>
      <w:r>
        <w:rPr/>
        <w:br w:type="page" w:clear="all"/>
      </w:r>
    </w:p>
    <w:p w14:paraId="0B6802DC">
      <w:pPr>
        <w:pStyle w:val="3"/>
        <w:jc w:val="center"/>
        <w:rPr>
          <w:rFonts w:ascii="黑体" w:hAnsi="黑体" w:eastAsia="黑体"/>
          <w:b w:val="0"/>
          <w:bCs w:val="0"/>
        </w:rPr>
      </w:pPr>
      <w:bookmarkStart w:id="4" w:name="_Toc208244032"/>
      <w:r>
        <w:rPr>
          <w:rFonts w:hint="eastAsia" w:ascii="黑体" w:hAnsi="黑体" w:eastAsia="黑体"/>
          <w:b w:val="0"/>
          <w:bCs w:val="0"/>
        </w:rPr>
        <w:t>引  言</w:t>
      </w:r>
      <w:bookmarkEnd w:id="4"/>
    </w:p>
    <w:p w14:paraId="530BBDF2">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近年来，工业化进程加速与生活方式变革推动过敏性疾病在全球呈显著流行态势。世界卫生组织（WHO）数据表明，全球约 </w:t>
      </w:r>
      <w:r>
        <w:rPr>
          <w:rFonts w:hint="default" w:ascii="Times New Roman" w:hAnsi="Times New Roman" w:eastAsia="宋体" w:cs="Times New Roman"/>
          <w:sz w:val="21"/>
          <w:szCs w:val="21"/>
        </w:rPr>
        <w:t>4</w:t>
      </w:r>
      <w:r>
        <w:rPr>
          <w:rFonts w:ascii="Times New Roman" w:hAnsi="Times New Roman" w:eastAsia="宋体" w:cs="Times New Roman"/>
          <w:sz w:val="21"/>
          <w:szCs w:val="21"/>
        </w:rPr>
        <w:t>0% 人口受不同严重程度的过敏性疾病困扰，且患病率持续攀升。</w:t>
      </w:r>
      <w:r>
        <w:rPr>
          <w:rFonts w:ascii="Times New Roman" w:hAnsi="Times New Roman" w:eastAsia="宋体" w:cs="Times New Roman"/>
          <w:color w:val="EE0000"/>
          <w:sz w:val="21"/>
          <w:szCs w:val="21"/>
        </w:rPr>
        <w:t>作为人口大国，我国过敏性疾病负担尤为突出：过敏性鼻炎患者超 1 亿，2005-2011 年患病率从 11.1% 升至 17.6%[6]；过敏性哮喘患者达 4500 万（其中儿童 1500 万）</w:t>
      </w:r>
      <w:r>
        <w:rPr>
          <w:rFonts w:ascii="Times New Roman" w:hAnsi="Times New Roman" w:eastAsia="宋体" w:cs="Times New Roman"/>
          <w:sz w:val="21"/>
          <w:szCs w:val="21"/>
        </w:rPr>
        <w:t>。此类疾病累及呼吸、皮肤、消化等多系统，不仅显著降低患者生活质量（如 60%-80% 鼻炎患者可能进展为哮喘）[6]，更因长期诊疗需求、误工及并发症管理，给家庭和社会带来沉重经济负担 [48]。</w:t>
      </w:r>
    </w:p>
    <w:p w14:paraId="3D8E7F34">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与此同时，我国过敏专科医师队伍建设面临双重挑战：一方面，全国统一的培训考核标准长期缺位，导致不同地区、层级医疗机构的专科医师诊疗能力差异显著，直接影响医疗服务同质化水平；另一方面，面对</w:t>
      </w:r>
      <w:r>
        <w:rPr>
          <w:rFonts w:ascii="Times New Roman" w:hAnsi="Times New Roman" w:eastAsia="宋体" w:cs="Times New Roman"/>
          <w:color w:val="EE0000"/>
          <w:sz w:val="21"/>
          <w:szCs w:val="21"/>
        </w:rPr>
        <w:t>超 2.4 亿鼻炎患者和 4500 万哮喘</w:t>
      </w:r>
      <w:r>
        <w:rPr>
          <w:rFonts w:ascii="Times New Roman" w:hAnsi="Times New Roman" w:eastAsia="宋体" w:cs="Times New Roman"/>
          <w:sz w:val="21"/>
          <w:szCs w:val="21"/>
        </w:rPr>
        <w:t>患者的庞大需求，专科医师数量严重不足（医患比约 1:8 万），基层医疗机构常需由非专科医师处理复杂过敏病例。这种规范化培养体系缺失与医疗资源供需失衡的困境，严重制约我国过敏性疾病防治水平提升。因此，制定科学规范的过敏专科医师岗位技能标准，对提高诊疗质量、保障患者安全、促进学科发展具有重大现实意义。</w:t>
      </w:r>
    </w:p>
    <w:p w14:paraId="4393ADE6">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过敏专科医师的专业范畴主要涵盖免疫系统异常介导的过敏性疾病，按发病机制可分为三类：IgE 介导型（如过敏性鼻炎、过敏性哮喘、食物过敏等）、非 IgE 介导型（如部分药物过敏、接触性皮炎等）及混合型（如特应性皮炎、嗜酸性食管炎等）。从靶器官角度，可累及呼吸系统（过敏性鼻炎、哮喘）、皮肤系统（特应性皮炎、荨麻疹）、消化系统（食物过敏、嗜酸性胃肠炎）等，严重者可出现过敏性休克等全身性反应。</w:t>
      </w:r>
    </w:p>
    <w:p w14:paraId="07E94BEA">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此外，专科范畴还包括系统性免疫炎症性疾病（如肥大细胞增多症、嗜酸性肉芽肿性多血管炎（EGPA））及过敏相关罕见病（如高 IgE 综合征、遗传性血管性水肿（HAE）等）。此类疾病虽发病机制与典型过敏性疾病存在差异，但临床表现常含过敏样症状，需过敏专科医师参与评估与管理。</w:t>
      </w:r>
    </w:p>
    <w:p w14:paraId="225B6262">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本范畴界定参考 WHO 国际疾病分类（ICD-10）及国内外最新指南，将随学科发展动态调整。过敏专科医师需掌握上述疾病诊疗规范，具备疑难病例识别能力，必要时启动多学科协作或转诊机制，确保患者获得最佳诊疗方案。</w:t>
      </w:r>
    </w:p>
    <w:p w14:paraId="575CBA61">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过敏专科医师准入能力要求标准》的制定是一项系统工程，需医学界、教育界、医疗机构等多方协同。通过明确过敏专科医师的核心能力，推动队伍专业化建设，提升学科服务水平，最终提高过敏性疾病诊疗质量、保障患者安全、促进学科持续发展。未来，将随学科发展与技术进步动态完善本标准，以适应新的医疗需求。</w:t>
      </w:r>
    </w:p>
    <w:p w14:paraId="6013EAB4">
      <w:pPr>
        <w:pStyle w:val="185"/>
        <w:spacing w:before="0" w:after="0" w:line="240" w:lineRule="auto"/>
        <w:ind w:firstLine="420"/>
        <w:jc w:val="both"/>
        <w:rPr>
          <w:rFonts w:hint="eastAsia" w:ascii="Times New Roman" w:hAnsi="Times New Roman" w:eastAsia="宋体" w:cs="Times New Roman"/>
          <w:sz w:val="21"/>
          <w:szCs w:val="21"/>
        </w:rPr>
      </w:pPr>
    </w:p>
    <w:p w14:paraId="47E808A9">
      <w:pPr>
        <w:sectPr>
          <w:footerReference r:id="rId3" w:type="default"/>
          <w:pgSz w:w="11906" w:h="16838" w:orient="landscape"/>
          <w:pgMar w:top="1440" w:right="1440" w:bottom="1440" w:left="1440" w:header="708" w:footer="708" w:gutter="0"/>
          <w:cols w:space="720" w:num="1"/>
          <w:titlePg/>
        </w:sectPr>
      </w:pPr>
      <w:r>
        <w:rPr/>
        <w:br w:type="page" w:clear="all"/>
      </w:r>
    </w:p>
    <w:p w14:paraId="08866400">
      <w:pPr>
        <w:pStyle w:val="4"/>
        <w:spacing w:before="0" w:after="0" w:line="240" w:lineRule="auto"/>
        <w:rPr>
          <w:rFonts w:ascii="黑体" w:hAnsi="黑体" w:eastAsia="黑体"/>
          <w:b w:val="0"/>
          <w:bCs w:val="0"/>
          <w:sz w:val="32"/>
          <w:szCs w:val="32"/>
        </w:rPr>
      </w:pPr>
    </w:p>
    <w:p w14:paraId="5BDD601B">
      <w:pPr>
        <w:pStyle w:val="185"/>
        <w:spacing w:before="0" w:after="0" w:line="240" w:lineRule="auto"/>
        <w:rPr>
          <w:rFonts w:ascii="黑体" w:hAnsi="黑体" w:eastAsia="黑体"/>
          <w:sz w:val="32"/>
          <w:szCs w:val="32"/>
        </w:rPr>
      </w:pPr>
    </w:p>
    <w:p w14:paraId="28FBD04B">
      <w:pPr>
        <w:pStyle w:val="185"/>
        <w:spacing w:before="0" w:after="0" w:line="240" w:lineRule="auto"/>
        <w:rPr>
          <w:rFonts w:ascii="黑体" w:hAnsi="黑体" w:eastAsia="黑体"/>
          <w:sz w:val="32"/>
          <w:szCs w:val="32"/>
        </w:rPr>
      </w:pPr>
    </w:p>
    <w:p w14:paraId="6FC1B331">
      <w:pPr>
        <w:pStyle w:val="185"/>
        <w:spacing w:before="0" w:after="0" w:line="240" w:lineRule="auto"/>
        <w:rPr>
          <w:rFonts w:ascii="黑体" w:hAnsi="黑体" w:eastAsia="黑体"/>
          <w:sz w:val="32"/>
          <w:szCs w:val="32"/>
        </w:rPr>
      </w:pPr>
    </w:p>
    <w:p w14:paraId="231A1FCD">
      <w:pPr>
        <w:pStyle w:val="2"/>
        <w:spacing w:before="0" w:after="0" w:line="240" w:lineRule="auto"/>
        <w:jc w:val="center"/>
        <w:rPr>
          <w:rFonts w:ascii="黑体" w:hAnsi="黑体" w:eastAsia="黑体"/>
          <w:b w:val="0"/>
          <w:bCs w:val="0"/>
          <w:sz w:val="32"/>
          <w:szCs w:val="32"/>
        </w:rPr>
      </w:pPr>
      <w:bookmarkStart w:id="5" w:name="_Toc208244033"/>
      <w:r>
        <w:rPr>
          <w:rFonts w:hint="eastAsia" w:ascii="黑体" w:hAnsi="黑体" w:eastAsia="黑体"/>
          <w:b w:val="0"/>
          <w:bCs w:val="0"/>
          <w:sz w:val="32"/>
          <w:szCs w:val="32"/>
        </w:rPr>
        <w:t>过敏专科医护人员岗位技能标准</w:t>
      </w:r>
      <w:bookmarkEnd w:id="5"/>
    </w:p>
    <w:p w14:paraId="73913A49">
      <w:pPr>
        <w:pStyle w:val="2"/>
        <w:spacing w:before="0" w:after="0" w:line="240" w:lineRule="auto"/>
        <w:jc w:val="center"/>
        <w:rPr>
          <w:rFonts w:hint="eastAsia"/>
        </w:rPr>
      </w:pPr>
    </w:p>
    <w:p w14:paraId="566EF610">
      <w:pPr>
        <w:spacing w:before="240" w:after="240"/>
        <w:outlineLvl w:val="0"/>
        <w:rPr>
          <w:rFonts w:ascii="黑体" w:hAnsi="黑体" w:eastAsia="黑体" w:cs="Times New Roman"/>
        </w:rPr>
      </w:pPr>
      <w:bookmarkStart w:id="6" w:name="_Toc208244034"/>
      <w:r>
        <w:rPr>
          <w:rFonts w:ascii="黑体" w:hAnsi="黑体" w:eastAsia="黑体" w:cs="Times New Roman"/>
        </w:rPr>
        <w:t>1</w:t>
      </w:r>
      <w:r>
        <w:rPr>
          <w:rFonts w:hint="eastAsia" w:ascii="黑体" w:hAnsi="黑体" w:eastAsia="黑体" w:cs="Times New Roman"/>
        </w:rPr>
        <w:t xml:space="preserve"> 范围</w:t>
      </w:r>
      <w:bookmarkEnd w:id="6"/>
    </w:p>
    <w:p w14:paraId="7E10F786">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本标准的核心目的是明确过敏专科医师的准入资格与能力要求，通过规范教育背景、专业知识、临床技能、沟通能力及科研教学能力的评价体系，建立标准化的专科医师培养与考核路径。以此提高过敏性疾病诊疗同质化水平，保障患者安全，为专科医师的继续教育提供方向依据，推动过敏专科人才队伍专业化建设，最终促进学科可持续发展。</w:t>
      </w:r>
    </w:p>
    <w:p w14:paraId="12DBAE6B">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本标准适用于各级医疗机构开展过敏性疾病诊疗服务的专业医师。根据医疗机构级别和服务能力差异，分层规范执业要求：三级医院以处理疑难重症、开展免疫治疗等特殊治疗及复杂过敏原检测为核心，二级医院承担常见病规范诊疗，基层机构负责初筛和基础治疗，确保医疗服务的完整性与安全性。</w:t>
      </w:r>
    </w:p>
    <w:p w14:paraId="4106DB86">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b w:val="0"/>
          <w:bCs w:val="0"/>
          <w:sz w:val="21"/>
          <w:szCs w:val="21"/>
        </w:rPr>
        <w:t>三级医疗机构（综合医院/专科医院）</w:t>
      </w:r>
      <w:r>
        <w:rPr>
          <w:rFonts w:ascii="Times New Roman" w:hAnsi="Times New Roman" w:eastAsia="宋体" w:cs="Times New Roman"/>
          <w:sz w:val="21"/>
          <w:szCs w:val="21"/>
        </w:rPr>
        <w:t>需设立独立的过敏专科</w:t>
      </w:r>
      <w:r>
        <w:rPr>
          <w:rFonts w:ascii="Times New Roman" w:hAnsi="Times New Roman" w:eastAsia="宋体" w:cs="Times New Roman"/>
          <w:color w:val="EE0000"/>
          <w:sz w:val="21"/>
          <w:szCs w:val="21"/>
        </w:rPr>
        <w:t>病房及</w:t>
      </w:r>
      <w:r>
        <w:rPr>
          <w:rFonts w:ascii="Times New Roman" w:hAnsi="Times New Roman" w:eastAsia="宋体" w:cs="Times New Roman"/>
          <w:sz w:val="21"/>
          <w:szCs w:val="21"/>
        </w:rPr>
        <w:t>门诊，配备完善诊疗设备（含过敏原检测平台、肺功能仪、生物制剂治疗设备等）。该层级医师需全面掌握各类过敏性疾病诊疗技术，具备复杂疑难病例处理能力，可开展免疫治疗、生物靶向治疗等特殊项目，同时承担教学科研任务，引领学科发展。</w:t>
      </w:r>
    </w:p>
    <w:p w14:paraId="25D2DB2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b w:val="0"/>
          <w:bCs w:val="0"/>
          <w:sz w:val="21"/>
          <w:szCs w:val="21"/>
        </w:rPr>
        <w:t>二级医疗机构</w:t>
      </w:r>
      <w:r>
        <w:rPr>
          <w:rFonts w:ascii="Times New Roman" w:hAnsi="Times New Roman" w:eastAsia="宋体" w:cs="Times New Roman"/>
          <w:sz w:val="21"/>
          <w:szCs w:val="21"/>
        </w:rPr>
        <w:t>需设立标准化过敏专科门诊，配备基础诊疗设备。该层级医师需熟练掌握常见过敏性疾病诊疗规范，具备急症处理能力，可开展基础过敏原检测、常规脱敏治疗（如舌下免疫治疗）及长期患者规范化管理。</w:t>
      </w:r>
    </w:p>
    <w:p w14:paraId="4DFC1C63">
      <w:pPr>
        <w:pStyle w:val="185"/>
        <w:spacing w:before="0" w:after="0" w:line="240" w:lineRule="auto"/>
        <w:ind w:firstLine="440"/>
        <w:jc w:val="both"/>
        <w:rPr>
          <w:rFonts w:hint="eastAsia"/>
        </w:rPr>
      </w:pPr>
      <w:r>
        <w:rPr>
          <w:rFonts w:ascii="Times New Roman" w:hAnsi="Times New Roman" w:eastAsia="宋体" w:cs="Times New Roman"/>
          <w:b w:val="0"/>
          <w:bCs w:val="0"/>
          <w:sz w:val="21"/>
          <w:szCs w:val="21"/>
        </w:rPr>
        <w:t>基层医疗机构（经认证）</w:t>
      </w:r>
      <w:r>
        <w:rPr>
          <w:rFonts w:ascii="Times New Roman" w:hAnsi="Times New Roman" w:eastAsia="宋体" w:cs="Times New Roman"/>
          <w:sz w:val="21"/>
          <w:szCs w:val="21"/>
        </w:rPr>
        <w:t>需设立过敏专病诊室，配备必要检测设备。医师应掌握过敏性疾病初步筛查方法，具备需转诊病例识别能力，可实施基础治疗并开展健康教育。</w:t>
      </w:r>
    </w:p>
    <w:p w14:paraId="6DFBAA5B">
      <w:pPr>
        <w:spacing w:before="240" w:after="240"/>
        <w:outlineLvl w:val="0"/>
        <w:rPr>
          <w:rFonts w:hint="eastAsia" w:ascii="黑体" w:hAnsi="黑体" w:eastAsia="黑体" w:cs="Times New Roman"/>
          <w:szCs w:val="22"/>
        </w:rPr>
      </w:pPr>
      <w:bookmarkStart w:id="7" w:name="_Toc208235238"/>
      <w:bookmarkStart w:id="8" w:name="_Toc208244035"/>
      <w:r>
        <w:rPr>
          <w:rFonts w:hint="eastAsia" w:ascii="黑体" w:hAnsi="黑体" w:eastAsia="黑体" w:cs="Times New Roman"/>
          <w:szCs w:val="22"/>
        </w:rPr>
        <w:t>2 规范性引用文件</w:t>
      </w:r>
      <w:bookmarkEnd w:id="7"/>
      <w:bookmarkEnd w:id="8"/>
    </w:p>
    <w:p w14:paraId="1D0867DC">
      <w:pPr>
        <w:ind w:firstLine="420"/>
        <w:rPr>
          <w:rFonts w:hint="eastAsia" w:ascii="宋体" w:hAnsi="宋体" w:eastAsia="宋体" w:cs="等线"/>
          <w:position w:val="-24"/>
          <w:szCs w:val="21"/>
        </w:rPr>
      </w:pPr>
      <w:r>
        <w:rPr>
          <w:rFonts w:hint="eastAsia" w:ascii="宋体" w:hAnsi="宋体" w:eastAsia="宋体" w:cs="等线"/>
          <w:position w:val="-24"/>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69B127E3">
      <w:pPr>
        <w:spacing w:before="240" w:after="240"/>
        <w:outlineLvl w:val="0"/>
        <w:rPr>
          <w:rFonts w:ascii="黑体" w:hAnsi="黑体" w:eastAsia="黑体" w:cs="Times New Roman"/>
        </w:rPr>
      </w:pPr>
      <w:bookmarkStart w:id="9" w:name="_Toc208244036"/>
      <w:r>
        <w:rPr>
          <w:rFonts w:hint="eastAsia" w:ascii="黑体" w:hAnsi="黑体" w:eastAsia="黑体" w:cs="Times New Roman"/>
        </w:rPr>
        <w:t>3 术语和定义</w:t>
      </w:r>
      <w:bookmarkEnd w:id="9"/>
    </w:p>
    <w:p w14:paraId="395BFCEB">
      <w:pPr>
        <w:spacing w:line="240" w:lineRule="auto"/>
        <w:ind w:firstLine="420"/>
        <w:jc w:val="both"/>
        <w:rPr>
          <w:rFonts w:hint="eastAsia" w:ascii="宋体" w:hAnsi="宋体" w:eastAsia="宋体" w:cs="等线"/>
          <w:position w:val="-24"/>
          <w:sz w:val="21"/>
          <w:szCs w:val="21"/>
        </w:rPr>
      </w:pPr>
      <w:r>
        <w:rPr>
          <w:rFonts w:hint="eastAsia" w:ascii="宋体" w:hAnsi="宋体" w:eastAsia="宋体" w:cs="等线"/>
          <w:position w:val="-24"/>
          <w:sz w:val="21"/>
          <w:szCs w:val="21"/>
        </w:rPr>
        <w:t>下列术语和定义适用于本文件。</w:t>
      </w:r>
    </w:p>
    <w:p w14:paraId="751B2E3C">
      <w:pPr>
        <w:numPr>
          <w:ilvl w:val="0"/>
          <w:numId w:val="0"/>
        </w:numPr>
        <w:tabs>
          <w:tab w:val="left" w:pos="0"/>
        </w:tabs>
        <w:spacing w:before="120" w:after="120" w:line="240" w:lineRule="auto"/>
        <w:rPr>
          <w:rFonts w:ascii="黑体" w:hAnsi="黑体" w:eastAsia="黑体" w:cs="黑体"/>
          <w:position w:val="-24"/>
          <w:szCs w:val="21"/>
        </w:rPr>
      </w:pPr>
      <w:r>
        <w:rPr>
          <w:rFonts w:hint="eastAsia" w:ascii="黑体" w:hAnsi="黑体" w:eastAsia="黑体" w:cs="黑体"/>
          <w:position w:val="-24"/>
          <w:szCs w:val="21"/>
        </w:rPr>
        <w:t>3.1</w:t>
      </w:r>
    </w:p>
    <w:p w14:paraId="12786177">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过敏 </w:t>
      </w:r>
      <w:r>
        <w:rPr>
          <w:rFonts w:hint="eastAsia" w:ascii="Times New Roman" w:hAnsi="Times New Roman" w:eastAsia="黑体" w:cs="Times New Roman"/>
          <w:position w:val="-24"/>
          <w:szCs w:val="21"/>
        </w:rPr>
        <w:t>allergy</w:t>
      </w:r>
    </w:p>
    <w:p w14:paraId="57CC3C2E">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机体与抗原性物质在一定条件下相互作用，产生致敏淋巴细胞或特异性抗体，与再次进入的抗原结合，导致机体生理功能紊乱和组织损害的病理性免疫应答。</w:t>
      </w:r>
    </w:p>
    <w:p w14:paraId="5EA88DE5">
      <w:pPr>
        <w:tabs>
          <w:tab w:val="left" w:pos="640"/>
        </w:tabs>
        <w:spacing w:line="240" w:lineRule="auto"/>
        <w:ind w:firstLine="361"/>
        <w:rPr>
          <w:rFonts w:ascii="Times New Roman" w:hAnsi="Times New Roman" w:eastAsia="宋体" w:cs="Times New Roman"/>
          <w:position w:val="-24"/>
          <w:sz w:val="18"/>
          <w:szCs w:val="18"/>
        </w:rPr>
      </w:pPr>
      <w:r>
        <w:rPr>
          <w:rFonts w:hint="eastAsia" w:ascii="黑体" w:hAnsi="黑体" w:eastAsia="黑体" w:cs="Times New Roman"/>
          <w:b/>
          <w:bCs/>
          <w:position w:val="-24"/>
          <w:sz w:val="18"/>
          <w:szCs w:val="18"/>
        </w:rPr>
        <w:t>注：</w:t>
      </w:r>
      <w:r>
        <w:rPr>
          <w:rFonts w:hint="eastAsia" w:ascii="Times New Roman" w:hAnsi="Times New Roman" w:eastAsia="宋体" w:cs="Times New Roman"/>
          <w:position w:val="-24"/>
          <w:sz w:val="18"/>
          <w:szCs w:val="18"/>
        </w:rPr>
        <w:t>引起过敏反应的抗原性物质叫过敏原（或变应原），它可以是完全抗原（异种动物血清、组织细胞、微生物、寄生虫、植物花粉、兽类皮毛等），也可以是半抗原（如青霉素、磺胺、非那西汀等药物，或生漆等低分子物质）。</w:t>
      </w:r>
    </w:p>
    <w:p w14:paraId="1C58D5AB">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3.2</w:t>
      </w:r>
    </w:p>
    <w:p w14:paraId="6506195E">
      <w:pPr>
        <w:numPr>
          <w:ilvl w:val="0"/>
          <w:numId w:val="0"/>
        </w:numPr>
        <w:tabs>
          <w:tab w:val="left" w:pos="0"/>
        </w:tabs>
        <w:spacing w:line="240" w:lineRule="auto"/>
        <w:ind w:firstLine="420"/>
        <w:rPr>
          <w:rFonts w:hint="eastAsia" w:ascii="黑体" w:hAnsi="黑体" w:eastAsia="黑体" w:cs="黑体"/>
          <w:szCs w:val="21"/>
        </w:rPr>
      </w:pPr>
      <w:r>
        <w:rPr>
          <w:rFonts w:hint="eastAsia" w:ascii="黑体" w:hAnsi="黑体" w:eastAsia="黑体" w:cs="黑体"/>
          <w:szCs w:val="21"/>
        </w:rPr>
        <w:t xml:space="preserve">皮肤试验 </w:t>
      </w:r>
      <w:r>
        <w:rPr>
          <w:rFonts w:hint="eastAsia" w:ascii="Times New Roman" w:hAnsi="Times New Roman" w:eastAsia="黑体" w:cs="Times New Roman"/>
          <w:szCs w:val="21"/>
        </w:rPr>
        <w:t>skin test</w:t>
      </w:r>
    </w:p>
    <w:p w14:paraId="446E965A">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借助抗原、抗体在皮肤内或皮肤上进行反应的</w:t>
      </w:r>
      <w:r>
        <w:fldChar w:fldCharType="begin"/>
      </w:r>
      <w:r>
        <w:instrText xml:space="preserve">HYPERLINK "https://baike.baidu.com/item/%E5%85%8D%E7%96%AB%E5%AD%A6%E6%A3%80%E6%B5%8B/16305067?fromModule=lemma_inlink" \t "https://baike.baidu.com/item/_blank"</w:instrText>
      </w:r>
      <w:r>
        <w:fldChar w:fldCharType="separate"/>
      </w:r>
      <w:r>
        <w:rPr>
          <w:rFonts w:hint="eastAsia" w:ascii="宋体" w:hAnsi="宋体" w:eastAsia="宋体" w:cs="宋体"/>
          <w:position w:val="-24"/>
          <w:szCs w:val="21"/>
        </w:rPr>
        <w:t>免疫学</w:t>
      </w:r>
      <w:r>
        <w:fldChar w:fldCharType="end"/>
      </w:r>
      <w:r>
        <w:rPr>
          <w:rFonts w:hint="eastAsia" w:ascii="宋体" w:hAnsi="宋体" w:eastAsia="宋体" w:cs="宋体"/>
          <w:position w:val="-24"/>
          <w:szCs w:val="21"/>
        </w:rPr>
        <w:t>试验。</w:t>
      </w:r>
    </w:p>
    <w:p w14:paraId="52A8FCBB">
      <w:pPr>
        <w:numPr>
          <w:ilvl w:val="0"/>
          <w:numId w:val="0"/>
        </w:numPr>
        <w:tabs>
          <w:tab w:val="left" w:pos="0"/>
        </w:tabs>
        <w:spacing w:line="240" w:lineRule="auto"/>
        <w:ind w:firstLine="361"/>
        <w:rPr>
          <w:rFonts w:ascii="Times New Roman" w:hAnsi="Times New Roman" w:eastAsia="宋体" w:cs="Times New Roman"/>
          <w:position w:val="-24"/>
          <w:sz w:val="18"/>
          <w:szCs w:val="18"/>
        </w:rPr>
      </w:pPr>
      <w:r>
        <w:rPr>
          <w:rFonts w:hint="eastAsia" w:ascii="黑体" w:hAnsi="黑体" w:eastAsia="黑体" w:cs="Times New Roman"/>
          <w:b/>
          <w:bCs/>
          <w:position w:val="-24"/>
          <w:sz w:val="18"/>
          <w:szCs w:val="18"/>
        </w:rPr>
        <w:t>注：</w:t>
      </w:r>
      <w:r>
        <w:rPr>
          <w:rFonts w:hint="eastAsia" w:ascii="Times New Roman" w:hAnsi="Times New Roman" w:eastAsia="宋体" w:cs="Times New Roman"/>
          <w:position w:val="-24"/>
          <w:sz w:val="18"/>
          <w:szCs w:val="18"/>
        </w:rPr>
        <w:t>具体试验方法分为</w:t>
      </w:r>
      <w:r>
        <w:fldChar w:fldCharType="begin"/>
      </w:r>
      <w:r>
        <w:instrText xml:space="preserve">HYPERLINK "https://baike.baidu.com/item/%E7%9A%AE%E5%86%85%E8%AF%95%E9%AA%8C/4855062?fromModule=lemma_inlink" \t "https://baike.baidu.com/item/_blank"</w:instrText>
      </w:r>
      <w:r>
        <w:fldChar w:fldCharType="separate"/>
      </w:r>
      <w:r>
        <w:rPr>
          <w:rFonts w:hint="eastAsia" w:ascii="Times New Roman" w:hAnsi="Times New Roman" w:eastAsia="宋体" w:cs="Times New Roman"/>
          <w:position w:val="-24"/>
          <w:sz w:val="18"/>
          <w:szCs w:val="18"/>
        </w:rPr>
        <w:t>皮内试验</w:t>
      </w:r>
      <w:r>
        <w:fldChar w:fldCharType="end"/>
      </w:r>
      <w:r>
        <w:rPr>
          <w:rFonts w:hint="eastAsia" w:ascii="Times New Roman" w:hAnsi="Times New Roman" w:eastAsia="宋体" w:cs="Times New Roman"/>
          <w:position w:val="-24"/>
          <w:sz w:val="18"/>
          <w:szCs w:val="18"/>
        </w:rPr>
        <w:t>（intradermaltest）、点刺试验（pricktest）、斑贴试验（patchtest）。</w:t>
      </w:r>
    </w:p>
    <w:p w14:paraId="70358499">
      <w:p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3.3</w:t>
      </w:r>
    </w:p>
    <w:p w14:paraId="45319FEE">
      <w:p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特异性</w:t>
      </w:r>
      <w:r>
        <w:rPr>
          <w:rFonts w:hint="eastAsia" w:ascii="Times New Roman" w:hAnsi="Times New Roman" w:eastAsia="黑体" w:cs="Times New Roman"/>
          <w:position w:val="-24"/>
          <w:szCs w:val="21"/>
        </w:rPr>
        <w:t>IgE</w:t>
      </w:r>
      <w:r>
        <w:rPr>
          <w:rFonts w:hint="eastAsia" w:ascii="黑体" w:hAnsi="黑体" w:eastAsia="黑体" w:cs="黑体"/>
          <w:position w:val="-24"/>
          <w:szCs w:val="21"/>
        </w:rPr>
        <w:t xml:space="preserve">检测 </w:t>
      </w:r>
      <w:r>
        <w:rPr>
          <w:rFonts w:ascii="Times New Roman" w:hAnsi="Times New Roman" w:eastAsia="黑体" w:cs="Times New Roman"/>
          <w:position w:val="-24"/>
          <w:szCs w:val="21"/>
        </w:rPr>
        <w:t>specificIgE(sIgE)test</w:t>
      </w:r>
    </w:p>
    <w:p w14:paraId="2FC72A8F">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用于评估个体对特定过敏原是否存在过敏反应的实验室检测。</w:t>
      </w:r>
    </w:p>
    <w:p w14:paraId="61411E82">
      <w:pPr>
        <w:tabs>
          <w:tab w:val="left" w:pos="640"/>
        </w:tabs>
        <w:spacing w:line="240" w:lineRule="auto"/>
        <w:ind w:firstLine="361"/>
        <w:rPr>
          <w:rFonts w:ascii="Times New Roman" w:hAnsi="Times New Roman" w:eastAsia="宋体" w:cs="Times New Roman"/>
          <w:position w:val="-24"/>
          <w:sz w:val="18"/>
          <w:szCs w:val="18"/>
        </w:rPr>
      </w:pPr>
      <w:r>
        <w:rPr>
          <w:rFonts w:hint="eastAsia" w:ascii="黑体" w:hAnsi="黑体" w:eastAsia="黑体" w:cs="Times New Roman"/>
          <w:b/>
          <w:bCs/>
          <w:position w:val="-24"/>
          <w:sz w:val="18"/>
          <w:szCs w:val="18"/>
        </w:rPr>
        <w:t>注：</w:t>
      </w:r>
      <w:r>
        <w:rPr>
          <w:rFonts w:hint="eastAsia" w:ascii="Times New Roman" w:hAnsi="Times New Roman" w:eastAsia="宋体" w:cs="Times New Roman"/>
          <w:position w:val="-24"/>
          <w:sz w:val="18"/>
          <w:szCs w:val="18"/>
        </w:rPr>
        <w:t>与皮肤测试相比，这种检测在实验室中进行，且不直接暴露患者于潜在的过敏原之下，因此更加安全。检测基于免疫学原理，主要通过检测血液样本中针对特定过敏原的IgE抗体水平。主要方法有荧光酶联法、免疫印迹法、免疫捕获法等。过敏原组分检测是IgE检测的一个重要进展，使用重组过敏原和主要过敏原的抗原组分进行测试，以评估患者IgE结合的精确抗原表位。</w:t>
      </w:r>
    </w:p>
    <w:p w14:paraId="09CE6DC3">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3.4</w:t>
      </w:r>
    </w:p>
    <w:p w14:paraId="63B13F7E">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嗜碱性粒细胞活化试验 </w:t>
      </w:r>
      <w:r>
        <w:rPr>
          <w:rFonts w:hint="eastAsia" w:ascii="Times New Roman" w:hAnsi="Times New Roman" w:eastAsia="黑体" w:cs="Times New Roman"/>
          <w:position w:val="-24"/>
          <w:szCs w:val="21"/>
        </w:rPr>
        <w:t>basephilactivationtest; BAT</w:t>
      </w:r>
    </w:p>
    <w:p w14:paraId="7C156C9D">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szCs w:val="21"/>
        </w:rPr>
        <w:t>嗜碱性粒细胞受过敏原刺激后，通过细胞内信号级联反应，导致嗜碱性粒细胞活化脱颗粒，通过检测嗜碱性粒细胞表达CD63和CD203c水平诊断患者是否对该过敏原过敏的试验。</w:t>
      </w:r>
    </w:p>
    <w:p w14:paraId="646F4004">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3.5</w:t>
      </w:r>
    </w:p>
    <w:p w14:paraId="50F55447">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呼出气一氧化氮 </w:t>
      </w:r>
      <w:r>
        <w:rPr>
          <w:rFonts w:hint="eastAsia" w:ascii="Times New Roman" w:hAnsi="Times New Roman" w:eastAsia="黑体" w:cs="Times New Roman"/>
          <w:position w:val="-24"/>
          <w:szCs w:val="21"/>
        </w:rPr>
        <w:t>fractionalconcentrationofexhalednitricoxide; FeNO</w:t>
      </w:r>
    </w:p>
    <w:p w14:paraId="35A05CC5">
      <w:pPr>
        <w:numPr>
          <w:ilvl w:val="0"/>
          <w:numId w:val="0"/>
        </w:num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由气道细胞产生，其浓度与炎症细胞数目高度相关联的气道炎症生物标志物。</w:t>
      </w:r>
    </w:p>
    <w:p w14:paraId="60D78702">
      <w:pPr>
        <w:numPr>
          <w:ilvl w:val="0"/>
          <w:numId w:val="0"/>
        </w:numPr>
        <w:tabs>
          <w:tab w:val="left" w:pos="0"/>
        </w:tabs>
        <w:spacing w:line="240" w:lineRule="auto"/>
        <w:ind w:firstLine="361"/>
        <w:rPr>
          <w:rFonts w:ascii="Times New Roman" w:hAnsi="Times New Roman" w:eastAsia="宋体" w:cs="Times New Roman"/>
          <w:position w:val="-24"/>
          <w:sz w:val="18"/>
          <w:szCs w:val="18"/>
        </w:rPr>
      </w:pPr>
      <w:r>
        <w:rPr>
          <w:rFonts w:hint="eastAsia" w:ascii="Times New Roman" w:hAnsi="Times New Roman" w:eastAsia="宋体" w:cs="Times New Roman"/>
          <w:b/>
          <w:bCs/>
          <w:position w:val="-24"/>
          <w:sz w:val="18"/>
          <w:szCs w:val="18"/>
        </w:rPr>
        <w:t>注：</w:t>
      </w:r>
      <w:r>
        <w:rPr>
          <w:rFonts w:hint="eastAsia" w:ascii="Times New Roman" w:hAnsi="Times New Roman" w:eastAsia="宋体" w:cs="Times New Roman"/>
          <w:position w:val="-24"/>
          <w:sz w:val="18"/>
          <w:szCs w:val="18"/>
        </w:rPr>
        <w:t>呼出气一氧化碳是通过口呼气检测下气道</w:t>
      </w:r>
      <w:r>
        <w:fldChar w:fldCharType="begin"/>
      </w:r>
      <w:r>
        <w:instrText xml:space="preserve">HYPERLINK "https://baike.baidu.com/item/%E4%B8%80%E6%B0%A7%E5%8C%96%E6%B0%AE/1403234?fromModule=lemma_inlink" \t "https://baike.baidu.com/item/%E5%91%BC%E5%87%BA%E6%B0%94%E4%B8%80%E6%B0%A7%E5%8C%96%E6%B0%AE/_blank"</w:instrText>
      </w:r>
      <w:r>
        <w:fldChar w:fldCharType="separate"/>
      </w:r>
      <w:r>
        <w:rPr>
          <w:rFonts w:hint="eastAsia" w:ascii="Times New Roman" w:hAnsi="Times New Roman" w:eastAsia="宋体" w:cs="Times New Roman"/>
          <w:position w:val="-24"/>
          <w:sz w:val="18"/>
          <w:szCs w:val="18"/>
        </w:rPr>
        <w:t>一氧化氮</w:t>
      </w:r>
      <w:r>
        <w:fldChar w:fldCharType="end"/>
      </w:r>
      <w:r>
        <w:rPr>
          <w:rFonts w:hint="eastAsia" w:ascii="Times New Roman" w:hAnsi="Times New Roman" w:eastAsia="宋体" w:cs="Times New Roman"/>
          <w:position w:val="-24"/>
          <w:sz w:val="18"/>
          <w:szCs w:val="18"/>
        </w:rPr>
        <w:t>浓度，是最常用的检测方法，此外，还有</w:t>
      </w:r>
      <w:r>
        <w:fldChar w:fldCharType="begin"/>
      </w:r>
      <w:r>
        <w:instrText xml:space="preserve">HYPERLINK "https://baike.baidu.com/item/%E9%BC%BB%E5%91%BC%E6%B0%94%E4%B8%80%E6%B0%A7%E5%8C%96%E6%B0%AE%E6%B5%8B%E8%AF%95/13348417?fromModule=lemma_inlink" \t "https://baike.baidu.com/item/%E5%91%BC%E5%87%BA%E6%B0%94%E4%B8%80%E6%B0%A7%E5%8C%96%E6%B0%AE/_blank"</w:instrText>
      </w:r>
      <w:r>
        <w:fldChar w:fldCharType="separate"/>
      </w:r>
      <w:r>
        <w:rPr>
          <w:rFonts w:hint="eastAsia" w:ascii="Times New Roman" w:hAnsi="Times New Roman" w:eastAsia="宋体" w:cs="Times New Roman"/>
          <w:position w:val="-24"/>
          <w:sz w:val="18"/>
          <w:szCs w:val="18"/>
        </w:rPr>
        <w:t>鼻呼气一氧化氮(fractional concentration of nasally aspirated nitricoxide, FnNO</w:t>
      </w:r>
      <w:r>
        <w:rPr>
          <w:rFonts w:ascii="Times New Roman" w:hAnsi="Times New Roman" w:eastAsia="宋体" w:cs="Times New Roman"/>
          <w:position w:val="-24"/>
          <w:sz w:val="18"/>
          <w:szCs w:val="18"/>
        </w:rPr>
        <w:t>)</w:t>
      </w:r>
      <w:r>
        <w:rPr>
          <w:rFonts w:hint="eastAsia" w:ascii="Times New Roman" w:hAnsi="Times New Roman" w:eastAsia="宋体" w:cs="Times New Roman"/>
          <w:position w:val="-24"/>
          <w:sz w:val="18"/>
          <w:szCs w:val="18"/>
        </w:rPr>
        <w:t>试验</w:t>
      </w:r>
      <w:r>
        <w:fldChar w:fldCharType="end"/>
      </w:r>
      <w:r>
        <w:rPr>
          <w:rFonts w:hint="eastAsia" w:ascii="Times New Roman" w:hAnsi="Times New Roman" w:eastAsia="宋体" w:cs="Times New Roman"/>
          <w:position w:val="-24"/>
          <w:sz w:val="18"/>
          <w:szCs w:val="18"/>
        </w:rPr>
        <w:t>用于检测上气道一氧化氮浓度，呼出气一氧化氮的测定广泛应用于呼吸道疾病的诊断与监测中。</w:t>
      </w:r>
    </w:p>
    <w:p w14:paraId="5C7CCD03">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3.6</w:t>
      </w:r>
    </w:p>
    <w:p w14:paraId="6C740A90">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肺功能检查 </w:t>
      </w:r>
      <w:r>
        <w:rPr>
          <w:rFonts w:hint="eastAsia" w:ascii="Times New Roman" w:hAnsi="Times New Roman" w:eastAsia="黑体" w:cs="Times New Roman"/>
          <w:position w:val="-24"/>
          <w:szCs w:val="21"/>
        </w:rPr>
        <w:t>pulmonaryfunctiontesting</w:t>
      </w:r>
    </w:p>
    <w:p w14:paraId="5150D1C7">
      <w:pPr>
        <w:numPr>
          <w:ilvl w:val="0"/>
          <w:numId w:val="0"/>
        </w:num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检测呼吸道通畅程度、肺容量大小等，呼吸系统疾病常用的无创性物理检査方法。</w:t>
      </w:r>
    </w:p>
    <w:p w14:paraId="430F7257">
      <w:pPr>
        <w:widowControl/>
        <w:numPr>
          <w:ilvl w:val="0"/>
          <w:numId w:val="0"/>
        </w:numPr>
        <w:tabs>
          <w:tab w:val="left" w:pos="640"/>
        </w:tabs>
        <w:spacing w:line="240" w:lineRule="auto"/>
        <w:ind w:firstLine="361"/>
        <w:rPr>
          <w:rFonts w:ascii="宋体" w:hAnsi="宋体" w:eastAsia="宋体" w:cs="Times New Roman"/>
          <w:position w:val="-24"/>
          <w:sz w:val="18"/>
          <w:szCs w:val="18"/>
        </w:rPr>
      </w:pPr>
      <w:r>
        <w:rPr>
          <w:rFonts w:hint="eastAsia" w:ascii="宋体" w:hAnsi="宋体" w:eastAsia="宋体" w:cs="Times New Roman"/>
          <w:b/>
          <w:bCs/>
          <w:position w:val="-24"/>
          <w:sz w:val="18"/>
          <w:szCs w:val="18"/>
        </w:rPr>
        <w:t>注：</w:t>
      </w:r>
      <w:r>
        <w:rPr>
          <w:rFonts w:hint="eastAsia" w:ascii="宋体" w:hAnsi="宋体" w:eastAsia="宋体" w:cs="Times New Roman"/>
          <w:position w:val="-24"/>
          <w:sz w:val="18"/>
          <w:szCs w:val="18"/>
        </w:rPr>
        <w:t>主要项目包括肺容量检查、通气功能检查、换气功能检查及小气道功能检查等，用于诊断慢性支气管炎、肺气肿、慢性阳塞性肺疾病、支气管哮喘等肺部病变，同时也利于鉴别呼吸困难的具体原因，具有评估疾病的病情严重程度及预后等临床价值。</w:t>
      </w:r>
    </w:p>
    <w:p w14:paraId="0EF40096">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3.7</w:t>
      </w:r>
    </w:p>
    <w:p w14:paraId="1F987785">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鼻阻力 </w:t>
      </w:r>
      <w:r>
        <w:rPr>
          <w:rFonts w:hint="default" w:ascii="Times New Roman" w:hAnsi="Times New Roman" w:eastAsia="黑体" w:cs="Times New Roman"/>
          <w:position w:val="-24"/>
          <w:szCs w:val="21"/>
        </w:rPr>
        <w:t>n</w:t>
      </w:r>
      <w:r>
        <w:rPr>
          <w:rFonts w:ascii="Times New Roman" w:hAnsi="Times New Roman" w:eastAsia="黑体" w:cs="Times New Roman"/>
          <w:position w:val="-24"/>
          <w:szCs w:val="21"/>
        </w:rPr>
        <w:t>asalresistance</w:t>
      </w:r>
    </w:p>
    <w:p w14:paraId="24F6703F">
      <w:pPr>
        <w:numPr>
          <w:ilvl w:val="0"/>
          <w:numId w:val="0"/>
        </w:num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通过收集正常的呼吸状态下前后鼻孔之间的空气流速和压力，进行判断数值，以测算出患者在鼻道呼吸时呼气和吸气之间的阻力。</w:t>
      </w:r>
    </w:p>
    <w:p w14:paraId="62CDA2B8">
      <w:pPr>
        <w:numPr>
          <w:ilvl w:val="0"/>
          <w:numId w:val="0"/>
        </w:numPr>
        <w:tabs>
          <w:tab w:val="left" w:pos="0"/>
        </w:tabs>
        <w:spacing w:line="240" w:lineRule="auto"/>
        <w:ind w:firstLine="361"/>
        <w:rPr>
          <w:rFonts w:ascii="Times New Roman" w:hAnsi="Times New Roman" w:eastAsia="宋体" w:cs="Times New Roman"/>
          <w:position w:val="-24"/>
          <w:sz w:val="18"/>
          <w:szCs w:val="18"/>
        </w:rPr>
      </w:pPr>
      <w:r>
        <w:rPr>
          <w:rFonts w:hint="eastAsia" w:ascii="黑体" w:hAnsi="黑体" w:eastAsia="黑体" w:cs="Times New Roman"/>
          <w:b/>
          <w:bCs/>
          <w:position w:val="-24"/>
          <w:sz w:val="18"/>
          <w:szCs w:val="18"/>
        </w:rPr>
        <w:t>注：</w:t>
      </w:r>
      <w:r>
        <w:rPr>
          <w:rFonts w:hint="eastAsia" w:ascii="Times New Roman" w:hAnsi="Times New Roman" w:eastAsia="宋体" w:cs="Times New Roman"/>
          <w:position w:val="-24"/>
          <w:sz w:val="18"/>
          <w:szCs w:val="18"/>
        </w:rPr>
        <w:t>由此判断患者是否患有鼻息肉、鼻中隔偏曲、鼻窦炎、鼻塞、鼻甲肥大导致过敏性鼻炎等疾病。</w:t>
      </w:r>
    </w:p>
    <w:p w14:paraId="62901814">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3.8</w:t>
      </w:r>
    </w:p>
    <w:p w14:paraId="3B40BC8F">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诱导痰和鼻腔分泌物涂片检查 </w:t>
      </w:r>
      <w:r>
        <w:rPr>
          <w:rFonts w:hint="default" w:ascii="Times New Roman" w:hAnsi="Times New Roman" w:eastAsia="黑体" w:cs="Times New Roman"/>
          <w:position w:val="-24"/>
          <w:szCs w:val="21"/>
        </w:rPr>
        <w:t>inducedsputumand</w:t>
      </w:r>
      <w:r>
        <w:rPr>
          <w:rFonts w:ascii="Times New Roman" w:hAnsi="Times New Roman" w:eastAsia="黑体" w:cs="Times New Roman"/>
          <w:position w:val="-24"/>
          <w:szCs w:val="21"/>
        </w:rPr>
        <w:t>nasalsecretion</w:t>
      </w:r>
      <w:r>
        <w:rPr>
          <w:rFonts w:hint="default" w:ascii="Times New Roman" w:hAnsi="Times New Roman" w:eastAsia="黑体" w:cs="Times New Roman"/>
          <w:position w:val="-24"/>
          <w:szCs w:val="21"/>
        </w:rPr>
        <w:t>test</w:t>
      </w:r>
    </w:p>
    <w:p w14:paraId="26E7F139">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通过分析痰液或鼻腔分泌物中的炎症细胞等成分评价气道炎症反应，对过敏性鼻炎、哮喘等疾病的诊断有辅助作用并提示疾病的严重程度的试验。</w:t>
      </w:r>
    </w:p>
    <w:p w14:paraId="26C91E25">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3.9</w:t>
      </w:r>
    </w:p>
    <w:p w14:paraId="308FB6A7">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鼻粘膜激发试验 </w:t>
      </w:r>
      <w:r>
        <w:rPr>
          <w:rFonts w:hint="eastAsia" w:ascii="Times New Roman" w:hAnsi="Times New Roman" w:eastAsia="黑体" w:cs="Times New Roman"/>
          <w:position w:val="-24"/>
          <w:szCs w:val="21"/>
        </w:rPr>
        <w:t>nasalprovocationtest</w:t>
      </w:r>
    </w:p>
    <w:p w14:paraId="7FA1144B">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主动吸入过敏原，激发患者过敏反应，作为过敏性鼻炎确诊的辅助检查手段的试验。</w:t>
      </w:r>
    </w:p>
    <w:p w14:paraId="211DAAD0">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3.10</w:t>
      </w:r>
    </w:p>
    <w:p w14:paraId="5B7FA0BB">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食物激发试验</w:t>
      </w:r>
      <w:r>
        <w:rPr>
          <w:rFonts w:hint="eastAsia" w:ascii="Times New Roman" w:hAnsi="Times New Roman" w:eastAsia="黑体" w:cs="Times New Roman"/>
          <w:position w:val="-24"/>
          <w:szCs w:val="21"/>
        </w:rPr>
        <w:t>food challenge test</w:t>
      </w:r>
    </w:p>
    <w:p w14:paraId="60563BD1">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模拟食物过敏自然发病条件，以少量食物过敏原引起一次较轻的过敏反应发作，以确定食物过敏原的试验。</w:t>
      </w:r>
    </w:p>
    <w:p w14:paraId="23FC0A6B">
      <w:pPr>
        <w:tabs>
          <w:tab w:val="left" w:pos="0"/>
        </w:tabs>
        <w:spacing w:line="240" w:lineRule="auto"/>
        <w:ind w:firstLine="361"/>
        <w:rPr>
          <w:rFonts w:hint="eastAsia" w:ascii="宋体" w:hAnsi="宋体" w:eastAsia="宋体" w:cs="Times New Roman"/>
          <w:position w:val="-24"/>
          <w:sz w:val="18"/>
          <w:szCs w:val="18"/>
        </w:rPr>
      </w:pPr>
      <w:r>
        <w:rPr>
          <w:rFonts w:hint="eastAsia" w:ascii="宋体" w:hAnsi="宋体" w:eastAsia="宋体" w:cs="Times New Roman"/>
          <w:b/>
          <w:bCs/>
          <w:position w:val="-24"/>
          <w:sz w:val="18"/>
          <w:szCs w:val="18"/>
        </w:rPr>
        <w:t>注：</w:t>
      </w:r>
      <w:r>
        <w:rPr>
          <w:rFonts w:hint="eastAsia" w:ascii="宋体" w:hAnsi="宋体" w:eastAsia="宋体" w:cs="Times New Roman"/>
          <w:position w:val="-24"/>
          <w:sz w:val="18"/>
          <w:szCs w:val="18"/>
        </w:rPr>
        <w:t>在监护下让患者食入可能引起过敏反应的可疑食物，观察机体的反应。食物激发试验分为开放式激发试验、单盲安慰剂激发试验和双盲安慰剂激发试验。其中，双盲安慰剂激发试验是诊断食物过敏的“金标准”。</w:t>
      </w:r>
    </w:p>
    <w:p w14:paraId="58AC396D">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3.11</w:t>
      </w:r>
    </w:p>
    <w:p w14:paraId="4DBE304A">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药物激发试验 </w:t>
      </w:r>
      <w:r>
        <w:rPr>
          <w:rFonts w:hint="eastAsia" w:ascii="Times New Roman" w:hAnsi="Times New Roman" w:eastAsia="黑体" w:cs="Times New Roman"/>
          <w:position w:val="-24"/>
          <w:szCs w:val="21"/>
        </w:rPr>
        <w:t>drug challenge test</w:t>
      </w:r>
    </w:p>
    <w:p w14:paraId="2DFE69E0">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通过用药激发出较轻的药物过敏反应表现，以确定或排除药物过敏的试验。</w:t>
      </w:r>
    </w:p>
    <w:p w14:paraId="6C153681">
      <w:pPr>
        <w:tabs>
          <w:tab w:val="left" w:pos="0"/>
        </w:tabs>
        <w:spacing w:line="240" w:lineRule="auto"/>
        <w:ind w:firstLine="361"/>
        <w:rPr>
          <w:rFonts w:hint="eastAsia" w:ascii="宋体" w:hAnsi="宋体" w:eastAsia="宋体" w:cs="Times New Roman"/>
          <w:position w:val="-24"/>
          <w:sz w:val="18"/>
          <w:szCs w:val="18"/>
        </w:rPr>
      </w:pPr>
      <w:r>
        <w:rPr>
          <w:rFonts w:hint="eastAsia" w:ascii="黑体" w:hAnsi="黑体" w:eastAsia="黑体" w:cs="Times New Roman"/>
          <w:b/>
          <w:bCs/>
          <w:position w:val="-24"/>
          <w:sz w:val="18"/>
          <w:szCs w:val="18"/>
        </w:rPr>
        <w:t>注：</w:t>
      </w:r>
      <w:r>
        <w:rPr>
          <w:rFonts w:hint="eastAsia" w:ascii="宋体" w:hAnsi="宋体" w:eastAsia="宋体" w:cs="Times New Roman"/>
          <w:position w:val="-24"/>
          <w:sz w:val="18"/>
          <w:szCs w:val="18"/>
        </w:rPr>
        <w:t>药物激发试验有助于深入了解药物的作用机制和过敏反应特性。然而，在进行此类试验时，严格遵守相关的适用条件和限制，以确保患者的安全和试验的准确性。</w:t>
      </w:r>
    </w:p>
    <w:p w14:paraId="6AD9A401">
      <w:pPr>
        <w:numPr>
          <w:ilvl w:val="0"/>
          <w:numId w:val="0"/>
        </w:num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3.12</w:t>
      </w:r>
    </w:p>
    <w:p w14:paraId="6E15FD87">
      <w:pPr>
        <w:numPr>
          <w:ilvl w:val="0"/>
          <w:numId w:val="0"/>
        </w:numPr>
        <w:tabs>
          <w:tab w:val="left" w:pos="0"/>
        </w:tabs>
        <w:spacing w:line="240" w:lineRule="auto"/>
        <w:ind w:firstLine="420"/>
        <w:rPr>
          <w:rFonts w:hint="eastAsia" w:ascii="黑体" w:hAnsi="黑体" w:eastAsia="黑体" w:cs="黑体"/>
          <w:position w:val="-24"/>
          <w:szCs w:val="21"/>
        </w:rPr>
      </w:pPr>
      <w:r>
        <w:rPr>
          <w:rFonts w:hint="eastAsia" w:ascii="黑体" w:hAnsi="黑体" w:eastAsia="黑体" w:cs="黑体"/>
          <w:position w:val="-24"/>
          <w:szCs w:val="21"/>
        </w:rPr>
        <w:t xml:space="preserve">过敏原免疫治疗 </w:t>
      </w:r>
      <w:r>
        <w:rPr>
          <w:rFonts w:hint="eastAsia" w:ascii="Times New Roman" w:hAnsi="Times New Roman" w:eastAsia="黑体" w:cs="Times New Roman"/>
          <w:position w:val="-24"/>
          <w:szCs w:val="21"/>
        </w:rPr>
        <w:t>allergenimmunotherapy; AIT</w:t>
      </w:r>
    </w:p>
    <w:p w14:paraId="7FC266E8">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给已致敏个体反复注射小剂量过敏原，耗竭其体内效应物质和/或刺激封闭性</w:t>
      </w:r>
      <w:r>
        <w:fldChar w:fldCharType="begin"/>
      </w:r>
      <w:r>
        <w:instrText xml:space="preserve">HYPERLINK "https://baike.baidu.com/item/IgG%E6%8A%97%E4%BD%93/6883346?fromModule=lemma_inlink" \t "https://baike.baidu.com/item/_blank"</w:instrText>
      </w:r>
      <w:r>
        <w:fldChar w:fldCharType="separate"/>
      </w:r>
      <w:r>
        <w:rPr>
          <w:rFonts w:hint="eastAsia" w:ascii="宋体" w:hAnsi="宋体" w:eastAsia="宋体" w:cs="宋体"/>
          <w:position w:val="-24"/>
          <w:szCs w:val="21"/>
        </w:rPr>
        <w:t>IgG抗体</w:t>
      </w:r>
      <w:r>
        <w:fldChar w:fldCharType="end"/>
      </w:r>
      <w:r>
        <w:rPr>
          <w:rFonts w:hint="eastAsia" w:ascii="宋体" w:hAnsi="宋体" w:eastAsia="宋体" w:cs="宋体"/>
          <w:position w:val="-24"/>
          <w:szCs w:val="21"/>
        </w:rPr>
        <w:t>产生的治疗方法。</w:t>
      </w:r>
    </w:p>
    <w:p w14:paraId="5D992B0E">
      <w:pPr>
        <w:tabs>
          <w:tab w:val="left" w:pos="0"/>
        </w:tabs>
        <w:spacing w:line="240" w:lineRule="auto"/>
        <w:ind w:firstLine="361"/>
        <w:rPr>
          <w:rFonts w:ascii="Times New Roman" w:hAnsi="Times New Roman" w:eastAsia="宋体" w:cs="Times New Roman"/>
          <w:position w:val="-24"/>
          <w:sz w:val="18"/>
          <w:szCs w:val="18"/>
        </w:rPr>
      </w:pPr>
      <w:r>
        <w:rPr>
          <w:rFonts w:hint="eastAsia" w:ascii="黑体" w:hAnsi="黑体" w:eastAsia="黑体" w:cs="Times New Roman"/>
          <w:b/>
          <w:bCs/>
          <w:position w:val="-24"/>
          <w:sz w:val="18"/>
          <w:szCs w:val="18"/>
        </w:rPr>
        <w:t>注：</w:t>
      </w:r>
      <w:r>
        <w:rPr>
          <w:rFonts w:hint="eastAsia" w:ascii="Times New Roman" w:hAnsi="Times New Roman" w:eastAsia="宋体" w:cs="Times New Roman"/>
          <w:position w:val="-24"/>
          <w:sz w:val="18"/>
          <w:szCs w:val="18"/>
        </w:rPr>
        <w:t>过敏原免疫治疗是治疗吸入过敏原过敏的一种有效的对因治疗方法，并且在中止治疗后可维持长期的临床疗效。过敏原免疫治疗的给药方式主要有皮下注射免疫治疗和舌下含服免疫治疗两种。根据剂量累加阶段的时长，皮下注射免疫治疗可分为常规及加速AIT，加速AIT又进一步分为集群免疫(clusterimmunotherapy，CIT)和冲击免疫治疗(rushimmunotherapy，RIT)。</w:t>
      </w:r>
    </w:p>
    <w:p w14:paraId="1D2D7C34">
      <w:pPr>
        <w:tabs>
          <w:tab w:val="left" w:pos="0"/>
        </w:tabs>
        <w:spacing w:before="120" w:after="120" w:line="240" w:lineRule="auto"/>
        <w:ind w:firstLine="0"/>
        <w:rPr>
          <w:rFonts w:hint="eastAsia" w:ascii="黑体" w:hAnsi="黑体" w:eastAsia="黑体" w:cs="黑体"/>
          <w:position w:val="-24"/>
          <w:szCs w:val="21"/>
        </w:rPr>
      </w:pPr>
      <w:r>
        <w:rPr>
          <w:rFonts w:hint="eastAsia" w:ascii="黑体" w:hAnsi="黑体" w:eastAsia="黑体" w:cs="黑体"/>
          <w:position w:val="-24"/>
          <w:szCs w:val="21"/>
        </w:rPr>
        <w:t>3.13</w:t>
      </w:r>
    </w:p>
    <w:p w14:paraId="76DFE8AD">
      <w:pPr>
        <w:tabs>
          <w:tab w:val="left" w:pos="0"/>
        </w:tabs>
        <w:spacing w:line="240" w:lineRule="auto"/>
        <w:ind w:firstLine="420"/>
        <w:rPr>
          <w:rFonts w:hint="eastAsia" w:ascii="宋体" w:hAnsi="宋体" w:eastAsia="宋体" w:cs="宋体"/>
          <w:position w:val="-24"/>
          <w:szCs w:val="21"/>
        </w:rPr>
      </w:pPr>
      <w:r>
        <w:rPr>
          <w:rFonts w:hint="eastAsia" w:ascii="黑体" w:hAnsi="黑体" w:eastAsia="黑体" w:cs="黑体"/>
          <w:position w:val="-24"/>
          <w:szCs w:val="21"/>
        </w:rPr>
        <w:t xml:space="preserve">气传花粉监测 </w:t>
      </w:r>
      <w:r>
        <w:rPr>
          <w:rFonts w:hint="eastAsia" w:ascii="Times New Roman" w:hAnsi="Times New Roman" w:eastAsia="黑体" w:cs="Times New Roman"/>
          <w:position w:val="-24"/>
          <w:szCs w:val="21"/>
        </w:rPr>
        <w:t>airbornepollenmonitoring</w:t>
      </w:r>
    </w:p>
    <w:p w14:paraId="02604E1F">
      <w:pPr>
        <w:tabs>
          <w:tab w:val="left" w:pos="0"/>
        </w:tabs>
        <w:spacing w:line="240" w:lineRule="auto"/>
        <w:ind w:firstLine="420"/>
        <w:rPr>
          <w:rFonts w:hint="eastAsia" w:ascii="宋体" w:hAnsi="宋体" w:eastAsia="宋体" w:cs="宋体"/>
          <w:position w:val="-24"/>
          <w:szCs w:val="21"/>
        </w:rPr>
      </w:pPr>
      <w:r>
        <w:rPr>
          <w:rFonts w:hint="eastAsia" w:ascii="宋体" w:hAnsi="宋体" w:eastAsia="宋体" w:cs="宋体"/>
          <w:position w:val="-24"/>
          <w:szCs w:val="21"/>
        </w:rPr>
        <w:t>通过特定的方法和设备，对空气中飘散的花粉进行持续、系统的观察和测量。</w:t>
      </w:r>
    </w:p>
    <w:p w14:paraId="35BC534D">
      <w:pPr>
        <w:pStyle w:val="185"/>
        <w:spacing w:before="0" w:after="0" w:line="240" w:lineRule="auto"/>
        <w:ind w:firstLine="361"/>
        <w:jc w:val="both"/>
        <w:rPr>
          <w:rFonts w:hint="eastAsia"/>
        </w:rPr>
      </w:pPr>
      <w:r>
        <w:rPr>
          <w:rFonts w:hint="eastAsia" w:ascii="黑体" w:hAnsi="黑体" w:eastAsia="黑体" w:cs="Times New Roman"/>
          <w:b/>
          <w:bCs/>
          <w:position w:val="-24"/>
          <w:sz w:val="18"/>
          <w:szCs w:val="18"/>
        </w:rPr>
        <w:t>注：</w:t>
      </w:r>
      <w:r>
        <w:rPr>
          <w:rFonts w:hint="eastAsia" w:ascii="Times New Roman" w:hAnsi="Times New Roman" w:eastAsia="宋体" w:cs="Times New Roman"/>
          <w:position w:val="-24"/>
          <w:sz w:val="18"/>
          <w:szCs w:val="18"/>
        </w:rPr>
        <w:t>这种监测的主要目的是为了了解花粉的种类、数量、飘散规律以及飘散时间，从而为花粉过敏人群提供预警和防护建议，也为花粉过敏的研究和治疗提供了重要的参考依据。</w:t>
      </w:r>
    </w:p>
    <w:p w14:paraId="4F69B1C5">
      <w:pPr>
        <w:spacing w:before="240" w:after="240"/>
        <w:outlineLvl w:val="0"/>
        <w:rPr>
          <w:rFonts w:ascii="黑体" w:hAnsi="黑体" w:eastAsia="黑体" w:cs="Times New Roman"/>
        </w:rPr>
      </w:pPr>
      <w:bookmarkStart w:id="10" w:name="_Toc208244037"/>
      <w:r>
        <w:rPr>
          <w:rFonts w:hint="eastAsia" w:ascii="黑体" w:hAnsi="黑体" w:eastAsia="黑体" w:cs="Times New Roman"/>
        </w:rPr>
        <w:t>4</w:t>
      </w:r>
      <w:r>
        <w:rPr>
          <w:rFonts w:ascii="黑体" w:hAnsi="黑体" w:eastAsia="黑体" w:cs="Times New Roman"/>
        </w:rPr>
        <w:t xml:space="preserve"> 准入与基本要求</w:t>
      </w:r>
      <w:bookmarkEnd w:id="10"/>
    </w:p>
    <w:p w14:paraId="53084826">
      <w:pPr>
        <w:tabs>
          <w:tab w:val="left" w:pos="0"/>
        </w:tabs>
        <w:spacing w:before="120" w:after="120"/>
        <w:rPr>
          <w:rFonts w:ascii="黑体" w:hAnsi="黑体" w:eastAsia="黑体" w:cs="黑体"/>
          <w:position w:val="-24"/>
          <w:szCs w:val="21"/>
        </w:rPr>
      </w:pPr>
      <w:r>
        <w:rPr>
          <w:rFonts w:hint="eastAsia" w:ascii="黑体" w:hAnsi="黑体" w:eastAsia="黑体" w:cs="黑体"/>
          <w:position w:val="-24"/>
          <w:szCs w:val="21"/>
        </w:rPr>
        <w:t>4</w:t>
      </w:r>
      <w:r>
        <w:rPr>
          <w:rFonts w:ascii="黑体" w:hAnsi="黑体" w:eastAsia="黑体" w:cs="黑体"/>
          <w:position w:val="-24"/>
          <w:szCs w:val="21"/>
        </w:rPr>
        <w:t>.1 学历教育要求</w:t>
      </w:r>
    </w:p>
    <w:p w14:paraId="345658E5">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过敏专科医师需具备系统医学教育背景，基础学历为临床医学专业本科及以上。为提升专业水平，建议优先选择获得变态反应学或相关专业（如免疫学、呼吸病学）硕士/博士学位，以深入理解过敏性疾病发病机制与诊疗规范。学历教育是专科医师培养的基础，需确保医师掌握扎实的医学理论。</w:t>
      </w:r>
    </w:p>
    <w:p w14:paraId="63C53F30">
      <w:pPr>
        <w:tabs>
          <w:tab w:val="left" w:pos="0"/>
        </w:tabs>
        <w:spacing w:before="120" w:after="120"/>
        <w:rPr>
          <w:rFonts w:ascii="黑体" w:hAnsi="黑体" w:eastAsia="黑体" w:cs="黑体"/>
          <w:position w:val="-24"/>
          <w:szCs w:val="21"/>
        </w:rPr>
      </w:pPr>
      <w:r>
        <w:rPr>
          <w:rFonts w:hint="eastAsia" w:ascii="黑体" w:hAnsi="黑体" w:eastAsia="黑体" w:cs="黑体"/>
          <w:position w:val="-24"/>
          <w:szCs w:val="21"/>
        </w:rPr>
        <w:t>4</w:t>
      </w:r>
      <w:r>
        <w:rPr>
          <w:rFonts w:ascii="黑体" w:hAnsi="黑体" w:eastAsia="黑体" w:cs="黑体"/>
          <w:position w:val="-24"/>
          <w:szCs w:val="21"/>
        </w:rPr>
        <w:t>.2 住院医师培训要求</w:t>
      </w:r>
    </w:p>
    <w:p w14:paraId="4C8016D0">
      <w:pPr>
        <w:pStyle w:val="185"/>
        <w:spacing w:before="0" w:after="0" w:line="240" w:lineRule="auto"/>
        <w:ind w:firstLine="420"/>
        <w:jc w:val="both"/>
        <w:rPr>
          <w:rFonts w:ascii="Times New Roman" w:hAnsi="Times New Roman" w:eastAsia="宋体" w:cs="Times New Roman"/>
          <w:sz w:val="21"/>
          <w:szCs w:val="21"/>
        </w:rPr>
      </w:pPr>
      <w:r>
        <w:rPr>
          <w:rFonts w:hint="default" w:ascii="Times New Roman" w:hAnsi="Times New Roman" w:eastAsia="宋体" w:cs="Times New Roman"/>
          <w:color w:val="EE0000"/>
          <w:sz w:val="21"/>
          <w:szCs w:val="21"/>
        </w:rPr>
        <w:t>建议</w:t>
      </w:r>
      <w:r>
        <w:rPr>
          <w:rFonts w:ascii="Times New Roman" w:hAnsi="Times New Roman" w:eastAsia="宋体" w:cs="Times New Roman"/>
          <w:sz w:val="21"/>
          <w:szCs w:val="21"/>
        </w:rPr>
        <w:t>过敏专科医师均需完成国家规定的住院医师规范化培训，其中以内科或儿科方向的培训经历为佳。建议在规范化培训期间完成至少3个月的过敏专科轮转，以早期接触并熟悉变态反应专科诊疗工作。住院医师培训是培养临床思维与基本技能的关键阶段，需确保医师具备规范的临床诊疗能力。</w:t>
      </w:r>
    </w:p>
    <w:p w14:paraId="447D337D">
      <w:pPr>
        <w:tabs>
          <w:tab w:val="left" w:pos="0"/>
        </w:tabs>
        <w:spacing w:before="120" w:after="120"/>
        <w:rPr>
          <w:rFonts w:ascii="黑体" w:hAnsi="黑体" w:eastAsia="黑体" w:cs="黑体"/>
          <w:position w:val="-24"/>
          <w:szCs w:val="21"/>
        </w:rPr>
      </w:pPr>
      <w:r>
        <w:rPr>
          <w:rFonts w:hint="eastAsia" w:ascii="黑体" w:hAnsi="黑体" w:eastAsia="黑体" w:cs="黑体"/>
          <w:position w:val="-24"/>
          <w:szCs w:val="21"/>
        </w:rPr>
        <w:t xml:space="preserve">4.3 </w:t>
      </w:r>
      <w:r>
        <w:rPr>
          <w:rFonts w:ascii="黑体" w:hAnsi="黑体" w:eastAsia="黑体" w:cs="黑体"/>
          <w:position w:val="-24"/>
          <w:szCs w:val="21"/>
        </w:rPr>
        <w:t>执业资质与专业能力认证</w:t>
      </w:r>
    </w:p>
    <w:p w14:paraId="6D2EB475">
      <w:pPr>
        <w:pStyle w:val="185"/>
        <w:spacing w:before="0" w:after="0" w:line="240" w:lineRule="auto"/>
        <w:ind w:firstLine="420"/>
        <w:jc w:val="both"/>
        <w:rPr>
          <w:rFonts w:hint="default" w:ascii="Times New Roman" w:hAnsi="Times New Roman" w:eastAsia="宋体" w:cs="Times New Roman"/>
          <w:sz w:val="21"/>
          <w:szCs w:val="21"/>
        </w:rPr>
      </w:pPr>
      <w:r>
        <w:rPr>
          <w:rFonts w:ascii="Times New Roman" w:hAnsi="Times New Roman" w:eastAsia="宋体" w:cs="Times New Roman"/>
          <w:sz w:val="21"/>
          <w:szCs w:val="21"/>
        </w:rPr>
        <w:t>过敏专科医师需满足基础执业资质与专业能力认证双重要求。</w:t>
      </w:r>
    </w:p>
    <w:p w14:paraId="75AFD1CC">
      <w:pPr>
        <w:pStyle w:val="185"/>
        <w:spacing w:before="0" w:after="0" w:line="240" w:lineRule="auto"/>
        <w:jc w:val="both"/>
        <w:rPr>
          <w:rFonts w:ascii="黑体" w:hAnsi="黑体" w:eastAsia="黑体" w:cs="Times New Roman"/>
          <w:sz w:val="21"/>
          <w:szCs w:val="21"/>
        </w:rPr>
      </w:pPr>
      <w:r>
        <w:rPr>
          <w:rFonts w:hint="eastAsia" w:ascii="黑体" w:hAnsi="黑体" w:eastAsia="黑体" w:cs="Times New Roman"/>
          <w:sz w:val="21"/>
          <w:szCs w:val="21"/>
        </w:rPr>
        <w:t xml:space="preserve">4.3.1 </w:t>
      </w:r>
      <w:r>
        <w:rPr>
          <w:rFonts w:ascii="黑体" w:hAnsi="黑体" w:eastAsia="黑体" w:cs="Times New Roman"/>
          <w:b w:val="0"/>
          <w:bCs w:val="0"/>
          <w:sz w:val="21"/>
          <w:szCs w:val="21"/>
        </w:rPr>
        <w:t>执业资质</w:t>
      </w:r>
    </w:p>
    <w:p w14:paraId="2D613296">
      <w:pPr>
        <w:pStyle w:val="185"/>
        <w:numPr>
          <w:ilvl w:val="0"/>
          <w:numId w:val="0"/>
        </w:numPr>
        <w:spacing w:before="0" w:after="0" w:line="240" w:lineRule="auto"/>
        <w:ind w:left="0" w:firstLine="420"/>
        <w:jc w:val="both"/>
        <w:rPr>
          <w:rFonts w:hint="default" w:ascii="Times New Roman" w:hAnsi="Times New Roman" w:eastAsia="宋体" w:cs="Times New Roman"/>
          <w:sz w:val="21"/>
          <w:szCs w:val="21"/>
        </w:rPr>
      </w:pPr>
      <w:r>
        <w:rPr>
          <w:rFonts w:ascii="Times New Roman" w:hAnsi="Times New Roman" w:eastAsia="宋体" w:cs="Times New Roman"/>
          <w:sz w:val="21"/>
          <w:szCs w:val="21"/>
        </w:rPr>
        <w:t>需持有有效期内的</w:t>
      </w:r>
      <w:r>
        <w:rPr>
          <w:rFonts w:ascii="Times New Roman" w:hAnsi="Times New Roman" w:eastAsia="宋体" w:cs="Times New Roman"/>
          <w:color w:val="EE0000"/>
          <w:sz w:val="21"/>
          <w:szCs w:val="21"/>
        </w:rPr>
        <w:t>医师</w:t>
      </w:r>
      <w:r>
        <w:rPr>
          <w:rFonts w:hint="default" w:ascii="Times New Roman" w:hAnsi="Times New Roman" w:eastAsia="宋体" w:cs="Times New Roman"/>
          <w:color w:val="EE0000"/>
          <w:sz w:val="21"/>
          <w:szCs w:val="21"/>
        </w:rPr>
        <w:t>资格证书和</w:t>
      </w:r>
      <w:r>
        <w:rPr>
          <w:rFonts w:hint="default" w:ascii="Times New Roman" w:hAnsi="Times New Roman" w:eastAsia="宋体" w:cs="Times New Roman"/>
          <w:sz w:val="21"/>
          <w:szCs w:val="21"/>
        </w:rPr>
        <w:t>医师</w:t>
      </w:r>
      <w:r>
        <w:rPr>
          <w:rFonts w:ascii="Times New Roman" w:hAnsi="Times New Roman" w:eastAsia="宋体" w:cs="Times New Roman"/>
          <w:sz w:val="21"/>
          <w:szCs w:val="21"/>
        </w:rPr>
        <w:t>执业证书，执业范围</w:t>
      </w:r>
      <w:r>
        <w:rPr>
          <w:rFonts w:ascii="Times New Roman" w:hAnsi="Times New Roman" w:eastAsia="宋体" w:cs="Times New Roman"/>
          <w:color w:val="EE0000"/>
          <w:sz w:val="21"/>
          <w:szCs w:val="21"/>
        </w:rPr>
        <w:t>明确</w:t>
      </w:r>
      <w:r>
        <w:rPr>
          <w:rFonts w:ascii="Times New Roman" w:hAnsi="Times New Roman" w:eastAsia="宋体" w:cs="Times New Roman"/>
          <w:sz w:val="21"/>
          <w:szCs w:val="21"/>
        </w:rPr>
        <w:t>包含变态反应科或相关临床专业（为开展专科诊疗的基本法律依据）；同时，</w:t>
      </w:r>
      <w:r>
        <w:rPr>
          <w:rFonts w:ascii="Times New Roman" w:hAnsi="Times New Roman" w:eastAsia="宋体" w:cs="Times New Roman"/>
          <w:color w:val="EE0000"/>
          <w:sz w:val="21"/>
          <w:szCs w:val="21"/>
        </w:rPr>
        <w:t>医师执业注册信息需与所在医疗机构诊疗科目匹配，</w:t>
      </w:r>
      <w:r>
        <w:rPr>
          <w:rFonts w:ascii="Times New Roman" w:hAnsi="Times New Roman" w:eastAsia="宋体" w:cs="Times New Roman"/>
          <w:sz w:val="21"/>
          <w:szCs w:val="21"/>
        </w:rPr>
        <w:t>确保医疗行为合法性。</w:t>
      </w:r>
    </w:p>
    <w:p w14:paraId="3E8CDDFE">
      <w:pPr>
        <w:pStyle w:val="185"/>
        <w:spacing w:before="0" w:after="0" w:line="240" w:lineRule="auto"/>
        <w:ind w:firstLine="0"/>
        <w:jc w:val="both"/>
        <w:rPr>
          <w:rFonts w:ascii="黑体" w:hAnsi="黑体" w:eastAsia="黑体" w:cs="Times New Roman"/>
          <w:sz w:val="21"/>
          <w:szCs w:val="21"/>
        </w:rPr>
      </w:pPr>
      <w:r>
        <w:rPr>
          <w:rFonts w:hint="eastAsia" w:ascii="黑体" w:hAnsi="黑体" w:eastAsia="黑体" w:cs="Times New Roman"/>
          <w:sz w:val="21"/>
          <w:szCs w:val="21"/>
        </w:rPr>
        <w:t xml:space="preserve">4.3.2 </w:t>
      </w:r>
      <w:r>
        <w:rPr>
          <w:rFonts w:ascii="黑体" w:hAnsi="黑体" w:eastAsia="黑体" w:cs="Times New Roman"/>
          <w:b w:val="0"/>
          <w:bCs w:val="0"/>
          <w:sz w:val="21"/>
          <w:szCs w:val="21"/>
        </w:rPr>
        <w:t>专业能力认证</w:t>
      </w:r>
    </w:p>
    <w:p w14:paraId="746CCB1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需通过系统的能力评估体系认证，包括理论考核（重点测试变态反应学专业知识）与临床技能评估（重点考察过敏原检测、免疫治疗等核心技术规范操作能力）。</w:t>
      </w:r>
      <w:r>
        <w:rPr>
          <w:rFonts w:ascii="Times New Roman" w:hAnsi="Times New Roman" w:eastAsia="宋体" w:cs="Times New Roman"/>
          <w:color w:val="EE0000"/>
          <w:sz w:val="21"/>
          <w:szCs w:val="21"/>
        </w:rPr>
        <w:t>建议有条件地区的医师，完成省级以上医师协会认可的专科培训后再参加认证；尚未建立培训体系的地区，需通过权威机构组织的同等能力评估认定。专业能力认证结果作为医师执业范围核准和职称晋升的重要依据。</w:t>
      </w:r>
    </w:p>
    <w:p w14:paraId="0FA12A25">
      <w:pPr>
        <w:tabs>
          <w:tab w:val="left" w:pos="0"/>
        </w:tabs>
        <w:spacing w:before="120" w:after="120"/>
        <w:rPr>
          <w:rFonts w:ascii="黑体" w:hAnsi="黑体" w:eastAsia="黑体" w:cs="黑体"/>
          <w:position w:val="-24"/>
          <w:szCs w:val="21"/>
        </w:rPr>
      </w:pPr>
      <w:r>
        <w:rPr>
          <w:rFonts w:hint="eastAsia" w:ascii="黑体" w:hAnsi="黑体" w:eastAsia="黑体" w:cs="黑体"/>
          <w:position w:val="-24"/>
          <w:szCs w:val="21"/>
        </w:rPr>
        <w:t>4</w:t>
      </w:r>
      <w:r>
        <w:rPr>
          <w:rFonts w:ascii="黑体" w:hAnsi="黑体" w:eastAsia="黑体" w:cs="黑体"/>
          <w:position w:val="-24"/>
          <w:szCs w:val="21"/>
        </w:rPr>
        <w:t>.4 职称差异化要求</w:t>
      </w:r>
    </w:p>
    <w:p w14:paraId="36C0E1CE">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按职称等级差异化要求：主治医师及以下职称医师需严格按本标准完成能力认证；副主任医师及以上职称者，若已从事变态反应专科工作5年以上，可视为符合本标准基础要求，但需在3年内完成本标准规定的能力认证。此外，学科带头人还应具备指导专科医师培训的能力，发挥引领示范作用。</w:t>
      </w:r>
    </w:p>
    <w:p w14:paraId="0E868673">
      <w:pPr>
        <w:spacing w:before="240" w:after="240"/>
        <w:outlineLvl w:val="0"/>
        <w:rPr>
          <w:rFonts w:ascii="黑体" w:hAnsi="黑体" w:eastAsia="黑体" w:cs="Times New Roman"/>
          <w:color w:val="EE0000"/>
        </w:rPr>
      </w:pPr>
      <w:bookmarkStart w:id="11" w:name="_Toc208244038"/>
      <w:r>
        <w:rPr>
          <w:rFonts w:hint="eastAsia" w:ascii="黑体" w:hAnsi="黑体" w:eastAsia="黑体" w:cs="Times New Roman"/>
          <w:color w:val="EE0000"/>
        </w:rPr>
        <w:t>5</w:t>
      </w:r>
      <w:r>
        <w:rPr>
          <w:rFonts w:ascii="黑体" w:hAnsi="黑体" w:eastAsia="黑体" w:cs="Times New Roman"/>
          <w:color w:val="EE0000"/>
        </w:rPr>
        <w:t xml:space="preserve"> 核心专业技能</w:t>
      </w:r>
      <w:r>
        <w:rPr>
          <w:rFonts w:hint="eastAsia" w:ascii="黑体" w:hAnsi="黑体" w:eastAsia="黑体" w:cs="Times New Roman"/>
          <w:color w:val="EE0000"/>
        </w:rPr>
        <w:t>（附件）</w:t>
      </w:r>
      <w:bookmarkEnd w:id="11"/>
    </w:p>
    <w:p w14:paraId="45E99EB6">
      <w:pPr>
        <w:tabs>
          <w:tab w:val="left" w:pos="0"/>
        </w:tabs>
        <w:spacing w:before="120" w:after="120"/>
        <w:rPr>
          <w:rFonts w:ascii="黑体" w:hAnsi="黑体" w:eastAsia="黑体" w:cs="黑体"/>
          <w:position w:val="-24"/>
          <w:szCs w:val="21"/>
        </w:rPr>
      </w:pPr>
      <w:r>
        <w:rPr>
          <w:rFonts w:hint="eastAsia" w:ascii="黑体" w:hAnsi="黑体" w:eastAsia="黑体" w:cs="黑体"/>
          <w:position w:val="-24"/>
          <w:szCs w:val="21"/>
        </w:rPr>
        <w:t>5</w:t>
      </w:r>
      <w:r>
        <w:rPr>
          <w:rFonts w:ascii="黑体" w:hAnsi="黑体" w:eastAsia="黑体" w:cs="黑体"/>
          <w:position w:val="-24"/>
          <w:szCs w:val="21"/>
        </w:rPr>
        <w:t>.1 过敏性疾病的免疫学机制</w:t>
      </w:r>
    </w:p>
    <w:p w14:paraId="5A5AC548">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5</w:t>
      </w:r>
      <w:r>
        <w:rPr>
          <w:rFonts w:ascii="黑体" w:hAnsi="黑体" w:eastAsia="黑体"/>
          <w:b w:val="0"/>
          <w:bCs w:val="0"/>
          <w:sz w:val="21"/>
          <w:szCs w:val="21"/>
        </w:rPr>
        <w:t>.1.1 先天免疫系统</w:t>
      </w:r>
    </w:p>
    <w:p w14:paraId="783C930F">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需系统掌握模式识别受体（PRRs）的三级防御网络：TLR4识别细菌内毒素LPS形成TLR4-MD2复合体，通过MyD88通路激活 IKK 复合物，驱动NF-κB入核上调IL-6和TNF-α表达；C型凝集素受体Dectin1结合真菌 β-1,3 葡聚糖，触发 Syk激酶磷酸化产生活性氧；NK 细胞通过NKG2D 受体识别应激蛋白 MIC-A/MIC-B 释放 IFN-γ，抑制Th2过度活化。</w:t>
      </w:r>
    </w:p>
    <w:p w14:paraId="65AF5106">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理解树突状细胞的桥梁作用：朗格汉斯细胞捕获变应原后经 CCR7 信号迁移至淋巴结，通过 MHCⅡ 分子呈递肽段至 CD4⁺T 细胞，CD80/CD86 共刺激信号协同 ICOS-ICOSL 促使初始 T 细胞分化为 Th2 效应细胞，此过程是过敏启动的核心环节。</w:t>
      </w:r>
    </w:p>
    <w:p w14:paraId="573CDFD6">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明确上皮屏障功能失调在过敏致敏中的作用：气道上皮细胞 Claudin18 表达下调致屏障功能破坏，变应原穿透激活黏膜下树突细胞；皮肤角质形成细胞 FLG 基因突变导致经皮水分丢失增加，促进变应原渗透与致敏。</w:t>
      </w:r>
    </w:p>
    <w:p w14:paraId="04E3C55E">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5</w:t>
      </w:r>
      <w:r>
        <w:rPr>
          <w:rFonts w:ascii="黑体" w:hAnsi="黑体" w:eastAsia="黑体"/>
          <w:b w:val="0"/>
          <w:bCs w:val="0"/>
          <w:sz w:val="21"/>
          <w:szCs w:val="21"/>
        </w:rPr>
        <w:t>.1.2 适应性免疫调控</w:t>
      </w:r>
    </w:p>
    <w:p w14:paraId="7E999FC5">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 IgE 抗体类别转换的 IL4/IL13 信号通路：Th2 细胞分泌 IL4 激活 B 细胞表面 IL4Rα，诱导 STAT6 二聚化入核上调 Bcl6 转录因子，促进胞苷脱氨酶 AID 表达；AID 介导免疫球蛋白重链基因座 VDJ 重组，催化免疫球蛋白类别转换生成 IgE 抗体。</w:t>
      </w:r>
    </w:p>
    <w:p w14:paraId="5BAF816C">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理解调节性 T 细胞（Treg）功能缺陷与免疫耐受失衡的关联：胸腺髓质上皮细胞表达 AIRE 蛋白呈递组织特异性抗原，通过阴性选择清除自身反应性 T 细胞（中枢耐受）；外周 Treg 通过 CTLA4 内吞树突细胞表面 CD80/CD86 分子抑制共刺激信号，并分泌 TGF-β 诱导 B 细胞 IgA 类别转换增强黏膜屏障。</w:t>
      </w:r>
    </w:p>
    <w:p w14:paraId="630A2188">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熟悉过敏原特异性 Th2 细胞的克隆扩增特征：初始 T 细胞在 IL-4 环境中分化为 Th2 细胞，通过 TCR 识别树突细胞呈递的变应原肽段，经 IL-2 自分泌信号实现克隆扩增，持续分泌 IL-4、IL-5、IL-13 等细胞因子。</w:t>
      </w:r>
    </w:p>
    <w:p w14:paraId="32ECD296">
      <w:pPr>
        <w:pStyle w:val="5"/>
        <w:spacing w:before="0" w:after="0" w:line="240" w:lineRule="auto"/>
        <w:jc w:val="both"/>
        <w:rPr>
          <w:rFonts w:ascii="Times New Roman" w:hAnsi="Times New Roman" w:eastAsia="黑体" w:cs="Times New Roman"/>
          <w:b w:val="0"/>
          <w:bCs w:val="0"/>
          <w:sz w:val="21"/>
          <w:szCs w:val="21"/>
        </w:rPr>
      </w:pPr>
      <w:r>
        <w:rPr>
          <w:rFonts w:hint="eastAsia" w:ascii="黑体" w:hAnsi="黑体" w:eastAsia="黑体"/>
          <w:b w:val="0"/>
          <w:bCs w:val="0"/>
          <w:sz w:val="21"/>
          <w:szCs w:val="21"/>
        </w:rPr>
        <w:t>5</w:t>
      </w:r>
      <w:r>
        <w:rPr>
          <w:rFonts w:ascii="黑体" w:hAnsi="黑体" w:eastAsia="黑体"/>
          <w:b w:val="0"/>
          <w:bCs w:val="0"/>
          <w:sz w:val="21"/>
          <w:szCs w:val="21"/>
        </w:rPr>
        <w:t>.1.3 免疫球蛋</w:t>
      </w:r>
      <w:r>
        <w:rPr>
          <w:rFonts w:ascii="Times New Roman" w:hAnsi="Times New Roman" w:eastAsia="黑体" w:cs="Times New Roman"/>
          <w:b w:val="0"/>
          <w:bCs w:val="0"/>
          <w:sz w:val="21"/>
          <w:szCs w:val="21"/>
        </w:rPr>
        <w:t>白</w:t>
      </w:r>
      <w:r>
        <w:rPr>
          <w:rFonts w:hint="default" w:ascii="Times New Roman" w:hAnsi="Times New Roman" w:eastAsia="黑体" w:cs="Times New Roman"/>
          <w:b w:val="0"/>
          <w:bCs w:val="0"/>
          <w:sz w:val="21"/>
          <w:szCs w:val="21"/>
        </w:rPr>
        <w:t>E</w:t>
      </w:r>
    </w:p>
    <w:p w14:paraId="595A8927">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 B 细胞受体基因重排的遗传调控：V (D) J 重组酶（RAG1/RAG2）介导免疫球蛋白基因片段重组，产生多样性 B 细胞受体；等位基因排斥机制确保单个 B 细胞仅表达一种抗原特异性受体。</w:t>
      </w:r>
    </w:p>
    <w:p w14:paraId="2DF5067B">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明确高亲和力IgE受体的交叉交联机制：IgE Fc 区 CH3 结构域结合肥大细胞 FcεRIα 链形成复合物，变应原交联相邻IgE分子时，Lyn 激酶磷酸化 FcεRIβ 链 ITAM 基序，激活 Syk-PLCγ 通路水解 PIP2 生成 IP3，介导内质网钙库释放引发组胺、白三烯瀑布式释放。</w:t>
      </w:r>
    </w:p>
    <w:p w14:paraId="2F663493">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理解肥大细胞表面FcεRI表达调控：IL-4 可上调 FcεRIα 链转录，糖皮质激素则通过抑制 NF-κB 通路降低其表达；肥大细胞活化后通过内吞作用下调表面受体，形成短期脱敏状态。</w:t>
      </w:r>
    </w:p>
    <w:p w14:paraId="6E2D2D55">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5</w:t>
      </w:r>
      <w:r>
        <w:rPr>
          <w:rFonts w:ascii="黑体" w:hAnsi="黑体" w:eastAsia="黑体"/>
          <w:b w:val="0"/>
          <w:bCs w:val="0"/>
          <w:sz w:val="21"/>
          <w:szCs w:val="21"/>
        </w:rPr>
        <w:t xml:space="preserve">.1.4 </w:t>
      </w:r>
      <w:r>
        <w:rPr>
          <w:rFonts w:hint="default" w:ascii="Times New Roman" w:hAnsi="Times New Roman" w:eastAsia="黑体" w:cs="Times New Roman"/>
          <w:b w:val="0"/>
          <w:bCs w:val="0"/>
          <w:sz w:val="21"/>
          <w:szCs w:val="21"/>
        </w:rPr>
        <w:t>2型</w:t>
      </w:r>
      <w:r>
        <w:rPr>
          <w:rFonts w:hint="eastAsia" w:ascii="黑体" w:hAnsi="黑体" w:eastAsia="黑体"/>
          <w:b w:val="0"/>
          <w:bCs w:val="0"/>
          <w:sz w:val="21"/>
          <w:szCs w:val="21"/>
        </w:rPr>
        <w:t>炎症</w:t>
      </w:r>
      <w:r>
        <w:rPr>
          <w:rFonts w:ascii="黑体" w:hAnsi="黑体" w:eastAsia="黑体"/>
          <w:b w:val="0"/>
          <w:bCs w:val="0"/>
          <w:sz w:val="21"/>
          <w:szCs w:val="21"/>
        </w:rPr>
        <w:t>细胞因子网络</w:t>
      </w:r>
    </w:p>
    <w:p w14:paraId="089F75E9">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理解 IL4/IL13/IL5 组成的 Th2 核心细胞因子轴：IL4 驱动 B 细胞 IgE 转换及杯状细胞 MUC5AC 分泌；IL5 通过 JAK2-STAT5 促进嗜酸性粒细胞骨髓分化与组织浸润；IL13 诱导气道平滑肌增生及黏液高分泌。</w:t>
      </w:r>
    </w:p>
    <w:p w14:paraId="0D1D71B6">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掌握上皮源性警报素（TSLP/IL33/IL25）的级联放大效应：TSLP 经 TSLPR-IL7R 复合物激活 STAT5，诱导树突细胞表达 CCL17 趋化 Th2 细胞；IL33 结合 ST2 受体激活肥大细胞释放 IL-5、IL-13；IL25 刺激 ILC2s 分泌 Th2 型细胞因子，形成炎症放大环。</w:t>
      </w:r>
    </w:p>
    <w:p w14:paraId="597A3ED9">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熟悉嗜酸性粒细胞趋化因子（eotaxin/CCL11）的时空表达模式：在 IL-4、IL-13 刺激下，气道上皮细胞和内皮细胞大量分泌 CCL11，特异性结合嗜酸性粒细胞表面 CCR3 受体，介导其从血液向炎症部位迁移；哮喘急性发作期支气管肺泡灌洗液中 CCL11 水平显著升高。</w:t>
      </w:r>
    </w:p>
    <w:p w14:paraId="37E59ED2">
      <w:pPr>
        <w:tabs>
          <w:tab w:val="left" w:pos="0"/>
        </w:tabs>
        <w:spacing w:before="120" w:after="120"/>
        <w:rPr>
          <w:rFonts w:ascii="黑体" w:hAnsi="黑体" w:eastAsia="黑体" w:cs="黑体"/>
          <w:position w:val="-24"/>
          <w:szCs w:val="21"/>
        </w:rPr>
      </w:pPr>
      <w:r>
        <w:rPr>
          <w:rFonts w:hint="eastAsia" w:ascii="黑体" w:hAnsi="黑体" w:eastAsia="黑体" w:cs="黑体"/>
          <w:position w:val="-24"/>
          <w:szCs w:val="21"/>
        </w:rPr>
        <w:t>5</w:t>
      </w:r>
      <w:r>
        <w:rPr>
          <w:rFonts w:ascii="黑体" w:hAnsi="黑体" w:eastAsia="黑体" w:cs="黑体"/>
          <w:position w:val="-24"/>
          <w:szCs w:val="21"/>
        </w:rPr>
        <w:t>.2 过敏原</w:t>
      </w:r>
    </w:p>
    <w:p w14:paraId="47F96C34">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5</w:t>
      </w:r>
      <w:r>
        <w:rPr>
          <w:rFonts w:ascii="黑体" w:hAnsi="黑体" w:eastAsia="黑体"/>
          <w:b w:val="0"/>
          <w:bCs w:val="0"/>
          <w:sz w:val="21"/>
          <w:szCs w:val="21"/>
        </w:rPr>
        <w:t>.2.1 吸入性过敏原</w:t>
      </w:r>
    </w:p>
    <w:p w14:paraId="6DDDF003">
      <w:pPr>
        <w:pStyle w:val="185"/>
        <w:numPr>
          <w:ilvl w:val="0"/>
          <w:numId w:val="0"/>
        </w:numPr>
        <w:spacing w:before="0" w:after="0" w:line="240" w:lineRule="auto"/>
        <w:ind w:left="0" w:firstLine="0"/>
        <w:jc w:val="both"/>
        <w:rPr>
          <w:rFonts w:hint="eastAsia" w:ascii="黑体" w:hAnsi="黑体" w:eastAsia="黑体"/>
          <w:sz w:val="21"/>
          <w:szCs w:val="21"/>
        </w:rPr>
      </w:pPr>
      <w:r>
        <w:rPr>
          <w:rFonts w:hint="eastAsia" w:ascii="黑体" w:hAnsi="黑体" w:eastAsia="黑体"/>
          <w:b w:val="0"/>
          <w:bCs w:val="0"/>
          <w:sz w:val="21"/>
          <w:szCs w:val="21"/>
        </w:rPr>
        <w:t xml:space="preserve">5.2.1.1 </w:t>
      </w:r>
      <w:r>
        <w:rPr>
          <w:rFonts w:ascii="黑体" w:hAnsi="黑体" w:eastAsia="黑体"/>
          <w:b w:val="0"/>
          <w:bCs w:val="0"/>
          <w:sz w:val="21"/>
          <w:szCs w:val="21"/>
        </w:rPr>
        <w:t>室内吸入性过敏原</w:t>
      </w:r>
    </w:p>
    <w:p w14:paraId="1E3FA4CB">
      <w:pPr>
        <w:pStyle w:val="185"/>
        <w:spacing w:before="0" w:after="0" w:line="240" w:lineRule="auto"/>
        <w:ind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室内尘螨</w:t>
      </w:r>
    </w:p>
    <w:p w14:paraId="3587533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掌握屋尘螨、粉尘螨和热带无爪螨的生物学特性（最适温度20</w:t>
      </w:r>
      <w:r>
        <w:rPr>
          <w:rFonts w:ascii="Times New Roman" w:hAnsi="Times New Roman" w:eastAsia="宋体" w:cs="Times New Roman"/>
          <w:sz w:val="21"/>
          <w:szCs w:val="21"/>
        </w:rPr>
        <w:t>℃</w:t>
      </w:r>
      <w:r>
        <w:rPr>
          <w:rFonts w:ascii="Times New Roman" w:hAnsi="Times New Roman" w:eastAsia="宋体" w:cs="Times New Roman"/>
          <w:sz w:val="21"/>
          <w:szCs w:val="21"/>
        </w:rPr>
        <w:t>-25℃、相对湿度60</w:t>
      </w:r>
      <w:r>
        <w:rPr>
          <w:rFonts w:hint="eastAsia" w:ascii="Times New Roman" w:hAnsi="Times New Roman" w:eastAsia="宋体" w:cs="Times New Roman"/>
          <w:sz w:val="21"/>
          <w:szCs w:val="21"/>
        </w:rPr>
        <w:t>%</w:t>
      </w:r>
      <w:r>
        <w:rPr>
          <w:rFonts w:ascii="Times New Roman" w:hAnsi="Times New Roman" w:eastAsia="宋体" w:cs="Times New Roman"/>
          <w:sz w:val="21"/>
          <w:szCs w:val="21"/>
        </w:rPr>
        <w:t>-80%）、孳生环境（床垫、地毯、毛绒玩具）及季节消长规律（夏秋季节浓度最高），明确其在过敏性鼻炎（诱发阵发性喷嚏）、哮喘（导致气道高反应性）和特应性皮炎（加重皮肤瘙痒）中的致病作用，能够制定针对性的环境控制方案，如防螨寝具选择（孔径&lt;10μm）、湿度控制阈值（&lt;45%）。</w:t>
      </w:r>
    </w:p>
    <w:p w14:paraId="2BC06B69">
      <w:pPr>
        <w:pStyle w:val="185"/>
        <w:spacing w:before="0" w:after="0" w:line="240" w:lineRule="auto"/>
        <w:ind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室内霉菌</w:t>
      </w:r>
    </w:p>
    <w:p w14:paraId="5E6CB21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熟悉交链孢霉、曲霉、青霉等常见致敏真菌的繁殖条件（潮湿环境、温度25</w:t>
      </w:r>
      <w:r>
        <w:rPr>
          <w:rFonts w:ascii="Times New Roman" w:hAnsi="Times New Roman" w:eastAsia="宋体" w:cs="Times New Roman"/>
          <w:sz w:val="21"/>
          <w:szCs w:val="21"/>
        </w:rPr>
        <w:t>℃</w:t>
      </w:r>
      <w:r>
        <w:rPr>
          <w:rFonts w:ascii="Times New Roman" w:hAnsi="Times New Roman" w:eastAsia="宋体" w:cs="Times New Roman"/>
          <w:sz w:val="21"/>
          <w:szCs w:val="21"/>
        </w:rPr>
        <w:t>-30℃）、分布特点（浴室、地下室、空调滤网），掌握其孢子的空气传播特性及与哮喘急性发作、过敏性肺炎的关联，能指导患者实施防霉措施（通风、除湿、消毒）。</w:t>
      </w:r>
    </w:p>
    <w:p w14:paraId="2EB5D4C6">
      <w:pPr>
        <w:pStyle w:val="185"/>
        <w:spacing w:before="0" w:after="0" w:line="240" w:lineRule="auto"/>
        <w:ind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宠物过敏原</w:t>
      </w:r>
    </w:p>
    <w:p w14:paraId="140BA44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猫（Feld1）、狗（Canf1-6）等宠物过敏原的来源（皮屑、唾液、尿液）、理化特性（耐热、耐干燥，可在环境中残留6个月以上）及环境分布规律（家具表面、衣物携带），明确其与过敏性鼻炎（鼻塞、流涕）、哮喘（气道炎症加重）和特应性皮炎（皮疹扩散）的临床关联，能够提供宠物隔离及环境净化建议。</w:t>
      </w:r>
    </w:p>
    <w:p w14:paraId="3227EEB7">
      <w:pPr>
        <w:pStyle w:val="185"/>
        <w:numPr>
          <w:ilvl w:val="0"/>
          <w:numId w:val="0"/>
        </w:numPr>
        <w:spacing w:before="0" w:after="0" w:line="240" w:lineRule="auto"/>
        <w:ind w:left="0" w:firstLine="0"/>
        <w:jc w:val="both"/>
        <w:rPr>
          <w:rFonts w:hint="eastAsia" w:ascii="黑体" w:hAnsi="黑体" w:eastAsia="黑体"/>
          <w:sz w:val="21"/>
          <w:szCs w:val="21"/>
        </w:rPr>
      </w:pPr>
      <w:r>
        <w:rPr>
          <w:rFonts w:hint="eastAsia" w:ascii="黑体" w:hAnsi="黑体" w:eastAsia="黑体"/>
          <w:sz w:val="21"/>
          <w:szCs w:val="21"/>
        </w:rPr>
        <w:t xml:space="preserve">5.2.1.2 </w:t>
      </w:r>
      <w:r>
        <w:rPr>
          <w:rFonts w:ascii="黑体" w:hAnsi="黑体" w:eastAsia="黑体"/>
          <w:b w:val="0"/>
          <w:bCs w:val="0"/>
          <w:sz w:val="21"/>
          <w:szCs w:val="21"/>
        </w:rPr>
        <w:t>室外吸入性过敏原</w:t>
      </w:r>
    </w:p>
    <w:p w14:paraId="662DBF23">
      <w:pPr>
        <w:pStyle w:val="185"/>
        <w:spacing w:before="0" w:after="0" w:line="240" w:lineRule="auto"/>
        <w:ind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气传花粉</w:t>
      </w:r>
    </w:p>
    <w:p w14:paraId="36EECCD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掌握我国主要气传花粉的种类、区域分布及季节特征，包括春季树木花粉（华北柏树、杨柳，华东法国梧桐，华南木麻黄，3</w:t>
      </w:r>
      <w:r>
        <w:rPr>
          <w:rFonts w:ascii="Times New Roman" w:hAnsi="Times New Roman" w:eastAsia="宋体" w:cs="Times New Roman"/>
          <w:sz w:val="21"/>
          <w:szCs w:val="21"/>
        </w:rPr>
        <w:t>月</w:t>
      </w:r>
      <w:r>
        <w:rPr>
          <w:rFonts w:ascii="Times New Roman" w:hAnsi="Times New Roman" w:eastAsia="宋体" w:cs="Times New Roman"/>
          <w:sz w:val="21"/>
          <w:szCs w:val="21"/>
        </w:rPr>
        <w:t>-5</w:t>
      </w:r>
      <w:bookmarkStart w:id="12" w:name="OLE_LINK2"/>
      <w:r>
        <w:rPr>
          <w:rFonts w:ascii="Times New Roman" w:hAnsi="Times New Roman" w:eastAsia="宋体" w:cs="Times New Roman"/>
          <w:sz w:val="21"/>
          <w:szCs w:val="21"/>
        </w:rPr>
        <w:t>月</w:t>
      </w:r>
      <w:bookmarkEnd w:id="12"/>
      <w:r>
        <w:rPr>
          <w:rFonts w:ascii="Times New Roman" w:hAnsi="Times New Roman" w:eastAsia="宋体" w:cs="Times New Roman"/>
          <w:sz w:val="21"/>
          <w:szCs w:val="21"/>
        </w:rPr>
        <w:t>高发）、夏秋草本花粉（北方蒿属、豚草，南方杂草，8</w:t>
      </w:r>
      <w:r>
        <w:rPr>
          <w:rFonts w:ascii="Times New Roman" w:hAnsi="Times New Roman" w:eastAsia="宋体" w:cs="Times New Roman"/>
          <w:sz w:val="21"/>
          <w:szCs w:val="21"/>
        </w:rPr>
        <w:t>月</w:t>
      </w:r>
      <w:r>
        <w:rPr>
          <w:rFonts w:ascii="Times New Roman" w:hAnsi="Times New Roman" w:eastAsia="宋体" w:cs="Times New Roman"/>
          <w:sz w:val="21"/>
          <w:szCs w:val="21"/>
        </w:rPr>
        <w:t>-10月峰值）及禾本科花粉（全国分布，5</w:t>
      </w:r>
      <w:r>
        <w:rPr>
          <w:rFonts w:ascii="Times New Roman" w:hAnsi="Times New Roman" w:eastAsia="宋体" w:cs="Times New Roman"/>
          <w:sz w:val="21"/>
          <w:szCs w:val="21"/>
        </w:rPr>
        <w:t>月</w:t>
      </w:r>
      <w:r>
        <w:rPr>
          <w:rFonts w:ascii="Times New Roman" w:hAnsi="Times New Roman" w:eastAsia="宋体" w:cs="Times New Roman"/>
          <w:sz w:val="21"/>
          <w:szCs w:val="21"/>
        </w:rPr>
        <w:t>-9月致敏），明确不同花粉的致敏强度（如蒿属花粉与哮喘急性发作的强相关性），能够结合花粉监测数据指导患者规避。</w:t>
      </w:r>
    </w:p>
    <w:p w14:paraId="7B562D16">
      <w:pPr>
        <w:pStyle w:val="185"/>
        <w:spacing w:before="0" w:after="0" w:line="240" w:lineRule="auto"/>
        <w:ind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室外真菌孢子</w:t>
      </w:r>
    </w:p>
    <w:p w14:paraId="613F5B6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了解枝孢霉、镰刀菌等真菌孢子的释放规律（雨后湿度&gt;60% 时骤增，昼夜节律为早晨和傍晚高峰）、区域差异（北方以交链孢霉为主，南方以曲霉为主），掌握其与过敏性哮喘（诱发喘息）、变应性支气管肺曲霉病的关联，能结合气象条件预测孢子浓度变化。</w:t>
      </w:r>
    </w:p>
    <w:p w14:paraId="0B35FEAF">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5</w:t>
      </w:r>
      <w:r>
        <w:rPr>
          <w:rFonts w:ascii="黑体" w:hAnsi="黑体" w:eastAsia="黑体"/>
          <w:b w:val="0"/>
          <w:bCs w:val="0"/>
          <w:sz w:val="21"/>
          <w:szCs w:val="21"/>
        </w:rPr>
        <w:t>.2.2 食物过敏原</w:t>
      </w:r>
    </w:p>
    <w:p w14:paraId="65312836">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w:t>
      </w:r>
      <w:r>
        <w:rPr>
          <w:rFonts w:hint="eastAsia" w:ascii="Times New Roman" w:hAnsi="Times New Roman" w:eastAsia="宋体" w:cs="Times New Roman"/>
          <w:sz w:val="21"/>
          <w:szCs w:val="21"/>
        </w:rPr>
        <w:t>食物过敏的</w:t>
      </w:r>
      <w:r>
        <w:rPr>
          <w:rFonts w:ascii="Times New Roman" w:hAnsi="Times New Roman" w:eastAsia="宋体" w:cs="Times New Roman"/>
          <w:sz w:val="21"/>
          <w:szCs w:val="21"/>
        </w:rPr>
        <w:t>年龄与地域差异</w:t>
      </w:r>
      <w:r>
        <w:rPr>
          <w:rFonts w:hint="eastAsia" w:ascii="Times New Roman" w:hAnsi="Times New Roman" w:eastAsia="宋体" w:cs="Times New Roman"/>
          <w:sz w:val="21"/>
          <w:szCs w:val="21"/>
        </w:rPr>
        <w:t>，</w:t>
      </w:r>
      <w:r>
        <w:rPr>
          <w:rFonts w:ascii="Times New Roman" w:hAnsi="Times New Roman" w:eastAsia="宋体" w:cs="Times New Roman"/>
          <w:sz w:val="21"/>
          <w:szCs w:val="21"/>
        </w:rPr>
        <w:t>婴幼儿（0</w:t>
      </w:r>
      <w:r>
        <w:rPr>
          <w:rFonts w:ascii="Times New Roman" w:hAnsi="Times New Roman" w:eastAsia="宋体" w:cs="Times New Roman"/>
          <w:sz w:val="21"/>
          <w:szCs w:val="21"/>
        </w:rPr>
        <w:t>岁</w:t>
      </w:r>
      <w:r>
        <w:rPr>
          <w:rFonts w:ascii="Times New Roman" w:hAnsi="Times New Roman" w:eastAsia="宋体" w:cs="Times New Roman"/>
          <w:sz w:val="21"/>
          <w:szCs w:val="21"/>
        </w:rPr>
        <w:t>-3岁）以牛奶、鸡蛋过敏为主（随年龄增长70%可耐受）、学龄前儿童（3</w:t>
      </w:r>
      <w:r>
        <w:rPr>
          <w:rFonts w:ascii="Times New Roman" w:hAnsi="Times New Roman" w:eastAsia="宋体" w:cs="Times New Roman"/>
          <w:sz w:val="21"/>
          <w:szCs w:val="21"/>
        </w:rPr>
        <w:t>岁</w:t>
      </w:r>
      <w:r>
        <w:rPr>
          <w:rFonts w:ascii="Times New Roman" w:hAnsi="Times New Roman" w:eastAsia="宋体" w:cs="Times New Roman"/>
          <w:sz w:val="21"/>
          <w:szCs w:val="21"/>
        </w:rPr>
        <w:t>-6岁）花生、坚果过敏风险升高、青少年及成人以海鲜、水果过敏为主（持续性强）的年龄规律，掌握少数民族聚居区（如青稞、羊肉）的特色饮食过敏谱，能结合地域饮食习惯（如沿海地区海鲜消费频繁）制定个性化规避方案</w:t>
      </w:r>
      <w:r>
        <w:rPr>
          <w:rFonts w:hint="eastAsia" w:ascii="Times New Roman" w:hAnsi="Times New Roman" w:eastAsia="宋体" w:cs="Times New Roman"/>
          <w:sz w:val="21"/>
          <w:szCs w:val="21"/>
        </w:rPr>
        <w:t>。</w:t>
      </w:r>
      <w:r>
        <w:rPr>
          <w:rFonts w:ascii="Times New Roman" w:hAnsi="Times New Roman" w:eastAsia="宋体" w:cs="Times New Roman"/>
          <w:sz w:val="21"/>
          <w:szCs w:val="21"/>
        </w:rPr>
        <w:t>能运用组分诊断技术区分真正致敏与交叉致敏，指导个性化饮食规避，如区分生食/熟食过敏性、烘焙耐受性评估（如Gal d1阴性者可耐受烘焙鸡蛋）。</w:t>
      </w:r>
    </w:p>
    <w:p w14:paraId="3193096F">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5.2.2.1 </w:t>
      </w:r>
      <w:r>
        <w:rPr>
          <w:rFonts w:ascii="黑体" w:hAnsi="黑体" w:eastAsia="黑体"/>
          <w:b w:val="0"/>
          <w:bCs w:val="0"/>
          <w:sz w:val="21"/>
          <w:szCs w:val="21"/>
        </w:rPr>
        <w:t>动物源性食物</w:t>
      </w:r>
    </w:p>
    <w:p w14:paraId="181F942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牛奶（酪蛋白、乳清蛋白）、鸡蛋（卵白蛋白、卵类粘蛋白）、鱼类（肌浆蛋白）、甲壳类（原肌球蛋白）等过敏原的理化特性（如牛奶蛋白加热后致敏性降低）、消化稳定性及临床症状特点（速发反应：荨麻疹；迟发反应：腹泻），明确婴幼儿（牛奶、鸡蛋）与成人（海鲜）的发病差异，能够解读特异性 IgE 检测结果（如牛奶 sIgE&gt;15kUA/L 提示严重过敏风险）。</w:t>
      </w:r>
    </w:p>
    <w:p w14:paraId="5814D446">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5.2.2.2 </w:t>
      </w:r>
      <w:r>
        <w:rPr>
          <w:rFonts w:ascii="黑体" w:hAnsi="黑体" w:eastAsia="黑体"/>
          <w:b w:val="0"/>
          <w:bCs w:val="0"/>
          <w:sz w:val="21"/>
          <w:szCs w:val="21"/>
        </w:rPr>
        <w:t>植物源性食物</w:t>
      </w:r>
    </w:p>
    <w:p w14:paraId="21CE362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熟悉花生（Ara h2）、坚果（核桃 Jug r1）、大豆（Gly m4）、小麦（Tri a19）等过敏原的耐热性（花生过敏原耐热性强，烘焙后仍致敏）、交叉反应特性（如花生与豆类的交叉反应率&lt;10%），掌握西南地区（坚果过敏高发）、沿海地区（海鲜过敏为主）的地域分布特征，能结合组分诊断（如Ara h2阳性提示需严格规避花生）制定饮食方案。</w:t>
      </w:r>
    </w:p>
    <w:p w14:paraId="07F5345A">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5.2.2.3 </w:t>
      </w:r>
      <w:r>
        <w:rPr>
          <w:rFonts w:ascii="黑体" w:hAnsi="黑体" w:eastAsia="黑体"/>
          <w:b w:val="0"/>
          <w:bCs w:val="0"/>
          <w:sz w:val="21"/>
          <w:szCs w:val="21"/>
        </w:rPr>
        <w:t>水果与蔬菜</w:t>
      </w:r>
    </w:p>
    <w:p w14:paraId="3AF45205">
      <w:pPr>
        <w:pStyle w:val="185"/>
        <w:spacing w:before="0" w:after="0" w:line="240" w:lineRule="auto"/>
        <w:ind w:firstLine="440"/>
        <w:jc w:val="both"/>
        <w:rPr>
          <w:rFonts w:hint="eastAsia"/>
        </w:rPr>
      </w:pPr>
      <w:r>
        <w:rPr>
          <w:rFonts w:ascii="Times New Roman" w:hAnsi="Times New Roman" w:eastAsia="宋体" w:cs="Times New Roman"/>
          <w:sz w:val="21"/>
          <w:szCs w:val="21"/>
        </w:rPr>
        <w:t>掌握桃子（Prup3）、苹果（Mal d1）、芹菜（Api g1）等过敏原与花粉的交叉反应机制（桦树花粉 Bet v1 与苹果 Mal d1 同源性60%），明确口腔过敏综合征（局部瘙痒）与系统性反应（喉头水肿）的临床鉴别，能够根据组分检测（如 Prup3 阳性提示桃子严重过敏风险）指导食物加工方式（如煮熟后食用可降低致敏性）。</w:t>
      </w:r>
    </w:p>
    <w:p w14:paraId="1485F641">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5</w:t>
      </w:r>
      <w:r>
        <w:rPr>
          <w:rFonts w:ascii="黑体" w:hAnsi="黑体" w:eastAsia="黑体"/>
          <w:b w:val="0"/>
          <w:bCs w:val="0"/>
          <w:sz w:val="21"/>
          <w:szCs w:val="21"/>
        </w:rPr>
        <w:t>.2.3 药物过敏原</w:t>
      </w:r>
    </w:p>
    <w:p w14:paraId="745F1412">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5.2.3.1 </w:t>
      </w:r>
      <w:r>
        <w:rPr>
          <w:rFonts w:ascii="黑体" w:hAnsi="黑体" w:eastAsia="黑体"/>
          <w:b w:val="0"/>
          <w:bCs w:val="0"/>
          <w:sz w:val="21"/>
          <w:szCs w:val="21"/>
        </w:rPr>
        <w:t>抗生素</w:t>
      </w:r>
    </w:p>
    <w:p w14:paraId="6C16BFF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掌握青霉素类（青霉素 G）的降解产物（青霉噻唑酰）与蛋白质结合形成变应原的机制，熟悉青霉素皮肤试验（含主要决定簇和次要决定簇）的操作规范及结果判读（风团直径≥3mm 为阳性），明确头孢类与青霉素的交叉过敏率（约10%）及风险评估方法（如头孢他啶与青霉素交叉反应率 &lt; 5%）。</w:t>
      </w:r>
    </w:p>
    <w:p w14:paraId="576402AF">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5.2.3.2 </w:t>
      </w:r>
      <w:r>
        <w:rPr>
          <w:rFonts w:ascii="黑体" w:hAnsi="黑体" w:eastAsia="黑体"/>
          <w:b w:val="0"/>
          <w:bCs w:val="0"/>
          <w:sz w:val="21"/>
          <w:szCs w:val="21"/>
        </w:rPr>
        <w:t>非甾体抗炎药</w:t>
      </w:r>
    </w:p>
    <w:p w14:paraId="4B3D377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阿司匹林通过抑制环氧合酶（COX-1）导致白三烯生成增加的致病机制，掌握阿司匹林加重呼吸道疾病（AERD）的诊断标准（哮喘+鼻息肉+阿司匹林激发试验阳性），明确对乙酰氨基酚的低致敏性（但过量可诱发DRESS综合征）。</w:t>
      </w:r>
    </w:p>
    <w:p w14:paraId="09D4D200">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5.2.3.3 </w:t>
      </w:r>
      <w:r>
        <w:rPr>
          <w:rFonts w:ascii="黑体" w:hAnsi="黑体" w:eastAsia="黑体"/>
          <w:b w:val="0"/>
          <w:bCs w:val="0"/>
          <w:sz w:val="21"/>
          <w:szCs w:val="21"/>
        </w:rPr>
        <w:t>抗癫痫药</w:t>
      </w:r>
    </w:p>
    <w:p w14:paraId="4FEAD15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卡马西平通过HLA-B*15:02基因介导引发Stevens-Johnson综合征的遗传关联（亚裔人群携带率高），熟悉用药前基因筛查流程及结果解读（阳性者禁用），明确拉莫三嗪皮疹与剂量递增速度的关系（初始剂量25mg/日，每2周递增）。</w:t>
      </w:r>
    </w:p>
    <w:p w14:paraId="61F355EB">
      <w:pPr>
        <w:pStyle w:val="5"/>
        <w:spacing w:before="0" w:after="0" w:line="240" w:lineRule="auto"/>
        <w:jc w:val="both"/>
        <w:rPr>
          <w:rFonts w:ascii="黑体" w:hAnsi="黑体" w:eastAsia="黑体"/>
          <w:b w:val="0"/>
          <w:bCs w:val="0"/>
          <w:sz w:val="21"/>
          <w:szCs w:val="21"/>
        </w:rPr>
      </w:pPr>
      <w:bookmarkStart w:id="13" w:name="OLE_LINK3"/>
      <w:r>
        <w:rPr>
          <w:rFonts w:hint="eastAsia" w:ascii="黑体" w:hAnsi="黑体" w:eastAsia="黑体"/>
          <w:b w:val="0"/>
          <w:bCs w:val="0"/>
          <w:sz w:val="21"/>
          <w:szCs w:val="21"/>
        </w:rPr>
        <w:t xml:space="preserve">5.2.3.4 </w:t>
      </w:r>
      <w:r>
        <w:rPr>
          <w:rFonts w:ascii="黑体" w:hAnsi="黑体" w:eastAsia="黑体"/>
          <w:b w:val="0"/>
          <w:bCs w:val="0"/>
          <w:sz w:val="21"/>
          <w:szCs w:val="21"/>
        </w:rPr>
        <w:t>生物制剂</w:t>
      </w:r>
      <w:bookmarkEnd w:id="13"/>
    </w:p>
    <w:p w14:paraId="1A7D653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单克隆抗体（如利妥昔单抗）输注反应的机制（细胞因子释放综合征），掌握分级输注流程（初始速率50mg/h，无反应每30分钟加倍）及不良反应处理（发热者暂停输注，予退热剂），明确重组人胰岛素较动物胰岛素的低致敏性（过敏发生率&lt;0.1%）。</w:t>
      </w:r>
    </w:p>
    <w:p w14:paraId="08BFBDD8">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5.2.4 </w:t>
      </w:r>
      <w:r>
        <w:rPr>
          <w:rFonts w:ascii="黑体" w:hAnsi="黑体" w:eastAsia="黑体"/>
          <w:b w:val="0"/>
          <w:bCs w:val="0"/>
          <w:sz w:val="21"/>
          <w:szCs w:val="21"/>
        </w:rPr>
        <w:t>昆虫毒液、职业相关等其他过敏原</w:t>
      </w:r>
    </w:p>
    <w:p w14:paraId="3876EFB2">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5.2.4.1 </w:t>
      </w:r>
      <w:r>
        <w:rPr>
          <w:rFonts w:ascii="黑体" w:hAnsi="黑体" w:eastAsia="黑体"/>
          <w:b w:val="0"/>
          <w:bCs w:val="0"/>
          <w:sz w:val="21"/>
          <w:szCs w:val="21"/>
        </w:rPr>
        <w:t>昆虫毒液</w:t>
      </w:r>
    </w:p>
    <w:p w14:paraId="186F468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蜜蜂毒液（磷脂酶A2、透明质酸酶）与黄蜂毒液（抗原5）的主要致敏成分、交叉反应特性（蜂与黄蜂毒液交叉反应率&lt;5%），明确我国南方地区蜂类（春季活跃）、华南地区红火蚁（全年活动）的地域分布，熟悉</w:t>
      </w:r>
      <w:r>
        <w:rPr>
          <w:rFonts w:hint="eastAsia" w:ascii="Times New Roman" w:hAnsi="Times New Roman" w:eastAsia="宋体" w:cs="Times New Roman"/>
          <w:sz w:val="21"/>
          <w:szCs w:val="21"/>
        </w:rPr>
        <w:t>常见的导致毒液过敏的昆虫及防护措施</w:t>
      </w:r>
      <w:r>
        <w:rPr>
          <w:rFonts w:ascii="Times New Roman" w:hAnsi="Times New Roman" w:eastAsia="宋体" w:cs="Times New Roman"/>
          <w:sz w:val="21"/>
          <w:szCs w:val="21"/>
        </w:rPr>
        <w:t>。</w:t>
      </w:r>
    </w:p>
    <w:p w14:paraId="32ED6D07">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5.2.4.2 </w:t>
      </w:r>
      <w:r>
        <w:rPr>
          <w:rFonts w:ascii="黑体" w:hAnsi="黑体" w:eastAsia="黑体"/>
          <w:b w:val="0"/>
          <w:bCs w:val="0"/>
          <w:sz w:val="21"/>
          <w:szCs w:val="21"/>
        </w:rPr>
        <w:t>职业相关过敏原</w:t>
      </w:r>
    </w:p>
    <w:p w14:paraId="2DAB885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化工行业异氰酸酯（TDI、MDI）的致敏机制（与气道蛋白结合形成变应原）、职业性哮喘的诊断流程（职业暴露史+肺功能监测+特异性IgE检测），掌握实验室人员（动物血清）、烘焙工人（面粉尘螨）、医护人员（乳胶）的高风险过敏原，能够制定职业暴露防护方案（佩戴防毒面具、更换工作岗位）。</w:t>
      </w:r>
    </w:p>
    <w:p w14:paraId="41B2792D">
      <w:pPr>
        <w:pStyle w:val="5"/>
        <w:spacing w:before="0" w:after="0" w:line="240" w:lineRule="auto"/>
        <w:jc w:val="both"/>
        <w:rPr>
          <w:rFonts w:ascii="黑体" w:hAnsi="黑体" w:eastAsia="黑体"/>
          <w:b w:val="0"/>
          <w:bCs w:val="0"/>
          <w:sz w:val="21"/>
          <w:szCs w:val="21"/>
        </w:rPr>
      </w:pPr>
      <w:r>
        <w:rPr>
          <w:rFonts w:hint="eastAsia" w:ascii="黑体" w:hAnsi="黑体" w:eastAsia="黑体"/>
          <w:b w:val="0"/>
          <w:bCs w:val="0"/>
          <w:sz w:val="21"/>
          <w:szCs w:val="21"/>
        </w:rPr>
        <w:t xml:space="preserve">5.2.4.3 </w:t>
      </w:r>
      <w:r>
        <w:rPr>
          <w:rFonts w:ascii="黑体" w:hAnsi="黑体" w:eastAsia="黑体"/>
          <w:b w:val="0"/>
          <w:bCs w:val="0"/>
          <w:sz w:val="21"/>
          <w:szCs w:val="21"/>
        </w:rPr>
        <w:t>其他过敏原</w:t>
      </w:r>
    </w:p>
    <w:p w14:paraId="73BE021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化妆品中香料（芳樟醇）、防腐剂（甲醛释放体）的致敏特点（接触性皮炎表现为红斑、水疱），明确染发剂中对苯二胺的光毒性反应（头皮红肿、渗出）及金属镍盐（饰品、皮带扣）的经皮致敏机制，能够通过斑贴试验鉴别致敏原并指导患者规避。</w:t>
      </w:r>
    </w:p>
    <w:p w14:paraId="4DE0E22A">
      <w:pPr>
        <w:pStyle w:val="4"/>
        <w:numPr>
          <w:ilvl w:val="1"/>
          <w:numId w:val="1"/>
        </w:numPr>
        <w:spacing w:before="120" w:line="240" w:lineRule="auto"/>
        <w:jc w:val="both"/>
        <w:rPr>
          <w:rFonts w:ascii="黑体" w:hAnsi="黑体" w:eastAsia="黑体"/>
          <w:b w:val="0"/>
          <w:bCs w:val="0"/>
          <w:sz w:val="21"/>
          <w:szCs w:val="21"/>
        </w:rPr>
      </w:pPr>
      <w:bookmarkStart w:id="14" w:name="_Toc208244039"/>
      <w:r>
        <w:rPr>
          <w:rFonts w:ascii="黑体" w:hAnsi="黑体" w:eastAsia="黑体"/>
          <w:b w:val="0"/>
          <w:bCs w:val="0"/>
          <w:sz w:val="21"/>
          <w:szCs w:val="21"/>
        </w:rPr>
        <w:t>过敏性疾病的流行病学</w:t>
      </w:r>
      <w:bookmarkEnd w:id="14"/>
    </w:p>
    <w:p w14:paraId="5D9533CA">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流行特征和疾病负担</w:t>
      </w:r>
    </w:p>
    <w:p w14:paraId="376AA394">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全球流行情况</w:t>
      </w:r>
    </w:p>
    <w:p w14:paraId="133AA51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掌握哮喘（发达国家患病率10</w:t>
      </w:r>
      <w:r>
        <w:rPr>
          <w:rFonts w:hint="eastAsia" w:ascii="Times New Roman" w:hAnsi="Times New Roman" w:eastAsia="宋体" w:cs="Times New Roman"/>
          <w:sz w:val="21"/>
          <w:szCs w:val="21"/>
        </w:rPr>
        <w:t>%</w:t>
      </w:r>
      <w:r>
        <w:rPr>
          <w:rFonts w:ascii="Times New Roman" w:hAnsi="Times New Roman" w:eastAsia="宋体" w:cs="Times New Roman"/>
          <w:sz w:val="21"/>
          <w:szCs w:val="21"/>
        </w:rPr>
        <w:t>-18%，发展中国家随城市化增长）、过敏性鼻炎（欧美30% vs 亚洲10</w:t>
      </w:r>
      <w:r>
        <w:rPr>
          <w:rFonts w:hint="eastAsia" w:ascii="Times New Roman" w:hAnsi="Times New Roman" w:eastAsia="宋体" w:cs="Times New Roman"/>
          <w:sz w:val="21"/>
          <w:szCs w:val="21"/>
        </w:rPr>
        <w:t>%</w:t>
      </w:r>
      <w:r>
        <w:rPr>
          <w:rFonts w:ascii="Times New Roman" w:hAnsi="Times New Roman" w:eastAsia="宋体" w:cs="Times New Roman"/>
          <w:sz w:val="21"/>
          <w:szCs w:val="21"/>
        </w:rPr>
        <w:t>-20%）、特应性皮炎（儿童全球平均15%）、食物过敏（发达国家儿童8%）的流行趋势及地区差异，明确生物制剂应用（如奥马珠单抗）对哮喘患病率平台期的影响。</w:t>
      </w:r>
    </w:p>
    <w:p w14:paraId="6B058473">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中国流行特点</w:t>
      </w:r>
    </w:p>
    <w:p w14:paraId="7935846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了解我国过敏性疾病的患病率特征，包括哮喘（城市儿童2.3% vs 农村1.1%，40岁以上成人逐年上升）、过敏性鼻炎（总体17.6%，华北、华东高于西南）、特应性皮炎（儿童12.9%，与抗生素早期使用相关），掌握城乡差异（城市高于农村）、年龄分布（过敏性鼻炎青少年高发）及季节规律（花粉季3</w:t>
      </w:r>
      <w:r>
        <w:rPr>
          <w:rFonts w:hint="eastAsia" w:ascii="Times New Roman" w:hAnsi="Times New Roman" w:eastAsia="宋体" w:cs="Times New Roman"/>
          <w:sz w:val="21"/>
          <w:szCs w:val="21"/>
        </w:rPr>
        <w:t>月</w:t>
      </w:r>
      <w:r>
        <w:rPr>
          <w:rFonts w:ascii="Times New Roman" w:hAnsi="Times New Roman" w:eastAsia="宋体" w:cs="Times New Roman"/>
          <w:sz w:val="21"/>
          <w:szCs w:val="21"/>
        </w:rPr>
        <w:t>-5月、8</w:t>
      </w:r>
      <w:r>
        <w:rPr>
          <w:rFonts w:hint="eastAsia" w:ascii="Times New Roman" w:hAnsi="Times New Roman" w:eastAsia="宋体" w:cs="Times New Roman"/>
          <w:sz w:val="21"/>
          <w:szCs w:val="21"/>
        </w:rPr>
        <w:t>月</w:t>
      </w:r>
      <w:r>
        <w:rPr>
          <w:rFonts w:ascii="Times New Roman" w:hAnsi="Times New Roman" w:eastAsia="宋体" w:cs="Times New Roman"/>
          <w:sz w:val="21"/>
          <w:szCs w:val="21"/>
        </w:rPr>
        <w:t>-9月为高峰）。</w:t>
      </w:r>
    </w:p>
    <w:p w14:paraId="0DB33573">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疾病负担</w:t>
      </w:r>
    </w:p>
    <w:p w14:paraId="357716F1">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过敏性疾病对患者生活质量的影响（如特应性皮炎患儿每日睡眠减少1.5小时）、社会经济负担（全球哮喘年支出超3000亿美元，我国过敏性鼻炎间接成本占比60%）及医疗资源消耗（食物过敏儿童年均急诊率23%），掌握直接负担（诊疗费用）和间接负担（误工、误学）的评估方法（如DALY指标计算）。</w:t>
      </w:r>
    </w:p>
    <w:p w14:paraId="042E6465">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特应性进程</w:t>
      </w:r>
    </w:p>
    <w:p w14:paraId="23A879AF">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发展顺序</w:t>
      </w:r>
    </w:p>
    <w:p w14:paraId="2A1FDDB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掌握特应性进程的典型规律，即婴儿期（0</w:t>
      </w:r>
      <w:r>
        <w:rPr>
          <w:rFonts w:hint="eastAsia" w:ascii="Times New Roman" w:hAnsi="Times New Roman" w:eastAsia="宋体" w:cs="Times New Roman"/>
          <w:sz w:val="21"/>
          <w:szCs w:val="21"/>
        </w:rPr>
        <w:t>岁</w:t>
      </w:r>
      <w:r>
        <w:rPr>
          <w:rFonts w:ascii="Times New Roman" w:hAnsi="Times New Roman" w:eastAsia="宋体" w:cs="Times New Roman"/>
          <w:sz w:val="21"/>
          <w:szCs w:val="21"/>
        </w:rPr>
        <w:t>-2岁）以特应性皮炎为起点（皮肤屏障缺陷）、幼儿期（2</w:t>
      </w:r>
      <w:r>
        <w:rPr>
          <w:rFonts w:hint="eastAsia" w:ascii="Times New Roman" w:hAnsi="Times New Roman" w:eastAsia="宋体" w:cs="Times New Roman"/>
          <w:sz w:val="21"/>
          <w:szCs w:val="21"/>
        </w:rPr>
        <w:t>岁</w:t>
      </w:r>
      <w:r>
        <w:rPr>
          <w:rFonts w:ascii="Times New Roman" w:hAnsi="Times New Roman" w:eastAsia="宋体" w:cs="Times New Roman"/>
          <w:sz w:val="21"/>
          <w:szCs w:val="21"/>
        </w:rPr>
        <w:t>-6岁）进展为食物过敏（肠道耐受不足）、学龄期（6</w:t>
      </w:r>
      <w:r>
        <w:rPr>
          <w:rFonts w:hint="eastAsia" w:ascii="Times New Roman" w:hAnsi="Times New Roman" w:eastAsia="宋体" w:cs="Times New Roman"/>
          <w:sz w:val="21"/>
          <w:szCs w:val="21"/>
        </w:rPr>
        <w:t>岁</w:t>
      </w:r>
      <w:r>
        <w:rPr>
          <w:rFonts w:ascii="Times New Roman" w:hAnsi="Times New Roman" w:eastAsia="宋体" w:cs="Times New Roman"/>
          <w:sz w:val="21"/>
          <w:szCs w:val="21"/>
        </w:rPr>
        <w:t>-12岁）出现过敏性鼻炎（呼吸道致敏）、青少年期（12</w:t>
      </w:r>
      <w:r>
        <w:rPr>
          <w:rFonts w:hint="eastAsia" w:ascii="Times New Roman" w:hAnsi="Times New Roman" w:eastAsia="宋体" w:cs="Times New Roman"/>
          <w:sz w:val="21"/>
          <w:szCs w:val="21"/>
        </w:rPr>
        <w:t>岁</w:t>
      </w:r>
      <w:r>
        <w:rPr>
          <w:rFonts w:ascii="Times New Roman" w:hAnsi="Times New Roman" w:eastAsia="宋体" w:cs="Times New Roman"/>
          <w:sz w:val="21"/>
          <w:szCs w:val="21"/>
        </w:rPr>
        <w:t>-18岁）发展为哮喘（气道重塑），明确各阶段的标志性疾病及转换概率（如30%特应性皮炎患儿进展为哮喘）。</w:t>
      </w:r>
    </w:p>
    <w:p w14:paraId="603725CB">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影响因素</w:t>
      </w:r>
    </w:p>
    <w:p w14:paraId="77E33E96">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了解遗传因素（父母过敏史OR=3.5）、环境因素（剖宫产增加20%风险）、喂养方式（母乳喂养≥6个月降低食物过敏风险）对特应性进程的影响，掌握“关键窗口期”（出生后0</w:t>
      </w:r>
      <w:r>
        <w:rPr>
          <w:rFonts w:ascii="Times New Roman" w:hAnsi="Times New Roman" w:eastAsia="宋体" w:cs="Times New Roman"/>
          <w:sz w:val="21"/>
          <w:szCs w:val="21"/>
        </w:rPr>
        <w:t>个月</w:t>
      </w:r>
      <w:r>
        <w:rPr>
          <w:rFonts w:ascii="Times New Roman" w:hAnsi="Times New Roman" w:eastAsia="宋体" w:cs="Times New Roman"/>
          <w:sz w:val="21"/>
          <w:szCs w:val="21"/>
        </w:rPr>
        <w:t>-6</w:t>
      </w:r>
      <w:bookmarkStart w:id="15" w:name="OLE_LINK4"/>
      <w:r>
        <w:rPr>
          <w:rFonts w:ascii="Times New Roman" w:hAnsi="Times New Roman" w:eastAsia="宋体" w:cs="Times New Roman"/>
          <w:sz w:val="21"/>
          <w:szCs w:val="21"/>
        </w:rPr>
        <w:t>个月</w:t>
      </w:r>
      <w:bookmarkEnd w:id="15"/>
      <w:r>
        <w:rPr>
          <w:rFonts w:ascii="Times New Roman" w:hAnsi="Times New Roman" w:eastAsia="宋体" w:cs="Times New Roman"/>
          <w:sz w:val="21"/>
          <w:szCs w:val="21"/>
        </w:rPr>
        <w:t>肠道菌群定植）的作用机制。</w:t>
      </w:r>
    </w:p>
    <w:p w14:paraId="45D6029B">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干预策略</w:t>
      </w:r>
    </w:p>
    <w:p w14:paraId="5C73DF1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掌握阻断特应性进程的措施，包括婴儿期保湿剂使用（降低特应性皮炎发生率30%）、适时引入过敏原（4</w:t>
      </w:r>
      <w:r>
        <w:rPr>
          <w:rFonts w:ascii="Times New Roman" w:hAnsi="Times New Roman" w:eastAsia="宋体" w:cs="Times New Roman"/>
          <w:sz w:val="21"/>
          <w:szCs w:val="21"/>
        </w:rPr>
        <w:t>个月</w:t>
      </w:r>
      <w:r>
        <w:rPr>
          <w:rFonts w:ascii="Times New Roman" w:hAnsi="Times New Roman" w:eastAsia="宋体" w:cs="Times New Roman"/>
          <w:sz w:val="21"/>
          <w:szCs w:val="21"/>
        </w:rPr>
        <w:t>-6个月添加鸡蛋）、避免过度清洁（增加微生物暴露），能够制定针对高风险儿童（如FLG基因突变携带者）的预防方案。</w:t>
      </w:r>
    </w:p>
    <w:p w14:paraId="515D9916">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共病模式</w:t>
      </w:r>
    </w:p>
    <w:p w14:paraId="58E7920B">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常见共病组合</w:t>
      </w:r>
    </w:p>
    <w:p w14:paraId="4A89A3E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掌握哮喘与过敏性鼻炎（共患率40</w:t>
      </w:r>
      <w:r>
        <w:rPr>
          <w:rFonts w:hint="eastAsia" w:ascii="Times New Roman" w:hAnsi="Times New Roman" w:eastAsia="宋体" w:cs="Times New Roman"/>
          <w:sz w:val="21"/>
          <w:szCs w:val="21"/>
        </w:rPr>
        <w:t>%</w:t>
      </w:r>
      <w:r>
        <w:rPr>
          <w:rFonts w:ascii="Times New Roman" w:hAnsi="Times New Roman" w:eastAsia="宋体" w:cs="Times New Roman"/>
          <w:sz w:val="21"/>
          <w:szCs w:val="21"/>
        </w:rPr>
        <w:t>-60%，鼻炎患者哮喘风险增加3倍）、特应性皮炎与食物过敏（儿童共患率30</w:t>
      </w:r>
      <w:r>
        <w:rPr>
          <w:rFonts w:hint="eastAsia" w:ascii="Times New Roman" w:hAnsi="Times New Roman" w:eastAsia="宋体" w:cs="Times New Roman"/>
          <w:sz w:val="21"/>
          <w:szCs w:val="21"/>
        </w:rPr>
        <w:t>%</w:t>
      </w:r>
      <w:r>
        <w:rPr>
          <w:rFonts w:ascii="Times New Roman" w:hAnsi="Times New Roman" w:eastAsia="宋体" w:cs="Times New Roman"/>
          <w:sz w:val="21"/>
          <w:szCs w:val="21"/>
        </w:rPr>
        <w:t>-40%）、过敏性鼻炎与结膜炎（共患率&gt;70%）的流行病学特点，明确共病对疾病严重度（如哮喘合并鼻炎者急诊率增加2倍）及预后（如共病患者生活质量评分降低40%）的影响。</w:t>
      </w:r>
    </w:p>
    <w:p w14:paraId="39E5252A">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机制基础</w:t>
      </w:r>
    </w:p>
    <w:p w14:paraId="3B163C4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共病发生的免疫学机制，包括哮喘与鼻炎的共享Th2通路（IL-4/IL-13介导）、特应性皮炎与食物过敏的屏障缺陷（FLG基因突变导致皮肤/肠道双重受损）、鼻结膜炎的交叉致敏（鼻泪管通路），掌握细胞因子网络（如TSLP警报素）在共病中的核心作用。</w:t>
      </w:r>
    </w:p>
    <w:p w14:paraId="483EC1A3">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管理策略</w:t>
      </w:r>
    </w:p>
    <w:p w14:paraId="1A7F3CB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熟悉共病患者的综合管理原则，如哮喘合并鼻炎需同步控制上气道炎症（鼻用激素可降低哮喘急性发作50%）、特应性皮炎合并食物过敏需实施食物剔除与皮肤护理双轨方案，能够制定多系统协同的治疗计划。</w:t>
      </w:r>
    </w:p>
    <w:p w14:paraId="5B5A6C03">
      <w:pPr>
        <w:pStyle w:val="4"/>
        <w:numPr>
          <w:ilvl w:val="1"/>
          <w:numId w:val="1"/>
        </w:numPr>
        <w:spacing w:before="120" w:line="240" w:lineRule="auto"/>
        <w:jc w:val="both"/>
        <w:rPr>
          <w:rFonts w:ascii="黑体" w:hAnsi="黑体" w:eastAsia="黑体"/>
          <w:b w:val="0"/>
          <w:bCs w:val="0"/>
          <w:sz w:val="21"/>
          <w:szCs w:val="21"/>
        </w:rPr>
      </w:pPr>
      <w:bookmarkStart w:id="16" w:name="_Toc208244040"/>
      <w:r>
        <w:rPr>
          <w:rFonts w:ascii="黑体" w:hAnsi="黑体" w:eastAsia="黑体"/>
          <w:b w:val="0"/>
          <w:bCs w:val="0"/>
          <w:sz w:val="21"/>
          <w:szCs w:val="21"/>
        </w:rPr>
        <w:t>影响过敏的遗传和环境因素</w:t>
      </w:r>
      <w:bookmarkEnd w:id="16"/>
    </w:p>
    <w:p w14:paraId="52888FF5">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遗传易感性</w:t>
      </w:r>
    </w:p>
    <w:p w14:paraId="2C832BFC">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特应性皮炎相关基因</w:t>
      </w:r>
    </w:p>
    <w:p w14:paraId="55B494C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FLG基因突变（R501X、2282del4）导致丝聚蛋白合成障碍的机制（经皮水分丢失增加）、17q21基因座（ORMDL3）与气道炎症的关联，明确这些基因多态性与疾病严重度（如FLG突变者湿疹面积增加2倍）、共病风险（哮喘发生率升高40%）的关系，能够解读基因检测结果的临床意义。</w:t>
      </w:r>
    </w:p>
    <w:p w14:paraId="1CD7EBD9">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过敏性鼻炎/哮喘相关基因</w:t>
      </w:r>
    </w:p>
    <w:p w14:paraId="6FE1955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了解IL4Rα Q576R变异（增强IL-4信号，IgE 水平升高1.8倍）、IL33 rs10975519（与花粉鼻炎关联，OR=1.5）、ADAM33（影响气道平滑肌增殖）在疾病中的作用，掌握这些基因与治疗反应的关系（如 IL4Rα 变异者对生物制剂应答率降低）。</w:t>
      </w:r>
    </w:p>
    <w:p w14:paraId="2E01ACAB">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药物过敏相关基因</w:t>
      </w:r>
    </w:p>
    <w:p w14:paraId="14BB62C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熟悉HLA-B</w:t>
      </w:r>
      <w:r>
        <w:rPr>
          <w:rFonts w:ascii="Times New Roman" w:hAnsi="Times New Roman" w:eastAsia="宋体" w:cs="Times New Roman"/>
          <w:i w:val="0"/>
          <w:iCs w:val="0"/>
          <w:sz w:val="21"/>
          <w:szCs w:val="21"/>
        </w:rPr>
        <w:t>15:02与卡马西平Stevens-Johnson综合征的强关联（RR=117）、HLA-DRB1</w:t>
      </w:r>
      <w:r>
        <w:rPr>
          <w:rFonts w:ascii="Times New Roman" w:hAnsi="Times New Roman" w:eastAsia="宋体" w:cs="Times New Roman"/>
          <w:sz w:val="21"/>
          <w:szCs w:val="21"/>
        </w:rPr>
        <w:t>15:01与阿司匹林哮喘的相关性（OR=3.2）、HLA-B</w:t>
      </w:r>
      <w:r>
        <w:rPr>
          <w:rFonts w:ascii="Times New Roman" w:hAnsi="Times New Roman" w:eastAsia="宋体" w:cs="Times New Roman"/>
          <w:i w:val="0"/>
          <w:iCs w:val="0"/>
          <w:sz w:val="21"/>
          <w:szCs w:val="21"/>
        </w:rPr>
        <w:t>57:01与阿巴卡韦超敏反应的特异性（敏感性90%），掌握用药前基因筛查的指征（如亚裔使用卡马西平前需检测HLA-B</w:t>
      </w:r>
      <w:r>
        <w:rPr>
          <w:rFonts w:ascii="Times New Roman" w:hAnsi="Times New Roman" w:eastAsia="宋体" w:cs="Times New Roman"/>
          <w:sz w:val="21"/>
          <w:szCs w:val="21"/>
        </w:rPr>
        <w:t>15:02）。</w:t>
      </w:r>
    </w:p>
    <w:p w14:paraId="3AB2A80D">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其他过敏性疾病相关基因</w:t>
      </w:r>
    </w:p>
    <w:p w14:paraId="15DC2DF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了解与食物过敏（FceRIβ多态性，增强肥大细胞活化）、昆虫毒液过敏（TLR4基因，影响免疫应答）相关的遗传因素，明确多基因累加效应（如5个以上风险基因携带者过敏风险增加10倍）在疾病发生中的作用。</w:t>
      </w:r>
    </w:p>
    <w:p w14:paraId="07B6B10E">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表观遗传调控</w:t>
      </w:r>
    </w:p>
    <w:p w14:paraId="2ECEAF24">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DNA甲基化</w:t>
      </w:r>
    </w:p>
    <w:p w14:paraId="0BBDA2F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产前烟草暴露导致IFNG基因启动子甲基化（抑制Th1应答，子女哮喘风险升高2倍）、维生素D水平与FOXP3基因去甲基化的剂量效应（孕期补充维生素D可使后代过敏风险降低30%），了解环境污染物（如PM2.5）通过DNA甲基转移酶影响基因表达的机制。</w:t>
      </w:r>
    </w:p>
    <w:p w14:paraId="7DBA3896">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组蛋白修饰</w:t>
      </w:r>
    </w:p>
    <w:p w14:paraId="659E877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IL-4基因启动子区H3K4三甲基化水平在过敏患者中的升高（增强转录活性）、糖皮质激素通过招募HDAC抑制IL-5基因表达的作用（激素治疗嗜酸粒细胞疾病的分子基础），掌握组蛋白去乙酰化酶抑制剂（如丁酸钠）在抗炎治疗中的潜在应用。</w:t>
      </w:r>
    </w:p>
    <w:p w14:paraId="4025E83F">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非编码RNA</w:t>
      </w:r>
    </w:p>
    <w:p w14:paraId="62A0CB7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miR-146a（靶向TLR4，过敏患者表达降低30%）、lncRNA-IL7R（竞争性结合miR-128，调控T细胞分化）在过敏免疫调节中的功能，了解microRNA在疾病诊断（如miR-21在哮喘患者痰液中升高）和治疗（靶向miRNA的拮抗剂）中的应用前景。</w:t>
      </w:r>
    </w:p>
    <w:p w14:paraId="6A3AD8FF">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环境因素</w:t>
      </w:r>
    </w:p>
    <w:p w14:paraId="40C24F83">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微生物暴露</w:t>
      </w:r>
    </w:p>
    <w:p w14:paraId="05DED7D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卫生假说的核心机制（生命早期微生物暴露不足导致Treg功能缺陷）、农场效应（内毒素暴露≥10EU/mg尘埃可激活TLR4通路，哮喘风险降低50%），了解肠道菌群多样性（双歧杆菌丰度&gt;10⁷CFU/g）与黏膜屏障功能（sIgA水平升高）的关联，能够指导高风险儿童增加自然暴露（如接触宠物、土壤）。</w:t>
      </w:r>
    </w:p>
    <w:p w14:paraId="1A4E5C18">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饮食因素</w:t>
      </w:r>
    </w:p>
    <w:p w14:paraId="7404898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了解母乳喂养（≥6 个月）通过分泌型IgA增强肠道屏障、维生素D（血清水平≥30ng/ml）促进Treg分化、ω-3脂肪酸（深海鱼类）抑制Th2细胞因子的作用，掌握辅食添加时机（4</w:t>
      </w:r>
      <w:r>
        <w:rPr>
          <w:rFonts w:ascii="Times New Roman" w:hAnsi="Times New Roman" w:eastAsia="宋体" w:cs="Times New Roman"/>
          <w:sz w:val="21"/>
          <w:szCs w:val="21"/>
        </w:rPr>
        <w:t>个月</w:t>
      </w:r>
      <w:r>
        <w:rPr>
          <w:rFonts w:ascii="Times New Roman" w:hAnsi="Times New Roman" w:eastAsia="宋体" w:cs="Times New Roman"/>
          <w:sz w:val="21"/>
          <w:szCs w:val="21"/>
        </w:rPr>
        <w:t>-6</w:t>
      </w:r>
      <w:bookmarkStart w:id="17" w:name="OLE_LINK5"/>
      <w:r>
        <w:rPr>
          <w:rFonts w:ascii="Times New Roman" w:hAnsi="Times New Roman" w:eastAsia="宋体" w:cs="Times New Roman"/>
          <w:sz w:val="21"/>
          <w:szCs w:val="21"/>
        </w:rPr>
        <w:t>个月</w:t>
      </w:r>
      <w:bookmarkEnd w:id="17"/>
      <w:r>
        <w:rPr>
          <w:rFonts w:ascii="Times New Roman" w:hAnsi="Times New Roman" w:eastAsia="宋体" w:cs="Times New Roman"/>
          <w:sz w:val="21"/>
          <w:szCs w:val="21"/>
        </w:rPr>
        <w:t>引入过敏原）对免疫耐受建立的重要性，能够制定过敏预防的饮食方案。</w:t>
      </w:r>
    </w:p>
    <w:p w14:paraId="4F30CEDC">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生活方式</w:t>
      </w:r>
    </w:p>
    <w:p w14:paraId="053262D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城市化（空气污染、绿地减少）与过敏率升高的剂量效应（城市儿童哮喘患病率是农村的2倍）、抗生素使用（1岁内≥3次）导致肠道菌群紊乱（多样性下降30%）的风险、剖宫产（跳过产道菌群定植）与食物过敏的关联（风险增加2.5倍），能够提供生活方式调整建议（如规律运动增强免疫调节）。</w:t>
      </w:r>
    </w:p>
    <w:p w14:paraId="005FB221">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污染物与气候的驱动作用</w:t>
      </w:r>
    </w:p>
    <w:p w14:paraId="1AE1C489">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空气污染物</w:t>
      </w:r>
    </w:p>
    <w:p w14:paraId="34FC1EB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掌握PM2.5（通过氧化应激破坏气道上皮，经皮致敏风险增加）、NO₂（促进花粉过敏原释放，增加2</w:t>
      </w:r>
      <w:r>
        <w:rPr>
          <w:rFonts w:ascii="Times New Roman" w:hAnsi="Times New Roman" w:eastAsia="宋体" w:cs="Times New Roman"/>
          <w:sz w:val="21"/>
          <w:szCs w:val="21"/>
        </w:rPr>
        <w:t>倍</w:t>
      </w:r>
      <w:r>
        <w:rPr>
          <w:rFonts w:ascii="Times New Roman" w:hAnsi="Times New Roman" w:eastAsia="宋体" w:cs="Times New Roman"/>
          <w:sz w:val="21"/>
          <w:szCs w:val="21"/>
        </w:rPr>
        <w:t>-3倍）、O₃（直接刺激呼吸道，IL-33释放增加）的佐剂效应机制，明确污染物暴露与哮喘急诊率的剂量反应关系（PM2.5每升高10μg/m³，急诊率上升3%），能够指导患者在污染高峰时段的防护措施（减少外出、佩戴N95口罩）。</w:t>
      </w:r>
    </w:p>
    <w:p w14:paraId="674F1F06">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气候变化</w:t>
      </w:r>
    </w:p>
    <w:p w14:paraId="539BB9A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了解CO₂施肥效应（浓度每升高100ppm，北方蒿属花粉产量增加20%）、温度升高（延长花粉季1</w:t>
      </w:r>
      <w:r>
        <w:rPr>
          <w:rFonts w:ascii="Times New Roman" w:hAnsi="Times New Roman" w:eastAsia="宋体" w:cs="Times New Roman"/>
          <w:sz w:val="21"/>
          <w:szCs w:val="21"/>
        </w:rPr>
        <w:t>周</w:t>
      </w:r>
      <w:r>
        <w:rPr>
          <w:rFonts w:ascii="Times New Roman" w:hAnsi="Times New Roman" w:eastAsia="宋体" w:cs="Times New Roman"/>
          <w:sz w:val="21"/>
          <w:szCs w:val="21"/>
        </w:rPr>
        <w:t>-2</w:t>
      </w:r>
      <w:bookmarkStart w:id="18" w:name="OLE_LINK6"/>
      <w:r>
        <w:rPr>
          <w:rFonts w:ascii="Times New Roman" w:hAnsi="Times New Roman" w:eastAsia="宋体" w:cs="Times New Roman"/>
          <w:sz w:val="21"/>
          <w:szCs w:val="21"/>
        </w:rPr>
        <w:t>周</w:t>
      </w:r>
      <w:bookmarkEnd w:id="18"/>
      <w:r>
        <w:rPr>
          <w:rFonts w:ascii="Times New Roman" w:hAnsi="Times New Roman" w:eastAsia="宋体" w:cs="Times New Roman"/>
          <w:sz w:val="21"/>
          <w:szCs w:val="21"/>
        </w:rPr>
        <w:t>）对过敏性疾病格局的影响，掌握气候变暖导致热带无爪螨向北方扩散（华东地区检出率上升15%）的趋势，能够结合气候模型预测过敏原暴露风险。</w:t>
      </w:r>
    </w:p>
    <w:p w14:paraId="40BD91FB">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极端天气事件</w:t>
      </w:r>
    </w:p>
    <w:p w14:paraId="49BA25F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熟悉雷暴哮喘的发生机制（特定湿度&gt;60%、风速3</w:t>
      </w:r>
      <w:r>
        <w:rPr>
          <w:rFonts w:ascii="Times New Roman" w:hAnsi="Times New Roman" w:eastAsia="宋体" w:cs="Times New Roman"/>
          <w:sz w:val="21"/>
          <w:szCs w:val="21"/>
        </w:rPr>
        <w:t>m/s</w:t>
      </w:r>
      <w:r>
        <w:rPr>
          <w:rFonts w:ascii="Times New Roman" w:hAnsi="Times New Roman" w:eastAsia="宋体" w:cs="Times New Roman"/>
          <w:sz w:val="21"/>
          <w:szCs w:val="21"/>
        </w:rPr>
        <w:t>-5m/s时，花粉破裂释放&lt;5μm颗粒，肺泡沉积率增加10倍）、我国华北地区秋季高发的流行病学特征，掌握预警体系（花粉浓度+气象条件）及应急处理（提前使用抗组胺药、备好肾上腺素）。</w:t>
      </w:r>
    </w:p>
    <w:p w14:paraId="2BDC408B">
      <w:pPr>
        <w:pStyle w:val="4"/>
        <w:numPr>
          <w:ilvl w:val="1"/>
          <w:numId w:val="1"/>
        </w:numPr>
        <w:spacing w:before="120" w:line="240" w:lineRule="auto"/>
        <w:jc w:val="both"/>
        <w:rPr>
          <w:rFonts w:ascii="黑体" w:hAnsi="黑体" w:eastAsia="黑体"/>
          <w:b w:val="0"/>
          <w:bCs w:val="0"/>
          <w:sz w:val="21"/>
          <w:szCs w:val="21"/>
        </w:rPr>
      </w:pPr>
      <w:bookmarkStart w:id="19" w:name="_Toc208244041"/>
      <w:r>
        <w:rPr>
          <w:rFonts w:ascii="黑体" w:hAnsi="黑体" w:eastAsia="黑体"/>
          <w:b w:val="0"/>
          <w:bCs w:val="0"/>
          <w:sz w:val="21"/>
          <w:szCs w:val="21"/>
        </w:rPr>
        <w:t>过敏性疾病的特异性诊断</w:t>
      </w:r>
      <w:bookmarkEnd w:id="19"/>
    </w:p>
    <w:p w14:paraId="3664B096">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体内检测</w:t>
      </w:r>
    </w:p>
    <w:p w14:paraId="54E42F49">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皮肤试验</w:t>
      </w:r>
    </w:p>
    <w:p w14:paraId="6C250A0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掌握皮肤点刺试验的操作规范（变应原浓度尘螨1:100</w:t>
      </w:r>
      <w:r>
        <w:rPr>
          <w:rFonts w:ascii="Times New Roman" w:hAnsi="Times New Roman" w:eastAsia="宋体" w:cs="Times New Roman"/>
          <w:sz w:val="21"/>
          <w:szCs w:val="21"/>
        </w:rPr>
        <w:t>w/v</w:t>
      </w:r>
      <w:r>
        <w:rPr>
          <w:rFonts w:ascii="Times New Roman" w:hAnsi="Times New Roman" w:eastAsia="宋体" w:cs="Times New Roman"/>
          <w:sz w:val="21"/>
          <w:szCs w:val="21"/>
        </w:rPr>
        <w:t>-1:1000w/v，穿刺深度1</w:t>
      </w:r>
      <w:r>
        <w:rPr>
          <w:rFonts w:ascii="Times New Roman" w:hAnsi="Times New Roman" w:eastAsia="宋体" w:cs="Times New Roman"/>
          <w:sz w:val="21"/>
          <w:szCs w:val="21"/>
        </w:rPr>
        <w:t>mm</w:t>
      </w:r>
      <w:r>
        <w:rPr>
          <w:rFonts w:ascii="Times New Roman" w:hAnsi="Times New Roman" w:eastAsia="宋体" w:cs="Times New Roman"/>
          <w:sz w:val="21"/>
          <w:szCs w:val="21"/>
        </w:rPr>
        <w:t>-2mm）、结果判读标准（风团直径≥3mm且大于阴性对照），能够区分即刻反应（15</w:t>
      </w:r>
      <w:r>
        <w:rPr>
          <w:rFonts w:ascii="Times New Roman" w:hAnsi="Times New Roman" w:eastAsia="宋体" w:cs="Times New Roman"/>
          <w:sz w:val="21"/>
          <w:szCs w:val="21"/>
        </w:rPr>
        <w:t>分钟</w:t>
      </w:r>
      <w:r>
        <w:rPr>
          <w:rFonts w:ascii="Times New Roman" w:hAnsi="Times New Roman" w:eastAsia="宋体" w:cs="Times New Roman"/>
          <w:sz w:val="21"/>
          <w:szCs w:val="21"/>
        </w:rPr>
        <w:t>-30分钟）与迟发反应（6</w:t>
      </w:r>
      <w:r>
        <w:rPr>
          <w:rFonts w:ascii="Times New Roman" w:hAnsi="Times New Roman" w:eastAsia="宋体" w:cs="Times New Roman"/>
          <w:sz w:val="21"/>
          <w:szCs w:val="21"/>
        </w:rPr>
        <w:t>小时</w:t>
      </w:r>
      <w:r>
        <w:rPr>
          <w:rFonts w:ascii="Times New Roman" w:hAnsi="Times New Roman" w:eastAsia="宋体" w:cs="Times New Roman"/>
          <w:sz w:val="21"/>
          <w:szCs w:val="21"/>
        </w:rPr>
        <w:t>-24小时）；熟悉皮内试验的适应证（昆虫毒液、低浓度过敏原）、禁忌证（严重哮喘未控制）；掌握斑贴试验的操作（48小时贴敷，72</w:t>
      </w:r>
      <w:r>
        <w:rPr>
          <w:rFonts w:ascii="Times New Roman" w:hAnsi="Times New Roman" w:eastAsia="宋体" w:cs="Times New Roman"/>
          <w:sz w:val="21"/>
          <w:szCs w:val="21"/>
        </w:rPr>
        <w:t>小时</w:t>
      </w:r>
      <w:r>
        <w:rPr>
          <w:rFonts w:ascii="Times New Roman" w:hAnsi="Times New Roman" w:eastAsia="宋体" w:cs="Times New Roman"/>
          <w:sz w:val="21"/>
          <w:szCs w:val="21"/>
        </w:rPr>
        <w:t>-96小时判读）及变态反应（红斑+丘疹）与刺激性反应（边界模糊红斑）的鉴别。</w:t>
      </w:r>
    </w:p>
    <w:p w14:paraId="5D427591">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激发试验</w:t>
      </w:r>
    </w:p>
    <w:p w14:paraId="4579136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熟悉食物激发试验的金标准（双盲安慰剂对照）、操作流程（递增剂量，每</w:t>
      </w:r>
      <w:r>
        <w:rPr>
          <w:rFonts w:hint="eastAsia" w:ascii="Times New Roman" w:hAnsi="Times New Roman" w:eastAsia="宋体" w:cs="Times New Roman"/>
          <w:sz w:val="21"/>
          <w:szCs w:val="21"/>
        </w:rPr>
        <w:t>3</w:t>
      </w:r>
      <w:r>
        <w:rPr>
          <w:rFonts w:ascii="Times New Roman" w:hAnsi="Times New Roman" w:eastAsia="宋体" w:cs="Times New Roman"/>
          <w:sz w:val="21"/>
          <w:szCs w:val="21"/>
        </w:rPr>
        <w:t>0分钟观察一次）及终止标准（出现呼吸困难、低血压）；掌握支气管激发试验的方法（吸入组胺或变应原，测定 PC20-FEV₁）、结果解读（PC20&lt;8mg/ml提示气道高反应性）；了解鼻激发试验的指标（鼻阻力增加30%、喷嚏≥3个）及在过敏性鼻炎诊断中的价值。</w:t>
      </w:r>
    </w:p>
    <w:p w14:paraId="405EE2FA">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体外检测</w:t>
      </w:r>
    </w:p>
    <w:p w14:paraId="57470CED">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sIgE检测</w:t>
      </w:r>
    </w:p>
    <w:p w14:paraId="467E0D5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掌握酶联免疫荧光法的原理、浓度单位（kUA/L）及临床意义（0.35</w:t>
      </w:r>
      <w:r>
        <w:rPr>
          <w:rFonts w:ascii="Times New Roman" w:hAnsi="Times New Roman" w:eastAsia="宋体" w:cs="Times New Roman"/>
          <w:sz w:val="21"/>
          <w:szCs w:val="21"/>
        </w:rPr>
        <w:t>kUA/L</w:t>
      </w:r>
      <w:r>
        <w:rPr>
          <w:rFonts w:ascii="Times New Roman" w:hAnsi="Times New Roman" w:eastAsia="宋体" w:cs="Times New Roman"/>
          <w:sz w:val="21"/>
          <w:szCs w:val="21"/>
        </w:rPr>
        <w:t>-0.7</w:t>
      </w:r>
      <w:bookmarkStart w:id="20" w:name="OLE_LINK8"/>
      <w:r>
        <w:rPr>
          <w:rFonts w:ascii="Times New Roman" w:hAnsi="Times New Roman" w:eastAsia="宋体" w:cs="Times New Roman"/>
          <w:sz w:val="21"/>
          <w:szCs w:val="21"/>
        </w:rPr>
        <w:t>kUA/L</w:t>
      </w:r>
      <w:bookmarkEnd w:id="20"/>
      <w:r>
        <w:rPr>
          <w:rFonts w:ascii="Times New Roman" w:hAnsi="Times New Roman" w:eastAsia="宋体" w:cs="Times New Roman"/>
          <w:sz w:val="21"/>
          <w:szCs w:val="21"/>
        </w:rPr>
        <w:t>为低水平致敏，&gt;100kUA/L提示强致敏），能够结合临床症状判断结果（如尘螨sIgE&gt;10kUA/L与哮喘控制不佳相关），熟悉不同检测系统（ImmunoCAP、Immulite）的参考范围差异。</w:t>
      </w:r>
    </w:p>
    <w:p w14:paraId="33EDAC0B">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组分解析</w:t>
      </w:r>
      <w:r>
        <w:rPr>
          <w:rFonts w:ascii="Times New Roman" w:hAnsi="Times New Roman" w:eastAsia="黑体" w:cs="Times New Roman"/>
          <w:b w:val="0"/>
          <w:bCs w:val="0"/>
          <w:sz w:val="21"/>
          <w:szCs w:val="21"/>
        </w:rPr>
        <w:t>（CRD）</w:t>
      </w:r>
    </w:p>
    <w:p w14:paraId="43149E9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熟悉CRD的原理（检测单一过敏原组分的sIgE）及应用价值，掌握尘螨（Der p1与哮喘严重度相关）、花粉（Bet v1提示植物食物交叉反应）、食物（Ara h2预测花生严重过敏）等关键组分的临床意义，能够通过组分组合判断交叉反应（如Der p10与甲壳类原肌球蛋白交叉反应），指导免疫治疗方案选择（如Art v1阳性者蒿草免疫治疗应答率高）。</w:t>
      </w:r>
    </w:p>
    <w:p w14:paraId="30F344CC">
      <w:pPr>
        <w:pStyle w:val="185"/>
        <w:numPr>
          <w:ilvl w:val="3"/>
          <w:numId w:val="1"/>
        </w:numPr>
        <w:spacing w:before="0" w:after="0" w:line="240" w:lineRule="auto"/>
        <w:jc w:val="both"/>
        <w:rPr>
          <w:rFonts w:ascii="Times New Roman" w:hAnsi="Times New Roman" w:eastAsia="黑体" w:cs="Times New Roman"/>
          <w:sz w:val="21"/>
          <w:szCs w:val="21"/>
        </w:rPr>
      </w:pPr>
      <w:r>
        <w:rPr>
          <w:rFonts w:ascii="黑体" w:hAnsi="黑体" w:eastAsia="黑体" w:cs="Times New Roman"/>
          <w:b w:val="0"/>
          <w:bCs w:val="0"/>
          <w:sz w:val="21"/>
          <w:szCs w:val="21"/>
        </w:rPr>
        <w:t>嗜碱性粒细胞活化试验</w:t>
      </w:r>
      <w:r>
        <w:rPr>
          <w:rFonts w:ascii="Times New Roman" w:hAnsi="Times New Roman" w:eastAsia="黑体" w:cs="Times New Roman"/>
          <w:b w:val="0"/>
          <w:bCs w:val="0"/>
          <w:sz w:val="21"/>
          <w:szCs w:val="21"/>
        </w:rPr>
        <w:t>（BAT）</w:t>
      </w:r>
    </w:p>
    <w:p w14:paraId="00FBBE0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了解BAT的原理（流式细胞术检测CD63/CD203c表达）、操作流程（全血+变应原孵育，37℃</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30分钟），掌握其在药物过敏（青霉素）、食物过敏（区分真假阳性sIgE）中的诊断价值，能够解读活化率（&gt;20%提示临床相关过敏）及预测免疫治疗反应（活化率高者治疗效果好）。</w:t>
      </w:r>
    </w:p>
    <w:p w14:paraId="13155060">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其他检测技术</w:t>
      </w:r>
    </w:p>
    <w:p w14:paraId="730C552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血清总IgE（辅助诊断高IgE综合征）、类胰蛋白酶（肥大细胞活化标志物，过敏性休克时升高）、嗜酸性粒细胞阳离子蛋白（反映嗜酸粒细胞活化）的检测指征及临床意义，能够合理选择辅助指标（如哮喘患者监测FeNO评估气道炎症）。</w:t>
      </w:r>
    </w:p>
    <w:p w14:paraId="4FC40B58">
      <w:pPr>
        <w:pStyle w:val="4"/>
        <w:numPr>
          <w:ilvl w:val="1"/>
          <w:numId w:val="1"/>
        </w:numPr>
        <w:spacing w:before="120" w:line="240" w:lineRule="auto"/>
        <w:jc w:val="both"/>
        <w:rPr>
          <w:rFonts w:ascii="黑体" w:hAnsi="黑体" w:eastAsia="黑体"/>
          <w:b w:val="0"/>
          <w:bCs w:val="0"/>
          <w:sz w:val="21"/>
          <w:szCs w:val="21"/>
        </w:rPr>
      </w:pPr>
      <w:bookmarkStart w:id="21" w:name="_Toc208244042"/>
      <w:r>
        <w:rPr>
          <w:rFonts w:ascii="黑体" w:hAnsi="黑体" w:eastAsia="黑体"/>
          <w:b w:val="0"/>
          <w:bCs w:val="0"/>
          <w:sz w:val="21"/>
          <w:szCs w:val="21"/>
        </w:rPr>
        <w:t>过敏性疾病管理</w:t>
      </w:r>
      <w:bookmarkEnd w:id="21"/>
    </w:p>
    <w:p w14:paraId="64BB5292">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过敏原的环境控制</w:t>
      </w:r>
    </w:p>
    <w:p w14:paraId="79774D8E">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环境控制</w:t>
      </w:r>
    </w:p>
    <w:p w14:paraId="11C87CB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针对尘螨的控制措施（防螨寝具孔径&lt;10μm、55℃以上热水清洗、湿度&lt;50%）、花粉的规避方案（花粉季关窗、HEPA净化器CADR值≥300m³/h）、霉菌的清除方法（含氯消毒剂500mg/L擦拭、通风除湿）及宠物的隔离策略（限制卧室进入、高效空气过滤器每小时换气≥5次），能够根据过敏原种类制定个性化控制计划。</w:t>
      </w:r>
    </w:p>
    <w:p w14:paraId="44BAA8AF">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饮食管理</w:t>
      </w:r>
    </w:p>
    <w:p w14:paraId="0D2FDE2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能够根据组分诊断指导食物加工（如Gal d1阴性者可耐受烘焙鸡蛋），掌握食品标签解读技巧（识别隐藏过敏原，如“酪蛋白”即牛奶），制定替代饮食方案（牛奶过敏用深度水解配方，坚果过敏用南瓜籽替代），指导高风险场景（外出就餐）的防护措施（提前沟通、携带急救药）。</w:t>
      </w:r>
    </w:p>
    <w:p w14:paraId="6B582470">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药物过敏预防</w:t>
      </w:r>
    </w:p>
    <w:p w14:paraId="3F8C162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药物过敏的预防策略，包括建立过敏标识（病历、手环）、提供安全替代药物（青霉素过敏用克林霉素）、制定脱敏方案（阶梯式递增，如β受体阻滞剂脱敏从1/1000剂量开始），能够为特殊人群（如需长期用阿司匹林的心脏病患者）设计个体化预防方案。</w:t>
      </w:r>
    </w:p>
    <w:p w14:paraId="35BBECF1">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常规药物治疗</w:t>
      </w:r>
    </w:p>
    <w:p w14:paraId="79558ADE">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抗组胺药</w:t>
      </w:r>
    </w:p>
    <w:p w14:paraId="3CDABFA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掌握第一代、第二代的药理特性，明确适应证（过敏性鼻炎、荨麻疹）、剂型选择（</w:t>
      </w:r>
      <w:r>
        <w:rPr>
          <w:rFonts w:hint="eastAsia" w:ascii="Times New Roman" w:hAnsi="Times New Roman" w:eastAsia="宋体" w:cs="Times New Roman"/>
          <w:sz w:val="21"/>
          <w:szCs w:val="21"/>
        </w:rPr>
        <w:t>口服/</w:t>
      </w:r>
      <w:r>
        <w:rPr>
          <w:rFonts w:ascii="Times New Roman" w:hAnsi="Times New Roman" w:eastAsia="宋体" w:cs="Times New Roman"/>
          <w:sz w:val="21"/>
          <w:szCs w:val="21"/>
        </w:rPr>
        <w:t>鼻用）及不良反应管理。</w:t>
      </w:r>
    </w:p>
    <w:p w14:paraId="6E1455B2">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糖皮质激素</w:t>
      </w:r>
    </w:p>
    <w:p w14:paraId="5E7E8E37">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熟悉鼻用激素、吸入激素、口服激素（泼尼松30</w:t>
      </w:r>
      <w:r>
        <w:rPr>
          <w:rFonts w:ascii="Times New Roman" w:hAnsi="Times New Roman" w:eastAsia="宋体" w:cs="Times New Roman"/>
          <w:sz w:val="21"/>
          <w:szCs w:val="21"/>
        </w:rPr>
        <w:t>mg/日</w:t>
      </w:r>
      <w:r>
        <w:rPr>
          <w:rFonts w:ascii="Times New Roman" w:hAnsi="Times New Roman" w:eastAsia="宋体" w:cs="Times New Roman"/>
          <w:sz w:val="21"/>
          <w:szCs w:val="21"/>
        </w:rPr>
        <w:t>-40mg/日，逐渐减量）、外用激素的合理应用原则，掌握疗程控制及副作用监测。</w:t>
      </w:r>
    </w:p>
    <w:p w14:paraId="1B46FA43">
      <w:pPr>
        <w:pStyle w:val="185"/>
        <w:numPr>
          <w:ilvl w:val="3"/>
          <w:numId w:val="1"/>
        </w:numPr>
        <w:spacing w:before="0" w:after="0" w:line="240" w:lineRule="auto"/>
        <w:jc w:val="both"/>
        <w:rPr>
          <w:rFonts w:ascii="黑体" w:hAnsi="黑体" w:eastAsia="黑体" w:cs="Times New Roman"/>
          <w:sz w:val="21"/>
          <w:szCs w:val="21"/>
        </w:rPr>
      </w:pPr>
      <w:r>
        <w:rPr>
          <w:rFonts w:ascii="Times New Roman" w:hAnsi="Times New Roman" w:eastAsia="黑体" w:cs="Times New Roman"/>
          <w:b w:val="0"/>
          <w:bCs w:val="0"/>
          <w:sz w:val="21"/>
          <w:szCs w:val="21"/>
        </w:rPr>
        <w:t>β</w:t>
      </w:r>
      <w:r>
        <w:rPr>
          <w:rFonts w:ascii="黑体" w:hAnsi="黑体" w:eastAsia="黑体" w:cs="Times New Roman"/>
          <w:b w:val="0"/>
          <w:bCs w:val="0"/>
          <w:sz w:val="21"/>
          <w:szCs w:val="21"/>
        </w:rPr>
        <w:t>受体激动剂</w:t>
      </w:r>
    </w:p>
    <w:p w14:paraId="1DB2BEA6">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掌握短效β₂受体激动剂的急救作用，明确长期单独使用的风险；熟悉长效β₂受体激动剂与吸入激素联用的指征，能够监测心脏副作用（心悸、心律失常）。</w:t>
      </w:r>
    </w:p>
    <w:p w14:paraId="29607769">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白三烯受体拮抗剂</w:t>
      </w:r>
    </w:p>
    <w:p w14:paraId="7D35707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了解孟鲁司特</w:t>
      </w:r>
      <w:r>
        <w:rPr>
          <w:rFonts w:hint="eastAsia" w:ascii="Times New Roman" w:hAnsi="Times New Roman" w:eastAsia="宋体" w:cs="Times New Roman"/>
          <w:sz w:val="21"/>
          <w:szCs w:val="21"/>
        </w:rPr>
        <w:t>等白三烯受体拮抗剂</w:t>
      </w:r>
      <w:r>
        <w:rPr>
          <w:rFonts w:ascii="Times New Roman" w:hAnsi="Times New Roman" w:eastAsia="宋体" w:cs="Times New Roman"/>
          <w:sz w:val="21"/>
          <w:szCs w:val="21"/>
        </w:rPr>
        <w:t>的作用机制（阻断白三烯C4受体）、适应证及精神不良反应（噩梦、焦虑），掌握禁忌证（抑郁患者）。</w:t>
      </w:r>
    </w:p>
    <w:p w14:paraId="2CF4D8AA">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肥大细胞稳定剂</w:t>
      </w:r>
    </w:p>
    <w:p w14:paraId="373B60C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熟悉色甘酸钠（鼻喷剂10mg/次，每日4次）的起效特点（1</w:t>
      </w:r>
      <w:r>
        <w:rPr>
          <w:rFonts w:ascii="Times New Roman" w:hAnsi="Times New Roman" w:eastAsia="宋体" w:cs="Times New Roman"/>
          <w:sz w:val="21"/>
          <w:szCs w:val="21"/>
        </w:rPr>
        <w:t>周</w:t>
      </w:r>
      <w:r>
        <w:rPr>
          <w:rFonts w:ascii="Times New Roman" w:hAnsi="Times New Roman" w:eastAsia="宋体" w:cs="Times New Roman"/>
          <w:sz w:val="21"/>
          <w:szCs w:val="21"/>
        </w:rPr>
        <w:t>-2</w:t>
      </w:r>
      <w:bookmarkStart w:id="22" w:name="OLE_LINK9"/>
      <w:r>
        <w:rPr>
          <w:rFonts w:ascii="Times New Roman" w:hAnsi="Times New Roman" w:eastAsia="宋体" w:cs="Times New Roman"/>
          <w:sz w:val="21"/>
          <w:szCs w:val="21"/>
        </w:rPr>
        <w:t>周</w:t>
      </w:r>
      <w:bookmarkEnd w:id="22"/>
      <w:r>
        <w:rPr>
          <w:rFonts w:ascii="Times New Roman" w:hAnsi="Times New Roman" w:eastAsia="宋体" w:cs="Times New Roman"/>
          <w:sz w:val="21"/>
          <w:szCs w:val="21"/>
        </w:rPr>
        <w:t>）、安全性（适用于儿童、孕期）及在食物过敏预防中的作用；掌握酮替芬的双重作用（抗组胺 + 稳定肥大细胞）及嗜睡副作用（夜间用药为宜）。</w:t>
      </w:r>
    </w:p>
    <w:p w14:paraId="22868694">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免疫</w:t>
      </w:r>
      <w:r>
        <w:rPr>
          <w:rFonts w:ascii="Times New Roman" w:hAnsi="Times New Roman" w:eastAsia="黑体" w:cs="Times New Roman"/>
          <w:b w:val="0"/>
          <w:bCs w:val="0"/>
          <w:sz w:val="21"/>
          <w:szCs w:val="21"/>
        </w:rPr>
        <w:t>治疗（AIT）</w:t>
      </w:r>
    </w:p>
    <w:p w14:paraId="162E629F">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适应证筛选</w:t>
      </w:r>
    </w:p>
    <w:p w14:paraId="611864C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掌握AIT的适应证和绝对禁忌证（严重未控制哮喘、自身免疫病活动期、恶性肿瘤），能够评估患者依从性（能否坚持3</w:t>
      </w:r>
      <w:r>
        <w:rPr>
          <w:rFonts w:hint="eastAsia" w:ascii="Times New Roman" w:hAnsi="Times New Roman" w:eastAsia="宋体" w:cs="Times New Roman"/>
          <w:sz w:val="21"/>
          <w:szCs w:val="21"/>
        </w:rPr>
        <w:t>年</w:t>
      </w:r>
      <w:r>
        <w:rPr>
          <w:rFonts w:ascii="Times New Roman" w:hAnsi="Times New Roman" w:eastAsia="宋体" w:cs="Times New Roman"/>
          <w:sz w:val="21"/>
          <w:szCs w:val="21"/>
        </w:rPr>
        <w:t>-5年）和年龄适宜性，准确识别相对禁忌证（β受体阻滞剂使用者、妊娠期）。</w:t>
      </w:r>
    </w:p>
    <w:p w14:paraId="505C8F53">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治疗方案制定</w:t>
      </w:r>
    </w:p>
    <w:p w14:paraId="2B0655B7">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熟悉皮下免疫治疗（SCIT）的常规方案（初始阶段每周1</w:t>
      </w:r>
      <w:r>
        <w:rPr>
          <w:rFonts w:hint="eastAsia" w:ascii="Times New Roman" w:hAnsi="Times New Roman" w:eastAsia="宋体" w:cs="Times New Roman"/>
          <w:sz w:val="21"/>
          <w:szCs w:val="21"/>
        </w:rPr>
        <w:t>次</w:t>
      </w:r>
      <w:r>
        <w:rPr>
          <w:rFonts w:hint="eastAsia" w:ascii="Times New Roman" w:hAnsi="Times New Roman" w:eastAsia="宋体" w:cs="Times New Roman"/>
          <w:sz w:val="21"/>
          <w:szCs w:val="21"/>
        </w:rPr>
        <w:t>-2</w:t>
      </w:r>
      <w:r>
        <w:rPr>
          <w:rFonts w:ascii="Times New Roman" w:hAnsi="Times New Roman" w:eastAsia="宋体" w:cs="Times New Roman"/>
          <w:sz w:val="21"/>
          <w:szCs w:val="21"/>
        </w:rPr>
        <w:t>次，3</w:t>
      </w:r>
      <w:r>
        <w:rPr>
          <w:rFonts w:hint="eastAsia" w:ascii="Times New Roman" w:hAnsi="Times New Roman" w:eastAsia="宋体" w:cs="Times New Roman"/>
          <w:sz w:val="21"/>
          <w:szCs w:val="21"/>
        </w:rPr>
        <w:t>个月</w:t>
      </w:r>
      <w:r>
        <w:rPr>
          <w:rFonts w:ascii="Times New Roman" w:hAnsi="Times New Roman" w:eastAsia="宋体" w:cs="Times New Roman"/>
          <w:sz w:val="21"/>
          <w:szCs w:val="21"/>
        </w:rPr>
        <w:t>-6个月达维持剂量）、集群方案（每周2</w:t>
      </w:r>
      <w:r>
        <w:rPr>
          <w:rFonts w:hint="eastAsia" w:ascii="Times New Roman" w:hAnsi="Times New Roman" w:eastAsia="宋体" w:cs="Times New Roman"/>
          <w:sz w:val="21"/>
          <w:szCs w:val="21"/>
        </w:rPr>
        <w:t>次</w:t>
      </w:r>
      <w:r>
        <w:rPr>
          <w:rFonts w:ascii="Times New Roman" w:hAnsi="Times New Roman" w:eastAsia="宋体" w:cs="Times New Roman"/>
          <w:sz w:val="21"/>
          <w:szCs w:val="21"/>
        </w:rPr>
        <w:t>-3次，8</w:t>
      </w:r>
      <w:r>
        <w:rPr>
          <w:rFonts w:hint="eastAsia" w:ascii="Times New Roman" w:hAnsi="Times New Roman" w:eastAsia="宋体" w:cs="Times New Roman"/>
          <w:sz w:val="21"/>
          <w:szCs w:val="21"/>
        </w:rPr>
        <w:t>周</w:t>
      </w:r>
      <w:r>
        <w:rPr>
          <w:rFonts w:ascii="Times New Roman" w:hAnsi="Times New Roman" w:eastAsia="宋体" w:cs="Times New Roman"/>
          <w:sz w:val="21"/>
          <w:szCs w:val="21"/>
        </w:rPr>
        <w:t>-10周达维持剂量）及注射部位选择（上臂三角肌区）；掌握舌下免疫治疗（SLIT）的剂量递增、用药方法及疗程，能够根据过敏原种类和患者年龄选择治疗方式。</w:t>
      </w:r>
    </w:p>
    <w:p w14:paraId="3A7ADEF3">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不良反应处理</w:t>
      </w:r>
    </w:p>
    <w:p w14:paraId="7116BF4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掌握SCIT局部反应的处理原则；熟悉全身反应的分级（轻度</w:t>
      </w:r>
      <w:r>
        <w:rPr>
          <w:rFonts w:hint="eastAsia" w:ascii="Times New Roman" w:hAnsi="Times New Roman" w:eastAsia="宋体" w:cs="Times New Roman"/>
          <w:sz w:val="21"/>
          <w:szCs w:val="21"/>
        </w:rPr>
        <w:t>/</w:t>
      </w:r>
      <w:r>
        <w:rPr>
          <w:rFonts w:ascii="Times New Roman" w:hAnsi="Times New Roman" w:eastAsia="宋体" w:cs="Times New Roman"/>
          <w:sz w:val="21"/>
          <w:szCs w:val="21"/>
        </w:rPr>
        <w:t>中重度）及急救流程，能够制定不良反应预防</w:t>
      </w:r>
      <w:r>
        <w:rPr>
          <w:rFonts w:hint="eastAsia" w:ascii="Times New Roman" w:hAnsi="Times New Roman" w:eastAsia="宋体" w:cs="Times New Roman"/>
          <w:sz w:val="21"/>
          <w:szCs w:val="21"/>
        </w:rPr>
        <w:t>和急救</w:t>
      </w:r>
      <w:r>
        <w:rPr>
          <w:rFonts w:ascii="Times New Roman" w:hAnsi="Times New Roman" w:eastAsia="宋体" w:cs="Times New Roman"/>
          <w:sz w:val="21"/>
          <w:szCs w:val="21"/>
        </w:rPr>
        <w:t>措施。</w:t>
      </w:r>
    </w:p>
    <w:p w14:paraId="72993765">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疗效评估</w:t>
      </w:r>
    </w:p>
    <w:p w14:paraId="365E3FC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能够采用标准化工具（如鼻炎VAS评分、哮喘ACT评分）评估AIT疗效，掌握起效时间（3</w:t>
      </w:r>
      <w:r>
        <w:rPr>
          <w:rFonts w:hint="eastAsia" w:ascii="Times New Roman" w:hAnsi="Times New Roman" w:eastAsia="宋体" w:cs="Times New Roman"/>
          <w:sz w:val="21"/>
          <w:szCs w:val="21"/>
        </w:rPr>
        <w:t>个月</w:t>
      </w:r>
      <w:r>
        <w:rPr>
          <w:rFonts w:ascii="Times New Roman" w:hAnsi="Times New Roman" w:eastAsia="宋体" w:cs="Times New Roman"/>
          <w:sz w:val="21"/>
          <w:szCs w:val="21"/>
        </w:rPr>
        <w:t>-6个月）及疗效预测因素（组分诊断Art v1阳性者蒿草AIT应答率高），根据反应调整方案（疗效不佳者延长维持期或联合生物制剂）。</w:t>
      </w:r>
    </w:p>
    <w:p w14:paraId="5CD38477">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生物制剂与靶向治疗</w:t>
      </w:r>
    </w:p>
    <w:p w14:paraId="410855E5">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抗</w:t>
      </w:r>
      <w:r>
        <w:rPr>
          <w:rFonts w:ascii="Times New Roman" w:hAnsi="Times New Roman" w:eastAsia="黑体" w:cs="Times New Roman"/>
          <w:b w:val="0"/>
          <w:bCs w:val="0"/>
          <w:sz w:val="21"/>
          <w:szCs w:val="21"/>
        </w:rPr>
        <w:t>IgE</w:t>
      </w:r>
      <w:r>
        <w:rPr>
          <w:rFonts w:ascii="黑体" w:hAnsi="黑体" w:eastAsia="黑体" w:cs="Times New Roman"/>
          <w:b w:val="0"/>
          <w:bCs w:val="0"/>
          <w:sz w:val="21"/>
          <w:szCs w:val="21"/>
        </w:rPr>
        <w:t>单抗</w:t>
      </w:r>
    </w:p>
    <w:p w14:paraId="1078D17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掌握奥马珠单抗的作用机制（结合游离IgE，阻断FcεRI交联）、适应证、剂量计算（根据体重和IgE水平）及给药方式，能够监测疗效（16周评估）和不良反应（注射部位反应、罕见过敏）。</w:t>
      </w:r>
    </w:p>
    <w:p w14:paraId="797546B7">
      <w:pPr>
        <w:pStyle w:val="185"/>
        <w:numPr>
          <w:ilvl w:val="3"/>
          <w:numId w:val="1"/>
        </w:numPr>
        <w:spacing w:before="0" w:after="0" w:line="240" w:lineRule="auto"/>
        <w:jc w:val="both"/>
        <w:rPr>
          <w:rFonts w:ascii="Times New Roman" w:hAnsi="Times New Roman" w:eastAsia="黑体" w:cs="Times New Roman"/>
          <w:sz w:val="21"/>
          <w:szCs w:val="21"/>
        </w:rPr>
      </w:pPr>
      <w:r>
        <w:rPr>
          <w:rFonts w:ascii="黑体" w:hAnsi="黑体" w:eastAsia="黑体" w:cs="Times New Roman"/>
          <w:b w:val="0"/>
          <w:bCs w:val="0"/>
          <w:sz w:val="21"/>
          <w:szCs w:val="21"/>
        </w:rPr>
        <w:t>抗</w:t>
      </w:r>
      <w:r>
        <w:rPr>
          <w:rFonts w:ascii="Times New Roman" w:hAnsi="Times New Roman" w:eastAsia="黑体" w:cs="Times New Roman"/>
          <w:b w:val="0"/>
          <w:bCs w:val="0"/>
          <w:sz w:val="21"/>
          <w:szCs w:val="21"/>
        </w:rPr>
        <w:t>IL-4/13单抗</w:t>
      </w:r>
    </w:p>
    <w:p w14:paraId="71BE633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熟悉度普利尤单抗的双重抑制作用（阻断IL-4Rα，抑制IL-4/IL-13信号）、适应证、用法，掌握不良反应（</w:t>
      </w:r>
      <w:r>
        <w:rPr>
          <w:rFonts w:hint="eastAsia" w:ascii="Times New Roman" w:hAnsi="Times New Roman" w:eastAsia="宋体" w:cs="Times New Roman"/>
          <w:sz w:val="21"/>
          <w:szCs w:val="21"/>
        </w:rPr>
        <w:t>如</w:t>
      </w:r>
      <w:r>
        <w:rPr>
          <w:rFonts w:ascii="Times New Roman" w:hAnsi="Times New Roman" w:eastAsia="宋体" w:cs="Times New Roman"/>
          <w:sz w:val="21"/>
          <w:szCs w:val="21"/>
        </w:rPr>
        <w:t>结膜炎发生率10%）及禁忌证（未控制的寄生虫感染）。</w:t>
      </w:r>
    </w:p>
    <w:p w14:paraId="4D2FDE35">
      <w:pPr>
        <w:pStyle w:val="185"/>
        <w:numPr>
          <w:ilvl w:val="3"/>
          <w:numId w:val="1"/>
        </w:numPr>
        <w:spacing w:before="0" w:after="0" w:line="240" w:lineRule="auto"/>
        <w:jc w:val="both"/>
        <w:rPr>
          <w:rFonts w:ascii="Times New Roman" w:hAnsi="Times New Roman" w:eastAsia="黑体" w:cs="Times New Roman"/>
          <w:sz w:val="21"/>
          <w:szCs w:val="21"/>
        </w:rPr>
      </w:pPr>
      <w:r>
        <w:rPr>
          <w:rFonts w:ascii="Times New Roman" w:hAnsi="Times New Roman" w:eastAsia="黑体" w:cs="Times New Roman"/>
          <w:b w:val="0"/>
          <w:bCs w:val="0"/>
          <w:sz w:val="21"/>
          <w:szCs w:val="21"/>
        </w:rPr>
        <w:t>抗IL-5单抗</w:t>
      </w:r>
    </w:p>
    <w:p w14:paraId="169A3FC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了解美泊利珠单抗、</w:t>
      </w:r>
      <w:r>
        <w:rPr>
          <w:rFonts w:hint="eastAsia" w:ascii="Times New Roman" w:hAnsi="Times New Roman" w:eastAsia="宋体" w:cs="Times New Roman"/>
          <w:sz w:val="21"/>
          <w:szCs w:val="21"/>
        </w:rPr>
        <w:t>本</w:t>
      </w:r>
      <w:r>
        <w:rPr>
          <w:rFonts w:ascii="Times New Roman" w:hAnsi="Times New Roman" w:eastAsia="宋体" w:cs="Times New Roman"/>
          <w:sz w:val="21"/>
          <w:szCs w:val="21"/>
        </w:rPr>
        <w:t>瑞利珠单抗的作用机制（清除嗜酸粒细胞）、适应证（重度嗜酸粒细胞性哮喘、EGPA），能够监测嗜酸粒细胞计数</w:t>
      </w:r>
      <w:r>
        <w:rPr>
          <w:rFonts w:hint="eastAsia" w:ascii="Times New Roman" w:hAnsi="Times New Roman" w:eastAsia="宋体" w:cs="Times New Roman"/>
          <w:sz w:val="21"/>
          <w:szCs w:val="21"/>
        </w:rPr>
        <w:t>和评估疗效</w:t>
      </w:r>
      <w:r>
        <w:rPr>
          <w:rFonts w:ascii="Times New Roman" w:hAnsi="Times New Roman" w:eastAsia="宋体" w:cs="Times New Roman"/>
          <w:sz w:val="21"/>
          <w:szCs w:val="21"/>
        </w:rPr>
        <w:t>。</w:t>
      </w:r>
    </w:p>
    <w:p w14:paraId="1CF8F491">
      <w:pPr>
        <w:pStyle w:val="185"/>
        <w:numPr>
          <w:ilvl w:val="3"/>
          <w:numId w:val="1"/>
        </w:numPr>
        <w:spacing w:before="0" w:after="0" w:line="240" w:lineRule="auto"/>
        <w:jc w:val="both"/>
        <w:rPr>
          <w:rFonts w:ascii="黑体" w:hAnsi="黑体" w:eastAsia="黑体" w:cs="Times New Roman"/>
          <w:sz w:val="21"/>
          <w:szCs w:val="21"/>
        </w:rPr>
      </w:pPr>
      <w:r>
        <w:rPr>
          <w:rFonts w:ascii="Times New Roman" w:hAnsi="Times New Roman" w:eastAsia="黑体" w:cs="Times New Roman"/>
          <w:b w:val="0"/>
          <w:bCs w:val="0"/>
          <w:sz w:val="21"/>
          <w:szCs w:val="21"/>
        </w:rPr>
        <w:t>JAK</w:t>
      </w:r>
      <w:r>
        <w:rPr>
          <w:rFonts w:ascii="黑体" w:hAnsi="黑体" w:eastAsia="黑体" w:cs="Times New Roman"/>
          <w:b w:val="0"/>
          <w:bCs w:val="0"/>
          <w:sz w:val="21"/>
          <w:szCs w:val="21"/>
        </w:rPr>
        <w:t>抑制剂</w:t>
      </w:r>
    </w:p>
    <w:p w14:paraId="0425045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w:t>
      </w:r>
      <w:r>
        <w:rPr>
          <w:rFonts w:hint="eastAsia" w:ascii="Times New Roman" w:hAnsi="Times New Roman" w:eastAsia="宋体" w:cs="Times New Roman"/>
          <w:sz w:val="21"/>
          <w:szCs w:val="21"/>
        </w:rPr>
        <w:t>乌帕替尼、</w:t>
      </w:r>
      <w:r>
        <w:rPr>
          <w:rFonts w:ascii="Times New Roman" w:hAnsi="Times New Roman" w:eastAsia="宋体" w:cs="Times New Roman"/>
          <w:sz w:val="21"/>
          <w:szCs w:val="21"/>
        </w:rPr>
        <w:t>阿布昔替尼</w:t>
      </w:r>
      <w:r>
        <w:rPr>
          <w:rFonts w:hint="eastAsia" w:ascii="Times New Roman" w:hAnsi="Times New Roman" w:eastAsia="宋体" w:cs="Times New Roman"/>
          <w:sz w:val="21"/>
          <w:szCs w:val="21"/>
        </w:rPr>
        <w:t>等JAC抑制剂</w:t>
      </w:r>
      <w:r>
        <w:rPr>
          <w:rFonts w:ascii="Times New Roman" w:hAnsi="Times New Roman" w:eastAsia="宋体" w:cs="Times New Roman"/>
          <w:sz w:val="21"/>
          <w:szCs w:val="21"/>
        </w:rPr>
        <w:t>的作用机制、适应证，熟悉监测要求及禁忌证。</w:t>
      </w:r>
    </w:p>
    <w:p w14:paraId="48D1BB53">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急症处理</w:t>
      </w:r>
    </w:p>
    <w:p w14:paraId="1097741D">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过敏性休克</w:t>
      </w:r>
    </w:p>
    <w:p w14:paraId="735E628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掌握过敏性休克的识别要点、标准化急救流程，能够实施高级生命支持（液体复苏、气管插管），处理双相反应。</w:t>
      </w:r>
    </w:p>
    <w:p w14:paraId="21B036F8">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重症哮喘发作</w:t>
      </w:r>
    </w:p>
    <w:p w14:paraId="26AC1EB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熟悉重症哮喘的判断标准（FEV₁&lt;30%预计值、意识改变）、处理原则（SABA每20分钟雾化吸入，联合全身激素甲泼尼龙40</w:t>
      </w:r>
      <w:r>
        <w:rPr>
          <w:rFonts w:ascii="Times New Roman" w:hAnsi="Times New Roman" w:eastAsia="宋体" w:cs="Times New Roman"/>
          <w:sz w:val="21"/>
          <w:szCs w:val="21"/>
        </w:rPr>
        <w:t>mg</w:t>
      </w:r>
      <w:r>
        <w:rPr>
          <w:rFonts w:ascii="Times New Roman" w:hAnsi="Times New Roman" w:eastAsia="宋体" w:cs="Times New Roman"/>
          <w:sz w:val="21"/>
          <w:szCs w:val="21"/>
        </w:rPr>
        <w:t>-80</w:t>
      </w:r>
      <w:bookmarkStart w:id="23" w:name="OLE_LINK12"/>
      <w:r>
        <w:rPr>
          <w:rFonts w:ascii="Times New Roman" w:hAnsi="Times New Roman" w:eastAsia="宋体" w:cs="Times New Roman"/>
          <w:sz w:val="21"/>
          <w:szCs w:val="21"/>
        </w:rPr>
        <w:t>mg</w:t>
      </w:r>
      <w:bookmarkEnd w:id="23"/>
      <w:r>
        <w:rPr>
          <w:rFonts w:ascii="Times New Roman" w:hAnsi="Times New Roman" w:eastAsia="宋体" w:cs="Times New Roman"/>
          <w:sz w:val="21"/>
          <w:szCs w:val="21"/>
        </w:rPr>
        <w:t>静脉注射），掌握无创通气（BiPAP）的应用指征（呼吸频率&gt;30次/分、PaCO₂&gt;45mmHg）及气管插管时机（意识模糊、呼吸抑制）。</w:t>
      </w:r>
    </w:p>
    <w:p w14:paraId="257EE9D6">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其他急症</w:t>
      </w:r>
    </w:p>
    <w:p w14:paraId="1F23635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掌握严重荨麻疹（全身风团伴呼吸困难）的处理（肌注苯海拉明20mg + 静脉甲泼尼龙40mg）、血管性水肿（喉头受累）的急救（肾上腺素雾化+静脉激素），能够识别食物依赖运动诱发的过敏反应（进食后6小时内运动诱发），制定个体化急救方案。</w:t>
      </w:r>
    </w:p>
    <w:p w14:paraId="52FE793B">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急救体系建设</w:t>
      </w:r>
    </w:p>
    <w:p w14:paraId="5A78E18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能够参与医疗机构过敏急救体系的建设，包括制定急救流程、培训医护人员、配备急救设备（肾上腺素笔、气管切开包）、建立过敏反应登记系统，定期开展模拟演练（每年至少2次）。</w:t>
      </w:r>
    </w:p>
    <w:p w14:paraId="31F8D466">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患者教育</w:t>
      </w:r>
    </w:p>
    <w:p w14:paraId="2D93D6FD">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疾病知识教育</w:t>
      </w:r>
    </w:p>
    <w:p w14:paraId="3A7933F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能够用通俗语言解释疾病机制（如“过敏是免疫系统对无害物质的过度反应”）、诊断依据（如“皮肤点刺试验帮助找到‘过敏原凶手’”）及治疗目标（如“哮喘控制到能正常运动”），避免专业术语，确保患者理解疾病的慢性特性及长期管理的重要性。</w:t>
      </w:r>
    </w:p>
    <w:p w14:paraId="6E9351D2">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技能培训</w:t>
      </w:r>
    </w:p>
    <w:p w14:paraId="28C859C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指导患者正确使用药物（如吸入装置“呼气-含嘴-深吸-屏气10秒”）、实施环境控制（如除螨仪使用方法）、操作急救设备（肾上腺素笔“拔盖-扎大腿-按压10秒”），通过回示法确认掌握程度，针对老年人、儿童家长等特殊人群提供个性化指导。</w:t>
      </w:r>
    </w:p>
    <w:p w14:paraId="104DAB43">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心理支持</w:t>
      </w:r>
    </w:p>
    <w:p w14:paraId="4ED8165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关注患者的心理状态，识别焦虑（如因反复发作产生恐惧）、抑郁（如青少年因外貌自卑）等情绪问题，通过成功案例分享（如脱敏治疗后症状改善）、同伴支持小组等方式缓解心理负担，必要时转诊心理科。</w:t>
      </w:r>
    </w:p>
    <w:p w14:paraId="661E03AD">
      <w:pPr>
        <w:pStyle w:val="185"/>
        <w:numPr>
          <w:ilvl w:val="3"/>
          <w:numId w:val="1"/>
        </w:numPr>
        <w:spacing w:before="0" w:after="0" w:line="240" w:lineRule="auto"/>
        <w:jc w:val="both"/>
        <w:rPr>
          <w:rFonts w:ascii="黑体" w:hAnsi="黑体" w:eastAsia="黑体" w:cs="Times New Roman"/>
          <w:sz w:val="21"/>
          <w:szCs w:val="21"/>
        </w:rPr>
      </w:pPr>
      <w:r>
        <w:rPr>
          <w:rFonts w:ascii="黑体" w:hAnsi="黑体" w:eastAsia="黑体" w:cs="Times New Roman"/>
          <w:b w:val="0"/>
          <w:bCs w:val="0"/>
          <w:sz w:val="21"/>
          <w:szCs w:val="21"/>
        </w:rPr>
        <w:t>长期管理</w:t>
      </w:r>
    </w:p>
    <w:p w14:paraId="5B15EC81">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帮助患者制定个性化管理计划（如免疫治疗期间的随访时间表），建立症状日记（记录发作频率、诱因），利用线上平台（微信公众号、APP）推送提醒（用药、复诊），提高治疗依从性（目标≥80%），定期评估生活质量（如DLQI评分）并调整方案。</w:t>
      </w:r>
    </w:p>
    <w:p w14:paraId="709C336E">
      <w:pPr>
        <w:pStyle w:val="4"/>
        <w:numPr>
          <w:ilvl w:val="1"/>
          <w:numId w:val="1"/>
        </w:numPr>
        <w:spacing w:before="120" w:line="240" w:lineRule="auto"/>
        <w:jc w:val="both"/>
        <w:rPr>
          <w:rFonts w:ascii="黑体" w:hAnsi="黑体" w:eastAsia="黑体"/>
          <w:b w:val="0"/>
          <w:bCs w:val="0"/>
          <w:sz w:val="21"/>
          <w:szCs w:val="21"/>
        </w:rPr>
      </w:pPr>
      <w:bookmarkStart w:id="24" w:name="_Toc208244043"/>
      <w:r>
        <w:rPr>
          <w:rFonts w:ascii="黑体" w:hAnsi="黑体" w:eastAsia="黑体"/>
          <w:b w:val="0"/>
          <w:bCs w:val="0"/>
          <w:sz w:val="21"/>
          <w:szCs w:val="21"/>
        </w:rPr>
        <w:t>掌握常见过敏性疾病</w:t>
      </w:r>
      <w:bookmarkEnd w:id="24"/>
    </w:p>
    <w:p w14:paraId="6673EDEA">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疾病内容框架</w:t>
      </w:r>
    </w:p>
    <w:p w14:paraId="086B2A9D">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每种疾病需掌握：</w:t>
      </w:r>
      <w:r>
        <w:rPr>
          <w:rFonts w:ascii="Cambria Math" w:hAnsi="Cambria Math" w:eastAsia="宋体" w:cs="Cambria Math"/>
          <w:sz w:val="21"/>
          <w:szCs w:val="21"/>
        </w:rPr>
        <w:t>①</w:t>
      </w:r>
      <w:r>
        <w:rPr>
          <w:rFonts w:ascii="Times New Roman" w:hAnsi="Times New Roman" w:eastAsia="宋体" w:cs="Times New Roman"/>
          <w:sz w:val="21"/>
          <w:szCs w:val="21"/>
        </w:rPr>
        <w:t>定义（疾病本质与核心特征）；</w:t>
      </w:r>
      <w:r>
        <w:rPr>
          <w:rFonts w:ascii="Cambria Math" w:hAnsi="Cambria Math" w:eastAsia="宋体" w:cs="Cambria Math"/>
          <w:sz w:val="21"/>
          <w:szCs w:val="21"/>
        </w:rPr>
        <w:t>②</w:t>
      </w:r>
      <w:r>
        <w:rPr>
          <w:rFonts w:ascii="Times New Roman" w:hAnsi="Times New Roman" w:eastAsia="宋体" w:cs="Times New Roman"/>
          <w:sz w:val="21"/>
          <w:szCs w:val="21"/>
        </w:rPr>
        <w:t>流行病学（患病率、人群分布、危险因素）；</w:t>
      </w:r>
      <w:r>
        <w:rPr>
          <w:rFonts w:ascii="Cambria Math" w:hAnsi="Cambria Math" w:eastAsia="宋体" w:cs="Cambria Math"/>
          <w:sz w:val="21"/>
          <w:szCs w:val="21"/>
        </w:rPr>
        <w:t>③</w:t>
      </w:r>
      <w:r>
        <w:rPr>
          <w:rFonts w:ascii="Times New Roman" w:hAnsi="Times New Roman" w:eastAsia="宋体" w:cs="Times New Roman"/>
          <w:sz w:val="21"/>
          <w:szCs w:val="21"/>
        </w:rPr>
        <w:t>发病机制（免疫通路、细胞因子、遗传因素）；</w:t>
      </w:r>
      <w:r>
        <w:rPr>
          <w:rFonts w:ascii="Cambria Math" w:hAnsi="Cambria Math" w:eastAsia="宋体" w:cs="Cambria Math"/>
          <w:sz w:val="21"/>
          <w:szCs w:val="21"/>
        </w:rPr>
        <w:t>④</w:t>
      </w:r>
      <w:r>
        <w:rPr>
          <w:rFonts w:ascii="Times New Roman" w:hAnsi="Times New Roman" w:eastAsia="宋体" w:cs="Times New Roman"/>
          <w:sz w:val="21"/>
          <w:szCs w:val="21"/>
        </w:rPr>
        <w:t>临床表现（典型症状、体征、分期 / 分型）；</w:t>
      </w:r>
      <w:r>
        <w:rPr>
          <w:rFonts w:ascii="Cambria Math" w:hAnsi="Cambria Math" w:eastAsia="宋体" w:cs="Cambria Math"/>
          <w:sz w:val="21"/>
          <w:szCs w:val="21"/>
        </w:rPr>
        <w:t>⑤</w:t>
      </w:r>
      <w:r>
        <w:rPr>
          <w:rFonts w:ascii="Times New Roman" w:hAnsi="Times New Roman" w:eastAsia="宋体" w:cs="Times New Roman"/>
          <w:sz w:val="21"/>
          <w:szCs w:val="21"/>
        </w:rPr>
        <w:t>诊断和鉴别诊断（关键指标、鉴别要点、诊断标准）；</w:t>
      </w:r>
      <w:r>
        <w:rPr>
          <w:rFonts w:ascii="Cambria Math" w:hAnsi="Cambria Math" w:eastAsia="宋体" w:cs="Cambria Math"/>
          <w:sz w:val="21"/>
          <w:szCs w:val="21"/>
        </w:rPr>
        <w:t>⑥</w:t>
      </w:r>
      <w:r>
        <w:rPr>
          <w:rFonts w:ascii="Times New Roman" w:hAnsi="Times New Roman" w:eastAsia="宋体" w:cs="Times New Roman"/>
          <w:sz w:val="21"/>
          <w:szCs w:val="21"/>
        </w:rPr>
        <w:t>治疗（阶梯治疗方案、药物选择、疗效评估）；</w:t>
      </w:r>
      <w:r>
        <w:rPr>
          <w:rFonts w:ascii="Cambria Math" w:hAnsi="Cambria Math" w:eastAsia="宋体" w:cs="Cambria Math"/>
          <w:sz w:val="21"/>
          <w:szCs w:val="21"/>
        </w:rPr>
        <w:t>⑦</w:t>
      </w:r>
      <w:r>
        <w:rPr>
          <w:rFonts w:ascii="Times New Roman" w:hAnsi="Times New Roman" w:eastAsia="宋体" w:cs="Times New Roman"/>
          <w:sz w:val="21"/>
          <w:szCs w:val="21"/>
        </w:rPr>
        <w:t>预后（自然病程、影响预后的因素）。</w:t>
      </w:r>
    </w:p>
    <w:p w14:paraId="6804BFE4">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各疾病重点内容</w:t>
      </w:r>
    </w:p>
    <w:p w14:paraId="1B1DF550">
      <w:pPr>
        <w:pStyle w:val="185"/>
        <w:numPr>
          <w:ilvl w:val="3"/>
          <w:numId w:val="1"/>
        </w:numPr>
        <w:spacing w:before="0" w:after="0" w:line="240" w:lineRule="auto"/>
        <w:ind w:left="720" w:hanging="720"/>
        <w:jc w:val="both"/>
        <w:rPr>
          <w:rFonts w:hint="eastAsia" w:ascii="黑体" w:hAnsi="黑体" w:eastAsia="黑体" w:cs="Times New Roman"/>
          <w:sz w:val="21"/>
          <w:szCs w:val="21"/>
        </w:rPr>
      </w:pPr>
      <w:r>
        <w:rPr>
          <w:rFonts w:ascii="黑体" w:hAnsi="黑体" w:eastAsia="黑体" w:cs="Times New Roman"/>
          <w:b w:val="0"/>
          <w:bCs w:val="0"/>
          <w:sz w:val="21"/>
          <w:szCs w:val="21"/>
        </w:rPr>
        <w:t>过敏性鼻炎</w:t>
      </w:r>
    </w:p>
    <w:p w14:paraId="4BC2F96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定义：掌握IgE介导的鼻黏膜非感染性炎性疾病的核心特征（阵发性喷嚏、清水样涕、鼻痒、鼻塞）。</w:t>
      </w:r>
    </w:p>
    <w:p w14:paraId="1670265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流行病学：了解我国总体患病率17.6%，华北、华东地区高发，春秋季为高峰，影响20</w:t>
      </w:r>
      <w:r>
        <w:rPr>
          <w:rFonts w:hint="eastAsia" w:ascii="Times New Roman" w:hAnsi="Times New Roman" w:eastAsia="宋体" w:cs="Times New Roman"/>
          <w:sz w:val="21"/>
          <w:szCs w:val="21"/>
        </w:rPr>
        <w:t>岁</w:t>
      </w:r>
      <w:r>
        <w:rPr>
          <w:rFonts w:ascii="Times New Roman" w:hAnsi="Times New Roman" w:eastAsia="宋体" w:cs="Times New Roman"/>
          <w:sz w:val="21"/>
          <w:szCs w:val="21"/>
        </w:rPr>
        <w:t>-40岁人群为主。</w:t>
      </w:r>
    </w:p>
    <w:p w14:paraId="05562B0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发病机制：明确Th2型免疫应答（IL-4/IL-13驱动）、鼻黏膜上皮屏障破坏、神经敏感性增高等核心机制。</w:t>
      </w:r>
    </w:p>
    <w:p w14:paraId="2064B20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临床表现：掌握间歇性（&lt;4天/周）与持续性（≥4天/周）分型，轻度（不影响睡眠）与中重度（影响生活质量）分级的特征。</w:t>
      </w:r>
    </w:p>
    <w:p w14:paraId="5007F00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诊断和鉴别诊断：熟练应用症状 + 过敏原检测（皮肤点刺或sIgE≥0.35kUA/L）的诊断标准，能与感染性鼻炎（脓涕、发热）、血管运动性鼻炎（遇冷热刺激发作）鉴别。</w:t>
      </w:r>
    </w:p>
    <w:p w14:paraId="11B35997">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治疗：掌握阶梯治疗方案（轻度用第二代抗组胺药或鼻用激素；中重度联用鼻用激素+抗组胺药，必要时加白三烯调节剂），明确免疫治疗的适应证（尘螨/花粉过敏，药物疗效不佳）。</w:t>
      </w:r>
    </w:p>
    <w:p w14:paraId="2AD6C48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预后：了解规范治疗可控制症状，但易复发，需长期管理，预防进展为哮喘（风险降低50%）。</w:t>
      </w:r>
    </w:p>
    <w:p w14:paraId="185F67E6">
      <w:pPr>
        <w:pStyle w:val="185"/>
        <w:numPr>
          <w:ilvl w:val="3"/>
          <w:numId w:val="1"/>
        </w:numPr>
        <w:spacing w:before="0" w:after="0" w:line="240" w:lineRule="auto"/>
        <w:ind w:left="720" w:hanging="720"/>
        <w:jc w:val="both"/>
        <w:rPr>
          <w:rFonts w:hint="eastAsia" w:ascii="黑体" w:hAnsi="黑体" w:eastAsia="黑体" w:cs="Times New Roman"/>
          <w:sz w:val="21"/>
          <w:szCs w:val="21"/>
        </w:rPr>
      </w:pPr>
      <w:r>
        <w:rPr>
          <w:rFonts w:ascii="黑体" w:hAnsi="黑体" w:eastAsia="黑体" w:cs="Times New Roman"/>
          <w:b w:val="0"/>
          <w:bCs w:val="0"/>
          <w:sz w:val="21"/>
          <w:szCs w:val="21"/>
        </w:rPr>
        <w:t>过敏性哮喘</w:t>
      </w:r>
    </w:p>
    <w:p w14:paraId="14F0A13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定义：掌握气道慢性炎症性疾病的本质（IgE介导，可逆性气流受限、气道高反应性）。</w:t>
      </w:r>
    </w:p>
    <w:p w14:paraId="44044EC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流行病学：明确我国城市儿童患病率2.3%，农村1.1%，40岁以上成人逐年上升，与城市化、过敏原暴露相关。</w:t>
      </w:r>
    </w:p>
    <w:p w14:paraId="5AC4D50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发病机制：熟悉Th2细胞因子（IL-4/IL-5/IL-13）介导的气道炎症、黏液高分泌、气道重塑（平滑肌增生）等核心机制。</w:t>
      </w:r>
    </w:p>
    <w:p w14:paraId="06B10D1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临床表现：掌握急性发作期（喘息、呼吸困难）、慢性持续期（不同频率咳嗽）、临床缓解期（无症状≥1年）的分期特征，能识别重症预警信号（大汗、端坐呼吸）。</w:t>
      </w:r>
    </w:p>
    <w:p w14:paraId="43AA35C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诊断和鉴别诊断：熟练应用肺功能（FEV₁改善率≥12%）+过敏原阳性的诊断标准，能与COPD（中老年、不可逆气流受限）、支气管扩张（影像学支气管扩张征象）鉴别。</w:t>
      </w:r>
    </w:p>
    <w:p w14:paraId="2BE3205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治疗：掌握急性发作（SABA+全身激素）和长期控制（吸入激素±LABA、生物制剂）的分级治疗方案，明确过敏原回避的基础作用。</w:t>
      </w:r>
    </w:p>
    <w:p w14:paraId="2686CEC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预后：了解儿童期干预可改善肺功能，成人重症患者若出现气道重塑则预后较差，需早期生物制剂干预。</w:t>
      </w:r>
    </w:p>
    <w:p w14:paraId="136D2D18">
      <w:pPr>
        <w:pStyle w:val="185"/>
        <w:numPr>
          <w:ilvl w:val="3"/>
          <w:numId w:val="1"/>
        </w:numPr>
        <w:spacing w:before="0" w:after="0" w:line="240" w:lineRule="auto"/>
        <w:ind w:left="720" w:hanging="720"/>
        <w:jc w:val="both"/>
        <w:rPr>
          <w:rFonts w:hint="eastAsia" w:ascii="黑体" w:hAnsi="黑体" w:eastAsia="黑体" w:cs="Times New Roman"/>
          <w:sz w:val="21"/>
          <w:szCs w:val="21"/>
        </w:rPr>
      </w:pPr>
      <w:r>
        <w:rPr>
          <w:rFonts w:ascii="黑体" w:hAnsi="黑体" w:eastAsia="黑体" w:cs="Times New Roman"/>
          <w:b w:val="0"/>
          <w:bCs w:val="0"/>
          <w:sz w:val="21"/>
          <w:szCs w:val="21"/>
        </w:rPr>
        <w:t>特应性皮炎</w:t>
      </w:r>
    </w:p>
    <w:p w14:paraId="3C439E9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定义：掌握与遗传过敏素质相关的慢性炎症性皮肤病特征（剧烈瘙痒、湿疹样皮疹、反复发作）。</w:t>
      </w:r>
    </w:p>
    <w:p w14:paraId="12984C3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流行病学：明确儿童患病率12.9%，城市高于农村，FLG 基因突变者风险增加3倍，与抗生素早期使用相关。</w:t>
      </w:r>
    </w:p>
    <w:p w14:paraId="7CBE642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发病机制：熟悉皮肤屏障缺陷（FLG突变）、Th2型炎症（IL-4/IL-13 升高）、皮肤菌群失调（金黄色葡萄球菌定植）的协同作用。</w:t>
      </w:r>
    </w:p>
    <w:p w14:paraId="32FEDCE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临床表现：掌握婴儿期（面颊湿疹）、儿童期（肘窝/腘窝苔藓样变）、成人期（局限性肥厚斑块）的分型特征，能评估严重度（EASI评分）。</w:t>
      </w:r>
    </w:p>
    <w:p w14:paraId="0AC85BF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诊断和鉴别诊断：依据皮疹形态、病程、家族史进行诊断，能与接触性皮炎（明确接触史）、银屑病（鳞屑性红斑）鉴别。</w:t>
      </w:r>
    </w:p>
    <w:p w14:paraId="6AB0A71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治疗：掌握阶梯方案（基础保湿+外用激素，中重度加免疫抑制剂或生物制剂），强调长期维持治疗（预防复发）。</w:t>
      </w:r>
    </w:p>
    <w:p w14:paraId="5B7C1A6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预后：了解儿童期患者60%可在青春期缓解，成人期发病者易慢性化，需警惕共病（食物过敏、哮喘）。</w:t>
      </w:r>
    </w:p>
    <w:p w14:paraId="768A1B7E">
      <w:pPr>
        <w:pStyle w:val="185"/>
        <w:numPr>
          <w:ilvl w:val="3"/>
          <w:numId w:val="1"/>
        </w:numPr>
        <w:spacing w:before="0" w:after="0" w:line="240" w:lineRule="auto"/>
        <w:ind w:left="720" w:hanging="720"/>
        <w:jc w:val="both"/>
        <w:rPr>
          <w:rFonts w:hint="eastAsia" w:ascii="黑体" w:hAnsi="黑体" w:eastAsia="黑体" w:cs="Times New Roman"/>
          <w:sz w:val="21"/>
          <w:szCs w:val="21"/>
        </w:rPr>
      </w:pPr>
      <w:r>
        <w:rPr>
          <w:rFonts w:ascii="黑体" w:hAnsi="黑体" w:eastAsia="黑体" w:cs="Times New Roman"/>
          <w:b w:val="0"/>
          <w:bCs w:val="0"/>
          <w:sz w:val="21"/>
          <w:szCs w:val="21"/>
        </w:rPr>
        <w:t>荨麻疹与血管性水肿</w:t>
      </w:r>
    </w:p>
    <w:p w14:paraId="7280F197">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定义：掌握荨麻疹（皮肤黏膜暂时性风团）与血管性水肿（深层组织肿胀）的免疫介导机制（肥大细胞活化）。</w:t>
      </w:r>
    </w:p>
    <w:p w14:paraId="37F19A8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流行病学：明确急性荨麻疹患病率15</w:t>
      </w:r>
      <w:r>
        <w:rPr>
          <w:rFonts w:hint="eastAsia" w:ascii="Times New Roman" w:hAnsi="Times New Roman" w:eastAsia="宋体" w:cs="Times New Roman"/>
          <w:sz w:val="21"/>
          <w:szCs w:val="21"/>
        </w:rPr>
        <w:t>%</w:t>
      </w:r>
      <w:r>
        <w:rPr>
          <w:rFonts w:ascii="Times New Roman" w:hAnsi="Times New Roman" w:eastAsia="宋体" w:cs="Times New Roman"/>
          <w:sz w:val="21"/>
          <w:szCs w:val="21"/>
        </w:rPr>
        <w:t>-20%（任何年龄），慢性荨麻疹0.5</w:t>
      </w:r>
      <w:r>
        <w:rPr>
          <w:rFonts w:hint="eastAsia" w:ascii="Times New Roman" w:hAnsi="Times New Roman" w:eastAsia="宋体" w:cs="Times New Roman"/>
          <w:sz w:val="21"/>
          <w:szCs w:val="21"/>
        </w:rPr>
        <w:t>%</w:t>
      </w:r>
      <w:r>
        <w:rPr>
          <w:rFonts w:ascii="Times New Roman" w:hAnsi="Times New Roman" w:eastAsia="宋体" w:cs="Times New Roman"/>
          <w:sz w:val="21"/>
          <w:szCs w:val="21"/>
        </w:rPr>
        <w:t>-1%，女性多于男性，与食物、药物、感染相关。</w:t>
      </w:r>
    </w:p>
    <w:p w14:paraId="22D7FC9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发病机制：熟悉IgE介导（食物、药物）和自身免疫（抗FcεRI抗体）的肥大细胞脱颗粒机制，明确补体异常在遗传性血管性水肿中的作用。</w:t>
      </w:r>
    </w:p>
    <w:p w14:paraId="7F9238B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临床表现：掌握急性（&lt;6周）与慢性（&gt;6周）荨麻疹的区分，能识别血管性水肿的高危部位（喉头、胃肠道）。</w:t>
      </w:r>
    </w:p>
    <w:p w14:paraId="0B6676D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诊断和鉴别诊断：根据风团/肿胀特点诊断，慢性者需筛查甲状腺功能，能与荨麻疹性血管炎（紫癜、持续24小时以上）鉴别。</w:t>
      </w:r>
    </w:p>
    <w:p w14:paraId="083BE8B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治疗：急性者用第二代抗组胺药，重症加激素；慢性者加倍剂量抗组胺药，无效者用奥马珠单抗。</w:t>
      </w:r>
    </w:p>
    <w:p w14:paraId="761C5DE6">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预后：急性者1</w:t>
      </w:r>
      <w:r>
        <w:rPr>
          <w:rFonts w:ascii="Times New Roman" w:hAnsi="Times New Roman" w:eastAsia="宋体" w:cs="Times New Roman"/>
          <w:sz w:val="21"/>
          <w:szCs w:val="21"/>
        </w:rPr>
        <w:t>周</w:t>
      </w:r>
      <w:r>
        <w:rPr>
          <w:rFonts w:ascii="Times New Roman" w:hAnsi="Times New Roman" w:eastAsia="宋体" w:cs="Times New Roman"/>
          <w:sz w:val="21"/>
          <w:szCs w:val="21"/>
        </w:rPr>
        <w:t>-2周缓解，慢性者病程可达数年，自身免疫性者预后较差。</w:t>
      </w:r>
    </w:p>
    <w:p w14:paraId="5C01B04F">
      <w:pPr>
        <w:pStyle w:val="185"/>
        <w:numPr>
          <w:ilvl w:val="3"/>
          <w:numId w:val="1"/>
        </w:numPr>
        <w:spacing w:before="0" w:after="0" w:line="240" w:lineRule="auto"/>
        <w:ind w:left="720" w:hanging="720"/>
        <w:jc w:val="both"/>
        <w:rPr>
          <w:rFonts w:hint="eastAsia" w:ascii="黑体" w:hAnsi="黑体" w:eastAsia="黑体" w:cs="Times New Roman"/>
          <w:sz w:val="21"/>
          <w:szCs w:val="21"/>
        </w:rPr>
      </w:pPr>
      <w:r>
        <w:rPr>
          <w:rFonts w:ascii="黑体" w:hAnsi="黑体" w:eastAsia="黑体" w:cs="Times New Roman"/>
          <w:b w:val="0"/>
          <w:bCs w:val="0"/>
          <w:sz w:val="21"/>
          <w:szCs w:val="21"/>
        </w:rPr>
        <w:t>接触性皮炎</w:t>
      </w:r>
    </w:p>
    <w:p w14:paraId="527303C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定义：掌握皮肤接触外源性物质后的炎症反应，区分变应性（迟发型超敏反应）与刺激性（直接损伤）。</w:t>
      </w:r>
    </w:p>
    <w:p w14:paraId="25777FD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流行病学：明确职业人群（化工、医护）高发，女性因化妆品使用多而患病率高于男性，镍、香料是主要诱因。</w:t>
      </w:r>
    </w:p>
    <w:p w14:paraId="7D959C8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发病机制：熟悉变应性接触性皮炎的T细胞介导机制（朗格汉斯细胞呈递抗原，Th1细胞活化），刺激性皮炎的细胞毒性作用。</w:t>
      </w:r>
    </w:p>
    <w:p w14:paraId="304DC3C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临床表现：掌握接触部位红斑、丘疹、水疱的特征，边界与接触物一致，伴瘙痒或灼痛，能区分急性期（水疱、渗出）与慢性期（苔藓化）。</w:t>
      </w:r>
    </w:p>
    <w:p w14:paraId="08CC240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诊断和鉴别诊断：依据接触史 + 斑贴试验阳性诊断变应性类型，能与湿疹（无明确接触史）鉴别。</w:t>
      </w:r>
    </w:p>
    <w:p w14:paraId="3E1CC3A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治疗：避免接触致敏原，急性期冷敷 + 激素溶液，亚急性期用激素乳膏，重症口服激素。</w:t>
      </w:r>
    </w:p>
    <w:p w14:paraId="4611E57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预后：及时规避者2</w:t>
      </w:r>
      <w:r>
        <w:rPr>
          <w:rFonts w:ascii="Times New Roman" w:hAnsi="Times New Roman" w:eastAsia="宋体" w:cs="Times New Roman"/>
          <w:sz w:val="21"/>
          <w:szCs w:val="21"/>
        </w:rPr>
        <w:t>周</w:t>
      </w:r>
      <w:r>
        <w:rPr>
          <w:rFonts w:ascii="Times New Roman" w:hAnsi="Times New Roman" w:eastAsia="宋体" w:cs="Times New Roman"/>
          <w:sz w:val="21"/>
          <w:szCs w:val="21"/>
        </w:rPr>
        <w:t>-4周痊愈，反复接触可慢性化，职业性病例可能需调换岗位。</w:t>
      </w:r>
    </w:p>
    <w:p w14:paraId="7EA5FA94">
      <w:pPr>
        <w:pStyle w:val="185"/>
        <w:numPr>
          <w:ilvl w:val="3"/>
          <w:numId w:val="1"/>
        </w:numPr>
        <w:spacing w:before="0" w:after="0" w:line="240" w:lineRule="auto"/>
        <w:ind w:left="720" w:hanging="720"/>
        <w:jc w:val="both"/>
        <w:rPr>
          <w:rFonts w:hint="eastAsia" w:ascii="黑体" w:hAnsi="黑体" w:eastAsia="黑体" w:cs="Times New Roman"/>
          <w:sz w:val="21"/>
          <w:szCs w:val="21"/>
        </w:rPr>
      </w:pPr>
      <w:r>
        <w:rPr>
          <w:rFonts w:ascii="黑体" w:hAnsi="黑体" w:eastAsia="黑体" w:cs="Times New Roman"/>
          <w:b w:val="0"/>
          <w:bCs w:val="0"/>
          <w:sz w:val="21"/>
          <w:szCs w:val="21"/>
        </w:rPr>
        <w:t>食物过敏</w:t>
      </w:r>
    </w:p>
    <w:p w14:paraId="054152A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定义：掌握食物抗原引发的免疫反应，区分 IgE 介导（速发）与非 IgE 介导（迟发）类型。</w:t>
      </w:r>
    </w:p>
    <w:p w14:paraId="5E3CEC5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流行病学：明确婴幼儿牛奶、鸡蛋过敏率最高（约 2-3%），随年龄下降；花生、坚果过敏持续性强（成人患病率 0.5-1%），沿海地区海鲜过敏高发。</w:t>
      </w:r>
    </w:p>
    <w:p w14:paraId="38B0BFC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发病机制：熟悉 IgE 介导的肥大细胞脱颗粒（速发反应）、T 细胞介导的肠道炎症（迟发反应），明确肠道屏障缺陷的促进作用。</w:t>
      </w:r>
    </w:p>
    <w:p w14:paraId="266C779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临床表现：掌握 IgE 介导的荨麻疹、喉头水肿（数分钟至 2 小时）与非 IgE 介导的腹泻、便血（数小时至数天）的差异。</w:t>
      </w:r>
    </w:p>
    <w:p w14:paraId="14B162C6">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诊断和鉴别诊断：以食物激发试验为金标准，结合病史和 sIgE 检测，能与食物不耐受（非免疫机制）鉴别。</w:t>
      </w:r>
    </w:p>
    <w:p w14:paraId="3509C531">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治疗：严格回避过敏原，急性反应用肾上腺素 + 抗组胺药，牛奶 / 鸡蛋过敏儿童可尝试口服脱敏（医疗监护下）。</w:t>
      </w:r>
    </w:p>
    <w:p w14:paraId="4865C94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预后：80% 牛奶、鸡蛋过敏儿童 5 岁后耐受，花生、坚果过敏仅 20% 可耐受，需长期随访评估。</w:t>
      </w:r>
    </w:p>
    <w:p w14:paraId="1997DAF2">
      <w:pPr>
        <w:pStyle w:val="185"/>
        <w:numPr>
          <w:ilvl w:val="3"/>
          <w:numId w:val="1"/>
        </w:numPr>
        <w:spacing w:before="0" w:after="0" w:line="240" w:lineRule="auto"/>
        <w:ind w:left="720" w:hanging="720"/>
        <w:jc w:val="both"/>
        <w:rPr>
          <w:rFonts w:hint="eastAsia" w:ascii="黑体" w:hAnsi="黑体" w:eastAsia="黑体" w:cs="Times New Roman"/>
          <w:sz w:val="21"/>
          <w:szCs w:val="21"/>
        </w:rPr>
      </w:pPr>
      <w:r>
        <w:rPr>
          <w:rFonts w:ascii="黑体" w:hAnsi="黑体" w:eastAsia="黑体" w:cs="Times New Roman"/>
          <w:b w:val="0"/>
          <w:bCs w:val="0"/>
          <w:sz w:val="21"/>
          <w:szCs w:val="21"/>
        </w:rPr>
        <w:t>药物过敏</w:t>
      </w:r>
    </w:p>
    <w:p w14:paraId="2AE74777">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定义：掌握药物通过免疫机制引发的不良反应，涵盖速发型（1小时内）和迟发型（数天至数周）。</w:t>
      </w:r>
    </w:p>
    <w:p w14:paraId="34EFE2E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流行病学：明确抗生素（占60%）、非甾体抗炎药是主要诱因，住院患者药物过敏发生率约1</w:t>
      </w:r>
      <w:r>
        <w:rPr>
          <w:rFonts w:hint="eastAsia" w:ascii="Times New Roman" w:hAnsi="Times New Roman" w:eastAsia="宋体" w:cs="Times New Roman"/>
          <w:sz w:val="21"/>
          <w:szCs w:val="21"/>
        </w:rPr>
        <w:t>%</w:t>
      </w:r>
      <w:r>
        <w:rPr>
          <w:rFonts w:ascii="Times New Roman" w:hAnsi="Times New Roman" w:eastAsia="宋体" w:cs="Times New Roman"/>
          <w:sz w:val="21"/>
          <w:szCs w:val="21"/>
        </w:rPr>
        <w:t>-3%，老年人群风险更高。</w:t>
      </w:r>
    </w:p>
    <w:p w14:paraId="337D070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发病机制：熟悉半抗原-载体结合机制（青霉素）、T 细胞直接识别（抗癫痫药）、HLA限制性（如HLA-B*15:02与卡马西平反应）。</w:t>
      </w:r>
    </w:p>
    <w:p w14:paraId="4CCFE8A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熟悉遗传标记临床应用：如HLA-B</w:t>
      </w:r>
      <w:r>
        <w:rPr>
          <w:rFonts w:ascii="Times New Roman" w:hAnsi="Times New Roman" w:eastAsia="宋体" w:cs="Times New Roman"/>
          <w:i w:val="0"/>
          <w:iCs w:val="0"/>
          <w:sz w:val="21"/>
          <w:szCs w:val="21"/>
        </w:rPr>
        <w:t>57:01与阿巴卡韦、HLA-B</w:t>
      </w:r>
      <w:r>
        <w:rPr>
          <w:rFonts w:ascii="Times New Roman" w:hAnsi="Times New Roman" w:eastAsia="宋体" w:cs="Times New Roman"/>
          <w:sz w:val="21"/>
          <w:szCs w:val="21"/>
        </w:rPr>
        <w:t>15:02与卡马西平、HLA-A*31:01与卡马西平的基因检测指征及解读，明确检测结果对用药选择的指导意义。</w:t>
      </w:r>
    </w:p>
    <w:p w14:paraId="1868A5B3">
      <w:pPr>
        <w:pStyle w:val="185"/>
        <w:numPr>
          <w:ilvl w:val="0"/>
          <w:numId w:val="0"/>
        </w:numPr>
        <w:spacing w:before="0" w:after="0" w:line="240" w:lineRule="auto"/>
        <w:ind w:left="0" w:firstLine="420"/>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临床表现：掌握荨麻疹、药疹（迟发）、Stevens-Johnson综合征（重症）的特征，能识别DRESS综合征（发热、皮疹、脏器受累）。</w:t>
      </w:r>
    </w:p>
    <w:p w14:paraId="76B0629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诊断和鉴别诊断：依据用药史+皮肤试验/淋巴细胞转化试验，能与药物不良反应（非免疫机制）鉴别。</w:t>
      </w:r>
    </w:p>
    <w:p w14:paraId="2848AE3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治疗：</w:t>
      </w:r>
      <w:r>
        <w:rPr>
          <w:rFonts w:hint="eastAsia" w:ascii="Times New Roman" w:hAnsi="Times New Roman" w:eastAsia="宋体" w:cs="Times New Roman"/>
          <w:sz w:val="21"/>
          <w:szCs w:val="21"/>
        </w:rPr>
        <w:t>掌握首要措施是</w:t>
      </w:r>
      <w:r>
        <w:rPr>
          <w:rFonts w:ascii="Times New Roman" w:hAnsi="Times New Roman" w:eastAsia="宋体" w:cs="Times New Roman"/>
          <w:sz w:val="21"/>
          <w:szCs w:val="21"/>
        </w:rPr>
        <w:t>立即停药</w:t>
      </w:r>
      <w:r>
        <w:rPr>
          <w:rFonts w:hint="eastAsia" w:ascii="Times New Roman" w:hAnsi="Times New Roman" w:eastAsia="宋体" w:cs="Times New Roman"/>
          <w:sz w:val="21"/>
          <w:szCs w:val="21"/>
        </w:rPr>
        <w:t>、</w:t>
      </w:r>
      <w:r>
        <w:rPr>
          <w:rFonts w:ascii="Times New Roman" w:hAnsi="Times New Roman" w:eastAsia="宋体" w:cs="Times New Roman"/>
          <w:sz w:val="21"/>
          <w:szCs w:val="21"/>
        </w:rPr>
        <w:t>避免再次使用致敏药，具备轻症</w:t>
      </w:r>
      <w:r>
        <w:rPr>
          <w:rFonts w:hint="eastAsia" w:ascii="Times New Roman" w:hAnsi="Times New Roman" w:eastAsia="宋体" w:cs="Times New Roman"/>
          <w:sz w:val="21"/>
          <w:szCs w:val="21"/>
        </w:rPr>
        <w:t>和</w:t>
      </w:r>
      <w:r>
        <w:rPr>
          <w:rFonts w:ascii="Times New Roman" w:hAnsi="Times New Roman" w:eastAsia="宋体" w:cs="Times New Roman"/>
          <w:sz w:val="21"/>
          <w:szCs w:val="21"/>
        </w:rPr>
        <w:t>复杂药物反应处置能力：包括严重皮肤不良反应（DRESS/SJS/TEN）的早期识别，β-内酰胺类以外抗生素（如万古霉素红人综合征）、化疗药物及生物制剂超敏的管理策略</w:t>
      </w:r>
      <w:r>
        <w:rPr>
          <w:rFonts w:hint="eastAsia" w:ascii="Times New Roman" w:hAnsi="Times New Roman" w:eastAsia="宋体" w:cs="Times New Roman"/>
          <w:sz w:val="21"/>
          <w:szCs w:val="21"/>
        </w:rPr>
        <w:t>。</w:t>
      </w:r>
      <w:r>
        <w:rPr>
          <w:rFonts w:ascii="Times New Roman" w:hAnsi="Times New Roman" w:eastAsia="宋体" w:cs="Times New Roman"/>
          <w:sz w:val="21"/>
          <w:szCs w:val="21"/>
        </w:rPr>
        <w:t>能组织实施药物激发试验</w:t>
      </w:r>
      <w:r>
        <w:rPr>
          <w:rFonts w:hint="eastAsia" w:ascii="Times New Roman" w:hAnsi="Times New Roman" w:eastAsia="宋体" w:cs="Times New Roman"/>
          <w:sz w:val="21"/>
          <w:szCs w:val="21"/>
        </w:rPr>
        <w:t>，</w:t>
      </w:r>
      <w:r>
        <w:rPr>
          <w:rFonts w:ascii="Times New Roman" w:hAnsi="Times New Roman" w:eastAsia="宋体" w:cs="Times New Roman"/>
          <w:sz w:val="21"/>
          <w:szCs w:val="21"/>
        </w:rPr>
        <w:t>能够制定脱敏方案</w:t>
      </w:r>
      <w:r>
        <w:rPr>
          <w:rFonts w:hint="eastAsia" w:ascii="Times New Roman" w:hAnsi="Times New Roman" w:eastAsia="宋体" w:cs="Times New Roman"/>
          <w:sz w:val="21"/>
          <w:szCs w:val="21"/>
        </w:rPr>
        <w:t>，</w:t>
      </w:r>
      <w:r>
        <w:rPr>
          <w:rFonts w:ascii="Times New Roman" w:hAnsi="Times New Roman" w:eastAsia="宋体" w:cs="Times New Roman"/>
          <w:sz w:val="21"/>
          <w:szCs w:val="21"/>
        </w:rPr>
        <w:t>指导</w:t>
      </w:r>
      <w:r>
        <w:rPr>
          <w:rFonts w:hint="eastAsia" w:ascii="Times New Roman" w:hAnsi="Times New Roman" w:eastAsia="宋体" w:cs="Times New Roman"/>
          <w:sz w:val="21"/>
          <w:szCs w:val="21"/>
        </w:rPr>
        <w:t>药物</w:t>
      </w:r>
      <w:r>
        <w:rPr>
          <w:rFonts w:ascii="Times New Roman" w:hAnsi="Times New Roman" w:eastAsia="宋体" w:cs="Times New Roman"/>
          <w:sz w:val="21"/>
          <w:szCs w:val="21"/>
        </w:rPr>
        <w:t>过敏患者的脱敏治疗</w:t>
      </w:r>
      <w:r>
        <w:rPr>
          <w:rFonts w:hint="eastAsia" w:ascii="Times New Roman" w:hAnsi="Times New Roman" w:eastAsia="宋体" w:cs="Times New Roman"/>
          <w:sz w:val="21"/>
          <w:szCs w:val="21"/>
        </w:rPr>
        <w:t>。</w:t>
      </w:r>
    </w:p>
    <w:p w14:paraId="6502F59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（8）</w:t>
      </w:r>
      <w:r>
        <w:rPr>
          <w:rFonts w:ascii="Times New Roman" w:hAnsi="Times New Roman" w:eastAsia="宋体" w:cs="Times New Roman"/>
          <w:sz w:val="21"/>
          <w:szCs w:val="21"/>
        </w:rPr>
        <w:t>预后：轻症1</w:t>
      </w:r>
      <w:r>
        <w:rPr>
          <w:rFonts w:hint="eastAsia" w:ascii="Times New Roman" w:hAnsi="Times New Roman" w:eastAsia="宋体" w:cs="Times New Roman"/>
          <w:sz w:val="21"/>
          <w:szCs w:val="21"/>
        </w:rPr>
        <w:t>周</w:t>
      </w:r>
      <w:r>
        <w:rPr>
          <w:rFonts w:ascii="Times New Roman" w:hAnsi="Times New Roman" w:eastAsia="宋体" w:cs="Times New Roman"/>
          <w:sz w:val="21"/>
          <w:szCs w:val="21"/>
        </w:rPr>
        <w:t>-2周恢复，重症（如Stevens-Johnson）可能遗留瘢痕，甚至死亡。</w:t>
      </w:r>
    </w:p>
    <w:p w14:paraId="27129387">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严重全身反应</w:t>
      </w:r>
    </w:p>
    <w:p w14:paraId="33A8750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定义：掌握接触过敏原后危及生命的全身性过敏反应，核心特征为低血压和/或气道梗阻。</w:t>
      </w:r>
    </w:p>
    <w:p w14:paraId="7895D731">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流行病学：明确食物（花生、海鲜）、药物（抗生素）、昆虫毒液是主要诱因，儿童发生率高于成人，女性略多于男性。</w:t>
      </w:r>
    </w:p>
    <w:p w14:paraId="323BBB1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发病机制：熟悉肥大细胞/嗜碱性粒细胞大量释放介质（组胺、PAF）导致血管扩张、通透性增加、气道痉挛的级联反应。</w:t>
      </w:r>
    </w:p>
    <w:p w14:paraId="5367084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临床表现：掌握速发（15</w:t>
      </w:r>
      <w:r>
        <w:rPr>
          <w:rFonts w:ascii="Times New Roman" w:hAnsi="Times New Roman" w:eastAsia="宋体" w:cs="Times New Roman"/>
          <w:sz w:val="21"/>
          <w:szCs w:val="21"/>
        </w:rPr>
        <w:t>分钟</w:t>
      </w:r>
      <w:r>
        <w:rPr>
          <w:rFonts w:ascii="Times New Roman" w:hAnsi="Times New Roman" w:eastAsia="宋体" w:cs="Times New Roman"/>
          <w:sz w:val="21"/>
          <w:szCs w:val="21"/>
        </w:rPr>
        <w:t>-30分钟）多系统症状（皮肤 + 呼吸 / 循环），警惕双相反应（2</w:t>
      </w:r>
      <w:r>
        <w:rPr>
          <w:rFonts w:ascii="Times New Roman" w:hAnsi="Times New Roman" w:eastAsia="宋体" w:cs="Times New Roman"/>
          <w:sz w:val="21"/>
          <w:szCs w:val="21"/>
        </w:rPr>
        <w:t>小时</w:t>
      </w:r>
      <w:r>
        <w:rPr>
          <w:rFonts w:ascii="Times New Roman" w:hAnsi="Times New Roman" w:eastAsia="宋体" w:cs="Times New Roman"/>
          <w:sz w:val="21"/>
          <w:szCs w:val="21"/>
        </w:rPr>
        <w:t>-8</w:t>
      </w:r>
      <w:bookmarkStart w:id="25" w:name="OLE_LINK13"/>
      <w:r>
        <w:rPr>
          <w:rFonts w:ascii="Times New Roman" w:hAnsi="Times New Roman" w:eastAsia="宋体" w:cs="Times New Roman"/>
          <w:sz w:val="21"/>
          <w:szCs w:val="21"/>
        </w:rPr>
        <w:t>小时</w:t>
      </w:r>
      <w:bookmarkEnd w:id="25"/>
      <w:r>
        <w:rPr>
          <w:rFonts w:ascii="Times New Roman" w:hAnsi="Times New Roman" w:eastAsia="宋体" w:cs="Times New Roman"/>
          <w:sz w:val="21"/>
          <w:szCs w:val="21"/>
        </w:rPr>
        <w:t>复发）。</w:t>
      </w:r>
    </w:p>
    <w:p w14:paraId="548A1E1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诊断和鉴别诊断：依据接触史和多系统受累表现诊断，能与败血症休克（发热、感染指标升高）鉴别。</w:t>
      </w:r>
    </w:p>
    <w:p w14:paraId="666D2D81">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治疗：首选肾上腺素肌内注射，联合液体复苏、气道管理，观察24小时防复发。</w:t>
      </w:r>
    </w:p>
    <w:p w14:paraId="5F83EB5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预后：及时治疗者预后良好，延迟用肾上腺素者死亡率增加10倍，有喉头水肿者需警惕后遗症。</w:t>
      </w:r>
    </w:p>
    <w:p w14:paraId="453776A9">
      <w:pPr>
        <w:pStyle w:val="4"/>
        <w:numPr>
          <w:ilvl w:val="1"/>
          <w:numId w:val="1"/>
        </w:numPr>
        <w:spacing w:before="120" w:line="240" w:lineRule="auto"/>
        <w:jc w:val="both"/>
        <w:rPr>
          <w:rFonts w:ascii="黑体" w:hAnsi="黑体" w:eastAsia="黑体"/>
          <w:b w:val="0"/>
          <w:bCs w:val="0"/>
          <w:sz w:val="21"/>
          <w:szCs w:val="21"/>
        </w:rPr>
      </w:pPr>
      <w:bookmarkStart w:id="26" w:name="_Toc208244044"/>
      <w:r>
        <w:rPr>
          <w:rFonts w:ascii="黑体" w:hAnsi="黑体" w:eastAsia="黑体"/>
          <w:b w:val="0"/>
          <w:bCs w:val="0"/>
          <w:sz w:val="21"/>
          <w:szCs w:val="21"/>
        </w:rPr>
        <w:t>了解过敏相关疾病及罕见病</w:t>
      </w:r>
      <w:bookmarkEnd w:id="26"/>
    </w:p>
    <w:p w14:paraId="53025666">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疾病内容框架</w:t>
      </w:r>
    </w:p>
    <w:p w14:paraId="440642FB">
      <w:pPr>
        <w:pStyle w:val="185"/>
        <w:spacing w:before="0" w:after="0" w:line="240" w:lineRule="auto"/>
        <w:ind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每种疾病需掌握：</w:t>
      </w:r>
      <w:r>
        <w:rPr>
          <w:rFonts w:hint="eastAsia" w:ascii="Cambria Math" w:hAnsi="Cambria Math" w:eastAsia="宋体" w:cs="Cambria Math"/>
          <w:sz w:val="21"/>
          <w:szCs w:val="21"/>
        </w:rPr>
        <w:t>①</w:t>
      </w:r>
      <w:r>
        <w:rPr>
          <w:rFonts w:ascii="Times New Roman" w:hAnsi="Times New Roman" w:eastAsia="宋体" w:cs="Times New Roman"/>
          <w:sz w:val="21"/>
          <w:szCs w:val="21"/>
        </w:rPr>
        <w:t>定义与病因；</w:t>
      </w:r>
      <w:r>
        <w:rPr>
          <w:rFonts w:hint="eastAsia" w:ascii="Cambria Math" w:hAnsi="Cambria Math" w:eastAsia="宋体" w:cs="Cambria Math"/>
          <w:sz w:val="21"/>
          <w:szCs w:val="21"/>
        </w:rPr>
        <w:t>②</w:t>
      </w:r>
      <w:r>
        <w:rPr>
          <w:rFonts w:ascii="Times New Roman" w:hAnsi="Times New Roman" w:eastAsia="宋体" w:cs="Times New Roman"/>
          <w:sz w:val="21"/>
          <w:szCs w:val="21"/>
        </w:rPr>
        <w:t>流行病学特征；</w:t>
      </w:r>
      <w:r>
        <w:rPr>
          <w:rFonts w:hint="eastAsia" w:ascii="Cambria Math" w:hAnsi="Cambria Math" w:eastAsia="宋体" w:cs="Cambria Math"/>
          <w:sz w:val="21"/>
          <w:szCs w:val="21"/>
        </w:rPr>
        <w:t>③</w:t>
      </w:r>
      <w:r>
        <w:rPr>
          <w:rFonts w:ascii="Times New Roman" w:hAnsi="Times New Roman" w:eastAsia="宋体" w:cs="Times New Roman"/>
          <w:sz w:val="21"/>
          <w:szCs w:val="21"/>
        </w:rPr>
        <w:t>核心临床表现；</w:t>
      </w:r>
      <w:r>
        <w:rPr>
          <w:rFonts w:hint="eastAsia" w:ascii="Cambria Math" w:hAnsi="Cambria Math" w:eastAsia="宋体" w:cs="Cambria Math"/>
          <w:sz w:val="21"/>
          <w:szCs w:val="21"/>
        </w:rPr>
        <w:t>④</w:t>
      </w:r>
      <w:r>
        <w:rPr>
          <w:rFonts w:ascii="Times New Roman" w:hAnsi="Times New Roman" w:eastAsia="宋体" w:cs="Times New Roman"/>
          <w:sz w:val="21"/>
          <w:szCs w:val="21"/>
        </w:rPr>
        <w:t>关键诊断依据；</w:t>
      </w:r>
      <w:r>
        <w:rPr>
          <w:rFonts w:hint="eastAsia" w:ascii="Cambria Math" w:hAnsi="Cambria Math" w:eastAsia="宋体" w:cs="Cambria Math"/>
          <w:sz w:val="21"/>
          <w:szCs w:val="21"/>
        </w:rPr>
        <w:t>⑤</w:t>
      </w:r>
      <w:r>
        <w:rPr>
          <w:rFonts w:ascii="Times New Roman" w:hAnsi="Times New Roman" w:eastAsia="宋体" w:cs="Times New Roman"/>
          <w:sz w:val="21"/>
          <w:szCs w:val="21"/>
        </w:rPr>
        <w:t>主要治疗原则；</w:t>
      </w:r>
      <w:r>
        <w:rPr>
          <w:rFonts w:hint="eastAsia" w:ascii="Cambria Math" w:hAnsi="Cambria Math" w:eastAsia="宋体" w:cs="Cambria Math"/>
          <w:sz w:val="21"/>
          <w:szCs w:val="21"/>
        </w:rPr>
        <w:t>⑥</w:t>
      </w:r>
      <w:r>
        <w:rPr>
          <w:rFonts w:ascii="Times New Roman" w:hAnsi="Times New Roman" w:eastAsia="宋体" w:cs="Times New Roman"/>
          <w:sz w:val="21"/>
          <w:szCs w:val="21"/>
        </w:rPr>
        <w:t>转诊指征。</w:t>
      </w:r>
    </w:p>
    <w:p w14:paraId="084959E7">
      <w:pPr>
        <w:pStyle w:val="5"/>
        <w:numPr>
          <w:ilvl w:val="2"/>
          <w:numId w:val="1"/>
        </w:numPr>
        <w:spacing w:before="0" w:after="0" w:line="240" w:lineRule="auto"/>
        <w:jc w:val="both"/>
        <w:rPr>
          <w:rFonts w:ascii="黑体" w:hAnsi="黑体" w:eastAsia="黑体"/>
          <w:b w:val="0"/>
          <w:bCs w:val="0"/>
          <w:sz w:val="21"/>
          <w:szCs w:val="21"/>
        </w:rPr>
      </w:pPr>
      <w:r>
        <w:rPr>
          <w:rFonts w:ascii="黑体" w:hAnsi="黑体" w:eastAsia="黑体"/>
          <w:b w:val="0"/>
          <w:bCs w:val="0"/>
          <w:sz w:val="21"/>
          <w:szCs w:val="21"/>
        </w:rPr>
        <w:t>相关疾病及罕见病</w:t>
      </w:r>
    </w:p>
    <w:p w14:paraId="7CA9A191">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遗传</w:t>
      </w:r>
      <w:r>
        <w:rPr>
          <w:rFonts w:ascii="Times New Roman" w:hAnsi="Times New Roman" w:eastAsia="黑体" w:cs="Times New Roman"/>
          <w:b w:val="0"/>
          <w:bCs w:val="0"/>
          <w:sz w:val="21"/>
          <w:szCs w:val="21"/>
        </w:rPr>
        <w:t>性血管性水肿（HAE）</w:t>
      </w:r>
    </w:p>
    <w:p w14:paraId="221707D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定义与病因：掌握C1INH缺乏（Ⅰ型）或功能异常（Ⅱ型）导致的补体系统激活障碍，属常染色体显性遗传（突变基因SERPING1）。</w:t>
      </w:r>
    </w:p>
    <w:p w14:paraId="0AA4CE81">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流行病学：了解全球患病率1/50000，无性别差异，儿童期发病，青春期加重。</w:t>
      </w:r>
    </w:p>
    <w:p w14:paraId="24944676">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核心临床表现：反复发作的皮下水肿（面部、四肢）、黏膜水肿（喉头、胃肠道），无荨麻疹，持续2</w:t>
      </w:r>
      <w:r>
        <w:rPr>
          <w:rFonts w:hint="eastAsia" w:ascii="Times New Roman" w:hAnsi="Times New Roman" w:eastAsia="宋体" w:cs="Times New Roman"/>
          <w:sz w:val="21"/>
          <w:szCs w:val="21"/>
        </w:rPr>
        <w:t>天</w:t>
      </w:r>
      <w:r>
        <w:rPr>
          <w:rFonts w:ascii="Times New Roman" w:hAnsi="Times New Roman" w:eastAsia="宋体" w:cs="Times New Roman"/>
          <w:sz w:val="21"/>
          <w:szCs w:val="21"/>
        </w:rPr>
        <w:t>-5天。</w:t>
      </w:r>
    </w:p>
    <w:p w14:paraId="29402E6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关键诊断依据：C1INH水平&lt;50%或功能缺陷，C4水平降低，家族史阳性。</w:t>
      </w:r>
    </w:p>
    <w:p w14:paraId="2556398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主要治疗原则：急性发作用 C1INH 浓缩物（1000U静脉注射），预防用雄烯二酮衍生物（达那唑）。</w:t>
      </w:r>
    </w:p>
    <w:p w14:paraId="2039EF6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转诊指征：首次发作、喉头水肿、诊断不明确者需转诊至三级医院。</w:t>
      </w:r>
    </w:p>
    <w:p w14:paraId="236F3236">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嗜酸性粒细胞性食管炎/胃肠炎</w:t>
      </w:r>
    </w:p>
    <w:p w14:paraId="70C149F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定义与病因：掌握食管/胃肠道黏膜嗜酸性粒细胞浸润为特征的慢性炎症，与食物过敏（小麦、牛奶）密切相关。</w:t>
      </w:r>
    </w:p>
    <w:p w14:paraId="7D470F21">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流行病学：了解发病率10/10万，男性多于女性，儿童和青壮年高发，城市化地区多见。</w:t>
      </w:r>
    </w:p>
    <w:p w14:paraId="57477DE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核心临床表现：食管炎者吞咽困难、食物嵌塞；胃肠炎者腹痛、腹泻、体重下降。</w:t>
      </w:r>
    </w:p>
    <w:p w14:paraId="581DF13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关键诊断依据：内镜活检见嗜酸性粒细胞浸润（食管≥15个/HPF，胃肠≥30个/HPF），排除寄生虫感染。</w:t>
      </w:r>
    </w:p>
    <w:p w14:paraId="682CE5B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主要治疗原则：六类基础食物剔除饮食（牛奶、鸡蛋、小麦、大豆、坚果、海鲜），局部用布地奈德混悬液。</w:t>
      </w:r>
    </w:p>
    <w:p w14:paraId="77EDA64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转诊指征：吞咽困难致体重下降、药物治疗无效者需转诊。</w:t>
      </w:r>
    </w:p>
    <w:p w14:paraId="4662AB80">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食物蛋白诱导的小肠结肠炎</w:t>
      </w:r>
      <w:r>
        <w:rPr>
          <w:rFonts w:ascii="Times New Roman" w:hAnsi="Times New Roman" w:eastAsia="黑体" w:cs="Times New Roman"/>
          <w:b w:val="0"/>
          <w:bCs w:val="0"/>
          <w:sz w:val="21"/>
          <w:szCs w:val="21"/>
        </w:rPr>
        <w:t>综合征（FPIES）</w:t>
      </w:r>
    </w:p>
    <w:p w14:paraId="08B5BD3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定义与病因：掌握非IgE介导的食物过敏，T细胞介导肠道炎症，多见于婴幼儿，与牛奶、大豆相关。</w:t>
      </w:r>
    </w:p>
    <w:p w14:paraId="3D59795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流行病学：了解发病率1.1/1000活产儿，男性略多，多在生后6个月内发病。</w:t>
      </w:r>
    </w:p>
    <w:p w14:paraId="61A0BCA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核心临床表现：进食后1</w:t>
      </w:r>
      <w:r>
        <w:rPr>
          <w:rFonts w:ascii="Times New Roman" w:hAnsi="Times New Roman" w:eastAsia="宋体" w:cs="Times New Roman"/>
          <w:sz w:val="21"/>
          <w:szCs w:val="21"/>
        </w:rPr>
        <w:t>小时</w:t>
      </w:r>
      <w:r>
        <w:rPr>
          <w:rFonts w:ascii="Times New Roman" w:hAnsi="Times New Roman" w:eastAsia="宋体" w:cs="Times New Roman"/>
          <w:sz w:val="21"/>
          <w:szCs w:val="21"/>
        </w:rPr>
        <w:t>-4小时呕吐、腹泻，严重者脱水、低血压，无皮疹。</w:t>
      </w:r>
    </w:p>
    <w:p w14:paraId="5818B2C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关键诊断依据：食物激发试验重现症状，排除感染性胃肠炎（无发热、白细胞正常）。</w:t>
      </w:r>
    </w:p>
    <w:p w14:paraId="3C2909C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主要治疗原则：回避致敏食物，急性发作予静脉补液，多数2</w:t>
      </w:r>
      <w:r>
        <w:rPr>
          <w:rFonts w:ascii="Times New Roman" w:hAnsi="Times New Roman" w:eastAsia="宋体" w:cs="Times New Roman"/>
          <w:sz w:val="21"/>
          <w:szCs w:val="21"/>
        </w:rPr>
        <w:t>岁</w:t>
      </w:r>
      <w:r>
        <w:rPr>
          <w:rFonts w:ascii="Times New Roman" w:hAnsi="Times New Roman" w:eastAsia="宋体" w:cs="Times New Roman"/>
          <w:sz w:val="21"/>
          <w:szCs w:val="21"/>
        </w:rPr>
        <w:t>-3</w:t>
      </w:r>
      <w:bookmarkStart w:id="27" w:name="OLE_LINK14"/>
      <w:r>
        <w:rPr>
          <w:rFonts w:ascii="Times New Roman" w:hAnsi="Times New Roman" w:eastAsia="宋体" w:cs="Times New Roman"/>
          <w:sz w:val="21"/>
          <w:szCs w:val="21"/>
        </w:rPr>
        <w:t>岁</w:t>
      </w:r>
      <w:bookmarkEnd w:id="27"/>
      <w:r>
        <w:rPr>
          <w:rFonts w:ascii="Times New Roman" w:hAnsi="Times New Roman" w:eastAsia="宋体" w:cs="Times New Roman"/>
          <w:sz w:val="21"/>
          <w:szCs w:val="21"/>
        </w:rPr>
        <w:t>后耐受。</w:t>
      </w:r>
    </w:p>
    <w:p w14:paraId="1F3117D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转诊指征：首次发作、脱水明显、诊断困难者需转诊。</w:t>
      </w:r>
    </w:p>
    <w:p w14:paraId="4E743AAB">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乳糜泻</w:t>
      </w:r>
    </w:p>
    <w:p w14:paraId="265E91A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定义与病因：掌握对麸质（小麦、大麦）不耐受引发的小肠黏膜损伤，与HLA-DQ2/DQ8强关联。</w:t>
      </w:r>
    </w:p>
    <w:p w14:paraId="02A82C7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流行病学：了解欧美患病率1%，我国约0.06%，女性多于男性，可在任何年龄发病。</w:t>
      </w:r>
    </w:p>
    <w:p w14:paraId="36FCD07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核心临床表现：腹泻、脂肪泻、体重下降、营养不良，可伴皮肤疱疹样皮炎。</w:t>
      </w:r>
    </w:p>
    <w:p w14:paraId="1A31A2D7">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关键诊断依据：血清抗麦胶蛋白抗体、抗肌内膜抗体阳性，小肠活检见绒毛萎缩。</w:t>
      </w:r>
    </w:p>
    <w:p w14:paraId="7CDD0A9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主要治疗原则：终身无麸质饮食，补充维生素（B12、铁、叶酸）。</w:t>
      </w:r>
    </w:p>
    <w:p w14:paraId="49FC7225">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转诊指征：疑似病例、需小肠活检者需转诊至消化科联合诊疗。</w:t>
      </w:r>
    </w:p>
    <w:p w14:paraId="4195C051">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慢性鼻窦炎</w:t>
      </w:r>
    </w:p>
    <w:p w14:paraId="367633A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定义与病因：掌握鼻窦黏膜慢性炎症（≥12周），常与过敏性鼻炎、鼻息肉合并存在，感染、过敏为诱因。</w:t>
      </w:r>
    </w:p>
    <w:p w14:paraId="1280A1B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流行病学：了解患病率5</w:t>
      </w:r>
      <w:r>
        <w:rPr>
          <w:rFonts w:hint="eastAsia" w:ascii="Times New Roman" w:hAnsi="Times New Roman" w:eastAsia="宋体" w:cs="Times New Roman"/>
          <w:sz w:val="21"/>
          <w:szCs w:val="21"/>
        </w:rPr>
        <w:t>%</w:t>
      </w:r>
      <w:r>
        <w:rPr>
          <w:rFonts w:ascii="Times New Roman" w:hAnsi="Times New Roman" w:eastAsia="宋体" w:cs="Times New Roman"/>
          <w:sz w:val="21"/>
          <w:szCs w:val="21"/>
        </w:rPr>
        <w:t>-15%，与哮喘、阿司匹林不耐受密切相关，成人多见。</w:t>
      </w:r>
    </w:p>
    <w:p w14:paraId="7E1B964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核心临床表现：鼻塞、脓涕、头痛，可伴嗅觉减退，合并鼻息肉者症状更重。</w:t>
      </w:r>
    </w:p>
    <w:p w14:paraId="1841388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关键诊断依据：鼻窦CT示黏膜增厚或积液，排除急性感染（无发热、病程长）。</w:t>
      </w:r>
    </w:p>
    <w:p w14:paraId="0EB1B9D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主要治疗原则：鼻用激素（糠酸莫米松）、生理盐水冲洗，合并鼻息肉者可用生物制剂（度普利尤单抗）。</w:t>
      </w:r>
    </w:p>
    <w:p w14:paraId="29305BB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转诊指征：药物治疗无效、需手术者转诊至耳鼻喉科。</w:t>
      </w:r>
    </w:p>
    <w:p w14:paraId="2FFD104D">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嗜酸性肉芽肿性多血</w:t>
      </w:r>
      <w:r>
        <w:rPr>
          <w:rFonts w:ascii="Times New Roman" w:hAnsi="Times New Roman" w:eastAsia="黑体" w:cs="Times New Roman"/>
          <w:b w:val="0"/>
          <w:bCs w:val="0"/>
          <w:sz w:val="21"/>
          <w:szCs w:val="21"/>
        </w:rPr>
        <w:t>管炎（EGPA）</w:t>
      </w:r>
    </w:p>
    <w:p w14:paraId="1F58A15E">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定义与病因：掌握累及中小血管的系统性血管炎，伴哮喘和嗜酸粒细胞增多，与ANCA相关。</w:t>
      </w:r>
    </w:p>
    <w:p w14:paraId="59825D6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流行病学：了解发病率1/10万，平均发病年龄40岁，哮喘患者风险高。</w:t>
      </w:r>
    </w:p>
    <w:p w14:paraId="509EBF1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核心临床表现：哮喘、过敏性鼻炎、肺浸润、周围神经病变（多发性单神经炎）。</w:t>
      </w:r>
    </w:p>
    <w:p w14:paraId="23A643B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关键诊断依据：嗜酸粒细胞&gt;1.5×10⁹/L，病理见血管炎和肉芽肿，ANCA可阳性。</w:t>
      </w:r>
    </w:p>
    <w:p w14:paraId="2F4C61BB">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主要治疗原则：糖皮质激素+环磷酰胺，重症用抗IL-5单抗（美泊利珠单抗）。</w:t>
      </w:r>
    </w:p>
    <w:p w14:paraId="49EFA55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转诊指征：多系统受累者需转诊至风湿免疫科。</w:t>
      </w:r>
    </w:p>
    <w:p w14:paraId="4354C8A7">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肥大细胞增多症</w:t>
      </w:r>
    </w:p>
    <w:p w14:paraId="6920BC53">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定义与病因：掌握肥大细胞克隆性增殖积聚于组织，分皮肤型和系统性，与KIT基因突变（D816V）相关。</w:t>
      </w:r>
    </w:p>
    <w:p w14:paraId="183BEF9C">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流行病学：了解皮肤型多见于儿童，系统性多见于成人，发病率1/10万。</w:t>
      </w:r>
    </w:p>
    <w:p w14:paraId="62364E90">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核心临床表现：皮肤风团（Darier征阳性）、潮红、腹痛，系统性者累及骨髓、肝脾。</w:t>
      </w:r>
    </w:p>
    <w:p w14:paraId="31188274">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关键诊断依据：骨髓活检见肥大细胞浸润（&gt;10%），KIT基因突变阳性。</w:t>
      </w:r>
    </w:p>
    <w:p w14:paraId="3404D50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主要治疗原则：肥大细胞稳定剂（色甘酸钠）、抗组胺药，晚期用伊马替尼。</w:t>
      </w:r>
    </w:p>
    <w:p w14:paraId="7208C008">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转诊指征：疑似系统性病例、需骨髓活检者转诊至血液科。</w:t>
      </w:r>
    </w:p>
    <w:p w14:paraId="650905F0">
      <w:pPr>
        <w:pStyle w:val="185"/>
        <w:numPr>
          <w:ilvl w:val="3"/>
          <w:numId w:val="1"/>
        </w:numPr>
        <w:spacing w:before="0" w:after="0" w:line="240" w:lineRule="auto"/>
        <w:ind w:left="720" w:hanging="720"/>
        <w:jc w:val="both"/>
        <w:rPr>
          <w:rFonts w:ascii="黑体" w:hAnsi="黑体" w:eastAsia="黑体" w:cs="Times New Roman"/>
          <w:sz w:val="21"/>
          <w:szCs w:val="21"/>
        </w:rPr>
      </w:pPr>
      <w:r>
        <w:rPr>
          <w:rFonts w:ascii="黑体" w:hAnsi="黑体" w:eastAsia="黑体" w:cs="Times New Roman"/>
          <w:b w:val="0"/>
          <w:bCs w:val="0"/>
          <w:sz w:val="21"/>
          <w:szCs w:val="21"/>
        </w:rPr>
        <w:t>过敏性支气管肺</w:t>
      </w:r>
      <w:r>
        <w:rPr>
          <w:rFonts w:ascii="Times New Roman" w:hAnsi="Times New Roman" w:eastAsia="黑体" w:cs="Times New Roman"/>
          <w:b w:val="0"/>
          <w:bCs w:val="0"/>
          <w:sz w:val="21"/>
          <w:szCs w:val="21"/>
        </w:rPr>
        <w:t>曲霉病（ABPA）</w:t>
      </w:r>
    </w:p>
    <w:p w14:paraId="54F6BBA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定义与病因：掌握对曲霉抗原的变态反应，多见于哮喘或囊性纤维化患者，IgE介导+细胞免疫参与。</w:t>
      </w:r>
    </w:p>
    <w:p w14:paraId="36972C2F">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流行病学：了解哮喘患者中患病率1</w:t>
      </w:r>
      <w:r>
        <w:rPr>
          <w:rFonts w:hint="eastAsia" w:ascii="Times New Roman" w:hAnsi="Times New Roman" w:eastAsia="宋体" w:cs="Times New Roman"/>
          <w:sz w:val="21"/>
          <w:szCs w:val="21"/>
        </w:rPr>
        <w:t>%</w:t>
      </w:r>
      <w:r>
        <w:rPr>
          <w:rFonts w:ascii="Times New Roman" w:hAnsi="Times New Roman" w:eastAsia="宋体" w:cs="Times New Roman"/>
          <w:sz w:val="21"/>
          <w:szCs w:val="21"/>
        </w:rPr>
        <w:t>-5%，囊性纤维化患者中8</w:t>
      </w:r>
      <w:r>
        <w:rPr>
          <w:rFonts w:hint="eastAsia" w:ascii="Times New Roman" w:hAnsi="Times New Roman" w:eastAsia="宋体" w:cs="Times New Roman"/>
          <w:sz w:val="21"/>
          <w:szCs w:val="21"/>
        </w:rPr>
        <w:t>%</w:t>
      </w:r>
      <w:r>
        <w:rPr>
          <w:rFonts w:ascii="Times New Roman" w:hAnsi="Times New Roman" w:eastAsia="宋体" w:cs="Times New Roman"/>
          <w:sz w:val="21"/>
          <w:szCs w:val="21"/>
        </w:rPr>
        <w:t>-10%，无性别差异。</w:t>
      </w:r>
    </w:p>
    <w:p w14:paraId="0A16AACD">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核心临床表现：喘息、咳嗽、咯血，血清总IgE显著升高（&gt;1000IU/ml）。</w:t>
      </w:r>
    </w:p>
    <w:p w14:paraId="25CD82B7">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关键诊断依据：曲霉sIgE阳性，胸部CT示中心性支气管扩张，曲霉培养阳性。</w:t>
      </w:r>
    </w:p>
    <w:p w14:paraId="707DC422">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主要治疗原则：糖皮质激素（泼尼松0.5mg/kg/日）+抗真菌药（伊曲康唑），控制基础哮喘。</w:t>
      </w:r>
    </w:p>
    <w:p w14:paraId="1EE7D84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转诊指征：需</w:t>
      </w:r>
      <w:r>
        <w:rPr>
          <w:rFonts w:hint="eastAsia" w:ascii="Times New Roman" w:hAnsi="Times New Roman" w:eastAsia="宋体" w:cs="Times New Roman"/>
          <w:sz w:val="21"/>
          <w:szCs w:val="21"/>
        </w:rPr>
        <w:t>支气管镜检查</w:t>
      </w:r>
      <w:r>
        <w:rPr>
          <w:rFonts w:ascii="Times New Roman" w:hAnsi="Times New Roman" w:eastAsia="宋体" w:cs="Times New Roman"/>
          <w:sz w:val="21"/>
          <w:szCs w:val="21"/>
        </w:rPr>
        <w:t>评估者转诊至呼吸科。</w:t>
      </w:r>
    </w:p>
    <w:p w14:paraId="68AFFAE9">
      <w:pPr>
        <w:spacing w:before="240" w:after="240"/>
        <w:outlineLvl w:val="0"/>
        <w:rPr>
          <w:rFonts w:ascii="黑体" w:hAnsi="黑体" w:eastAsia="黑体" w:cs="Times New Roman"/>
        </w:rPr>
      </w:pPr>
      <w:bookmarkStart w:id="28" w:name="_Toc208244045"/>
      <w:r>
        <w:rPr>
          <w:rFonts w:hint="eastAsia" w:ascii="黑体" w:hAnsi="黑体" w:eastAsia="黑体" w:cs="Times New Roman"/>
        </w:rPr>
        <w:t>6</w:t>
      </w:r>
      <w:r>
        <w:rPr>
          <w:rFonts w:ascii="黑体" w:hAnsi="黑体" w:eastAsia="黑体" w:cs="Times New Roman"/>
        </w:rPr>
        <w:t xml:space="preserve"> 教学与科研能力</w:t>
      </w:r>
      <w:bookmarkEnd w:id="28"/>
    </w:p>
    <w:p w14:paraId="1F1CAF34">
      <w:pPr>
        <w:pStyle w:val="185"/>
        <w:numPr>
          <w:ilvl w:val="0"/>
          <w:numId w:val="0"/>
        </w:numPr>
        <w:spacing w:line="240" w:lineRule="auto"/>
        <w:ind w:left="0" w:firstLine="0"/>
        <w:rPr>
          <w:rFonts w:hint="eastAsia" w:ascii="黑体" w:hAnsi="黑体" w:eastAsia="黑体"/>
          <w:sz w:val="21"/>
          <w:szCs w:val="21"/>
        </w:rPr>
      </w:pPr>
      <w:r>
        <w:rPr>
          <w:rFonts w:hint="eastAsia" w:ascii="黑体" w:hAnsi="黑体" w:eastAsia="黑体"/>
          <w:b w:val="0"/>
          <w:bCs w:val="0"/>
          <w:sz w:val="21"/>
          <w:szCs w:val="21"/>
        </w:rPr>
        <w:t xml:space="preserve">6.1 </w:t>
      </w:r>
      <w:r>
        <w:rPr>
          <w:rFonts w:ascii="黑体" w:hAnsi="黑体" w:eastAsia="黑体"/>
          <w:b w:val="0"/>
          <w:bCs w:val="0"/>
          <w:sz w:val="21"/>
          <w:szCs w:val="21"/>
        </w:rPr>
        <w:t>三级医院医师</w:t>
      </w:r>
    </w:p>
    <w:p w14:paraId="53143417">
      <w:pPr>
        <w:pStyle w:val="185"/>
        <w:spacing w:before="0" w:after="0" w:line="240" w:lineRule="auto"/>
        <w:rPr>
          <w:rFonts w:ascii="黑体" w:hAnsi="黑体" w:eastAsia="黑体"/>
          <w:sz w:val="21"/>
          <w:szCs w:val="21"/>
        </w:rPr>
      </w:pPr>
      <w:r>
        <w:rPr>
          <w:rFonts w:hint="eastAsia" w:ascii="黑体" w:hAnsi="黑体" w:eastAsia="黑体"/>
          <w:b w:val="0"/>
          <w:bCs w:val="0"/>
          <w:sz w:val="21"/>
          <w:szCs w:val="21"/>
        </w:rPr>
        <w:t xml:space="preserve">6.1.1 </w:t>
      </w:r>
      <w:r>
        <w:rPr>
          <w:rFonts w:ascii="黑体" w:hAnsi="黑体" w:eastAsia="黑体"/>
          <w:b w:val="0"/>
          <w:bCs w:val="0"/>
          <w:sz w:val="21"/>
          <w:szCs w:val="21"/>
        </w:rPr>
        <w:t>高级医师（主任医师）</w:t>
      </w:r>
    </w:p>
    <w:p w14:paraId="7516706F">
      <w:pPr>
        <w:pStyle w:val="185"/>
        <w:numPr>
          <w:ilvl w:val="0"/>
          <w:numId w:val="0"/>
        </w:numPr>
        <w:spacing w:before="0" w:after="0" w:line="240" w:lineRule="auto"/>
        <w:ind w:left="0" w:firstLine="42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sz w:val="21"/>
          <w:szCs w:val="21"/>
        </w:rPr>
        <w:t>具备学科发展规划能力，领导多中心临床研究（生物制剂真实世界研究、免疫治疗优化方案），主持省部级及以上科研项目，在高影响力期刊</w:t>
      </w:r>
      <w:r>
        <w:rPr>
          <w:rFonts w:ascii="Times New Roman" w:hAnsi="Times New Roman" w:eastAsia="宋体" w:cs="Times New Roman"/>
          <w:color w:val="EE0000"/>
          <w:sz w:val="21"/>
          <w:szCs w:val="21"/>
        </w:rPr>
        <w:t>（IF&gt;5）</w:t>
      </w:r>
      <w:r>
        <w:rPr>
          <w:rFonts w:ascii="Times New Roman" w:hAnsi="Times New Roman" w:eastAsia="宋体" w:cs="Times New Roman"/>
          <w:sz w:val="21"/>
          <w:szCs w:val="21"/>
        </w:rPr>
        <w:t>发表原创论文。培养过敏专科后备人才，指</w:t>
      </w:r>
      <w:r>
        <w:rPr>
          <w:rFonts w:ascii="Times New Roman" w:hAnsi="Times New Roman" w:eastAsia="宋体" w:cs="Times New Roman"/>
          <w:color w:val="000000" w:themeColor="text1"/>
          <w:sz w:val="21"/>
          <w:szCs w:val="21"/>
          <w14:textFill>
            <w14:solidFill>
              <w14:schemeClr w14:val="tx1"/>
            </w14:solidFill>
          </w14:textFill>
        </w:rPr>
        <w:t>导硕士研究生及以上教育，编写专业培训教材，担任国家级学术团体重要职务。</w:t>
      </w:r>
    </w:p>
    <w:p w14:paraId="30BD68BF">
      <w:pPr>
        <w:pStyle w:val="185"/>
        <w:spacing w:before="0" w:after="0" w:line="240" w:lineRule="auto"/>
        <w:rPr>
          <w:rFonts w:ascii="黑体" w:hAnsi="黑体" w:eastAsia="黑体"/>
          <w:color w:val="000000" w:themeColor="text1"/>
          <w:sz w:val="21"/>
          <w:szCs w:val="21"/>
          <w14:textFill>
            <w14:solidFill>
              <w14:schemeClr w14:val="tx1"/>
            </w14:solidFill>
          </w14:textFill>
        </w:rPr>
      </w:pPr>
      <w:r>
        <w:rPr>
          <w:rFonts w:hint="eastAsia" w:ascii="黑体" w:hAnsi="黑体" w:eastAsia="黑体"/>
          <w:b w:val="0"/>
          <w:bCs w:val="0"/>
          <w:color w:val="000000" w:themeColor="text1"/>
          <w:sz w:val="21"/>
          <w:szCs w:val="21"/>
          <w14:textFill>
            <w14:solidFill>
              <w14:schemeClr w14:val="tx1"/>
            </w14:solidFill>
          </w14:textFill>
        </w:rPr>
        <w:t xml:space="preserve">6.1.2 </w:t>
      </w:r>
      <w:r>
        <w:rPr>
          <w:rFonts w:ascii="黑体" w:hAnsi="黑体" w:eastAsia="黑体"/>
          <w:b w:val="0"/>
          <w:bCs w:val="0"/>
          <w:color w:val="000000" w:themeColor="text1"/>
          <w:sz w:val="21"/>
          <w:szCs w:val="21"/>
          <w14:textFill>
            <w14:solidFill>
              <w14:schemeClr w14:val="tx1"/>
            </w14:solidFill>
          </w14:textFill>
        </w:rPr>
        <w:t>中级医师（副主任医师）</w:t>
      </w:r>
    </w:p>
    <w:p w14:paraId="1ECDC084">
      <w:pPr>
        <w:pStyle w:val="185"/>
        <w:numPr>
          <w:ilvl w:val="0"/>
          <w:numId w:val="0"/>
        </w:numPr>
        <w:spacing w:before="0" w:after="0" w:line="240" w:lineRule="auto"/>
        <w:ind w:left="0" w:firstLine="42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能独立设计单中心临床研究（诊断方法比较、治疗策略优化），主持院级课题，在核心期刊发表论著。承担专科医师规范化培训教学，指导住院医师临床技能训练，开展新技术继续教育项目。</w:t>
      </w:r>
    </w:p>
    <w:p w14:paraId="5EB8AEC0">
      <w:pPr>
        <w:pStyle w:val="185"/>
        <w:spacing w:before="0" w:after="0" w:line="240" w:lineRule="auto"/>
        <w:rPr>
          <w:rFonts w:ascii="黑体" w:hAnsi="黑体" w:eastAsia="黑体"/>
          <w:color w:val="000000" w:themeColor="text1"/>
          <w:sz w:val="21"/>
          <w:szCs w:val="21"/>
          <w14:textFill>
            <w14:solidFill>
              <w14:schemeClr w14:val="tx1"/>
            </w14:solidFill>
          </w14:textFill>
        </w:rPr>
      </w:pPr>
      <w:r>
        <w:rPr>
          <w:rFonts w:hint="eastAsia" w:ascii="黑体" w:hAnsi="黑体" w:eastAsia="黑体"/>
          <w:b w:val="0"/>
          <w:bCs w:val="0"/>
          <w:color w:val="000000" w:themeColor="text1"/>
          <w:sz w:val="21"/>
          <w:szCs w:val="21"/>
          <w14:textFill>
            <w14:solidFill>
              <w14:schemeClr w14:val="tx1"/>
            </w14:solidFill>
          </w14:textFill>
        </w:rPr>
        <w:t xml:space="preserve">6.1.3 </w:t>
      </w:r>
      <w:r>
        <w:rPr>
          <w:rFonts w:ascii="黑体" w:hAnsi="黑体" w:eastAsia="黑体"/>
          <w:b w:val="0"/>
          <w:bCs w:val="0"/>
          <w:color w:val="000000" w:themeColor="text1"/>
          <w:sz w:val="21"/>
          <w:szCs w:val="21"/>
          <w14:textFill>
            <w14:solidFill>
              <w14:schemeClr w14:val="tx1"/>
            </w14:solidFill>
          </w14:textFill>
        </w:rPr>
        <w:t>初级医师（主治医师）</w:t>
      </w:r>
    </w:p>
    <w:p w14:paraId="18494F37">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参与科室科研项目，负责病例数据收集与整理，撰写病例报告（每年≥2篇），参与SCI论文的图表制作和数据分析。协助进行医学生见习带教，指导实习医师完成基础操作，组织科室小讲课。</w:t>
      </w:r>
    </w:p>
    <w:p w14:paraId="7076B7E9">
      <w:pPr>
        <w:pStyle w:val="185"/>
        <w:numPr>
          <w:ilvl w:val="0"/>
          <w:numId w:val="0"/>
        </w:numPr>
        <w:spacing w:line="240" w:lineRule="auto"/>
        <w:ind w:left="0" w:firstLine="0"/>
        <w:rPr>
          <w:rFonts w:hint="eastAsia" w:ascii="黑体" w:hAnsi="黑体" w:eastAsia="黑体"/>
          <w:sz w:val="21"/>
          <w:szCs w:val="21"/>
        </w:rPr>
      </w:pPr>
      <w:r>
        <w:rPr>
          <w:rFonts w:hint="eastAsia" w:ascii="黑体" w:hAnsi="黑体" w:eastAsia="黑体"/>
          <w:b w:val="0"/>
          <w:bCs w:val="0"/>
          <w:sz w:val="21"/>
          <w:szCs w:val="21"/>
        </w:rPr>
        <w:t xml:space="preserve">6.2 </w:t>
      </w:r>
      <w:r>
        <w:rPr>
          <w:rFonts w:ascii="黑体" w:hAnsi="黑体" w:eastAsia="黑体"/>
          <w:b w:val="0"/>
          <w:bCs w:val="0"/>
          <w:sz w:val="21"/>
          <w:szCs w:val="21"/>
        </w:rPr>
        <w:t>二级医院医师</w:t>
      </w:r>
    </w:p>
    <w:p w14:paraId="3237434A">
      <w:pPr>
        <w:pStyle w:val="185"/>
        <w:spacing w:before="0" w:after="0" w:line="240" w:lineRule="auto"/>
        <w:rPr>
          <w:rFonts w:ascii="黑体" w:hAnsi="黑体" w:eastAsia="黑体"/>
          <w:sz w:val="21"/>
          <w:szCs w:val="21"/>
        </w:rPr>
      </w:pPr>
      <w:r>
        <w:rPr>
          <w:rFonts w:hint="eastAsia" w:ascii="黑体" w:hAnsi="黑体" w:eastAsia="黑体"/>
          <w:b w:val="0"/>
          <w:bCs w:val="0"/>
          <w:sz w:val="21"/>
          <w:szCs w:val="21"/>
        </w:rPr>
        <w:t xml:space="preserve">6.2.1 </w:t>
      </w:r>
      <w:r>
        <w:rPr>
          <w:rFonts w:ascii="黑体" w:hAnsi="黑体" w:eastAsia="黑体"/>
          <w:b w:val="0"/>
          <w:bCs w:val="0"/>
          <w:sz w:val="21"/>
          <w:szCs w:val="21"/>
        </w:rPr>
        <w:t>高级医师</w:t>
      </w:r>
    </w:p>
    <w:p w14:paraId="2A558029">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开展临床质量改进研究（诊疗路径优化、患者教育模式探索），参与地区性临床研究网络，在统计源期刊发表应用研究。指导下级医师和基层医疗机构人员，组织地区性学术交流活动。</w:t>
      </w:r>
    </w:p>
    <w:p w14:paraId="33669E1C">
      <w:pPr>
        <w:pStyle w:val="185"/>
        <w:spacing w:before="0" w:after="0" w:line="240" w:lineRule="auto"/>
        <w:rPr>
          <w:rFonts w:ascii="黑体" w:hAnsi="黑体" w:eastAsia="黑体"/>
          <w:sz w:val="21"/>
          <w:szCs w:val="21"/>
        </w:rPr>
      </w:pPr>
      <w:r>
        <w:rPr>
          <w:rFonts w:hint="eastAsia" w:ascii="黑体" w:hAnsi="黑体" w:eastAsia="黑体"/>
          <w:b w:val="0"/>
          <w:bCs w:val="0"/>
          <w:sz w:val="21"/>
          <w:szCs w:val="21"/>
        </w:rPr>
        <w:t xml:space="preserve">6.2.2 </w:t>
      </w:r>
      <w:r>
        <w:rPr>
          <w:rFonts w:ascii="黑体" w:hAnsi="黑体" w:eastAsia="黑体"/>
          <w:b w:val="0"/>
          <w:bCs w:val="0"/>
          <w:sz w:val="21"/>
          <w:szCs w:val="21"/>
        </w:rPr>
        <w:t>中级及以下医师</w:t>
      </w:r>
    </w:p>
    <w:p w14:paraId="372035FA">
      <w:pPr>
        <w:pStyle w:val="185"/>
        <w:numPr>
          <w:ilvl w:val="0"/>
          <w:numId w:val="0"/>
        </w:numPr>
        <w:spacing w:before="0" w:after="0" w:line="240" w:lineRule="auto"/>
        <w:ind w:left="0" w:firstLine="420"/>
        <w:jc w:val="both"/>
        <w:rPr>
          <w:rFonts w:ascii="Times New Roman" w:hAnsi="Times New Roman" w:eastAsia="宋体" w:cs="Times New Roman"/>
          <w:sz w:val="21"/>
          <w:szCs w:val="21"/>
        </w:rPr>
      </w:pPr>
      <w:r>
        <w:rPr>
          <w:rFonts w:ascii="Times New Roman" w:hAnsi="Times New Roman" w:eastAsia="宋体" w:cs="Times New Roman"/>
          <w:sz w:val="21"/>
          <w:szCs w:val="21"/>
        </w:rPr>
        <w:t>参与临床数据收集与病例登记研究，撰写病例报告和技术改进总结。协助开展患者教育活动，参与医院内继续医学教育项目，带教基层进修医师完成常见病例诊疗。</w:t>
      </w:r>
    </w:p>
    <w:p w14:paraId="6F4EE5C6">
      <w:pPr>
        <w:pStyle w:val="185"/>
        <w:numPr>
          <w:ilvl w:val="0"/>
          <w:numId w:val="0"/>
        </w:numPr>
        <w:spacing w:before="0" w:after="0" w:line="240" w:lineRule="auto"/>
        <w:ind w:left="0" w:firstLine="0"/>
        <w:rPr>
          <w:rFonts w:hint="eastAsia" w:ascii="黑体" w:hAnsi="黑体" w:eastAsia="黑体"/>
          <w:sz w:val="21"/>
          <w:szCs w:val="21"/>
        </w:rPr>
      </w:pPr>
      <w:r>
        <w:rPr>
          <w:rFonts w:hint="eastAsia" w:ascii="黑体" w:hAnsi="黑体" w:eastAsia="黑体"/>
          <w:b w:val="0"/>
          <w:bCs w:val="0"/>
          <w:sz w:val="21"/>
          <w:szCs w:val="21"/>
        </w:rPr>
        <w:t xml:space="preserve">6.3 </w:t>
      </w:r>
      <w:r>
        <w:rPr>
          <w:rFonts w:ascii="黑体" w:hAnsi="黑体" w:eastAsia="黑体"/>
          <w:b w:val="0"/>
          <w:bCs w:val="0"/>
          <w:sz w:val="21"/>
          <w:szCs w:val="21"/>
        </w:rPr>
        <w:t>基层医疗机构医师</w:t>
      </w:r>
    </w:p>
    <w:p w14:paraId="5A027FB3">
      <w:pPr>
        <w:pStyle w:val="185"/>
        <w:spacing w:before="0" w:after="0" w:line="240" w:lineRule="auto"/>
        <w:ind w:firstLine="360"/>
        <w:jc w:val="both"/>
      </w:pPr>
      <w:r>
        <w:rPr>
          <w:rFonts w:ascii="Times New Roman" w:hAnsi="Times New Roman" w:eastAsia="宋体" w:cs="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1877695</wp:posOffset>
                </wp:positionH>
                <wp:positionV relativeFrom="paragraph">
                  <wp:posOffset>2924810</wp:posOffset>
                </wp:positionV>
                <wp:extent cx="1969770" cy="0"/>
                <wp:effectExtent l="0" t="0" r="0" b="0"/>
                <wp:wrapNone/>
                <wp:docPr id="2" name="直接连接符 1"/>
                <wp:cNvGraphicFramePr/>
                <a:graphic xmlns:a="http://schemas.openxmlformats.org/drawingml/2006/main">
                  <a:graphicData uri="http://schemas.microsoft.com/office/word/2010/wordprocessingShape">
                    <wps:wsp>
                      <wps:cNvCnPr/>
                      <wps:spPr bwMode="auto">
                        <a:xfrm>
                          <a:off x="0" y="0"/>
                          <a:ext cx="1969477" cy="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直接连接符 1" o:spid="_x0000_s1026" o:spt="20" style="position:absolute;left:0pt;margin-left:147.85pt;margin-top:230.3pt;height:0pt;width:155.1pt;z-index:251660288;mso-width-relative:page;mso-height-relative:page;" filled="f" stroked="t" coordsize="21600,21600" o:gfxdata="UEsDBAoAAAAAAIdO4kAAAAAAAAAAAAAAAAAEAAAAZHJzL1BLAwQUAAAACACHTuJAjEWJD9gAAAAL&#10;AQAADwAAAGRycy9kb3ducmV2LnhtbE2PTU/DMAyG70j8h8hIXCaWrLDCStMdgN64sIG4eo1pKxqn&#10;a7LPX79MQhpH249eP28+39tObGnwrWMNk7ECQVw503Kt4XNZ3j2B8AHZYOeYNBzIw7y4vsoxM27H&#10;H7RdhFrEEPYZamhC6DMpfdWQRT92PXG8/bjBYojjUEsz4C6G204mSqXSYsvxQ4M9vTRU/S42VoMv&#10;v2hdHkfVSH3f146S9ev7G2p9ezNRzyAC7cMFhrN+VIciOq3cho0XnYZkNn2MqIaHVKUgIpGq6QzE&#10;6m8ji1z+71CcAFBLAwQUAAAACACHTuJAFDjxSwgCAAADBAAADgAAAGRycy9lMm9Eb2MueG1srVPL&#10;jtMwFN0j8Q+W9zRtRWdo1HSEpho2PEYCPuDWcRJLfsnXbdqf4AeQ2MGKJXv+huEzuHbSAsNmFmTh&#10;2PdxfM/JyerqYDTby4DK2YrPJlPOpBWuVrat+Pt3N0+ecYYRbA3aWVnxo0R+tX78aNX7Us5d53Qt&#10;AyMQi2XvK97F6MuiQNFJAzhxXlpKNi4YiHQMbVEH6And6GI+nV4UvQu1D05IRIpuhiQfEcNDAF3T&#10;KCE3TuyMtHFADVJDJErYKY98nadtGinim6ZBGZmuODGNeaVLaL9Na7FeQdkG8J0S4wjwkBHucTKg&#10;LF16htpABLYL6h8oo0Rw6Jo4Ec4UA5GsCLGYTe9p87YDLzMXkhr9WXT8f7Di9f42MFVXfM6ZBUMf&#10;/O7jtx8fPv/8/onWu69f2CyJ1Hssqfba3obxhJ4at/0rV1MP7KLL/A9NMEkHYsYOWebjWWZ5iExQ&#10;cLa8WD69vORMnHIFlKdGHzC+kM6wtKm4VjYpACXsX2Kkq6n0VJLC1t0orfNX1Jb1FV8u5gtCBnJm&#10;Q46grfHEDm3LGeiWLC9iyIjotKpTd8LB0G6vdWB7SEbJz1DUQS2H6HJB4cEwCJF4D+HZ9BSn0UaY&#10;POZf+GnmDWA39ORUgqIWbemV5E2CDkJvXX0kcYPLdh1oPieFG5UVSMVDydhJ3shQo4+T+f4856rf&#10;/+7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xFiQ/YAAAACwEAAA8AAAAAAAAAAQAgAAAAIgAA&#10;AGRycy9kb3ducmV2LnhtbFBLAQIUABQAAAAIAIdO4kAUOPFLCAIAAAMEAAAOAAAAAAAAAAEAIAAA&#10;ACcBAABkcnMvZTJvRG9jLnhtbFBLBQYAAAAABgAGAFkBAAChBQAAAAA=&#10;">
                <v:fill on="f" focussize="0,0"/>
                <v:stroke color="#000000 [3200]" joinstyle="round"/>
                <v:imagedata o:title=""/>
                <o:lock v:ext="edit" aspectratio="f"/>
              </v:line>
            </w:pict>
          </mc:Fallback>
        </mc:AlternateContent>
      </w:r>
      <w:r>
        <w:rPr>
          <w:rFonts w:ascii="Times New Roman" w:hAnsi="Times New Roman" w:eastAsia="宋体" w:cs="Times New Roman"/>
          <w:sz w:val="21"/>
          <w:szCs w:val="21"/>
        </w:rPr>
        <w:t>实施标准化诊疗方案，收集完整临床资料，参与区域流行病学调查（如社区过敏性鼻炎患病率调查），记录并上报罕见/疑难病例。开展社区健康宣教（如家庭防螨技巧讲座），指导全科医生识别过敏症状及转诊指征，制作科普材料并推广。</w:t>
      </w:r>
    </w:p>
    <w:sectPr>
      <w:pgSz w:w="11906" w:h="16838" w:orient="landscape"/>
      <w:pgMar w:top="1440" w:right="1440" w:bottom="1440" w:left="1440"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886732"/>
      <w:docPartObj>
        <w:docPartGallery w:val="AutoText"/>
      </w:docPartObj>
    </w:sdtPr>
    <w:sdtContent>
      <w:p w14:paraId="461D5283">
        <w:pPr>
          <w:pStyle w:val="18"/>
          <w:jc w:val="center"/>
          <w:rPr>
            <w:rFonts w:hint="default"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E921A"/>
    <w:multiLevelType w:val="multilevel"/>
    <w:tmpl w:val="9F2E921A"/>
    <w:lvl w:ilvl="0" w:tentative="0">
      <w:start w:val="5"/>
      <w:numFmt w:val="decimal"/>
      <w:suff w:val="space"/>
      <w:lvlText w:val="%1"/>
      <w:lvlJc w:val="left"/>
      <w:pPr>
        <w:ind w:left="550" w:hanging="550"/>
      </w:pPr>
      <w:rPr>
        <w:rFonts w:hint="default"/>
      </w:rPr>
    </w:lvl>
    <w:lvl w:ilvl="1" w:tentative="0">
      <w:start w:val="3"/>
      <w:numFmt w:val="decimal"/>
      <w:suff w:val="space"/>
      <w:lvlText w:val="%1.%2"/>
      <w:lvlJc w:val="left"/>
      <w:pPr>
        <w:ind w:left="550" w:hanging="550"/>
      </w:pPr>
      <w:rPr>
        <w:rFonts w:hint="default"/>
      </w:rPr>
    </w:lvl>
    <w:lvl w:ilvl="2" w:tentative="0">
      <w:start w:val="1"/>
      <w:numFmt w:val="decimal"/>
      <w:suff w:val="space"/>
      <w:lvlText w:val="%1.%2.%3"/>
      <w:lvlJc w:val="left"/>
      <w:pPr>
        <w:ind w:left="720" w:hanging="720"/>
      </w:pPr>
      <w:rPr>
        <w:rFonts w:hint="default"/>
      </w:rPr>
    </w:lvl>
    <w:lvl w:ilvl="3" w:tentative="0">
      <w:start w:val="1"/>
      <w:numFmt w:val="decimal"/>
      <w:suff w:val="space"/>
      <w:lvlText w:val="%1.%2.%3.%4"/>
      <w:lvlJc w:val="left"/>
      <w:pPr>
        <w:ind w:left="720" w:hanging="720"/>
      </w:pPr>
      <w:rPr>
        <w:rFonts w:hint="default" w:ascii="黑体" w:hAnsi="黑体" w:eastAsia="黑体"/>
      </w:rPr>
    </w:lvl>
    <w:lvl w:ilvl="4" w:tentative="0">
      <w:start w:val="1"/>
      <w:numFmt w:val="decimal"/>
      <w:suff w:val="space"/>
      <w:lvlText w:val="%1.%2.%3.%4.%5"/>
      <w:lvlJc w:val="left"/>
      <w:pPr>
        <w:ind w:left="1080" w:hanging="1080"/>
      </w:pPr>
      <w:rPr>
        <w:rFonts w:hint="default"/>
      </w:rPr>
    </w:lvl>
    <w:lvl w:ilvl="5" w:tentative="0">
      <w:start w:val="1"/>
      <w:numFmt w:val="decimal"/>
      <w:suff w:val="space"/>
      <w:lvlText w:val="%1.%2.%3.%4.%5.%6"/>
      <w:lvlJc w:val="left"/>
      <w:pPr>
        <w:ind w:left="1080" w:hanging="1080"/>
      </w:pPr>
      <w:rPr>
        <w:rFonts w:hint="default"/>
      </w:rPr>
    </w:lvl>
    <w:lvl w:ilvl="6" w:tentative="0">
      <w:start w:val="1"/>
      <w:numFmt w:val="decimal"/>
      <w:suff w:val="space"/>
      <w:lvlText w:val="%1.%2.%3.%4.%5.%6.%7"/>
      <w:lvlJc w:val="left"/>
      <w:pPr>
        <w:ind w:left="1440" w:hanging="1440"/>
      </w:pPr>
      <w:rPr>
        <w:rFonts w:hint="default"/>
      </w:rPr>
    </w:lvl>
    <w:lvl w:ilvl="7" w:tentative="0">
      <w:start w:val="1"/>
      <w:numFmt w:val="decimal"/>
      <w:suff w:val="space"/>
      <w:lvlText w:val="%1.%2.%3.%4.%5.%6.%7.%8"/>
      <w:lvlJc w:val="left"/>
      <w:pPr>
        <w:ind w:left="1440" w:hanging="1440"/>
      </w:pPr>
      <w:rPr>
        <w:rFonts w:hint="default"/>
      </w:rPr>
    </w:lvl>
    <w:lvl w:ilvl="8" w:tentative="0">
      <w:start w:val="1"/>
      <w:numFmt w:val="decimal"/>
      <w:suff w:val="space"/>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7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qFormat="1" w:uiPriority="99"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next w:val="1"/>
    <w:link w:val="199"/>
    <w:qFormat/>
    <w:uiPriority w:val="0"/>
    <w:pPr>
      <w:spacing w:before="380" w:after="140" w:line="288" w:lineRule="auto"/>
      <w:outlineLvl w:val="0"/>
    </w:pPr>
    <w:rPr>
      <w:rFonts w:hint="default" w:ascii="Arial" w:hAnsi="Arial" w:eastAsia="等线" w:cs="Arial"/>
      <w:b/>
      <w:bCs/>
      <w:sz w:val="36"/>
      <w:szCs w:val="36"/>
    </w:rPr>
  </w:style>
  <w:style w:type="paragraph" w:styleId="3">
    <w:name w:val="heading 2"/>
    <w:next w:val="1"/>
    <w:qFormat/>
    <w:uiPriority w:val="0"/>
    <w:pPr>
      <w:spacing w:before="320" w:after="120" w:line="288" w:lineRule="auto"/>
      <w:outlineLvl w:val="1"/>
    </w:pPr>
    <w:rPr>
      <w:rFonts w:hint="default" w:ascii="Arial" w:hAnsi="Arial" w:eastAsia="等线" w:cs="Arial"/>
      <w:b/>
      <w:bCs/>
      <w:sz w:val="32"/>
      <w:szCs w:val="32"/>
    </w:rPr>
  </w:style>
  <w:style w:type="paragraph" w:styleId="4">
    <w:name w:val="heading 3"/>
    <w:next w:val="1"/>
    <w:qFormat/>
    <w:uiPriority w:val="0"/>
    <w:pPr>
      <w:spacing w:before="300" w:after="120" w:line="288" w:lineRule="auto"/>
      <w:outlineLvl w:val="2"/>
    </w:pPr>
    <w:rPr>
      <w:rFonts w:hint="default" w:ascii="Arial" w:hAnsi="Arial" w:eastAsia="等线" w:cs="Arial"/>
      <w:b/>
      <w:bCs/>
      <w:sz w:val="30"/>
      <w:szCs w:val="30"/>
    </w:rPr>
  </w:style>
  <w:style w:type="paragraph" w:styleId="5">
    <w:name w:val="heading 4"/>
    <w:next w:val="1"/>
    <w:qFormat/>
    <w:uiPriority w:val="0"/>
    <w:pPr>
      <w:spacing w:before="260" w:after="120" w:line="288" w:lineRule="auto"/>
      <w:outlineLvl w:val="3"/>
    </w:pPr>
    <w:rPr>
      <w:rFonts w:hint="default" w:ascii="Arial" w:hAnsi="Arial" w:eastAsia="等线" w:cs="Arial"/>
      <w:b/>
      <w:bCs/>
      <w:sz w:val="28"/>
      <w:szCs w:val="28"/>
    </w:rPr>
  </w:style>
  <w:style w:type="paragraph" w:styleId="6">
    <w:name w:val="heading 5"/>
    <w:next w:val="1"/>
    <w:qFormat/>
    <w:uiPriority w:val="0"/>
    <w:pPr>
      <w:spacing w:before="240" w:after="120" w:line="288" w:lineRule="auto"/>
      <w:outlineLvl w:val="4"/>
    </w:pPr>
    <w:rPr>
      <w:rFonts w:hint="default" w:ascii="Arial" w:hAnsi="Arial" w:eastAsia="等线" w:cs="Arial"/>
      <w:b/>
      <w:bCs/>
      <w:sz w:val="24"/>
      <w:szCs w:val="24"/>
    </w:rPr>
  </w:style>
  <w:style w:type="paragraph" w:styleId="7">
    <w:name w:val="heading 6"/>
    <w:next w:val="1"/>
    <w:qFormat/>
    <w:uiPriority w:val="0"/>
    <w:pPr>
      <w:spacing w:before="240" w:after="120" w:line="288" w:lineRule="auto"/>
      <w:outlineLvl w:val="5"/>
    </w:pPr>
    <w:rPr>
      <w:rFonts w:hint="default" w:ascii="Arial" w:hAnsi="Arial" w:eastAsia="等线" w:cs="Arial"/>
      <w:b/>
      <w:bCs/>
      <w:sz w:val="24"/>
      <w:szCs w:val="24"/>
    </w:rPr>
  </w:style>
  <w:style w:type="paragraph" w:styleId="8">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191"/>
    <w:unhideWhenUsed/>
    <w:qFormat/>
    <w:uiPriority w:val="99"/>
    <w:pPr>
      <w:jc w:val="left"/>
    </w:pPr>
  </w:style>
  <w:style w:type="paragraph" w:styleId="14">
    <w:name w:val="toc 5"/>
    <w:basedOn w:val="1"/>
    <w:next w:val="1"/>
    <w:unhideWhenUsed/>
    <w:uiPriority w:val="39"/>
    <w:pPr>
      <w:spacing w:after="57"/>
      <w:ind w:left="1134" w:right="0" w:firstLine="0"/>
    </w:pPr>
  </w:style>
  <w:style w:type="paragraph" w:styleId="15">
    <w:name w:val="toc 3"/>
    <w:basedOn w:val="1"/>
    <w:next w:val="1"/>
    <w:uiPriority w:val="39"/>
    <w:pPr>
      <w:ind w:left="840"/>
    </w:pPr>
  </w:style>
  <w:style w:type="paragraph" w:styleId="16">
    <w:name w:val="toc 8"/>
    <w:basedOn w:val="1"/>
    <w:next w:val="1"/>
    <w:unhideWhenUsed/>
    <w:uiPriority w:val="39"/>
    <w:pPr>
      <w:spacing w:after="57"/>
      <w:ind w:left="1984" w:right="0" w:firstLine="0"/>
    </w:pPr>
  </w:style>
  <w:style w:type="paragraph" w:styleId="17">
    <w:name w:val="endnote text"/>
    <w:basedOn w:val="1"/>
    <w:link w:val="182"/>
    <w:semiHidden/>
    <w:unhideWhenUsed/>
    <w:uiPriority w:val="99"/>
    <w:pPr>
      <w:spacing w:after="0" w:line="240" w:lineRule="auto"/>
    </w:pPr>
    <w:rPr>
      <w:sz w:val="20"/>
    </w:rPr>
  </w:style>
  <w:style w:type="paragraph" w:styleId="18">
    <w:name w:val="footer"/>
    <w:basedOn w:val="1"/>
    <w:link w:val="190"/>
    <w:uiPriority w:val="99"/>
    <w:pPr>
      <w:tabs>
        <w:tab w:val="center" w:pos="4153"/>
        <w:tab w:val="right" w:pos="8306"/>
      </w:tabs>
      <w:jc w:val="left"/>
    </w:pPr>
    <w:rPr>
      <w:sz w:val="18"/>
      <w:szCs w:val="18"/>
    </w:rPr>
  </w:style>
  <w:style w:type="paragraph" w:styleId="19">
    <w:name w:val="header"/>
    <w:basedOn w:val="1"/>
    <w:link w:val="189"/>
    <w:uiPriority w:val="0"/>
    <w:pPr>
      <w:tabs>
        <w:tab w:val="center" w:pos="4153"/>
        <w:tab w:val="right" w:pos="8306"/>
      </w:tabs>
      <w:jc w:val="center"/>
    </w:pPr>
    <w:rPr>
      <w:sz w:val="18"/>
      <w:szCs w:val="18"/>
    </w:rPr>
  </w:style>
  <w:style w:type="paragraph" w:styleId="20">
    <w:name w:val="toc 1"/>
    <w:basedOn w:val="1"/>
    <w:next w:val="1"/>
    <w:uiPriority w:val="39"/>
  </w:style>
  <w:style w:type="paragraph" w:styleId="21">
    <w:name w:val="toc 4"/>
    <w:basedOn w:val="1"/>
    <w:next w:val="1"/>
    <w:unhideWhenUsed/>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link w:val="184"/>
    <w:semiHidden/>
    <w:unhideWhenUsed/>
    <w:qFormat/>
    <w:uiPriority w:val="99"/>
    <w:rPr>
      <w:rFonts w:hint="default" w:asciiTheme="minorHAnsi" w:hAnsiTheme="minorHAnsi" w:eastAsiaTheme="minorEastAsia" w:cstheme="minorBidi"/>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iPriority w:val="39"/>
    <w:pPr>
      <w:ind w:left="420"/>
    </w:pPr>
  </w:style>
  <w:style w:type="paragraph" w:styleId="27">
    <w:name w:val="toc 9"/>
    <w:basedOn w:val="1"/>
    <w:next w:val="1"/>
    <w:unhideWhenUsed/>
    <w:uiPriority w:val="39"/>
    <w:pPr>
      <w:spacing w:after="57"/>
      <w:ind w:left="2268" w:right="0" w:firstLine="0"/>
    </w:pPr>
  </w:style>
  <w:style w:type="paragraph" w:styleId="28">
    <w:name w:val="Title"/>
    <w:qFormat/>
    <w:uiPriority w:val="0"/>
    <w:pPr>
      <w:spacing w:before="480" w:after="480" w:line="288" w:lineRule="auto"/>
    </w:pPr>
    <w:rPr>
      <w:rFonts w:hint="default" w:ascii="Arial" w:hAnsi="Arial" w:eastAsia="等线" w:cs="Arial"/>
      <w:b/>
      <w:bCs/>
      <w:sz w:val="52"/>
      <w:szCs w:val="52"/>
    </w:rPr>
  </w:style>
  <w:style w:type="paragraph" w:styleId="29">
    <w:name w:val="annotation subject"/>
    <w:basedOn w:val="13"/>
    <w:next w:val="13"/>
    <w:link w:val="198"/>
    <w:uiPriority w:val="0"/>
    <w:rPr>
      <w:b/>
      <w:bCs/>
    </w:rPr>
  </w:style>
  <w:style w:type="table" w:styleId="31">
    <w:name w:val="Table Grid"/>
    <w:basedOn w:val="3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3">
    <w:name w:val="endnote reference"/>
    <w:basedOn w:val="32"/>
    <w:semiHidden/>
    <w:unhideWhenUsed/>
    <w:uiPriority w:val="99"/>
    <w:rPr>
      <w:vertAlign w:val="superscript"/>
    </w:rPr>
  </w:style>
  <w:style w:type="character" w:styleId="34">
    <w:name w:val="Hyperlink"/>
    <w:unhideWhenUsed/>
    <w:qFormat/>
    <w:uiPriority w:val="99"/>
    <w:rPr>
      <w:color w:val="0563C1"/>
      <w:u w:val="single"/>
    </w:rPr>
  </w:style>
  <w:style w:type="character" w:styleId="35">
    <w:name w:val="annotation reference"/>
    <w:basedOn w:val="32"/>
    <w:unhideWhenUsed/>
    <w:qFormat/>
    <w:uiPriority w:val="99"/>
    <w:rPr>
      <w:sz w:val="21"/>
      <w:szCs w:val="21"/>
    </w:rPr>
  </w:style>
  <w:style w:type="character" w:styleId="36">
    <w:name w:val="footnote reference"/>
    <w:semiHidden/>
    <w:unhideWhenUsed/>
    <w:qFormat/>
    <w:uiPriority w:val="99"/>
    <w:rPr>
      <w:vertAlign w:val="superscript"/>
    </w:rPr>
  </w:style>
  <w:style w:type="character" w:customStyle="1" w:styleId="37">
    <w:name w:val="Heading 1 Char"/>
    <w:basedOn w:val="32"/>
    <w:uiPriority w:val="9"/>
    <w:rPr>
      <w:rFonts w:ascii="等线" w:hAnsi="等线" w:eastAsia="等线" w:cs="等线"/>
      <w:sz w:val="40"/>
      <w:szCs w:val="40"/>
    </w:rPr>
  </w:style>
  <w:style w:type="character" w:customStyle="1" w:styleId="38">
    <w:name w:val="Heading 2 Char"/>
    <w:basedOn w:val="32"/>
    <w:uiPriority w:val="9"/>
    <w:rPr>
      <w:rFonts w:ascii="等线" w:hAnsi="等线" w:eastAsia="等线" w:cs="等线"/>
      <w:sz w:val="34"/>
    </w:rPr>
  </w:style>
  <w:style w:type="character" w:customStyle="1" w:styleId="39">
    <w:name w:val="Heading 3 Char"/>
    <w:basedOn w:val="32"/>
    <w:uiPriority w:val="9"/>
    <w:rPr>
      <w:rFonts w:ascii="等线" w:hAnsi="等线" w:eastAsia="等线" w:cs="等线"/>
      <w:sz w:val="30"/>
      <w:szCs w:val="30"/>
    </w:rPr>
  </w:style>
  <w:style w:type="character" w:customStyle="1" w:styleId="40">
    <w:name w:val="Heading 4 Char"/>
    <w:basedOn w:val="32"/>
    <w:uiPriority w:val="9"/>
    <w:rPr>
      <w:rFonts w:ascii="等线" w:hAnsi="等线" w:eastAsia="等线" w:cs="等线"/>
      <w:b/>
      <w:bCs/>
      <w:sz w:val="26"/>
      <w:szCs w:val="26"/>
    </w:rPr>
  </w:style>
  <w:style w:type="character" w:customStyle="1" w:styleId="41">
    <w:name w:val="Heading 5 Char"/>
    <w:basedOn w:val="32"/>
    <w:uiPriority w:val="9"/>
    <w:rPr>
      <w:rFonts w:ascii="等线" w:hAnsi="等线" w:eastAsia="等线" w:cs="等线"/>
      <w:b/>
      <w:bCs/>
      <w:sz w:val="24"/>
      <w:szCs w:val="24"/>
    </w:rPr>
  </w:style>
  <w:style w:type="character" w:customStyle="1" w:styleId="42">
    <w:name w:val="Heading 6 Char"/>
    <w:basedOn w:val="32"/>
    <w:qFormat/>
    <w:uiPriority w:val="9"/>
    <w:rPr>
      <w:rFonts w:ascii="等线" w:hAnsi="等线" w:eastAsia="等线" w:cs="等线"/>
      <w:b/>
      <w:bCs/>
      <w:sz w:val="22"/>
      <w:szCs w:val="22"/>
    </w:rPr>
  </w:style>
  <w:style w:type="character" w:customStyle="1" w:styleId="43">
    <w:name w:val="Heading 7 Char"/>
    <w:basedOn w:val="32"/>
    <w:link w:val="8"/>
    <w:uiPriority w:val="9"/>
    <w:rPr>
      <w:rFonts w:ascii="等线" w:hAnsi="等线" w:eastAsia="等线" w:cs="等线"/>
      <w:b/>
      <w:bCs/>
      <w:i/>
      <w:iCs/>
      <w:sz w:val="22"/>
      <w:szCs w:val="22"/>
    </w:rPr>
  </w:style>
  <w:style w:type="character" w:customStyle="1" w:styleId="44">
    <w:name w:val="Heading 8 Char"/>
    <w:basedOn w:val="32"/>
    <w:link w:val="9"/>
    <w:uiPriority w:val="9"/>
    <w:rPr>
      <w:rFonts w:ascii="等线" w:hAnsi="等线" w:eastAsia="等线" w:cs="等线"/>
      <w:i/>
      <w:iCs/>
      <w:sz w:val="22"/>
      <w:szCs w:val="22"/>
    </w:rPr>
  </w:style>
  <w:style w:type="character" w:customStyle="1" w:styleId="45">
    <w:name w:val="Heading 9 Char"/>
    <w:basedOn w:val="32"/>
    <w:link w:val="10"/>
    <w:uiPriority w:val="9"/>
    <w:rPr>
      <w:rFonts w:ascii="等线" w:hAnsi="等线" w:eastAsia="等线" w:cs="等线"/>
      <w:i/>
      <w:iCs/>
      <w:sz w:val="21"/>
      <w:szCs w:val="21"/>
    </w:r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2"/>
    <w:uiPriority w:val="10"/>
    <w:rPr>
      <w:sz w:val="48"/>
      <w:szCs w:val="48"/>
    </w:rPr>
  </w:style>
  <w:style w:type="character" w:customStyle="1" w:styleId="48">
    <w:name w:val="Subtitle Char"/>
    <w:basedOn w:val="32"/>
    <w:link w:val="22"/>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uiPriority w:val="30"/>
    <w:rPr>
      <w:i/>
    </w:rPr>
  </w:style>
  <w:style w:type="character" w:customStyle="1" w:styleId="53">
    <w:name w:val="Header Char"/>
    <w:basedOn w:val="32"/>
    <w:qFormat/>
    <w:uiPriority w:val="99"/>
  </w:style>
  <w:style w:type="character" w:customStyle="1" w:styleId="54">
    <w:name w:val="Footer Char"/>
    <w:basedOn w:val="32"/>
    <w:uiPriority w:val="99"/>
  </w:style>
  <w:style w:type="character" w:customStyle="1" w:styleId="55">
    <w:name w:val="Caption Char"/>
    <w:uiPriority w:val="99"/>
  </w:style>
  <w:style w:type="table" w:customStyle="1" w:styleId="56">
    <w:name w:val="Table Grid Light"/>
    <w:basedOn w:val="30"/>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basedOn w:val="30"/>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basedOn w:val="3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basedOn w:val="30"/>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basedOn w:val="30"/>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basedOn w:val="30"/>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basedOn w:val="30"/>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basedOn w:val="30"/>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basedOn w:val="3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basedOn w:val="30"/>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basedOn w:val="30"/>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basedOn w:val="30"/>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basedOn w:val="30"/>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basedOn w:val="30"/>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basedOn w:val="30"/>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basedOn w:val="30"/>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basedOn w:val="30"/>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basedOn w:val="30"/>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basedOn w:val="30"/>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basedOn w:val="30"/>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basedOn w:val="30"/>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basedOn w:val="30"/>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basedOn w:val="30"/>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basedOn w:val="30"/>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basedOn w:val="30"/>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basedOn w:val="30"/>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basedOn w:val="3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basedOn w:val="30"/>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basedOn w:val="30"/>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basedOn w:val="30"/>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basedOn w:val="30"/>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basedOn w:val="30"/>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basedOn w:val="30"/>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basedOn w:val="30"/>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basedOn w:val="30"/>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basedOn w:val="30"/>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basedOn w:val="30"/>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basedOn w:val="30"/>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basedOn w:val="30"/>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basedOn w:val="30"/>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basedOn w:val="30"/>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basedOn w:val="30"/>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basedOn w:val="30"/>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basedOn w:val="30"/>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basedOn w:val="30"/>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basedOn w:val="30"/>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basedOn w:val="30"/>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basedOn w:val="30"/>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basedOn w:val="30"/>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basedOn w:val="30"/>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basedOn w:val="30"/>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basedOn w:val="30"/>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basedOn w:val="30"/>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basedOn w:val="30"/>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basedOn w:val="30"/>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basedOn w:val="30"/>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basedOn w:val="30"/>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basedOn w:val="30"/>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basedOn w:val="30"/>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basedOn w:val="30"/>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basedOn w:val="30"/>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basedOn w:val="3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basedOn w:val="30"/>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basedOn w:val="30"/>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basedOn w:val="30"/>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basedOn w:val="30"/>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basedOn w:val="30"/>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basedOn w:val="30"/>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basedOn w:val="30"/>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basedOn w:val="30"/>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basedOn w:val="30"/>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basedOn w:val="30"/>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basedOn w:val="30"/>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basedOn w:val="30"/>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basedOn w:val="30"/>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basedOn w:val="30"/>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basedOn w:val="30"/>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basedOn w:val="30"/>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basedOn w:val="30"/>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basedOn w:val="30"/>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ned - Accent"/>
    <w:basedOn w:val="30"/>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basedOn w:val="30"/>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basedOn w:val="30"/>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basedOn w:val="30"/>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basedOn w:val="30"/>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basedOn w:val="30"/>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basedOn w:val="30"/>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basedOn w:val="30"/>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basedOn w:val="30"/>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basedOn w:val="30"/>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basedOn w:val="30"/>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basedOn w:val="30"/>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basedOn w:val="30"/>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basedOn w:val="3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uiPriority w:val="99"/>
    <w:rPr>
      <w:sz w:val="18"/>
    </w:rPr>
  </w:style>
  <w:style w:type="character" w:customStyle="1" w:styleId="182">
    <w:name w:val="Endnote Text Char"/>
    <w:link w:val="17"/>
    <w:uiPriority w:val="99"/>
    <w:rPr>
      <w:sz w:val="20"/>
    </w:rPr>
  </w:style>
  <w:style w:type="paragraph" w:styleId="183">
    <w:name w:val="List Paragraph"/>
    <w:qFormat/>
    <w:uiPriority w:val="0"/>
    <w:rPr>
      <w:rFonts w:hint="default" w:asciiTheme="minorHAnsi" w:hAnsiTheme="minorHAnsi" w:eastAsiaTheme="minorEastAsia" w:cstheme="minorBidi"/>
      <w:sz w:val="21"/>
      <w:szCs w:val="22"/>
    </w:rPr>
  </w:style>
  <w:style w:type="character" w:customStyle="1" w:styleId="184">
    <w:name w:val="脚注文本 字符"/>
    <w:link w:val="23"/>
    <w:semiHidden/>
    <w:unhideWhenUsed/>
    <w:qFormat/>
    <w:uiPriority w:val="99"/>
    <w:rPr>
      <w:sz w:val="20"/>
      <w:szCs w:val="20"/>
    </w:rPr>
  </w:style>
  <w:style w:type="paragraph" w:customStyle="1" w:styleId="185">
    <w:name w:val="_Style 13"/>
    <w:qFormat/>
    <w:uiPriority w:val="0"/>
    <w:pPr>
      <w:spacing w:before="120" w:after="120" w:line="288" w:lineRule="auto"/>
    </w:pPr>
    <w:rPr>
      <w:rFonts w:hint="default" w:ascii="Arial" w:hAnsi="Arial" w:eastAsia="等线" w:cs="Arial"/>
      <w:sz w:val="22"/>
      <w:szCs w:val="22"/>
    </w:rPr>
  </w:style>
  <w:style w:type="paragraph" w:customStyle="1" w:styleId="186">
    <w:name w:val="_Style 14"/>
    <w:qFormat/>
    <w:uiPriority w:val="0"/>
    <w:pPr>
      <w:spacing w:before="120" w:after="120" w:line="288" w:lineRule="auto"/>
    </w:pPr>
    <w:rPr>
      <w:rFonts w:hint="default" w:ascii="Arial" w:hAnsi="Arial" w:eastAsia="等线" w:cs="Arial"/>
      <w:color w:val="8F959E"/>
      <w:sz w:val="22"/>
      <w:szCs w:val="22"/>
    </w:rPr>
  </w:style>
  <w:style w:type="paragraph" w:customStyle="1" w:styleId="187">
    <w:name w:val="列出段落1"/>
    <w:basedOn w:val="1"/>
    <w:qFormat/>
    <w:uiPriority w:val="34"/>
    <w:pPr>
      <w:ind w:firstLine="420"/>
    </w:pPr>
  </w:style>
  <w:style w:type="paragraph" w:customStyle="1" w:styleId="188">
    <w:name w:val="Revision"/>
    <w:hidden/>
    <w:unhideWhenUsed/>
    <w:uiPriority w:val="99"/>
    <w:rPr>
      <w:rFonts w:hint="default" w:asciiTheme="minorHAnsi" w:hAnsiTheme="minorHAnsi" w:eastAsiaTheme="minorEastAsia" w:cstheme="minorBidi"/>
      <w:sz w:val="21"/>
      <w:szCs w:val="22"/>
    </w:rPr>
  </w:style>
  <w:style w:type="character" w:customStyle="1" w:styleId="189">
    <w:name w:val="页眉 字符"/>
    <w:basedOn w:val="32"/>
    <w:link w:val="19"/>
    <w:uiPriority w:val="0"/>
    <w:rPr>
      <w:sz w:val="18"/>
      <w:szCs w:val="18"/>
    </w:rPr>
  </w:style>
  <w:style w:type="character" w:customStyle="1" w:styleId="190">
    <w:name w:val="页脚 字符"/>
    <w:basedOn w:val="32"/>
    <w:link w:val="18"/>
    <w:uiPriority w:val="99"/>
    <w:rPr>
      <w:sz w:val="18"/>
      <w:szCs w:val="18"/>
    </w:rPr>
  </w:style>
  <w:style w:type="character" w:customStyle="1" w:styleId="191">
    <w:name w:val="批注文字 字符"/>
    <w:basedOn w:val="32"/>
    <w:link w:val="13"/>
    <w:qFormat/>
    <w:uiPriority w:val="99"/>
    <w:rPr>
      <w:sz w:val="21"/>
      <w:szCs w:val="22"/>
    </w:rPr>
  </w:style>
  <w:style w:type="paragraph" w:customStyle="1" w:styleId="192">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193">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194">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195">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196">
    <w:name w:val="发布部门"/>
    <w:next w:val="1"/>
    <w:qFormat/>
    <w:uiPriority w:val="0"/>
    <w:pPr>
      <w:framePr w:w="7938" w:h="1134" w:hRule="exact" w:hSpace="125" w:vSpace="181" w:wrap="around" w:vAnchor="page" w:hAnchor="page" w:x="2150" w:y="14630"/>
      <w:jc w:val="center"/>
    </w:pPr>
    <w:rPr>
      <w:rFonts w:hint="default" w:ascii="宋体" w:hAnsi="Times New Roman" w:eastAsia="宋体" w:cs="Times New Roman"/>
      <w:b/>
      <w:spacing w:val="20"/>
      <w:sz w:val="28"/>
    </w:rPr>
  </w:style>
  <w:style w:type="paragraph" w:customStyle="1" w:styleId="197">
    <w:name w:val="其他发布日期"/>
    <w:basedOn w:val="1"/>
    <w:qFormat/>
    <w:uiPriority w:val="0"/>
    <w:pPr>
      <w:framePr w:w="3997" w:h="471" w:hRule="exact" w:vSpace="181" w:wrap="around" w:vAnchor="page" w:hAnchor="text" w:x="1419" w:y="14097"/>
      <w:widowControl/>
      <w:jc w:val="left"/>
    </w:pPr>
    <w:rPr>
      <w:rFonts w:ascii="Times New Roman" w:hAnsi="Times New Roman" w:eastAsia="黑体" w:cs="Times New Roman"/>
      <w:sz w:val="28"/>
      <w:szCs w:val="20"/>
    </w:rPr>
  </w:style>
  <w:style w:type="character" w:customStyle="1" w:styleId="198">
    <w:name w:val="批注主题 字符"/>
    <w:basedOn w:val="191"/>
    <w:link w:val="29"/>
    <w:uiPriority w:val="0"/>
    <w:rPr>
      <w:b/>
      <w:bCs/>
      <w:sz w:val="21"/>
      <w:szCs w:val="22"/>
    </w:rPr>
  </w:style>
  <w:style w:type="character" w:customStyle="1" w:styleId="199">
    <w:name w:val="标题 1 字符"/>
    <w:basedOn w:val="32"/>
    <w:link w:val="2"/>
    <w:uiPriority w:val="0"/>
    <w:rPr>
      <w:rFonts w:ascii="Arial" w:hAnsi="Arial" w:eastAsia="等线" w:cs="Arial"/>
      <w:b/>
      <w:bCs/>
      <w:sz w:val="36"/>
      <w:szCs w:val="36"/>
    </w:rPr>
  </w:style>
  <w:style w:type="paragraph" w:customStyle="1" w:styleId="200">
    <w:name w:val="TOC Heading"/>
    <w:basedOn w:val="2"/>
    <w:next w:val="1"/>
    <w:unhideWhenUsed/>
    <w:qFormat/>
    <w:uiPriority w:val="39"/>
    <w:pPr>
      <w:keepNext/>
      <w:keepLines/>
      <w:spacing w:before="240" w:after="0" w:line="259" w:lineRule="auto"/>
      <w:outlineLvl w:val="9"/>
    </w:pPr>
    <w:rPr>
      <w:rFonts w:asciiTheme="majorHAnsi" w:hAnsiTheme="majorHAnsi" w:eastAsiaTheme="majorEastAsia" w:cstheme="majorBidi"/>
      <w:b w:val="0"/>
      <w:bCs w:val="0"/>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26DDF-3767-4C42-9E83-A05D1AF28B77}">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616</Words>
  <Characters>776</Characters>
  <TotalTime>2</TotalTime>
  <ScaleCrop>false</ScaleCrop>
  <LinksUpToDate>false</LinksUpToDate>
  <CharactersWithSpaces>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2025-09-05T05:40:00Z</dcterms:created>
  <dc:creator>Un-named</dc:creator>
  <cp:lastModifiedBy>J</cp:lastModifiedBy>
  <dcterms:modified xsi:type="dcterms:W3CDTF">2025-11-12T07:48:23Z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eyJoZGlkIjoiMTFmMDJjZGU0YzYzNjgxMjg1NzBlNDNlZWZkY2IyNjMiLCJ1c2VySWQiOiIxMzc2MzQzNjk3In0=</vt:lpwstr>
  </property>
  <property fmtid="{D5CDD505-2E9C-101B-9397-08002B2CF9AE}" pid="3" name="KSOProductBuildVer">
    <vt:lpwstr>2052-12.1.0.23542</vt:lpwstr>
  </property>
  <property fmtid="{D5CDD505-2E9C-101B-9397-08002B2CF9AE}" pid="4" name="ICV">
    <vt:lpwstr>FA21844425DE4D81A93F4CC154FC32B4_12</vt:lpwstr>
  </property>
</Properties>
</file>