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8A6E0">
      <w:pPr>
        <w:pStyle w:val="37"/>
        <w:framePr w:wrap="around" w:vAnchor="page" w:hAnchor="page" w:x="1846" w:y="832"/>
        <w:rPr>
          <w:rFonts w:hint="default" w:ascii="Times New Roman" w:hAnsi="Times New Roman" w:cs="Times New Roman"/>
          <w:b/>
          <w:bCs/>
        </w:rPr>
      </w:pPr>
      <w:r>
        <w:rPr>
          <w:rFonts w:hint="default" w:ascii="Times New Roman" w:hAnsi="Times New Roman" w:cs="Times New Roman"/>
          <w:b/>
          <w:bCs/>
        </w:rPr>
        <w:t>ICS 11.020</w:t>
      </w:r>
    </w:p>
    <w:p w14:paraId="7245C736">
      <w:pPr>
        <w:pStyle w:val="37"/>
        <w:framePr w:wrap="around" w:vAnchor="page" w:hAnchor="page" w:x="1846" w:y="832"/>
        <w:rPr>
          <w:rFonts w:hint="default" w:ascii="Times New Roman" w:hAnsi="Times New Roman" w:cs="Times New Roman"/>
          <w:b/>
          <w:bCs/>
        </w:rPr>
      </w:pPr>
      <w:r>
        <w:rPr>
          <w:rFonts w:hint="default" w:ascii="Times New Roman" w:hAnsi="Times New Roman" w:cs="Times New Roman"/>
          <w:b/>
          <w:bCs/>
        </w:rPr>
        <w:t>CCS C 05</w:t>
      </w:r>
    </w:p>
    <w:p w14:paraId="5B619C6A">
      <w:pPr>
        <w:pStyle w:val="41"/>
        <w:framePr w:w="8178" w:h="856" w:hRule="exact" w:wrap="around" w:x="2055" w:y="2221"/>
        <w:rPr>
          <w:rFonts w:hint="default" w:ascii="Times New Roman" w:hAnsi="Times New Roman" w:eastAsia="黑体" w:cs="Times New Roman"/>
          <w:b w:val="0"/>
          <w:sz w:val="56"/>
          <w:szCs w:val="52"/>
        </w:rPr>
      </w:pPr>
      <w:bookmarkStart w:id="0" w:name="_Hlk208991962"/>
      <w:r>
        <w:rPr>
          <w:rFonts w:hint="default" w:ascii="Times New Roman" w:hAnsi="Times New Roman" w:eastAsia="黑体" w:cs="Times New Roman"/>
          <w:b w:val="0"/>
          <w:sz w:val="56"/>
          <w:szCs w:val="52"/>
        </w:rPr>
        <w:t>团体标准</w:t>
      </w:r>
    </w:p>
    <w:bookmarkEnd w:id="0"/>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9475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356" w:type="dxa"/>
            <w:tcBorders>
              <w:top w:val="nil"/>
              <w:left w:val="nil"/>
              <w:bottom w:val="nil"/>
              <w:right w:val="nil"/>
            </w:tcBorders>
          </w:tcPr>
          <w:p w14:paraId="53943225">
            <w:pPr>
              <w:pStyle w:val="39"/>
              <w:framePr w:wrap="around" w:x="1382" w:y="3031"/>
              <w:rPr>
                <w:rFonts w:hint="default" w:ascii="Times New Roman" w:hAnsi="Times New Roman" w:cs="Times New Roman"/>
              </w:rPr>
            </w:pPr>
            <w:bookmarkStart w:id="1" w:name="_Hlk208992010"/>
            <w:r>
              <w:rPr>
                <w:rFonts w:hint="default" w:ascii="Times New Roman" w:hAnsi="Times New Roman" w:cs="Times New Roman"/>
                <w:b/>
                <w:bCs/>
                <w:lang w:val="fr-FR"/>
              </w:rPr>
              <w:t>T/C</w:t>
            </w:r>
            <w:bookmarkStart w:id="2" w:name="StdNo1"/>
            <w:r>
              <w:rPr>
                <w:rFonts w:hint="default" w:ascii="Times New Roman" w:hAnsi="Times New Roman" w:cs="Times New Roman"/>
                <w:b/>
                <w:bCs/>
              </w:rPr>
              <w:t>RHA</w:t>
            </w:r>
            <w:bookmarkEnd w:id="2"/>
            <w:r>
              <w:rPr>
                <w:rFonts w:hint="default" w:ascii="Times New Roman" w:hAnsi="Times New Roman" w:cs="Times New Roman"/>
              </w:rPr>
              <w:t xml:space="preserve"> XXX—202X</w:t>
            </w:r>
          </w:p>
        </w:tc>
      </w:tr>
    </w:tbl>
    <w:p w14:paraId="77A5EA9F">
      <w:pPr>
        <w:pStyle w:val="39"/>
        <w:framePr w:wrap="around" w:x="1382" w:y="3031"/>
        <w:jc w:val="center"/>
        <w:rPr>
          <w:rFonts w:hint="default" w:ascii="Times New Roman" w:hAnsi="Times New Roman" w:cs="Times New Roman"/>
        </w:rPr>
      </w:pPr>
      <w:r>
        <w:rPr>
          <w:rFonts w:hint="default" w:ascii="Times New Roman" w:hAnsi="Times New Roman" w:cs="Times New Roman"/>
        </w:rPr>
        <w:t>————————————————————————————————————————</w:t>
      </w:r>
    </w:p>
    <w:p w14:paraId="5DF07F97">
      <w:pPr>
        <w:pStyle w:val="39"/>
        <w:framePr w:wrap="around" w:x="1382" w:y="3031"/>
        <w:rPr>
          <w:rFonts w:hint="default" w:ascii="Times New Roman" w:hAnsi="Times New Roman" w:cs="Times New Roman"/>
        </w:rPr>
      </w:pPr>
    </w:p>
    <w:bookmarkEnd w:id="1"/>
    <w:p w14:paraId="074B745F">
      <w:pPr>
        <w:framePr w:w="9421" w:h="7131" w:hRule="exact" w:wrap="around" w:vAnchor="page" w:hAnchor="page" w:x="1371" w:y="5051" w:anchorLock="1"/>
        <w:jc w:val="left"/>
        <w:rPr>
          <w:rFonts w:hint="default" w:ascii="Times New Roman" w:hAnsi="Times New Roman" w:eastAsia="宋体" w:cs="Times New Roman"/>
          <w:color w:val="000000"/>
          <w:sz w:val="24"/>
        </w:rPr>
      </w:pPr>
      <w:bookmarkStart w:id="3" w:name="StdEnglishName"/>
    </w:p>
    <w:p w14:paraId="44CDCAB9">
      <w:pPr>
        <w:pStyle w:val="38"/>
        <w:framePr w:w="9421" w:wrap="around" w:x="1371"/>
        <w:rPr>
          <w:rFonts w:hint="default" w:ascii="Times New Roman" w:hAnsi="Times New Roman" w:cs="Times New Roman"/>
        </w:rPr>
      </w:pPr>
      <w:r>
        <w:rPr>
          <w:rFonts w:hint="default" w:ascii="Times New Roman" w:hAnsi="Times New Roman" w:cs="Times New Roman"/>
        </w:rPr>
        <w:t>射血分数保留型心力衰竭临床疗效评价方法</w:t>
      </w:r>
    </w:p>
    <w:p w14:paraId="05CE23D7">
      <w:pPr>
        <w:keepNext/>
        <w:keepLines/>
        <w:framePr w:w="9421" w:h="7131" w:hRule="exact" w:wrap="around" w:vAnchor="page" w:hAnchor="page" w:x="1371" w:y="5051" w:anchorLock="1"/>
        <w:spacing w:after="400"/>
        <w:jc w:val="center"/>
        <w:outlineLvl w:val="1"/>
        <w:rPr>
          <w:rFonts w:hint="default" w:ascii="Times New Roman" w:hAnsi="Times New Roman" w:eastAsia="黑体" w:cs="Times New Roman"/>
          <w:color w:val="000000"/>
          <w:kern w:val="0"/>
          <w:sz w:val="28"/>
          <w:szCs w:val="28"/>
          <w:lang w:eastAsia="zh-TW" w:bidi="zh-TW"/>
        </w:rPr>
      </w:pPr>
      <w:r>
        <w:rPr>
          <w:rFonts w:hint="default" w:ascii="Times New Roman" w:hAnsi="Times New Roman" w:eastAsia="黑体" w:cs="Times New Roman"/>
          <w:b/>
          <w:bCs/>
          <w:color w:val="000000"/>
          <w:kern w:val="0"/>
          <w:sz w:val="28"/>
          <w:szCs w:val="28"/>
          <w:lang w:eastAsia="zh-TW" w:bidi="zh-TW"/>
        </w:rPr>
        <w:t>Core Outcome Set and Technical Specification for Clinical Effectiveness Assessment in Heart Failure with Preserved Ejection Fraction</w:t>
      </w:r>
      <w:r>
        <w:rPr>
          <w:rFonts w:hint="default" w:ascii="Times New Roman" w:hAnsi="Times New Roman" w:eastAsia="黑体" w:cs="Times New Roman"/>
          <w:b/>
          <w:bCs/>
          <w:color w:val="000000"/>
          <w:kern w:val="0"/>
          <w:sz w:val="28"/>
          <w:szCs w:val="28"/>
          <w:lang w:val="zh-TW" w:eastAsia="zh-TW" w:bidi="zh-TW"/>
        </w:rPr>
        <w:t xml:space="preserve"> </w:t>
      </w:r>
    </w:p>
    <w:p w14:paraId="43FA84C5">
      <w:pPr>
        <w:pStyle w:val="38"/>
        <w:framePr w:w="9421" w:wrap="around" w:x="1371"/>
        <w:rPr>
          <w:rFonts w:hint="eastAsia" w:ascii="Times New Roman" w:hAnsi="Times New Roman" w:eastAsia="黑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征求意见稿</w:t>
      </w:r>
      <w:r>
        <w:rPr>
          <w:rFonts w:hint="eastAsia" w:ascii="Times New Roman" w:hAnsi="Times New Roman" w:cs="Times New Roman"/>
          <w:sz w:val="28"/>
          <w:szCs w:val="28"/>
          <w:lang w:eastAsia="zh-CN"/>
        </w:rPr>
        <w:t>）</w:t>
      </w:r>
    </w:p>
    <w:p w14:paraId="4B81489A">
      <w:pPr>
        <w:pStyle w:val="45"/>
        <w:framePr w:w="9331" w:wrap="around" w:hAnchor="page" w:x="1651" w:y="15061"/>
        <w:rPr>
          <w:rFonts w:hint="default" w:ascii="Times New Roman" w:hAnsi="Times New Roman" w:cs="Times New Roman"/>
        </w:rPr>
      </w:pPr>
      <w:bookmarkStart w:id="4" w:name="_Hlk208992357"/>
      <w:r>
        <w:rPr>
          <w:rFonts w:hint="default" w:ascii="Times New Roman" w:hAnsi="Times New Roman" w:cs="Times New Roman"/>
        </w:rPr>
        <w:t>202X-XX-</w:t>
      </w:r>
      <w:r>
        <w:rPr>
          <w:rFonts w:hint="default" w:ascii="Times New Roman" w:hAnsi="Times New Roman" w:cs="Times New Roman"/>
          <w:szCs w:val="22"/>
        </w:rPr>
        <w:t>XX</w:t>
      </w:r>
      <w:r>
        <w:rPr>
          <w:rFonts w:hint="default" w:ascii="Times New Roman" w:hAnsi="Times New Roman" w:cs="Times New Roman"/>
        </w:rPr>
        <w:t xml:space="preserve">发布                                      </w:t>
      </w:r>
      <w:r>
        <w:rPr>
          <w:rFonts w:hint="default" w:ascii="Times New Roman" w:hAnsi="Times New Roman" w:cs="Times New Roman"/>
          <w:szCs w:val="22"/>
        </w:rPr>
        <w:t>202X-XX-XX实施</w:t>
      </w:r>
      <w:r>
        <w:rPr>
          <w:rFonts w:hint="default" w:ascii="Times New Roman" w:hAnsi="Times New Roman" w:cs="Times New Roman"/>
        </w:rP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bookmarkEnd w:id="4"/>
    <w:p w14:paraId="4DEF706B">
      <w:pPr>
        <w:pStyle w:val="43"/>
        <w:framePr w:w="9416" w:wrap="around" w:x="1488" w:y="15540"/>
        <w:pBdr>
          <w:top w:val="single" w:color="auto" w:sz="4" w:space="1"/>
          <w:left w:val="none" w:color="auto" w:sz="0" w:space="4"/>
          <w:bottom w:val="none" w:color="auto" w:sz="0" w:space="1"/>
          <w:right w:val="none" w:color="auto" w:sz="0" w:space="4"/>
        </w:pBdr>
        <w:rPr>
          <w:rFonts w:hint="default" w:ascii="Times New Roman" w:hAnsi="Times New Roman" w:eastAsia="黑体" w:cs="Times New Roman"/>
          <w:b w:val="0"/>
          <w:bCs/>
          <w:w w:val="100"/>
          <w:sz w:val="32"/>
          <w:szCs w:val="32"/>
        </w:rPr>
      </w:pPr>
      <w:bookmarkStart w:id="5" w:name="_Hlk208992544"/>
      <w:r>
        <w:rPr>
          <w:rFonts w:hint="default" w:ascii="Times New Roman" w:hAnsi="Times New Roman" w:eastAsia="黑体" w:cs="Times New Roman"/>
          <w:b w:val="0"/>
          <w:bCs/>
          <w:w w:val="100"/>
          <w:sz w:val="32"/>
          <w:szCs w:val="32"/>
        </w:rPr>
        <w:t>中国研究型医院学会 发 布</w:t>
      </w:r>
      <w:bookmarkEnd w:id="3"/>
    </w:p>
    <w:bookmarkEnd w:id="5"/>
    <w:p w14:paraId="1D9EA34A">
      <w:pPr>
        <w:rPr>
          <w:rFonts w:hint="default" w:ascii="Times New Roman" w:hAnsi="Times New Roman" w:eastAsia="宋体" w:cs="Times New Roman"/>
        </w:rPr>
      </w:pPr>
      <w:r>
        <w:rPr>
          <w:rFonts w:hint="default" w:ascii="Times New Roman" w:hAnsi="Times New Roman" w:eastAsia="宋体" w:cs="Times New Roman"/>
        </w:rPr>
        <w:drawing>
          <wp:anchor distT="0" distB="0" distL="114300" distR="114300" simplePos="0" relativeHeight="251662336"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4ABE2877">
      <w:pPr>
        <w:spacing w:line="360" w:lineRule="auto"/>
        <w:jc w:val="center"/>
        <w:rPr>
          <w:rFonts w:hint="default" w:ascii="Times New Roman" w:hAnsi="Times New Roman" w:eastAsia="宋体" w:cs="Times New Roman"/>
          <w:bCs/>
          <w:sz w:val="24"/>
          <w:szCs w:val="24"/>
        </w:rPr>
      </w:pPr>
    </w:p>
    <w:p w14:paraId="7E106802">
      <w:pPr>
        <w:spacing w:line="360" w:lineRule="auto"/>
        <w:jc w:val="center"/>
        <w:rPr>
          <w:rFonts w:hint="default" w:ascii="Times New Roman" w:hAnsi="Times New Roman" w:eastAsia="宋体" w:cs="Times New Roman"/>
          <w:bCs/>
          <w:sz w:val="24"/>
          <w:szCs w:val="24"/>
        </w:rPr>
      </w:pPr>
    </w:p>
    <w:p w14:paraId="0C206824">
      <w:pPr>
        <w:widowControl/>
        <w:spacing w:line="360" w:lineRule="auto"/>
        <w:jc w:val="center"/>
        <w:rPr>
          <w:rFonts w:hint="default" w:ascii="Times New Roman" w:hAnsi="Times New Roman" w:eastAsia="黑体" w:cs="Times New Roman"/>
          <w:sz w:val="32"/>
          <w:szCs w:val="32"/>
        </w:rPr>
        <w:sectPr>
          <w:headerReference r:id="rId3" w:type="default"/>
          <w:footerReference r:id="rId5" w:type="default"/>
          <w:headerReference r:id="rId4" w:type="even"/>
          <w:pgSz w:w="11906" w:h="16838"/>
          <w:pgMar w:top="1100" w:right="1800" w:bottom="1100" w:left="1800" w:header="851" w:footer="992" w:gutter="0"/>
          <w:pgNumType w:fmt="decimal" w:start="0"/>
          <w:cols w:space="425" w:num="1"/>
          <w:titlePg/>
          <w:docGrid w:type="lines" w:linePitch="312" w:charSpace="0"/>
        </w:sectPr>
      </w:pPr>
    </w:p>
    <w:p w14:paraId="49EEACC6">
      <w:pPr>
        <w:widowControl/>
        <w:jc w:val="center"/>
        <w:rPr>
          <w:rFonts w:hint="default" w:ascii="Times New Roman" w:hAnsi="Times New Roman" w:eastAsia="黑体" w:cs="Times New Roman"/>
          <w:sz w:val="32"/>
          <w:szCs w:val="32"/>
        </w:rPr>
      </w:pPr>
      <w:bookmarkStart w:id="6" w:name="_Hlk208992698"/>
      <w:r>
        <w:rPr>
          <w:rFonts w:hint="default" w:ascii="Times New Roman" w:hAnsi="Times New Roman" w:eastAsia="黑体" w:cs="Times New Roman"/>
          <w:sz w:val="32"/>
          <w:szCs w:val="32"/>
        </w:rPr>
        <w:t>目  次</w:t>
      </w:r>
    </w:p>
    <w:bookmarkEnd w:id="6"/>
    <w:p w14:paraId="2A3CD3FE">
      <w:pPr>
        <w:widowControl/>
        <w:spacing w:line="360" w:lineRule="auto"/>
        <w:jc w:val="center"/>
        <w:rPr>
          <w:rFonts w:hint="default" w:ascii="Times New Roman" w:hAnsi="Times New Roman" w:eastAsia="黑体" w:cs="Times New Roman"/>
          <w:sz w:val="32"/>
          <w:szCs w:val="32"/>
        </w:rPr>
      </w:pPr>
    </w:p>
    <w:p w14:paraId="2D50CDD0">
      <w:pPr>
        <w:widowControl/>
        <w:tabs>
          <w:tab w:val="right" w:leader="dot" w:pos="8190"/>
        </w:tabs>
        <w:jc w:val="left"/>
        <w:rPr>
          <w:rFonts w:hint="default" w:ascii="Times New Roman" w:hAnsi="Times New Roman" w:eastAsia="宋体" w:cs="Times New Roman"/>
          <w:szCs w:val="21"/>
        </w:rPr>
      </w:pPr>
      <w:r>
        <w:rPr>
          <w:rFonts w:hint="default" w:ascii="Times New Roman" w:hAnsi="Times New Roman" w:eastAsia="宋体" w:cs="Times New Roman"/>
          <w:szCs w:val="21"/>
        </w:rPr>
        <w:t>前言</w:t>
      </w:r>
      <w:r>
        <w:rPr>
          <w:rFonts w:hint="default" w:ascii="Times New Roman" w:hAnsi="Times New Roman" w:eastAsia="宋体" w:cs="Times New Roman"/>
          <w:szCs w:val="21"/>
        </w:rPr>
        <w:tab/>
      </w:r>
      <w:r>
        <w:rPr>
          <w:rFonts w:hint="default" w:ascii="Times New Roman" w:hAnsi="Times New Roman" w:eastAsia="宋体" w:cs="Times New Roman"/>
          <w:szCs w:val="21"/>
        </w:rPr>
        <w:t>Ⅱ</w:t>
      </w:r>
    </w:p>
    <w:p w14:paraId="5B0AFB80">
      <w:pPr>
        <w:pStyle w:val="19"/>
        <w:widowControl/>
        <w:tabs>
          <w:tab w:val="right" w:leader="dot" w:pos="8190"/>
        </w:tabs>
        <w:ind w:firstLine="0" w:firstLineChars="0"/>
        <w:jc w:val="left"/>
        <w:rPr>
          <w:rFonts w:hint="default" w:ascii="Times New Roman" w:hAnsi="Times New Roman" w:eastAsia="宋体" w:cs="Times New Roman"/>
          <w:szCs w:val="21"/>
        </w:rPr>
      </w:pPr>
      <w:r>
        <w:rPr>
          <w:rFonts w:hint="default" w:ascii="Times New Roman" w:hAnsi="Times New Roman" w:eastAsia="宋体" w:cs="Times New Roman"/>
          <w:szCs w:val="21"/>
        </w:rPr>
        <w:t>1  范围</w:t>
      </w:r>
      <w:r>
        <w:rPr>
          <w:rFonts w:hint="default" w:ascii="Times New Roman" w:hAnsi="Times New Roman" w:eastAsia="宋体" w:cs="Times New Roman"/>
          <w:szCs w:val="21"/>
        </w:rPr>
        <w:tab/>
      </w:r>
      <w:r>
        <w:rPr>
          <w:rFonts w:hint="default" w:ascii="Times New Roman" w:hAnsi="Times New Roman" w:eastAsia="宋体" w:cs="Times New Roman"/>
          <w:szCs w:val="21"/>
        </w:rPr>
        <w:t>1</w:t>
      </w:r>
    </w:p>
    <w:p w14:paraId="6CA7E76C">
      <w:pPr>
        <w:pStyle w:val="19"/>
        <w:widowControl/>
        <w:tabs>
          <w:tab w:val="right" w:leader="dot" w:pos="8190"/>
        </w:tabs>
        <w:ind w:firstLine="0" w:firstLineChars="0"/>
        <w:jc w:val="left"/>
        <w:rPr>
          <w:rFonts w:hint="default" w:ascii="Times New Roman" w:hAnsi="Times New Roman" w:eastAsia="宋体" w:cs="Times New Roman"/>
          <w:szCs w:val="21"/>
        </w:rPr>
      </w:pPr>
      <w:r>
        <w:rPr>
          <w:rFonts w:hint="default" w:ascii="Times New Roman" w:hAnsi="Times New Roman" w:eastAsia="宋体" w:cs="Times New Roman"/>
          <w:szCs w:val="21"/>
        </w:rPr>
        <w:t>2  规范性引用文件</w:t>
      </w:r>
      <w:r>
        <w:rPr>
          <w:rFonts w:hint="default" w:ascii="Times New Roman" w:hAnsi="Times New Roman" w:eastAsia="宋体" w:cs="Times New Roman"/>
          <w:szCs w:val="21"/>
        </w:rPr>
        <w:tab/>
      </w:r>
      <w:r>
        <w:rPr>
          <w:rFonts w:hint="default" w:ascii="Times New Roman" w:hAnsi="Times New Roman" w:eastAsia="宋体" w:cs="Times New Roman"/>
          <w:szCs w:val="21"/>
        </w:rPr>
        <w:t>1</w:t>
      </w:r>
    </w:p>
    <w:p w14:paraId="53BDC31F">
      <w:pPr>
        <w:pStyle w:val="19"/>
        <w:widowControl/>
        <w:tabs>
          <w:tab w:val="right" w:leader="dot" w:pos="8190"/>
        </w:tabs>
        <w:ind w:firstLine="0" w:firstLineChars="0"/>
        <w:jc w:val="left"/>
        <w:rPr>
          <w:rFonts w:hint="default" w:ascii="Times New Roman" w:hAnsi="Times New Roman" w:eastAsia="宋体" w:cs="Times New Roman"/>
          <w:szCs w:val="21"/>
        </w:rPr>
      </w:pPr>
      <w:r>
        <w:rPr>
          <w:rFonts w:hint="default" w:ascii="Times New Roman" w:hAnsi="Times New Roman" w:eastAsia="宋体" w:cs="Times New Roman"/>
          <w:szCs w:val="21"/>
        </w:rPr>
        <w:t>3  术语和定义</w:t>
      </w:r>
      <w:r>
        <w:rPr>
          <w:rFonts w:hint="default" w:ascii="Times New Roman" w:hAnsi="Times New Roman" w:eastAsia="宋体" w:cs="Times New Roman"/>
          <w:szCs w:val="21"/>
        </w:rPr>
        <w:tab/>
      </w:r>
      <w:r>
        <w:rPr>
          <w:rFonts w:hint="default" w:ascii="Times New Roman" w:hAnsi="Times New Roman" w:eastAsia="宋体" w:cs="Times New Roman"/>
          <w:szCs w:val="21"/>
        </w:rPr>
        <w:t>1</w:t>
      </w:r>
    </w:p>
    <w:p w14:paraId="4DB08DD7">
      <w:pPr>
        <w:pStyle w:val="19"/>
        <w:widowControl/>
        <w:tabs>
          <w:tab w:val="right" w:leader="dot" w:pos="8190"/>
        </w:tabs>
        <w:ind w:firstLine="0" w:firstLineChars="0"/>
        <w:jc w:val="left"/>
        <w:rPr>
          <w:rFonts w:hint="default" w:ascii="Times New Roman" w:hAnsi="Times New Roman" w:eastAsia="宋体" w:cs="Times New Roman"/>
          <w:szCs w:val="21"/>
        </w:rPr>
      </w:pPr>
      <w:r>
        <w:rPr>
          <w:rFonts w:hint="default" w:ascii="Times New Roman" w:hAnsi="Times New Roman" w:eastAsia="宋体" w:cs="Times New Roman"/>
          <w:szCs w:val="21"/>
        </w:rPr>
        <w:t>4  缩略语</w:t>
      </w:r>
      <w:r>
        <w:rPr>
          <w:rFonts w:hint="default" w:ascii="Times New Roman" w:hAnsi="Times New Roman" w:eastAsia="宋体" w:cs="Times New Roman"/>
          <w:szCs w:val="21"/>
        </w:rPr>
        <w:tab/>
      </w:r>
      <w:r>
        <w:rPr>
          <w:rFonts w:hint="default" w:ascii="Times New Roman" w:hAnsi="Times New Roman" w:eastAsia="宋体" w:cs="Times New Roman"/>
          <w:szCs w:val="21"/>
        </w:rPr>
        <w:t>1</w:t>
      </w:r>
    </w:p>
    <w:p w14:paraId="220A4133">
      <w:pPr>
        <w:pStyle w:val="19"/>
        <w:widowControl/>
        <w:tabs>
          <w:tab w:val="right" w:leader="dot" w:pos="8190"/>
        </w:tabs>
        <w:ind w:firstLine="0" w:firstLineChars="0"/>
        <w:jc w:val="left"/>
        <w:rPr>
          <w:rFonts w:hint="default" w:ascii="Times New Roman" w:hAnsi="Times New Roman" w:eastAsia="宋体" w:cs="Times New Roman"/>
          <w:szCs w:val="21"/>
        </w:rPr>
      </w:pPr>
      <w:r>
        <w:rPr>
          <w:rFonts w:hint="default" w:ascii="Times New Roman" w:hAnsi="Times New Roman" w:eastAsia="宋体" w:cs="Times New Roman"/>
          <w:szCs w:val="21"/>
        </w:rPr>
        <w:t>5  评价指标体系和取值规则</w:t>
      </w:r>
      <w:r>
        <w:rPr>
          <w:rFonts w:hint="default" w:ascii="Times New Roman" w:hAnsi="Times New Roman" w:eastAsia="宋体" w:cs="Times New Roman"/>
          <w:szCs w:val="21"/>
        </w:rPr>
        <w:tab/>
      </w:r>
      <w:r>
        <w:rPr>
          <w:rFonts w:hint="default" w:ascii="Times New Roman" w:hAnsi="Times New Roman" w:eastAsia="宋体" w:cs="Times New Roman"/>
          <w:szCs w:val="21"/>
        </w:rPr>
        <w:t>2</w:t>
      </w:r>
    </w:p>
    <w:p w14:paraId="5BEAE9DC">
      <w:pPr>
        <w:pStyle w:val="19"/>
        <w:widowControl/>
        <w:tabs>
          <w:tab w:val="right" w:leader="dot" w:pos="8190"/>
        </w:tabs>
        <w:ind w:firstLine="0" w:firstLineChars="0"/>
        <w:jc w:val="left"/>
        <w:rPr>
          <w:rFonts w:hint="eastAsia" w:ascii="Times New Roman" w:hAnsi="Times New Roman" w:eastAsia="宋体" w:cs="Times New Roman"/>
          <w:szCs w:val="21"/>
          <w:lang w:eastAsia="zh-CN"/>
        </w:rPr>
      </w:pPr>
      <w:r>
        <w:rPr>
          <w:rFonts w:hint="default" w:ascii="Times New Roman" w:hAnsi="Times New Roman" w:eastAsia="宋体" w:cs="Times New Roman"/>
          <w:szCs w:val="21"/>
        </w:rPr>
        <w:t>6  评价结果</w:t>
      </w:r>
      <w:r>
        <w:rPr>
          <w:rFonts w:hint="default" w:ascii="Times New Roman" w:hAnsi="Times New Roman" w:eastAsia="宋体" w:cs="Times New Roman"/>
          <w:szCs w:val="21"/>
        </w:rPr>
        <w:tab/>
      </w:r>
      <w:r>
        <w:rPr>
          <w:rFonts w:hint="eastAsia" w:ascii="Times New Roman" w:hAnsi="Times New Roman" w:eastAsia="宋体" w:cs="Times New Roman"/>
          <w:szCs w:val="21"/>
          <w:lang w:val="en-US" w:eastAsia="zh-CN"/>
        </w:rPr>
        <w:t>7</w:t>
      </w:r>
    </w:p>
    <w:p w14:paraId="3FE9835B">
      <w:pPr>
        <w:pStyle w:val="19"/>
        <w:widowControl/>
        <w:tabs>
          <w:tab w:val="right" w:leader="dot" w:pos="8190"/>
        </w:tabs>
        <w:ind w:firstLine="0" w:firstLineChars="0"/>
        <w:jc w:val="left"/>
        <w:rPr>
          <w:rFonts w:hint="eastAsia" w:ascii="Times New Roman" w:hAnsi="Times New Roman" w:eastAsia="宋体" w:cs="Times New Roman"/>
          <w:szCs w:val="21"/>
          <w:lang w:eastAsia="zh-CN"/>
        </w:rPr>
      </w:pPr>
      <w:r>
        <w:rPr>
          <w:rFonts w:hint="default" w:ascii="Times New Roman" w:hAnsi="Times New Roman" w:eastAsia="宋体" w:cs="Times New Roman"/>
          <w:szCs w:val="21"/>
        </w:rPr>
        <w:t>附录A（资料性）</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评价指标体系和取值规则的研制方法</w:t>
      </w:r>
      <w:r>
        <w:rPr>
          <w:rFonts w:hint="default" w:ascii="Times New Roman" w:hAnsi="Times New Roman" w:eastAsia="宋体" w:cs="Times New Roman"/>
          <w:szCs w:val="21"/>
        </w:rPr>
        <w:tab/>
      </w:r>
      <w:r>
        <w:rPr>
          <w:rFonts w:hint="eastAsia" w:ascii="Times New Roman" w:hAnsi="Times New Roman" w:eastAsia="宋体" w:cs="Times New Roman"/>
          <w:szCs w:val="21"/>
          <w:lang w:val="en-US" w:eastAsia="zh-CN"/>
        </w:rPr>
        <w:t>8</w:t>
      </w:r>
    </w:p>
    <w:p w14:paraId="4ADE6AC2">
      <w:pPr>
        <w:pStyle w:val="19"/>
        <w:widowControl/>
        <w:tabs>
          <w:tab w:val="right" w:leader="dot" w:pos="8190"/>
        </w:tabs>
        <w:ind w:firstLine="0" w:firstLineChars="0"/>
        <w:jc w:val="left"/>
        <w:rPr>
          <w:rFonts w:hint="default" w:ascii="Times New Roman" w:hAnsi="Times New Roman" w:eastAsia="宋体" w:cs="Times New Roman"/>
          <w:szCs w:val="21"/>
        </w:rPr>
      </w:pPr>
      <w:r>
        <w:rPr>
          <w:rFonts w:hint="default" w:ascii="Times New Roman" w:hAnsi="Times New Roman" w:eastAsia="宋体" w:cs="Times New Roman"/>
          <w:szCs w:val="21"/>
        </w:rPr>
        <w:t>参考文献</w:t>
      </w:r>
      <w:r>
        <w:rPr>
          <w:rFonts w:hint="default" w:ascii="Times New Roman" w:hAnsi="Times New Roman" w:eastAsia="宋体" w:cs="Times New Roman"/>
          <w:szCs w:val="21"/>
        </w:rPr>
        <w:tab/>
      </w:r>
      <w:r>
        <w:rPr>
          <w:rFonts w:hint="default" w:ascii="Times New Roman" w:hAnsi="Times New Roman" w:eastAsia="宋体" w:cs="Times New Roman"/>
          <w:szCs w:val="21"/>
        </w:rPr>
        <w:t>11</w:t>
      </w:r>
    </w:p>
    <w:p w14:paraId="66052BAC">
      <w:pPr>
        <w:widowControl/>
        <w:spacing w:line="360" w:lineRule="auto"/>
        <w:jc w:val="center"/>
        <w:rPr>
          <w:rFonts w:hint="default" w:ascii="Times New Roman" w:hAnsi="Times New Roman" w:eastAsia="宋体" w:cs="Times New Roman"/>
          <w:b/>
          <w:bCs/>
          <w:sz w:val="32"/>
          <w:szCs w:val="32"/>
        </w:rPr>
      </w:pPr>
    </w:p>
    <w:p w14:paraId="6125CEC9">
      <w:pPr>
        <w:pStyle w:val="8"/>
        <w:jc w:val="center"/>
        <w:rPr>
          <w:rFonts w:hint="default" w:ascii="Times New Roman" w:hAnsi="Times New Roman" w:eastAsia="黑体" w:cs="Times New Roman"/>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68D1B91B">
      <w:pPr>
        <w:pStyle w:val="8"/>
        <w:jc w:val="center"/>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前  言</w:t>
      </w:r>
    </w:p>
    <w:p w14:paraId="742ACDDC">
      <w:pPr>
        <w:spacing w:line="360" w:lineRule="auto"/>
        <w:rPr>
          <w:rFonts w:hint="default" w:ascii="Times New Roman" w:hAnsi="Times New Roman" w:eastAsia="宋体" w:cs="Times New Roman"/>
          <w:sz w:val="24"/>
          <w:szCs w:val="24"/>
        </w:rPr>
      </w:pPr>
    </w:p>
    <w:p w14:paraId="28F64623">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 xml:space="preserve">本文件按照GB/T 1.1—2020《标准化工作导则 </w:t>
      </w:r>
      <w:r>
        <w:rPr>
          <w:rFonts w:hint="eastAsia"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第1部分：标准化文件的结构和起草规则》的规定起草。</w:t>
      </w:r>
    </w:p>
    <w:p w14:paraId="21374441">
      <w:pPr>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请注意</w:t>
      </w:r>
    </w:p>
    <w:p w14:paraId="290F9053">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本文件由中国研究型医院学会中西医结合心血管病专业委员会提出。</w:t>
      </w:r>
    </w:p>
    <w:p w14:paraId="5EE17175">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193BA01A">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6630115A">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26B2CB53">
      <w:pPr>
        <w:ind w:firstLine="420" w:firstLineChars="200"/>
        <w:rPr>
          <w:rFonts w:hint="default" w:ascii="Times New Roman" w:hAnsi="Times New Roman"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default" w:ascii="Times New Roman" w:hAnsi="Times New Roman" w:eastAsia="宋体" w:cs="Times New Roman"/>
          <w:szCs w:val="21"/>
        </w:rPr>
        <w:br w:type="page"/>
      </w:r>
    </w:p>
    <w:p w14:paraId="70CFD5E6">
      <w:pPr>
        <w:spacing w:before="156" w:beforeLines="50" w:after="156" w:afterLines="5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射血分数保留型心力衰竭临床疗效核心指标评价方法</w:t>
      </w:r>
    </w:p>
    <w:p w14:paraId="2E2365D7">
      <w:pPr>
        <w:pStyle w:val="19"/>
        <w:numPr>
          <w:ilvl w:val="0"/>
          <w:numId w:val="1"/>
        </w:numPr>
        <w:spacing w:before="312" w:beforeLines="100" w:after="312" w:afterLines="100"/>
        <w:ind w:firstLineChars="0"/>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范围</w:t>
      </w:r>
    </w:p>
    <w:p w14:paraId="05CCB4D6">
      <w:pPr>
        <w:pStyle w:val="4"/>
        <w:spacing w:before="0"/>
        <w:ind w:left="0" w:firstLine="404" w:firstLineChars="200"/>
        <w:rPr>
          <w:rFonts w:hint="eastAsia" w:ascii="宋体" w:hAnsi="宋体" w:cs="宋体"/>
          <w:color w:val="000000" w:themeColor="text1"/>
          <w:spacing w:val="-4"/>
          <w14:textFill>
            <w14:solidFill>
              <w14:schemeClr w14:val="tx1"/>
            </w14:solidFill>
          </w14:textFill>
        </w:rPr>
      </w:pPr>
      <w:bookmarkStart w:id="7" w:name="_Hlk208997236"/>
      <w:r>
        <w:rPr>
          <w:rFonts w:hint="eastAsia" w:ascii="宋体" w:hAnsi="宋体" w:cs="宋体"/>
          <w:color w:val="000000" w:themeColor="text1"/>
          <w:spacing w:val="-4"/>
          <w14:textFill>
            <w14:solidFill>
              <w14:schemeClr w14:val="tx1"/>
            </w14:solidFill>
          </w14:textFill>
        </w:rPr>
        <w:t>本文件规定了射血分数保留型心力衰竭临床疗效评价核心指标体系、取值规则及评价结果的计算。</w:t>
      </w:r>
    </w:p>
    <w:p w14:paraId="13F778EE">
      <w:pPr>
        <w:pStyle w:val="4"/>
        <w:spacing w:before="0"/>
        <w:ind w:left="0" w:firstLine="404" w:firstLineChars="200"/>
        <w:rPr>
          <w:rFonts w:hint="eastAsia" w:ascii="宋体" w:hAnsi="宋体" w:cs="宋体"/>
          <w:color w:val="000000" w:themeColor="text1"/>
          <w:spacing w:val="-4"/>
          <w14:textFill>
            <w14:solidFill>
              <w14:schemeClr w14:val="tx1"/>
            </w14:solidFill>
          </w14:textFill>
        </w:rPr>
      </w:pPr>
      <w:r>
        <w:rPr>
          <w:rFonts w:hint="eastAsia" w:ascii="宋体" w:hAnsi="宋体" w:cs="宋体"/>
          <w:color w:val="000000" w:themeColor="text1"/>
          <w:spacing w:val="-4"/>
          <w14:textFill>
            <w14:solidFill>
              <w14:schemeClr w14:val="tx1"/>
            </w14:solidFill>
          </w14:textFill>
        </w:rPr>
        <w:t>本文件适用于评价某种药物（中药/西药）、某种方法、某种技术等干预HFpEF的临床研究中该药物/方法/技术改善HFpEF的临床疗效，为研究者、临床医生、医疗机构/组织提供医疗决策支持。</w:t>
      </w:r>
      <w:bookmarkEnd w:id="7"/>
    </w:p>
    <w:p w14:paraId="1B76A311">
      <w:pPr>
        <w:pStyle w:val="19"/>
        <w:numPr>
          <w:ilvl w:val="0"/>
          <w:numId w:val="1"/>
        </w:numPr>
        <w:spacing w:before="312" w:beforeLines="100" w:after="312" w:afterLines="100"/>
        <w:ind w:firstLineChars="0"/>
        <w:jc w:val="left"/>
        <w:rPr>
          <w:rFonts w:hint="default" w:ascii="Times New Roman" w:hAnsi="Times New Roman" w:eastAsia="宋体" w:cs="Times New Roman"/>
          <w:bCs/>
          <w:szCs w:val="21"/>
        </w:rPr>
      </w:pPr>
      <w:r>
        <w:rPr>
          <w:rFonts w:hint="default" w:ascii="Times New Roman" w:hAnsi="Times New Roman" w:eastAsia="黑体" w:cs="Times New Roman"/>
          <w:bCs/>
          <w:szCs w:val="21"/>
        </w:rPr>
        <w:t>规范性引用文件</w:t>
      </w:r>
    </w:p>
    <w:p w14:paraId="250DE18C">
      <w:pPr>
        <w:ind w:firstLine="420" w:firstLineChars="200"/>
        <w:rPr>
          <w:rFonts w:hint="eastAsia" w:ascii="宋体" w:hAnsi="宋体" w:eastAsia="宋体" w:cs="宋体"/>
        </w:rPr>
      </w:pPr>
      <w:r>
        <w:rPr>
          <w:rFonts w:hint="eastAsia" w:ascii="宋体" w:hAnsi="宋体" w:eastAsia="宋体" w:cs="宋体"/>
        </w:rPr>
        <w:t>本文件没有规范性引用文件。</w:t>
      </w:r>
    </w:p>
    <w:p w14:paraId="58511525">
      <w:pPr>
        <w:pStyle w:val="19"/>
        <w:numPr>
          <w:ilvl w:val="0"/>
          <w:numId w:val="1"/>
        </w:numPr>
        <w:spacing w:before="312" w:beforeLines="100" w:after="312" w:afterLines="100"/>
        <w:ind w:firstLineChars="0"/>
        <w:jc w:val="left"/>
        <w:rPr>
          <w:rFonts w:hint="default" w:ascii="Times New Roman" w:hAnsi="Times New Roman" w:eastAsia="黑体" w:cs="Times New Roman"/>
          <w:bCs/>
          <w:szCs w:val="21"/>
        </w:rPr>
      </w:pPr>
      <w:bookmarkStart w:id="8" w:name="_Hlk208996677"/>
      <w:r>
        <w:rPr>
          <w:rFonts w:hint="default" w:ascii="Times New Roman" w:hAnsi="Times New Roman" w:eastAsia="黑体" w:cs="Times New Roman"/>
          <w:bCs/>
          <w:szCs w:val="21"/>
        </w:rPr>
        <w:t>术语和定义</w:t>
      </w:r>
    </w:p>
    <w:bookmarkEnd w:id="8"/>
    <w:p w14:paraId="7B9662A7">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下列术语和定义适用于本文件。</w:t>
      </w:r>
    </w:p>
    <w:p w14:paraId="4EAD7647">
      <w:pPr>
        <w:pStyle w:val="19"/>
        <w:numPr>
          <w:ilvl w:val="1"/>
          <w:numId w:val="1"/>
        </w:numPr>
        <w:ind w:firstLineChars="0"/>
        <w:jc w:val="left"/>
        <w:rPr>
          <w:rFonts w:hint="default" w:ascii="Times New Roman" w:hAnsi="Times New Roman" w:eastAsia="宋体" w:cs="Times New Roman"/>
          <w:b/>
          <w:szCs w:val="21"/>
        </w:rPr>
      </w:pPr>
    </w:p>
    <w:p w14:paraId="411569B8">
      <w:pPr>
        <w:pStyle w:val="19"/>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 xml:space="preserve">射血分数保留型心力衰竭 </w:t>
      </w:r>
      <w:r>
        <w:rPr>
          <w:rFonts w:hint="eastAsia" w:ascii="Times New Roman" w:hAnsi="Times New Roman" w:eastAsia="黑体" w:cs="Times New Roman"/>
          <w:bCs/>
          <w:szCs w:val="21"/>
          <w:lang w:val="en-US" w:eastAsia="zh-CN"/>
        </w:rPr>
        <w:t xml:space="preserve"> h</w:t>
      </w:r>
      <w:r>
        <w:rPr>
          <w:rFonts w:hint="default" w:ascii="Times New Roman" w:hAnsi="Times New Roman" w:eastAsia="黑体" w:cs="Times New Roman"/>
          <w:bCs/>
          <w:szCs w:val="21"/>
        </w:rPr>
        <w:t xml:space="preserve">eart Failure with </w:t>
      </w:r>
      <w:r>
        <w:rPr>
          <w:rFonts w:hint="eastAsia" w:ascii="Times New Roman" w:hAnsi="Times New Roman" w:eastAsia="黑体" w:cs="Times New Roman"/>
          <w:bCs/>
          <w:szCs w:val="21"/>
          <w:lang w:val="en-US" w:eastAsia="zh-CN"/>
        </w:rPr>
        <w:t>p</w:t>
      </w:r>
      <w:r>
        <w:rPr>
          <w:rFonts w:hint="default" w:ascii="Times New Roman" w:hAnsi="Times New Roman" w:eastAsia="黑体" w:cs="Times New Roman"/>
          <w:bCs/>
          <w:szCs w:val="21"/>
        </w:rPr>
        <w:t xml:space="preserve">reserved </w:t>
      </w:r>
      <w:r>
        <w:rPr>
          <w:rFonts w:hint="eastAsia" w:ascii="Times New Roman" w:hAnsi="Times New Roman" w:eastAsia="黑体" w:cs="Times New Roman"/>
          <w:bCs/>
          <w:szCs w:val="21"/>
          <w:lang w:val="en-US" w:eastAsia="zh-CN"/>
        </w:rPr>
        <w:t>e</w:t>
      </w:r>
      <w:r>
        <w:rPr>
          <w:rFonts w:hint="default" w:ascii="Times New Roman" w:hAnsi="Times New Roman" w:eastAsia="黑体" w:cs="Times New Roman"/>
          <w:bCs/>
          <w:szCs w:val="21"/>
        </w:rPr>
        <w:t xml:space="preserve">jection </w:t>
      </w:r>
      <w:r>
        <w:rPr>
          <w:rFonts w:hint="eastAsia" w:ascii="Times New Roman" w:hAnsi="Times New Roman" w:eastAsia="黑体" w:cs="Times New Roman"/>
          <w:bCs/>
          <w:szCs w:val="21"/>
          <w:lang w:val="en-US" w:eastAsia="zh-CN"/>
        </w:rPr>
        <w:t>f</w:t>
      </w:r>
      <w:r>
        <w:rPr>
          <w:rFonts w:hint="default" w:ascii="Times New Roman" w:hAnsi="Times New Roman" w:eastAsia="黑体" w:cs="Times New Roman"/>
          <w:bCs/>
          <w:szCs w:val="21"/>
        </w:rPr>
        <w:t>raction；HFpEF</w:t>
      </w:r>
    </w:p>
    <w:p w14:paraId="6204B465">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左心室射血分数（LVEF）≥50%，伴心力衰竭典型症状和/或体征，且存在左心室舒张功能障碍或左心室充盈压升高的客观证据，需排除非心脏疾病所致症状的临床综合征。</w:t>
      </w:r>
    </w:p>
    <w:p w14:paraId="74808367">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诊断标准包括：</w:t>
      </w:r>
    </w:p>
    <w:p w14:paraId="3429253A">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(1)</w:t>
      </w:r>
      <w:r>
        <w:rPr>
          <w:rFonts w:hint="default" w:ascii="Times New Roman" w:hAnsi="Times New Roman" w:eastAsia="宋体" w:cs="Times New Roman"/>
          <w:szCs w:val="21"/>
        </w:rPr>
        <w:t>心力衰竭的典型症状和体征：症状如劳力性呼吸困难、端坐呼吸、乏力、活动耐力下降；体征如肺部湿啰音、颈静脉充盈/怒张、外周水肿；</w:t>
      </w:r>
    </w:p>
    <w:p w14:paraId="0EBFA23A">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rPr>
        <w:t>左心室射血分数（LVEF）≥50% ；</w:t>
      </w:r>
    </w:p>
    <w:p w14:paraId="012F65FE">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(3)</w:t>
      </w:r>
      <w:r>
        <w:rPr>
          <w:rFonts w:hint="default" w:ascii="Times New Roman" w:hAnsi="Times New Roman" w:eastAsia="宋体" w:cs="Times New Roman"/>
          <w:szCs w:val="21"/>
        </w:rPr>
        <w:t>B型利钠肽（BNP）或N末端B型利钠肽原（NT-proBNP）升高：BNP≥35 pg/ml或NT-proBNP≥125 pg/ml；房颤患者：BNP≥105pg/ml或NT-proBNP≥365 pg/ml。</w:t>
      </w:r>
    </w:p>
    <w:p w14:paraId="0AD34BBF">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(4)</w:t>
      </w:r>
      <w:r>
        <w:rPr>
          <w:rFonts w:hint="default" w:ascii="Times New Roman" w:hAnsi="Times New Roman" w:eastAsia="宋体" w:cs="Times New Roman"/>
          <w:szCs w:val="21"/>
        </w:rPr>
        <w:t>左心室舒张功能障碍或充盈压升高的客观证据：超声心动图示平均E/e’≥15或间隔e’＜7cm/s或侧壁e’＜10 cm/s或三尖瓣反流速度＞2.8 m/s或肺动脉收缩压＞35mmHg；或左心房扩大（左心房容积指数≥29 mL/m²）、左心室质量指数升高（女性≥95 g/m²，男性≥116 g/m²）、左心室壁厚度≥12mm；或侵入性血流动力学检查示静息肺毛细血管楔压≥15 mmHg、运动肺毛细血管楔压≥25 mmHg。</w:t>
      </w:r>
    </w:p>
    <w:p w14:paraId="1ABD48B8">
      <w:pPr>
        <w:pStyle w:val="19"/>
        <w:numPr>
          <w:ilvl w:val="0"/>
          <w:numId w:val="1"/>
        </w:numPr>
        <w:spacing w:before="312" w:beforeLines="100" w:after="312" w:afterLines="100"/>
        <w:ind w:firstLineChars="0"/>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缩略语</w:t>
      </w:r>
    </w:p>
    <w:p w14:paraId="6CC5E63E">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下列缩略语适用于本文件。</w:t>
      </w:r>
    </w:p>
    <w:p w14:paraId="7DA17F7E">
      <w:pPr>
        <w:ind w:left="420" w:left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LVEF：左心室射血分数（Left Ventricular Ejection Fraction）</w:t>
      </w:r>
      <w:r>
        <w:rPr>
          <w:rFonts w:hint="default" w:ascii="Times New Roman" w:hAnsi="Times New Roman" w:eastAsia="宋体" w:cs="Times New Roman"/>
          <w:bCs/>
          <w:szCs w:val="21"/>
        </w:rPr>
        <w:br w:type="textWrapping"/>
      </w:r>
      <w:r>
        <w:rPr>
          <w:rFonts w:hint="default" w:ascii="Times New Roman" w:hAnsi="Times New Roman" w:eastAsia="宋体" w:cs="Times New Roman"/>
          <w:bCs/>
          <w:szCs w:val="21"/>
        </w:rPr>
        <w:t>BNP：B型利钠肽（B -type natriuretic peptide）</w:t>
      </w:r>
    </w:p>
    <w:p w14:paraId="572C9EB0">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NT-proBNP：N末端B型利钠肽原（N-Terminal Pro-Brain Natriuretic Peptide）</w:t>
      </w:r>
    </w:p>
    <w:p w14:paraId="68B46E22">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NYHA：纽约心脏协会（New York Heart Association）</w:t>
      </w:r>
    </w:p>
    <w:p w14:paraId="593B1778">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E：二尖瓣口舒张早期峰值速度（mitral valve early diastolic flow）</w:t>
      </w:r>
    </w:p>
    <w:p w14:paraId="61832953">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A：二尖瓣口舒张晚期峰值速度（late diastolic mitral orifice peak velocity）</w:t>
      </w:r>
    </w:p>
    <w:p w14:paraId="1D288EE0">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e’：二尖瓣环间隔壁舒张早期运动速度（early diastole mitral ring motion velocity）</w:t>
      </w:r>
    </w:p>
    <w:p w14:paraId="186A348D">
      <w:pPr>
        <w:pStyle w:val="19"/>
        <w:numPr>
          <w:ilvl w:val="0"/>
          <w:numId w:val="1"/>
        </w:numPr>
        <w:spacing w:before="312" w:beforeLines="100" w:after="312" w:afterLines="100"/>
        <w:ind w:firstLineChars="0"/>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评价指标体系和取值规则</w:t>
      </w:r>
    </w:p>
    <w:p w14:paraId="37A6FCBB">
      <w:pPr>
        <w:pStyle w:val="19"/>
        <w:numPr>
          <w:ilvl w:val="1"/>
          <w:numId w:val="1"/>
        </w:numPr>
        <w:spacing w:before="156" w:beforeLines="50" w:after="156" w:afterLines="50"/>
        <w:ind w:firstLineChars="0"/>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评价指标体系</w:t>
      </w:r>
    </w:p>
    <w:p w14:paraId="1281496A">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评价指标体系由两个层级的评价指标构成。一级评价指标包括症状体征、理化检测及生活质量3个指标。其中，症状体征指标包括NYHA心功能分级及6分钟步行试验距离情况；理化检测包括N末端B型利钠肽原或N末端B型利钠肽、左心室射血分数及平均E/e’或E/A情况；生活质量包括堪萨斯城心肌病调查问卷或明尼苏达州心功能不全生命质量量表的评价情况。二级评价指标是直接取值的指标。</w:t>
      </w:r>
    </w:p>
    <w:p w14:paraId="1D533A32">
      <w:pPr>
        <w:pStyle w:val="19"/>
        <w:numPr>
          <w:ilvl w:val="1"/>
          <w:numId w:val="1"/>
        </w:numPr>
        <w:spacing w:before="156" w:beforeLines="50" w:after="156" w:afterLines="50"/>
        <w:ind w:firstLineChars="0"/>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取值规则</w:t>
      </w:r>
    </w:p>
    <w:p w14:paraId="6EEFCDA7">
      <w:pPr>
        <w:ind w:firstLine="420" w:firstLineChars="200"/>
        <w:jc w:val="left"/>
        <w:rPr>
          <w:rFonts w:hint="default" w:ascii="Times New Roman" w:hAnsi="Times New Roman" w:eastAsia="宋体" w:cs="Times New Roman"/>
          <w:bCs/>
          <w:szCs w:val="21"/>
        </w:rPr>
      </w:pPr>
      <w:r>
        <w:rPr>
          <w:rFonts w:hint="default" w:ascii="Times New Roman" w:hAnsi="Times New Roman" w:eastAsia="宋体" w:cs="Times New Roman"/>
          <w:bCs/>
          <w:szCs w:val="21"/>
        </w:rPr>
        <w:t>在开展射血分数保留型心力衰竭临床疗效评价时，应</w:t>
      </w:r>
      <w:r>
        <w:rPr>
          <w:rFonts w:hint="eastAsia" w:ascii="Times New Roman" w:hAnsi="Times New Roman" w:eastAsia="宋体" w:cs="Times New Roman"/>
          <w:bCs/>
          <w:szCs w:val="21"/>
          <w:lang w:val="en-US" w:eastAsia="zh-CN"/>
        </w:rPr>
        <w:t>使</w:t>
      </w:r>
      <w:r>
        <w:rPr>
          <w:rFonts w:hint="default" w:ascii="Times New Roman" w:hAnsi="Times New Roman" w:eastAsia="宋体" w:cs="Times New Roman"/>
          <w:bCs/>
          <w:szCs w:val="21"/>
        </w:rPr>
        <w:t>用表1中规定的取值规则。</w:t>
      </w:r>
    </w:p>
    <w:p w14:paraId="4BF958E9">
      <w:pPr>
        <w:spacing w:before="157" w:beforeLines="50" w:after="157" w:afterLines="50"/>
        <w:jc w:val="center"/>
        <w:rPr>
          <w:rFonts w:hint="eastAsia" w:ascii="黑体" w:hAnsi="黑体" w:eastAsia="黑体" w:cs="黑体"/>
          <w:bCs/>
          <w:szCs w:val="21"/>
        </w:rPr>
      </w:pPr>
      <w:r>
        <w:rPr>
          <w:rFonts w:hint="eastAsia" w:ascii="黑体" w:hAnsi="黑体" w:eastAsia="黑体" w:cs="黑体"/>
          <w:bCs/>
          <w:szCs w:val="21"/>
        </w:rPr>
        <w:t>表1  取值规则</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168"/>
        <w:gridCol w:w="2136"/>
        <w:gridCol w:w="2136"/>
        <w:gridCol w:w="2137"/>
        <w:tblGridChange w:id="0">
          <w:tblGrid>
            <w:gridCol w:w="945"/>
            <w:gridCol w:w="553"/>
            <w:gridCol w:w="615"/>
            <w:gridCol w:w="2136"/>
            <w:gridCol w:w="2136"/>
            <w:gridCol w:w="2137"/>
          </w:tblGrid>
        </w:tblGridChange>
      </w:tblGrid>
      <w:tr w14:paraId="1814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14:paraId="272761B2">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一级评价指标</w:t>
            </w:r>
          </w:p>
        </w:tc>
        <w:tc>
          <w:tcPr>
            <w:tcW w:w="1168" w:type="dxa"/>
            <w:vMerge w:val="restart"/>
            <w:vAlign w:val="center"/>
          </w:tcPr>
          <w:p w14:paraId="56F1A01D">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二级评价指标</w:t>
            </w:r>
          </w:p>
        </w:tc>
        <w:tc>
          <w:tcPr>
            <w:tcW w:w="6409" w:type="dxa"/>
            <w:gridSpan w:val="3"/>
            <w:vAlign w:val="center"/>
          </w:tcPr>
          <w:p w14:paraId="1777BF49">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取值规则</w:t>
            </w:r>
          </w:p>
        </w:tc>
      </w:tr>
      <w:tr w14:paraId="77EC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09FAA8A2">
            <w:pPr>
              <w:jc w:val="center"/>
              <w:rPr>
                <w:rFonts w:hint="default" w:ascii="Times New Roman" w:hAnsi="Times New Roman" w:eastAsia="宋体" w:cs="Times New Roman"/>
                <w:bCs/>
                <w:sz w:val="18"/>
                <w:szCs w:val="18"/>
              </w:rPr>
            </w:pPr>
          </w:p>
        </w:tc>
        <w:tc>
          <w:tcPr>
            <w:tcW w:w="1168" w:type="dxa"/>
            <w:vMerge w:val="continue"/>
            <w:vAlign w:val="center"/>
          </w:tcPr>
          <w:p w14:paraId="2BC55686">
            <w:pPr>
              <w:jc w:val="center"/>
              <w:rPr>
                <w:rFonts w:hint="default" w:ascii="Times New Roman" w:hAnsi="Times New Roman" w:eastAsia="宋体" w:cs="Times New Roman"/>
                <w:bCs/>
                <w:sz w:val="18"/>
                <w:szCs w:val="18"/>
              </w:rPr>
            </w:pPr>
          </w:p>
        </w:tc>
        <w:tc>
          <w:tcPr>
            <w:tcW w:w="2136" w:type="dxa"/>
            <w:vAlign w:val="center"/>
          </w:tcPr>
          <w:p w14:paraId="63564D86">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指标值/等级</w:t>
            </w:r>
          </w:p>
        </w:tc>
        <w:tc>
          <w:tcPr>
            <w:tcW w:w="2136" w:type="dxa"/>
            <w:vAlign w:val="center"/>
          </w:tcPr>
          <w:p w14:paraId="59CCB80E">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试验/测量的结果</w:t>
            </w:r>
          </w:p>
        </w:tc>
        <w:tc>
          <w:tcPr>
            <w:tcW w:w="2137" w:type="dxa"/>
            <w:vAlign w:val="center"/>
          </w:tcPr>
          <w:p w14:paraId="7E8690E8">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试验/测量方法</w:t>
            </w:r>
          </w:p>
        </w:tc>
      </w:tr>
      <w:tr w14:paraId="36E6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14:paraId="01EC4485">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症状体征</w:t>
            </w:r>
          </w:p>
        </w:tc>
        <w:tc>
          <w:tcPr>
            <w:tcW w:w="1168" w:type="dxa"/>
            <w:vAlign w:val="center"/>
          </w:tcPr>
          <w:p w14:paraId="67596F76">
            <w:pPr>
              <w:jc w:val="center"/>
              <w:rPr>
                <w:rFonts w:hint="default" w:ascii="Times New Roman" w:hAnsi="Times New Roman" w:eastAsia="宋体" w:cs="Times New Roman"/>
                <w:bCs/>
                <w:sz w:val="18"/>
                <w:szCs w:val="18"/>
              </w:rPr>
            </w:pPr>
            <w:bookmarkStart w:id="9" w:name="OLE_LINK2"/>
            <w:r>
              <w:rPr>
                <w:rFonts w:hint="default" w:ascii="Times New Roman" w:hAnsi="Times New Roman" w:eastAsia="宋体" w:cs="Times New Roman"/>
                <w:bCs/>
                <w:sz w:val="18"/>
                <w:szCs w:val="18"/>
              </w:rPr>
              <w:t>NYHA</w:t>
            </w:r>
          </w:p>
          <w:p w14:paraId="60C5594C">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心功能分级</w:t>
            </w:r>
            <w:bookmarkEnd w:id="9"/>
          </w:p>
        </w:tc>
        <w:tc>
          <w:tcPr>
            <w:tcW w:w="2136" w:type="dxa"/>
          </w:tcPr>
          <w:p w14:paraId="2D98E10C">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显效</w:t>
            </w:r>
            <w:r>
              <w:rPr>
                <w:rFonts w:hint="default" w:ascii="Times New Roman" w:hAnsi="Times New Roman" w:eastAsia="宋体" w:cs="Times New Roman"/>
                <w:bCs/>
                <w:sz w:val="18"/>
                <w:szCs w:val="18"/>
              </w:rPr>
              <w:t>：心功能分级较治疗前降低 2 级及以上（如从 Ⅳ 级降至 Ⅱ 级）；</w:t>
            </w:r>
          </w:p>
          <w:p w14:paraId="64695BC9">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有效</w:t>
            </w:r>
            <w:r>
              <w:rPr>
                <w:rFonts w:hint="default" w:ascii="Times New Roman" w:hAnsi="Times New Roman" w:eastAsia="宋体" w:cs="Times New Roman"/>
                <w:bCs/>
                <w:sz w:val="18"/>
                <w:szCs w:val="18"/>
              </w:rPr>
              <w:t>：心功能分级较治疗前降低 1 级（如从 Ⅲ 级降至 Ⅱ 级）；</w:t>
            </w:r>
          </w:p>
          <w:p w14:paraId="0CB0CDDC">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无效</w:t>
            </w:r>
            <w:r>
              <w:rPr>
                <w:rFonts w:hint="default" w:ascii="Times New Roman" w:hAnsi="Times New Roman" w:eastAsia="宋体" w:cs="Times New Roman"/>
                <w:bCs/>
                <w:sz w:val="18"/>
                <w:szCs w:val="18"/>
              </w:rPr>
              <w:t>：心功能分级较治疗前无变化；</w:t>
            </w:r>
          </w:p>
          <w:p w14:paraId="3866857B">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加重</w:t>
            </w:r>
            <w:r>
              <w:rPr>
                <w:rFonts w:hint="default" w:ascii="Times New Roman" w:hAnsi="Times New Roman" w:eastAsia="宋体" w:cs="Times New Roman"/>
                <w:bCs/>
                <w:sz w:val="18"/>
                <w:szCs w:val="18"/>
              </w:rPr>
              <w:t>：心功能分级较治疗前升高 1 级及以上（如从 Ⅱ 级升至 Ⅲ 级）</w:t>
            </w:r>
          </w:p>
        </w:tc>
        <w:tc>
          <w:tcPr>
            <w:tcW w:w="2136" w:type="dxa"/>
          </w:tcPr>
          <w:p w14:paraId="1F4775DE">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记录治疗前后 NYHA 心功能分级的具体级别，以 “治疗前分级→治疗后分级” 形式呈现（如 Ⅱ 级→Ⅰ 级），判断心功能改善级数（改善 1 级、改善 2 级及以上、无改善、加重）</w:t>
            </w:r>
          </w:p>
        </w:tc>
        <w:tc>
          <w:tcPr>
            <w:tcW w:w="2137" w:type="dxa"/>
          </w:tcPr>
          <w:p w14:paraId="3CC92380">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由 2 名具备心血管专科资质的主治医师及以上职称医师，根据患者活动耐力、症状发作情况（如日常活动是否诱发呼吸困难、是否需卧床休息等），结合《2022 AHA/ACC/HFSA 心力衰竭管理指南》中 NYHA 心功能分级标准进行独立判定，若存在分歧，由副主任医师及以上职称医师复核确定</w:t>
            </w:r>
          </w:p>
        </w:tc>
      </w:tr>
      <w:tr w14:paraId="39F0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3A403EFB">
            <w:pPr>
              <w:jc w:val="center"/>
              <w:rPr>
                <w:rFonts w:hint="default" w:ascii="Times New Roman" w:hAnsi="Times New Roman" w:eastAsia="宋体" w:cs="Times New Roman"/>
                <w:bCs/>
                <w:sz w:val="18"/>
                <w:szCs w:val="18"/>
              </w:rPr>
            </w:pPr>
          </w:p>
        </w:tc>
        <w:tc>
          <w:tcPr>
            <w:tcW w:w="1168" w:type="dxa"/>
            <w:vAlign w:val="center"/>
          </w:tcPr>
          <w:p w14:paraId="7F81DE19">
            <w:pPr>
              <w:jc w:val="center"/>
              <w:rPr>
                <w:rFonts w:hint="default" w:ascii="Times New Roman" w:hAnsi="Times New Roman" w:eastAsia="宋体" w:cs="Times New Roman"/>
                <w:bCs/>
                <w:sz w:val="18"/>
                <w:szCs w:val="18"/>
              </w:rPr>
            </w:pPr>
            <w:bookmarkStart w:id="10" w:name="OLE_LINK3"/>
            <w:r>
              <w:rPr>
                <w:rFonts w:hint="default" w:ascii="Times New Roman" w:hAnsi="Times New Roman" w:eastAsia="宋体" w:cs="Times New Roman"/>
                <w:bCs/>
                <w:sz w:val="18"/>
                <w:szCs w:val="18"/>
              </w:rPr>
              <w:t>6分钟步行试验</w:t>
            </w:r>
            <w:bookmarkEnd w:id="10"/>
            <w:r>
              <w:rPr>
                <w:rFonts w:hint="default" w:ascii="Times New Roman" w:hAnsi="Times New Roman" w:eastAsia="宋体" w:cs="Times New Roman"/>
                <w:bCs/>
                <w:sz w:val="18"/>
                <w:szCs w:val="18"/>
              </w:rPr>
              <w:t>距离</w:t>
            </w:r>
          </w:p>
        </w:tc>
        <w:tc>
          <w:tcPr>
            <w:tcW w:w="2136" w:type="dxa"/>
          </w:tcPr>
          <w:p w14:paraId="542D29ED">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显效</w:t>
            </w:r>
            <w:r>
              <w:rPr>
                <w:rFonts w:hint="default" w:ascii="Times New Roman" w:hAnsi="Times New Roman" w:eastAsia="宋体" w:cs="Times New Roman"/>
                <w:bCs/>
                <w:sz w:val="18"/>
                <w:szCs w:val="18"/>
              </w:rPr>
              <w:t>：增加 ≥ 50m；</w:t>
            </w:r>
          </w:p>
          <w:p w14:paraId="1339255A">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有效</w:t>
            </w:r>
            <w:r>
              <w:rPr>
                <w:rFonts w:hint="default" w:ascii="Times New Roman" w:hAnsi="Times New Roman" w:eastAsia="宋体" w:cs="Times New Roman"/>
                <w:bCs/>
                <w:sz w:val="18"/>
                <w:szCs w:val="18"/>
              </w:rPr>
              <w:t>：增加 ≥ 30m；</w:t>
            </w:r>
          </w:p>
          <w:p w14:paraId="22627AE6">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无效</w:t>
            </w:r>
            <w:r>
              <w:rPr>
                <w:rFonts w:hint="default" w:ascii="Times New Roman" w:hAnsi="Times New Roman" w:eastAsia="宋体" w:cs="Times New Roman"/>
                <w:bCs/>
                <w:sz w:val="18"/>
                <w:szCs w:val="18"/>
              </w:rPr>
              <w:t>：变化 -30m 至 +30m；</w:t>
            </w:r>
          </w:p>
          <w:p w14:paraId="1D22DFD8">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加重</w:t>
            </w:r>
            <w:r>
              <w:rPr>
                <w:rFonts w:hint="default" w:ascii="Times New Roman" w:hAnsi="Times New Roman" w:eastAsia="宋体" w:cs="Times New Roman"/>
                <w:bCs/>
                <w:sz w:val="18"/>
                <w:szCs w:val="18"/>
              </w:rPr>
              <w:t>：减少 ≥ 30m</w:t>
            </w:r>
          </w:p>
        </w:tc>
        <w:tc>
          <w:tcPr>
            <w:tcW w:w="2136" w:type="dxa"/>
          </w:tcPr>
          <w:p w14:paraId="20F551CF">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6 min步行距离&lt;150 m为重度心衰，150~450 m为中度心衰，&gt;450 m为轻度心衰。</w:t>
            </w:r>
          </w:p>
        </w:tc>
        <w:tc>
          <w:tcPr>
            <w:tcW w:w="2137" w:type="dxa"/>
          </w:tcPr>
          <w:p w14:paraId="523E4C7D">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严格遵循《美国胸科学会 6 分钟步行试验指南》及《六分钟步行试验临床规范应用中国专家共识》标准流程：</w:t>
            </w:r>
            <w:r>
              <w:rPr>
                <w:rFonts w:hint="default" w:ascii="Times New Roman" w:hAnsi="Times New Roman" w:eastAsia="宋体" w:cs="Times New Roman"/>
                <w:bCs/>
                <w:sz w:val="18"/>
                <w:szCs w:val="18"/>
              </w:rPr>
              <w:br w:type="textWrapping"/>
            </w:r>
            <w:r>
              <w:rPr>
                <w:rFonts w:hint="default" w:ascii="Times New Roman" w:hAnsi="Times New Roman" w:eastAsia="宋体" w:cs="Times New Roman"/>
                <w:bCs/>
                <w:sz w:val="18"/>
                <w:szCs w:val="18"/>
              </w:rPr>
              <w:t>1. 选择长 30m 且少有人经过的平直走廊，两端标记起点和终点，中间每 3m 做标记，两端的折返点可用圆锥体标记。；</w:t>
            </w:r>
            <w:r>
              <w:rPr>
                <w:rFonts w:hint="default" w:ascii="Times New Roman" w:hAnsi="Times New Roman" w:eastAsia="宋体" w:cs="Times New Roman"/>
                <w:bCs/>
                <w:sz w:val="18"/>
                <w:szCs w:val="18"/>
              </w:rPr>
              <w:br w:type="textWrapping"/>
            </w:r>
            <w:r>
              <w:rPr>
                <w:rFonts w:hint="default" w:ascii="Times New Roman" w:hAnsi="Times New Roman" w:eastAsia="宋体" w:cs="Times New Roman"/>
                <w:bCs/>
                <w:sz w:val="18"/>
                <w:szCs w:val="18"/>
              </w:rPr>
              <w:t>2. 试验前让患者休息 5 分钟，测量基础心率、血压、血氧饱和度；</w:t>
            </w:r>
            <w:r>
              <w:rPr>
                <w:rFonts w:hint="default" w:ascii="Times New Roman" w:hAnsi="Times New Roman" w:eastAsia="宋体" w:cs="Times New Roman"/>
                <w:bCs/>
                <w:sz w:val="18"/>
                <w:szCs w:val="18"/>
              </w:rPr>
              <w:br w:type="textWrapping"/>
            </w:r>
            <w:r>
              <w:rPr>
                <w:rFonts w:hint="default" w:ascii="Times New Roman" w:hAnsi="Times New Roman" w:eastAsia="宋体" w:cs="Times New Roman"/>
                <w:bCs/>
                <w:sz w:val="18"/>
                <w:szCs w:val="18"/>
              </w:rPr>
              <w:t>3. 指导患者 “在 6 分钟内尽可能快地行走，避免奔跑，若出现不适可暂停休息”，试验中每 2 分钟报时 1 次；</w:t>
            </w:r>
            <w:r>
              <w:rPr>
                <w:rFonts w:hint="default" w:ascii="Times New Roman" w:hAnsi="Times New Roman" w:eastAsia="宋体" w:cs="Times New Roman"/>
                <w:bCs/>
                <w:sz w:val="18"/>
                <w:szCs w:val="18"/>
              </w:rPr>
              <w:br w:type="textWrapping"/>
            </w:r>
            <w:r>
              <w:rPr>
                <w:rFonts w:hint="default" w:ascii="Times New Roman" w:hAnsi="Times New Roman" w:eastAsia="宋体" w:cs="Times New Roman"/>
                <w:bCs/>
                <w:sz w:val="18"/>
                <w:szCs w:val="18"/>
              </w:rPr>
              <w:t>4. 试验结束后立即记录行走距离，复测心率、血压、血氧饱和度及患者主观感受</w:t>
            </w:r>
          </w:p>
        </w:tc>
      </w:tr>
      <w:tr w14:paraId="7D7A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restart"/>
            <w:vAlign w:val="center"/>
          </w:tcPr>
          <w:p w14:paraId="0BE8C747">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理化检测</w:t>
            </w:r>
          </w:p>
        </w:tc>
        <w:tc>
          <w:tcPr>
            <w:tcW w:w="1168" w:type="dxa"/>
            <w:vAlign w:val="center"/>
          </w:tcPr>
          <w:p w14:paraId="26547E02">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NT-proBNP</w:t>
            </w:r>
          </w:p>
        </w:tc>
        <w:tc>
          <w:tcPr>
            <w:tcW w:w="2136" w:type="dxa"/>
          </w:tcPr>
          <w:p w14:paraId="2446A687">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显效</w:t>
            </w:r>
            <w:r>
              <w:rPr>
                <w:rFonts w:hint="default" w:ascii="Times New Roman" w:hAnsi="Times New Roman" w:eastAsia="宋体" w:cs="Times New Roman"/>
                <w:bCs/>
                <w:sz w:val="18"/>
                <w:szCs w:val="18"/>
              </w:rPr>
              <w:t>：</w:t>
            </w:r>
          </w:p>
          <w:p w14:paraId="5E8272EC">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较基线降幅＞50%，且绝对值显著降低（如＜1000 pg/mL）；</w:t>
            </w:r>
          </w:p>
          <w:p w14:paraId="3B67D3D6">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有效</w:t>
            </w:r>
            <w:r>
              <w:rPr>
                <w:rFonts w:hint="default" w:ascii="Times New Roman" w:hAnsi="Times New Roman" w:eastAsia="宋体" w:cs="Times New Roman"/>
                <w:bCs/>
                <w:sz w:val="18"/>
                <w:szCs w:val="18"/>
              </w:rPr>
              <w:t>：</w:t>
            </w:r>
          </w:p>
          <w:p w14:paraId="6155E8B2">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较基线降幅30%~50%，且绝对值＜4000pg/mL；</w:t>
            </w:r>
          </w:p>
          <w:p w14:paraId="24339B4D">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无效</w:t>
            </w:r>
            <w:r>
              <w:rPr>
                <w:rFonts w:hint="default" w:ascii="Times New Roman" w:hAnsi="Times New Roman" w:eastAsia="宋体" w:cs="Times New Roman"/>
                <w:bCs/>
                <w:sz w:val="18"/>
                <w:szCs w:val="18"/>
              </w:rPr>
              <w:t>：治疗后 NT-proBNP 下降 &lt; 30% 或 升高 &lt; 30%；</w:t>
            </w:r>
          </w:p>
          <w:p w14:paraId="62EFB054">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加重</w:t>
            </w:r>
            <w:r>
              <w:rPr>
                <w:rFonts w:hint="default" w:ascii="Times New Roman" w:hAnsi="Times New Roman" w:eastAsia="宋体" w:cs="Times New Roman"/>
                <w:bCs/>
                <w:sz w:val="18"/>
                <w:szCs w:val="18"/>
              </w:rPr>
              <w:t>：治疗后 较基线升高≥30%，或达到极高值（如＞5000 pg/mL）</w:t>
            </w:r>
          </w:p>
        </w:tc>
        <w:tc>
          <w:tcPr>
            <w:tcW w:w="2136" w:type="dxa"/>
          </w:tcPr>
          <w:p w14:paraId="48A430BC">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记录治疗前后NT-proBNP的数值：NT-proBNP＜125pg/mL；NT-proBNP 介于125-300pg/mL；NT-proBNP 介于300-800pg/mL；NT-proBNP＞800pg/mL；或较前升高</w:t>
            </w:r>
          </w:p>
        </w:tc>
        <w:tc>
          <w:tcPr>
            <w:tcW w:w="2137" w:type="dxa"/>
          </w:tcPr>
          <w:p w14:paraId="4B31A9C4">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NT-proBNP的测量由2名具备检验师资质的专业人员，依据标准操作规程（SOP）进行。首先，由经过培训的医护人员严格按照中华人民共和国卫生行业标准 《WS/T 661—2020 静脉血液标本采集指南》 采集患者静脉血，使用EDTA抗凝真空采血管或血清采血管。随后，样本按照《B型利钠肽及N末端B型利钠肽前体实验室检测与临床应用中国专家共识》经离心等规范预处理后进行检测。若两次检测结果存在显著差异或超出预设质量控制范围，则由主管检验师复核并进行复测确认。</w:t>
            </w:r>
          </w:p>
        </w:tc>
      </w:tr>
      <w:tr w14:paraId="55B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6161C922">
            <w:pPr>
              <w:jc w:val="center"/>
              <w:rPr>
                <w:rFonts w:hint="default" w:ascii="Times New Roman" w:hAnsi="Times New Roman" w:eastAsia="宋体" w:cs="Times New Roman"/>
                <w:bCs/>
                <w:sz w:val="18"/>
                <w:szCs w:val="18"/>
              </w:rPr>
            </w:pPr>
          </w:p>
        </w:tc>
        <w:tc>
          <w:tcPr>
            <w:tcW w:w="1168" w:type="dxa"/>
            <w:vAlign w:val="center"/>
          </w:tcPr>
          <w:p w14:paraId="2F7C6CD5">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LVEF</w:t>
            </w:r>
          </w:p>
        </w:tc>
        <w:tc>
          <w:tcPr>
            <w:tcW w:w="2136" w:type="dxa"/>
          </w:tcPr>
          <w:p w14:paraId="15977540">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显效</w:t>
            </w:r>
            <w:r>
              <w:rPr>
                <w:rFonts w:hint="default" w:ascii="Times New Roman" w:hAnsi="Times New Roman" w:eastAsia="宋体" w:cs="Times New Roman"/>
                <w:bCs/>
                <w:sz w:val="18"/>
                <w:szCs w:val="18"/>
              </w:rPr>
              <w:t>：LVEF 提高≥10%；</w:t>
            </w:r>
          </w:p>
          <w:p w14:paraId="55D060CA">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有效</w:t>
            </w:r>
            <w:r>
              <w:rPr>
                <w:rFonts w:hint="default" w:ascii="Times New Roman" w:hAnsi="Times New Roman" w:eastAsia="宋体" w:cs="Times New Roman"/>
                <w:bCs/>
                <w:sz w:val="18"/>
                <w:szCs w:val="18"/>
              </w:rPr>
              <w:t>：LVEF提高 5%-9%；</w:t>
            </w:r>
          </w:p>
          <w:p w14:paraId="66820BF8">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无效</w:t>
            </w:r>
            <w:r>
              <w:rPr>
                <w:rFonts w:hint="default" w:ascii="Times New Roman" w:hAnsi="Times New Roman" w:eastAsia="宋体" w:cs="Times New Roman"/>
                <w:bCs/>
                <w:sz w:val="18"/>
                <w:szCs w:val="18"/>
              </w:rPr>
              <w:t>：LVEF变化在 ±4% 之间（无明显临床意义波动）；</w:t>
            </w:r>
          </w:p>
          <w:p w14:paraId="3E587F37">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加重</w:t>
            </w:r>
            <w:r>
              <w:rPr>
                <w:rFonts w:hint="default" w:ascii="Times New Roman" w:hAnsi="Times New Roman" w:eastAsia="宋体" w:cs="Times New Roman"/>
                <w:bCs/>
                <w:sz w:val="18"/>
                <w:szCs w:val="18"/>
              </w:rPr>
              <w:t>：LVEF下降≥5%</w:t>
            </w:r>
          </w:p>
        </w:tc>
        <w:tc>
          <w:tcPr>
            <w:tcW w:w="2136" w:type="dxa"/>
          </w:tcPr>
          <w:p w14:paraId="21CEA566">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记录治疗前后LVEF的数值并计算变化百分比</w:t>
            </w:r>
          </w:p>
        </w:tc>
        <w:tc>
          <w:tcPr>
            <w:tcW w:w="2137" w:type="dxa"/>
          </w:tcPr>
          <w:p w14:paraId="69004BCE">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 xml:space="preserve">1. 检测仪器：采用彩色多普勒超声诊断仪（如 Philips iE33、Simens Sequoia 512 Encompass 等型号），探头频率设定为 2.5-5MHz，操作遵循《超声心动图评价左室舒张功能：美国超声心动图学会与欧洲心血管影像学协会指南》推荐的标准切面要求 </w:t>
            </w:r>
          </w:p>
          <w:p w14:paraId="716B17C7">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2. 计算方法：采用 Simpson 法测量左心室舒张末期容积（LVEDV）与收缩末期容积（LVESV），按公式 “LVEF=（LVEDV-LVESV）/LVEDV×100%” 计算 LVEF 值</w:t>
            </w:r>
          </w:p>
          <w:p w14:paraId="3596218E">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3. 质量控制：由 2 名经专业培训的超声科医师独立完成测量，每个指标测量 3-5 个连续心动周期后取平均值；若 2 名医师测量结果差异＞5%，需由第三方资深超声医师复核确认4. 特殊人群处理：合并心房颤动的患者，需增加测量心动周期数量（≥5 个），同时结合左心房容积指数（LAVI）等超声指标综合判断 LVEF 真实性，避免单一指标误差</w:t>
            </w:r>
          </w:p>
        </w:tc>
      </w:tr>
      <w:tr w14:paraId="7E1E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Merge w:val="continue"/>
            <w:vAlign w:val="center"/>
          </w:tcPr>
          <w:p w14:paraId="6C92751E">
            <w:pPr>
              <w:jc w:val="center"/>
              <w:rPr>
                <w:rFonts w:hint="default" w:ascii="Times New Roman" w:hAnsi="Times New Roman" w:eastAsia="宋体" w:cs="Times New Roman"/>
                <w:bCs/>
                <w:sz w:val="18"/>
                <w:szCs w:val="18"/>
              </w:rPr>
            </w:pPr>
          </w:p>
        </w:tc>
        <w:tc>
          <w:tcPr>
            <w:tcW w:w="1168" w:type="dxa"/>
            <w:vAlign w:val="center"/>
          </w:tcPr>
          <w:p w14:paraId="30545717">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∆平均E/e’或E/A</w:t>
            </w:r>
          </w:p>
        </w:tc>
        <w:tc>
          <w:tcPr>
            <w:tcW w:w="2136" w:type="dxa"/>
          </w:tcPr>
          <w:p w14:paraId="49BC272E">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显效</w:t>
            </w:r>
            <w:r>
              <w:rPr>
                <w:rFonts w:hint="default" w:ascii="Times New Roman" w:hAnsi="Times New Roman" w:eastAsia="宋体" w:cs="Times New Roman"/>
                <w:bCs/>
                <w:sz w:val="18"/>
                <w:szCs w:val="18"/>
              </w:rPr>
              <w:tab/>
            </w:r>
            <w:r>
              <w:rPr>
                <w:rFonts w:hint="default" w:ascii="Times New Roman" w:hAnsi="Times New Roman" w:eastAsia="宋体" w:cs="Times New Roman"/>
                <w:bCs/>
                <w:sz w:val="18"/>
                <w:szCs w:val="18"/>
              </w:rPr>
              <w:t>：∆E/e' 降低 &gt; 15% 且  E/e' &lt; 14或E/A比值＞l；</w:t>
            </w:r>
          </w:p>
          <w:p w14:paraId="1FA7BD82">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有效</w:t>
            </w:r>
            <w:r>
              <w:rPr>
                <w:rFonts w:hint="default" w:ascii="Times New Roman" w:hAnsi="Times New Roman" w:eastAsia="宋体" w:cs="Times New Roman"/>
                <w:bCs/>
                <w:sz w:val="18"/>
                <w:szCs w:val="18"/>
              </w:rPr>
              <w:t>：</w:t>
            </w:r>
            <w:r>
              <w:rPr>
                <w:rFonts w:hint="default" w:ascii="Times New Roman" w:hAnsi="Times New Roman" w:eastAsia="宋体" w:cs="Times New Roman"/>
                <w:bCs/>
                <w:sz w:val="18"/>
                <w:szCs w:val="18"/>
              </w:rPr>
              <w:tab/>
            </w:r>
          </w:p>
          <w:p w14:paraId="51C05226">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1. ∆E/e' 降低 5% ~ 15%；</w:t>
            </w:r>
          </w:p>
          <w:p w14:paraId="4AC3B60E">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2. ∆E/e' 降低 &gt; 15% 但治疗后 E/e' 仍 ≥ 14；</w:t>
            </w:r>
          </w:p>
          <w:p w14:paraId="2ED404C4">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3.E/A比值改善但仍＜l</w:t>
            </w:r>
          </w:p>
          <w:p w14:paraId="70E4C2F6">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无效</w:t>
            </w:r>
            <w:r>
              <w:rPr>
                <w:rFonts w:hint="default" w:ascii="Times New Roman" w:hAnsi="Times New Roman" w:eastAsia="宋体" w:cs="Times New Roman"/>
                <w:bCs/>
                <w:sz w:val="18"/>
                <w:szCs w:val="18"/>
              </w:rPr>
              <w:t>：</w:t>
            </w:r>
            <w:r>
              <w:rPr>
                <w:rFonts w:hint="default" w:ascii="Times New Roman" w:hAnsi="Times New Roman" w:eastAsia="宋体" w:cs="Times New Roman"/>
                <w:bCs/>
                <w:sz w:val="18"/>
                <w:szCs w:val="18"/>
              </w:rPr>
              <w:tab/>
            </w:r>
            <w:r>
              <w:rPr>
                <w:rFonts w:hint="default" w:ascii="Times New Roman" w:hAnsi="Times New Roman" w:eastAsia="宋体" w:cs="Times New Roman"/>
                <w:bCs/>
                <w:sz w:val="18"/>
                <w:szCs w:val="18"/>
              </w:rPr>
              <w:t>∆E/e' 变化在 -5% 至 +5% 之间</w:t>
            </w:r>
          </w:p>
          <w:p w14:paraId="302785E6">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E/A比值变化不明显；</w:t>
            </w:r>
          </w:p>
          <w:p w14:paraId="14E81FCD">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加重</w:t>
            </w:r>
            <w:r>
              <w:rPr>
                <w:rFonts w:hint="default" w:ascii="Times New Roman" w:hAnsi="Times New Roman" w:eastAsia="宋体" w:cs="Times New Roman"/>
                <w:bCs/>
                <w:sz w:val="18"/>
                <w:szCs w:val="18"/>
              </w:rPr>
              <w:t>：</w:t>
            </w:r>
            <w:r>
              <w:rPr>
                <w:rFonts w:hint="default" w:ascii="Times New Roman" w:hAnsi="Times New Roman" w:eastAsia="宋体" w:cs="Times New Roman"/>
                <w:bCs/>
                <w:sz w:val="18"/>
                <w:szCs w:val="18"/>
              </w:rPr>
              <w:tab/>
            </w:r>
            <w:r>
              <w:rPr>
                <w:rFonts w:hint="default" w:ascii="Times New Roman" w:hAnsi="Times New Roman" w:eastAsia="宋体" w:cs="Times New Roman"/>
                <w:bCs/>
                <w:sz w:val="18"/>
                <w:szCs w:val="18"/>
              </w:rPr>
              <w:t>∆E/e' 增加 &gt; 5%</w:t>
            </w:r>
          </w:p>
          <w:p w14:paraId="4F836684">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E/A比值降低</w:t>
            </w:r>
          </w:p>
        </w:tc>
        <w:tc>
          <w:tcPr>
            <w:tcW w:w="2136" w:type="dxa"/>
          </w:tcPr>
          <w:p w14:paraId="551B8608">
            <w:pPr>
              <w:jc w:val="left"/>
              <w:rPr>
                <w:rFonts w:hint="default" w:ascii="Times New Roman" w:hAnsi="Times New Roman" w:eastAsia="宋体" w:cs="Times New Roman"/>
                <w:bCs/>
                <w:sz w:val="18"/>
                <w:szCs w:val="18"/>
              </w:rPr>
            </w:pPr>
          </w:p>
        </w:tc>
        <w:tc>
          <w:tcPr>
            <w:tcW w:w="2137" w:type="dxa"/>
          </w:tcPr>
          <w:p w14:paraId="1222DB9B">
            <w:pPr>
              <w:jc w:val="left"/>
              <w:rPr>
                <w:rFonts w:hint="eastAsia" w:ascii="Times New Roman" w:hAnsi="Times New Roman" w:eastAsia="宋体" w:cs="Times New Roman"/>
                <w:bCs/>
                <w:sz w:val="18"/>
                <w:szCs w:val="18"/>
              </w:rPr>
            </w:pPr>
            <w:r>
              <w:rPr>
                <w:rFonts w:hint="default" w:ascii="Times New Roman" w:hAnsi="Times New Roman" w:eastAsia="宋体" w:cs="Times New Roman"/>
                <w:bCs/>
                <w:sz w:val="18"/>
                <w:szCs w:val="18"/>
              </w:rPr>
              <w:t>检测仪器：采用彩色多普勒超声诊断仪（如 Philips iE33、Simens Sequoia 512 Encompass 等型号），探头频率设定为 2.5-5MHz，操作遵循《超声心动图评价左室舒张功能：美国超声心动图学会与欧洲心血管影像学协会指南》推荐的标准切面要求</w:t>
            </w:r>
            <w:r>
              <w:rPr>
                <w:rFonts w:hint="eastAsia" w:ascii="Times New Roman" w:hAnsi="Times New Roman" w:eastAsia="宋体" w:cs="Times New Roman"/>
                <w:bCs/>
                <w:sz w:val="18"/>
                <w:szCs w:val="18"/>
                <w:lang w:eastAsia="zh-CN"/>
              </w:rPr>
              <w:t>。</w:t>
            </w:r>
          </w:p>
          <w:p w14:paraId="1D79D3EE">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测量方法：</w:t>
            </w:r>
          </w:p>
          <w:p w14:paraId="40D31B42">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（1）平均E/e’：心尖四腔心切面彩色多普勒血流条件下，脉冲波多普勒取样容量在二尖瓣瓣尖水平获取舒张早期E峰(心电图T波之后)峰值速度；取心尖四腔心切面，组织多普勒取样容积5～10 mm，于二尖瓣环处侧壁和室间隔及侧壁处获取舒张早期最大速度e′，可计算二者平均值。二尖瓣血流E峰速度除以二尖瓣环处侧壁和间隔舒张早期速度的平均值e′，即E/e′。</w:t>
            </w:r>
          </w:p>
          <w:p w14:paraId="4F6F908A">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（2）E/A：</w:t>
            </w:r>
          </w:p>
          <w:p w14:paraId="03AE778F">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心尖四腔心切面彩色多普勒血流条件下，脉冲波多普勒取样容量在二尖瓣瓣尖水平获取舒张早期E峰(心电图T波之后)及舒张晚期A峰(心电图P波之后)峰值速度，两者比值即为E/A值。</w:t>
            </w:r>
          </w:p>
          <w:p w14:paraId="668C59CE">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质量控制：由 2 名经专业培训的超声科医师独立完成测量，每个指标测量 3-5 个连续心动周期后取平均值；若 2 名医师测量结果差异＞5%，需由第三方资深超声医师复核确认</w:t>
            </w:r>
          </w:p>
          <w:p w14:paraId="3C0EC0E1">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4. 特殊人群处理：合并心房颤动的患者，需增加测量心动周期数量（≥5 个），同时结合左心房容积指数（LAVI）等超声指标综合判断 测量真实性，避免单一指标误差</w:t>
            </w:r>
          </w:p>
        </w:tc>
      </w:tr>
      <w:tr w14:paraId="79A4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vAlign w:val="center"/>
          </w:tcPr>
          <w:p w14:paraId="1F9407EA">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生活质量</w:t>
            </w:r>
          </w:p>
        </w:tc>
        <w:tc>
          <w:tcPr>
            <w:tcW w:w="1168" w:type="dxa"/>
            <w:vAlign w:val="center"/>
          </w:tcPr>
          <w:p w14:paraId="377F64F7">
            <w:pPr>
              <w:jc w:val="center"/>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堪萨斯城心肌病调查问卷或明尼苏达州心功能不全生命质量量表</w:t>
            </w:r>
          </w:p>
        </w:tc>
        <w:tc>
          <w:tcPr>
            <w:tcW w:w="2136" w:type="dxa"/>
          </w:tcPr>
          <w:p w14:paraId="309651F2">
            <w:pPr>
              <w:jc w:val="left"/>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rPr>
              <w:t>堪萨斯城心肌病调查问卷</w:t>
            </w:r>
            <w:r>
              <w:rPr>
                <w:rFonts w:hint="default" w:ascii="Times New Roman" w:hAnsi="Times New Roman" w:eastAsia="宋体" w:cs="Times New Roman"/>
                <w:b/>
                <w:bCs w:val="0"/>
                <w:sz w:val="18"/>
                <w:szCs w:val="18"/>
                <w:lang w:val="en-US" w:eastAsia="zh-CN"/>
              </w:rPr>
              <w:t>:</w:t>
            </w:r>
          </w:p>
          <w:p w14:paraId="23815A0D">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显效</w:t>
            </w:r>
            <w:r>
              <w:rPr>
                <w:rFonts w:hint="default" w:ascii="Times New Roman" w:hAnsi="Times New Roman" w:eastAsia="宋体" w:cs="Times New Roman"/>
                <w:bCs/>
                <w:sz w:val="18"/>
                <w:szCs w:val="18"/>
              </w:rPr>
              <w:t>：总评分较基线提升</w:t>
            </w:r>
            <w:r>
              <w:rPr>
                <w:rFonts w:hint="eastAsia" w:ascii="Times New Roman" w:hAnsi="Times New Roman" w:eastAsia="宋体" w:cs="Times New Roman"/>
                <w:bCs/>
                <w:sz w:val="18"/>
                <w:szCs w:val="18"/>
                <w:lang w:val="en-US" w:eastAsia="zh-CN"/>
              </w:rPr>
              <w:t>≥</w:t>
            </w:r>
            <w:r>
              <w:rPr>
                <w:rFonts w:hint="default" w:ascii="Times New Roman" w:hAnsi="Times New Roman" w:eastAsia="宋体" w:cs="Times New Roman"/>
                <w:bCs/>
                <w:sz w:val="18"/>
                <w:szCs w:val="18"/>
              </w:rPr>
              <w:t>20 分；</w:t>
            </w:r>
          </w:p>
          <w:p w14:paraId="3E401CAC">
            <w:pPr>
              <w:jc w:val="left"/>
              <w:rPr>
                <w:rFonts w:hint="eastAsia" w:ascii="Times New Roman" w:hAnsi="Times New Roman" w:eastAsia="宋体" w:cs="Times New Roman"/>
                <w:bCs/>
                <w:sz w:val="18"/>
                <w:szCs w:val="18"/>
              </w:rPr>
            </w:pPr>
            <w:r>
              <w:rPr>
                <w:rFonts w:hint="default" w:ascii="Times New Roman" w:hAnsi="Times New Roman" w:eastAsia="宋体" w:cs="Times New Roman"/>
                <w:b/>
                <w:bCs w:val="0"/>
                <w:sz w:val="18"/>
                <w:szCs w:val="18"/>
              </w:rPr>
              <w:t>有效</w:t>
            </w:r>
            <w:r>
              <w:rPr>
                <w:rFonts w:hint="default" w:ascii="Times New Roman" w:hAnsi="Times New Roman" w:eastAsia="宋体" w:cs="Times New Roman"/>
                <w:bCs/>
                <w:sz w:val="18"/>
                <w:szCs w:val="18"/>
              </w:rPr>
              <w:t>：总评分较基线提升 10</w:t>
            </w:r>
            <w:r>
              <w:rPr>
                <w:rFonts w:hint="eastAsia" w:ascii="Times New Roman" w:hAnsi="Times New Roman" w:eastAsia="宋体" w:cs="Times New Roman"/>
                <w:bCs/>
                <w:sz w:val="18"/>
                <w:szCs w:val="18"/>
                <w:lang w:val="en-US" w:eastAsia="zh-CN"/>
              </w:rPr>
              <w:t>分</w:t>
            </w:r>
            <w:r>
              <w:rPr>
                <w:rFonts w:hint="eastAsia" w:ascii="宋体" w:hAnsi="宋体" w:eastAsia="宋体" w:cs="宋体"/>
                <w:bCs/>
                <w:sz w:val="18"/>
                <w:szCs w:val="18"/>
              </w:rPr>
              <w:t>～</w:t>
            </w:r>
            <w:r>
              <w:rPr>
                <w:rFonts w:hint="default" w:ascii="Times New Roman" w:hAnsi="Times New Roman" w:eastAsia="宋体" w:cs="Times New Roman"/>
                <w:bCs/>
                <w:sz w:val="18"/>
                <w:szCs w:val="18"/>
              </w:rPr>
              <w:t>19 分</w:t>
            </w:r>
            <w:r>
              <w:rPr>
                <w:rFonts w:hint="eastAsia" w:ascii="Times New Roman" w:hAnsi="Times New Roman" w:eastAsia="宋体" w:cs="Times New Roman"/>
                <w:bCs/>
                <w:sz w:val="18"/>
                <w:szCs w:val="18"/>
                <w:lang w:val="en-US" w:eastAsia="zh-CN"/>
              </w:rPr>
              <w:t>；</w:t>
            </w:r>
          </w:p>
          <w:p w14:paraId="016FA129">
            <w:pPr>
              <w:jc w:val="left"/>
              <w:rPr>
                <w:rFonts w:hint="eastAsia" w:ascii="Times New Roman" w:hAnsi="Times New Roman" w:eastAsia="宋体" w:cs="Times New Roman"/>
                <w:bCs/>
                <w:sz w:val="18"/>
                <w:szCs w:val="18"/>
              </w:rPr>
            </w:pPr>
            <w:r>
              <w:rPr>
                <w:rFonts w:hint="default" w:ascii="Times New Roman" w:hAnsi="Times New Roman" w:eastAsia="宋体" w:cs="Times New Roman"/>
                <w:b/>
                <w:bCs w:val="0"/>
                <w:sz w:val="18"/>
                <w:szCs w:val="18"/>
              </w:rPr>
              <w:t>无效</w:t>
            </w:r>
            <w:r>
              <w:rPr>
                <w:rFonts w:hint="default" w:ascii="Times New Roman" w:hAnsi="Times New Roman" w:eastAsia="宋体" w:cs="Times New Roman"/>
                <w:bCs/>
                <w:sz w:val="18"/>
                <w:szCs w:val="18"/>
              </w:rPr>
              <w:t>：总评分较基线提升 &lt; 10 分或无变化</w:t>
            </w:r>
            <w:r>
              <w:rPr>
                <w:rFonts w:hint="eastAsia" w:ascii="Times New Roman" w:hAnsi="Times New Roman" w:eastAsia="宋体" w:cs="Times New Roman"/>
                <w:bCs/>
                <w:sz w:val="18"/>
                <w:szCs w:val="18"/>
                <w:lang w:val="en-US" w:eastAsia="zh-CN"/>
              </w:rPr>
              <w:t>；</w:t>
            </w:r>
          </w:p>
          <w:p w14:paraId="15DCF7D8">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加重</w:t>
            </w:r>
            <w:r>
              <w:rPr>
                <w:rFonts w:hint="default" w:ascii="Times New Roman" w:hAnsi="Times New Roman" w:eastAsia="宋体" w:cs="Times New Roman"/>
                <w:bCs/>
                <w:sz w:val="18"/>
                <w:szCs w:val="18"/>
              </w:rPr>
              <w:t>：总评分下降</w:t>
            </w:r>
            <w:r>
              <w:rPr>
                <w:rFonts w:hint="eastAsia" w:ascii="宋体" w:hAnsi="宋体" w:eastAsia="宋体" w:cs="宋体"/>
                <w:bCs/>
                <w:sz w:val="18"/>
                <w:szCs w:val="18"/>
              </w:rPr>
              <w:t>≥</w:t>
            </w:r>
            <w:r>
              <w:rPr>
                <w:rFonts w:hint="default" w:ascii="Times New Roman" w:hAnsi="Times New Roman" w:eastAsia="宋体" w:cs="Times New Roman"/>
                <w:bCs/>
                <w:sz w:val="18"/>
                <w:szCs w:val="18"/>
              </w:rPr>
              <w:t>5 分</w:t>
            </w:r>
          </w:p>
          <w:p w14:paraId="30C7CE87">
            <w:pPr>
              <w:jc w:val="left"/>
              <w:rPr>
                <w:rFonts w:hint="default" w:ascii="Times New Roman" w:hAnsi="Times New Roman" w:eastAsia="宋体" w:cs="Times New Roman"/>
                <w:bCs/>
                <w:sz w:val="18"/>
                <w:szCs w:val="18"/>
              </w:rPr>
            </w:pPr>
          </w:p>
          <w:p w14:paraId="40E09F8D">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明尼苏达州心功能不全生命质量量表</w:t>
            </w:r>
            <w:r>
              <w:rPr>
                <w:rFonts w:hint="default" w:ascii="Times New Roman" w:hAnsi="Times New Roman" w:eastAsia="宋体" w:cs="Times New Roman"/>
                <w:bCs/>
                <w:sz w:val="18"/>
                <w:szCs w:val="18"/>
              </w:rPr>
              <w:t>：</w:t>
            </w:r>
          </w:p>
          <w:p w14:paraId="51D58B8E">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显效：</w:t>
            </w:r>
            <w:r>
              <w:rPr>
                <w:rFonts w:hint="default" w:ascii="Times New Roman" w:hAnsi="Times New Roman" w:eastAsia="宋体" w:cs="Times New Roman"/>
                <w:bCs/>
                <w:sz w:val="18"/>
                <w:szCs w:val="18"/>
              </w:rPr>
              <w:t>总评分较基线降低</w:t>
            </w:r>
            <w:r>
              <w:rPr>
                <w:rFonts w:hint="eastAsia" w:ascii="宋体" w:hAnsi="宋体" w:eastAsia="宋体" w:cs="宋体"/>
                <w:bCs/>
                <w:sz w:val="18"/>
                <w:szCs w:val="18"/>
              </w:rPr>
              <w:t>≥</w:t>
            </w:r>
            <w:r>
              <w:rPr>
                <w:rFonts w:hint="default" w:ascii="Times New Roman" w:hAnsi="Times New Roman" w:eastAsia="宋体" w:cs="Times New Roman"/>
                <w:bCs/>
                <w:sz w:val="18"/>
                <w:szCs w:val="18"/>
              </w:rPr>
              <w:t>20 分</w:t>
            </w:r>
          </w:p>
          <w:p w14:paraId="49D9C46F">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有效：</w:t>
            </w:r>
            <w:r>
              <w:rPr>
                <w:rFonts w:hint="default" w:ascii="Times New Roman" w:hAnsi="Times New Roman" w:eastAsia="宋体" w:cs="Times New Roman"/>
                <w:bCs/>
                <w:sz w:val="18"/>
                <w:szCs w:val="18"/>
              </w:rPr>
              <w:t>总评分降低 10</w:t>
            </w:r>
            <w:r>
              <w:rPr>
                <w:rFonts w:hint="eastAsia" w:ascii="Times New Roman" w:hAnsi="Times New Roman" w:eastAsia="宋体" w:cs="Times New Roman"/>
                <w:bCs/>
                <w:sz w:val="18"/>
                <w:szCs w:val="18"/>
                <w:lang w:val="en-US" w:eastAsia="zh-CN"/>
              </w:rPr>
              <w:t>分</w:t>
            </w:r>
            <w:r>
              <w:rPr>
                <w:rFonts w:hint="eastAsia" w:ascii="宋体" w:hAnsi="宋体" w:eastAsia="宋体" w:cs="宋体"/>
                <w:bCs/>
                <w:sz w:val="18"/>
                <w:szCs w:val="18"/>
              </w:rPr>
              <w:t>～</w:t>
            </w:r>
            <w:r>
              <w:rPr>
                <w:rFonts w:hint="default" w:ascii="Times New Roman" w:hAnsi="Times New Roman" w:eastAsia="宋体" w:cs="Times New Roman"/>
                <w:bCs/>
                <w:sz w:val="18"/>
                <w:szCs w:val="18"/>
              </w:rPr>
              <w:t>19 分；</w:t>
            </w:r>
          </w:p>
          <w:p w14:paraId="334809D5">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无效：</w:t>
            </w:r>
            <w:r>
              <w:rPr>
                <w:rFonts w:hint="default" w:ascii="Times New Roman" w:hAnsi="Times New Roman" w:eastAsia="宋体" w:cs="Times New Roman"/>
                <w:bCs/>
                <w:sz w:val="18"/>
                <w:szCs w:val="18"/>
              </w:rPr>
              <w:t>总评分降低 &lt; 10 分或无变化；</w:t>
            </w:r>
          </w:p>
          <w:p w14:paraId="02738F48">
            <w:pPr>
              <w:jc w:val="left"/>
              <w:rPr>
                <w:rFonts w:hint="default" w:ascii="Times New Roman" w:hAnsi="Times New Roman" w:eastAsia="宋体" w:cs="Times New Roman"/>
                <w:bCs/>
                <w:sz w:val="18"/>
                <w:szCs w:val="18"/>
              </w:rPr>
            </w:pPr>
            <w:r>
              <w:rPr>
                <w:rFonts w:hint="default" w:ascii="Times New Roman" w:hAnsi="Times New Roman" w:eastAsia="宋体" w:cs="Times New Roman"/>
                <w:b/>
                <w:bCs w:val="0"/>
                <w:sz w:val="18"/>
                <w:szCs w:val="18"/>
              </w:rPr>
              <w:t>加重：</w:t>
            </w:r>
            <w:r>
              <w:rPr>
                <w:rFonts w:hint="default" w:ascii="Times New Roman" w:hAnsi="Times New Roman" w:eastAsia="宋体" w:cs="Times New Roman"/>
                <w:bCs/>
                <w:sz w:val="18"/>
                <w:szCs w:val="18"/>
              </w:rPr>
              <w:t>总评分升高</w:t>
            </w:r>
            <w:r>
              <w:rPr>
                <w:rFonts w:hint="eastAsia" w:ascii="宋体" w:hAnsi="宋体" w:eastAsia="宋体" w:cs="宋体"/>
                <w:bCs/>
                <w:sz w:val="18"/>
                <w:szCs w:val="18"/>
              </w:rPr>
              <w:t>≥</w:t>
            </w:r>
            <w:r>
              <w:rPr>
                <w:rFonts w:hint="default" w:ascii="Times New Roman" w:hAnsi="Times New Roman" w:eastAsia="宋体" w:cs="Times New Roman"/>
                <w:bCs/>
                <w:sz w:val="18"/>
                <w:szCs w:val="18"/>
              </w:rPr>
              <w:t>5 分</w:t>
            </w:r>
          </w:p>
        </w:tc>
        <w:tc>
          <w:tcPr>
            <w:tcW w:w="2136" w:type="dxa"/>
          </w:tcPr>
          <w:p w14:paraId="4B791D08">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记录治疗前后堪萨斯城心肌病调查问卷或明尼苏达州心功能不全生命质量量表的具体分数，以分数差判断改善程度。</w:t>
            </w:r>
          </w:p>
        </w:tc>
        <w:tc>
          <w:tcPr>
            <w:tcW w:w="2137" w:type="dxa"/>
          </w:tcPr>
          <w:p w14:paraId="37A28A63">
            <w:pPr>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采用患者自填式，回顾 “过去 2 周” 内的实际情况作答；若患者无法独立完成（如视力障碍），可由医护人员无引导性读题协助，但需在记录中注明 “协助作答” ，所有维度原始分统一转化为 0</w:t>
            </w:r>
            <w:r>
              <w:rPr>
                <w:rFonts w:hint="eastAsia" w:ascii="Times New Roman" w:hAnsi="Times New Roman" w:eastAsia="宋体" w:cs="Times New Roman"/>
                <w:bCs/>
                <w:sz w:val="18"/>
                <w:szCs w:val="18"/>
                <w:lang w:val="en-US" w:eastAsia="zh-CN"/>
              </w:rPr>
              <w:t>分</w:t>
            </w:r>
            <w:r>
              <w:rPr>
                <w:rFonts w:hint="eastAsia" w:ascii="宋体" w:hAnsi="宋体" w:eastAsia="宋体" w:cs="宋体"/>
                <w:bCs/>
                <w:sz w:val="18"/>
                <w:szCs w:val="18"/>
              </w:rPr>
              <w:t>～</w:t>
            </w:r>
            <w:r>
              <w:rPr>
                <w:rFonts w:hint="default" w:ascii="Times New Roman" w:hAnsi="Times New Roman" w:eastAsia="宋体" w:cs="Times New Roman"/>
                <w:bCs/>
                <w:sz w:val="18"/>
                <w:szCs w:val="18"/>
              </w:rPr>
              <w:t>100 分。 填写时间节点与 HFpEF 疗效评价周期同步，在治疗前（基线）、治疗后 4</w:t>
            </w:r>
            <w:r>
              <w:rPr>
                <w:rFonts w:hint="eastAsia" w:ascii="Times New Roman" w:hAnsi="Times New Roman" w:eastAsia="宋体" w:cs="Times New Roman"/>
                <w:bCs/>
                <w:sz w:val="18"/>
                <w:szCs w:val="18"/>
                <w:lang w:val="en-US" w:eastAsia="zh-CN"/>
              </w:rPr>
              <w:t>周</w:t>
            </w:r>
            <w:r>
              <w:rPr>
                <w:rFonts w:hint="eastAsia" w:ascii="宋体" w:hAnsi="宋体" w:eastAsia="宋体" w:cs="宋体"/>
                <w:bCs/>
                <w:sz w:val="18"/>
                <w:szCs w:val="18"/>
              </w:rPr>
              <w:t>～</w:t>
            </w:r>
            <w:r>
              <w:rPr>
                <w:rFonts w:hint="default" w:ascii="Times New Roman" w:hAnsi="Times New Roman" w:eastAsia="宋体" w:cs="Times New Roman"/>
                <w:bCs/>
                <w:sz w:val="18"/>
                <w:szCs w:val="18"/>
              </w:rPr>
              <w:t>8 周（慢性治疗）各开展 1 次，确保观察疗效动态变化</w:t>
            </w:r>
          </w:p>
        </w:tc>
      </w:tr>
      <w:tr w14:paraId="5FBE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043D36D2">
            <w:pPr>
              <w:ind w:left="360" w:hanging="360" w:hangingChars="200"/>
              <w:jc w:val="left"/>
              <w:rPr>
                <w:rFonts w:hint="default" w:ascii="Times New Roman" w:hAnsi="Times New Roman" w:eastAsia="宋体" w:cs="Times New Roman"/>
                <w:bCs/>
                <w:sz w:val="18"/>
                <w:szCs w:val="18"/>
              </w:rPr>
            </w:pPr>
            <w:r>
              <w:rPr>
                <w:rFonts w:hint="default" w:ascii="Times New Roman" w:hAnsi="Times New Roman" w:eastAsia="宋体" w:cs="Times New Roman"/>
                <w:bCs/>
                <w:sz w:val="18"/>
                <w:szCs w:val="18"/>
              </w:rPr>
              <w:t>注：∆优先报告平均E/e’。E/e’</w:t>
            </w:r>
            <w:r>
              <w:rPr>
                <w:rFonts w:hint="eastAsia" w:ascii="Times New Roman" w:hAnsi="Times New Roman" w:eastAsia="宋体" w:cs="Times New Roman"/>
                <w:bCs/>
                <w:sz w:val="18"/>
                <w:szCs w:val="18"/>
                <w:lang w:val="en-US" w:eastAsia="zh-CN"/>
              </w:rPr>
              <w:t>等于</w:t>
            </w:r>
            <w:r>
              <w:rPr>
                <w:rFonts w:hint="default" w:ascii="Times New Roman" w:hAnsi="Times New Roman" w:eastAsia="宋体" w:cs="Times New Roman"/>
                <w:bCs/>
                <w:sz w:val="18"/>
                <w:szCs w:val="18"/>
              </w:rPr>
              <w:t>舒张早期二尖瓣血流速度峰值</w:t>
            </w:r>
            <w:r>
              <w:rPr>
                <w:rFonts w:hint="eastAsia" w:ascii="Times New Roman" w:hAnsi="Times New Roman" w:eastAsia="宋体" w:cs="Times New Roman"/>
                <w:bCs/>
                <w:sz w:val="18"/>
                <w:szCs w:val="18"/>
                <w:lang w:val="en-US" w:eastAsia="zh-CN"/>
              </w:rPr>
              <w:t>除以</w:t>
            </w:r>
            <w:r>
              <w:rPr>
                <w:rFonts w:hint="default" w:ascii="Times New Roman" w:hAnsi="Times New Roman" w:eastAsia="宋体" w:cs="Times New Roman"/>
                <w:bCs/>
                <w:sz w:val="18"/>
                <w:szCs w:val="18"/>
              </w:rPr>
              <w:t>舒张早期二尖瓣环组织运动速度峰值，E/A</w:t>
            </w:r>
            <w:r>
              <w:rPr>
                <w:rFonts w:hint="eastAsia" w:ascii="Times New Roman" w:hAnsi="Times New Roman" w:eastAsia="宋体" w:cs="Times New Roman"/>
                <w:bCs/>
                <w:sz w:val="18"/>
                <w:szCs w:val="18"/>
                <w:lang w:val="en-US" w:eastAsia="zh-CN"/>
              </w:rPr>
              <w:t>等于</w:t>
            </w:r>
            <w:r>
              <w:rPr>
                <w:rFonts w:hint="default" w:ascii="Times New Roman" w:hAnsi="Times New Roman" w:eastAsia="宋体" w:cs="Times New Roman"/>
                <w:bCs/>
                <w:sz w:val="18"/>
                <w:szCs w:val="18"/>
              </w:rPr>
              <w:t>舒张早期二尖瓣血流速度峰值</w:t>
            </w:r>
            <w:r>
              <w:rPr>
                <w:rFonts w:hint="eastAsia" w:ascii="Times New Roman" w:hAnsi="Times New Roman" w:eastAsia="宋体" w:cs="Times New Roman"/>
                <w:bCs/>
                <w:sz w:val="18"/>
                <w:szCs w:val="18"/>
                <w:lang w:val="en-US" w:eastAsia="zh-CN"/>
              </w:rPr>
              <w:t>除以</w:t>
            </w:r>
            <w:r>
              <w:rPr>
                <w:rFonts w:hint="default" w:ascii="Times New Roman" w:hAnsi="Times New Roman" w:eastAsia="宋体" w:cs="Times New Roman"/>
                <w:bCs/>
                <w:sz w:val="18"/>
                <w:szCs w:val="18"/>
              </w:rPr>
              <w:t>舒张晚期二尖瓣血流速度峰值。</w:t>
            </w:r>
          </w:p>
        </w:tc>
      </w:tr>
    </w:tbl>
    <w:p w14:paraId="198CAEC2">
      <w:pPr>
        <w:ind w:firstLine="420" w:firstLineChars="200"/>
        <w:jc w:val="left"/>
        <w:rPr>
          <w:rFonts w:hint="default" w:ascii="Times New Roman" w:hAnsi="Times New Roman" w:eastAsia="宋体" w:cs="Times New Roman"/>
          <w:bCs/>
          <w:szCs w:val="21"/>
        </w:rPr>
      </w:pPr>
    </w:p>
    <w:p w14:paraId="170DD02F">
      <w:pPr>
        <w:pStyle w:val="19"/>
        <w:numPr>
          <w:ilvl w:val="0"/>
          <w:numId w:val="1"/>
        </w:numPr>
        <w:spacing w:before="312" w:beforeLines="100" w:after="312" w:afterLines="100"/>
        <w:ind w:firstLineChars="0"/>
        <w:jc w:val="left"/>
        <w:rPr>
          <w:rFonts w:hint="default" w:ascii="Times New Roman" w:hAnsi="Times New Roman" w:eastAsia="黑体" w:cs="Times New Roman"/>
          <w:bCs/>
          <w:szCs w:val="21"/>
        </w:rPr>
      </w:pPr>
      <w:r>
        <w:rPr>
          <w:rFonts w:hint="default" w:ascii="Times New Roman" w:hAnsi="Times New Roman" w:eastAsia="黑体" w:cs="Times New Roman"/>
          <w:bCs/>
          <w:szCs w:val="21"/>
        </w:rPr>
        <w:t>评价结果</w:t>
      </w:r>
    </w:p>
    <w:p w14:paraId="7A3F68E8">
      <w:pPr>
        <w:ind w:firstLine="420" w:firstLineChars="200"/>
        <w:jc w:val="left"/>
        <w:rPr>
          <w:rFonts w:hint="eastAsia" w:ascii="Times New Roman" w:hAnsi="Times New Roman" w:eastAsia="宋体" w:cs="Times New Roman"/>
          <w:bCs/>
          <w:szCs w:val="21"/>
          <w:lang w:eastAsia="zh-CN"/>
        </w:rPr>
      </w:pPr>
      <w:r>
        <w:rPr>
          <w:rFonts w:hint="default" w:ascii="Times New Roman" w:hAnsi="Times New Roman" w:eastAsia="宋体" w:cs="Times New Roman"/>
          <w:bCs/>
          <w:szCs w:val="21"/>
        </w:rPr>
        <w:t>按显效、有效、无效、加重评价HFpEF临床疗效</w:t>
      </w:r>
      <w:r>
        <w:rPr>
          <w:rFonts w:hint="eastAsia" w:ascii="Times New Roman" w:hAnsi="Times New Roman" w:eastAsia="宋体" w:cs="Times New Roman"/>
          <w:bCs/>
          <w:szCs w:val="21"/>
          <w:lang w:eastAsia="zh-CN"/>
        </w:rPr>
        <w:t>。</w:t>
      </w:r>
    </w:p>
    <w:p w14:paraId="2216CFA7">
      <w:pPr>
        <w:numPr>
          <w:ilvl w:val="0"/>
          <w:numId w:val="2"/>
        </w:numPr>
        <w:ind w:firstLine="420" w:firstLineChars="2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显效</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rPr>
        <w:t>至少一个理化指标显效+任一症状体征指标</w:t>
      </w:r>
      <w:r>
        <w:rPr>
          <w:rFonts w:hint="default" w:ascii="Times New Roman" w:hAnsi="Times New Roman" w:eastAsia="宋体" w:cs="Times New Roman"/>
          <w:bCs/>
          <w:szCs w:val="21"/>
          <w:lang w:val="en-US" w:eastAsia="zh-CN"/>
        </w:rPr>
        <w:t>/</w:t>
      </w:r>
      <w:r>
        <w:rPr>
          <w:rFonts w:hint="default" w:ascii="Times New Roman" w:hAnsi="Times New Roman" w:eastAsia="宋体" w:cs="Times New Roman"/>
          <w:bCs/>
          <w:szCs w:val="21"/>
        </w:rPr>
        <w:t>生活质量</w:t>
      </w:r>
      <w:r>
        <w:rPr>
          <w:rFonts w:hint="default" w:ascii="Times New Roman" w:hAnsi="Times New Roman" w:eastAsia="宋体" w:cs="Times New Roman"/>
          <w:bCs/>
          <w:szCs w:val="21"/>
          <w:lang w:val="en-US" w:eastAsia="zh-CN"/>
        </w:rPr>
        <w:t>指标显效</w:t>
      </w:r>
      <w:r>
        <w:rPr>
          <w:rFonts w:hint="eastAsia" w:ascii="Times New Roman" w:hAnsi="Times New Roman" w:eastAsia="宋体" w:cs="Times New Roman"/>
          <w:bCs/>
          <w:szCs w:val="21"/>
          <w:lang w:val="en-US" w:eastAsia="zh-CN"/>
        </w:rPr>
        <w:t>。</w:t>
      </w:r>
    </w:p>
    <w:p w14:paraId="7828F08E">
      <w:pPr>
        <w:numPr>
          <w:ilvl w:val="0"/>
          <w:numId w:val="2"/>
        </w:numPr>
        <w:ind w:firstLine="420" w:firstLineChars="2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有效</w:t>
      </w:r>
      <w:r>
        <w:rPr>
          <w:rFonts w:hint="default" w:ascii="Times New Roman" w:hAnsi="Times New Roman" w:eastAsia="宋体" w:cs="Times New Roman"/>
          <w:bCs/>
          <w:szCs w:val="21"/>
          <w:lang w:eastAsia="zh-CN"/>
        </w:rPr>
        <w:t>：</w:t>
      </w:r>
    </w:p>
    <w:p w14:paraId="345A26F7">
      <w:pPr>
        <w:numPr>
          <w:ilvl w:val="0"/>
          <w:numId w:val="3"/>
        </w:numPr>
        <w:ind w:firstLine="840" w:firstLineChars="4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至少1个症状体征指标有效+至少1个理化检测指标有效</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或</w:t>
      </w:r>
    </w:p>
    <w:p w14:paraId="464A56C9">
      <w:pPr>
        <w:numPr>
          <w:ilvl w:val="0"/>
          <w:numId w:val="3"/>
        </w:numPr>
        <w:ind w:firstLine="840" w:firstLineChars="4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至少1个症状体征指标有效+至少1个生活质量指标有效</w:t>
      </w:r>
      <w:r>
        <w:rPr>
          <w:rFonts w:hint="eastAsia" w:ascii="Times New Roman" w:hAnsi="Times New Roman" w:eastAsia="宋体" w:cs="Times New Roman"/>
          <w:bCs/>
          <w:szCs w:val="21"/>
          <w:lang w:val="en-US" w:eastAsia="zh-CN"/>
        </w:rPr>
        <w:t>，</w:t>
      </w:r>
      <w:r>
        <w:rPr>
          <w:rFonts w:hint="default" w:ascii="Times New Roman" w:hAnsi="Times New Roman" w:eastAsia="宋体" w:cs="Times New Roman"/>
          <w:bCs/>
          <w:szCs w:val="21"/>
          <w:lang w:val="en-US" w:eastAsia="zh-CN"/>
        </w:rPr>
        <w:t>或</w:t>
      </w:r>
    </w:p>
    <w:p w14:paraId="2309FF19">
      <w:pPr>
        <w:numPr>
          <w:ilvl w:val="0"/>
          <w:numId w:val="3"/>
        </w:numPr>
        <w:ind w:firstLine="840" w:firstLineChars="4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至少1个理化检测指标有效+至少1个生活质量指标有效</w:t>
      </w:r>
      <w:r>
        <w:rPr>
          <w:rFonts w:hint="eastAsia" w:ascii="Times New Roman" w:hAnsi="Times New Roman" w:eastAsia="宋体" w:cs="Times New Roman"/>
          <w:bCs/>
          <w:szCs w:val="21"/>
          <w:lang w:val="en-US" w:eastAsia="zh-CN"/>
        </w:rPr>
        <w:t>。</w:t>
      </w:r>
    </w:p>
    <w:p w14:paraId="7FD6353F">
      <w:pPr>
        <w:numPr>
          <w:ilvl w:val="0"/>
          <w:numId w:val="2"/>
        </w:numPr>
        <w:ind w:firstLine="420" w:firstLineChars="2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无效</w:t>
      </w:r>
      <w:r>
        <w:rPr>
          <w:rFonts w:hint="default" w:ascii="Times New Roman" w:hAnsi="Times New Roman" w:eastAsia="宋体" w:cs="Times New Roman"/>
          <w:bCs/>
          <w:szCs w:val="21"/>
          <w:lang w:eastAsia="zh-CN"/>
        </w:rPr>
        <w:t>：</w:t>
      </w:r>
    </w:p>
    <w:p w14:paraId="2E537B9D">
      <w:pPr>
        <w:numPr>
          <w:ilvl w:val="0"/>
          <w:numId w:val="4"/>
        </w:numPr>
        <w:ind w:firstLine="840" w:firstLineChars="4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至少1个症状体征指标</w:t>
      </w:r>
      <w:r>
        <w:rPr>
          <w:rFonts w:hint="default" w:ascii="Times New Roman" w:hAnsi="Times New Roman" w:eastAsia="宋体" w:cs="Times New Roman"/>
          <w:bCs/>
          <w:szCs w:val="21"/>
        </w:rPr>
        <w:t>无效</w:t>
      </w:r>
      <w:r>
        <w:rPr>
          <w:rFonts w:hint="default" w:ascii="Times New Roman" w:hAnsi="Times New Roman" w:eastAsia="宋体" w:cs="Times New Roman"/>
          <w:bCs/>
          <w:szCs w:val="21"/>
          <w:lang w:val="en-US" w:eastAsia="zh-CN"/>
        </w:rPr>
        <w:t>+至少1个理化检测指标</w:t>
      </w:r>
      <w:r>
        <w:rPr>
          <w:rFonts w:hint="default" w:ascii="Times New Roman" w:hAnsi="Times New Roman" w:eastAsia="宋体" w:cs="Times New Roman"/>
          <w:bCs/>
          <w:szCs w:val="21"/>
        </w:rPr>
        <w:t>无效</w:t>
      </w: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lang w:val="en-US" w:eastAsia="zh-CN"/>
        </w:rPr>
        <w:t>或</w:t>
      </w:r>
    </w:p>
    <w:p w14:paraId="0FCE151F">
      <w:pPr>
        <w:numPr>
          <w:ilvl w:val="0"/>
          <w:numId w:val="4"/>
        </w:numPr>
        <w:ind w:firstLine="840" w:firstLineChars="4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至少1个症状体征指标</w:t>
      </w:r>
      <w:r>
        <w:rPr>
          <w:rFonts w:hint="default" w:ascii="Times New Roman" w:hAnsi="Times New Roman" w:eastAsia="宋体" w:cs="Times New Roman"/>
          <w:bCs/>
          <w:szCs w:val="21"/>
        </w:rPr>
        <w:t>无效</w:t>
      </w:r>
      <w:r>
        <w:rPr>
          <w:rFonts w:hint="default" w:ascii="Times New Roman" w:hAnsi="Times New Roman" w:eastAsia="宋体" w:cs="Times New Roman"/>
          <w:bCs/>
          <w:szCs w:val="21"/>
          <w:lang w:val="en-US" w:eastAsia="zh-CN"/>
        </w:rPr>
        <w:t>+至少1个生活质量指标</w:t>
      </w:r>
      <w:r>
        <w:rPr>
          <w:rFonts w:hint="default" w:ascii="Times New Roman" w:hAnsi="Times New Roman" w:eastAsia="宋体" w:cs="Times New Roman"/>
          <w:bCs/>
          <w:szCs w:val="21"/>
        </w:rPr>
        <w:t>无效</w:t>
      </w:r>
      <w:r>
        <w:rPr>
          <w:rFonts w:hint="eastAsia" w:ascii="Times New Roman" w:hAnsi="Times New Roman" w:eastAsia="宋体" w:cs="Times New Roman"/>
          <w:bCs/>
          <w:szCs w:val="21"/>
          <w:lang w:eastAsia="zh-CN"/>
        </w:rPr>
        <w:t>，</w:t>
      </w:r>
      <w:r>
        <w:rPr>
          <w:rFonts w:hint="default" w:ascii="Times New Roman" w:hAnsi="Times New Roman" w:eastAsia="宋体" w:cs="Times New Roman"/>
          <w:bCs/>
          <w:szCs w:val="21"/>
          <w:lang w:val="en-US" w:eastAsia="zh-CN"/>
        </w:rPr>
        <w:t>或</w:t>
      </w:r>
    </w:p>
    <w:p w14:paraId="2CC53A6D">
      <w:pPr>
        <w:numPr>
          <w:ilvl w:val="0"/>
          <w:numId w:val="4"/>
        </w:numPr>
        <w:ind w:firstLine="840" w:firstLineChars="4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至少1个理化检测指标</w:t>
      </w:r>
      <w:r>
        <w:rPr>
          <w:rFonts w:hint="default" w:ascii="Times New Roman" w:hAnsi="Times New Roman" w:eastAsia="宋体" w:cs="Times New Roman"/>
          <w:bCs/>
          <w:szCs w:val="21"/>
        </w:rPr>
        <w:t>无效</w:t>
      </w:r>
      <w:r>
        <w:rPr>
          <w:rFonts w:hint="default" w:ascii="Times New Roman" w:hAnsi="Times New Roman" w:eastAsia="宋体" w:cs="Times New Roman"/>
          <w:bCs/>
          <w:szCs w:val="21"/>
          <w:lang w:val="en-US" w:eastAsia="zh-CN"/>
        </w:rPr>
        <w:t>+至少1个生活质量指标</w:t>
      </w:r>
      <w:r>
        <w:rPr>
          <w:rFonts w:hint="default" w:ascii="Times New Roman" w:hAnsi="Times New Roman" w:eastAsia="宋体" w:cs="Times New Roman"/>
          <w:bCs/>
          <w:szCs w:val="21"/>
        </w:rPr>
        <w:t>无效</w:t>
      </w:r>
      <w:r>
        <w:rPr>
          <w:rFonts w:hint="eastAsia" w:ascii="Times New Roman" w:hAnsi="Times New Roman" w:eastAsia="宋体" w:cs="Times New Roman"/>
          <w:bCs/>
          <w:szCs w:val="21"/>
          <w:lang w:val="en-US" w:eastAsia="zh-CN"/>
        </w:rPr>
        <w:t>。</w:t>
      </w:r>
    </w:p>
    <w:p w14:paraId="30FE1F4B">
      <w:pPr>
        <w:numPr>
          <w:ilvl w:val="0"/>
          <w:numId w:val="2"/>
        </w:numPr>
        <w:ind w:firstLine="420" w:firstLineChars="200"/>
        <w:jc w:val="left"/>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rPr>
        <w:t>加重</w:t>
      </w:r>
      <w:r>
        <w:rPr>
          <w:rFonts w:hint="default" w:ascii="Times New Roman" w:hAnsi="Times New Roman" w:eastAsia="宋体" w:cs="Times New Roman"/>
          <w:bCs/>
          <w:szCs w:val="21"/>
          <w:lang w:eastAsia="zh-CN"/>
        </w:rPr>
        <w:t>：</w:t>
      </w:r>
      <w:r>
        <w:rPr>
          <w:rFonts w:hint="default" w:ascii="Times New Roman" w:hAnsi="Times New Roman" w:eastAsia="宋体" w:cs="Times New Roman"/>
          <w:bCs/>
          <w:szCs w:val="21"/>
        </w:rPr>
        <w:t>至少一个理化指标</w:t>
      </w:r>
      <w:r>
        <w:rPr>
          <w:rFonts w:hint="default" w:ascii="Times New Roman" w:hAnsi="Times New Roman" w:eastAsia="宋体" w:cs="Times New Roman"/>
          <w:bCs/>
          <w:szCs w:val="21"/>
          <w:lang w:val="en-US" w:eastAsia="zh-CN"/>
        </w:rPr>
        <w:t>加重</w:t>
      </w:r>
      <w:r>
        <w:rPr>
          <w:rFonts w:hint="default" w:ascii="Times New Roman" w:hAnsi="Times New Roman" w:eastAsia="宋体" w:cs="Times New Roman"/>
          <w:bCs/>
          <w:szCs w:val="21"/>
        </w:rPr>
        <w:t>+任一症状体征指标</w:t>
      </w:r>
      <w:r>
        <w:rPr>
          <w:rFonts w:hint="default" w:ascii="Times New Roman" w:hAnsi="Times New Roman" w:eastAsia="宋体" w:cs="Times New Roman"/>
          <w:bCs/>
          <w:szCs w:val="21"/>
          <w:lang w:val="en-US" w:eastAsia="zh-CN"/>
        </w:rPr>
        <w:t>/</w:t>
      </w:r>
      <w:r>
        <w:rPr>
          <w:rFonts w:hint="default" w:ascii="Times New Roman" w:hAnsi="Times New Roman" w:eastAsia="宋体" w:cs="Times New Roman"/>
          <w:bCs/>
          <w:szCs w:val="21"/>
        </w:rPr>
        <w:t>生活质量</w:t>
      </w:r>
      <w:r>
        <w:rPr>
          <w:rFonts w:hint="default" w:ascii="Times New Roman" w:hAnsi="Times New Roman" w:eastAsia="宋体" w:cs="Times New Roman"/>
          <w:bCs/>
          <w:szCs w:val="21"/>
          <w:lang w:val="en-US" w:eastAsia="zh-CN"/>
        </w:rPr>
        <w:t>指标加重</w:t>
      </w:r>
      <w:r>
        <w:rPr>
          <w:rFonts w:hint="eastAsia" w:ascii="Times New Roman" w:hAnsi="Times New Roman" w:eastAsia="宋体" w:cs="Times New Roman"/>
          <w:bCs/>
          <w:szCs w:val="21"/>
          <w:lang w:val="en-US" w:eastAsia="zh-CN"/>
        </w:rPr>
        <w:t>。</w:t>
      </w:r>
    </w:p>
    <w:p w14:paraId="207134DA">
      <w:pPr>
        <w:widowControl/>
        <w:jc w:val="left"/>
        <w:rPr>
          <w:rFonts w:hint="default" w:ascii="Times New Roman" w:hAnsi="Times New Roman" w:eastAsia="宋体" w:cs="Times New Roman"/>
          <w:bCs/>
          <w:szCs w:val="21"/>
        </w:rPr>
      </w:pPr>
      <w:r>
        <w:rPr>
          <w:rFonts w:hint="default" w:ascii="Times New Roman" w:hAnsi="Times New Roman" w:eastAsia="宋体" w:cs="Times New Roman"/>
          <w:bCs/>
          <w:szCs w:val="21"/>
        </w:rPr>
        <w:br w:type="page"/>
      </w:r>
    </w:p>
    <w:p w14:paraId="470AD74C">
      <w:pPr>
        <w:ind w:firstLine="420" w:firstLineChars="200"/>
        <w:jc w:val="left"/>
        <w:rPr>
          <w:rFonts w:hint="default" w:ascii="Times New Roman" w:hAnsi="Times New Roman" w:eastAsia="宋体" w:cs="Times New Roman"/>
          <w:bCs/>
          <w:szCs w:val="21"/>
        </w:rPr>
      </w:pPr>
    </w:p>
    <w:p w14:paraId="65F5A528">
      <w:pPr>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附录A</w:t>
      </w:r>
    </w:p>
    <w:p w14:paraId="3D30AF86">
      <w:pPr>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资料性</w:t>
      </w:r>
    </w:p>
    <w:p w14:paraId="7C3AA78A">
      <w:pPr>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评价指标体系和取值规则的研制方法</w:t>
      </w:r>
    </w:p>
    <w:p w14:paraId="41F3D17F">
      <w:pPr>
        <w:pStyle w:val="19"/>
        <w:spacing w:before="156" w:beforeLines="50" w:after="156" w:afterLines="50"/>
        <w:ind w:firstLine="0" w:firstLineChars="0"/>
        <w:rPr>
          <w:rFonts w:hint="default" w:ascii="Times New Roman" w:hAnsi="Times New Roman" w:eastAsia="黑体" w:cs="Times New Roman"/>
          <w:bCs/>
          <w:szCs w:val="21"/>
        </w:rPr>
      </w:pPr>
      <w:r>
        <w:rPr>
          <w:rFonts w:hint="default" w:ascii="Times New Roman" w:hAnsi="Times New Roman" w:eastAsia="黑体" w:cs="Times New Roman"/>
          <w:bCs/>
          <w:szCs w:val="21"/>
        </w:rPr>
        <w:t>A.1　成立工作组</w:t>
      </w:r>
    </w:p>
    <w:p w14:paraId="0272F424">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分别成立专家指导组和研究工作组。专家指导组成员全部为高级职称，包括心血管领域的中医、西医、中西医结合临床/科研专家，循证方法学专家及超声专家，负责研究的重大决策和监督。研究工作组包括中医、西医、中西医结合临床/科研专家各1人，循证方法学家1人、超声专家1人，研究生2人，负责日常研究工作。</w:t>
      </w:r>
    </w:p>
    <w:p w14:paraId="56397229">
      <w:pPr>
        <w:pStyle w:val="19"/>
        <w:spacing w:before="156" w:beforeLines="50" w:after="156" w:afterLines="50"/>
        <w:ind w:firstLine="0" w:firstLineChars="0"/>
        <w:rPr>
          <w:rFonts w:hint="default" w:ascii="Times New Roman" w:hAnsi="Times New Roman" w:eastAsia="黑体" w:cs="Times New Roman"/>
          <w:bCs/>
          <w:szCs w:val="21"/>
        </w:rPr>
      </w:pPr>
      <w:r>
        <w:rPr>
          <w:rFonts w:hint="default" w:ascii="Times New Roman" w:hAnsi="Times New Roman" w:eastAsia="黑体" w:cs="Times New Roman"/>
          <w:bCs/>
          <w:szCs w:val="21"/>
        </w:rPr>
        <w:t>A.2　研究注册　</w:t>
      </w:r>
    </w:p>
    <w:p w14:paraId="699E1DA2">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本 研 究 已 在 COMET 数 据 库（https://www. cometinitiative.org/Studies/Details/3142）和 中 国 临 床 试 验 核心 指 标 集 研 究 中 心 （https://chicos. org. cn/cos/1723001770456199170）完成注册。</w:t>
      </w:r>
    </w:p>
    <w:p w14:paraId="1AE0AA66">
      <w:pPr>
        <w:pStyle w:val="19"/>
        <w:spacing w:before="156" w:beforeLines="50" w:after="156" w:afterLines="50"/>
        <w:ind w:firstLine="0" w:firstLineChars="0"/>
        <w:rPr>
          <w:rFonts w:hint="default" w:ascii="Times New Roman" w:hAnsi="Times New Roman" w:eastAsia="黑体" w:cs="Times New Roman"/>
          <w:bCs/>
          <w:szCs w:val="21"/>
        </w:rPr>
      </w:pPr>
      <w:r>
        <w:rPr>
          <w:rFonts w:hint="default" w:ascii="Times New Roman" w:hAnsi="Times New Roman" w:eastAsia="黑体" w:cs="Times New Roman"/>
          <w:bCs/>
          <w:szCs w:val="21"/>
        </w:rPr>
        <w:t>A.3　构建指标池　</w:t>
      </w:r>
    </w:p>
    <w:p w14:paraId="25A17D26">
      <w:pPr>
        <w:spacing w:before="157" w:beforeLines="50" w:after="157" w:afterLines="50"/>
        <w:rPr>
          <w:rFonts w:hint="eastAsia" w:ascii="黑体" w:hAnsi="黑体" w:eastAsia="黑体" w:cs="黑体"/>
          <w:bCs/>
          <w:szCs w:val="21"/>
        </w:rPr>
      </w:pPr>
      <w:r>
        <w:rPr>
          <w:rFonts w:hint="eastAsia" w:ascii="黑体" w:hAnsi="黑体" w:eastAsia="黑体" w:cs="黑体"/>
          <w:bCs/>
          <w:szCs w:val="21"/>
        </w:rPr>
        <w:t>A.3.1　文献研究　</w:t>
      </w:r>
    </w:p>
    <w:p w14:paraId="38A023DB">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检 索 PubMed、Embase、Cochrane Central Register of Controlled Trials 数据库中关于 HFpEF 的随机对照试验。采用主题词结合自由词的方式进行检索（以PubMed 为例，检索策略见表 1），时间限定为 2021 年1 月 1 日-2023 年 11 月 3 日。根据文献纳排标准（见表2），两名研究者各自对获得的文献进行筛选和数据提取，最后交叉核对，若存在分歧由两者讨论决定，仍不能解决则由研究工作组专家决定。提取的内容包括研究基本信息、偏倚风险评估信息、患者相关信息、干预措施及疗程、疗效性结局指标（名称、测量方法、时间节点）等。</w:t>
      </w:r>
    </w:p>
    <w:p w14:paraId="13466776">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drawing>
          <wp:inline distT="0" distB="0" distL="114300" distR="114300">
            <wp:extent cx="5274310" cy="2284095"/>
            <wp:effectExtent l="0" t="0" r="2540" b="1905"/>
            <wp:docPr id="653928401" name="图片 65392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28401" name="图片 653928401"/>
                    <pic:cNvPicPr>
                      <a:picLocks noChangeAspect="1"/>
                    </pic:cNvPicPr>
                  </pic:nvPicPr>
                  <pic:blipFill>
                    <a:blip r:embed="rId18"/>
                    <a:stretch>
                      <a:fillRect/>
                    </a:stretch>
                  </pic:blipFill>
                  <pic:spPr>
                    <a:xfrm>
                      <a:off x="0" y="0"/>
                      <a:ext cx="5274310" cy="2284095"/>
                    </a:xfrm>
                    <a:prstGeom prst="rect">
                      <a:avLst/>
                    </a:prstGeom>
                    <a:noFill/>
                    <a:ln>
                      <a:noFill/>
                    </a:ln>
                  </pic:spPr>
                </pic:pic>
              </a:graphicData>
            </a:graphic>
          </wp:inline>
        </w:drawing>
      </w:r>
    </w:p>
    <w:p w14:paraId="2E3A8731">
      <w:pPr>
        <w:spacing w:before="157" w:beforeLines="50" w:after="157" w:afterLines="50"/>
        <w:rPr>
          <w:rFonts w:hint="eastAsia" w:ascii="黑体" w:hAnsi="黑体" w:eastAsia="黑体" w:cs="黑体"/>
          <w:bCs/>
          <w:szCs w:val="21"/>
        </w:rPr>
      </w:pPr>
      <w:r>
        <w:rPr>
          <w:rFonts w:hint="eastAsia" w:ascii="黑体" w:hAnsi="黑体" w:eastAsia="黑体" w:cs="黑体"/>
          <w:bCs/>
          <w:szCs w:val="21"/>
        </w:rPr>
        <w:t>A.3.2　问卷调查　</w:t>
      </w:r>
    </w:p>
    <w:p w14:paraId="67AC3D80">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采用电子问卷在线发放的形式，从全国范围内的三级医院选取中医、西医、中西医结合心血管领域的高级职称专家进行调查。问卷内容包括项目简介、专家一般信息、结局指标收集，其中结局指标收集为开放性，要求专家填写≤5个最重要的结局指标。</w:t>
      </w:r>
    </w:p>
    <w:p w14:paraId="06E1B5F7">
      <w:pPr>
        <w:spacing w:before="157" w:beforeLines="50" w:after="157" w:afterLines="50"/>
        <w:rPr>
          <w:rFonts w:hint="eastAsia" w:ascii="黑体" w:hAnsi="黑体" w:eastAsia="黑体" w:cs="黑体"/>
          <w:bCs/>
          <w:szCs w:val="21"/>
        </w:rPr>
      </w:pPr>
      <w:r>
        <w:rPr>
          <w:rFonts w:hint="eastAsia" w:ascii="黑体" w:hAnsi="黑体" w:eastAsia="黑体" w:cs="黑体"/>
          <w:bCs/>
          <w:szCs w:val="21"/>
        </w:rPr>
        <w:t>A.3.3　半结构化访谈　</w:t>
      </w:r>
    </w:p>
    <w:p w14:paraId="09CBC37B">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研究工作组提前拟定访谈提纲，从中国中医科学院西苑医院心血管科选取门诊或住院的 HFpEF 患者进行半结构化访谈，获取患者群体关注的结局指标。取得患者知情同意后对访谈内容进行录音。</w:t>
      </w:r>
    </w:p>
    <w:p w14:paraId="0D53FFD9">
      <w:pPr>
        <w:spacing w:before="157" w:beforeLines="50" w:after="157" w:afterLines="50"/>
        <w:rPr>
          <w:rFonts w:hint="eastAsia" w:ascii="黑体" w:hAnsi="黑体" w:eastAsia="黑体" w:cs="黑体"/>
          <w:bCs/>
          <w:szCs w:val="21"/>
        </w:rPr>
      </w:pPr>
      <w:r>
        <w:rPr>
          <w:rFonts w:hint="eastAsia" w:ascii="黑体" w:hAnsi="黑体" w:eastAsia="黑体" w:cs="黑体"/>
          <w:bCs/>
          <w:szCs w:val="21"/>
        </w:rPr>
        <w:t>A.3.4　指标整理归类　</w:t>
      </w:r>
    </w:p>
    <w:p w14:paraId="0868AAAA">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将文献研究、专家问卷调查、患者半结构化访谈获取的结局指标录入 Excel 进行整理归类：①对指标进行相似性排序；②对表达含义相同的指标，仅保留一个；③对指标名称进行规范化处理；④将指标划分入相应的指标域，即症状体征类、理化检测类、生活质量类、远期预后类、中医病证类、其他。通过上述步骤形成HFpEF疗效评价原始结局指标池。</w:t>
      </w:r>
    </w:p>
    <w:p w14:paraId="38E58A69">
      <w:pPr>
        <w:pStyle w:val="19"/>
        <w:spacing w:before="156" w:beforeLines="50" w:after="156" w:afterLines="50"/>
        <w:ind w:firstLine="0" w:firstLineChars="0"/>
        <w:rPr>
          <w:rFonts w:hint="default" w:ascii="Times New Roman" w:hAnsi="Times New Roman" w:eastAsia="黑体" w:cs="Times New Roman"/>
          <w:bCs/>
          <w:szCs w:val="21"/>
        </w:rPr>
      </w:pPr>
      <w:r>
        <w:rPr>
          <w:rFonts w:hint="default" w:ascii="Times New Roman" w:hAnsi="Times New Roman" w:eastAsia="黑体" w:cs="Times New Roman"/>
          <w:bCs/>
          <w:szCs w:val="21"/>
        </w:rPr>
        <w:t>A.4　德尔菲调查　</w:t>
      </w:r>
    </w:p>
    <w:p w14:paraId="6C1BD33E">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从全国范围内的三级医院选取心血管领域的中医、西医、中西医结合临床/科研专家及超声专家进行德尔菲问卷调查，遴选标准为具有高级职称，在心血管临床/科研领域具有丰富经验和较高的学术影响力。问卷包括项目简介、专家信息、填写说明、指标重要性评分等，以问卷星形式在线发放。其中指标评分采用Likert法，选项设置为 1-9分和“不确定”，分数越高代表指标重要性越高，并将 1-3 分划分为“不重要”，4-6分为“重要但不关键”，7-9分为“关键”。另设开放性问题，使专家得以补充未包含在问卷中的其他重要指标。为保证应答率和调查质量，问卷时间不宜过长，若原始指标池条目过多，则由专家指导组讨论决定纳入德尔菲调查的指标条目。</w:t>
      </w:r>
    </w:p>
    <w:p w14:paraId="32C7E038">
      <w:pPr>
        <w:spacing w:before="157" w:beforeLines="50" w:after="157" w:afterLines="50"/>
        <w:rPr>
          <w:rFonts w:hint="eastAsia" w:ascii="黑体" w:hAnsi="黑体" w:eastAsia="黑体" w:cs="黑体"/>
          <w:bCs/>
          <w:szCs w:val="21"/>
        </w:rPr>
      </w:pPr>
      <w:r>
        <w:rPr>
          <w:rFonts w:hint="eastAsia" w:ascii="黑体" w:hAnsi="黑体" w:eastAsia="黑体" w:cs="黑体"/>
          <w:bCs/>
          <w:szCs w:val="21"/>
        </w:rPr>
        <w:t>A.4.1　第一轮德尔菲调查　</w:t>
      </w:r>
    </w:p>
    <w:p w14:paraId="5A87D131">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第一轮德尔菲问卷至少调查100位专家。问卷回收后，计算专家积极系数、权威系数、各结局指标“关键”评分的专家比例。“关键”评分比例≥70%的指标将作为 COS 候选指标进入共识会议，60%≤“关键”评分比例&lt;70%的指标纳入第二轮德尔菲问卷。</w:t>
      </w:r>
    </w:p>
    <w:p w14:paraId="0E9F2028">
      <w:pPr>
        <w:spacing w:before="157" w:beforeLines="50" w:after="157" w:afterLines="50"/>
        <w:rPr>
          <w:rFonts w:hint="eastAsia" w:ascii="黑体" w:hAnsi="黑体" w:eastAsia="黑体" w:cs="黑体"/>
          <w:bCs/>
          <w:szCs w:val="21"/>
        </w:rPr>
      </w:pPr>
      <w:r>
        <w:rPr>
          <w:rFonts w:hint="eastAsia" w:ascii="黑体" w:hAnsi="黑体" w:eastAsia="黑体" w:cs="黑体"/>
          <w:bCs/>
          <w:szCs w:val="21"/>
        </w:rPr>
        <w:t>A.4.2　第二轮德尔菲调查　</w:t>
      </w:r>
    </w:p>
    <w:p w14:paraId="4FE320DB">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第二轮问卷将对上轮问卷结果进行反馈，调查50 位以上专家。问卷回收后，计算专家积极系数、权威系数、各结局指标“关键”评分的专家比例。“关键”评分比例≥70%的指标将作为 COS候选指标进入共识会议。</w:t>
      </w:r>
    </w:p>
    <w:p w14:paraId="2D07EA0A">
      <w:pPr>
        <w:pStyle w:val="19"/>
        <w:spacing w:before="156" w:beforeLines="50" w:after="156" w:afterLines="50"/>
        <w:ind w:firstLine="0" w:firstLineChars="0"/>
        <w:rPr>
          <w:rFonts w:hint="default" w:ascii="Times New Roman" w:hAnsi="Times New Roman" w:eastAsia="黑体" w:cs="Times New Roman"/>
          <w:bCs/>
          <w:szCs w:val="21"/>
        </w:rPr>
      </w:pPr>
      <w:r>
        <w:rPr>
          <w:rFonts w:hint="default" w:ascii="Times New Roman" w:hAnsi="Times New Roman" w:eastAsia="黑体" w:cs="Times New Roman"/>
          <w:bCs/>
          <w:szCs w:val="21"/>
        </w:rPr>
        <w:t>A.5　共识会议　</w:t>
      </w:r>
    </w:p>
    <w:p w14:paraId="7F362A57">
      <w:pPr>
        <w:rPr>
          <w:rFonts w:hint="default" w:ascii="Times New Roman" w:hAnsi="Times New Roman" w:cs="Times New Roman"/>
          <w:b/>
          <w:bCs/>
        </w:rPr>
      </w:pPr>
      <w:r>
        <w:rPr>
          <w:rFonts w:hint="default" w:ascii="Times New Roman" w:hAnsi="Times New Roman" w:eastAsia="宋体" w:cs="Times New Roman"/>
          <w:bCs/>
          <w:szCs w:val="21"/>
        </w:rPr>
        <w:t>通过德尔菲调查确定 COS候选指标后，线上召开由完成两轮德尔菲问卷的专家代表、专家指导组代表及研究工作组代表参与的共识会议。参会代表人数为 20-30 人，包括心血管领域的中医、西医、中西医结合临床/科研专家，循证方法学专家和超声专家。会议由工作组成员汇报前期研究流程及 COS候选指标，参会代表进行讨论、评分，再次对评分结果进行讨论后形成共识，确定最终 COS。评分方法同德尔菲问卷评分 ，优先推荐“关键”评分专 家比例 ≥70%的结局指标。</w:t>
      </w:r>
    </w:p>
    <w:p w14:paraId="7495EB76">
      <w:pPr>
        <w:widowControl/>
        <w:jc w:val="left"/>
        <w:rPr>
          <w:rFonts w:hint="default" w:ascii="Times New Roman" w:hAnsi="Times New Roman" w:cs="Times New Roman"/>
          <w:b/>
          <w:bCs/>
        </w:rPr>
      </w:pPr>
      <w:r>
        <w:rPr>
          <w:rFonts w:hint="default" w:ascii="Times New Roman" w:hAnsi="Times New Roman" w:cs="Times New Roman"/>
          <w:b/>
          <w:bCs/>
        </w:rPr>
        <w:br w:type="page"/>
      </w:r>
    </w:p>
    <w:p w14:paraId="27C9C66A">
      <w:pPr>
        <w:widowControl/>
        <w:spacing w:before="156" w:beforeLines="50" w:after="312" w:afterLines="100"/>
        <w:jc w:val="center"/>
        <w:rPr>
          <w:rFonts w:hint="default" w:ascii="Times New Roman" w:hAnsi="Times New Roman" w:eastAsia="黑体" w:cs="Times New Roman"/>
          <w:bCs/>
          <w:szCs w:val="21"/>
        </w:rPr>
      </w:pPr>
      <w:r>
        <w:rPr>
          <w:rFonts w:hint="default" w:ascii="Times New Roman" w:hAnsi="Times New Roman" w:eastAsia="黑体" w:cs="Times New Roman"/>
          <w:bCs/>
          <w:szCs w:val="21"/>
        </w:rPr>
        <w:t>参</w:t>
      </w:r>
      <w:r>
        <w:rPr>
          <w:rFonts w:hint="eastAsia" w:ascii="Times New Roman" w:hAnsi="Times New Roman" w:eastAsia="黑体" w:cs="Times New Roman"/>
          <w:bCs/>
          <w:szCs w:val="21"/>
          <w:lang w:val="en-US" w:eastAsia="zh-CN"/>
        </w:rPr>
        <w:t xml:space="preserve"> </w:t>
      </w:r>
      <w:r>
        <w:rPr>
          <w:rFonts w:hint="default" w:ascii="Times New Roman" w:hAnsi="Times New Roman" w:eastAsia="黑体" w:cs="Times New Roman"/>
          <w:bCs/>
          <w:szCs w:val="21"/>
        </w:rPr>
        <w:t>考</w:t>
      </w:r>
      <w:r>
        <w:rPr>
          <w:rFonts w:hint="eastAsia" w:ascii="Times New Roman" w:hAnsi="Times New Roman" w:eastAsia="黑体" w:cs="Times New Roman"/>
          <w:bCs/>
          <w:szCs w:val="21"/>
          <w:lang w:val="en-US" w:eastAsia="zh-CN"/>
        </w:rPr>
        <w:t xml:space="preserve"> </w:t>
      </w:r>
      <w:r>
        <w:rPr>
          <w:rFonts w:hint="default" w:ascii="Times New Roman" w:hAnsi="Times New Roman" w:eastAsia="黑体" w:cs="Times New Roman"/>
          <w:bCs/>
          <w:szCs w:val="21"/>
        </w:rPr>
        <w:t>文</w:t>
      </w:r>
      <w:r>
        <w:rPr>
          <w:rFonts w:hint="eastAsia" w:ascii="Times New Roman" w:hAnsi="Times New Roman" w:eastAsia="黑体" w:cs="Times New Roman"/>
          <w:bCs/>
          <w:szCs w:val="21"/>
          <w:lang w:val="en-US" w:eastAsia="zh-CN"/>
        </w:rPr>
        <w:t xml:space="preserve"> </w:t>
      </w:r>
      <w:r>
        <w:rPr>
          <w:rFonts w:hint="default" w:ascii="Times New Roman" w:hAnsi="Times New Roman" w:eastAsia="黑体" w:cs="Times New Roman"/>
          <w:bCs/>
          <w:szCs w:val="21"/>
        </w:rPr>
        <w:t>献</w:t>
      </w:r>
      <w:bookmarkStart w:id="12" w:name="_GoBack"/>
      <w:bookmarkEnd w:id="12"/>
    </w:p>
    <w:p w14:paraId="5C39D266">
      <w:pPr>
        <w:ind w:firstLine="420" w:firstLineChars="200"/>
        <w:rPr>
          <w:rFonts w:hint="default" w:ascii="Times New Roman" w:hAnsi="Times New Roman" w:eastAsia="宋体" w:cs="Times New Roman"/>
        </w:rPr>
      </w:pPr>
      <w:r>
        <w:rPr>
          <w:rFonts w:hint="default" w:ascii="Times New Roman" w:hAnsi="Times New Roman" w:eastAsia="宋体" w:cs="Times New Roman"/>
        </w:rPr>
        <w:t>[1]董国菊. 建立中西医病证结合、医患共同报告、1+N模式慢性心力衰竭疗效评价体系的思路与方法. 中医杂志,2023,64(19):1975-1980.</w:t>
      </w:r>
    </w:p>
    <w:p w14:paraId="671F2002">
      <w:pPr>
        <w:ind w:firstLine="420" w:firstLineChars="200"/>
        <w:rPr>
          <w:rFonts w:hint="default" w:ascii="Times New Roman" w:hAnsi="Times New Roman" w:eastAsia="宋体" w:cs="Times New Roman"/>
        </w:rPr>
      </w:pPr>
      <w:r>
        <w:rPr>
          <w:rFonts w:hint="default" w:ascii="Times New Roman" w:hAnsi="Times New Roman" w:eastAsia="宋体" w:cs="Times New Roman"/>
        </w:rPr>
        <w:t>[2] 董国菊，刘永成. 基于中西医病证结合的射血分数保留的心力衰竭气虚、血瘀、水饮证候诊断专家共识. 中华中医药学刊,2023,41(07):255-258.</w:t>
      </w:r>
    </w:p>
    <w:p w14:paraId="1429666B">
      <w:pPr>
        <w:ind w:firstLine="420" w:firstLineChars="200"/>
        <w:rPr>
          <w:rFonts w:hint="default" w:ascii="Times New Roman" w:hAnsi="Times New Roman" w:eastAsia="宋体" w:cs="Times New Roman"/>
        </w:rPr>
      </w:pPr>
      <w:r>
        <w:rPr>
          <w:rFonts w:hint="default" w:ascii="Times New Roman" w:hAnsi="Times New Roman" w:eastAsia="宋体" w:cs="Times New Roman"/>
        </w:rPr>
        <w:t>[3] 董国菊，刘永成. 基于中西医病证结合的射血分数保留的心力衰竭阳虚、阴虚、痰浊证候诊断专家共识. 中华中医药学刊,2024,42(01):255-258.1867.</w:t>
      </w:r>
    </w:p>
    <w:p w14:paraId="74861B7C">
      <w:pPr>
        <w:ind w:firstLine="420" w:firstLineChars="200"/>
        <w:rPr>
          <w:rFonts w:hint="default" w:ascii="Times New Roman" w:hAnsi="Times New Roman" w:eastAsia="宋体" w:cs="Times New Roman"/>
        </w:rPr>
      </w:pPr>
      <w:r>
        <w:rPr>
          <w:rFonts w:hint="default" w:ascii="Times New Roman" w:hAnsi="Times New Roman" w:eastAsia="宋体" w:cs="Times New Roman"/>
        </w:rPr>
        <w:t>[4]刘永成,刘思雨,梁小雨,等.射血分数保留型心力衰竭随机对照试验的超声心动图结局指标研究[J/OL].中国全科医学,1-8[2025-04-15].http://kns.cnki.net/kcms/detail/13.1222.R.20250415.1257.002.html.</w:t>
      </w:r>
    </w:p>
    <w:p w14:paraId="7175337E">
      <w:pPr>
        <w:ind w:firstLine="420" w:firstLineChars="200"/>
        <w:rPr>
          <w:rFonts w:hint="default" w:ascii="Times New Roman" w:hAnsi="Times New Roman" w:eastAsia="宋体" w:cs="Times New Roman"/>
        </w:rPr>
      </w:pPr>
      <w:r>
        <w:rPr>
          <w:rFonts w:hint="default" w:ascii="Times New Roman" w:hAnsi="Times New Roman" w:eastAsia="宋体" w:cs="Times New Roman"/>
        </w:rPr>
        <w:t>[5]刘永成,石玉姣,刘思雨,等.射血分数保留的心力衰竭疗效评价临床试验核心指标集的研制[J].世界科学技术-中医药现代化,2025,27(05):1335-1342.</w:t>
      </w:r>
    </w:p>
    <w:p w14:paraId="1D667A40">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[6]Heidenreich PA, Bozkurt B, Aguilar D, et al. 2022 AHA/ACC/HFSA Guideline for the Management of Heart Failure: A Report of the American College of Cardiology/American Heart Association Joint Committee on Clinical Practice Guidelines[J]. Circulation,2022,145(18):e895-e1032. </w:t>
      </w:r>
    </w:p>
    <w:p w14:paraId="77CE50FA">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[7]中华医学会超声医学分会超声心动图学组，中国医师协会心血管分会超声心动图专业委员会. 超声心动图评估心脏收缩和舒张功能临床应用指南. 中华超声影像学杂志，2020，29(06):461-477. </w:t>
      </w:r>
    </w:p>
    <w:p w14:paraId="7A3E29CE">
      <w:pPr>
        <w:ind w:firstLine="420" w:firstLineChars="200"/>
        <w:rPr>
          <w:rFonts w:hint="default" w:ascii="Times New Roman" w:hAnsi="Times New Roman" w:eastAsia="宋体" w:cs="Times New Roman"/>
        </w:rPr>
      </w:pPr>
      <w:r>
        <w:rPr>
          <w:rFonts w:hint="default" w:ascii="Times New Roman" w:hAnsi="Times New Roman" w:eastAsia="宋体" w:cs="Times New Roman"/>
        </w:rPr>
        <w:t>[8]周京敏,王华,黎励文.射血分数保留的心力衰竭诊断与治疗中国专家共识2023[J].中国循环杂志,2023,38(04):375-393.</w:t>
      </w:r>
    </w:p>
    <w:p w14:paraId="3A5545D5">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[9]ATS Committee on Proficiency Standards for Clinical Pulmonary Function Laboratories. ATS statement: guidelines for the six-minute walk test[J]. Am J Respir Crit Care Med, 2002,166(1):111-117. </w:t>
      </w:r>
    </w:p>
    <w:p w14:paraId="2F896656">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[10]中华医学会心血管病学分会，中国康复医学会心肺预防与康复专业委员会，中华心血管病杂志编辑委员会. 六分钟步行试验临床规范应用中国专家共识. 中华心血管病杂志，2022，50(05):432-442. </w:t>
      </w:r>
    </w:p>
    <w:p w14:paraId="77537A53">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[11]中华医学会心血管病学分会心力衰竭学组，中国医师协会心力衰竭专业委员会中华心血管病杂志编辑委员会. 中国心力衰竭诊断和治疗指南2018. 中华心血管病杂志，2018，46(10):760-789. </w:t>
      </w:r>
    </w:p>
    <w:p w14:paraId="0523C60A">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[12]中国医师协会检验医师分会心血管专家委员会. B型利钠肽及N末端B型利钠肽前体实验室检测与临床应用中国专家共识. 中华医学杂志，2022，102(35):2738-2754. </w:t>
      </w:r>
    </w:p>
    <w:p w14:paraId="2FFE849C">
      <w:pPr>
        <w:ind w:firstLine="420" w:firstLineChars="200"/>
        <w:rPr>
          <w:rFonts w:hint="default" w:ascii="Times New Roman" w:hAnsi="Times New Roman" w:eastAsia="宋体" w:cs="Times New Roman"/>
        </w:rPr>
      </w:pPr>
      <w:r>
        <w:rPr>
          <w:rFonts w:hint="default" w:ascii="Times New Roman" w:hAnsi="Times New Roman" w:eastAsia="宋体" w:cs="Times New Roman"/>
        </w:rPr>
        <w:t>[13]Januzzi JL, Troughton R. Are serial BNP measurements useful in heart failure management? Serial natriuretic peptide measurements are useful in heart failure management[J]. Circulation, 2013, 127(4): 500-507.</w:t>
      </w:r>
    </w:p>
    <w:p w14:paraId="4112C4FB">
      <w:pPr>
        <w:ind w:firstLine="420" w:firstLineChars="200"/>
        <w:rPr>
          <w:rFonts w:hint="default" w:ascii="Times New Roman" w:hAnsi="Times New Roman" w:eastAsia="宋体" w:cs="Times New Roman"/>
        </w:rPr>
      </w:pPr>
      <w:r>
        <w:rPr>
          <w:rFonts w:hint="default" w:ascii="Times New Roman" w:hAnsi="Times New Roman" w:eastAsia="宋体" w:cs="Times New Roman"/>
        </w:rPr>
        <w:t xml:space="preserve">[14]Januzzi JL Jr. The role of natriuretic peptide testing in guiding chronic heart failure management: review of available data and recommendations for use[J]. Arch Cardiovasc Dis, 2012 ,105(1):40-50. </w:t>
      </w:r>
    </w:p>
    <w:p w14:paraId="09D4F1EB">
      <w:pPr>
        <w:ind w:firstLine="420" w:firstLineChars="200"/>
        <w:rPr>
          <w:rFonts w:hint="default" w:ascii="Times New Roman" w:hAnsi="Times New Roman" w:eastAsia="宋体" w:cs="Times New Roman"/>
        </w:rPr>
      </w:pPr>
      <w:r>
        <w:rPr>
          <w:rFonts w:hint="default" w:ascii="Times New Roman" w:hAnsi="Times New Roman" w:eastAsia="宋体" w:cs="Times New Roman"/>
        </w:rPr>
        <w:t>[15]刘永铭,杨京港,薛丽丽,等.射血分数保留的心力衰竭患者心脏结构及功能的动态演变及其影响因素分析[J].中国循环杂志,2023,38(02):182-188.</w:t>
      </w:r>
    </w:p>
    <w:p w14:paraId="0C6C485A">
      <w:pPr>
        <w:ind w:firstLine="420" w:firstLineChars="200"/>
        <w:rPr>
          <w:rFonts w:hint="default" w:ascii="Times New Roman" w:hAnsi="Times New Roman" w:eastAsia="宋体" w:cs="Times New Roman"/>
        </w:rPr>
      </w:pPr>
      <w:r>
        <w:rPr>
          <w:rFonts w:hint="default" w:ascii="Times New Roman" w:hAnsi="Times New Roman" w:eastAsia="宋体" w:cs="Times New Roman"/>
        </w:rPr>
        <w:t>[16]靳怀宗.甲状腺素联合厄贝沙坦氢氯噻嗪对老年重症心力衰竭患者心功能的影响[J].现代诊断与治疗,2024,35(21):3216-3218.</w:t>
      </w:r>
    </w:p>
    <w:p w14:paraId="36DC528F">
      <w:pPr>
        <w:ind w:firstLine="420" w:firstLineChars="200"/>
        <w:rPr>
          <w:rFonts w:hint="default" w:ascii="Times New Roman" w:hAnsi="Times New Roman" w:eastAsia="宋体" w:cs="Times New Roman"/>
        </w:rPr>
      </w:pPr>
      <w:r>
        <w:rPr>
          <w:rFonts w:hint="default" w:ascii="Times New Roman" w:hAnsi="Times New Roman" w:eastAsia="宋体" w:cs="Times New Roman"/>
        </w:rPr>
        <w:t>[17]王瑛,陈玉丽,马临庆,等.里尔统在早期舒张功能障碍治疗中的临床观察[C]//中国康复研究中心(China Rehabilitation Research Center),挪威健康与康复学会(Faglig Forum,Norway).创新·融合·共享——第五届北京国际康复论坛论文汇编（下册）.北京,2010:86-92.</w:t>
      </w:r>
    </w:p>
    <w:p w14:paraId="47CC6D02">
      <w:pPr>
        <w:ind w:firstLine="420" w:firstLineChars="200"/>
        <w:rPr>
          <w:rFonts w:hint="default" w:ascii="Times New Roman" w:hAnsi="Times New Roman" w:eastAsia="宋体" w:cs="Times New Roman"/>
        </w:rPr>
      </w:pPr>
      <w:r>
        <w:rPr>
          <w:rFonts w:hint="default" w:ascii="Times New Roman" w:hAnsi="Times New Roman" w:eastAsia="宋体" w:cs="Times New Roman"/>
        </w:rPr>
        <w:t>[18]王永生,周博通,刘立.沙库巴曲缬沙坦联合西格列汀治疗慢性心力衰竭患者的临床疗效[J].医学临床研究,2025,42(07):1275-1277.</w:t>
      </w:r>
    </w:p>
    <w:p w14:paraId="43E25BBD">
      <w:pPr>
        <w:spacing w:line="360" w:lineRule="auto"/>
        <w:rPr>
          <w:rFonts w:hint="default" w:ascii="Times New Roman" w:hAnsi="Times New Roman" w:eastAsia="宋体" w:cs="Times New Roman"/>
          <w:bCs/>
          <w:sz w:val="24"/>
          <w:szCs w:val="24"/>
        </w:rPr>
      </w:pPr>
    </w:p>
    <w:sectPr>
      <w:footerReference r:id="rId14" w:type="default"/>
      <w:headerReference r:id="rId13" w:type="even"/>
      <w:footerReference r:id="rId15"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5EF8">
    <w:pPr>
      <w:pStyle w:val="6"/>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A2DD99D">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4C2095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A2DD99D">
                        <w:pPr>
                          <w:pStyle w:val="6"/>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54C2095E">
                    <w:pPr>
                      <w:rPr>
                        <w:rFonts w:hint="eastAsia"/>
                      </w:rPr>
                    </w:pPr>
                  </w:p>
                </w:txbxContent>
              </v:textbox>
            </v:shape>
          </w:pict>
        </mc:Fallback>
      </mc:AlternateContent>
    </w:r>
  </w:p>
  <w:p w14:paraId="685C9F0B">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2121C">
    <w:pPr>
      <w:pStyle w:val="6"/>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F39ED">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AF39ED">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99321">
    <w:pPr>
      <w:pStyle w:val="6"/>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9ACC0">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769ACC0">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42A8">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66DD8">
                          <w:pPr>
                            <w:pStyle w:val="6"/>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4166DD8">
                    <w:pPr>
                      <w:pStyle w:val="6"/>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2B9C6">
    <w:pPr>
      <w:pStyle w:val="6"/>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4A96A">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814A96A">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4DDF5CB">
    <w:pPr>
      <w:pStyle w:val="6"/>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A31AF">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D3E32">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01D3E32">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976F">
    <w:pPr>
      <w:pStyle w:val="6"/>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3AB6E">
    <w:pPr>
      <w:pStyle w:val="6"/>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9E7AE">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539E7AE">
                    <w:pPr>
                      <w:pStyle w:val="6"/>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0DAE97C">
    <w:pPr>
      <w:pStyle w:val="6"/>
      <w:rPr>
        <w:rFonts w:hint="eastAs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E76C">
    <w:pPr>
      <w:pStyle w:val="6"/>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11352255" name="文本框 14113522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8F0E3">
                          <w:pPr>
                            <w:pStyle w:val="6"/>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c0wdzUCAABnBAAADgAAAAAAAAABACAAAAAfAQAAZHJzL2Uyb0RvYy54bWxQ&#10;SwUGAAAAAAYABgBZAQAAxgUAAAAA&#10;">
              <v:fill on="f" focussize="0,0"/>
              <v:stroke on="f" weight="0.5pt"/>
              <v:imagedata o:title=""/>
              <o:lock v:ext="edit" aspectratio="f"/>
              <v:textbox inset="0mm,0mm,0mm,0mm" style="mso-fit-shape-to-text:t;">
                <w:txbxContent>
                  <w:p w14:paraId="0368F0E3">
                    <w:pPr>
                      <w:pStyle w:val="6"/>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282CD">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722C8">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401F3129">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60416">
    <w:pPr>
      <w:pStyle w:val="7"/>
      <w:pBdr>
        <w:bottom w:val="none" w:color="auto" w:sz="0" w:space="1"/>
      </w:pBdr>
      <w:jc w:val="right"/>
      <w:rPr>
        <w:rFonts w:ascii="Times New Roman" w:hAnsi="Times New Roman" w:eastAsia="宋体" w:cs="Times New Roman"/>
      </w:rPr>
    </w:pPr>
    <w:bookmarkStart w:id="11" w:name="_Hlk208992603"/>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bookmarkEnd w:id="11"/>
  <w:p w14:paraId="1EF37797">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32574">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47178A79">
    <w:pPr>
      <w:pStyle w:val="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E181"/>
    <w:multiLevelType w:val="singleLevel"/>
    <w:tmpl w:val="87E9E181"/>
    <w:lvl w:ilvl="0" w:tentative="0">
      <w:start w:val="1"/>
      <w:numFmt w:val="decimal"/>
      <w:suff w:val="space"/>
      <w:lvlText w:val="%1）"/>
      <w:lvlJc w:val="left"/>
    </w:lvl>
  </w:abstractNum>
  <w:abstractNum w:abstractNumId="1">
    <w:nsid w:val="9FF28C89"/>
    <w:multiLevelType w:val="singleLevel"/>
    <w:tmpl w:val="9FF28C89"/>
    <w:lvl w:ilvl="0" w:tentative="0">
      <w:start w:val="1"/>
      <w:numFmt w:val="lowerLetter"/>
      <w:suff w:val="space"/>
      <w:lvlText w:val="%1）"/>
      <w:lvlJc w:val="left"/>
    </w:lvl>
  </w:abstractNum>
  <w:abstractNum w:abstractNumId="2">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3">
    <w:nsid w:val="313A83CA"/>
    <w:multiLevelType w:val="singleLevel"/>
    <w:tmpl w:val="313A83CA"/>
    <w:lvl w:ilvl="0" w:tentative="0">
      <w:start w:val="1"/>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420E"/>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43F6"/>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3EF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0BE"/>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6ACC"/>
    <w:rsid w:val="00347CB2"/>
    <w:rsid w:val="00352252"/>
    <w:rsid w:val="003523E1"/>
    <w:rsid w:val="0035267F"/>
    <w:rsid w:val="003527C8"/>
    <w:rsid w:val="00353FA2"/>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5CE4"/>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16A3"/>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A9C"/>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28E7"/>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2940"/>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2B6"/>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1DDE"/>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37B19"/>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33C"/>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E6DBC"/>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55077"/>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E40C54"/>
    <w:rsid w:val="06A42377"/>
    <w:rsid w:val="07587E1D"/>
    <w:rsid w:val="093A0DE5"/>
    <w:rsid w:val="0AC90C5D"/>
    <w:rsid w:val="0AF9CB7F"/>
    <w:rsid w:val="0F877EC3"/>
    <w:rsid w:val="117D361B"/>
    <w:rsid w:val="13836007"/>
    <w:rsid w:val="13A14AC4"/>
    <w:rsid w:val="150C03F7"/>
    <w:rsid w:val="17E36188"/>
    <w:rsid w:val="1C3F3822"/>
    <w:rsid w:val="1CE61304"/>
    <w:rsid w:val="1D5E7B70"/>
    <w:rsid w:val="1EEB7D15"/>
    <w:rsid w:val="206E0FC8"/>
    <w:rsid w:val="23B02BC5"/>
    <w:rsid w:val="25FE5651"/>
    <w:rsid w:val="26472A30"/>
    <w:rsid w:val="274779FD"/>
    <w:rsid w:val="2ACB3B4E"/>
    <w:rsid w:val="2D5D6C5F"/>
    <w:rsid w:val="2E47409D"/>
    <w:rsid w:val="32250A11"/>
    <w:rsid w:val="34803EC8"/>
    <w:rsid w:val="34B9379B"/>
    <w:rsid w:val="35E772E4"/>
    <w:rsid w:val="38133523"/>
    <w:rsid w:val="3EAE7781"/>
    <w:rsid w:val="3F779754"/>
    <w:rsid w:val="3FA78228"/>
    <w:rsid w:val="413A3D72"/>
    <w:rsid w:val="43B12F69"/>
    <w:rsid w:val="4687467B"/>
    <w:rsid w:val="49A2495C"/>
    <w:rsid w:val="4A603B63"/>
    <w:rsid w:val="4BC13157"/>
    <w:rsid w:val="4C303B79"/>
    <w:rsid w:val="5439223A"/>
    <w:rsid w:val="553F0BCB"/>
    <w:rsid w:val="5C696B87"/>
    <w:rsid w:val="5D002955"/>
    <w:rsid w:val="5DAB167E"/>
    <w:rsid w:val="60732830"/>
    <w:rsid w:val="61452CD9"/>
    <w:rsid w:val="639A0CA2"/>
    <w:rsid w:val="63DE1DF7"/>
    <w:rsid w:val="650F518F"/>
    <w:rsid w:val="678D25CA"/>
    <w:rsid w:val="68964C95"/>
    <w:rsid w:val="6C2142DB"/>
    <w:rsid w:val="6D6C01D4"/>
    <w:rsid w:val="6EBBEF1C"/>
    <w:rsid w:val="70120D53"/>
    <w:rsid w:val="701E08C7"/>
    <w:rsid w:val="70932323"/>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character" w:default="1" w:styleId="15">
    <w:name w:val="Default Paragraph Font"/>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8"/>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30"/>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HTML Preformatted"/>
    <w:basedOn w:val="1"/>
    <w:link w:val="3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3"/>
    <w:next w:val="3"/>
    <w:link w:val="29"/>
    <w:unhideWhenUsed/>
    <w:qFormat/>
    <w:uiPriority w:val="99"/>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unhideWhenUsed/>
    <w:qFormat/>
    <w:uiPriority w:val="99"/>
    <w:rPr>
      <w:sz w:val="21"/>
      <w:szCs w:val="21"/>
    </w:rPr>
  </w:style>
  <w:style w:type="paragraph" w:customStyle="1" w:styleId="19">
    <w:name w:val="列出段落1"/>
    <w:basedOn w:val="1"/>
    <w:link w:val="23"/>
    <w:qFormat/>
    <w:uiPriority w:val="34"/>
    <w:pPr>
      <w:ind w:firstLine="420" w:firstLineChars="200"/>
    </w:pPr>
  </w:style>
  <w:style w:type="character" w:customStyle="1" w:styleId="20">
    <w:name w:val="页眉 字符"/>
    <w:basedOn w:val="15"/>
    <w:link w:val="7"/>
    <w:qFormat/>
    <w:uiPriority w:val="99"/>
    <w:rPr>
      <w:sz w:val="18"/>
      <w:szCs w:val="18"/>
    </w:rPr>
  </w:style>
  <w:style w:type="character" w:customStyle="1" w:styleId="21">
    <w:name w:val="页脚 字符"/>
    <w:basedOn w:val="15"/>
    <w:link w:val="6"/>
    <w:qFormat/>
    <w:uiPriority w:val="99"/>
    <w:rPr>
      <w:sz w:val="18"/>
      <w:szCs w:val="18"/>
    </w:rPr>
  </w:style>
  <w:style w:type="paragraph" w:customStyle="1" w:styleId="22">
    <w:name w:val="EndNote Bibliography Title"/>
    <w:basedOn w:val="1"/>
    <w:link w:val="24"/>
    <w:qFormat/>
    <w:uiPriority w:val="0"/>
    <w:pPr>
      <w:jc w:val="center"/>
    </w:pPr>
    <w:rPr>
      <w:rFonts w:ascii="等线" w:hAnsi="等线" w:eastAsia="等线"/>
      <w:sz w:val="20"/>
    </w:rPr>
  </w:style>
  <w:style w:type="character" w:customStyle="1" w:styleId="23">
    <w:name w:val="列出段落 Char"/>
    <w:basedOn w:val="15"/>
    <w:link w:val="19"/>
    <w:qFormat/>
    <w:uiPriority w:val="34"/>
  </w:style>
  <w:style w:type="character" w:customStyle="1" w:styleId="24">
    <w:name w:val="EndNote Bibliography Title 字符"/>
    <w:basedOn w:val="23"/>
    <w:link w:val="22"/>
    <w:qFormat/>
    <w:uiPriority w:val="0"/>
    <w:rPr>
      <w:rFonts w:ascii="等线" w:hAnsi="等线" w:eastAsia="等线"/>
      <w:sz w:val="20"/>
    </w:rPr>
  </w:style>
  <w:style w:type="paragraph" w:customStyle="1" w:styleId="25">
    <w:name w:val="EndNote Bibliography"/>
    <w:basedOn w:val="1"/>
    <w:link w:val="26"/>
    <w:qFormat/>
    <w:uiPriority w:val="0"/>
    <w:rPr>
      <w:rFonts w:ascii="等线" w:hAnsi="等线" w:eastAsia="等线"/>
      <w:sz w:val="20"/>
    </w:rPr>
  </w:style>
  <w:style w:type="character" w:customStyle="1" w:styleId="26">
    <w:name w:val="EndNote Bibliography 字符"/>
    <w:basedOn w:val="23"/>
    <w:link w:val="25"/>
    <w:qFormat/>
    <w:uiPriority w:val="0"/>
    <w:rPr>
      <w:rFonts w:ascii="等线" w:hAnsi="等线" w:eastAsia="等线"/>
      <w:sz w:val="20"/>
    </w:rPr>
  </w:style>
  <w:style w:type="character" w:customStyle="1" w:styleId="27">
    <w:name w:val="未处理的提及1"/>
    <w:basedOn w:val="15"/>
    <w:unhideWhenUsed/>
    <w:qFormat/>
    <w:uiPriority w:val="99"/>
    <w:rPr>
      <w:color w:val="605E5C"/>
      <w:shd w:val="clear" w:color="auto" w:fill="E1DFDD"/>
    </w:rPr>
  </w:style>
  <w:style w:type="character" w:customStyle="1" w:styleId="28">
    <w:name w:val="批注文字 字符"/>
    <w:basedOn w:val="15"/>
    <w:link w:val="3"/>
    <w:semiHidden/>
    <w:qFormat/>
    <w:uiPriority w:val="99"/>
  </w:style>
  <w:style w:type="character" w:customStyle="1" w:styleId="29">
    <w:name w:val="批注主题 字符"/>
    <w:basedOn w:val="28"/>
    <w:link w:val="12"/>
    <w:semiHidden/>
    <w:qFormat/>
    <w:uiPriority w:val="99"/>
    <w:rPr>
      <w:b/>
      <w:bCs/>
    </w:rPr>
  </w:style>
  <w:style w:type="character" w:customStyle="1" w:styleId="30">
    <w:name w:val="批注框文本 字符"/>
    <w:basedOn w:val="15"/>
    <w:link w:val="5"/>
    <w:semiHidden/>
    <w:qFormat/>
    <w:uiPriority w:val="99"/>
    <w:rPr>
      <w:sz w:val="18"/>
      <w:szCs w:val="18"/>
    </w:r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HTML 预设格式 字符"/>
    <w:basedOn w:val="15"/>
    <w:link w:val="10"/>
    <w:semiHidden/>
    <w:qFormat/>
    <w:uiPriority w:val="99"/>
    <w:rPr>
      <w:rFonts w:ascii="宋体" w:hAnsi="宋体" w:eastAsia="宋体" w:cs="宋体"/>
      <w:kern w:val="0"/>
      <w:sz w:val="24"/>
      <w:szCs w:val="24"/>
    </w:rPr>
  </w:style>
  <w:style w:type="character" w:customStyle="1" w:styleId="33">
    <w:name w:val="y2iqfc"/>
    <w:basedOn w:val="15"/>
    <w:qFormat/>
    <w:uiPriority w:val="0"/>
  </w:style>
  <w:style w:type="character" w:customStyle="1" w:styleId="34">
    <w:name w:val="inner-text-paragraph-org"/>
    <w:basedOn w:val="15"/>
    <w:qFormat/>
    <w:uiPriority w:val="0"/>
  </w:style>
  <w:style w:type="character" w:customStyle="1" w:styleId="35">
    <w:name w:val="未处理的提及2"/>
    <w:basedOn w:val="15"/>
    <w:unhideWhenUsed/>
    <w:qFormat/>
    <w:uiPriority w:val="99"/>
    <w:rPr>
      <w:color w:val="605E5C"/>
      <w:shd w:val="clear" w:color="auto" w:fill="E1DFDD"/>
    </w:rPr>
  </w:style>
  <w:style w:type="character" w:customStyle="1" w:styleId="36">
    <w:name w:val="列表段落 字符1"/>
    <w:basedOn w:val="15"/>
    <w:qFormat/>
    <w:uiPriority w:val="34"/>
  </w:style>
  <w:style w:type="paragraph" w:customStyle="1" w:styleId="3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8">
    <w:name w:val="Heading #2|1"/>
    <w:basedOn w:val="1"/>
    <w:qFormat/>
    <w:uiPriority w:val="0"/>
    <w:pPr>
      <w:keepNext/>
      <w:keepLines/>
      <w:framePr w:w="10321" w:h="7131" w:hRule="exact" w:wrap="around" w:vAnchor="page" w:hAnchor="page" w:x="981" w:y="5051" w:anchorLock="1"/>
      <w:spacing w:after="400"/>
      <w:jc w:val="center"/>
      <w:outlineLvl w:val="1"/>
    </w:pPr>
    <w:rPr>
      <w:rFonts w:ascii="黑体" w:hAnsi="黑体" w:eastAsia="黑体" w:cs="宋体"/>
      <w:kern w:val="0"/>
      <w:sz w:val="52"/>
      <w:szCs w:val="52"/>
      <w:lang w:val="zh-TW" w:eastAsia="zh-TW" w:bidi="zh-TW"/>
    </w:rPr>
  </w:style>
  <w:style w:type="paragraph" w:customStyle="1" w:styleId="3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3">
    <w:name w:val="发布部门"/>
    <w:next w:val="4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5">
    <w:name w:val="其他发布日期"/>
    <w:basedOn w:val="46"/>
    <w:qFormat/>
    <w:uiPriority w:val="0"/>
    <w:pPr>
      <w:framePr w:wrap="around" w:vAnchor="page" w:hAnchor="text" w:x="1419"/>
    </w:pPr>
  </w:style>
  <w:style w:type="paragraph" w:customStyle="1" w:styleId="4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7">
    <w:name w:val="样式1"/>
    <w:basedOn w:val="1"/>
    <w:next w:val="8"/>
    <w:qFormat/>
    <w:uiPriority w:val="0"/>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49">
    <w:name w:val="List Paragraph"/>
    <w:basedOn w:val="1"/>
    <w:unhideWhenUsed/>
    <w:uiPriority w:val="99"/>
    <w:pPr>
      <w:ind w:firstLine="420" w:firstLineChars="200"/>
    </w:pPr>
  </w:style>
  <w:style w:type="table" w:customStyle="1" w:styleId="50">
    <w:name w:val="三线表1"/>
    <w:basedOn w:val="13"/>
    <w:qFormat/>
    <w:uiPriority w:val="99"/>
    <w:rPr>
      <w:sz w:val="21"/>
      <w:szCs w:val="22"/>
    </w:rPr>
    <w:tblPr>
      <w:jc w:val="center"/>
      <w:tblBorders>
        <w:top w:val="single" w:color="auto" w:sz="12" w:space="0"/>
        <w:bottom w:val="single" w:color="auto" w:sz="12" w:space="0"/>
      </w:tblBorders>
    </w:tblPr>
    <w:trPr>
      <w:jc w:val="center"/>
    </w:trPr>
    <w:tcPr>
      <w:vAlign w:val="center"/>
    </w:tcPr>
    <w:tblStylePr w:type="firstRow">
      <w:rPr>
        <w:b/>
        <w:i w:val="0"/>
      </w:rPr>
      <w:tcPr>
        <w:tcBorders>
          <w:top w:val="single" w:color="auto" w:sz="12" w:space="0"/>
          <w:left w:val="nil"/>
          <w:bottom w:val="single" w:color="auto" w:sz="4" w:space="0"/>
          <w:right w:val="nil"/>
          <w:insideH w:val="nil"/>
          <w:insideV w:val="nil"/>
          <w:tl2br w:val="nil"/>
          <w:tr2bl w:val="nil"/>
        </w:tcBorders>
      </w:tcPr>
    </w:tblStylePr>
    <w:tblStylePr w:type="firstCol">
      <w:rPr>
        <w:b/>
        <w:i w:val="0"/>
      </w:rPr>
    </w:tblStylePr>
  </w:style>
  <w:style w:type="character" w:customStyle="1" w:styleId="51">
    <w:name w:val="标题 1 字符"/>
    <w:basedOn w:val="15"/>
    <w:link w:val="2"/>
    <w:uiPriority w:val="9"/>
    <w:rPr>
      <w:rFonts w:asciiTheme="minorHAnsi" w:hAnsiTheme="minorHAnsi" w:eastAsiaTheme="minorEastAsia" w:cstheme="minorBidi"/>
      <w:b/>
      <w:bCs/>
      <w:kern w:val="44"/>
      <w:sz w:val="44"/>
      <w:szCs w:val="44"/>
    </w:rPr>
  </w:style>
  <w:style w:type="paragraph" w:customStyle="1" w:styleId="5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4BFED-F262-43E1-9BAE-26CB8ECAF14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67</Words>
  <Characters>245</Characters>
  <Lines>604</Lines>
  <Paragraphs>430</Paragraphs>
  <TotalTime>6</TotalTime>
  <ScaleCrop>false</ScaleCrop>
  <LinksUpToDate>false</LinksUpToDate>
  <CharactersWithSpaces>308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2025-09-17T02:40:00Z</dcterms:created>
  <dc:creator>Family</dc:creator>
  <cp:lastModifiedBy>J</cp:lastModifiedBy>
  <cp:lastPrinted>2021-10-22T19:40:00Z</cp:lastPrinted>
  <dcterms:modified xsi:type="dcterms:W3CDTF">2025-11-12T07:57:54Z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4FD103AE745049B5A87703938E4482AE_13</vt:lpwstr>
  </property>
  <property fmtid="{D5CDD505-2E9C-101B-9397-08002B2CF9AE}" pid="4" name="KSOTemplateDocerSaveRecord">
    <vt:lpwstr>eyJoZGlkIjoiMTFmMDJjZGU0YzYzNjgxMjg1NzBlNDNlZWZkY2IyNjMiLCJ1c2VySWQiOiIxMzc2MzQzNjk3In0=</vt:lpwstr>
  </property>
</Properties>
</file>