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A4F8">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《海南消费领域区域公共品牌特色 服务 旅游景点服务》</w:t>
      </w:r>
    </w:p>
    <w:p w14:paraId="3F2DEC06">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5"/>
        <w:spacing w:before="12"/>
        <w:ind w:left="0" w:firstLine="1240"/>
        <w:rPr>
          <w:sz w:val="62"/>
        </w:rPr>
      </w:pPr>
    </w:p>
    <w:p w14:paraId="0D80B864">
      <w:pPr>
        <w:pStyle w:val="2"/>
        <w:rPr>
          <w:rFonts w:ascii="Times New Roman" w:hAnsi="Times New Roman"/>
        </w:rPr>
      </w:pPr>
      <w:r>
        <w:rPr>
          <w:rFonts w:ascii="Times New Roman" w:hAnsi="Times New Roman"/>
        </w:rPr>
        <w:t>一、项目简况</w:t>
      </w:r>
    </w:p>
    <w:p w14:paraId="1E2E948B">
      <w:pPr>
        <w:pStyle w:val="2"/>
        <w:rPr>
          <w:rFonts w:ascii="Times New Roman" w:hAnsi="Times New Roman"/>
        </w:rPr>
      </w:pPr>
      <w:r>
        <w:rPr>
          <w:rFonts w:ascii="Times New Roman" w:hAnsi="Times New Roman"/>
        </w:rPr>
        <w:t>（一）标准名称：《</w:t>
      </w:r>
      <w:r>
        <w:rPr>
          <w:rFonts w:hint="eastAsia" w:ascii="Times New Roman" w:hAnsi="Times New Roman"/>
          <w:lang w:eastAsia="zh-CN"/>
        </w:rPr>
        <w:t>海南消费领域区域公共品牌特色服务 旅游景点服务</w:t>
      </w:r>
      <w:r>
        <w:rPr>
          <w:rFonts w:hint="eastAsia" w:ascii="Times New Roman" w:hAnsi="Times New Roman"/>
        </w:rPr>
        <w:t xml:space="preserve"> </w:t>
      </w:r>
      <w:r>
        <w:rPr>
          <w:rFonts w:ascii="Times New Roman" w:hAnsi="Times New Roman"/>
        </w:rPr>
        <w:t>》。</w:t>
      </w:r>
    </w:p>
    <w:p w14:paraId="7C056585">
      <w:pPr>
        <w:pStyle w:val="2"/>
        <w:rPr>
          <w:rFonts w:ascii="Times New Roman" w:hAnsi="Times New Roman"/>
        </w:rPr>
      </w:pPr>
      <w:r>
        <w:rPr>
          <w:rFonts w:ascii="Times New Roman" w:hAnsi="Times New Roman"/>
        </w:rPr>
        <w:t>（二）任务来源（项目计划号）：</w:t>
      </w:r>
      <w:r>
        <w:rPr>
          <w:rFonts w:hint="eastAsia" w:ascii="Times New Roman" w:hAnsi="Times New Roman"/>
        </w:rPr>
        <w:t>HNQA-2025-T15</w:t>
      </w:r>
    </w:p>
    <w:p w14:paraId="76149507">
      <w:pPr>
        <w:pStyle w:val="2"/>
        <w:rPr>
          <w:rFonts w:ascii="Times New Roman" w:hAnsi="Times New Roman"/>
        </w:rPr>
      </w:pPr>
      <w:r>
        <w:rPr>
          <w:rFonts w:ascii="Times New Roman" w:hAnsi="Times New Roman"/>
        </w:rPr>
        <w:t>（三）起草单位：</w:t>
      </w:r>
      <w:r>
        <w:rPr>
          <w:rFonts w:hint="eastAsia" w:ascii="Times New Roman" w:hAnsi="Times New Roman"/>
          <w:lang w:val="en-US" w:eastAsia="zh-CN"/>
        </w:rPr>
        <w:t>方圆标志认证集团有限公司</w:t>
      </w:r>
    </w:p>
    <w:p w14:paraId="0EA6152C">
      <w:pPr>
        <w:pStyle w:val="2"/>
        <w:rPr>
          <w:rFonts w:ascii="Times New Roman" w:hAnsi="Times New Roman"/>
        </w:rPr>
      </w:pPr>
      <w:r>
        <w:rPr>
          <w:rFonts w:ascii="Times New Roman" w:hAnsi="Times New Roman"/>
        </w:rPr>
        <w:t>（四）单位地址：</w:t>
      </w:r>
      <w:r>
        <w:rPr>
          <w:rFonts w:hint="eastAsia" w:ascii="Times New Roman" w:hAnsi="Times New Roman"/>
        </w:rPr>
        <w:t xml:space="preserve">北京市海淀区增光路33号 </w:t>
      </w:r>
    </w:p>
    <w:p w14:paraId="06909A9A">
      <w:pPr>
        <w:pStyle w:val="2"/>
        <w:rPr>
          <w:rFonts w:ascii="Times New Roman" w:hAnsi="Times New Roman"/>
        </w:rPr>
      </w:pPr>
      <w:r>
        <w:rPr>
          <w:rFonts w:ascii="Times New Roman" w:hAnsi="Times New Roman"/>
        </w:rPr>
        <w:t>（五）参与起草单位：</w:t>
      </w:r>
    </w:p>
    <w:p w14:paraId="1860AE93">
      <w:pPr>
        <w:pStyle w:val="2"/>
        <w:rPr>
          <w:rFonts w:ascii="Times New Roman" w:hAnsi="Times New Roman"/>
        </w:rPr>
      </w:pPr>
      <w:r>
        <w:rPr>
          <w:rFonts w:ascii="Times New Roman" w:hAnsi="Times New Roman"/>
        </w:rPr>
        <w:t>（六）标准起草人：</w:t>
      </w:r>
    </w:p>
    <w:p w14:paraId="5015FFB7">
      <w:pPr>
        <w:ind w:firstLine="0" w:firstLineChars="0"/>
        <w:jc w:val="center"/>
        <w:rPr>
          <w:szCs w:val="28"/>
        </w:rPr>
      </w:pPr>
      <w:r>
        <w:rPr>
          <w:rFonts w:hint="eastAsia"/>
          <w:szCs w:val="28"/>
        </w:rPr>
        <w:t>表1</w:t>
      </w:r>
      <w:r>
        <w:rPr>
          <w:szCs w:val="28"/>
        </w:rPr>
        <w:t xml:space="preserve"> </w:t>
      </w:r>
      <w:r>
        <w:rPr>
          <w:rFonts w:hint="eastAsia"/>
          <w:szCs w:val="28"/>
        </w:rPr>
        <w:t>标准起草人</w:t>
      </w:r>
    </w:p>
    <w:p w14:paraId="76FFDFCD">
      <w:pPr>
        <w:pStyle w:val="5"/>
        <w:spacing w:before="10"/>
        <w:ind w:left="0" w:firstLine="140"/>
        <w:rPr>
          <w:sz w:val="7"/>
        </w:rPr>
      </w:pPr>
    </w:p>
    <w:tbl>
      <w:tblPr>
        <w:tblStyle w:val="14"/>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1096"/>
        <w:gridCol w:w="1662"/>
        <w:gridCol w:w="874"/>
        <w:gridCol w:w="845"/>
        <w:gridCol w:w="2840"/>
        <w:gridCol w:w="1276"/>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5139B0E2">
            <w:pPr>
              <w:pStyle w:val="16"/>
              <w:spacing w:before="75"/>
              <w:ind w:firstLine="0" w:firstLineChars="0"/>
              <w:jc w:val="center"/>
              <w:rPr>
                <w:sz w:val="24"/>
              </w:rPr>
            </w:pPr>
            <w:r>
              <w:rPr>
                <w:spacing w:val="-5"/>
                <w:sz w:val="24"/>
              </w:rPr>
              <w:t>序号</w:t>
            </w:r>
          </w:p>
        </w:tc>
        <w:tc>
          <w:tcPr>
            <w:tcW w:w="1096" w:type="dxa"/>
            <w:vAlign w:val="center"/>
          </w:tcPr>
          <w:p w14:paraId="2D43C038">
            <w:pPr>
              <w:pStyle w:val="16"/>
              <w:spacing w:before="75"/>
              <w:ind w:firstLine="0" w:firstLineChars="0"/>
              <w:jc w:val="center"/>
              <w:rPr>
                <w:sz w:val="24"/>
              </w:rPr>
            </w:pPr>
            <w:r>
              <w:rPr>
                <w:spacing w:val="-5"/>
                <w:sz w:val="24"/>
              </w:rPr>
              <w:t>姓名</w:t>
            </w:r>
          </w:p>
        </w:tc>
        <w:tc>
          <w:tcPr>
            <w:tcW w:w="1662" w:type="dxa"/>
            <w:vAlign w:val="center"/>
          </w:tcPr>
          <w:p w14:paraId="1B31F053">
            <w:pPr>
              <w:pStyle w:val="16"/>
              <w:spacing w:before="75"/>
              <w:ind w:firstLine="0" w:firstLineChars="0"/>
              <w:jc w:val="center"/>
              <w:rPr>
                <w:sz w:val="24"/>
              </w:rPr>
            </w:pPr>
            <w:r>
              <w:rPr>
                <w:spacing w:val="-5"/>
                <w:sz w:val="24"/>
              </w:rPr>
              <w:t>单位</w:t>
            </w:r>
          </w:p>
        </w:tc>
        <w:tc>
          <w:tcPr>
            <w:tcW w:w="874" w:type="dxa"/>
            <w:vAlign w:val="center"/>
          </w:tcPr>
          <w:p w14:paraId="65DD5AAB">
            <w:pPr>
              <w:pStyle w:val="16"/>
              <w:spacing w:before="75"/>
              <w:ind w:firstLine="0" w:firstLineChars="0"/>
              <w:jc w:val="center"/>
              <w:rPr>
                <w:sz w:val="24"/>
              </w:rPr>
            </w:pPr>
            <w:r>
              <w:rPr>
                <w:spacing w:val="-5"/>
                <w:sz w:val="24"/>
              </w:rPr>
              <w:t>职务</w:t>
            </w:r>
          </w:p>
        </w:tc>
        <w:tc>
          <w:tcPr>
            <w:tcW w:w="845" w:type="dxa"/>
            <w:vAlign w:val="center"/>
          </w:tcPr>
          <w:p w14:paraId="77EC4D00">
            <w:pPr>
              <w:pStyle w:val="16"/>
              <w:spacing w:before="75"/>
              <w:ind w:firstLine="0" w:firstLineChars="0"/>
              <w:jc w:val="center"/>
              <w:rPr>
                <w:sz w:val="24"/>
              </w:rPr>
            </w:pPr>
            <w:r>
              <w:rPr>
                <w:spacing w:val="-5"/>
                <w:sz w:val="24"/>
              </w:rPr>
              <w:t>职称</w:t>
            </w:r>
          </w:p>
        </w:tc>
        <w:tc>
          <w:tcPr>
            <w:tcW w:w="2840" w:type="dxa"/>
            <w:vAlign w:val="center"/>
          </w:tcPr>
          <w:p w14:paraId="3F52F502">
            <w:pPr>
              <w:pStyle w:val="16"/>
              <w:spacing w:before="75"/>
              <w:ind w:firstLine="0" w:firstLineChars="0"/>
              <w:jc w:val="center"/>
              <w:rPr>
                <w:sz w:val="24"/>
              </w:rPr>
            </w:pPr>
            <w:r>
              <w:rPr>
                <w:spacing w:val="-3"/>
                <w:sz w:val="24"/>
              </w:rPr>
              <w:t>任务分工</w:t>
            </w:r>
          </w:p>
        </w:tc>
        <w:tc>
          <w:tcPr>
            <w:tcW w:w="1276" w:type="dxa"/>
            <w:vAlign w:val="center"/>
          </w:tcPr>
          <w:p w14:paraId="6C8E18E1">
            <w:pPr>
              <w:pStyle w:val="16"/>
              <w:spacing w:before="75"/>
              <w:ind w:firstLine="0" w:firstLineChars="0"/>
              <w:jc w:val="center"/>
              <w:rPr>
                <w:sz w:val="24"/>
              </w:rPr>
            </w:pPr>
            <w:r>
              <w:rPr>
                <w:spacing w:val="-3"/>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70ED984C">
            <w:pPr>
              <w:pStyle w:val="16"/>
              <w:spacing w:before="74"/>
              <w:ind w:firstLine="0" w:firstLineChars="0"/>
              <w:jc w:val="center"/>
              <w:rPr>
                <w:sz w:val="24"/>
              </w:rPr>
            </w:pPr>
            <w:r>
              <w:rPr>
                <w:sz w:val="24"/>
              </w:rPr>
              <w:t>1</w:t>
            </w:r>
          </w:p>
        </w:tc>
        <w:tc>
          <w:tcPr>
            <w:tcW w:w="1096" w:type="dxa"/>
            <w:vAlign w:val="center"/>
          </w:tcPr>
          <w:p w14:paraId="65F8A16E">
            <w:pPr>
              <w:pStyle w:val="16"/>
              <w:spacing w:before="74"/>
              <w:ind w:firstLine="0" w:firstLineChars="0"/>
              <w:jc w:val="center"/>
              <w:rPr>
                <w:sz w:val="24"/>
              </w:rPr>
            </w:pPr>
          </w:p>
        </w:tc>
        <w:tc>
          <w:tcPr>
            <w:tcW w:w="1662" w:type="dxa"/>
            <w:vAlign w:val="center"/>
          </w:tcPr>
          <w:p w14:paraId="0E55E2B0">
            <w:pPr>
              <w:pStyle w:val="16"/>
              <w:spacing w:before="3" w:line="290" w:lineRule="exact"/>
              <w:ind w:firstLine="0" w:firstLineChars="0"/>
              <w:jc w:val="center"/>
              <w:rPr>
                <w:sz w:val="24"/>
              </w:rPr>
            </w:pPr>
          </w:p>
        </w:tc>
        <w:tc>
          <w:tcPr>
            <w:tcW w:w="874" w:type="dxa"/>
            <w:vAlign w:val="center"/>
          </w:tcPr>
          <w:p w14:paraId="0FE638BB">
            <w:pPr>
              <w:pStyle w:val="16"/>
              <w:spacing w:before="74"/>
              <w:ind w:firstLine="0" w:firstLineChars="0"/>
              <w:jc w:val="center"/>
              <w:rPr>
                <w:sz w:val="24"/>
              </w:rPr>
            </w:pPr>
          </w:p>
        </w:tc>
        <w:tc>
          <w:tcPr>
            <w:tcW w:w="845" w:type="dxa"/>
            <w:vAlign w:val="center"/>
          </w:tcPr>
          <w:p w14:paraId="0E1B19A8">
            <w:pPr>
              <w:pStyle w:val="16"/>
              <w:ind w:firstLine="0" w:firstLineChars="0"/>
              <w:jc w:val="center"/>
              <w:rPr>
                <w:rFonts w:ascii="Times New Roman"/>
                <w:sz w:val="30"/>
              </w:rPr>
            </w:pPr>
          </w:p>
        </w:tc>
        <w:tc>
          <w:tcPr>
            <w:tcW w:w="2840" w:type="dxa"/>
            <w:vAlign w:val="center"/>
          </w:tcPr>
          <w:p w14:paraId="40B3EC97">
            <w:pPr>
              <w:pStyle w:val="16"/>
              <w:spacing w:before="74"/>
              <w:ind w:firstLine="0" w:firstLineChars="0"/>
              <w:jc w:val="center"/>
              <w:rPr>
                <w:sz w:val="24"/>
              </w:rPr>
            </w:pPr>
          </w:p>
        </w:tc>
        <w:tc>
          <w:tcPr>
            <w:tcW w:w="1276" w:type="dxa"/>
            <w:vAlign w:val="center"/>
          </w:tcPr>
          <w:p w14:paraId="51883D4A">
            <w:pPr>
              <w:pStyle w:val="16"/>
              <w:ind w:firstLine="0" w:firstLineChars="0"/>
              <w:jc w:val="center"/>
              <w:rPr>
                <w:rFonts w:ascii="Times New Roman"/>
                <w:sz w:val="30"/>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29" w:type="dxa"/>
            <w:vAlign w:val="center"/>
          </w:tcPr>
          <w:p w14:paraId="1B2B4F03">
            <w:pPr>
              <w:pStyle w:val="16"/>
              <w:spacing w:before="83"/>
              <w:ind w:firstLine="0" w:firstLineChars="0"/>
              <w:jc w:val="center"/>
              <w:rPr>
                <w:sz w:val="24"/>
              </w:rPr>
            </w:pPr>
            <w:r>
              <w:rPr>
                <w:sz w:val="24"/>
              </w:rPr>
              <w:t>2</w:t>
            </w:r>
          </w:p>
        </w:tc>
        <w:tc>
          <w:tcPr>
            <w:tcW w:w="1096" w:type="dxa"/>
            <w:vAlign w:val="center"/>
          </w:tcPr>
          <w:p w14:paraId="6782EEFE">
            <w:pPr>
              <w:pStyle w:val="16"/>
              <w:spacing w:before="83"/>
              <w:ind w:firstLine="0" w:firstLineChars="0"/>
              <w:jc w:val="center"/>
              <w:rPr>
                <w:sz w:val="24"/>
              </w:rPr>
            </w:pPr>
          </w:p>
        </w:tc>
        <w:tc>
          <w:tcPr>
            <w:tcW w:w="1662" w:type="dxa"/>
            <w:vAlign w:val="center"/>
          </w:tcPr>
          <w:p w14:paraId="25177C5D">
            <w:pPr>
              <w:ind w:firstLine="0" w:firstLineChars="0"/>
              <w:jc w:val="center"/>
              <w:rPr>
                <w:sz w:val="2"/>
                <w:szCs w:val="2"/>
              </w:rPr>
            </w:pPr>
          </w:p>
        </w:tc>
        <w:tc>
          <w:tcPr>
            <w:tcW w:w="874" w:type="dxa"/>
            <w:vAlign w:val="center"/>
          </w:tcPr>
          <w:p w14:paraId="110AB974">
            <w:pPr>
              <w:pStyle w:val="16"/>
              <w:spacing w:before="83"/>
              <w:ind w:firstLine="0" w:firstLineChars="0"/>
              <w:jc w:val="center"/>
              <w:rPr>
                <w:sz w:val="24"/>
              </w:rPr>
            </w:pPr>
          </w:p>
        </w:tc>
        <w:tc>
          <w:tcPr>
            <w:tcW w:w="845" w:type="dxa"/>
            <w:vAlign w:val="center"/>
          </w:tcPr>
          <w:p w14:paraId="63795D6C">
            <w:pPr>
              <w:pStyle w:val="16"/>
              <w:ind w:firstLine="0" w:firstLineChars="0"/>
              <w:jc w:val="center"/>
              <w:rPr>
                <w:rFonts w:ascii="Times New Roman"/>
                <w:sz w:val="30"/>
              </w:rPr>
            </w:pPr>
          </w:p>
        </w:tc>
        <w:tc>
          <w:tcPr>
            <w:tcW w:w="2840" w:type="dxa"/>
            <w:vAlign w:val="center"/>
          </w:tcPr>
          <w:p w14:paraId="4201E09C">
            <w:pPr>
              <w:pStyle w:val="16"/>
              <w:spacing w:before="83"/>
              <w:ind w:firstLine="0" w:firstLineChars="0"/>
              <w:jc w:val="center"/>
              <w:rPr>
                <w:sz w:val="24"/>
              </w:rPr>
            </w:pPr>
          </w:p>
        </w:tc>
        <w:tc>
          <w:tcPr>
            <w:tcW w:w="1276" w:type="dxa"/>
            <w:vAlign w:val="center"/>
          </w:tcPr>
          <w:p w14:paraId="5D129B7C">
            <w:pPr>
              <w:pStyle w:val="16"/>
              <w:ind w:firstLine="0" w:firstLineChars="0"/>
              <w:jc w:val="center"/>
              <w:rPr>
                <w:rFonts w:ascii="Times New Roman"/>
                <w:sz w:val="30"/>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15D2F550">
            <w:pPr>
              <w:pStyle w:val="16"/>
              <w:spacing w:before="73"/>
              <w:ind w:firstLine="0" w:firstLineChars="0"/>
              <w:jc w:val="center"/>
              <w:rPr>
                <w:sz w:val="24"/>
              </w:rPr>
            </w:pPr>
            <w:r>
              <w:rPr>
                <w:sz w:val="24"/>
              </w:rPr>
              <w:t>3</w:t>
            </w:r>
          </w:p>
        </w:tc>
        <w:tc>
          <w:tcPr>
            <w:tcW w:w="1096" w:type="dxa"/>
            <w:vAlign w:val="center"/>
          </w:tcPr>
          <w:p w14:paraId="5919AACB">
            <w:pPr>
              <w:pStyle w:val="16"/>
              <w:spacing w:before="73"/>
              <w:ind w:firstLine="0" w:firstLineChars="0"/>
              <w:jc w:val="center"/>
              <w:rPr>
                <w:sz w:val="24"/>
              </w:rPr>
            </w:pPr>
          </w:p>
        </w:tc>
        <w:tc>
          <w:tcPr>
            <w:tcW w:w="1662" w:type="dxa"/>
            <w:vAlign w:val="center"/>
          </w:tcPr>
          <w:p w14:paraId="48BA1872">
            <w:pPr>
              <w:pStyle w:val="16"/>
              <w:spacing w:line="242" w:lineRule="auto"/>
              <w:ind w:firstLine="0" w:firstLineChars="0"/>
              <w:jc w:val="center"/>
              <w:rPr>
                <w:sz w:val="24"/>
              </w:rPr>
            </w:pPr>
          </w:p>
        </w:tc>
        <w:tc>
          <w:tcPr>
            <w:tcW w:w="874" w:type="dxa"/>
            <w:vAlign w:val="center"/>
          </w:tcPr>
          <w:p w14:paraId="26489A11">
            <w:pPr>
              <w:pStyle w:val="16"/>
              <w:ind w:firstLine="0" w:firstLineChars="0"/>
              <w:jc w:val="center"/>
              <w:rPr>
                <w:rFonts w:ascii="Times New Roman"/>
                <w:sz w:val="30"/>
              </w:rPr>
            </w:pPr>
          </w:p>
        </w:tc>
        <w:tc>
          <w:tcPr>
            <w:tcW w:w="845" w:type="dxa"/>
            <w:vAlign w:val="center"/>
          </w:tcPr>
          <w:p w14:paraId="4A4B510C">
            <w:pPr>
              <w:pStyle w:val="16"/>
              <w:ind w:firstLine="0" w:firstLineChars="0"/>
              <w:jc w:val="center"/>
              <w:rPr>
                <w:rFonts w:ascii="Times New Roman"/>
                <w:sz w:val="30"/>
              </w:rPr>
            </w:pPr>
          </w:p>
        </w:tc>
        <w:tc>
          <w:tcPr>
            <w:tcW w:w="2840" w:type="dxa"/>
            <w:vAlign w:val="center"/>
          </w:tcPr>
          <w:p w14:paraId="46710F27">
            <w:pPr>
              <w:pStyle w:val="16"/>
              <w:spacing w:line="242" w:lineRule="auto"/>
              <w:ind w:firstLine="0" w:firstLineChars="0"/>
              <w:jc w:val="center"/>
              <w:rPr>
                <w:sz w:val="24"/>
              </w:rPr>
            </w:pPr>
          </w:p>
        </w:tc>
        <w:tc>
          <w:tcPr>
            <w:tcW w:w="1276" w:type="dxa"/>
            <w:vAlign w:val="center"/>
          </w:tcPr>
          <w:p w14:paraId="7A5F242E">
            <w:pPr>
              <w:pStyle w:val="16"/>
              <w:ind w:firstLine="0" w:firstLineChars="0"/>
              <w:jc w:val="center"/>
              <w:rPr>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125288BA">
            <w:pPr>
              <w:pStyle w:val="16"/>
              <w:spacing w:before="73"/>
              <w:ind w:firstLine="0" w:firstLineChars="0"/>
              <w:jc w:val="center"/>
              <w:rPr>
                <w:sz w:val="24"/>
              </w:rPr>
            </w:pPr>
            <w:r>
              <w:rPr>
                <w:sz w:val="24"/>
              </w:rPr>
              <w:t>4</w:t>
            </w:r>
          </w:p>
        </w:tc>
        <w:tc>
          <w:tcPr>
            <w:tcW w:w="1096" w:type="dxa"/>
            <w:vAlign w:val="center"/>
          </w:tcPr>
          <w:p w14:paraId="0353F249">
            <w:pPr>
              <w:pStyle w:val="16"/>
              <w:spacing w:before="73"/>
              <w:ind w:firstLine="0" w:firstLineChars="0"/>
              <w:jc w:val="center"/>
              <w:rPr>
                <w:sz w:val="24"/>
              </w:rPr>
            </w:pPr>
          </w:p>
        </w:tc>
        <w:tc>
          <w:tcPr>
            <w:tcW w:w="1662" w:type="dxa"/>
            <w:vAlign w:val="center"/>
          </w:tcPr>
          <w:p w14:paraId="46827C2A">
            <w:pPr>
              <w:ind w:firstLine="0" w:firstLineChars="0"/>
              <w:jc w:val="center"/>
              <w:rPr>
                <w:sz w:val="2"/>
                <w:szCs w:val="2"/>
              </w:rPr>
            </w:pPr>
          </w:p>
        </w:tc>
        <w:tc>
          <w:tcPr>
            <w:tcW w:w="874" w:type="dxa"/>
            <w:vAlign w:val="center"/>
          </w:tcPr>
          <w:p w14:paraId="16E22018">
            <w:pPr>
              <w:pStyle w:val="16"/>
              <w:ind w:firstLine="0" w:firstLineChars="0"/>
              <w:jc w:val="center"/>
              <w:rPr>
                <w:rFonts w:ascii="Times New Roman"/>
                <w:sz w:val="30"/>
              </w:rPr>
            </w:pPr>
          </w:p>
        </w:tc>
        <w:tc>
          <w:tcPr>
            <w:tcW w:w="845" w:type="dxa"/>
            <w:vAlign w:val="center"/>
          </w:tcPr>
          <w:p w14:paraId="7BF5F21C">
            <w:pPr>
              <w:pStyle w:val="16"/>
              <w:ind w:firstLine="0" w:firstLineChars="0"/>
              <w:jc w:val="center"/>
              <w:rPr>
                <w:rFonts w:ascii="Times New Roman"/>
                <w:sz w:val="30"/>
              </w:rPr>
            </w:pPr>
          </w:p>
        </w:tc>
        <w:tc>
          <w:tcPr>
            <w:tcW w:w="2840" w:type="dxa"/>
            <w:vAlign w:val="center"/>
          </w:tcPr>
          <w:p w14:paraId="2556219F">
            <w:pPr>
              <w:ind w:firstLine="0" w:firstLineChars="0"/>
              <w:jc w:val="center"/>
              <w:rPr>
                <w:sz w:val="2"/>
                <w:szCs w:val="2"/>
              </w:rPr>
            </w:pPr>
          </w:p>
        </w:tc>
        <w:tc>
          <w:tcPr>
            <w:tcW w:w="1276" w:type="dxa"/>
            <w:vAlign w:val="center"/>
          </w:tcPr>
          <w:p w14:paraId="74549791">
            <w:pPr>
              <w:ind w:firstLine="0" w:firstLineChars="0"/>
              <w:jc w:val="center"/>
              <w:rPr>
                <w:sz w:val="2"/>
                <w:szCs w:val="2"/>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729" w:type="dxa"/>
            <w:vAlign w:val="center"/>
          </w:tcPr>
          <w:p w14:paraId="0F4B2190">
            <w:pPr>
              <w:pStyle w:val="16"/>
              <w:spacing w:before="74"/>
              <w:ind w:firstLine="0" w:firstLineChars="0"/>
              <w:jc w:val="center"/>
              <w:rPr>
                <w:sz w:val="24"/>
              </w:rPr>
            </w:pPr>
            <w:r>
              <w:rPr>
                <w:sz w:val="24"/>
              </w:rPr>
              <w:t>5</w:t>
            </w:r>
          </w:p>
        </w:tc>
        <w:tc>
          <w:tcPr>
            <w:tcW w:w="1096" w:type="dxa"/>
            <w:vAlign w:val="center"/>
          </w:tcPr>
          <w:p w14:paraId="50534D2E">
            <w:pPr>
              <w:pStyle w:val="16"/>
              <w:tabs>
                <w:tab w:val="left" w:pos="487"/>
              </w:tabs>
              <w:spacing w:before="74"/>
              <w:ind w:firstLine="0" w:firstLineChars="0"/>
              <w:jc w:val="center"/>
              <w:rPr>
                <w:sz w:val="24"/>
              </w:rPr>
            </w:pPr>
          </w:p>
        </w:tc>
        <w:tc>
          <w:tcPr>
            <w:tcW w:w="1662" w:type="dxa"/>
            <w:vAlign w:val="center"/>
          </w:tcPr>
          <w:p w14:paraId="26C4BC92">
            <w:pPr>
              <w:ind w:firstLine="0" w:firstLineChars="0"/>
              <w:jc w:val="center"/>
              <w:rPr>
                <w:sz w:val="2"/>
                <w:szCs w:val="2"/>
              </w:rPr>
            </w:pPr>
          </w:p>
        </w:tc>
        <w:tc>
          <w:tcPr>
            <w:tcW w:w="874" w:type="dxa"/>
            <w:vAlign w:val="center"/>
          </w:tcPr>
          <w:p w14:paraId="6483053A">
            <w:pPr>
              <w:pStyle w:val="16"/>
              <w:ind w:firstLine="0" w:firstLineChars="0"/>
              <w:jc w:val="center"/>
              <w:rPr>
                <w:rFonts w:ascii="Times New Roman"/>
                <w:sz w:val="30"/>
              </w:rPr>
            </w:pPr>
          </w:p>
        </w:tc>
        <w:tc>
          <w:tcPr>
            <w:tcW w:w="845" w:type="dxa"/>
            <w:vAlign w:val="center"/>
          </w:tcPr>
          <w:p w14:paraId="116C7A42">
            <w:pPr>
              <w:pStyle w:val="16"/>
              <w:ind w:firstLine="0" w:firstLineChars="0"/>
              <w:jc w:val="center"/>
              <w:rPr>
                <w:rFonts w:ascii="Times New Roman"/>
                <w:sz w:val="30"/>
              </w:rPr>
            </w:pPr>
          </w:p>
        </w:tc>
        <w:tc>
          <w:tcPr>
            <w:tcW w:w="2840" w:type="dxa"/>
            <w:vAlign w:val="center"/>
          </w:tcPr>
          <w:p w14:paraId="099AF6F1">
            <w:pPr>
              <w:ind w:firstLine="0" w:firstLineChars="0"/>
              <w:jc w:val="center"/>
              <w:rPr>
                <w:sz w:val="2"/>
                <w:szCs w:val="2"/>
              </w:rPr>
            </w:pPr>
          </w:p>
        </w:tc>
        <w:tc>
          <w:tcPr>
            <w:tcW w:w="1276" w:type="dxa"/>
            <w:vAlign w:val="center"/>
          </w:tcPr>
          <w:p w14:paraId="19004189">
            <w:pPr>
              <w:ind w:firstLine="0" w:firstLineChars="0"/>
              <w:jc w:val="center"/>
              <w:rPr>
                <w:sz w:val="2"/>
                <w:szCs w:val="2"/>
              </w:rPr>
            </w:pPr>
          </w:p>
        </w:tc>
      </w:tr>
    </w:tbl>
    <w:p w14:paraId="38DACF5D">
      <w:pPr>
        <w:ind w:firstLine="560"/>
      </w:pPr>
    </w:p>
    <w:p w14:paraId="3D5200D2">
      <w:pPr>
        <w:pStyle w:val="2"/>
      </w:pPr>
      <w:r>
        <w:t>二、编制情况</w:t>
      </w:r>
    </w:p>
    <w:p w14:paraId="0DF6508F">
      <w:pPr>
        <w:pStyle w:val="3"/>
      </w:pPr>
      <w:r>
        <w:t>（一）</w:t>
      </w:r>
      <w:r>
        <w:rPr>
          <w:rFonts w:hint="eastAsia"/>
        </w:rPr>
        <w:t>编制标准的必要性和意义及背景</w:t>
      </w:r>
    </w:p>
    <w:p w14:paraId="57963BE1">
      <w:pPr>
        <w:numPr>
          <w:ilvl w:val="0"/>
          <w:numId w:val="1"/>
        </w:numPr>
        <w:ind w:left="0" w:leftChars="0" w:firstLine="560" w:firstLineChars="200"/>
        <w:rPr>
          <w:rFonts w:hint="eastAsia" w:ascii="Times New Roman" w:hAnsi="Times New Roman" w:cs="宋体"/>
        </w:rPr>
      </w:pPr>
      <w:r>
        <w:rPr>
          <w:rFonts w:hint="eastAsia" w:ascii="Times New Roman" w:hAnsi="Times New Roman" w:cs="宋体"/>
          <w:lang w:val="en-US" w:eastAsia="zh-CN"/>
        </w:rPr>
        <w:t>编制标准的背景</w:t>
      </w:r>
    </w:p>
    <w:p w14:paraId="0ED78873">
      <w:pPr>
        <w:ind w:firstLine="560"/>
        <w:rPr>
          <w:rFonts w:hint="eastAsia"/>
          <w:lang w:val="en-US" w:eastAsia="zh-CN"/>
        </w:rPr>
      </w:pPr>
      <w:r>
        <w:rPr>
          <w:rFonts w:hint="eastAsia" w:ascii="Times New Roman" w:hAnsi="Times New Roman" w:cs="宋体"/>
        </w:rPr>
        <w:t>为贯彻《质量强国建设纲要》，落实海南省委省政府《关于以高水平质量建设助力海南自由贸易港高质量发展的意见》</w:t>
      </w:r>
      <w:r>
        <w:rPr>
          <w:rFonts w:hint="eastAsia" w:ascii="Times New Roman" w:hAnsi="Times New Roman" w:cs="宋体"/>
          <w:lang w:eastAsia="zh-CN"/>
        </w:rPr>
        <w:t>（</w:t>
      </w:r>
      <w:r>
        <w:rPr>
          <w:rFonts w:hint="eastAsia" w:ascii="Times New Roman" w:hAnsi="Times New Roman" w:cs="宋体"/>
          <w:lang w:val="en-US" w:eastAsia="zh-CN"/>
        </w:rPr>
        <w:t>琼发〔2023〕9号</w:t>
      </w:r>
      <w:r>
        <w:rPr>
          <w:rFonts w:hint="eastAsia" w:ascii="Times New Roman" w:hAnsi="Times New Roman" w:cs="宋体"/>
          <w:lang w:eastAsia="zh-CN"/>
        </w:rPr>
        <w:t>）</w:t>
      </w:r>
      <w:r>
        <w:rPr>
          <w:rFonts w:hint="eastAsia" w:ascii="Times New Roman" w:hAnsi="Times New Roman" w:cs="宋体"/>
        </w:rPr>
        <w:t>部署要求，</w:t>
      </w:r>
      <w:r>
        <w:rPr>
          <w:rFonts w:hint="eastAsia" w:ascii="Times New Roman" w:hAnsi="Times New Roman" w:cs="宋体"/>
          <w:lang w:eastAsia="zh-CN"/>
        </w:rPr>
        <w:t>“</w:t>
      </w:r>
      <w:r>
        <w:rPr>
          <w:rFonts w:hint="eastAsia" w:ascii="Times New Roman" w:hAnsi="Times New Roman" w:cs="宋体"/>
          <w:lang w:val="en-US" w:eastAsia="zh-CN"/>
        </w:rPr>
        <w:t>实施海南品牌建设工程</w:t>
      </w:r>
      <w:r>
        <w:rPr>
          <w:rFonts w:hint="eastAsia" w:ascii="Times New Roman" w:hAnsi="Times New Roman" w:cs="宋体"/>
        </w:rPr>
        <w:t>，</w:t>
      </w:r>
      <w:r>
        <w:rPr>
          <w:rFonts w:hint="eastAsia" w:ascii="Times New Roman" w:hAnsi="Times New Roman" w:cs="宋体"/>
          <w:lang w:val="en-US" w:eastAsia="zh-CN"/>
        </w:rPr>
        <w:t>推动打造一流产品、一流企业、一流品牌。</w:t>
      </w:r>
      <w:r>
        <w:rPr>
          <w:rFonts w:hint="eastAsia" w:ascii="Times New Roman" w:hAnsi="Times New Roman" w:cs="宋体"/>
          <w:lang w:eastAsia="zh-CN"/>
        </w:rPr>
        <w:t>”，</w:t>
      </w:r>
      <w:r>
        <w:rPr>
          <w:rFonts w:hint="eastAsia" w:ascii="Times New Roman" w:hAnsi="Times New Roman" w:cs="宋体"/>
          <w:lang w:val="en-US" w:eastAsia="zh-CN"/>
        </w:rPr>
        <w:t>省市场监管局大力推进</w:t>
      </w:r>
      <w:r>
        <w:rPr>
          <w:rFonts w:hint="eastAsia" w:cs="宋体"/>
          <w:lang w:val="en-US" w:eastAsia="zh-CN"/>
        </w:rPr>
        <w:t>海南消费领域区域公共品牌</w:t>
      </w:r>
      <w:r>
        <w:rPr>
          <w:rFonts w:hint="eastAsia" w:ascii="Times New Roman" w:hAnsi="Times New Roman" w:cs="宋体"/>
          <w:lang w:val="en-US" w:eastAsia="zh-CN"/>
        </w:rPr>
        <w:t>建设，全力服务海南高质量发展，对符合认证标准、技术规范的地方特色产品和优势产业开展自愿性认证，形成集质量、标准、服务、信誉、效益、融合为一体的市场认可区域公共品牌。</w:t>
      </w:r>
      <w:r>
        <w:rPr>
          <w:rFonts w:hint="eastAsia" w:cs="宋体"/>
          <w:lang w:val="en-US" w:eastAsia="zh-CN"/>
        </w:rPr>
        <w:t>有关</w:t>
      </w:r>
      <w:r>
        <w:rPr>
          <w:rFonts w:hint="eastAsia" w:ascii="Times New Roman" w:hAnsi="Times New Roman" w:cs="宋体"/>
          <w:lang w:val="en-US" w:eastAsia="zh-CN"/>
        </w:rPr>
        <w:t>建设</w:t>
      </w:r>
      <w:r>
        <w:rPr>
          <w:rFonts w:hint="eastAsia"/>
          <w:lang w:val="en-US" w:eastAsia="zh-CN"/>
        </w:rPr>
        <w:t>需要具体的标准化技术和技术规范支撑，</w:t>
      </w:r>
      <w:r>
        <w:rPr>
          <w:rFonts w:hint="eastAsia"/>
        </w:rPr>
        <w:t>当前亟需建立</w:t>
      </w:r>
      <w:r>
        <w:rPr>
          <w:rFonts w:hint="eastAsia"/>
          <w:lang w:val="en-US" w:eastAsia="zh-CN"/>
        </w:rPr>
        <w:t>符合海南特色的、</w:t>
      </w:r>
      <w:r>
        <w:rPr>
          <w:rFonts w:hint="eastAsia"/>
        </w:rPr>
        <w:t>符合</w:t>
      </w:r>
      <w:r>
        <w:rPr>
          <w:rFonts w:hint="eastAsia"/>
          <w:lang w:val="en-US" w:eastAsia="zh-CN"/>
        </w:rPr>
        <w:t>海南消费领域区域公共品牌建设要求的系列标准，</w:t>
      </w:r>
      <w:r>
        <w:rPr>
          <w:rFonts w:hint="eastAsia"/>
        </w:rPr>
        <w:t>围绕海南省“特质”、“特色”建设高质量团体标准体系</w:t>
      </w:r>
      <w:r>
        <w:rPr>
          <w:rFonts w:hint="eastAsia"/>
          <w:lang w:val="en-US" w:eastAsia="zh-CN"/>
        </w:rPr>
        <w:t>。</w:t>
      </w:r>
    </w:p>
    <w:p w14:paraId="621D4FC1">
      <w:pPr>
        <w:ind w:firstLine="560"/>
        <w:rPr>
          <w:rFonts w:hint="default" w:ascii="Times New Roman" w:hAnsi="Times New Roman" w:cs="宋体"/>
        </w:rPr>
      </w:pPr>
      <w:r>
        <w:rPr>
          <w:rFonts w:hint="eastAsia" w:cs="宋体"/>
          <w:lang w:eastAsia="zh-CN"/>
        </w:rPr>
        <w:t>海南消费领域区域公共品牌</w:t>
      </w:r>
      <w:r>
        <w:rPr>
          <w:rFonts w:hint="default" w:ascii="Times New Roman" w:hAnsi="Times New Roman" w:cs="宋体"/>
        </w:rPr>
        <w:t>系列团体标准是支撑</w:t>
      </w:r>
      <w:r>
        <w:rPr>
          <w:rFonts w:hint="eastAsia" w:cs="宋体"/>
          <w:lang w:val="en-US" w:eastAsia="zh-CN"/>
        </w:rPr>
        <w:t>海南消费领域区域公共品牌</w:t>
      </w:r>
      <w:r>
        <w:rPr>
          <w:rFonts w:hint="default" w:ascii="Times New Roman" w:hAnsi="Times New Roman" w:cs="宋体"/>
        </w:rPr>
        <w:t>建设的技术基础，围绕"标准引领，以质取胜"的基本原则，由海南省质量协会引导行业专家和企业共同编制。该系列标准采用分层级设计：</w:t>
      </w:r>
    </w:p>
    <w:p w14:paraId="06EFDB35">
      <w:pPr>
        <w:ind w:firstLine="560"/>
        <w:rPr>
          <w:rFonts w:hint="eastAsia" w:ascii="Times New Roman" w:hAnsi="Times New Roman" w:cs="宋体"/>
          <w:lang w:val="en-US" w:eastAsia="zh-CN"/>
        </w:rPr>
      </w:pPr>
      <w:r>
        <w:rPr>
          <w:rFonts w:hint="default" w:ascii="Times New Roman" w:hAnsi="Times New Roman" w:cs="宋体"/>
        </w:rPr>
        <w:t xml:space="preserve">第一层级：T/XXX </w:t>
      </w:r>
      <w:r>
        <w:rPr>
          <w:rFonts w:hint="eastAsia" w:ascii="Times New Roman" w:hAnsi="Times New Roman" w:cs="宋体"/>
          <w:lang w:val="en-US" w:eastAsia="zh-CN"/>
        </w:rPr>
        <w:t>XX</w:t>
      </w:r>
      <w:r>
        <w:rPr>
          <w:rFonts w:hint="default" w:ascii="Times New Roman" w:hAnsi="Times New Roman" w:cs="宋体"/>
        </w:rPr>
        <w:t>-2025《</w:t>
      </w:r>
      <w:r>
        <w:rPr>
          <w:rFonts w:hint="eastAsia" w:cs="宋体"/>
          <w:lang w:eastAsia="zh-CN"/>
        </w:rPr>
        <w:t>海南消费领域区域公共品牌</w:t>
      </w:r>
      <w:r>
        <w:rPr>
          <w:rFonts w:hint="default" w:ascii="Times New Roman" w:hAnsi="Times New Roman" w:cs="宋体"/>
        </w:rPr>
        <w:t>通用要求 服务业》</w:t>
      </w:r>
      <w:r>
        <w:rPr>
          <w:rFonts w:hint="eastAsia" w:ascii="Times New Roman" w:hAnsi="Times New Roman" w:cs="宋体"/>
          <w:lang w:val="en-US" w:eastAsia="zh-CN"/>
        </w:rPr>
        <w:t>；</w:t>
      </w:r>
    </w:p>
    <w:p w14:paraId="058C0E5B">
      <w:pPr>
        <w:ind w:firstLine="560"/>
        <w:rPr>
          <w:rFonts w:hint="eastAsia" w:ascii="Times New Roman" w:hAnsi="Times New Roman" w:eastAsia="仿宋" w:cs="宋体"/>
          <w:lang w:eastAsia="zh-CN"/>
        </w:rPr>
      </w:pPr>
      <w:r>
        <w:rPr>
          <w:rFonts w:hint="default" w:ascii="Times New Roman" w:hAnsi="Times New Roman" w:cs="宋体"/>
        </w:rPr>
        <w:t>第二层级：各类特色服务技术规范（包括本标准）</w:t>
      </w:r>
      <w:r>
        <w:rPr>
          <w:rFonts w:hint="eastAsia" w:ascii="Times New Roman" w:hAnsi="Times New Roman" w:cs="宋体"/>
          <w:lang w:eastAsia="zh-CN"/>
        </w:rPr>
        <w:t>。</w:t>
      </w:r>
    </w:p>
    <w:p w14:paraId="77D3C6E6">
      <w:pPr>
        <w:numPr>
          <w:ilvl w:val="0"/>
          <w:numId w:val="1"/>
        </w:numPr>
        <w:ind w:left="0" w:leftChars="0" w:firstLine="560" w:firstLineChars="200"/>
        <w:rPr>
          <w:rFonts w:hint="default" w:ascii="Times New Roman" w:hAnsi="Times New Roman" w:cs="宋体"/>
          <w:lang w:val="en-US" w:eastAsia="zh-CN"/>
        </w:rPr>
      </w:pPr>
      <w:r>
        <w:rPr>
          <w:rFonts w:hint="eastAsia" w:ascii="Times New Roman" w:hAnsi="Times New Roman" w:cs="宋体"/>
          <w:lang w:val="en-US" w:eastAsia="zh-CN"/>
        </w:rPr>
        <w:t>编制标准的必要性和意义</w:t>
      </w:r>
    </w:p>
    <w:p w14:paraId="1392B546">
      <w:pPr>
        <w:ind w:firstLine="560"/>
        <w:rPr>
          <w:rFonts w:hint="eastAsia" w:ascii="Times New Roman" w:hAnsi="Times New Roman" w:cs="宋体"/>
          <w:lang w:val="en-US" w:eastAsia="zh-CN"/>
        </w:rPr>
      </w:pPr>
      <w:r>
        <w:rPr>
          <w:rFonts w:hint="eastAsia" w:ascii="Times New Roman" w:hAnsi="Times New Roman" w:cs="宋体"/>
          <w:lang w:val="en-US" w:eastAsia="zh-CN"/>
        </w:rPr>
        <w:t>规范引领，提高品牌品质：海南消费领域区域公共品牌高质量发展需要规范引领，通过</w:t>
      </w:r>
      <w:r>
        <w:rPr>
          <w:rFonts w:hint="eastAsia" w:ascii="Times New Roman" w:hAnsi="Times New Roman" w:cs="宋体"/>
          <w:lang w:val="zh-CN" w:eastAsia="zh-CN"/>
        </w:rPr>
        <w:t>聚焦海南本地的消费市场、</w:t>
      </w:r>
      <w:r>
        <w:rPr>
          <w:rFonts w:hint="eastAsia" w:ascii="Times New Roman" w:hAnsi="Times New Roman" w:cs="宋体"/>
          <w:lang w:val="en-US" w:eastAsia="zh-CN"/>
        </w:rPr>
        <w:t>特色产品/服务和优势产业，通过管理过程要求和核心技术服务指标，推动企业提升内部管理水平，塑造海南消费领域统一品牌形象，提高海南消费领域整体品牌形象。</w:t>
      </w:r>
    </w:p>
    <w:p w14:paraId="112B1CB1">
      <w:pPr>
        <w:ind w:firstLine="560"/>
        <w:rPr>
          <w:rFonts w:hint="default" w:ascii="Times New Roman" w:hAnsi="Times New Roman" w:cs="宋体"/>
          <w:lang w:val="en-US" w:eastAsia="zh-CN"/>
        </w:rPr>
      </w:pPr>
      <w:r>
        <w:rPr>
          <w:rFonts w:hint="eastAsia" w:ascii="Times New Roman" w:hAnsi="Times New Roman" w:cs="宋体"/>
          <w:lang w:val="en-US" w:eastAsia="zh-CN"/>
        </w:rPr>
        <w:t>提高品牌权威性和公信力：为开展</w:t>
      </w:r>
      <w:r>
        <w:rPr>
          <w:rFonts w:hint="eastAsia" w:cs="宋体"/>
          <w:lang w:val="en-US" w:eastAsia="zh-CN"/>
        </w:rPr>
        <w:t>海南消费领域区域公共品牌</w:t>
      </w:r>
      <w:r>
        <w:rPr>
          <w:rFonts w:hint="eastAsia" w:ascii="Times New Roman" w:hAnsi="Times New Roman" w:cs="宋体"/>
          <w:lang w:val="en-US" w:eastAsia="zh-CN"/>
        </w:rPr>
        <w:t>自愿性认证提供技术依据，</w:t>
      </w:r>
      <w:r>
        <w:rPr>
          <w:rFonts w:hint="eastAsia"/>
        </w:rPr>
        <w:t>以</w:t>
      </w:r>
      <w:r>
        <w:rPr>
          <w:rFonts w:hint="eastAsia"/>
          <w:lang w:eastAsia="zh-CN"/>
        </w:rPr>
        <w:t>本标准</w:t>
      </w:r>
      <w:r>
        <w:rPr>
          <w:rFonts w:hint="eastAsia"/>
        </w:rPr>
        <w:t>作为</w:t>
      </w:r>
      <w:r>
        <w:rPr>
          <w:rFonts w:hint="eastAsia"/>
          <w:lang w:val="en-US" w:eastAsia="zh-CN"/>
        </w:rPr>
        <w:t>认证评价</w:t>
      </w:r>
      <w:r>
        <w:rPr>
          <w:rFonts w:hint="eastAsia"/>
        </w:rPr>
        <w:t>依据</w:t>
      </w:r>
      <w:r>
        <w:rPr>
          <w:rFonts w:hint="eastAsia"/>
          <w:lang w:val="en-US" w:eastAsia="zh-CN"/>
        </w:rPr>
        <w:t>开展</w:t>
      </w:r>
      <w:r>
        <w:rPr>
          <w:rFonts w:hint="eastAsia"/>
        </w:rPr>
        <w:t>第三方</w:t>
      </w:r>
      <w:r>
        <w:rPr>
          <w:rFonts w:hint="eastAsia"/>
          <w:lang w:val="en-US" w:eastAsia="zh-CN"/>
        </w:rPr>
        <w:t>服务</w:t>
      </w:r>
      <w:r>
        <w:rPr>
          <w:rFonts w:hint="eastAsia"/>
        </w:rPr>
        <w:t>认证</w:t>
      </w:r>
      <w:r>
        <w:rPr>
          <w:rFonts w:hint="eastAsia"/>
          <w:lang w:val="en-US" w:eastAsia="zh-CN"/>
        </w:rPr>
        <w:t>评价</w:t>
      </w:r>
      <w:r>
        <w:rPr>
          <w:rFonts w:hint="eastAsia"/>
        </w:rPr>
        <w:t>，通过认证</w:t>
      </w:r>
      <w:r>
        <w:rPr>
          <w:rFonts w:hint="eastAsia"/>
          <w:lang w:val="en-US" w:eastAsia="zh-CN"/>
        </w:rPr>
        <w:t>评价</w:t>
      </w:r>
      <w:r>
        <w:rPr>
          <w:rFonts w:hint="eastAsia"/>
        </w:rPr>
        <w:t>在供需两端传递质量信号</w:t>
      </w:r>
      <w:r>
        <w:rPr>
          <w:rFonts w:hint="eastAsia"/>
          <w:lang w:val="en-US" w:eastAsia="zh-CN"/>
        </w:rPr>
        <w:t>和信任</w:t>
      </w:r>
      <w:r>
        <w:rPr>
          <w:rFonts w:hint="eastAsia"/>
        </w:rPr>
        <w:t>，提高</w:t>
      </w:r>
      <w:r>
        <w:rPr>
          <w:rFonts w:hint="eastAsia"/>
          <w:lang w:eastAsia="zh-CN"/>
        </w:rPr>
        <w:t>海南消费领域区域公共品牌</w:t>
      </w:r>
      <w:r>
        <w:rPr>
          <w:rFonts w:hint="eastAsia"/>
        </w:rPr>
        <w:t>品牌权威性和公信力，形成有效的市场选择机制，</w:t>
      </w:r>
      <w:r>
        <w:rPr>
          <w:rFonts w:hint="eastAsia" w:ascii="Times New Roman" w:hAnsi="Times New Roman" w:cs="宋体"/>
          <w:lang w:val="en-US" w:eastAsia="zh-CN"/>
        </w:rPr>
        <w:t>助推服务业和特色服务提档升级、提质增效。</w:t>
      </w:r>
    </w:p>
    <w:p w14:paraId="529F54E8">
      <w:pPr>
        <w:ind w:firstLine="560"/>
        <w:rPr>
          <w:rFonts w:hint="eastAsia" w:ascii="Times New Roman" w:hAnsi="Times New Roman" w:cs="宋体"/>
          <w:lang w:val="en-US" w:eastAsia="zh-CN"/>
        </w:rPr>
      </w:pPr>
      <w:r>
        <w:rPr>
          <w:rFonts w:hint="eastAsia" w:ascii="Times New Roman" w:hAnsi="Times New Roman" w:cs="宋体"/>
          <w:lang w:val="en-US" w:eastAsia="zh-CN"/>
        </w:rPr>
        <w:t>符合监管需求：随着海南自由贸易港建设的推进，消费市场日益活跃，产品/服务种类和交易量不断增加。规范标准，为监管提供明确的监管依据和范围，确保产品和服务质量安全，维护市场稳定。</w:t>
      </w:r>
    </w:p>
    <w:p w14:paraId="24C58C9D">
      <w:pPr>
        <w:ind w:firstLine="560"/>
        <w:rPr>
          <w:rFonts w:hint="eastAsia" w:ascii="Times New Roman" w:hAnsi="Times New Roman" w:cs="宋体"/>
          <w:lang w:val="en-US" w:eastAsia="zh-CN"/>
        </w:rPr>
      </w:pPr>
      <w:r>
        <w:rPr>
          <w:rFonts w:hint="eastAsia" w:ascii="Times New Roman" w:hAnsi="Times New Roman" w:cs="宋体"/>
          <w:lang w:val="en-US" w:eastAsia="zh-CN"/>
        </w:rPr>
        <w:t>促进区域经济发展：投资者和消费者都愿意在一个标准明确、市场秩序良好的地区进行投资或消费，该标准的编制向外界展示海南消费领域的规范化和专业化，让投资者、消费者和相关技术人才对海南的消费市场环境</w:t>
      </w:r>
      <w:r>
        <w:rPr>
          <w:rFonts w:hint="eastAsia" w:cs="宋体"/>
          <w:lang w:val="en-US" w:eastAsia="zh-CN"/>
        </w:rPr>
        <w:t>和权益保障</w:t>
      </w:r>
      <w:r>
        <w:rPr>
          <w:rFonts w:hint="eastAsia" w:ascii="Times New Roman" w:hAnsi="Times New Roman" w:cs="宋体"/>
          <w:lang w:val="en-US" w:eastAsia="zh-CN"/>
        </w:rPr>
        <w:t>更有信心和更关注，促进区域经济的发展。符合标准的企业可以借助</w:t>
      </w:r>
      <w:r>
        <w:rPr>
          <w:rFonts w:hint="eastAsia" w:cs="宋体"/>
          <w:lang w:val="en-US" w:eastAsia="zh-CN"/>
        </w:rPr>
        <w:t>海南消费领域区域公共品牌</w:t>
      </w:r>
      <w:r>
        <w:rPr>
          <w:rFonts w:hint="eastAsia" w:ascii="Times New Roman" w:hAnsi="Times New Roman" w:cs="宋体"/>
          <w:lang w:val="en-US" w:eastAsia="zh-CN"/>
        </w:rPr>
        <w:t>的影响力，吸引更多的投资和消费者，获得更多的市场份额。</w:t>
      </w:r>
    </w:p>
    <w:p w14:paraId="76EB5AB7">
      <w:pPr>
        <w:ind w:firstLine="560"/>
        <w:rPr>
          <w:rFonts w:hint="eastAsia" w:ascii="Times New Roman" w:hAnsi="Times New Roman" w:cs="宋体"/>
          <w:color w:val="auto"/>
          <w:lang w:val="en-US" w:eastAsia="zh-CN"/>
        </w:rPr>
      </w:pPr>
      <w:r>
        <w:rPr>
          <w:rFonts w:hint="eastAsia"/>
          <w:lang w:val="en-US" w:eastAsia="zh-CN"/>
        </w:rPr>
        <w:t>推动主导产业发展：</w:t>
      </w:r>
      <w:r>
        <w:rPr>
          <w:rFonts w:hint="eastAsia"/>
        </w:rPr>
        <w:t>海南自由贸易港建设是国家重大战略部署，旅游业是海南三大主导产业之一。随着海南国际旅游消费中心定位的明确，对旅游服务质量提出了更高要求。</w:t>
      </w:r>
      <w:r>
        <w:rPr>
          <w:rFonts w:hint="default" w:ascii="Times New Roman" w:hAnsi="Times New Roman" w:eastAsia="仿宋" w:cs="宋体"/>
          <w:kern w:val="0"/>
          <w:sz w:val="28"/>
          <w:szCs w:val="22"/>
          <w:lang w:val="en-US" w:eastAsia="zh-CN" w:bidi="ar-SA"/>
        </w:rPr>
        <w:t>提升海南旅游核心竞争力，需要规范引领和标准支撑</w:t>
      </w:r>
      <w:r>
        <w:rPr>
          <w:rFonts w:hint="eastAsia" w:ascii="Times New Roman" w:hAnsi="Times New Roman" w:cs="宋体"/>
          <w:kern w:val="0"/>
          <w:sz w:val="28"/>
          <w:szCs w:val="22"/>
          <w:lang w:val="en-US" w:eastAsia="zh-CN" w:bidi="ar-SA"/>
        </w:rPr>
        <w:t>。</w:t>
      </w:r>
      <w:r>
        <w:rPr>
          <w:rFonts w:hint="eastAsia" w:ascii="Times New Roman" w:hAnsi="Times New Roman" w:cs="宋体"/>
          <w:lang w:val="en-US" w:eastAsia="zh-CN"/>
        </w:rPr>
        <w:t>《</w:t>
      </w:r>
      <w:r>
        <w:rPr>
          <w:rFonts w:hint="eastAsia" w:cs="宋体"/>
          <w:lang w:val="en-US" w:eastAsia="zh-CN"/>
        </w:rPr>
        <w:t>海南消费领域区域公共品牌</w:t>
      </w:r>
      <w:r>
        <w:rPr>
          <w:rFonts w:hint="eastAsia" w:ascii="Times New Roman" w:hAnsi="Times New Roman" w:cs="宋体"/>
          <w:lang w:val="en-US" w:eastAsia="zh-CN"/>
        </w:rPr>
        <w:t>特色服务技术规范 旅游景点服务》标准是</w:t>
      </w:r>
      <w:r>
        <w:rPr>
          <w:rFonts w:hint="eastAsia" w:cs="宋体"/>
          <w:lang w:val="en-US" w:eastAsia="zh-CN"/>
        </w:rPr>
        <w:t>海南消费领域区域公共品牌</w:t>
      </w:r>
      <w:r>
        <w:rPr>
          <w:rFonts w:hint="eastAsia" w:ascii="Times New Roman" w:hAnsi="Times New Roman" w:cs="宋体"/>
          <w:lang w:val="en-US" w:eastAsia="zh-CN"/>
        </w:rPr>
        <w:t>系列团体标准之一，立足海南自由贸易港建设战略定位，坚持“国际视野、中国特色、海南特点</w:t>
      </w:r>
      <w:r>
        <w:rPr>
          <w:rFonts w:hint="default" w:ascii="Times New Roman" w:hAnsi="Times New Roman" w:cs="宋体"/>
          <w:lang w:val="en-US" w:eastAsia="zh-CN"/>
        </w:rPr>
        <w:t>”</w:t>
      </w:r>
      <w:r>
        <w:rPr>
          <w:rFonts w:hint="eastAsia" w:ascii="Times New Roman" w:hAnsi="Times New Roman" w:cs="宋体"/>
          <w:lang w:val="en-US" w:eastAsia="zh-CN"/>
        </w:rPr>
        <w:t>，以标准化引领海南特色旅游业高质量发展，打造国际一流的旅游目的地。</w:t>
      </w:r>
      <w:r>
        <w:rPr>
          <w:rFonts w:hint="eastAsia"/>
          <w:lang w:val="en-US" w:eastAsia="zh-CN"/>
        </w:rPr>
        <w:t>同时，</w:t>
      </w:r>
      <w:r>
        <w:rPr>
          <w:rFonts w:hint="default" w:ascii="Times New Roman" w:hAnsi="Times New Roman" w:eastAsia="仿宋" w:cs="宋体"/>
          <w:kern w:val="0"/>
          <w:sz w:val="28"/>
          <w:szCs w:val="22"/>
          <w:lang w:val="en-US" w:eastAsia="zh-CN" w:bidi="ar-SA"/>
        </w:rPr>
        <w:t>游客对高品质、特色化旅游服务的期待日益增长</w:t>
      </w:r>
      <w:r>
        <w:rPr>
          <w:rFonts w:hint="eastAsia" w:ascii="Times New Roman" w:hAnsi="Times New Roman" w:cs="宋体"/>
          <w:kern w:val="0"/>
          <w:sz w:val="28"/>
          <w:szCs w:val="22"/>
          <w:lang w:val="en-US" w:eastAsia="zh-CN" w:bidi="ar-SA"/>
        </w:rPr>
        <w:t>。</w:t>
      </w:r>
      <w:r>
        <w:rPr>
          <w:rFonts w:hint="eastAsia" w:ascii="Times New Roman" w:hAnsi="Times New Roman" w:cs="宋体"/>
          <w:color w:val="auto"/>
          <w:lang w:val="en-US" w:eastAsia="zh-CN"/>
        </w:rPr>
        <w:t>编制该标准，为海南消费领域旅游景点服务组织提出满足服务特性的整体要求，从整体服务质量、特色化服务质量、管理要求等角度，都设定统一的要求，使消费者在海南能够获得相对一致的服务和体验，从而在消费者心中塑造出</w:t>
      </w:r>
      <w:r>
        <w:rPr>
          <w:rFonts w:hint="eastAsia" w:cs="宋体"/>
          <w:color w:val="auto"/>
          <w:lang w:val="en-US" w:eastAsia="zh-CN"/>
        </w:rPr>
        <w:t>海南消费领域区域公共品牌</w:t>
      </w:r>
      <w:r>
        <w:rPr>
          <w:rFonts w:hint="eastAsia" w:ascii="Times New Roman" w:hAnsi="Times New Roman" w:cs="宋体"/>
          <w:color w:val="auto"/>
          <w:lang w:val="en-US" w:eastAsia="zh-CN"/>
        </w:rPr>
        <w:t>统一、优质的品牌形象。</w:t>
      </w:r>
    </w:p>
    <w:p w14:paraId="60F81B69">
      <w:pPr>
        <w:ind w:firstLine="560"/>
        <w:rPr>
          <w:rFonts w:hint="eastAsia" w:ascii="Times New Roman" w:hAnsi="Times New Roman" w:cs="宋体"/>
          <w:color w:val="auto"/>
          <w:lang w:val="en-US" w:eastAsia="zh-CN"/>
        </w:rPr>
      </w:pPr>
      <w:r>
        <w:rPr>
          <w:rFonts w:hint="eastAsia" w:ascii="Times New Roman" w:hAnsi="Times New Roman" w:cs="宋体"/>
          <w:color w:val="auto"/>
          <w:lang w:val="en-US" w:eastAsia="zh-CN"/>
        </w:rPr>
        <w:t>综上，编制本标准，</w:t>
      </w:r>
      <w:r>
        <w:rPr>
          <w:rFonts w:hint="default" w:ascii="Times New Roman" w:hAnsi="Times New Roman" w:cs="宋体"/>
          <w:color w:val="auto"/>
          <w:lang w:val="en-US" w:eastAsia="zh-CN"/>
        </w:rPr>
        <w:t>为</w:t>
      </w:r>
      <w:r>
        <w:rPr>
          <w:rFonts w:hint="eastAsia" w:cs="宋体"/>
          <w:color w:val="auto"/>
          <w:lang w:val="en-US" w:eastAsia="zh-CN"/>
        </w:rPr>
        <w:t>海南消费领域区域公共品牌</w:t>
      </w:r>
      <w:r>
        <w:rPr>
          <w:rFonts w:hint="default" w:ascii="Times New Roman" w:hAnsi="Times New Roman" w:cs="宋体"/>
          <w:color w:val="auto"/>
          <w:lang w:val="en-US" w:eastAsia="zh-CN"/>
        </w:rPr>
        <w:t>建设提供技术支撑</w:t>
      </w:r>
      <w:r>
        <w:rPr>
          <w:rFonts w:hint="eastAsia" w:ascii="Times New Roman" w:hAnsi="Times New Roman" w:cs="宋体"/>
          <w:color w:val="auto"/>
          <w:lang w:val="en-US" w:eastAsia="zh-CN"/>
        </w:rPr>
        <w:t>；</w:t>
      </w:r>
      <w:r>
        <w:rPr>
          <w:rFonts w:hint="default" w:ascii="Times New Roman" w:hAnsi="Times New Roman" w:cs="宋体"/>
          <w:color w:val="auto"/>
          <w:lang w:val="en-US" w:eastAsia="zh-CN"/>
        </w:rPr>
        <w:t>建立具有海南特色的旅游服务标准体系和认证规范</w:t>
      </w:r>
      <w:r>
        <w:rPr>
          <w:rFonts w:hint="eastAsia" w:ascii="Times New Roman" w:hAnsi="Times New Roman" w:cs="宋体"/>
          <w:color w:val="auto"/>
          <w:lang w:val="en-US" w:eastAsia="zh-CN"/>
        </w:rPr>
        <w:t>；</w:t>
      </w:r>
      <w:r>
        <w:rPr>
          <w:rFonts w:hint="default" w:ascii="Times New Roman" w:hAnsi="Times New Roman" w:cs="宋体"/>
          <w:color w:val="auto"/>
          <w:lang w:val="en-US" w:eastAsia="zh-CN"/>
        </w:rPr>
        <w:t>通过标准化手段提升海南旅游服务品质和品牌价值</w:t>
      </w:r>
      <w:r>
        <w:rPr>
          <w:rFonts w:hint="eastAsia" w:ascii="Times New Roman" w:hAnsi="Times New Roman" w:cs="宋体"/>
          <w:color w:val="auto"/>
          <w:lang w:val="en-US" w:eastAsia="zh-CN"/>
        </w:rPr>
        <w:t>；</w:t>
      </w:r>
      <w:r>
        <w:rPr>
          <w:rFonts w:hint="default" w:ascii="Times New Roman" w:hAnsi="Times New Roman" w:cs="宋体"/>
          <w:color w:val="auto"/>
          <w:lang w:val="en-US" w:eastAsia="zh-CN"/>
        </w:rPr>
        <w:t>为海南国际旅游消费中心建设提供标准保障</w:t>
      </w:r>
      <w:r>
        <w:rPr>
          <w:rFonts w:hint="eastAsia" w:ascii="Times New Roman" w:hAnsi="Times New Roman" w:cs="宋体"/>
          <w:color w:val="auto"/>
          <w:lang w:val="en-US" w:eastAsia="zh-CN"/>
        </w:rPr>
        <w:t>；</w:t>
      </w:r>
      <w:r>
        <w:rPr>
          <w:rFonts w:hint="default" w:ascii="Times New Roman" w:hAnsi="Times New Roman" w:cs="宋体"/>
          <w:color w:val="auto"/>
          <w:lang w:val="en-US" w:eastAsia="zh-CN"/>
        </w:rPr>
        <w:t>推动旅游业高质量发展，增强区域品牌竞争力</w:t>
      </w:r>
      <w:r>
        <w:rPr>
          <w:rFonts w:hint="eastAsia" w:ascii="Times New Roman" w:hAnsi="Times New Roman" w:cs="宋体"/>
          <w:color w:val="auto"/>
          <w:lang w:val="en-US" w:eastAsia="zh-CN"/>
        </w:rPr>
        <w:t>。</w:t>
      </w:r>
    </w:p>
    <w:p w14:paraId="06B5B615">
      <w:pPr>
        <w:pStyle w:val="3"/>
      </w:pPr>
      <w:r>
        <w:t>（二）</w:t>
      </w:r>
      <w:r>
        <w:rPr>
          <w:rFonts w:hint="eastAsia"/>
        </w:rPr>
        <w:t>编制过程简介</w:t>
      </w:r>
    </w:p>
    <w:p w14:paraId="0626D2E2">
      <w:pPr>
        <w:ind w:firstLine="560"/>
        <w:rPr>
          <w:rFonts w:hint="eastAsia" w:ascii="Times New Roman" w:hAnsi="Times New Roman" w:cs="宋体"/>
          <w:lang w:val="en-US" w:eastAsia="zh-CN"/>
        </w:rPr>
      </w:pPr>
      <w:r>
        <w:rPr>
          <w:rFonts w:hint="eastAsia" w:ascii="Times New Roman" w:hAnsi="Times New Roman" w:cs="宋体"/>
        </w:rPr>
        <w:t>本技术规范的编制任务</w:t>
      </w:r>
      <w:r>
        <w:rPr>
          <w:rFonts w:hint="eastAsia" w:ascii="Times New Roman" w:hAnsi="Times New Roman" w:cs="宋体"/>
          <w:lang w:val="en-US" w:eastAsia="zh-CN"/>
        </w:rPr>
        <w:t>来</w:t>
      </w:r>
      <w:r>
        <w:rPr>
          <w:rFonts w:hint="eastAsia" w:ascii="Times New Roman" w:hAnsi="Times New Roman" w:cs="宋体"/>
        </w:rPr>
        <w:t>源于海南消费领域区域公共品牌建设与管理的实际需求。</w:t>
      </w:r>
      <w:r>
        <w:rPr>
          <w:rFonts w:hint="eastAsia" w:ascii="Times New Roman" w:hAnsi="Times New Roman" w:cs="宋体"/>
          <w:lang w:val="en-US" w:eastAsia="zh-CN"/>
        </w:rPr>
        <w:t>标准编制过程：</w:t>
      </w:r>
    </w:p>
    <w:p w14:paraId="03286E7F">
      <w:pPr>
        <w:numPr>
          <w:ilvl w:val="0"/>
          <w:numId w:val="2"/>
        </w:numPr>
        <w:tabs>
          <w:tab w:val="left" w:pos="840"/>
        </w:tabs>
        <w:ind w:left="425" w:leftChars="0" w:firstLine="135" w:firstLineChars="0"/>
      </w:pPr>
      <w:r>
        <w:rPr>
          <w:rFonts w:hint="eastAsia"/>
        </w:rPr>
        <w:t>成立</w:t>
      </w:r>
      <w:r>
        <w:rPr>
          <w:rFonts w:hint="eastAsia"/>
          <w:lang w:val="en-US" w:eastAsia="zh-CN"/>
        </w:rPr>
        <w:t>工作</w:t>
      </w:r>
      <w:r>
        <w:rPr>
          <w:rFonts w:hint="eastAsia"/>
        </w:rPr>
        <w:t>组</w:t>
      </w:r>
    </w:p>
    <w:p w14:paraId="570B7F8B">
      <w:pPr>
        <w:ind w:firstLine="640"/>
      </w:pPr>
      <w:r>
        <w:rPr>
          <w:rFonts w:hint="eastAsia"/>
        </w:rPr>
        <w:t>团体标准研制计划下达后，方圆标志认证集团有限公司作为标准研制牵头单位随即</w:t>
      </w:r>
      <w:r>
        <w:rPr>
          <w:rFonts w:hint="eastAsia"/>
          <w:lang w:val="en-US" w:eastAsia="zh-CN"/>
        </w:rPr>
        <w:t>组织</w:t>
      </w:r>
      <w:r>
        <w:rPr>
          <w:rFonts w:hint="eastAsia" w:ascii="Times New Roman" w:hAnsi="Times New Roman" w:cs="宋体"/>
          <w:lang w:val="en-US" w:eastAsia="zh-CN"/>
        </w:rPr>
        <w:t>成立标准编制工作组，</w:t>
      </w:r>
      <w:r>
        <w:rPr>
          <w:rFonts w:hint="eastAsia"/>
        </w:rPr>
        <w:t>对编制工作总体部署和任务分工，明确标准适用范围、主要框架内容、编制时间节点等。</w:t>
      </w:r>
    </w:p>
    <w:p w14:paraId="2FD2DD36">
      <w:pPr>
        <w:numPr>
          <w:ilvl w:val="0"/>
          <w:numId w:val="2"/>
        </w:numPr>
        <w:tabs>
          <w:tab w:val="left" w:pos="840"/>
        </w:tabs>
        <w:ind w:left="425" w:leftChars="0" w:firstLine="135" w:firstLineChars="0"/>
        <w:rPr>
          <w:rFonts w:hint="eastAsia" w:ascii="Times New Roman" w:hAnsi="Times New Roman" w:cs="宋体"/>
        </w:rPr>
      </w:pPr>
      <w:r>
        <w:rPr>
          <w:rFonts w:hint="eastAsia" w:ascii="Times New Roman" w:hAnsi="Times New Roman" w:cs="宋体"/>
        </w:rPr>
        <w:t>实地调研</w:t>
      </w:r>
    </w:p>
    <w:p w14:paraId="5DC12EB7">
      <w:pPr>
        <w:ind w:firstLine="640"/>
        <w:rPr>
          <w:rFonts w:hint="eastAsia"/>
          <w:lang w:val="en-US" w:eastAsia="zh-CN"/>
        </w:rPr>
      </w:pPr>
      <w:r>
        <w:rPr>
          <w:rFonts w:hint="eastAsia"/>
          <w:lang w:eastAsia="zh-CN"/>
        </w:rPr>
        <w:t>标准工作组</w:t>
      </w:r>
      <w:r>
        <w:rPr>
          <w:rFonts w:hint="eastAsia"/>
          <w:lang w:val="en-US" w:eastAsia="zh-CN"/>
        </w:rPr>
        <w:t>组织</w:t>
      </w:r>
      <w:r>
        <w:rPr>
          <w:rFonts w:hint="eastAsia"/>
        </w:rPr>
        <w:t>实地调研，通过沟通及实地查看等方式，了解和掌握</w:t>
      </w:r>
      <w:r>
        <w:rPr>
          <w:rFonts w:hint="eastAsia"/>
          <w:lang w:val="en-US" w:eastAsia="zh-CN"/>
        </w:rPr>
        <w:t>海南省三亚等多个市县主要旅游资源、特色旅游景点的服务现状和存在问题，对消费领域产业协同发展的需求和期望，以及对标准的意见和建议。</w:t>
      </w:r>
    </w:p>
    <w:p w14:paraId="4DB567F3">
      <w:pPr>
        <w:numPr>
          <w:ilvl w:val="0"/>
          <w:numId w:val="2"/>
        </w:numPr>
        <w:tabs>
          <w:tab w:val="left" w:pos="840"/>
        </w:tabs>
        <w:ind w:left="425" w:leftChars="0" w:firstLine="135" w:firstLineChars="0"/>
        <w:rPr>
          <w:rFonts w:hint="eastAsia" w:ascii="Times New Roman" w:hAnsi="Times New Roman" w:cs="宋体"/>
        </w:rPr>
      </w:pPr>
      <w:r>
        <w:rPr>
          <w:rFonts w:hint="eastAsia" w:ascii="Times New Roman" w:hAnsi="Times New Roman" w:cs="宋体"/>
        </w:rPr>
        <w:t>编制标准草案</w:t>
      </w:r>
    </w:p>
    <w:p w14:paraId="37E00E8C">
      <w:pPr>
        <w:ind w:firstLine="640"/>
      </w:pPr>
      <w:r>
        <w:rPr>
          <w:rFonts w:hint="eastAsia"/>
          <w:lang w:eastAsia="zh-CN"/>
        </w:rPr>
        <w:t>标准工作组</w:t>
      </w:r>
      <w:r>
        <w:rPr>
          <w:rFonts w:hint="eastAsia"/>
          <w:lang w:val="en-US" w:eastAsia="zh-CN"/>
        </w:rPr>
        <w:t>基于</w:t>
      </w:r>
      <w:r>
        <w:rPr>
          <w:rFonts w:hint="eastAsia" w:ascii="Times New Roman" w:hAnsi="Times New Roman" w:cs="宋体"/>
          <w:lang w:val="en-US" w:eastAsia="zh-CN"/>
        </w:rPr>
        <w:t>收集海南省自贸港、消费领域重要产业发展文件、</w:t>
      </w:r>
      <w:r>
        <w:rPr>
          <w:rFonts w:hint="eastAsia"/>
          <w:lang w:val="en-US" w:eastAsia="zh-CN"/>
        </w:rPr>
        <w:t>旅游景点服务国内外</w:t>
      </w:r>
      <w:r>
        <w:rPr>
          <w:rFonts w:hint="eastAsia"/>
        </w:rPr>
        <w:t>相关法律法规、政策文件和标准，包括国家标准、行业标准、国际标准和国外先进标准</w:t>
      </w:r>
      <w:r>
        <w:rPr>
          <w:rFonts w:hint="eastAsia"/>
          <w:lang w:eastAsia="zh-CN"/>
        </w:rPr>
        <w:t>，</w:t>
      </w:r>
      <w:r>
        <w:rPr>
          <w:rFonts w:hint="eastAsia"/>
          <w:lang w:val="en-US" w:eastAsia="zh-CN"/>
        </w:rPr>
        <w:t>以及</w:t>
      </w:r>
      <w:r>
        <w:rPr>
          <w:rFonts w:hint="eastAsia"/>
        </w:rPr>
        <w:t>外省地方标准和团体标准情况，在资料搜集和研读的基础上，摸清</w:t>
      </w:r>
      <w:r>
        <w:rPr>
          <w:rFonts w:hint="eastAsia"/>
          <w:lang w:val="en-US" w:eastAsia="zh-CN"/>
        </w:rPr>
        <w:t>旅游景点服务</w:t>
      </w:r>
      <w:r>
        <w:rPr>
          <w:rFonts w:hint="eastAsia"/>
        </w:rPr>
        <w:t>现状及标准化相关情况</w:t>
      </w:r>
      <w:r>
        <w:rPr>
          <w:rFonts w:hint="eastAsia"/>
          <w:lang w:eastAsia="zh-CN"/>
        </w:rPr>
        <w:t>，</w:t>
      </w:r>
      <w:r>
        <w:rPr>
          <w:rFonts w:hint="eastAsia"/>
          <w:lang w:val="en-US" w:eastAsia="zh-CN"/>
        </w:rPr>
        <w:t>深入</w:t>
      </w:r>
      <w:r>
        <w:rPr>
          <w:rFonts w:hint="eastAsia"/>
        </w:rPr>
        <w:t>了解海南省</w:t>
      </w:r>
      <w:r>
        <w:rPr>
          <w:rFonts w:hint="eastAsia"/>
          <w:lang w:val="en-US" w:eastAsia="zh-CN"/>
        </w:rPr>
        <w:t>旅游景点服务的</w:t>
      </w:r>
      <w:r>
        <w:rPr>
          <w:rFonts w:hint="eastAsia"/>
        </w:rPr>
        <w:t>典型案例，经过总结、提炼、识别、梳理后，按照既兼顾前瞻性和适用性，又确保科学性和</w:t>
      </w:r>
      <w:r>
        <w:rPr>
          <w:rFonts w:hint="eastAsia"/>
          <w:lang w:val="en-US" w:eastAsia="zh-CN"/>
        </w:rPr>
        <w:t>可操作</w:t>
      </w:r>
      <w:r>
        <w:rPr>
          <w:rFonts w:hint="eastAsia"/>
        </w:rPr>
        <w:t>性的原则，搭建标准框架，编制标准草案。</w:t>
      </w:r>
    </w:p>
    <w:p w14:paraId="452C17B8">
      <w:pPr>
        <w:ind w:firstLine="640"/>
        <w:rPr>
          <w:rFonts w:hint="eastAsia" w:ascii="Times New Roman" w:hAnsi="Times New Roman" w:cs="宋体"/>
        </w:rPr>
      </w:pPr>
      <w:r>
        <w:rPr>
          <w:rFonts w:hint="eastAsia" w:ascii="Times New Roman" w:hAnsi="Times New Roman" w:cs="宋体"/>
        </w:rPr>
        <w:t>在标准草案的基础上，在方圆标志认证集团有限公司的统筹安排下，</w:t>
      </w:r>
      <w:r>
        <w:rPr>
          <w:rFonts w:hint="eastAsia" w:ascii="Times New Roman" w:hAnsi="Times New Roman" w:cs="宋体"/>
          <w:lang w:eastAsia="zh-CN"/>
        </w:rPr>
        <w:t>标准工作组</w:t>
      </w:r>
      <w:r>
        <w:rPr>
          <w:rFonts w:hint="eastAsia" w:ascii="Times New Roman" w:hAnsi="Times New Roman" w:cs="宋体"/>
        </w:rPr>
        <w:t>组织标准编制专题研讨会，对标准草案框架及内容进行逐条研讨</w:t>
      </w:r>
      <w:r>
        <w:rPr>
          <w:rFonts w:hint="eastAsia" w:ascii="Times New Roman" w:hAnsi="Times New Roman" w:cs="宋体"/>
          <w:lang w:eastAsia="zh-CN"/>
        </w:rPr>
        <w:t>，</w:t>
      </w:r>
      <w:r>
        <w:rPr>
          <w:rFonts w:hint="eastAsia" w:ascii="Times New Roman" w:hAnsi="Times New Roman" w:cs="宋体"/>
          <w:lang w:val="en-US" w:eastAsia="zh-CN"/>
        </w:rPr>
        <w:t>会后修改完善标准草案</w:t>
      </w:r>
      <w:r>
        <w:rPr>
          <w:rFonts w:hint="eastAsia" w:ascii="Times New Roman" w:hAnsi="Times New Roman" w:cs="宋体"/>
        </w:rPr>
        <w:t>。同时，根据最新的标准编写规范GB/T1.1—2020对标准结构和语言表述进行修改完善</w:t>
      </w:r>
      <w:r>
        <w:rPr>
          <w:rFonts w:hint="eastAsia" w:ascii="Times New Roman" w:hAnsi="Times New Roman" w:cs="宋体"/>
          <w:lang w:eastAsia="zh-CN"/>
        </w:rPr>
        <w:t>，</w:t>
      </w:r>
      <w:r>
        <w:rPr>
          <w:rFonts w:hint="eastAsia" w:ascii="Times New Roman" w:hAnsi="Times New Roman" w:cs="宋体"/>
        </w:rPr>
        <w:t>形成标准工作组</w:t>
      </w:r>
      <w:r>
        <w:rPr>
          <w:rFonts w:hint="eastAsia" w:cs="宋体"/>
          <w:lang w:val="en-US" w:eastAsia="zh-CN"/>
        </w:rPr>
        <w:t>征求意见稿</w:t>
      </w:r>
      <w:bookmarkStart w:id="50" w:name="_GoBack"/>
      <w:bookmarkEnd w:id="50"/>
      <w:r>
        <w:rPr>
          <w:rFonts w:hint="eastAsia" w:ascii="Times New Roman" w:hAnsi="Times New Roman" w:cs="宋体"/>
        </w:rPr>
        <w:t>（包括标准文本和标准编制说明）。</w:t>
      </w:r>
    </w:p>
    <w:p w14:paraId="2CDBCBDA">
      <w:pPr>
        <w:ind w:firstLine="560"/>
      </w:pPr>
    </w:p>
    <w:p w14:paraId="07282A09">
      <w:pPr>
        <w:pStyle w:val="3"/>
      </w:pPr>
      <w:r>
        <w:t>（三）制定标准的原则和依据，与现行法律法规、标准的关系</w:t>
      </w:r>
    </w:p>
    <w:p w14:paraId="2AE13DD0">
      <w:pPr>
        <w:pStyle w:val="4"/>
      </w:pPr>
      <w:r>
        <w:t>1</w:t>
      </w:r>
      <w:r>
        <w:rPr>
          <w:rFonts w:hint="eastAsia"/>
        </w:rPr>
        <w:t>、</w:t>
      </w:r>
      <w:r>
        <w:t>制定标准的原则</w:t>
      </w:r>
    </w:p>
    <w:p w14:paraId="4F493F06">
      <w:pPr>
        <w:ind w:firstLine="640"/>
        <w:rPr>
          <w:rFonts w:hint="eastAsia" w:ascii="Times New Roman" w:hAnsi="Times New Roman" w:cs="宋体"/>
          <w:highlight w:val="none"/>
          <w:lang w:val="en-US" w:eastAsia="zh-CN"/>
        </w:rPr>
      </w:pPr>
      <w:r>
        <w:rPr>
          <w:rFonts w:hint="eastAsia" w:ascii="Times New Roman" w:hAnsi="Times New Roman" w:cs="宋体"/>
          <w:highlight w:val="none"/>
        </w:rPr>
        <w:t>①科学性：</w:t>
      </w:r>
      <w:r>
        <w:rPr>
          <w:rFonts w:hint="default" w:ascii="Times New Roman" w:hAnsi="Times New Roman" w:cs="宋体"/>
          <w:highlight w:val="none"/>
          <w:lang w:val="en-US" w:eastAsia="zh-CN"/>
        </w:rPr>
        <w:t>基于旅游服务</w:t>
      </w:r>
      <w:r>
        <w:rPr>
          <w:rFonts w:hint="eastAsia" w:cs="宋体"/>
          <w:highlight w:val="none"/>
          <w:lang w:val="en-US" w:eastAsia="zh-CN"/>
        </w:rPr>
        <w:t>景点</w:t>
      </w:r>
      <w:r>
        <w:rPr>
          <w:rFonts w:hint="default" w:ascii="Times New Roman" w:hAnsi="Times New Roman" w:cs="宋体"/>
          <w:highlight w:val="none"/>
          <w:lang w:val="en-US" w:eastAsia="zh-CN"/>
        </w:rPr>
        <w:t>特性，建立科学的测评指标体系</w:t>
      </w:r>
      <w:r>
        <w:rPr>
          <w:rFonts w:hint="eastAsia" w:ascii="Times New Roman" w:hAnsi="Times New Roman" w:cs="宋体"/>
          <w:highlight w:val="none"/>
          <w:lang w:val="en-US" w:eastAsia="zh-CN"/>
        </w:rPr>
        <w:t>。以科学的理论和方法为指导，确保规范的技术要求和指标体系具有科学性和合理性。</w:t>
      </w:r>
    </w:p>
    <w:p w14:paraId="24272F82">
      <w:pPr>
        <w:ind w:firstLine="640"/>
        <w:rPr>
          <w:rFonts w:hint="eastAsia" w:ascii="Times New Roman" w:hAnsi="Times New Roman" w:cs="宋体"/>
          <w:highlight w:val="none"/>
          <w:lang w:val="en-US" w:eastAsia="zh-CN"/>
        </w:rPr>
      </w:pPr>
      <w:r>
        <w:rPr>
          <w:rFonts w:hint="eastAsia" w:ascii="Times New Roman" w:hAnsi="Times New Roman" w:cs="宋体"/>
          <w:highlight w:val="none"/>
        </w:rPr>
        <w:t>②适用性：</w:t>
      </w:r>
      <w:r>
        <w:rPr>
          <w:rFonts w:hint="eastAsia" w:ascii="Times New Roman" w:hAnsi="Times New Roman" w:cs="宋体"/>
          <w:highlight w:val="none"/>
          <w:lang w:val="en-US" w:eastAsia="zh-CN"/>
        </w:rPr>
        <w:t>紧密结合海南旅游资源特色和服务质量需求，体现地域特殊性，注重规范的可操作性和实用性，为海南消费领域区域公共品牌建设提供切实可行的指导。</w:t>
      </w:r>
      <w:r>
        <w:rPr>
          <w:rFonts w:hint="default" w:ascii="Times New Roman" w:hAnsi="Times New Roman" w:cs="宋体"/>
          <w:highlight w:val="none"/>
          <w:lang w:val="en-US" w:eastAsia="zh-CN"/>
        </w:rPr>
        <w:t>提供具体的实施指南和测评工具</w:t>
      </w:r>
      <w:r>
        <w:rPr>
          <w:rFonts w:hint="eastAsia" w:ascii="Times New Roman" w:hAnsi="Times New Roman" w:cs="宋体"/>
          <w:highlight w:val="none"/>
          <w:lang w:val="en-US" w:eastAsia="zh-CN"/>
        </w:rPr>
        <w:t>。</w:t>
      </w:r>
    </w:p>
    <w:p w14:paraId="33B7569B">
      <w:pPr>
        <w:ind w:firstLine="640"/>
        <w:rPr>
          <w:rFonts w:hint="eastAsia"/>
          <w:lang w:val="en-US" w:eastAsia="zh-CN"/>
        </w:rPr>
      </w:pPr>
      <w:r>
        <w:rPr>
          <w:rFonts w:hint="eastAsia" w:ascii="Times New Roman" w:hAnsi="Times New Roman" w:cs="宋体"/>
          <w:highlight w:val="none"/>
        </w:rPr>
        <w:t>③</w:t>
      </w:r>
      <w:r>
        <w:rPr>
          <w:rFonts w:hint="eastAsia" w:ascii="Times New Roman" w:hAnsi="Times New Roman" w:cs="宋体"/>
          <w:highlight w:val="none"/>
          <w:lang w:val="en-US" w:eastAsia="zh-CN"/>
        </w:rPr>
        <w:t>规范性：</w:t>
      </w:r>
      <w:r>
        <w:rPr>
          <w:rFonts w:hint="eastAsia"/>
        </w:rPr>
        <w:t>符合GB/T1.1—2020《标准化工作导则第1部分：标准化文件的结构和起草规则》的编写要求</w:t>
      </w:r>
      <w:r>
        <w:rPr>
          <w:rFonts w:hint="eastAsia"/>
          <w:lang w:eastAsia="zh-CN"/>
        </w:rPr>
        <w:t>，</w:t>
      </w:r>
      <w:r>
        <w:rPr>
          <w:rFonts w:hint="eastAsia"/>
          <w:lang w:val="en-US" w:eastAsia="zh-CN"/>
        </w:rPr>
        <w:t>确保格式规范</w:t>
      </w:r>
      <w:r>
        <w:rPr>
          <w:rFonts w:hint="eastAsia"/>
          <w:lang w:eastAsia="zh-CN"/>
        </w:rPr>
        <w:t>。</w:t>
      </w:r>
    </w:p>
    <w:p w14:paraId="777AF618">
      <w:pPr>
        <w:ind w:firstLine="640"/>
        <w:rPr>
          <w:rFonts w:hint="eastAsia" w:ascii="Times New Roman" w:hAnsi="Times New Roman" w:cs="宋体"/>
          <w:highlight w:val="none"/>
          <w:lang w:val="en-US" w:eastAsia="zh-CN"/>
        </w:rPr>
      </w:pPr>
      <w:r>
        <w:rPr>
          <w:rFonts w:hint="default" w:ascii="Times New Roman" w:hAnsi="Times New Roman" w:cs="宋体"/>
          <w:highlight w:val="none"/>
          <w:lang w:val="en-US" w:eastAsia="zh-CN"/>
        </w:rPr>
        <w:t>④系统性：与第一层级标准协调配套，形成完整体系</w:t>
      </w:r>
      <w:r>
        <w:rPr>
          <w:rFonts w:hint="eastAsia" w:ascii="Times New Roman" w:hAnsi="Times New Roman" w:cs="宋体"/>
          <w:highlight w:val="none"/>
          <w:lang w:val="en-US" w:eastAsia="zh-CN"/>
        </w:rPr>
        <w:t>。</w:t>
      </w:r>
    </w:p>
    <w:p w14:paraId="60854422">
      <w:pPr>
        <w:ind w:firstLine="640"/>
        <w:rPr>
          <w:rFonts w:hint="eastAsia" w:ascii="Times New Roman" w:hAnsi="Times New Roman" w:cs="宋体"/>
          <w:highlight w:val="none"/>
          <w:lang w:val="en-US" w:eastAsia="zh-CN"/>
        </w:rPr>
      </w:pPr>
      <w:r>
        <w:rPr>
          <w:rFonts w:hint="default" w:ascii="Times New Roman" w:hAnsi="Times New Roman" w:cs="宋体"/>
          <w:highlight w:val="none"/>
          <w:lang w:val="en-US" w:eastAsia="zh-CN"/>
        </w:rPr>
        <w:t>⑤</w:t>
      </w:r>
      <w:r>
        <w:rPr>
          <w:rFonts w:hint="eastAsia" w:ascii="Times New Roman" w:hAnsi="Times New Roman" w:cs="宋体"/>
          <w:highlight w:val="none"/>
          <w:lang w:val="en-US" w:eastAsia="zh-CN"/>
        </w:rPr>
        <w:t>兼容性：与多个标准之间与服务、顾客满意度有关要求兼容和扩展。如ISO质量管理体系标准、服务认证标准等标准兼容性</w:t>
      </w:r>
    </w:p>
    <w:p w14:paraId="542D9F1E">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⑥</w:t>
      </w:r>
      <w:r>
        <w:rPr>
          <w:rFonts w:hint="eastAsia" w:ascii="Times New Roman" w:hAnsi="Times New Roman" w:cs="宋体"/>
          <w:highlight w:val="none"/>
          <w:lang w:val="en-US" w:eastAsia="zh-CN"/>
        </w:rPr>
        <w:t>前瞻性：关注服务认证评价技术的发展趋势和市场需求的变化，在规范中预留一定的技术升级和功能扩展空间，以适应未来海南消费领域区域公共品牌发展的需要。</w:t>
      </w:r>
    </w:p>
    <w:p w14:paraId="28EF5943">
      <w:pPr>
        <w:ind w:firstLine="640"/>
        <w:rPr>
          <w:rFonts w:hint="eastAsia" w:ascii="Times New Roman" w:hAnsi="Times New Roman" w:cs="宋体"/>
        </w:rPr>
      </w:pPr>
    </w:p>
    <w:p w14:paraId="0CD442FA">
      <w:pPr>
        <w:pStyle w:val="4"/>
      </w:pPr>
      <w:r>
        <w:t>2</w:t>
      </w:r>
      <w:r>
        <w:rPr>
          <w:rFonts w:hint="eastAsia"/>
        </w:rPr>
        <w:t>、</w:t>
      </w:r>
      <w:r>
        <w:t>制定标准的依据</w:t>
      </w:r>
    </w:p>
    <w:p w14:paraId="2D06C0BD">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本标准在编制过程中，重点引用和参考相关法律法规、政府文件及相关技术性文件等，包括：</w:t>
      </w:r>
    </w:p>
    <w:p w14:paraId="4D422FDE">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《中华人民共和国旅游法》《海南省旅游条例》等法律法规</w:t>
      </w:r>
    </w:p>
    <w:p w14:paraId="064CB74C">
      <w:pPr>
        <w:ind w:firstLine="640"/>
        <w:rPr>
          <w:rFonts w:hint="eastAsia" w:ascii="Times New Roman" w:hAnsi="Times New Roman" w:cs="宋体"/>
          <w:highlight w:val="none"/>
          <w:lang w:val="en-US" w:eastAsia="zh-CN"/>
        </w:rPr>
      </w:pPr>
      <w:r>
        <w:rPr>
          <w:rFonts w:hint="default" w:ascii="Times New Roman" w:hAnsi="Times New Roman" w:cs="宋体"/>
          <w:highlight w:val="none"/>
          <w:lang w:val="en-US" w:eastAsia="zh-CN"/>
        </w:rPr>
        <w:t>海南自由贸易港相关法律法规和政策文件</w:t>
      </w:r>
    </w:p>
    <w:p w14:paraId="16ECF9CF">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《海南消费领域区域公共品牌战略规划（初稿）》</w:t>
      </w:r>
    </w:p>
    <w:p w14:paraId="16815796">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GB/T 17775《旅游</w:t>
      </w:r>
      <w:r>
        <w:rPr>
          <w:rFonts w:hint="eastAsia" w:ascii="Times New Roman" w:hAnsi="Times New Roman" w:cs="宋体"/>
          <w:highlight w:val="none"/>
          <w:lang w:val="en-US" w:eastAsia="zh-CN"/>
        </w:rPr>
        <w:t>区（点）</w:t>
      </w:r>
      <w:r>
        <w:rPr>
          <w:rFonts w:hint="default" w:ascii="Times New Roman" w:hAnsi="Times New Roman" w:cs="宋体"/>
          <w:highlight w:val="none"/>
          <w:lang w:val="en-US" w:eastAsia="zh-CN"/>
        </w:rPr>
        <w:t>质量等级</w:t>
      </w:r>
      <w:r>
        <w:rPr>
          <w:rFonts w:hint="eastAsia" w:ascii="Times New Roman" w:hAnsi="Times New Roman" w:cs="宋体"/>
          <w:highlight w:val="none"/>
          <w:lang w:val="en-US" w:eastAsia="zh-CN"/>
        </w:rPr>
        <w:t>的</w:t>
      </w:r>
      <w:r>
        <w:rPr>
          <w:rFonts w:hint="default" w:ascii="Times New Roman" w:hAnsi="Times New Roman" w:cs="宋体"/>
          <w:highlight w:val="none"/>
          <w:lang w:val="en-US" w:eastAsia="zh-CN"/>
        </w:rPr>
        <w:t>划分与评定》</w:t>
      </w:r>
    </w:p>
    <w:p w14:paraId="2CEEE9D4">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GB/T 26355《旅游景点服务指南》</w:t>
      </w:r>
    </w:p>
    <w:p w14:paraId="7D0980AA">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GB/T 31383《旅游景</w:t>
      </w:r>
      <w:r>
        <w:rPr>
          <w:rFonts w:hint="eastAsia" w:ascii="Times New Roman" w:hAnsi="Times New Roman" w:cs="宋体"/>
          <w:highlight w:val="none"/>
          <w:lang w:val="en-US" w:eastAsia="zh-CN"/>
        </w:rPr>
        <w:t>区</w:t>
      </w:r>
      <w:r>
        <w:rPr>
          <w:rFonts w:hint="default" w:ascii="Times New Roman" w:hAnsi="Times New Roman" w:cs="宋体"/>
          <w:highlight w:val="none"/>
          <w:lang w:val="en-US" w:eastAsia="zh-CN"/>
        </w:rPr>
        <w:t>游客中心设置与服务规范》</w:t>
      </w:r>
    </w:p>
    <w:p w14:paraId="67622EF3">
      <w:pPr>
        <w:ind w:firstLine="640"/>
        <w:rPr>
          <w:rFonts w:hint="default" w:ascii="Times New Roman" w:hAnsi="Times New Roman" w:cs="宋体"/>
          <w:highlight w:val="none"/>
          <w:lang w:val="en-US" w:eastAsia="zh-CN"/>
        </w:rPr>
      </w:pPr>
      <w:r>
        <w:rPr>
          <w:rFonts w:hint="eastAsia" w:ascii="Times New Roman" w:hAnsi="Times New Roman" w:cs="宋体"/>
          <w:highlight w:val="none"/>
          <w:lang w:val="en-US" w:eastAsia="zh-CN"/>
        </w:rPr>
        <w:t>GB/T 41011  旅游景区可持续发展指南等</w:t>
      </w:r>
    </w:p>
    <w:p w14:paraId="47F15CB6">
      <w:pPr>
        <w:ind w:firstLine="551"/>
      </w:pPr>
    </w:p>
    <w:p w14:paraId="7608D118">
      <w:pPr>
        <w:pStyle w:val="4"/>
      </w:pPr>
      <w:r>
        <w:t>3</w:t>
      </w:r>
      <w:r>
        <w:rPr>
          <w:rFonts w:hint="eastAsia"/>
        </w:rPr>
        <w:t>、</w:t>
      </w:r>
      <w:r>
        <w:t>与有关的现行法律法规、标准的关系</w:t>
      </w:r>
    </w:p>
    <w:p w14:paraId="326EF818">
      <w:pPr>
        <w:ind w:firstLine="640"/>
        <w:rPr>
          <w:rFonts w:hint="default" w:ascii="Times New Roman" w:hAnsi="Times New Roman" w:cs="宋体"/>
          <w:highlight w:val="none"/>
          <w:lang w:val="en-US" w:eastAsia="zh-CN"/>
        </w:rPr>
      </w:pPr>
      <w:r>
        <w:rPr>
          <w:rFonts w:hint="eastAsia" w:ascii="Times New Roman" w:hAnsi="Times New Roman" w:cs="宋体"/>
          <w:highlight w:val="none"/>
          <w:lang w:val="en-US" w:eastAsia="zh-CN"/>
        </w:rPr>
        <w:t>本标准与现行国家、行业标准协调一致，与现行法律法规及有关强制性国家标准无冲突。</w:t>
      </w:r>
    </w:p>
    <w:p w14:paraId="6DEB8F02">
      <w:pPr>
        <w:ind w:firstLine="551"/>
      </w:pPr>
    </w:p>
    <w:p w14:paraId="046DE701">
      <w:pPr>
        <w:pStyle w:val="3"/>
      </w:pPr>
      <w:r>
        <w:t>（四）主要条款的说明，主要技术指标、参数、试验验证的论述</w:t>
      </w:r>
    </w:p>
    <w:p w14:paraId="0743D6C0">
      <w:pPr>
        <w:pStyle w:val="4"/>
      </w:pPr>
      <w:r>
        <w:t>1</w:t>
      </w:r>
      <w:r>
        <w:rPr>
          <w:rFonts w:hint="eastAsia"/>
        </w:rPr>
        <w:t>、</w:t>
      </w:r>
      <w:r>
        <w:t>主要条款</w:t>
      </w:r>
    </w:p>
    <w:p w14:paraId="260C71BA">
      <w:pPr>
        <w:ind w:firstLine="577"/>
        <w:rPr>
          <w:rFonts w:hint="eastAsia" w:ascii="Times New Roman" w:hAnsi="Times New Roman" w:cs="宋体"/>
          <w:spacing w:val="-12"/>
          <w:lang w:val="en-US" w:eastAsia="zh-CN"/>
        </w:rPr>
      </w:pPr>
      <w:r>
        <w:rPr>
          <w:rFonts w:hint="eastAsia" w:ascii="Times New Roman" w:hAnsi="Times New Roman" w:cs="宋体"/>
          <w:spacing w:val="-12"/>
          <w:lang w:val="en-US" w:eastAsia="zh-CN"/>
        </w:rPr>
        <w:t>本标准作为"海南消费领域品质"系列标准的第二层级文件，共6章3个附录。</w:t>
      </w:r>
    </w:p>
    <w:p w14:paraId="33EE8EC6">
      <w:pPr>
        <w:ind w:firstLine="577"/>
        <w:rPr>
          <w:rFonts w:hint="eastAsia"/>
          <w:spacing w:val="-12"/>
          <w:lang w:val="en-US" w:eastAsia="zh-CN"/>
        </w:rPr>
      </w:pPr>
      <w:r>
        <w:rPr>
          <w:rFonts w:hint="eastAsia"/>
          <w:spacing w:val="-12"/>
          <w:lang w:val="en-US" w:eastAsia="zh-CN"/>
        </w:rPr>
        <w:t>本标准的章节由范围、规范性引用文件、术语和定义、服务要求、管理要求、认证评价共六章组成。其中“服务要求”、“管理要求”、“认证评价”是本标准的核心技术内容。</w:t>
      </w:r>
    </w:p>
    <w:p w14:paraId="6CF9988C">
      <w:pPr>
        <w:ind w:firstLine="577"/>
        <w:rPr>
          <w:rFonts w:hint="eastAsia"/>
          <w:spacing w:val="-12"/>
          <w:lang w:val="en-US" w:eastAsia="zh-CN"/>
        </w:rPr>
      </w:pPr>
      <w:r>
        <w:rPr>
          <w:rFonts w:hint="eastAsia"/>
          <w:spacing w:val="-12"/>
          <w:lang w:val="en-US" w:eastAsia="zh-CN"/>
        </w:rPr>
        <w:t>第一至第三章分别给出了该标准的范围、规范性引用文件及术语和定义。</w:t>
      </w:r>
    </w:p>
    <w:p w14:paraId="22076FA8">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范围：规定了海南消费领域区域公共品牌旅游景点服务的经营者、服务要求、管理要求和认证评价的要求。本文件适用于海南省区域内海南消费领域区域公共品牌的服务提供者的内部自我评价和外部第三方认证。</w:t>
      </w:r>
    </w:p>
    <w:p w14:paraId="003E6461">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-规范性引用文件：GB/T 16766  旅游业基础术语、GB/T 17775  旅游区(点)质量等级、GB/T 26355  旅游景区服务指南、GB/T 41011  旅游景区可持续发展指南等14项规范性引用文件。</w:t>
      </w:r>
    </w:p>
    <w:p w14:paraId="5615E2ED">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-术语和定义：术语和定义部分，该章节给出了服务基础要求、</w:t>
      </w:r>
      <w:bookmarkStart w:id="0" w:name="_Toc171418186"/>
      <w:bookmarkStart w:id="1" w:name="_Toc178793958"/>
      <w:bookmarkStart w:id="2" w:name="_Toc16396"/>
      <w:bookmarkStart w:id="3" w:name="_Toc178793371"/>
      <w:bookmarkStart w:id="4" w:name="_Toc178793910"/>
      <w:bookmarkStart w:id="5" w:name="_Toc178794074"/>
      <w:bookmarkStart w:id="6" w:name="_Toc178793591"/>
      <w:r>
        <w:rPr>
          <w:rFonts w:hint="eastAsia" w:ascii="Times New Roman" w:hAnsi="Times New Roman" w:cs="宋体"/>
          <w:highlight w:val="none"/>
          <w:lang w:val="en-US" w:eastAsia="zh-CN"/>
        </w:rPr>
        <w:t>景区服务要求</w:t>
      </w:r>
      <w:bookmarkEnd w:id="0"/>
      <w:bookmarkEnd w:id="1"/>
      <w:bookmarkEnd w:id="2"/>
      <w:bookmarkEnd w:id="3"/>
      <w:bookmarkEnd w:id="4"/>
      <w:bookmarkEnd w:id="5"/>
      <w:bookmarkEnd w:id="6"/>
      <w:r>
        <w:rPr>
          <w:rFonts w:hint="eastAsia" w:ascii="Times New Roman" w:hAnsi="Times New Roman" w:cs="宋体"/>
          <w:highlight w:val="none"/>
          <w:lang w:val="en-US" w:eastAsia="zh-CN"/>
        </w:rPr>
        <w:t>、</w:t>
      </w:r>
      <w:bookmarkStart w:id="7" w:name="_Toc178794075"/>
      <w:bookmarkStart w:id="8" w:name="_Toc178793911"/>
      <w:bookmarkStart w:id="9" w:name="_Toc178793592"/>
      <w:bookmarkStart w:id="10" w:name="_Toc178793372"/>
      <w:bookmarkStart w:id="11" w:name="_Toc144279104"/>
      <w:bookmarkStart w:id="12" w:name="_Toc178793959"/>
      <w:r>
        <w:rPr>
          <w:rFonts w:hint="eastAsia" w:ascii="Times New Roman" w:hAnsi="Times New Roman" w:cs="宋体"/>
          <w:highlight w:val="none"/>
          <w:lang w:val="en-US" w:eastAsia="zh-CN"/>
        </w:rPr>
        <w:t>特色化旅游服务要求</w:t>
      </w:r>
      <w:bookmarkEnd w:id="7"/>
      <w:bookmarkEnd w:id="8"/>
      <w:bookmarkEnd w:id="9"/>
      <w:bookmarkEnd w:id="10"/>
      <w:bookmarkEnd w:id="11"/>
      <w:bookmarkEnd w:id="12"/>
      <w:r>
        <w:rPr>
          <w:rFonts w:hint="eastAsia" w:ascii="Times New Roman" w:hAnsi="Times New Roman" w:cs="宋体"/>
          <w:highlight w:val="none"/>
          <w:lang w:val="en-US" w:eastAsia="zh-CN"/>
        </w:rPr>
        <w:t>。</w:t>
      </w:r>
    </w:p>
    <w:p w14:paraId="2622DF06">
      <w:pPr>
        <w:ind w:firstLine="577"/>
        <w:rPr>
          <w:rFonts w:hint="eastAsia" w:ascii="Times New Roman" w:hAnsi="Times New Roman" w:cs="宋体"/>
          <w:highlight w:val="none"/>
          <w:lang w:val="en-US" w:eastAsia="zh-CN"/>
        </w:rPr>
      </w:pPr>
      <w:r>
        <w:rPr>
          <w:rFonts w:hint="eastAsia"/>
          <w:spacing w:val="-12"/>
          <w:lang w:val="en-US" w:eastAsia="zh-CN"/>
        </w:rPr>
        <w:t>第四章服务要求，该章节给</w:t>
      </w:r>
      <w:r>
        <w:rPr>
          <w:rFonts w:hint="eastAsia" w:ascii="Times New Roman" w:hAnsi="Times New Roman" w:cs="宋体"/>
          <w:highlight w:val="none"/>
          <w:lang w:val="en-US" w:eastAsia="zh-CN"/>
        </w:rPr>
        <w:t>出了</w:t>
      </w:r>
      <w:bookmarkStart w:id="13" w:name="_Toc144232041"/>
      <w:bookmarkStart w:id="14" w:name="_Toc178735098"/>
      <w:bookmarkStart w:id="15" w:name="_Toc144233384"/>
      <w:bookmarkStart w:id="16" w:name="_Toc144232717"/>
      <w:bookmarkStart w:id="17" w:name="_Toc144232530"/>
      <w:r>
        <w:rPr>
          <w:rFonts w:hint="eastAsia" w:ascii="Times New Roman" w:hAnsi="Times New Roman" w:cs="宋体"/>
          <w:highlight w:val="none"/>
          <w:lang w:val="en-US" w:eastAsia="zh-CN"/>
        </w:rPr>
        <w:t>服务基础要求、景区服务要求（停车场、售检票、游客中心、讲解服务等9项）、特色化旅游服务要求</w:t>
      </w:r>
      <w:bookmarkEnd w:id="13"/>
      <w:bookmarkEnd w:id="14"/>
      <w:bookmarkEnd w:id="15"/>
      <w:bookmarkEnd w:id="16"/>
      <w:bookmarkEnd w:id="17"/>
      <w:r>
        <w:rPr>
          <w:rFonts w:hint="eastAsia" w:ascii="Times New Roman" w:hAnsi="Times New Roman" w:cs="宋体"/>
          <w:highlight w:val="none"/>
          <w:lang w:val="en-US" w:eastAsia="zh-CN"/>
        </w:rPr>
        <w:t>。</w:t>
      </w:r>
    </w:p>
    <w:p w14:paraId="67A3D95C">
      <w:pPr>
        <w:ind w:firstLine="577"/>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第五章管理要求，该章节主要给出了</w:t>
      </w:r>
      <w:bookmarkStart w:id="18" w:name="_Toc178794077"/>
      <w:bookmarkStart w:id="19" w:name="_Toc178793913"/>
      <w:bookmarkStart w:id="20" w:name="_Toc178793374"/>
      <w:bookmarkStart w:id="21" w:name="_Toc144279106"/>
      <w:bookmarkStart w:id="22" w:name="_Toc178793961"/>
      <w:bookmarkStart w:id="23" w:name="_Toc178793594"/>
      <w:bookmarkStart w:id="24" w:name="_Toc178735101"/>
      <w:r>
        <w:rPr>
          <w:rFonts w:hint="eastAsia" w:ascii="Times New Roman" w:hAnsi="Times New Roman" w:cs="宋体"/>
          <w:highlight w:val="none"/>
          <w:lang w:val="en-US" w:eastAsia="zh-CN"/>
        </w:rPr>
        <w:t>基础管理要求</w:t>
      </w:r>
      <w:bookmarkEnd w:id="18"/>
      <w:bookmarkEnd w:id="19"/>
      <w:bookmarkEnd w:id="20"/>
      <w:bookmarkEnd w:id="21"/>
      <w:bookmarkEnd w:id="22"/>
      <w:bookmarkEnd w:id="23"/>
      <w:r>
        <w:rPr>
          <w:rFonts w:hint="eastAsia" w:ascii="Times New Roman" w:hAnsi="Times New Roman" w:cs="宋体"/>
          <w:highlight w:val="none"/>
          <w:lang w:val="en-US" w:eastAsia="zh-CN"/>
        </w:rPr>
        <w:t>和</w:t>
      </w:r>
      <w:bookmarkStart w:id="25" w:name="_Toc178793375"/>
      <w:bookmarkStart w:id="26" w:name="_Toc178793914"/>
      <w:bookmarkStart w:id="27" w:name="_Toc178794078"/>
      <w:bookmarkStart w:id="28" w:name="_Toc178793595"/>
      <w:bookmarkStart w:id="29" w:name="_Toc144279109"/>
      <w:bookmarkStart w:id="30" w:name="_Toc178793962"/>
      <w:r>
        <w:rPr>
          <w:rFonts w:hint="eastAsia" w:ascii="Times New Roman" w:hAnsi="Times New Roman" w:cs="宋体"/>
          <w:highlight w:val="none"/>
          <w:lang w:val="en-US" w:eastAsia="zh-CN"/>
        </w:rPr>
        <w:t>特色化旅游服务管理要求</w:t>
      </w:r>
      <w:bookmarkEnd w:id="25"/>
      <w:bookmarkEnd w:id="26"/>
      <w:bookmarkEnd w:id="27"/>
      <w:bookmarkEnd w:id="28"/>
      <w:bookmarkEnd w:id="29"/>
      <w:bookmarkEnd w:id="30"/>
      <w:r>
        <w:rPr>
          <w:rFonts w:hint="eastAsia" w:ascii="Times New Roman" w:hAnsi="Times New Roman" w:cs="宋体"/>
          <w:highlight w:val="none"/>
          <w:lang w:val="en-US" w:eastAsia="zh-CN"/>
        </w:rPr>
        <w:t>。</w:t>
      </w:r>
    </w:p>
    <w:p w14:paraId="5D4F16AB">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第六章认证评价</w:t>
      </w:r>
      <w:bookmarkEnd w:id="24"/>
      <w:r>
        <w:rPr>
          <w:rFonts w:hint="eastAsia" w:ascii="Times New Roman" w:hAnsi="Times New Roman" w:cs="宋体"/>
          <w:highlight w:val="none"/>
          <w:lang w:val="en-US" w:eastAsia="zh-CN"/>
        </w:rPr>
        <w:t>，建立完整的认证评价体系，该章节主要给出</w:t>
      </w:r>
      <w:bookmarkStart w:id="31" w:name="_Toc178793916"/>
      <w:bookmarkStart w:id="32" w:name="_Toc178793377"/>
      <w:bookmarkStart w:id="33" w:name="_Toc178794080"/>
      <w:bookmarkStart w:id="34" w:name="_Toc178793964"/>
      <w:bookmarkStart w:id="35" w:name="_Toc144279113"/>
      <w:bookmarkStart w:id="36" w:name="_Toc178793597"/>
      <w:r>
        <w:rPr>
          <w:rFonts w:hint="eastAsia" w:ascii="Times New Roman" w:hAnsi="Times New Roman" w:cs="宋体"/>
          <w:highlight w:val="none"/>
          <w:lang w:val="en-US" w:eastAsia="zh-CN"/>
        </w:rPr>
        <w:t>认证准则</w:t>
      </w:r>
      <w:bookmarkEnd w:id="31"/>
      <w:bookmarkEnd w:id="32"/>
      <w:bookmarkEnd w:id="33"/>
      <w:bookmarkEnd w:id="34"/>
      <w:bookmarkEnd w:id="35"/>
      <w:bookmarkEnd w:id="36"/>
      <w:r>
        <w:rPr>
          <w:rFonts w:hint="eastAsia" w:ascii="Times New Roman" w:hAnsi="Times New Roman" w:cs="宋体"/>
          <w:highlight w:val="none"/>
          <w:lang w:val="en-US" w:eastAsia="zh-CN"/>
        </w:rPr>
        <w:t>、</w:t>
      </w:r>
      <w:bookmarkStart w:id="37" w:name="_Toc178794081"/>
      <w:bookmarkStart w:id="38" w:name="_Toc144279116"/>
      <w:bookmarkStart w:id="39" w:name="_Toc178793598"/>
      <w:bookmarkStart w:id="40" w:name="_Toc178793965"/>
      <w:bookmarkStart w:id="41" w:name="_Toc178793378"/>
      <w:bookmarkStart w:id="42" w:name="_Toc178793917"/>
      <w:r>
        <w:rPr>
          <w:rFonts w:hint="eastAsia" w:ascii="Times New Roman" w:hAnsi="Times New Roman" w:cs="宋体"/>
          <w:highlight w:val="none"/>
          <w:lang w:val="en-US" w:eastAsia="zh-CN"/>
        </w:rPr>
        <w:t>认证模式</w:t>
      </w:r>
      <w:bookmarkEnd w:id="37"/>
      <w:bookmarkEnd w:id="38"/>
      <w:bookmarkEnd w:id="39"/>
      <w:bookmarkEnd w:id="40"/>
      <w:bookmarkEnd w:id="41"/>
      <w:bookmarkEnd w:id="42"/>
      <w:bookmarkStart w:id="43" w:name="_Toc178793966"/>
      <w:bookmarkStart w:id="44" w:name="_Toc178793379"/>
      <w:bookmarkStart w:id="45" w:name="_Toc134601928"/>
      <w:bookmarkStart w:id="46" w:name="_Toc178793599"/>
      <w:bookmarkStart w:id="47" w:name="_Toc144279119"/>
      <w:bookmarkStart w:id="48" w:name="_Toc178794082"/>
      <w:bookmarkStart w:id="49" w:name="_Toc178793918"/>
      <w:r>
        <w:rPr>
          <w:rFonts w:hint="eastAsia" w:ascii="Times New Roman" w:hAnsi="Times New Roman" w:cs="宋体"/>
          <w:highlight w:val="none"/>
          <w:lang w:val="en-US" w:eastAsia="zh-CN"/>
        </w:rPr>
        <w:t>、认证结果</w:t>
      </w:r>
      <w:bookmarkEnd w:id="43"/>
      <w:bookmarkEnd w:id="44"/>
      <w:bookmarkEnd w:id="45"/>
      <w:bookmarkEnd w:id="46"/>
      <w:bookmarkEnd w:id="47"/>
      <w:bookmarkEnd w:id="48"/>
      <w:bookmarkEnd w:id="49"/>
      <w:r>
        <w:rPr>
          <w:rFonts w:hint="eastAsia" w:ascii="Times New Roman" w:hAnsi="Times New Roman" w:cs="宋体"/>
          <w:highlight w:val="none"/>
          <w:lang w:val="en-US" w:eastAsia="zh-CN"/>
        </w:rPr>
        <w:t>的要求，为海南消费领域区域公共品牌认证提供技术依据。</w:t>
      </w:r>
    </w:p>
    <w:p w14:paraId="3DDFAEB6">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附录A为“海南消费领域区域公共品牌”旅游景点服务要求测评工具</w:t>
      </w:r>
      <w:r>
        <w:rPr>
          <w:rFonts w:hint="eastAsia" w:cs="宋体"/>
          <w:highlight w:val="none"/>
          <w:lang w:val="en-US" w:eastAsia="zh-CN"/>
        </w:rPr>
        <w:t>。</w:t>
      </w:r>
    </w:p>
    <w:p w14:paraId="503AF7F0">
      <w:pPr>
        <w:ind w:firstLine="640"/>
        <w:rPr>
          <w:rFonts w:hint="eastAsia" w:ascii="Times New Roman" w:hAnsi="Times New Roman" w:cs="宋体"/>
          <w:highlight w:val="none"/>
          <w:lang w:val="en-US" w:eastAsia="zh-CN"/>
        </w:rPr>
      </w:pPr>
      <w:r>
        <w:rPr>
          <w:rFonts w:hint="eastAsia" w:ascii="Times New Roman" w:hAnsi="Times New Roman" w:cs="宋体"/>
          <w:highlight w:val="none"/>
          <w:lang w:val="en-US" w:eastAsia="zh-CN"/>
        </w:rPr>
        <w:t>附录B为“海南消费领域区域公共品牌”旅游景点服务管理要求评价工具</w:t>
      </w:r>
      <w:r>
        <w:rPr>
          <w:rFonts w:hint="eastAsia" w:cs="宋体"/>
          <w:highlight w:val="none"/>
          <w:lang w:val="en-US" w:eastAsia="zh-CN"/>
        </w:rPr>
        <w:t>。</w:t>
      </w:r>
    </w:p>
    <w:p w14:paraId="06587584">
      <w:pPr>
        <w:ind w:firstLine="640"/>
        <w:rPr>
          <w:rFonts w:hint="default" w:ascii="Times New Roman" w:hAnsi="Times New Roman" w:cs="宋体"/>
          <w:highlight w:val="none"/>
          <w:lang w:val="en-US" w:eastAsia="zh-CN"/>
        </w:rPr>
      </w:pPr>
      <w:r>
        <w:rPr>
          <w:rFonts w:hint="eastAsia" w:ascii="Times New Roman" w:hAnsi="Times New Roman" w:cs="宋体"/>
          <w:highlight w:val="none"/>
          <w:lang w:val="en-US" w:eastAsia="zh-CN"/>
        </w:rPr>
        <w:t>附录C为旅游景点适用的标准清单</w:t>
      </w:r>
      <w:r>
        <w:rPr>
          <w:rFonts w:hint="eastAsia" w:cs="宋体"/>
          <w:highlight w:val="none"/>
          <w:lang w:val="en-US" w:eastAsia="zh-CN"/>
        </w:rPr>
        <w:t>。</w:t>
      </w:r>
    </w:p>
    <w:p w14:paraId="3F1BC0F3">
      <w:pPr>
        <w:ind w:firstLine="577"/>
        <w:rPr>
          <w:spacing w:val="-12"/>
        </w:rPr>
      </w:pPr>
    </w:p>
    <w:p w14:paraId="54418AB0">
      <w:pPr>
        <w:pStyle w:val="4"/>
      </w:pPr>
      <w:r>
        <w:rPr>
          <w:rFonts w:hint="eastAsia"/>
          <w:spacing w:val="-2"/>
        </w:rPr>
        <w:t>2、</w:t>
      </w:r>
      <w:r>
        <w:t xml:space="preserve">主要技术指标、参数 </w:t>
      </w:r>
    </w:p>
    <w:p w14:paraId="0D44B0C8">
      <w:pPr>
        <w:ind w:firstLine="640"/>
        <w:rPr>
          <w:rFonts w:hint="eastAsia" w:ascii="Times New Roman" w:hAnsi="Times New Roman" w:cs="宋体"/>
          <w:highlight w:val="none"/>
          <w:lang w:val="en-US" w:eastAsia="zh-CN"/>
        </w:rPr>
      </w:pPr>
      <w:r>
        <w:rPr>
          <w:rFonts w:hint="default" w:ascii="Times New Roman" w:hAnsi="Times New Roman" w:cs="宋体"/>
          <w:highlight w:val="none"/>
          <w:lang w:val="en-US" w:eastAsia="zh-CN"/>
        </w:rPr>
        <w:t>评分体系：采用百分制，设五个星级认证等级，与品牌建设要求匹配</w:t>
      </w:r>
    </w:p>
    <w:p w14:paraId="252FC768">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测评方法：综合运用公开测评、神秘顾客、顾客调查等方法</w:t>
      </w:r>
    </w:p>
    <w:p w14:paraId="7DAB0A74">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品牌特色指标：设置海南特色服务专项评价内容</w:t>
      </w:r>
    </w:p>
    <w:p w14:paraId="7561A54E">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关键技术参数：体验系数a（0-1.0分五档）</w:t>
      </w:r>
    </w:p>
    <w:p w14:paraId="70577CEC">
      <w:pPr>
        <w:ind w:firstLine="2520" w:firstLineChars="90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体验否决系数E（0或1）</w:t>
      </w:r>
    </w:p>
    <w:p w14:paraId="7932E5F8">
      <w:pPr>
        <w:ind w:firstLine="640"/>
        <w:rPr>
          <w:rFonts w:hint="default" w:ascii="Times New Roman" w:hAnsi="Times New Roman" w:cs="宋体"/>
          <w:highlight w:val="none"/>
          <w:lang w:val="en-US" w:eastAsia="zh-CN"/>
        </w:rPr>
      </w:pPr>
      <w:r>
        <w:rPr>
          <w:rFonts w:hint="default" w:ascii="Times New Roman" w:hAnsi="Times New Roman" w:cs="宋体"/>
          <w:highlight w:val="none"/>
          <w:lang w:val="en-US" w:eastAsia="zh-CN"/>
        </w:rPr>
        <w:t>权重分配突出品牌特色</w:t>
      </w:r>
      <w:r>
        <w:rPr>
          <w:rFonts w:hint="eastAsia" w:ascii="Times New Roman" w:hAnsi="Times New Roman" w:cs="宋体"/>
          <w:highlight w:val="none"/>
          <w:lang w:val="en-US" w:eastAsia="zh-CN"/>
        </w:rPr>
        <w:t>要素。</w:t>
      </w:r>
    </w:p>
    <w:p w14:paraId="388948CE">
      <w:pPr>
        <w:pStyle w:val="3"/>
      </w:pPr>
    </w:p>
    <w:p w14:paraId="66C8DF26">
      <w:pPr>
        <w:pStyle w:val="3"/>
      </w:pPr>
      <w:r>
        <w:t>（五）标准中如果涉及专利，应有明确的知识产权说明</w:t>
      </w:r>
    </w:p>
    <w:p w14:paraId="43259E61">
      <w:pPr>
        <w:ind w:firstLine="560"/>
      </w:pPr>
      <w:r>
        <w:t>无。</w:t>
      </w:r>
    </w:p>
    <w:p w14:paraId="0A5B031B">
      <w:pPr>
        <w:ind w:firstLine="560"/>
      </w:pPr>
    </w:p>
    <w:p w14:paraId="1539C675">
      <w:pPr>
        <w:pStyle w:val="3"/>
      </w:pPr>
      <w:r>
        <w:t>（六）采用国际标准或国外先进标准的，说明采标程度，以及国内外同类标准水平的对比情况</w:t>
      </w:r>
    </w:p>
    <w:p w14:paraId="70D9683E">
      <w:pPr>
        <w:ind w:firstLine="640"/>
        <w:rPr>
          <w:rFonts w:hint="eastAsia"/>
        </w:rPr>
      </w:pPr>
      <w:r>
        <w:rPr>
          <w:rFonts w:hint="eastAsia"/>
        </w:rPr>
        <w:t>拟制定的《</w:t>
      </w:r>
      <w:r>
        <w:rPr>
          <w:rFonts w:hint="eastAsia"/>
          <w:lang w:val="en-US" w:eastAsia="zh-CN"/>
        </w:rPr>
        <w:t>海南消费领域区域公共品牌特色服务 特色服务</w:t>
      </w:r>
      <w:r>
        <w:rPr>
          <w:rFonts w:hint="eastAsia"/>
        </w:rPr>
        <w:t>》为首次制定，符合我国目前法律、法规和强制性国家标准的规定，与有关法律、法规和国家标准、行业标准相协调，没有矛盾。</w:t>
      </w:r>
    </w:p>
    <w:p w14:paraId="74DD245E">
      <w:pPr>
        <w:ind w:firstLine="640"/>
        <w:rPr>
          <w:rFonts w:hint="eastAsia"/>
        </w:rPr>
      </w:pPr>
    </w:p>
    <w:p w14:paraId="4D2586AA">
      <w:pPr>
        <w:pStyle w:val="3"/>
      </w:pPr>
      <w:r>
        <w:t>（七）重大分歧意见的处理依据和结果</w:t>
      </w:r>
    </w:p>
    <w:p w14:paraId="33AC0FAF">
      <w:pPr>
        <w:ind w:firstLine="560"/>
      </w:pPr>
      <w:r>
        <w:t>无。</w:t>
      </w:r>
    </w:p>
    <w:p w14:paraId="23178468">
      <w:pPr>
        <w:ind w:firstLine="560"/>
      </w:pPr>
    </w:p>
    <w:p w14:paraId="6AE283F0">
      <w:pPr>
        <w:pStyle w:val="3"/>
      </w:pPr>
      <w:r>
        <w:t>（八）贯彻标准的要求和措施建议（包括组织措施、技术措施、过渡办法、实施日期等）</w:t>
      </w:r>
    </w:p>
    <w:p w14:paraId="638AECB7">
      <w:pPr>
        <w:ind w:firstLine="640"/>
        <w:rPr>
          <w:rFonts w:hint="eastAsia" w:ascii="Times New Roman" w:hAnsi="Times New Roman" w:cs="宋体"/>
          <w:lang w:val="en-US" w:eastAsia="zh-CN"/>
        </w:rPr>
      </w:pPr>
      <w:r>
        <w:rPr>
          <w:rFonts w:hint="eastAsia" w:ascii="Times New Roman" w:hAnsi="Times New Roman" w:cs="宋体"/>
          <w:lang w:val="en-US" w:eastAsia="zh-CN"/>
        </w:rPr>
        <w:t>1.贯彻标准的要求</w:t>
      </w:r>
    </w:p>
    <w:p w14:paraId="7BBE27D8">
      <w:pPr>
        <w:ind w:firstLine="640"/>
        <w:rPr>
          <w:rFonts w:hint="eastAsia" w:ascii="Times New Roman" w:hAnsi="Times New Roman" w:cs="宋体"/>
          <w:lang w:val="en-US" w:eastAsia="zh-CN"/>
        </w:rPr>
      </w:pPr>
      <w:r>
        <w:rPr>
          <w:rFonts w:hint="eastAsia" w:ascii="Times New Roman" w:hAnsi="Times New Roman" w:cs="宋体"/>
          <w:lang w:val="en-US" w:eastAsia="zh-CN"/>
        </w:rPr>
        <w:t>品牌协同推进：</w:t>
      </w:r>
      <w:r>
        <w:rPr>
          <w:rFonts w:hint="default" w:ascii="Times New Roman" w:hAnsi="Times New Roman" w:cs="宋体"/>
          <w:lang w:val="en-US" w:eastAsia="zh-CN"/>
        </w:rPr>
        <w:t>与</w:t>
      </w:r>
      <w:r>
        <w:rPr>
          <w:rFonts w:hint="eastAsia" w:ascii="Times New Roman" w:hAnsi="Times New Roman" w:cs="宋体"/>
          <w:lang w:val="en-US" w:eastAsia="zh-CN"/>
        </w:rPr>
        <w:t>海</w:t>
      </w:r>
      <w:r>
        <w:rPr>
          <w:rFonts w:hint="default" w:ascii="Times New Roman" w:hAnsi="Times New Roman" w:cs="宋体"/>
          <w:lang w:val="en-US" w:eastAsia="zh-CN"/>
        </w:rPr>
        <w:t>南消费领域</w:t>
      </w:r>
      <w:r>
        <w:rPr>
          <w:rFonts w:hint="eastAsia" w:ascii="Times New Roman" w:hAnsi="Times New Roman" w:cs="宋体"/>
          <w:lang w:val="en-US" w:eastAsia="zh-CN"/>
        </w:rPr>
        <w:t>区域公共</w:t>
      </w:r>
      <w:r>
        <w:rPr>
          <w:rFonts w:hint="default" w:ascii="Times New Roman" w:hAnsi="Times New Roman" w:cs="宋体"/>
          <w:lang w:val="en-US" w:eastAsia="zh-CN"/>
        </w:rPr>
        <w:t>品牌建设同步推进实施</w:t>
      </w:r>
      <w:r>
        <w:rPr>
          <w:rFonts w:hint="eastAsia" w:cs="宋体"/>
          <w:lang w:val="en-US" w:eastAsia="zh-CN"/>
        </w:rPr>
        <w:t>。</w:t>
      </w:r>
    </w:p>
    <w:p w14:paraId="71DE995C">
      <w:pPr>
        <w:ind w:firstLine="630"/>
        <w:rPr>
          <w:rFonts w:hint="eastAsia"/>
          <w:w w:val="99"/>
        </w:rPr>
      </w:pPr>
      <w:r>
        <w:rPr>
          <w:rFonts w:hint="eastAsia" w:ascii="Times New Roman" w:hAnsi="Times New Roman" w:cs="宋体"/>
          <w:lang w:val="en-US" w:eastAsia="zh-CN"/>
        </w:rPr>
        <w:t>加强宣传培训：</w:t>
      </w:r>
      <w:r>
        <w:rPr>
          <w:rFonts w:hint="eastAsia"/>
          <w:w w:val="99"/>
        </w:rPr>
        <w:t>相关部门应组织开展本规范的宣传培训工作，通过举办培训班、研讨会、发放宣传资料等形式，</w:t>
      </w:r>
      <w:r>
        <w:rPr>
          <w:rFonts w:hint="eastAsia" w:ascii="Times New Roman" w:hAnsi="Times New Roman" w:cs="宋体"/>
          <w:lang w:val="en-US" w:eastAsia="zh-CN"/>
        </w:rPr>
        <w:t>向海南区域</w:t>
      </w:r>
      <w:r>
        <w:rPr>
          <w:rFonts w:hint="eastAsia" w:cs="宋体"/>
          <w:lang w:val="en-US" w:eastAsia="zh-CN"/>
        </w:rPr>
        <w:t>内的旅游业企业、旅游景点</w:t>
      </w:r>
      <w:r>
        <w:rPr>
          <w:rFonts w:hint="eastAsia" w:ascii="Times New Roman" w:hAnsi="Times New Roman" w:cs="宋体"/>
          <w:lang w:val="en-US" w:eastAsia="zh-CN"/>
        </w:rPr>
        <w:t>、行业主管</w:t>
      </w:r>
      <w:r>
        <w:rPr>
          <w:rFonts w:hint="eastAsia" w:cs="宋体"/>
          <w:lang w:val="en-US" w:eastAsia="zh-CN"/>
        </w:rPr>
        <w:t>部门</w:t>
      </w:r>
      <w:r>
        <w:rPr>
          <w:rFonts w:hint="eastAsia" w:ascii="Times New Roman" w:hAnsi="Times New Roman" w:cs="宋体"/>
          <w:lang w:val="en-US" w:eastAsia="zh-CN"/>
        </w:rPr>
        <w:t>、监管部门和消费者宣传本规范的重要意义和主要内容，提高</w:t>
      </w:r>
      <w:r>
        <w:rPr>
          <w:rFonts w:hint="eastAsia"/>
          <w:w w:val="99"/>
        </w:rPr>
        <w:t>企业和监管人员对规范的认识和理解，增强企业执行规范的自觉性和主动性，引导消费者正确选择海南消费领域区域公共品牌。</w:t>
      </w:r>
    </w:p>
    <w:p w14:paraId="2FE94D6D">
      <w:pPr>
        <w:ind w:firstLine="640"/>
        <w:rPr>
          <w:rFonts w:hint="default" w:ascii="Times New Roman" w:hAnsi="Times New Roman" w:cs="宋体"/>
          <w:lang w:val="en-US" w:eastAsia="zh-CN"/>
        </w:rPr>
      </w:pPr>
      <w:r>
        <w:rPr>
          <w:rFonts w:hint="eastAsia" w:cs="宋体"/>
          <w:lang w:val="en-US" w:eastAsia="zh-CN"/>
        </w:rPr>
        <w:t>2.措施建议</w:t>
      </w:r>
    </w:p>
    <w:p w14:paraId="091C9618">
      <w:pPr>
        <w:ind w:firstLine="630"/>
        <w:rPr>
          <w:rFonts w:hint="default" w:ascii="Times New Roman" w:hAnsi="Times New Roman" w:cs="宋体"/>
          <w:lang w:val="en-US" w:eastAsia="zh-CN"/>
        </w:rPr>
      </w:pPr>
      <w:r>
        <w:rPr>
          <w:rFonts w:hint="eastAsia" w:cs="宋体"/>
          <w:lang w:val="en-US" w:eastAsia="zh-CN"/>
        </w:rPr>
        <w:t>政策支持：</w:t>
      </w:r>
      <w:r>
        <w:rPr>
          <w:rFonts w:hint="eastAsia"/>
          <w:w w:val="99"/>
        </w:rPr>
        <w:t>政府应出台相关政策，对积极执行本规范的企业给予支持和鼓励。例如，给予财政补贴、税收优惠、项目扶持等，引导企业加大在技术创新、设备更新、质量控制等方面的投入，提高企业的生产水平和竞争力。同时，支持企业开展品牌建设和市场推广活动，提高海南消费领域区域公共品牌</w:t>
      </w:r>
      <w:r>
        <w:rPr>
          <w:rFonts w:hint="eastAsia"/>
          <w:w w:val="99"/>
          <w:lang w:val="en-US" w:eastAsia="zh-CN"/>
        </w:rPr>
        <w:t>特色服务</w:t>
      </w:r>
      <w:r>
        <w:rPr>
          <w:rFonts w:hint="eastAsia"/>
          <w:w w:val="99"/>
        </w:rPr>
        <w:t>农食产品的市场知名度和美誉度</w:t>
      </w:r>
      <w:r>
        <w:rPr>
          <w:rFonts w:hint="eastAsia"/>
        </w:rPr>
        <w:t>。</w:t>
      </w:r>
      <w:r>
        <w:rPr>
          <w:rFonts w:hint="eastAsia"/>
          <w:lang w:val="en-US" w:eastAsia="zh-CN"/>
        </w:rPr>
        <w:t>还可：</w:t>
      </w:r>
      <w:r>
        <w:rPr>
          <w:rFonts w:hint="default" w:ascii="Times New Roman" w:hAnsi="Times New Roman" w:cs="宋体"/>
          <w:lang w:val="en-US" w:eastAsia="zh-CN"/>
        </w:rPr>
        <w:t>选择基础较好的旅游景</w:t>
      </w:r>
      <w:r>
        <w:rPr>
          <w:rFonts w:hint="eastAsia" w:ascii="Times New Roman" w:hAnsi="Times New Roman" w:cs="宋体"/>
          <w:lang w:val="en-US" w:eastAsia="zh-CN"/>
        </w:rPr>
        <w:t>点</w:t>
      </w:r>
      <w:r>
        <w:rPr>
          <w:rFonts w:hint="default" w:ascii="Times New Roman" w:hAnsi="Times New Roman" w:cs="宋体"/>
          <w:lang w:val="en-US" w:eastAsia="zh-CN"/>
        </w:rPr>
        <w:t>开展</w:t>
      </w:r>
      <w:r>
        <w:rPr>
          <w:rFonts w:hint="eastAsia" w:ascii="Times New Roman" w:hAnsi="Times New Roman" w:cs="宋体"/>
          <w:lang w:val="en-US" w:eastAsia="zh-CN"/>
        </w:rPr>
        <w:t>示范</w:t>
      </w:r>
      <w:r>
        <w:rPr>
          <w:rFonts w:hint="default" w:ascii="Times New Roman" w:hAnsi="Times New Roman" w:cs="宋体"/>
          <w:lang w:val="en-US" w:eastAsia="zh-CN"/>
        </w:rPr>
        <w:t>试点</w:t>
      </w:r>
      <w:r>
        <w:rPr>
          <w:rFonts w:hint="eastAsia" w:ascii="Times New Roman" w:hAnsi="Times New Roman" w:cs="宋体"/>
          <w:lang w:val="en-US" w:eastAsia="zh-CN"/>
        </w:rPr>
        <w:t>。</w:t>
      </w:r>
      <w:r>
        <w:rPr>
          <w:rFonts w:hint="default" w:ascii="Times New Roman" w:hAnsi="Times New Roman" w:cs="宋体"/>
          <w:lang w:val="en-US" w:eastAsia="zh-CN"/>
        </w:rPr>
        <w:t>依托认证机构开展认证</w:t>
      </w:r>
      <w:r>
        <w:rPr>
          <w:rFonts w:hint="eastAsia" w:cs="宋体"/>
          <w:lang w:val="en-US" w:eastAsia="zh-CN"/>
        </w:rPr>
        <w:t>。</w:t>
      </w:r>
    </w:p>
    <w:p w14:paraId="599A63B1">
      <w:pPr>
        <w:ind w:firstLine="640"/>
        <w:rPr>
          <w:rFonts w:hint="eastAsia" w:ascii="Times New Roman" w:hAnsi="Times New Roman" w:eastAsia="仿宋" w:cs="宋体"/>
          <w:lang w:val="en-US" w:eastAsia="zh-CN"/>
        </w:rPr>
      </w:pPr>
      <w:r>
        <w:rPr>
          <w:rFonts w:hint="eastAsia" w:ascii="Times New Roman" w:hAnsi="Times New Roman" w:cs="宋体"/>
          <w:lang w:val="en-US" w:eastAsia="zh-CN"/>
        </w:rPr>
        <w:t>强化监督管理：建立健全监督管理机制，加强对海南消费领域区域公共品牌建设和运营的监督检查。对违反规范要求的企业进行督促整改，确保规范的有效实施。</w:t>
      </w:r>
      <w:r>
        <w:rPr>
          <w:rFonts w:hint="eastAsia"/>
          <w:w w:val="99"/>
        </w:rPr>
        <w:t>同时，建立健全投诉举报机制，鼓励消费者对不符合规范要求的</w:t>
      </w:r>
      <w:r>
        <w:rPr>
          <w:rFonts w:hint="eastAsia"/>
          <w:w w:val="99"/>
          <w:lang w:val="en-US" w:eastAsia="zh-CN"/>
        </w:rPr>
        <w:t>旅游景点服务</w:t>
      </w:r>
      <w:r>
        <w:rPr>
          <w:rFonts w:hint="eastAsia"/>
          <w:w w:val="99"/>
        </w:rPr>
        <w:t>和企业进行举报</w:t>
      </w:r>
      <w:r>
        <w:rPr>
          <w:rFonts w:hint="eastAsia"/>
          <w:w w:val="99"/>
          <w:lang w:eastAsia="zh-CN"/>
        </w:rPr>
        <w:t>。</w:t>
      </w:r>
    </w:p>
    <w:p w14:paraId="6256C4D2">
      <w:pPr>
        <w:ind w:firstLine="640"/>
        <w:rPr>
          <w:rFonts w:hint="eastAsia" w:ascii="Times New Roman" w:hAnsi="Times New Roman" w:cs="宋体"/>
          <w:lang w:val="en-US" w:eastAsia="zh-CN"/>
        </w:rPr>
      </w:pPr>
      <w:r>
        <w:rPr>
          <w:rFonts w:hint="eastAsia" w:ascii="Times New Roman" w:hAnsi="Times New Roman" w:cs="宋体"/>
          <w:lang w:val="en-US" w:eastAsia="zh-CN"/>
        </w:rPr>
        <w:t>建立标准实施反馈机制：设立专门的反馈渠道，收集企业和消费者在标准实施过程中的意见和建议。定期对标准的实施情况进行评估和分析，根据反馈结果及时对标准进行修订和完善。</w:t>
      </w:r>
    </w:p>
    <w:p w14:paraId="5B58FF07">
      <w:pPr>
        <w:ind w:firstLine="551"/>
        <w:rPr>
          <w:rFonts w:hint="eastAsia"/>
        </w:rPr>
      </w:pPr>
    </w:p>
    <w:p w14:paraId="22EEB1C9">
      <w:pPr>
        <w:pStyle w:val="3"/>
      </w:pPr>
      <w:r>
        <w:t>（九）预期效果</w:t>
      </w:r>
    </w:p>
    <w:p w14:paraId="0D58A3FA">
      <w:pPr>
        <w:ind w:firstLine="640"/>
        <w:rPr>
          <w:rFonts w:hint="eastAsia" w:ascii="Times New Roman" w:hAnsi="Times New Roman" w:cs="宋体"/>
          <w:lang w:val="en-US" w:eastAsia="zh-CN"/>
        </w:rPr>
      </w:pPr>
      <w:r>
        <w:rPr>
          <w:rFonts w:hint="eastAsia" w:ascii="Times New Roman" w:hAnsi="Times New Roman" w:cs="宋体"/>
          <w:lang w:val="en-US" w:eastAsia="zh-CN"/>
        </w:rPr>
        <w:t>1.经济效益：激活产业价值，提升市场竞争力</w:t>
      </w:r>
    </w:p>
    <w:p w14:paraId="039302D9">
      <w:pPr>
        <w:ind w:left="0" w:leftChars="0" w:firstLine="560" w:firstLineChars="200"/>
        <w:rPr>
          <w:rFonts w:hint="eastAsia" w:ascii="Times New Roman" w:hAnsi="Times New Roman" w:cs="宋体"/>
          <w:lang w:val="en-US" w:eastAsia="zh-CN"/>
        </w:rPr>
      </w:pPr>
      <w:r>
        <w:rPr>
          <w:rFonts w:hint="eastAsia" w:ascii="Times New Roman" w:hAnsi="Times New Roman" w:cs="宋体"/>
          <w:lang w:val="en-US" w:eastAsia="zh-CN"/>
        </w:rPr>
        <w:t>对提供服务的经营者：统一的品牌标准能提升产品附加值，帮助组织摆脱“低价竞争”，</w:t>
      </w:r>
      <w:r>
        <w:rPr>
          <w:rFonts w:hint="eastAsia" w:cs="宋体"/>
          <w:lang w:val="en-US" w:eastAsia="zh-CN"/>
        </w:rPr>
        <w:t>逐步提高与海南国际消费旅游中心匹配的旅游景点特色服务形象，为消费者、经营合作方等相关方提供服务品质和品牌信心，减少投诉率，</w:t>
      </w:r>
      <w:r>
        <w:rPr>
          <w:rFonts w:hint="eastAsia" w:ascii="Times New Roman" w:hAnsi="Times New Roman" w:cs="宋体"/>
          <w:lang w:val="en-US" w:eastAsia="zh-CN"/>
        </w:rPr>
        <w:t>增加</w:t>
      </w:r>
      <w:r>
        <w:rPr>
          <w:rFonts w:hint="eastAsia" w:cs="宋体"/>
          <w:lang w:val="en-US" w:eastAsia="zh-CN"/>
        </w:rPr>
        <w:t>国内外客源和</w:t>
      </w:r>
      <w:r>
        <w:rPr>
          <w:rFonts w:hint="eastAsia" w:ascii="Times New Roman" w:hAnsi="Times New Roman" w:cs="宋体"/>
          <w:lang w:val="en-US" w:eastAsia="zh-CN"/>
        </w:rPr>
        <w:t>销售收入</w:t>
      </w:r>
      <w:r>
        <w:rPr>
          <w:rFonts w:hint="eastAsia" w:cs="宋体"/>
          <w:lang w:val="en-US" w:eastAsia="zh-CN"/>
        </w:rPr>
        <w:t>，有利</w:t>
      </w:r>
      <w:r>
        <w:rPr>
          <w:rFonts w:hint="eastAsia" w:ascii="Times New Roman" w:hAnsi="Times New Roman" w:cs="宋体"/>
          <w:lang w:val="en-US" w:eastAsia="zh-CN"/>
        </w:rPr>
        <w:t>进入更高端</w:t>
      </w:r>
      <w:r>
        <w:rPr>
          <w:rFonts w:hint="eastAsia" w:cs="宋体"/>
          <w:lang w:val="en-US" w:eastAsia="zh-CN"/>
        </w:rPr>
        <w:t>、更受欢迎</w:t>
      </w:r>
      <w:r>
        <w:rPr>
          <w:rFonts w:hint="eastAsia" w:ascii="Times New Roman" w:hAnsi="Times New Roman" w:cs="宋体"/>
          <w:lang w:val="en-US" w:eastAsia="zh-CN"/>
        </w:rPr>
        <w:t>的消费市场；标准化管理</w:t>
      </w:r>
      <w:r>
        <w:rPr>
          <w:rFonts w:hint="eastAsia" w:cs="宋体"/>
          <w:lang w:val="en-US" w:eastAsia="zh-CN"/>
        </w:rPr>
        <w:t>能实现景区日常规范运营、管理创新，提高品牌影响力、</w:t>
      </w:r>
      <w:r>
        <w:rPr>
          <w:rFonts w:hint="eastAsia" w:ascii="Times New Roman" w:hAnsi="Times New Roman" w:cs="宋体"/>
          <w:lang w:val="en-US" w:eastAsia="zh-CN"/>
        </w:rPr>
        <w:t>降低管理成本，提升企业利润空间。</w:t>
      </w:r>
    </w:p>
    <w:p w14:paraId="648F7A6B">
      <w:pPr>
        <w:ind w:firstLine="640"/>
        <w:rPr>
          <w:rFonts w:hint="eastAsia" w:ascii="Times New Roman" w:hAnsi="Times New Roman" w:cs="宋体"/>
          <w:lang w:val="en-US" w:eastAsia="zh-CN"/>
        </w:rPr>
      </w:pPr>
      <w:r>
        <w:rPr>
          <w:rFonts w:hint="eastAsia" w:ascii="Times New Roman" w:hAnsi="Times New Roman" w:cs="宋体"/>
          <w:lang w:val="en-US" w:eastAsia="zh-CN"/>
        </w:rPr>
        <w:t>对</w:t>
      </w:r>
      <w:r>
        <w:rPr>
          <w:rFonts w:hint="eastAsia" w:cs="宋体"/>
          <w:lang w:val="en-US" w:eastAsia="zh-CN"/>
        </w:rPr>
        <w:t>市场流通和</w:t>
      </w:r>
      <w:r>
        <w:rPr>
          <w:rFonts w:hint="eastAsia" w:ascii="Times New Roman" w:hAnsi="Times New Roman" w:cs="宋体"/>
          <w:lang w:val="en-US" w:eastAsia="zh-CN"/>
        </w:rPr>
        <w:t>区域产业：</w:t>
      </w:r>
      <w:r>
        <w:rPr>
          <w:rFonts w:hint="eastAsia" w:cs="宋体"/>
          <w:lang w:val="en-US" w:eastAsia="zh-CN"/>
        </w:rPr>
        <w:t>旅游景点服务是旅游产业链核心运营端，</w:t>
      </w:r>
      <w:r>
        <w:rPr>
          <w:rFonts w:hint="eastAsia" w:ascii="Times New Roman" w:hAnsi="Times New Roman" w:cs="宋体"/>
          <w:lang w:val="en-US" w:eastAsia="zh-CN"/>
        </w:rPr>
        <w:t>“海南消费领域区域公共品牌”</w:t>
      </w:r>
      <w:r>
        <w:rPr>
          <w:rFonts w:hint="eastAsia" w:cs="宋体"/>
          <w:lang w:val="en-US" w:eastAsia="zh-CN"/>
        </w:rPr>
        <w:t>旅游景点服务</w:t>
      </w:r>
      <w:r>
        <w:rPr>
          <w:rFonts w:hint="eastAsia" w:ascii="Times New Roman" w:hAnsi="Times New Roman" w:cs="宋体"/>
          <w:lang w:val="en-US" w:eastAsia="zh-CN"/>
        </w:rPr>
        <w:t>的统一规范，能整合</w:t>
      </w:r>
      <w:r>
        <w:rPr>
          <w:rFonts w:hint="eastAsia" w:cs="宋体"/>
          <w:lang w:val="en-US" w:eastAsia="zh-CN"/>
        </w:rPr>
        <w:t>品牌意识和服务意识，</w:t>
      </w:r>
      <w:r>
        <w:rPr>
          <w:rFonts w:hint="eastAsia" w:ascii="Times New Roman" w:hAnsi="Times New Roman" w:cs="宋体"/>
          <w:lang w:val="en-US" w:eastAsia="zh-CN"/>
        </w:rPr>
        <w:t>形成产业集群效应，吸引产业链上下游资源</w:t>
      </w:r>
      <w:r>
        <w:rPr>
          <w:rFonts w:hint="eastAsia" w:cs="宋体"/>
          <w:lang w:val="en-US" w:eastAsia="zh-CN"/>
        </w:rPr>
        <w:t>、配套关联产业、支撑衍生产业</w:t>
      </w:r>
      <w:r>
        <w:rPr>
          <w:rFonts w:hint="eastAsia" w:ascii="Times New Roman" w:hAnsi="Times New Roman" w:cs="宋体"/>
          <w:lang w:val="en-US" w:eastAsia="zh-CN"/>
        </w:rPr>
        <w:t>（如</w:t>
      </w:r>
      <w:r>
        <w:rPr>
          <w:rFonts w:hint="eastAsia" w:cs="宋体"/>
          <w:lang w:val="en-US" w:eastAsia="zh-CN"/>
        </w:rPr>
        <w:t>海南特色/非遗文化工艺、旅行社、景区及周边商家、景区科技产品/服务运营商、旅游和文艺比赛运动类活动策划/运营商、餐饮住宿服务、交通</w:t>
      </w:r>
      <w:r>
        <w:rPr>
          <w:rFonts w:hint="eastAsia" w:ascii="Times New Roman" w:hAnsi="Times New Roman" w:cs="宋体"/>
          <w:lang w:val="en-US" w:eastAsia="zh-CN"/>
        </w:rPr>
        <w:t>物流、</w:t>
      </w:r>
      <w:r>
        <w:rPr>
          <w:rFonts w:hint="eastAsia" w:cs="宋体"/>
          <w:lang w:val="en-US" w:eastAsia="zh-CN"/>
        </w:rPr>
        <w:t>有税/免税商品购物、</w:t>
      </w:r>
      <w:r>
        <w:rPr>
          <w:rFonts w:hint="eastAsia" w:ascii="Times New Roman" w:hAnsi="Times New Roman" w:cs="宋体"/>
          <w:lang w:val="en-US" w:eastAsia="zh-CN"/>
        </w:rPr>
        <w:t>电商、投资</w:t>
      </w:r>
      <w:r>
        <w:rPr>
          <w:rFonts w:hint="eastAsia" w:cs="宋体"/>
          <w:lang w:val="en-US" w:eastAsia="zh-CN"/>
        </w:rPr>
        <w:t>、基础设施公共服务、人才教育</w:t>
      </w:r>
      <w:r>
        <w:rPr>
          <w:rFonts w:hint="eastAsia" w:ascii="Times New Roman" w:hAnsi="Times New Roman" w:cs="宋体"/>
          <w:lang w:val="en-US" w:eastAsia="zh-CN"/>
        </w:rPr>
        <w:t>）集聚，带动海南</w:t>
      </w:r>
      <w:r>
        <w:rPr>
          <w:rFonts w:hint="eastAsia" w:cs="宋体"/>
          <w:lang w:val="en-US" w:eastAsia="zh-CN"/>
        </w:rPr>
        <w:t>消费商圈和旅游产</w:t>
      </w:r>
      <w:r>
        <w:rPr>
          <w:rFonts w:hint="eastAsia" w:ascii="Times New Roman" w:hAnsi="Times New Roman" w:cs="宋体"/>
          <w:lang w:val="en-US" w:eastAsia="zh-CN"/>
        </w:rPr>
        <w:t>业整体产值提升</w:t>
      </w:r>
      <w:r>
        <w:rPr>
          <w:rFonts w:hint="eastAsia" w:cs="宋体"/>
          <w:lang w:val="en-US" w:eastAsia="zh-CN"/>
        </w:rPr>
        <w:t>，推动良性循环</w:t>
      </w:r>
      <w:r>
        <w:rPr>
          <w:rFonts w:hint="eastAsia" w:ascii="Times New Roman" w:hAnsi="Times New Roman" w:cs="宋体"/>
          <w:lang w:val="en-US" w:eastAsia="zh-CN"/>
        </w:rPr>
        <w:t>；同时，品牌公信力的建立能增强</w:t>
      </w:r>
      <w:r>
        <w:rPr>
          <w:rFonts w:hint="eastAsia" w:cs="宋体"/>
          <w:lang w:val="en-US" w:eastAsia="zh-CN"/>
        </w:rPr>
        <w:t>旅游景区</w:t>
      </w:r>
      <w:r>
        <w:rPr>
          <w:rFonts w:hint="eastAsia" w:ascii="Times New Roman" w:hAnsi="Times New Roman" w:cs="宋体"/>
          <w:lang w:val="en-US" w:eastAsia="zh-CN"/>
        </w:rPr>
        <w:t>对外</w:t>
      </w:r>
      <w:r>
        <w:rPr>
          <w:rFonts w:hint="eastAsia" w:cs="宋体"/>
          <w:lang w:val="en-US" w:eastAsia="zh-CN"/>
        </w:rPr>
        <w:t>吸引力</w:t>
      </w:r>
      <w:r>
        <w:rPr>
          <w:rFonts w:hint="eastAsia" w:ascii="Times New Roman" w:hAnsi="Times New Roman" w:cs="宋体"/>
          <w:lang w:val="en-US" w:eastAsia="zh-CN"/>
        </w:rPr>
        <w:t>，扩大市场份额，为区域经济注入活力。</w:t>
      </w:r>
    </w:p>
    <w:p w14:paraId="2C5307B0">
      <w:pPr>
        <w:ind w:firstLine="640"/>
        <w:rPr>
          <w:rFonts w:hint="eastAsia" w:ascii="Times New Roman" w:hAnsi="Times New Roman" w:cs="宋体"/>
          <w:lang w:val="en-US" w:eastAsia="zh-CN"/>
        </w:rPr>
      </w:pPr>
      <w:r>
        <w:rPr>
          <w:rFonts w:hint="eastAsia" w:ascii="Times New Roman" w:hAnsi="Times New Roman" w:cs="宋体"/>
          <w:lang w:val="en-US" w:eastAsia="zh-CN"/>
        </w:rPr>
        <w:t>2.社会效益：保障公众权益，促进社会稳定</w:t>
      </w:r>
    </w:p>
    <w:p w14:paraId="3B74F266">
      <w:pPr>
        <w:ind w:firstLine="640"/>
        <w:rPr>
          <w:rFonts w:hint="eastAsia" w:ascii="Times New Roman" w:hAnsi="Times New Roman" w:cs="宋体"/>
          <w:lang w:val="en-US" w:eastAsia="zh-CN"/>
        </w:rPr>
      </w:pPr>
      <w:r>
        <w:rPr>
          <w:rFonts w:hint="eastAsia" w:ascii="Times New Roman" w:hAnsi="Times New Roman" w:cs="宋体"/>
          <w:lang w:val="en-US" w:eastAsia="zh-CN"/>
        </w:rPr>
        <w:t>保障消费者权益：消费者可通过品牌认证快速识别</w:t>
      </w:r>
      <w:r>
        <w:rPr>
          <w:rFonts w:hint="eastAsia" w:cs="宋体"/>
          <w:lang w:val="en-US" w:eastAsia="zh-CN"/>
        </w:rPr>
        <w:t>特色服务旅游景点和服务</w:t>
      </w:r>
      <w:r>
        <w:rPr>
          <w:rFonts w:hint="eastAsia" w:ascii="Times New Roman" w:hAnsi="Times New Roman" w:cs="宋体"/>
          <w:lang w:val="en-US" w:eastAsia="zh-CN"/>
        </w:rPr>
        <w:t>，降低选择成本，提升消费满意度和安全感。</w:t>
      </w:r>
    </w:p>
    <w:p w14:paraId="214D4BFB">
      <w:pPr>
        <w:ind w:firstLine="640"/>
        <w:rPr>
          <w:rFonts w:hint="eastAsia" w:ascii="Times New Roman" w:hAnsi="Times New Roman" w:cs="宋体"/>
          <w:lang w:val="en-US" w:eastAsia="zh-CN"/>
        </w:rPr>
      </w:pPr>
      <w:r>
        <w:rPr>
          <w:rFonts w:hint="eastAsia" w:ascii="Times New Roman" w:hAnsi="Times New Roman" w:cs="宋体"/>
          <w:lang w:val="en-US" w:eastAsia="zh-CN"/>
        </w:rPr>
        <w:t>提升从业者素质：标准对人员能力的要求（如培训计划、管理者资质），能倒逼从业者学习专业知识和技能，</w:t>
      </w:r>
      <w:r>
        <w:rPr>
          <w:rFonts w:hint="eastAsia" w:cs="宋体"/>
          <w:lang w:val="en-US" w:eastAsia="zh-CN"/>
        </w:rPr>
        <w:t>适应海南自贸港和国际化交流要求，</w:t>
      </w:r>
      <w:r>
        <w:rPr>
          <w:rFonts w:hint="eastAsia" w:ascii="Times New Roman" w:hAnsi="Times New Roman" w:cs="宋体"/>
          <w:lang w:val="en-US" w:eastAsia="zh-CN"/>
        </w:rPr>
        <w:t>提升整个</w:t>
      </w:r>
      <w:r>
        <w:rPr>
          <w:rFonts w:hint="eastAsia" w:cs="宋体"/>
          <w:lang w:val="en-US" w:eastAsia="zh-CN"/>
        </w:rPr>
        <w:t>产业</w:t>
      </w:r>
      <w:r>
        <w:rPr>
          <w:rFonts w:hint="eastAsia" w:ascii="Times New Roman" w:hAnsi="Times New Roman" w:cs="宋体"/>
          <w:lang w:val="en-US" w:eastAsia="zh-CN"/>
        </w:rPr>
        <w:t>从业人员的整体素质，增加其就业竞争力；同时，职业健康安全要求也能改善工作环境，保障从业者身体健康，减少劳动纠纷。</w:t>
      </w:r>
    </w:p>
    <w:p w14:paraId="30530078">
      <w:pPr>
        <w:ind w:firstLine="640"/>
        <w:rPr>
          <w:rFonts w:hint="eastAsia" w:ascii="Times New Roman" w:hAnsi="Times New Roman" w:cs="宋体"/>
          <w:lang w:val="en-US" w:eastAsia="zh-CN"/>
        </w:rPr>
      </w:pPr>
      <w:r>
        <w:rPr>
          <w:rFonts w:hint="eastAsia" w:ascii="Times New Roman" w:hAnsi="Times New Roman" w:cs="宋体"/>
          <w:lang w:val="en-US" w:eastAsia="zh-CN"/>
        </w:rPr>
        <w:t>增强社会信任：统一规范的品牌认证体系，能建立“政府监管、企业自律、第三方认证”的多重信任机制，减少市场信息不对称，增强公众对海南农食产品的信任度，进而提升社会对本土品牌的认同感，促进社会消费信心的稳定。</w:t>
      </w:r>
    </w:p>
    <w:p w14:paraId="40DE6E51">
      <w:pPr>
        <w:ind w:firstLine="640"/>
        <w:rPr>
          <w:rFonts w:hint="eastAsia" w:ascii="Times New Roman" w:hAnsi="Times New Roman" w:cs="宋体"/>
          <w:lang w:val="en-US" w:eastAsia="zh-CN"/>
        </w:rPr>
      </w:pPr>
      <w:r>
        <w:rPr>
          <w:rFonts w:hint="eastAsia" w:ascii="Times New Roman" w:hAnsi="Times New Roman" w:cs="宋体"/>
          <w:lang w:val="en-US" w:eastAsia="zh-CN"/>
        </w:rPr>
        <w:t>3.生态效益：引导绿色发展，守护生态环境</w:t>
      </w:r>
    </w:p>
    <w:p w14:paraId="5581016C">
      <w:pPr>
        <w:ind w:firstLine="640"/>
        <w:rPr>
          <w:rFonts w:hint="eastAsia" w:ascii="Times New Roman" w:hAnsi="Times New Roman" w:cs="宋体"/>
          <w:lang w:val="en-US" w:eastAsia="zh-CN"/>
        </w:rPr>
      </w:pPr>
      <w:r>
        <w:rPr>
          <w:rFonts w:hint="eastAsia" w:ascii="Times New Roman" w:hAnsi="Times New Roman" w:cs="宋体"/>
          <w:lang w:val="en-US" w:eastAsia="zh-CN"/>
        </w:rPr>
        <w:t>减少环境负担：标准要求</w:t>
      </w:r>
      <w:r>
        <w:rPr>
          <w:rFonts w:hint="eastAsia" w:cs="宋体"/>
          <w:lang w:val="en-US" w:eastAsia="zh-CN"/>
        </w:rPr>
        <w:t>建立低碳运营机制，</w:t>
      </w:r>
      <w:r>
        <w:rPr>
          <w:rFonts w:hint="eastAsia" w:ascii="Times New Roman" w:hAnsi="Times New Roman" w:cs="宋体"/>
          <w:lang w:val="en-US" w:eastAsia="zh-CN"/>
        </w:rPr>
        <w:t>能降低生产经营过程中的能源消耗</w:t>
      </w:r>
      <w:r>
        <w:rPr>
          <w:rFonts w:hint="eastAsia" w:cs="宋体"/>
          <w:lang w:val="en-US" w:eastAsia="zh-CN"/>
        </w:rPr>
        <w:t>、污染物排放</w:t>
      </w:r>
      <w:r>
        <w:rPr>
          <w:rFonts w:hint="eastAsia" w:ascii="Times New Roman" w:hAnsi="Times New Roman" w:cs="宋体"/>
          <w:lang w:val="en-US" w:eastAsia="zh-CN"/>
        </w:rPr>
        <w:t>和温室气体排放，缓解环境压力。</w:t>
      </w:r>
    </w:p>
    <w:p w14:paraId="4BC5A3C6">
      <w:pPr>
        <w:ind w:firstLine="640"/>
        <w:rPr>
          <w:rFonts w:hint="eastAsia" w:ascii="Times New Roman" w:hAnsi="Times New Roman" w:cs="宋体"/>
          <w:lang w:val="en-US" w:eastAsia="zh-CN"/>
        </w:rPr>
      </w:pPr>
      <w:r>
        <w:rPr>
          <w:rFonts w:hint="eastAsia" w:ascii="Times New Roman" w:hAnsi="Times New Roman" w:cs="宋体"/>
          <w:lang w:val="en-US" w:eastAsia="zh-CN"/>
        </w:rPr>
        <w:t>保护生态系统：</w:t>
      </w:r>
      <w:r>
        <w:rPr>
          <w:rFonts w:hint="eastAsia" w:cs="宋体"/>
          <w:lang w:val="en-US" w:eastAsia="zh-CN"/>
        </w:rPr>
        <w:t>标准要求采取低碳运营等可持续性发展，</w:t>
      </w:r>
      <w:r>
        <w:rPr>
          <w:rFonts w:hint="eastAsia" w:ascii="Times New Roman" w:hAnsi="Times New Roman" w:cs="宋体"/>
          <w:lang w:val="en-US" w:eastAsia="zh-CN"/>
        </w:rPr>
        <w:t>维护海南本土生态系统的完整性，守护区域生态安全。</w:t>
      </w:r>
    </w:p>
    <w:p w14:paraId="3F550409">
      <w:pPr>
        <w:ind w:firstLine="640"/>
        <w:rPr>
          <w:rFonts w:hint="eastAsia"/>
        </w:rPr>
      </w:pPr>
      <w:r>
        <w:rPr>
          <w:rFonts w:hint="eastAsia" w:ascii="Times New Roman" w:hAnsi="Times New Roman" w:cs="宋体"/>
          <w:lang w:val="en-US" w:eastAsia="zh-CN"/>
        </w:rPr>
        <w:t>推动绿色转型：标准将生态要求纳入生产经营的硬性规范，能倒逼产业从“粗放式发展”向“绿色可持续发展”转型，培养生产经营者的生态环保意识，形成“生态保护与产业发展共生”的模式，为长期生态安全奠定基础。</w:t>
      </w:r>
    </w:p>
    <w:p w14:paraId="393A0F42">
      <w:pPr>
        <w:ind w:firstLine="551"/>
        <w:rPr>
          <w:rFonts w:hint="eastAsia"/>
          <w:w w:val="99"/>
        </w:rPr>
      </w:pPr>
    </w:p>
    <w:p w14:paraId="0D2357F4">
      <w:pPr>
        <w:pStyle w:val="3"/>
      </w:pPr>
      <w:r>
        <w:t>（十）其他应予说明的事项</w:t>
      </w:r>
    </w:p>
    <w:p w14:paraId="1F2E5ADF">
      <w:pPr>
        <w:ind w:firstLine="560"/>
        <w:rPr>
          <w:rFonts w:hint="eastAsia" w:eastAsia="仿宋"/>
          <w:lang w:eastAsia="zh-CN"/>
        </w:rPr>
      </w:pPr>
      <w:r>
        <w:rPr>
          <w:rFonts w:hint="eastAsia"/>
          <w:w w:val="99"/>
          <w:lang w:val="en-US" w:eastAsia="zh-CN"/>
        </w:rPr>
        <w:t>无。</w:t>
      </w:r>
    </w:p>
    <w:p w14:paraId="5060E28B">
      <w:pPr>
        <w:ind w:firstLine="560"/>
      </w:pPr>
    </w:p>
    <w:p w14:paraId="2FDFDDEA">
      <w:pPr>
        <w:ind w:firstLine="560"/>
      </w:pPr>
    </w:p>
    <w:p w14:paraId="3A5137AB">
      <w:pPr>
        <w:ind w:firstLine="420"/>
        <w:rPr>
          <w:sz w:val="21"/>
        </w:rPr>
        <w:sectPr>
          <w:headerReference r:id="rId7" w:type="first"/>
          <w:footerReference r:id="rId10" w:type="first"/>
          <w:headerReference r:id="rId5" w:type="default"/>
          <w:footerReference r:id="rId8" w:type="default"/>
          <w:headerReference r:id="rId6" w:type="even"/>
          <w:footerReference r:id="rId9" w:type="even"/>
          <w:pgSz w:w="11910" w:h="16840"/>
          <w:pgMar w:top="1920" w:right="1100" w:bottom="880" w:left="1180" w:header="0" w:footer="698" w:gutter="0"/>
          <w:cols w:space="720" w:num="1"/>
        </w:sectPr>
      </w:pPr>
    </w:p>
    <w:p w14:paraId="58D176E8">
      <w:pPr>
        <w:spacing w:before="40"/>
        <w:ind w:left="220" w:firstLine="0" w:firstLineChars="0"/>
        <w:rPr>
          <w:b/>
          <w:sz w:val="47"/>
        </w:rPr>
      </w:pPr>
      <w:r>
        <w:rPr>
          <w:b/>
          <w:spacing w:val="-27"/>
        </w:rPr>
        <w:t xml:space="preserve">附件 </w:t>
      </w:r>
      <w:r>
        <w:rPr>
          <w:b/>
          <w:spacing w:val="-10"/>
        </w:rPr>
        <w:t>1</w:t>
      </w:r>
    </w:p>
    <w:p w14:paraId="76CB8FAC">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》征求意见汇总表</w:t>
      </w:r>
    </w:p>
    <w:p w14:paraId="7A53C12D">
      <w:pPr>
        <w:pStyle w:val="5"/>
        <w:spacing w:before="4"/>
        <w:ind w:left="0" w:firstLine="120"/>
        <w:rPr>
          <w:b/>
          <w:sz w:val="6"/>
        </w:rPr>
      </w:pPr>
    </w:p>
    <w:tbl>
      <w:tblPr>
        <w:tblStyle w:val="1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5D57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7A26D9C0">
            <w:pPr>
              <w:ind w:firstLine="0" w:firstLineChars="0"/>
              <w:jc w:val="center"/>
              <w:rPr>
                <w:sz w:val="24"/>
              </w:rPr>
            </w:pPr>
            <w:r>
              <w:rPr>
                <w:spacing w:val="-7"/>
                <w:sz w:val="24"/>
              </w:rPr>
              <w:t>序号</w:t>
            </w:r>
          </w:p>
        </w:tc>
        <w:tc>
          <w:tcPr>
            <w:tcW w:w="1276" w:type="dxa"/>
            <w:vAlign w:val="center"/>
          </w:tcPr>
          <w:p w14:paraId="3F7C8513">
            <w:pPr>
              <w:ind w:firstLine="0" w:firstLineChars="0"/>
              <w:jc w:val="center"/>
              <w:rPr>
                <w:sz w:val="24"/>
              </w:rPr>
            </w:pPr>
            <w:r>
              <w:rPr>
                <w:spacing w:val="-4"/>
                <w:sz w:val="24"/>
              </w:rPr>
              <w:t>章条编号</w:t>
            </w:r>
          </w:p>
        </w:tc>
        <w:tc>
          <w:tcPr>
            <w:tcW w:w="3827" w:type="dxa"/>
            <w:vAlign w:val="center"/>
          </w:tcPr>
          <w:p w14:paraId="2709FA27">
            <w:pPr>
              <w:ind w:firstLine="0" w:firstLineChars="0"/>
              <w:jc w:val="center"/>
              <w:rPr>
                <w:sz w:val="24"/>
              </w:rPr>
            </w:pPr>
            <w:r>
              <w:rPr>
                <w:spacing w:val="-4"/>
                <w:sz w:val="24"/>
              </w:rPr>
              <w:t>修改意见</w:t>
            </w:r>
          </w:p>
        </w:tc>
        <w:tc>
          <w:tcPr>
            <w:tcW w:w="5245" w:type="dxa"/>
            <w:vAlign w:val="center"/>
          </w:tcPr>
          <w:p w14:paraId="44CE7240">
            <w:pPr>
              <w:ind w:firstLine="0" w:firstLineChars="0"/>
              <w:jc w:val="center"/>
              <w:rPr>
                <w:sz w:val="24"/>
              </w:rPr>
            </w:pPr>
            <w:r>
              <w:rPr>
                <w:spacing w:val="-4"/>
                <w:sz w:val="24"/>
              </w:rPr>
              <w:t>理由或依据</w:t>
            </w:r>
          </w:p>
        </w:tc>
        <w:tc>
          <w:tcPr>
            <w:tcW w:w="1843" w:type="dxa"/>
            <w:vAlign w:val="center"/>
          </w:tcPr>
          <w:p w14:paraId="3F01D10D">
            <w:pPr>
              <w:ind w:firstLine="0" w:firstLineChars="0"/>
              <w:jc w:val="center"/>
              <w:rPr>
                <w:sz w:val="24"/>
              </w:rPr>
            </w:pPr>
            <w:r>
              <w:rPr>
                <w:spacing w:val="-4"/>
                <w:sz w:val="24"/>
              </w:rPr>
              <w:t>提出单位/</w:t>
            </w:r>
            <w:r>
              <w:rPr>
                <w:spacing w:val="-7"/>
                <w:sz w:val="24"/>
              </w:rPr>
              <w:t>人员</w:t>
            </w:r>
          </w:p>
        </w:tc>
        <w:tc>
          <w:tcPr>
            <w:tcW w:w="1417" w:type="dxa"/>
            <w:vAlign w:val="center"/>
          </w:tcPr>
          <w:p w14:paraId="43BDA45B">
            <w:pPr>
              <w:ind w:firstLine="0" w:firstLineChars="0"/>
              <w:jc w:val="center"/>
              <w:rPr>
                <w:sz w:val="24"/>
              </w:rPr>
            </w:pPr>
            <w:r>
              <w:rPr>
                <w:spacing w:val="-4"/>
                <w:sz w:val="24"/>
              </w:rPr>
              <w:t>处理意见</w:t>
            </w:r>
          </w:p>
        </w:tc>
      </w:tr>
      <w:tr w14:paraId="2B39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72637FE0">
            <w:pPr>
              <w:ind w:firstLine="0" w:firstLineChars="0"/>
              <w:jc w:val="center"/>
              <w:rPr>
                <w:sz w:val="24"/>
              </w:rPr>
            </w:pPr>
            <w:r>
              <w:rPr>
                <w:w w:val="118"/>
                <w:sz w:val="24"/>
              </w:rPr>
              <w:t>1</w:t>
            </w:r>
          </w:p>
        </w:tc>
        <w:tc>
          <w:tcPr>
            <w:tcW w:w="1276" w:type="dxa"/>
            <w:vAlign w:val="center"/>
          </w:tcPr>
          <w:p w14:paraId="6E2DB207">
            <w:pPr>
              <w:ind w:firstLine="480"/>
              <w:rPr>
                <w:sz w:val="24"/>
              </w:rPr>
            </w:pPr>
          </w:p>
        </w:tc>
        <w:tc>
          <w:tcPr>
            <w:tcW w:w="3827" w:type="dxa"/>
            <w:vAlign w:val="center"/>
          </w:tcPr>
          <w:p w14:paraId="6A13A7E8">
            <w:pPr>
              <w:ind w:firstLine="0" w:firstLineChars="0"/>
              <w:jc w:val="center"/>
              <w:rPr>
                <w:sz w:val="24"/>
              </w:rPr>
            </w:pPr>
          </w:p>
        </w:tc>
        <w:tc>
          <w:tcPr>
            <w:tcW w:w="5245" w:type="dxa"/>
            <w:vAlign w:val="center"/>
          </w:tcPr>
          <w:p w14:paraId="0F1D68BE">
            <w:pPr>
              <w:ind w:firstLine="0" w:firstLineChars="0"/>
              <w:jc w:val="center"/>
              <w:rPr>
                <w:sz w:val="24"/>
              </w:rPr>
            </w:pPr>
          </w:p>
        </w:tc>
        <w:tc>
          <w:tcPr>
            <w:tcW w:w="1843" w:type="dxa"/>
            <w:vAlign w:val="center"/>
          </w:tcPr>
          <w:p w14:paraId="7648055B">
            <w:pPr>
              <w:ind w:firstLine="0" w:firstLineChars="0"/>
              <w:jc w:val="center"/>
              <w:rPr>
                <w:sz w:val="24"/>
              </w:rPr>
            </w:pPr>
          </w:p>
        </w:tc>
        <w:tc>
          <w:tcPr>
            <w:tcW w:w="1417" w:type="dxa"/>
            <w:vAlign w:val="center"/>
          </w:tcPr>
          <w:p w14:paraId="44026713">
            <w:pPr>
              <w:ind w:firstLine="0" w:firstLineChars="0"/>
              <w:jc w:val="center"/>
              <w:rPr>
                <w:sz w:val="24"/>
              </w:rPr>
            </w:pPr>
          </w:p>
        </w:tc>
      </w:tr>
      <w:tr w14:paraId="592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82E5F98">
            <w:pPr>
              <w:ind w:firstLine="0" w:firstLineChars="0"/>
              <w:jc w:val="center"/>
              <w:rPr>
                <w:sz w:val="24"/>
              </w:rPr>
            </w:pPr>
            <w:r>
              <w:rPr>
                <w:w w:val="118"/>
                <w:sz w:val="24"/>
              </w:rPr>
              <w:t>2</w:t>
            </w:r>
          </w:p>
        </w:tc>
        <w:tc>
          <w:tcPr>
            <w:tcW w:w="1276" w:type="dxa"/>
            <w:vAlign w:val="center"/>
          </w:tcPr>
          <w:p w14:paraId="36161F1D">
            <w:pPr>
              <w:ind w:firstLine="480"/>
              <w:rPr>
                <w:sz w:val="24"/>
              </w:rPr>
            </w:pPr>
          </w:p>
        </w:tc>
        <w:tc>
          <w:tcPr>
            <w:tcW w:w="3827" w:type="dxa"/>
            <w:vAlign w:val="center"/>
          </w:tcPr>
          <w:p w14:paraId="09B46DA9">
            <w:pPr>
              <w:ind w:firstLine="0" w:firstLineChars="0"/>
              <w:jc w:val="center"/>
              <w:rPr>
                <w:sz w:val="24"/>
              </w:rPr>
            </w:pPr>
          </w:p>
        </w:tc>
        <w:tc>
          <w:tcPr>
            <w:tcW w:w="5245" w:type="dxa"/>
            <w:vAlign w:val="center"/>
          </w:tcPr>
          <w:p w14:paraId="69DFA2DD">
            <w:pPr>
              <w:ind w:firstLine="0" w:firstLineChars="0"/>
              <w:jc w:val="center"/>
              <w:rPr>
                <w:sz w:val="24"/>
              </w:rPr>
            </w:pPr>
          </w:p>
        </w:tc>
        <w:tc>
          <w:tcPr>
            <w:tcW w:w="1843" w:type="dxa"/>
            <w:vAlign w:val="center"/>
          </w:tcPr>
          <w:p w14:paraId="4377FA83">
            <w:pPr>
              <w:ind w:firstLine="0" w:firstLineChars="0"/>
              <w:jc w:val="center"/>
              <w:rPr>
                <w:sz w:val="24"/>
              </w:rPr>
            </w:pPr>
          </w:p>
        </w:tc>
        <w:tc>
          <w:tcPr>
            <w:tcW w:w="1417" w:type="dxa"/>
            <w:vAlign w:val="center"/>
          </w:tcPr>
          <w:p w14:paraId="6CD24196">
            <w:pPr>
              <w:ind w:firstLine="0" w:firstLineChars="0"/>
              <w:jc w:val="center"/>
              <w:rPr>
                <w:sz w:val="24"/>
              </w:rPr>
            </w:pPr>
          </w:p>
        </w:tc>
      </w:tr>
      <w:tr w14:paraId="038D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5BA3384">
            <w:pPr>
              <w:ind w:firstLine="0" w:firstLineChars="0"/>
              <w:jc w:val="center"/>
              <w:rPr>
                <w:sz w:val="24"/>
              </w:rPr>
            </w:pPr>
            <w:r>
              <w:rPr>
                <w:w w:val="118"/>
                <w:sz w:val="24"/>
              </w:rPr>
              <w:t>3</w:t>
            </w:r>
          </w:p>
        </w:tc>
        <w:tc>
          <w:tcPr>
            <w:tcW w:w="1276" w:type="dxa"/>
            <w:vAlign w:val="center"/>
          </w:tcPr>
          <w:p w14:paraId="33572EB6">
            <w:pPr>
              <w:ind w:firstLine="480"/>
              <w:rPr>
                <w:sz w:val="24"/>
              </w:rPr>
            </w:pPr>
          </w:p>
        </w:tc>
        <w:tc>
          <w:tcPr>
            <w:tcW w:w="3827" w:type="dxa"/>
            <w:vAlign w:val="center"/>
          </w:tcPr>
          <w:p w14:paraId="32A7DB34">
            <w:pPr>
              <w:ind w:firstLine="0" w:firstLineChars="0"/>
              <w:jc w:val="center"/>
              <w:rPr>
                <w:sz w:val="24"/>
              </w:rPr>
            </w:pPr>
          </w:p>
        </w:tc>
        <w:tc>
          <w:tcPr>
            <w:tcW w:w="5245" w:type="dxa"/>
            <w:vAlign w:val="center"/>
          </w:tcPr>
          <w:p w14:paraId="6C91209F">
            <w:pPr>
              <w:ind w:firstLine="0" w:firstLineChars="0"/>
              <w:jc w:val="center"/>
              <w:rPr>
                <w:sz w:val="24"/>
              </w:rPr>
            </w:pPr>
          </w:p>
        </w:tc>
        <w:tc>
          <w:tcPr>
            <w:tcW w:w="1843" w:type="dxa"/>
            <w:vAlign w:val="center"/>
          </w:tcPr>
          <w:p w14:paraId="169D5F96">
            <w:pPr>
              <w:ind w:firstLine="0" w:firstLineChars="0"/>
              <w:jc w:val="center"/>
              <w:rPr>
                <w:sz w:val="24"/>
              </w:rPr>
            </w:pPr>
          </w:p>
        </w:tc>
        <w:tc>
          <w:tcPr>
            <w:tcW w:w="1417" w:type="dxa"/>
            <w:vAlign w:val="center"/>
          </w:tcPr>
          <w:p w14:paraId="2E68BFA8">
            <w:pPr>
              <w:ind w:firstLine="0" w:firstLineChars="0"/>
              <w:jc w:val="center"/>
              <w:rPr>
                <w:sz w:val="24"/>
              </w:rPr>
            </w:pPr>
          </w:p>
        </w:tc>
      </w:tr>
      <w:tr w14:paraId="288B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5F9FAA29">
            <w:pPr>
              <w:ind w:firstLine="0" w:firstLineChars="0"/>
              <w:jc w:val="center"/>
              <w:rPr>
                <w:sz w:val="24"/>
              </w:rPr>
            </w:pPr>
            <w:r>
              <w:rPr>
                <w:w w:val="118"/>
                <w:sz w:val="24"/>
              </w:rPr>
              <w:t>4</w:t>
            </w:r>
          </w:p>
        </w:tc>
        <w:tc>
          <w:tcPr>
            <w:tcW w:w="1276" w:type="dxa"/>
            <w:vAlign w:val="center"/>
          </w:tcPr>
          <w:p w14:paraId="0B4FD831">
            <w:pPr>
              <w:ind w:firstLine="480"/>
              <w:rPr>
                <w:sz w:val="24"/>
              </w:rPr>
            </w:pPr>
          </w:p>
        </w:tc>
        <w:tc>
          <w:tcPr>
            <w:tcW w:w="3827" w:type="dxa"/>
            <w:vAlign w:val="center"/>
          </w:tcPr>
          <w:p w14:paraId="1125757E">
            <w:pPr>
              <w:ind w:firstLine="0" w:firstLineChars="0"/>
              <w:jc w:val="center"/>
              <w:rPr>
                <w:sz w:val="24"/>
              </w:rPr>
            </w:pPr>
          </w:p>
        </w:tc>
        <w:tc>
          <w:tcPr>
            <w:tcW w:w="5245" w:type="dxa"/>
            <w:vAlign w:val="center"/>
          </w:tcPr>
          <w:p w14:paraId="65192442">
            <w:pPr>
              <w:ind w:firstLine="0" w:firstLineChars="0"/>
              <w:jc w:val="center"/>
              <w:rPr>
                <w:sz w:val="24"/>
              </w:rPr>
            </w:pPr>
          </w:p>
        </w:tc>
        <w:tc>
          <w:tcPr>
            <w:tcW w:w="1843" w:type="dxa"/>
            <w:vAlign w:val="center"/>
          </w:tcPr>
          <w:p w14:paraId="1090EEBE">
            <w:pPr>
              <w:ind w:firstLine="0" w:firstLineChars="0"/>
              <w:jc w:val="center"/>
              <w:rPr>
                <w:sz w:val="24"/>
              </w:rPr>
            </w:pPr>
          </w:p>
        </w:tc>
        <w:tc>
          <w:tcPr>
            <w:tcW w:w="1417" w:type="dxa"/>
            <w:vAlign w:val="center"/>
          </w:tcPr>
          <w:p w14:paraId="23239EAE">
            <w:pPr>
              <w:ind w:firstLine="0" w:firstLineChars="0"/>
              <w:jc w:val="center"/>
              <w:rPr>
                <w:sz w:val="24"/>
              </w:rPr>
            </w:pPr>
          </w:p>
        </w:tc>
      </w:tr>
      <w:tr w14:paraId="2DF3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1408AF4">
            <w:pPr>
              <w:ind w:firstLine="0" w:firstLineChars="0"/>
              <w:jc w:val="center"/>
              <w:rPr>
                <w:sz w:val="24"/>
              </w:rPr>
            </w:pPr>
            <w:r>
              <w:rPr>
                <w:w w:val="118"/>
                <w:sz w:val="24"/>
              </w:rPr>
              <w:t>5</w:t>
            </w:r>
          </w:p>
        </w:tc>
        <w:tc>
          <w:tcPr>
            <w:tcW w:w="1276" w:type="dxa"/>
            <w:vAlign w:val="center"/>
          </w:tcPr>
          <w:p w14:paraId="241F6DC3">
            <w:pPr>
              <w:ind w:firstLine="480"/>
              <w:rPr>
                <w:sz w:val="24"/>
              </w:rPr>
            </w:pPr>
          </w:p>
        </w:tc>
        <w:tc>
          <w:tcPr>
            <w:tcW w:w="3827" w:type="dxa"/>
            <w:vAlign w:val="center"/>
          </w:tcPr>
          <w:p w14:paraId="64C29161">
            <w:pPr>
              <w:ind w:firstLine="0" w:firstLineChars="0"/>
              <w:jc w:val="center"/>
              <w:rPr>
                <w:sz w:val="24"/>
              </w:rPr>
            </w:pPr>
          </w:p>
        </w:tc>
        <w:tc>
          <w:tcPr>
            <w:tcW w:w="5245" w:type="dxa"/>
            <w:vAlign w:val="center"/>
          </w:tcPr>
          <w:p w14:paraId="17501CC8">
            <w:pPr>
              <w:ind w:firstLine="0" w:firstLineChars="0"/>
              <w:jc w:val="center"/>
              <w:rPr>
                <w:sz w:val="24"/>
              </w:rPr>
            </w:pPr>
          </w:p>
        </w:tc>
        <w:tc>
          <w:tcPr>
            <w:tcW w:w="1843" w:type="dxa"/>
            <w:vAlign w:val="center"/>
          </w:tcPr>
          <w:p w14:paraId="776CDB0D">
            <w:pPr>
              <w:ind w:firstLine="0" w:firstLineChars="0"/>
              <w:jc w:val="center"/>
              <w:rPr>
                <w:sz w:val="24"/>
              </w:rPr>
            </w:pPr>
          </w:p>
        </w:tc>
        <w:tc>
          <w:tcPr>
            <w:tcW w:w="1417" w:type="dxa"/>
            <w:vAlign w:val="center"/>
          </w:tcPr>
          <w:p w14:paraId="261C7CFB">
            <w:pPr>
              <w:ind w:firstLine="0" w:firstLineChars="0"/>
              <w:jc w:val="center"/>
              <w:rPr>
                <w:sz w:val="24"/>
              </w:rPr>
            </w:pPr>
          </w:p>
        </w:tc>
      </w:tr>
    </w:tbl>
    <w:p w14:paraId="70D11C0A">
      <w:pPr>
        <w:pStyle w:val="5"/>
        <w:ind w:left="0" w:firstLine="402"/>
        <w:rPr>
          <w:b/>
          <w:sz w:val="20"/>
        </w:rPr>
      </w:pPr>
    </w:p>
    <w:p w14:paraId="212DA9BD">
      <w:pPr>
        <w:pStyle w:val="5"/>
        <w:ind w:left="0" w:firstLine="402"/>
        <w:rPr>
          <w:b/>
          <w:sz w:val="20"/>
        </w:rPr>
      </w:pPr>
    </w:p>
    <w:p w14:paraId="6FD5861C">
      <w:pPr>
        <w:pStyle w:val="5"/>
        <w:ind w:left="0" w:firstLine="402"/>
        <w:rPr>
          <w:b/>
          <w:sz w:val="20"/>
        </w:rPr>
      </w:pPr>
    </w:p>
    <w:p w14:paraId="6D86C0D4">
      <w:pPr>
        <w:pStyle w:val="5"/>
        <w:ind w:left="0" w:firstLine="402"/>
        <w:rPr>
          <w:b/>
          <w:sz w:val="20"/>
        </w:rPr>
      </w:pPr>
    </w:p>
    <w:p w14:paraId="65A06B24">
      <w:pPr>
        <w:pStyle w:val="5"/>
        <w:ind w:left="0" w:firstLine="402"/>
        <w:rPr>
          <w:b/>
          <w:sz w:val="20"/>
        </w:rPr>
      </w:pPr>
    </w:p>
    <w:p w14:paraId="563B3418">
      <w:pPr>
        <w:pStyle w:val="5"/>
        <w:ind w:left="0" w:firstLine="402"/>
        <w:rPr>
          <w:b/>
          <w:sz w:val="20"/>
        </w:rPr>
      </w:pPr>
    </w:p>
    <w:p w14:paraId="384A6BC3">
      <w:pPr>
        <w:pStyle w:val="5"/>
        <w:ind w:left="0" w:firstLine="402"/>
        <w:rPr>
          <w:b/>
          <w:sz w:val="20"/>
        </w:rPr>
      </w:pPr>
    </w:p>
    <w:p w14:paraId="1A14F906">
      <w:pPr>
        <w:pStyle w:val="5"/>
        <w:ind w:left="0" w:firstLine="402"/>
        <w:rPr>
          <w:b/>
          <w:sz w:val="20"/>
        </w:rPr>
      </w:pPr>
    </w:p>
    <w:p w14:paraId="31A22536">
      <w:pPr>
        <w:ind w:firstLine="0" w:firstLineChars="0"/>
        <w:rPr>
          <w:rFonts w:ascii="宋体" w:hAnsi="宋体" w:eastAsia="宋体"/>
          <w:b/>
          <w:sz w:val="20"/>
          <w:szCs w:val="32"/>
        </w:rPr>
      </w:pPr>
      <w:r>
        <w:rPr>
          <w:b/>
          <w:sz w:val="20"/>
        </w:rPr>
        <w:br w:type="page"/>
      </w:r>
    </w:p>
    <w:p w14:paraId="5A4FDFAA">
      <w:pPr>
        <w:spacing w:before="40"/>
        <w:ind w:left="220" w:firstLine="0" w:firstLineChars="0"/>
        <w:rPr>
          <w:b/>
          <w:sz w:val="47"/>
        </w:rPr>
      </w:pPr>
      <w:r>
        <w:rPr>
          <w:b/>
          <w:spacing w:val="-27"/>
        </w:rPr>
        <w:t xml:space="preserve">附件 </w:t>
      </w:r>
      <w:r>
        <w:rPr>
          <w:b/>
          <w:spacing w:val="-10"/>
        </w:rPr>
        <w:t>2</w:t>
      </w:r>
    </w:p>
    <w:p w14:paraId="45446DE6">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w:t>
      </w:r>
      <w:r>
        <w:rPr>
          <w:rFonts w:hint="eastAsia"/>
          <w:b/>
          <w:spacing w:val="-1"/>
          <w:sz w:val="36"/>
        </w:rPr>
        <w:t>审查</w:t>
      </w:r>
      <w:r>
        <w:rPr>
          <w:b/>
          <w:spacing w:val="-1"/>
          <w:sz w:val="36"/>
        </w:rPr>
        <w:t>意见汇总表</w:t>
      </w:r>
    </w:p>
    <w:p w14:paraId="6D38F508">
      <w:pPr>
        <w:pStyle w:val="5"/>
        <w:spacing w:before="4"/>
        <w:ind w:left="0" w:firstLine="120"/>
        <w:rPr>
          <w:b/>
          <w:sz w:val="6"/>
        </w:rPr>
      </w:pPr>
    </w:p>
    <w:tbl>
      <w:tblPr>
        <w:tblStyle w:val="1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6222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3D1D2400">
            <w:pPr>
              <w:ind w:firstLine="0" w:firstLineChars="0"/>
              <w:jc w:val="center"/>
              <w:rPr>
                <w:sz w:val="24"/>
              </w:rPr>
            </w:pPr>
            <w:r>
              <w:rPr>
                <w:spacing w:val="-7"/>
                <w:sz w:val="24"/>
              </w:rPr>
              <w:t>序号</w:t>
            </w:r>
          </w:p>
        </w:tc>
        <w:tc>
          <w:tcPr>
            <w:tcW w:w="1276" w:type="dxa"/>
            <w:vAlign w:val="center"/>
          </w:tcPr>
          <w:p w14:paraId="21FAE3A7">
            <w:pPr>
              <w:ind w:firstLine="0" w:firstLineChars="0"/>
              <w:jc w:val="center"/>
              <w:rPr>
                <w:sz w:val="24"/>
              </w:rPr>
            </w:pPr>
            <w:r>
              <w:rPr>
                <w:spacing w:val="-4"/>
                <w:sz w:val="24"/>
              </w:rPr>
              <w:t>章条编号</w:t>
            </w:r>
          </w:p>
        </w:tc>
        <w:tc>
          <w:tcPr>
            <w:tcW w:w="3827" w:type="dxa"/>
            <w:vAlign w:val="center"/>
          </w:tcPr>
          <w:p w14:paraId="30FC345E">
            <w:pPr>
              <w:ind w:firstLine="0" w:firstLineChars="0"/>
              <w:jc w:val="center"/>
              <w:rPr>
                <w:sz w:val="24"/>
              </w:rPr>
            </w:pPr>
            <w:r>
              <w:rPr>
                <w:spacing w:val="-4"/>
                <w:sz w:val="24"/>
              </w:rPr>
              <w:t>修改意见</w:t>
            </w:r>
          </w:p>
        </w:tc>
        <w:tc>
          <w:tcPr>
            <w:tcW w:w="5245" w:type="dxa"/>
            <w:vAlign w:val="center"/>
          </w:tcPr>
          <w:p w14:paraId="5671C48D">
            <w:pPr>
              <w:ind w:firstLine="0" w:firstLineChars="0"/>
              <w:jc w:val="center"/>
              <w:rPr>
                <w:sz w:val="24"/>
              </w:rPr>
            </w:pPr>
            <w:r>
              <w:rPr>
                <w:spacing w:val="-4"/>
                <w:sz w:val="24"/>
              </w:rPr>
              <w:t>理由或依据</w:t>
            </w:r>
          </w:p>
        </w:tc>
        <w:tc>
          <w:tcPr>
            <w:tcW w:w="1843" w:type="dxa"/>
            <w:vAlign w:val="center"/>
          </w:tcPr>
          <w:p w14:paraId="658E3D39">
            <w:pPr>
              <w:ind w:firstLine="0" w:firstLineChars="0"/>
              <w:jc w:val="center"/>
              <w:rPr>
                <w:sz w:val="24"/>
              </w:rPr>
            </w:pPr>
            <w:r>
              <w:rPr>
                <w:spacing w:val="-4"/>
                <w:sz w:val="24"/>
              </w:rPr>
              <w:t>提出单位/</w:t>
            </w:r>
            <w:r>
              <w:rPr>
                <w:spacing w:val="-7"/>
                <w:sz w:val="24"/>
              </w:rPr>
              <w:t>人员</w:t>
            </w:r>
          </w:p>
        </w:tc>
        <w:tc>
          <w:tcPr>
            <w:tcW w:w="1417" w:type="dxa"/>
            <w:vAlign w:val="center"/>
          </w:tcPr>
          <w:p w14:paraId="1CCF920B">
            <w:pPr>
              <w:ind w:firstLine="0" w:firstLineChars="0"/>
              <w:jc w:val="center"/>
              <w:rPr>
                <w:sz w:val="24"/>
              </w:rPr>
            </w:pPr>
            <w:r>
              <w:rPr>
                <w:spacing w:val="-4"/>
                <w:sz w:val="24"/>
              </w:rPr>
              <w:t>处理意见</w:t>
            </w:r>
          </w:p>
        </w:tc>
      </w:tr>
      <w:tr w14:paraId="0B7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03FDD3C">
            <w:pPr>
              <w:ind w:firstLine="0" w:firstLineChars="0"/>
              <w:jc w:val="center"/>
              <w:rPr>
                <w:sz w:val="24"/>
              </w:rPr>
            </w:pPr>
            <w:r>
              <w:rPr>
                <w:w w:val="118"/>
                <w:sz w:val="24"/>
              </w:rPr>
              <w:t>1</w:t>
            </w:r>
          </w:p>
        </w:tc>
        <w:tc>
          <w:tcPr>
            <w:tcW w:w="1276" w:type="dxa"/>
            <w:vAlign w:val="center"/>
          </w:tcPr>
          <w:p w14:paraId="0D172B81">
            <w:pPr>
              <w:ind w:firstLine="480"/>
              <w:rPr>
                <w:sz w:val="24"/>
              </w:rPr>
            </w:pPr>
          </w:p>
        </w:tc>
        <w:tc>
          <w:tcPr>
            <w:tcW w:w="3827" w:type="dxa"/>
            <w:vAlign w:val="center"/>
          </w:tcPr>
          <w:p w14:paraId="4CECAC22">
            <w:pPr>
              <w:ind w:firstLine="0" w:firstLineChars="0"/>
              <w:jc w:val="center"/>
              <w:rPr>
                <w:sz w:val="24"/>
              </w:rPr>
            </w:pPr>
          </w:p>
        </w:tc>
        <w:tc>
          <w:tcPr>
            <w:tcW w:w="5245" w:type="dxa"/>
            <w:vAlign w:val="center"/>
          </w:tcPr>
          <w:p w14:paraId="2E947E00">
            <w:pPr>
              <w:ind w:firstLine="0" w:firstLineChars="0"/>
              <w:jc w:val="center"/>
              <w:rPr>
                <w:sz w:val="24"/>
              </w:rPr>
            </w:pPr>
          </w:p>
        </w:tc>
        <w:tc>
          <w:tcPr>
            <w:tcW w:w="1843" w:type="dxa"/>
            <w:vAlign w:val="center"/>
          </w:tcPr>
          <w:p w14:paraId="11B2A430">
            <w:pPr>
              <w:ind w:firstLine="0" w:firstLineChars="0"/>
              <w:jc w:val="center"/>
              <w:rPr>
                <w:sz w:val="24"/>
              </w:rPr>
            </w:pPr>
          </w:p>
        </w:tc>
        <w:tc>
          <w:tcPr>
            <w:tcW w:w="1417" w:type="dxa"/>
            <w:vAlign w:val="center"/>
          </w:tcPr>
          <w:p w14:paraId="0D518548">
            <w:pPr>
              <w:ind w:firstLine="0" w:firstLineChars="0"/>
              <w:jc w:val="center"/>
              <w:rPr>
                <w:sz w:val="24"/>
              </w:rPr>
            </w:pPr>
          </w:p>
        </w:tc>
      </w:tr>
      <w:tr w14:paraId="38C5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D097E8F">
            <w:pPr>
              <w:ind w:firstLine="0" w:firstLineChars="0"/>
              <w:jc w:val="center"/>
              <w:rPr>
                <w:sz w:val="24"/>
              </w:rPr>
            </w:pPr>
            <w:r>
              <w:rPr>
                <w:w w:val="118"/>
                <w:sz w:val="24"/>
              </w:rPr>
              <w:t>2</w:t>
            </w:r>
          </w:p>
        </w:tc>
        <w:tc>
          <w:tcPr>
            <w:tcW w:w="1276" w:type="dxa"/>
            <w:vAlign w:val="center"/>
          </w:tcPr>
          <w:p w14:paraId="004919A2">
            <w:pPr>
              <w:ind w:firstLine="480"/>
              <w:rPr>
                <w:sz w:val="24"/>
              </w:rPr>
            </w:pPr>
          </w:p>
        </w:tc>
        <w:tc>
          <w:tcPr>
            <w:tcW w:w="3827" w:type="dxa"/>
            <w:vAlign w:val="center"/>
          </w:tcPr>
          <w:p w14:paraId="0F68FBA0">
            <w:pPr>
              <w:ind w:firstLine="0" w:firstLineChars="0"/>
              <w:jc w:val="center"/>
              <w:rPr>
                <w:sz w:val="24"/>
              </w:rPr>
            </w:pPr>
          </w:p>
        </w:tc>
        <w:tc>
          <w:tcPr>
            <w:tcW w:w="5245" w:type="dxa"/>
            <w:vAlign w:val="center"/>
          </w:tcPr>
          <w:p w14:paraId="4989DD34">
            <w:pPr>
              <w:ind w:firstLine="0" w:firstLineChars="0"/>
              <w:jc w:val="center"/>
              <w:rPr>
                <w:sz w:val="24"/>
              </w:rPr>
            </w:pPr>
          </w:p>
        </w:tc>
        <w:tc>
          <w:tcPr>
            <w:tcW w:w="1843" w:type="dxa"/>
            <w:vAlign w:val="center"/>
          </w:tcPr>
          <w:p w14:paraId="48F7DEF3">
            <w:pPr>
              <w:ind w:firstLine="0" w:firstLineChars="0"/>
              <w:jc w:val="center"/>
              <w:rPr>
                <w:sz w:val="24"/>
              </w:rPr>
            </w:pPr>
          </w:p>
        </w:tc>
        <w:tc>
          <w:tcPr>
            <w:tcW w:w="1417" w:type="dxa"/>
            <w:vAlign w:val="center"/>
          </w:tcPr>
          <w:p w14:paraId="6830F222">
            <w:pPr>
              <w:ind w:firstLine="0" w:firstLineChars="0"/>
              <w:jc w:val="center"/>
              <w:rPr>
                <w:sz w:val="24"/>
              </w:rPr>
            </w:pPr>
          </w:p>
        </w:tc>
      </w:tr>
      <w:tr w14:paraId="6F99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1AE4C6BB">
            <w:pPr>
              <w:ind w:firstLine="0" w:firstLineChars="0"/>
              <w:jc w:val="center"/>
              <w:rPr>
                <w:sz w:val="24"/>
              </w:rPr>
            </w:pPr>
            <w:r>
              <w:rPr>
                <w:w w:val="118"/>
                <w:sz w:val="24"/>
              </w:rPr>
              <w:t>3</w:t>
            </w:r>
          </w:p>
        </w:tc>
        <w:tc>
          <w:tcPr>
            <w:tcW w:w="1276" w:type="dxa"/>
            <w:vAlign w:val="center"/>
          </w:tcPr>
          <w:p w14:paraId="55A8C3E2">
            <w:pPr>
              <w:ind w:firstLine="480"/>
              <w:rPr>
                <w:sz w:val="24"/>
              </w:rPr>
            </w:pPr>
          </w:p>
        </w:tc>
        <w:tc>
          <w:tcPr>
            <w:tcW w:w="3827" w:type="dxa"/>
            <w:vAlign w:val="center"/>
          </w:tcPr>
          <w:p w14:paraId="466F87AC">
            <w:pPr>
              <w:ind w:firstLine="0" w:firstLineChars="0"/>
              <w:jc w:val="center"/>
              <w:rPr>
                <w:sz w:val="24"/>
              </w:rPr>
            </w:pPr>
          </w:p>
        </w:tc>
        <w:tc>
          <w:tcPr>
            <w:tcW w:w="5245" w:type="dxa"/>
            <w:vAlign w:val="center"/>
          </w:tcPr>
          <w:p w14:paraId="3FB4B1C4">
            <w:pPr>
              <w:ind w:firstLine="0" w:firstLineChars="0"/>
              <w:jc w:val="center"/>
              <w:rPr>
                <w:sz w:val="24"/>
              </w:rPr>
            </w:pPr>
          </w:p>
        </w:tc>
        <w:tc>
          <w:tcPr>
            <w:tcW w:w="1843" w:type="dxa"/>
            <w:vAlign w:val="center"/>
          </w:tcPr>
          <w:p w14:paraId="121495B5">
            <w:pPr>
              <w:ind w:firstLine="0" w:firstLineChars="0"/>
              <w:jc w:val="center"/>
              <w:rPr>
                <w:sz w:val="24"/>
              </w:rPr>
            </w:pPr>
          </w:p>
        </w:tc>
        <w:tc>
          <w:tcPr>
            <w:tcW w:w="1417" w:type="dxa"/>
            <w:vAlign w:val="center"/>
          </w:tcPr>
          <w:p w14:paraId="3ABFEAA4">
            <w:pPr>
              <w:ind w:firstLine="0" w:firstLineChars="0"/>
              <w:jc w:val="center"/>
              <w:rPr>
                <w:sz w:val="24"/>
              </w:rPr>
            </w:pPr>
          </w:p>
        </w:tc>
      </w:tr>
      <w:tr w14:paraId="7E51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9AAEC31">
            <w:pPr>
              <w:ind w:firstLine="0" w:firstLineChars="0"/>
              <w:jc w:val="center"/>
              <w:rPr>
                <w:sz w:val="24"/>
              </w:rPr>
            </w:pPr>
            <w:r>
              <w:rPr>
                <w:w w:val="118"/>
                <w:sz w:val="24"/>
              </w:rPr>
              <w:t>4</w:t>
            </w:r>
          </w:p>
        </w:tc>
        <w:tc>
          <w:tcPr>
            <w:tcW w:w="1276" w:type="dxa"/>
            <w:vAlign w:val="center"/>
          </w:tcPr>
          <w:p w14:paraId="5D33FEDF">
            <w:pPr>
              <w:ind w:firstLine="480"/>
              <w:rPr>
                <w:sz w:val="24"/>
              </w:rPr>
            </w:pPr>
          </w:p>
        </w:tc>
        <w:tc>
          <w:tcPr>
            <w:tcW w:w="3827" w:type="dxa"/>
            <w:vAlign w:val="center"/>
          </w:tcPr>
          <w:p w14:paraId="2EC5A082">
            <w:pPr>
              <w:ind w:firstLine="0" w:firstLineChars="0"/>
              <w:jc w:val="center"/>
              <w:rPr>
                <w:sz w:val="24"/>
              </w:rPr>
            </w:pPr>
          </w:p>
        </w:tc>
        <w:tc>
          <w:tcPr>
            <w:tcW w:w="5245" w:type="dxa"/>
            <w:vAlign w:val="center"/>
          </w:tcPr>
          <w:p w14:paraId="6EAB597D">
            <w:pPr>
              <w:ind w:firstLine="0" w:firstLineChars="0"/>
              <w:jc w:val="center"/>
              <w:rPr>
                <w:sz w:val="24"/>
              </w:rPr>
            </w:pPr>
          </w:p>
        </w:tc>
        <w:tc>
          <w:tcPr>
            <w:tcW w:w="1843" w:type="dxa"/>
            <w:vAlign w:val="center"/>
          </w:tcPr>
          <w:p w14:paraId="3E950E71">
            <w:pPr>
              <w:ind w:firstLine="0" w:firstLineChars="0"/>
              <w:jc w:val="center"/>
              <w:rPr>
                <w:sz w:val="24"/>
              </w:rPr>
            </w:pPr>
          </w:p>
        </w:tc>
        <w:tc>
          <w:tcPr>
            <w:tcW w:w="1417" w:type="dxa"/>
            <w:vAlign w:val="center"/>
          </w:tcPr>
          <w:p w14:paraId="7757CC9B">
            <w:pPr>
              <w:ind w:firstLine="0" w:firstLineChars="0"/>
              <w:jc w:val="center"/>
              <w:rPr>
                <w:sz w:val="24"/>
              </w:rPr>
            </w:pPr>
          </w:p>
        </w:tc>
      </w:tr>
      <w:tr w14:paraId="3FA7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E5FF4B9">
            <w:pPr>
              <w:ind w:firstLine="0" w:firstLineChars="0"/>
              <w:jc w:val="center"/>
              <w:rPr>
                <w:sz w:val="24"/>
              </w:rPr>
            </w:pPr>
            <w:r>
              <w:rPr>
                <w:w w:val="118"/>
                <w:sz w:val="24"/>
              </w:rPr>
              <w:t>5</w:t>
            </w:r>
          </w:p>
        </w:tc>
        <w:tc>
          <w:tcPr>
            <w:tcW w:w="1276" w:type="dxa"/>
            <w:vAlign w:val="center"/>
          </w:tcPr>
          <w:p w14:paraId="123C0466">
            <w:pPr>
              <w:ind w:firstLine="480"/>
              <w:rPr>
                <w:sz w:val="24"/>
              </w:rPr>
            </w:pPr>
          </w:p>
        </w:tc>
        <w:tc>
          <w:tcPr>
            <w:tcW w:w="3827" w:type="dxa"/>
            <w:vAlign w:val="center"/>
          </w:tcPr>
          <w:p w14:paraId="23817075">
            <w:pPr>
              <w:ind w:firstLine="0" w:firstLineChars="0"/>
              <w:jc w:val="center"/>
              <w:rPr>
                <w:sz w:val="24"/>
              </w:rPr>
            </w:pPr>
          </w:p>
        </w:tc>
        <w:tc>
          <w:tcPr>
            <w:tcW w:w="5245" w:type="dxa"/>
            <w:vAlign w:val="center"/>
          </w:tcPr>
          <w:p w14:paraId="37C40335">
            <w:pPr>
              <w:ind w:firstLine="0" w:firstLineChars="0"/>
              <w:jc w:val="center"/>
              <w:rPr>
                <w:sz w:val="24"/>
              </w:rPr>
            </w:pPr>
          </w:p>
        </w:tc>
        <w:tc>
          <w:tcPr>
            <w:tcW w:w="1843" w:type="dxa"/>
            <w:vAlign w:val="center"/>
          </w:tcPr>
          <w:p w14:paraId="75BBE5C3">
            <w:pPr>
              <w:ind w:firstLine="0" w:firstLineChars="0"/>
              <w:jc w:val="center"/>
              <w:rPr>
                <w:sz w:val="24"/>
              </w:rPr>
            </w:pPr>
          </w:p>
        </w:tc>
        <w:tc>
          <w:tcPr>
            <w:tcW w:w="1417" w:type="dxa"/>
            <w:vAlign w:val="center"/>
          </w:tcPr>
          <w:p w14:paraId="446A5E0E">
            <w:pPr>
              <w:ind w:firstLine="0" w:firstLineChars="0"/>
              <w:jc w:val="center"/>
              <w:rPr>
                <w:sz w:val="24"/>
              </w:rPr>
            </w:pPr>
          </w:p>
        </w:tc>
      </w:tr>
    </w:tbl>
    <w:p w14:paraId="06E19FE1">
      <w:pPr>
        <w:pStyle w:val="5"/>
        <w:ind w:left="0" w:firstLine="402"/>
        <w:rPr>
          <w:b/>
          <w:sz w:val="20"/>
        </w:rPr>
      </w:pPr>
    </w:p>
    <w:p w14:paraId="18BF2F44">
      <w:pPr>
        <w:pStyle w:val="5"/>
        <w:ind w:left="0" w:firstLine="402"/>
        <w:rPr>
          <w:b/>
          <w:sz w:val="20"/>
        </w:rPr>
      </w:pPr>
    </w:p>
    <w:p w14:paraId="1F6E0203">
      <w:pPr>
        <w:pStyle w:val="5"/>
        <w:ind w:left="0" w:firstLine="402"/>
        <w:rPr>
          <w:b/>
          <w:sz w:val="20"/>
        </w:rPr>
      </w:pPr>
    </w:p>
    <w:p w14:paraId="347A4DC7">
      <w:pPr>
        <w:spacing w:before="102"/>
        <w:ind w:right="482" w:firstLine="360"/>
        <w:jc w:val="right"/>
        <w:rPr>
          <w:rFonts w:ascii="Gill Sans MT" w:hAnsi="Gill Sans MT"/>
          <w:sz w:val="18"/>
        </w:rPr>
      </w:pPr>
    </w:p>
    <w:sectPr>
      <w:footerReference r:id="rId11" w:type="default"/>
      <w:pgSz w:w="16840" w:h="11910" w:orient="landscape"/>
      <w:pgMar w:top="1100" w:right="960" w:bottom="280" w:left="12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1569">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5962650</wp:posOffset>
              </wp:positionH>
              <wp:positionV relativeFrom="page">
                <wp:posOffset>10109200</wp:posOffset>
              </wp:positionV>
              <wp:extent cx="635000" cy="177800"/>
              <wp:effectExtent l="0" t="0" r="0" b="0"/>
              <wp:wrapNone/>
              <wp:docPr id="2" name="docshape4"/>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4" o:spid="_x0000_s1026" o:spt="202" type="#_x0000_t202" style="position:absolute;left:0pt;margin-left:469.5pt;margin-top:796pt;height:14pt;width:50pt;mso-position-horizontal-relative:page;mso-position-vertical-relative:page;z-index:-251657216;mso-width-relative:page;mso-height-relative:page;" filled="f" stroked="f" coordsize="21600,21600" o:gfxdata="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RYwHXAAAADgEAAA8AAAAAAAAAAQAgAAAAIgAAAGRycy9kb3ducmV2Lnht&#10;bFBLAQIUABQAAAAIAIdO4kDdA+dL+gEAAAIEAAAOAAAAAAAAAAEAIAAAACYBAABkcnMvZTJvRG9j&#10;LnhtbFBLBQYAAAAABgAGAFkBAACSBQAAAAA=&#10;">
              <v:fill on="f" focussize="0,0"/>
              <v:stroke on="f"/>
              <v:imagedata o:title=""/>
              <o:lock v:ext="edit" aspectratio="f"/>
              <v:textbox inset="0mm,0mm,0mm,0mm">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11FE">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997585</wp:posOffset>
              </wp:positionH>
              <wp:positionV relativeFrom="page">
                <wp:posOffset>10109200</wp:posOffset>
              </wp:positionV>
              <wp:extent cx="635000" cy="177800"/>
              <wp:effectExtent l="0" t="0" r="0" b="0"/>
              <wp:wrapNone/>
              <wp:docPr id="4" name="docshape3"/>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78.55pt;margin-top:796pt;height:14pt;width:50pt;mso-position-horizontal-relative:page;mso-position-vertical-relative:page;z-index:-251657216;mso-width-relative:page;mso-height-relative:page;" filled="f" stroked="f" coordsize="21600,21600" o:gfxdata="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BV8NYAAAANAQAADwAAAAAAAAABACAAAAAiAAAAZHJzL2Rvd25yZXYueG1s&#10;UEsBAhQAFAAAAAgAh07iQIfxy3/6AQAAAgQAAA4AAAAAAAAAAQAgAAAAJQEAAGRycy9lMm9Eb2Mu&#10;eG1sUEsFBgAAAAAGAAYAWQEAAJEFAAAAAA==&#10;">
              <v:fill on="f" focussize="0,0"/>
              <v:stroke on="f"/>
              <v:imagedata o:title=""/>
              <o:lock v:ext="edit" aspectratio="f"/>
              <v:textbox inset="0mm,0mm,0mm,0mm">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C7">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2BB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6CA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A46D">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6A6DA"/>
    <w:multiLevelType w:val="singleLevel"/>
    <w:tmpl w:val="C3F6A6DA"/>
    <w:lvl w:ilvl="0" w:tentative="0">
      <w:start w:val="1"/>
      <w:numFmt w:val="decimal"/>
      <w:suff w:val="nothing"/>
      <w:lvlText w:val="%1．"/>
      <w:lvlJc w:val="left"/>
      <w:pPr>
        <w:ind w:left="0" w:firstLine="400"/>
      </w:pPr>
      <w:rPr>
        <w:rFonts w:hint="default"/>
      </w:rPr>
    </w:lvl>
  </w:abstractNum>
  <w:abstractNum w:abstractNumId="1">
    <w:nsid w:val="CFE2EEAF"/>
    <w:multiLevelType w:val="singleLevel"/>
    <w:tmpl w:val="CFE2EEA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16D8E"/>
    <w:rsid w:val="00031498"/>
    <w:rsid w:val="000512E1"/>
    <w:rsid w:val="00094349"/>
    <w:rsid w:val="00210530"/>
    <w:rsid w:val="0029007F"/>
    <w:rsid w:val="005A27BA"/>
    <w:rsid w:val="00847CE6"/>
    <w:rsid w:val="008F186C"/>
    <w:rsid w:val="0097706D"/>
    <w:rsid w:val="00A63B9B"/>
    <w:rsid w:val="00AD0DDB"/>
    <w:rsid w:val="00AE3526"/>
    <w:rsid w:val="00B120B8"/>
    <w:rsid w:val="00B8624E"/>
    <w:rsid w:val="00BF1A69"/>
    <w:rsid w:val="00BF3CC9"/>
    <w:rsid w:val="00C32551"/>
    <w:rsid w:val="00C53A5E"/>
    <w:rsid w:val="00CF5BFC"/>
    <w:rsid w:val="00DF3D9D"/>
    <w:rsid w:val="00EA63B4"/>
    <w:rsid w:val="00FD3BF3"/>
    <w:rsid w:val="00FF203B"/>
    <w:rsid w:val="01277FD4"/>
    <w:rsid w:val="01374C0C"/>
    <w:rsid w:val="01415CD2"/>
    <w:rsid w:val="018B2118"/>
    <w:rsid w:val="019127B6"/>
    <w:rsid w:val="01A1683A"/>
    <w:rsid w:val="01AC264C"/>
    <w:rsid w:val="01B36BD0"/>
    <w:rsid w:val="01EF572E"/>
    <w:rsid w:val="030B47EA"/>
    <w:rsid w:val="0351077F"/>
    <w:rsid w:val="038369CF"/>
    <w:rsid w:val="03BB1D6C"/>
    <w:rsid w:val="03BE6BB4"/>
    <w:rsid w:val="03C4523A"/>
    <w:rsid w:val="03C85032"/>
    <w:rsid w:val="03F82FC0"/>
    <w:rsid w:val="044C50BA"/>
    <w:rsid w:val="044F0706"/>
    <w:rsid w:val="05796E8A"/>
    <w:rsid w:val="058C1C12"/>
    <w:rsid w:val="05BB42A5"/>
    <w:rsid w:val="060B7A81"/>
    <w:rsid w:val="06233AA0"/>
    <w:rsid w:val="06935222"/>
    <w:rsid w:val="06D118A6"/>
    <w:rsid w:val="06FE6B3F"/>
    <w:rsid w:val="079A613C"/>
    <w:rsid w:val="07CE18DD"/>
    <w:rsid w:val="07F4584C"/>
    <w:rsid w:val="08163A15"/>
    <w:rsid w:val="083F5094"/>
    <w:rsid w:val="084A2FB6"/>
    <w:rsid w:val="08B33959"/>
    <w:rsid w:val="095A2027"/>
    <w:rsid w:val="09E055E5"/>
    <w:rsid w:val="0A0F696E"/>
    <w:rsid w:val="0AF17E80"/>
    <w:rsid w:val="0B553428"/>
    <w:rsid w:val="0B664CB3"/>
    <w:rsid w:val="0BCC68EA"/>
    <w:rsid w:val="0BD53BE7"/>
    <w:rsid w:val="0BED7182"/>
    <w:rsid w:val="0C822B95"/>
    <w:rsid w:val="0CA75583"/>
    <w:rsid w:val="0CA85443"/>
    <w:rsid w:val="0CD8573D"/>
    <w:rsid w:val="0CE57E5A"/>
    <w:rsid w:val="0D2564A8"/>
    <w:rsid w:val="0D826EB5"/>
    <w:rsid w:val="0DAB10A3"/>
    <w:rsid w:val="0DAD4E1B"/>
    <w:rsid w:val="0DB55A7E"/>
    <w:rsid w:val="0DC950AB"/>
    <w:rsid w:val="0DD46CBF"/>
    <w:rsid w:val="0E15651D"/>
    <w:rsid w:val="0E4806A0"/>
    <w:rsid w:val="0E7B0752"/>
    <w:rsid w:val="0E864564"/>
    <w:rsid w:val="0E937FF7"/>
    <w:rsid w:val="0EA8251A"/>
    <w:rsid w:val="0EB977F0"/>
    <w:rsid w:val="0EF33893"/>
    <w:rsid w:val="0F673852"/>
    <w:rsid w:val="0F725466"/>
    <w:rsid w:val="0FA1450C"/>
    <w:rsid w:val="0FAC4347"/>
    <w:rsid w:val="0FDB1613"/>
    <w:rsid w:val="0FDC19E8"/>
    <w:rsid w:val="105769DE"/>
    <w:rsid w:val="106F4084"/>
    <w:rsid w:val="108A26B0"/>
    <w:rsid w:val="10EA3C90"/>
    <w:rsid w:val="11103304"/>
    <w:rsid w:val="1160654C"/>
    <w:rsid w:val="11A007F3"/>
    <w:rsid w:val="12071A36"/>
    <w:rsid w:val="122006A8"/>
    <w:rsid w:val="125A3098"/>
    <w:rsid w:val="127F48AC"/>
    <w:rsid w:val="128D6FC9"/>
    <w:rsid w:val="12AE4934"/>
    <w:rsid w:val="12BC340B"/>
    <w:rsid w:val="12E34E3B"/>
    <w:rsid w:val="12FE7EC7"/>
    <w:rsid w:val="13001549"/>
    <w:rsid w:val="13631AD8"/>
    <w:rsid w:val="13734411"/>
    <w:rsid w:val="13A51648"/>
    <w:rsid w:val="13A66595"/>
    <w:rsid w:val="13C7475D"/>
    <w:rsid w:val="14075E6A"/>
    <w:rsid w:val="140E1078"/>
    <w:rsid w:val="141A488D"/>
    <w:rsid w:val="14777F31"/>
    <w:rsid w:val="148E4E49"/>
    <w:rsid w:val="149E1860"/>
    <w:rsid w:val="14AE4079"/>
    <w:rsid w:val="14BA1BCC"/>
    <w:rsid w:val="14E05AD6"/>
    <w:rsid w:val="15067F8B"/>
    <w:rsid w:val="152C2AC9"/>
    <w:rsid w:val="15EF7F09"/>
    <w:rsid w:val="16077093"/>
    <w:rsid w:val="16565924"/>
    <w:rsid w:val="16B32D77"/>
    <w:rsid w:val="16D62785"/>
    <w:rsid w:val="16D72F09"/>
    <w:rsid w:val="16F455B8"/>
    <w:rsid w:val="1787048B"/>
    <w:rsid w:val="17982843"/>
    <w:rsid w:val="17A538A6"/>
    <w:rsid w:val="17F57F70"/>
    <w:rsid w:val="180453F5"/>
    <w:rsid w:val="181A30AD"/>
    <w:rsid w:val="18322A41"/>
    <w:rsid w:val="183323C1"/>
    <w:rsid w:val="186C3B20"/>
    <w:rsid w:val="18B31B6D"/>
    <w:rsid w:val="190B2724"/>
    <w:rsid w:val="19663D38"/>
    <w:rsid w:val="19720CC7"/>
    <w:rsid w:val="19923117"/>
    <w:rsid w:val="19AF1F1B"/>
    <w:rsid w:val="19E35721"/>
    <w:rsid w:val="1A5C1707"/>
    <w:rsid w:val="1A662CCE"/>
    <w:rsid w:val="1A7647E7"/>
    <w:rsid w:val="1AF76A4D"/>
    <w:rsid w:val="1AFB5453"/>
    <w:rsid w:val="1B0D0CA7"/>
    <w:rsid w:val="1B0F40F3"/>
    <w:rsid w:val="1B5468D6"/>
    <w:rsid w:val="1B55264E"/>
    <w:rsid w:val="1B723200"/>
    <w:rsid w:val="1BDD4B1E"/>
    <w:rsid w:val="1BF81957"/>
    <w:rsid w:val="1C026332"/>
    <w:rsid w:val="1C26713F"/>
    <w:rsid w:val="1C534DE0"/>
    <w:rsid w:val="1C5E7298"/>
    <w:rsid w:val="1C60574F"/>
    <w:rsid w:val="1C6A2129"/>
    <w:rsid w:val="1C876837"/>
    <w:rsid w:val="1C962C76"/>
    <w:rsid w:val="1C9A47BD"/>
    <w:rsid w:val="1CBA632D"/>
    <w:rsid w:val="1D17405F"/>
    <w:rsid w:val="1D3A1AFC"/>
    <w:rsid w:val="1D3C3AC6"/>
    <w:rsid w:val="1D412E8A"/>
    <w:rsid w:val="1D5752B2"/>
    <w:rsid w:val="1D666D95"/>
    <w:rsid w:val="1D7C1C6E"/>
    <w:rsid w:val="1D8D2573"/>
    <w:rsid w:val="1DEA1774"/>
    <w:rsid w:val="1DF919B7"/>
    <w:rsid w:val="1E0D7210"/>
    <w:rsid w:val="1E195BB5"/>
    <w:rsid w:val="1E90231B"/>
    <w:rsid w:val="1F494278"/>
    <w:rsid w:val="1FA13B72"/>
    <w:rsid w:val="1FE60DE3"/>
    <w:rsid w:val="1FEA15B7"/>
    <w:rsid w:val="20054643"/>
    <w:rsid w:val="2008481B"/>
    <w:rsid w:val="201523AC"/>
    <w:rsid w:val="201A2537"/>
    <w:rsid w:val="20783067"/>
    <w:rsid w:val="208B7373"/>
    <w:rsid w:val="20B0298F"/>
    <w:rsid w:val="20C95670"/>
    <w:rsid w:val="20D5619C"/>
    <w:rsid w:val="211D776A"/>
    <w:rsid w:val="21837F15"/>
    <w:rsid w:val="21C57FF4"/>
    <w:rsid w:val="21D87015"/>
    <w:rsid w:val="21ED35E0"/>
    <w:rsid w:val="223631D9"/>
    <w:rsid w:val="224D407F"/>
    <w:rsid w:val="22520EDD"/>
    <w:rsid w:val="2277734E"/>
    <w:rsid w:val="227C3FA3"/>
    <w:rsid w:val="227E692E"/>
    <w:rsid w:val="228C2DF9"/>
    <w:rsid w:val="22DE0AC1"/>
    <w:rsid w:val="23143199"/>
    <w:rsid w:val="23651C9F"/>
    <w:rsid w:val="23827050"/>
    <w:rsid w:val="23902475"/>
    <w:rsid w:val="23C30A9D"/>
    <w:rsid w:val="23E47FEF"/>
    <w:rsid w:val="2403533D"/>
    <w:rsid w:val="24102138"/>
    <w:rsid w:val="242B4894"/>
    <w:rsid w:val="24C279DD"/>
    <w:rsid w:val="24D334FA"/>
    <w:rsid w:val="24EA3120"/>
    <w:rsid w:val="250613CB"/>
    <w:rsid w:val="253F23A5"/>
    <w:rsid w:val="2548391D"/>
    <w:rsid w:val="257A518B"/>
    <w:rsid w:val="25A71CF8"/>
    <w:rsid w:val="25AE08DF"/>
    <w:rsid w:val="261D6994"/>
    <w:rsid w:val="261F3F85"/>
    <w:rsid w:val="26850942"/>
    <w:rsid w:val="269E134D"/>
    <w:rsid w:val="26D905D7"/>
    <w:rsid w:val="26F43175"/>
    <w:rsid w:val="26FC6074"/>
    <w:rsid w:val="27383550"/>
    <w:rsid w:val="27693709"/>
    <w:rsid w:val="277A0E4F"/>
    <w:rsid w:val="278D78E5"/>
    <w:rsid w:val="27A97FAA"/>
    <w:rsid w:val="27BA21B7"/>
    <w:rsid w:val="27BD3A55"/>
    <w:rsid w:val="27C128C8"/>
    <w:rsid w:val="28164F13"/>
    <w:rsid w:val="28562DBC"/>
    <w:rsid w:val="285862BF"/>
    <w:rsid w:val="2892519F"/>
    <w:rsid w:val="289730BA"/>
    <w:rsid w:val="28B43155"/>
    <w:rsid w:val="28CF1781"/>
    <w:rsid w:val="294E3354"/>
    <w:rsid w:val="29534671"/>
    <w:rsid w:val="295B6DE6"/>
    <w:rsid w:val="29F205DF"/>
    <w:rsid w:val="2A050C55"/>
    <w:rsid w:val="2A1738F0"/>
    <w:rsid w:val="2A285235"/>
    <w:rsid w:val="2A336250"/>
    <w:rsid w:val="2AAD1B5F"/>
    <w:rsid w:val="2ACD0453"/>
    <w:rsid w:val="2ACE4ACA"/>
    <w:rsid w:val="2B006133"/>
    <w:rsid w:val="2B0674C1"/>
    <w:rsid w:val="2B4A3852"/>
    <w:rsid w:val="2BC43604"/>
    <w:rsid w:val="2C0B1F53"/>
    <w:rsid w:val="2C2262F5"/>
    <w:rsid w:val="2C4320AD"/>
    <w:rsid w:val="2C604FDA"/>
    <w:rsid w:val="2C6467F8"/>
    <w:rsid w:val="2C7C7A3B"/>
    <w:rsid w:val="2CC17B44"/>
    <w:rsid w:val="2D285E15"/>
    <w:rsid w:val="2D3809AB"/>
    <w:rsid w:val="2D8C63A3"/>
    <w:rsid w:val="2DC749A6"/>
    <w:rsid w:val="2DF95EFB"/>
    <w:rsid w:val="2E3A7BAD"/>
    <w:rsid w:val="2E3E3C10"/>
    <w:rsid w:val="2E666BF4"/>
    <w:rsid w:val="2E8157DC"/>
    <w:rsid w:val="2E81758A"/>
    <w:rsid w:val="2E924DF5"/>
    <w:rsid w:val="2EB00083"/>
    <w:rsid w:val="2F2D7712"/>
    <w:rsid w:val="301663F8"/>
    <w:rsid w:val="30515682"/>
    <w:rsid w:val="30AE4883"/>
    <w:rsid w:val="30BF439A"/>
    <w:rsid w:val="30FA1876"/>
    <w:rsid w:val="31557E7B"/>
    <w:rsid w:val="31737B73"/>
    <w:rsid w:val="31A57A34"/>
    <w:rsid w:val="31AB088A"/>
    <w:rsid w:val="31C04FAC"/>
    <w:rsid w:val="32002EBC"/>
    <w:rsid w:val="32381773"/>
    <w:rsid w:val="323E57B8"/>
    <w:rsid w:val="3240775C"/>
    <w:rsid w:val="32801B67"/>
    <w:rsid w:val="33371696"/>
    <w:rsid w:val="33753436"/>
    <w:rsid w:val="33792F26"/>
    <w:rsid w:val="33941A2F"/>
    <w:rsid w:val="33AD12D4"/>
    <w:rsid w:val="33E16D1D"/>
    <w:rsid w:val="33E74334"/>
    <w:rsid w:val="34242218"/>
    <w:rsid w:val="34572B3B"/>
    <w:rsid w:val="34B87A7E"/>
    <w:rsid w:val="351F3659"/>
    <w:rsid w:val="352E5F92"/>
    <w:rsid w:val="35374E47"/>
    <w:rsid w:val="358D4A67"/>
    <w:rsid w:val="35B23FA8"/>
    <w:rsid w:val="35C44201"/>
    <w:rsid w:val="36E36908"/>
    <w:rsid w:val="37225683"/>
    <w:rsid w:val="3729227D"/>
    <w:rsid w:val="372C7F91"/>
    <w:rsid w:val="376C4B50"/>
    <w:rsid w:val="3778260F"/>
    <w:rsid w:val="378620B5"/>
    <w:rsid w:val="37B3277F"/>
    <w:rsid w:val="37D64BA7"/>
    <w:rsid w:val="38080D1C"/>
    <w:rsid w:val="380F1889"/>
    <w:rsid w:val="382A2A41"/>
    <w:rsid w:val="383E32D2"/>
    <w:rsid w:val="38623892"/>
    <w:rsid w:val="387A0F38"/>
    <w:rsid w:val="38871C41"/>
    <w:rsid w:val="393F47DD"/>
    <w:rsid w:val="396C0E37"/>
    <w:rsid w:val="39882115"/>
    <w:rsid w:val="39FF6B36"/>
    <w:rsid w:val="3A541FF7"/>
    <w:rsid w:val="3A756774"/>
    <w:rsid w:val="3A960861"/>
    <w:rsid w:val="3AC23405"/>
    <w:rsid w:val="3B075CE3"/>
    <w:rsid w:val="3B27789D"/>
    <w:rsid w:val="3B3A5239"/>
    <w:rsid w:val="3B4F775C"/>
    <w:rsid w:val="3B934DA1"/>
    <w:rsid w:val="3BC06797"/>
    <w:rsid w:val="3BC7163B"/>
    <w:rsid w:val="3BEE5FE1"/>
    <w:rsid w:val="3BFD046C"/>
    <w:rsid w:val="3BFF41E4"/>
    <w:rsid w:val="3C0C4260"/>
    <w:rsid w:val="3C2D6FA3"/>
    <w:rsid w:val="3C4340D1"/>
    <w:rsid w:val="3C60501B"/>
    <w:rsid w:val="3C7249B6"/>
    <w:rsid w:val="3C7626F9"/>
    <w:rsid w:val="3D471A96"/>
    <w:rsid w:val="3D9A41C5"/>
    <w:rsid w:val="3D9B618F"/>
    <w:rsid w:val="3E111FAD"/>
    <w:rsid w:val="3E2D6890"/>
    <w:rsid w:val="3E927592"/>
    <w:rsid w:val="3E9B6EC4"/>
    <w:rsid w:val="3EB72B54"/>
    <w:rsid w:val="3EBE0387"/>
    <w:rsid w:val="3ED734A6"/>
    <w:rsid w:val="3EEB2146"/>
    <w:rsid w:val="3F0C5EFE"/>
    <w:rsid w:val="3F400D9C"/>
    <w:rsid w:val="3F446ADE"/>
    <w:rsid w:val="3FC0408E"/>
    <w:rsid w:val="3FC75019"/>
    <w:rsid w:val="3FD339BE"/>
    <w:rsid w:val="3FFA0F4B"/>
    <w:rsid w:val="3FFE79A1"/>
    <w:rsid w:val="40061FE5"/>
    <w:rsid w:val="400B75FC"/>
    <w:rsid w:val="402D5FD6"/>
    <w:rsid w:val="40477F08"/>
    <w:rsid w:val="40807FDE"/>
    <w:rsid w:val="411C6A34"/>
    <w:rsid w:val="414D3EAF"/>
    <w:rsid w:val="4184568E"/>
    <w:rsid w:val="41FE1AD4"/>
    <w:rsid w:val="42872932"/>
    <w:rsid w:val="42C41CE4"/>
    <w:rsid w:val="43192030"/>
    <w:rsid w:val="4351587E"/>
    <w:rsid w:val="435E7112"/>
    <w:rsid w:val="439C4B3A"/>
    <w:rsid w:val="43BA782C"/>
    <w:rsid w:val="43DA6CD7"/>
    <w:rsid w:val="43F62371"/>
    <w:rsid w:val="43FB7987"/>
    <w:rsid w:val="44115CBC"/>
    <w:rsid w:val="4413593C"/>
    <w:rsid w:val="441D16AC"/>
    <w:rsid w:val="44562F2D"/>
    <w:rsid w:val="44676DCB"/>
    <w:rsid w:val="447D039C"/>
    <w:rsid w:val="448B4867"/>
    <w:rsid w:val="44906321"/>
    <w:rsid w:val="44C413B9"/>
    <w:rsid w:val="452B1BA6"/>
    <w:rsid w:val="45322F35"/>
    <w:rsid w:val="45693CEF"/>
    <w:rsid w:val="4582210E"/>
    <w:rsid w:val="45CA7611"/>
    <w:rsid w:val="465813F9"/>
    <w:rsid w:val="46752F28"/>
    <w:rsid w:val="46D73EC6"/>
    <w:rsid w:val="46E14BDC"/>
    <w:rsid w:val="46E22739"/>
    <w:rsid w:val="47507FEA"/>
    <w:rsid w:val="475E7E09"/>
    <w:rsid w:val="47627C1A"/>
    <w:rsid w:val="47A24893"/>
    <w:rsid w:val="47AF2F63"/>
    <w:rsid w:val="47B73BC5"/>
    <w:rsid w:val="48311BC9"/>
    <w:rsid w:val="48671159"/>
    <w:rsid w:val="487F2F7D"/>
    <w:rsid w:val="48D32C81"/>
    <w:rsid w:val="48D90193"/>
    <w:rsid w:val="49107A31"/>
    <w:rsid w:val="492D2689"/>
    <w:rsid w:val="49492299"/>
    <w:rsid w:val="495906E1"/>
    <w:rsid w:val="49EC224C"/>
    <w:rsid w:val="4A087940"/>
    <w:rsid w:val="4A3C1FD9"/>
    <w:rsid w:val="4A6C0EAD"/>
    <w:rsid w:val="4A934476"/>
    <w:rsid w:val="4A9F106C"/>
    <w:rsid w:val="4B236A53"/>
    <w:rsid w:val="4B26353C"/>
    <w:rsid w:val="4B2B6DA4"/>
    <w:rsid w:val="4B2E23F0"/>
    <w:rsid w:val="4B44280B"/>
    <w:rsid w:val="4B552AA6"/>
    <w:rsid w:val="4B7F716D"/>
    <w:rsid w:val="4B83098E"/>
    <w:rsid w:val="4B895879"/>
    <w:rsid w:val="4BBC374F"/>
    <w:rsid w:val="4BD72A88"/>
    <w:rsid w:val="4C1208DA"/>
    <w:rsid w:val="4C4A5008"/>
    <w:rsid w:val="4C4C77BA"/>
    <w:rsid w:val="4C5600CA"/>
    <w:rsid w:val="4C5916EF"/>
    <w:rsid w:val="4CB86415"/>
    <w:rsid w:val="4DC96B69"/>
    <w:rsid w:val="4DE44058"/>
    <w:rsid w:val="4E0403D5"/>
    <w:rsid w:val="4E563300"/>
    <w:rsid w:val="4E9B5FEF"/>
    <w:rsid w:val="4EB42C0C"/>
    <w:rsid w:val="4ECA55D0"/>
    <w:rsid w:val="4EDF237F"/>
    <w:rsid w:val="4F13254C"/>
    <w:rsid w:val="4F277882"/>
    <w:rsid w:val="4F4A3571"/>
    <w:rsid w:val="50256815"/>
    <w:rsid w:val="506875FB"/>
    <w:rsid w:val="509E1DC6"/>
    <w:rsid w:val="50C17C89"/>
    <w:rsid w:val="50CE2822"/>
    <w:rsid w:val="50D77086"/>
    <w:rsid w:val="50F56E5E"/>
    <w:rsid w:val="510438B8"/>
    <w:rsid w:val="519901E5"/>
    <w:rsid w:val="51A927D1"/>
    <w:rsid w:val="51AB6549"/>
    <w:rsid w:val="51B43D99"/>
    <w:rsid w:val="51BF4329"/>
    <w:rsid w:val="51C615D4"/>
    <w:rsid w:val="51E44568"/>
    <w:rsid w:val="51ED6B61"/>
    <w:rsid w:val="52120376"/>
    <w:rsid w:val="523C29F9"/>
    <w:rsid w:val="525766D1"/>
    <w:rsid w:val="52684B42"/>
    <w:rsid w:val="526B3F2A"/>
    <w:rsid w:val="52B1623B"/>
    <w:rsid w:val="52D715BF"/>
    <w:rsid w:val="52EC6E19"/>
    <w:rsid w:val="53281E1B"/>
    <w:rsid w:val="53332C9A"/>
    <w:rsid w:val="533F163E"/>
    <w:rsid w:val="53566988"/>
    <w:rsid w:val="53EE4E13"/>
    <w:rsid w:val="53FD0BB2"/>
    <w:rsid w:val="540248E3"/>
    <w:rsid w:val="544E765F"/>
    <w:rsid w:val="545A6004"/>
    <w:rsid w:val="546926EB"/>
    <w:rsid w:val="54837309"/>
    <w:rsid w:val="549079CA"/>
    <w:rsid w:val="54B40BE7"/>
    <w:rsid w:val="553F0A67"/>
    <w:rsid w:val="55456CB4"/>
    <w:rsid w:val="55833339"/>
    <w:rsid w:val="5590756D"/>
    <w:rsid w:val="55AA399A"/>
    <w:rsid w:val="55C67A47"/>
    <w:rsid w:val="56062A2F"/>
    <w:rsid w:val="57576ED8"/>
    <w:rsid w:val="5794182D"/>
    <w:rsid w:val="57A06424"/>
    <w:rsid w:val="57B12A6A"/>
    <w:rsid w:val="57F112D5"/>
    <w:rsid w:val="582B2191"/>
    <w:rsid w:val="585D60C3"/>
    <w:rsid w:val="58612C0E"/>
    <w:rsid w:val="587873A1"/>
    <w:rsid w:val="58832DC3"/>
    <w:rsid w:val="58F20F01"/>
    <w:rsid w:val="59142C25"/>
    <w:rsid w:val="59154BEF"/>
    <w:rsid w:val="59525A19"/>
    <w:rsid w:val="59AF0BA0"/>
    <w:rsid w:val="59B9557B"/>
    <w:rsid w:val="59FF13B5"/>
    <w:rsid w:val="5A097746"/>
    <w:rsid w:val="5A284778"/>
    <w:rsid w:val="5A3E3CD2"/>
    <w:rsid w:val="5A5D23AA"/>
    <w:rsid w:val="5A6B2D19"/>
    <w:rsid w:val="5A6E746B"/>
    <w:rsid w:val="5A7A7400"/>
    <w:rsid w:val="5ABF12B7"/>
    <w:rsid w:val="5AE4292D"/>
    <w:rsid w:val="5AF50835"/>
    <w:rsid w:val="5B0D5B7E"/>
    <w:rsid w:val="5B7C2D04"/>
    <w:rsid w:val="5B7E2649"/>
    <w:rsid w:val="5BA858A7"/>
    <w:rsid w:val="5C82434A"/>
    <w:rsid w:val="5CB62246"/>
    <w:rsid w:val="5CE13766"/>
    <w:rsid w:val="5CFC234E"/>
    <w:rsid w:val="5D207CD9"/>
    <w:rsid w:val="5D3024F2"/>
    <w:rsid w:val="5D643C45"/>
    <w:rsid w:val="5D7D6D6E"/>
    <w:rsid w:val="5D7F1174"/>
    <w:rsid w:val="5DBF512A"/>
    <w:rsid w:val="5DDB01B6"/>
    <w:rsid w:val="5DF125B0"/>
    <w:rsid w:val="5DFC50BD"/>
    <w:rsid w:val="5E7D126D"/>
    <w:rsid w:val="5ED510A9"/>
    <w:rsid w:val="5EFA466C"/>
    <w:rsid w:val="5F3A715E"/>
    <w:rsid w:val="5F5543F5"/>
    <w:rsid w:val="5F5D2E4C"/>
    <w:rsid w:val="5F62370B"/>
    <w:rsid w:val="5F64242D"/>
    <w:rsid w:val="5F697A43"/>
    <w:rsid w:val="5F833C40"/>
    <w:rsid w:val="5F8B1768"/>
    <w:rsid w:val="60140FB0"/>
    <w:rsid w:val="602B6AA7"/>
    <w:rsid w:val="604A33D1"/>
    <w:rsid w:val="60793CB6"/>
    <w:rsid w:val="60EA0710"/>
    <w:rsid w:val="613F1997"/>
    <w:rsid w:val="615D7134"/>
    <w:rsid w:val="617443F0"/>
    <w:rsid w:val="619F774C"/>
    <w:rsid w:val="61A316BC"/>
    <w:rsid w:val="61C763F8"/>
    <w:rsid w:val="61CB28D4"/>
    <w:rsid w:val="61CE3B8D"/>
    <w:rsid w:val="61E433B1"/>
    <w:rsid w:val="61FD68D2"/>
    <w:rsid w:val="61FE0AD0"/>
    <w:rsid w:val="620D46B6"/>
    <w:rsid w:val="62566E28"/>
    <w:rsid w:val="62593D9F"/>
    <w:rsid w:val="62832BCA"/>
    <w:rsid w:val="62B72874"/>
    <w:rsid w:val="62BD2580"/>
    <w:rsid w:val="63035AB9"/>
    <w:rsid w:val="631C6D2A"/>
    <w:rsid w:val="63DF02D4"/>
    <w:rsid w:val="64095351"/>
    <w:rsid w:val="64520AA6"/>
    <w:rsid w:val="64783763"/>
    <w:rsid w:val="647E5DD0"/>
    <w:rsid w:val="64DB6CED"/>
    <w:rsid w:val="64DC7C04"/>
    <w:rsid w:val="65083052"/>
    <w:rsid w:val="653A12A3"/>
    <w:rsid w:val="6585261B"/>
    <w:rsid w:val="65C46E98"/>
    <w:rsid w:val="65E41BD1"/>
    <w:rsid w:val="65F20792"/>
    <w:rsid w:val="65FA7647"/>
    <w:rsid w:val="662D6DA8"/>
    <w:rsid w:val="66660838"/>
    <w:rsid w:val="66D93700"/>
    <w:rsid w:val="66E77BCB"/>
    <w:rsid w:val="672F50CE"/>
    <w:rsid w:val="6732696D"/>
    <w:rsid w:val="67332E10"/>
    <w:rsid w:val="683A01CF"/>
    <w:rsid w:val="68423799"/>
    <w:rsid w:val="684756A2"/>
    <w:rsid w:val="685079F2"/>
    <w:rsid w:val="68CC36FD"/>
    <w:rsid w:val="68DE6E9B"/>
    <w:rsid w:val="68F14D31"/>
    <w:rsid w:val="69147375"/>
    <w:rsid w:val="692C5D69"/>
    <w:rsid w:val="69320EA6"/>
    <w:rsid w:val="697E2721"/>
    <w:rsid w:val="698D7F38"/>
    <w:rsid w:val="699B4C9D"/>
    <w:rsid w:val="69C0748D"/>
    <w:rsid w:val="69DD324F"/>
    <w:rsid w:val="6A1A2066"/>
    <w:rsid w:val="6A7E0B45"/>
    <w:rsid w:val="6B3A3476"/>
    <w:rsid w:val="6B9F0C1C"/>
    <w:rsid w:val="6BCA3618"/>
    <w:rsid w:val="6BE26BB3"/>
    <w:rsid w:val="6BE33C8F"/>
    <w:rsid w:val="6BE446D9"/>
    <w:rsid w:val="6BEA109C"/>
    <w:rsid w:val="6BEF5524"/>
    <w:rsid w:val="6C0C3C30"/>
    <w:rsid w:val="6C444C2E"/>
    <w:rsid w:val="6C507FC1"/>
    <w:rsid w:val="6C5543FB"/>
    <w:rsid w:val="6C7A3290"/>
    <w:rsid w:val="6CA2084A"/>
    <w:rsid w:val="6CFA1CDB"/>
    <w:rsid w:val="6D01750D"/>
    <w:rsid w:val="6D2E042E"/>
    <w:rsid w:val="6D464F20"/>
    <w:rsid w:val="6D9E2FAE"/>
    <w:rsid w:val="6DC5053A"/>
    <w:rsid w:val="6E0A23F1"/>
    <w:rsid w:val="6E3C4D68"/>
    <w:rsid w:val="6E600263"/>
    <w:rsid w:val="6E7E1055"/>
    <w:rsid w:val="6E8D386E"/>
    <w:rsid w:val="6EEE4B8C"/>
    <w:rsid w:val="6EFF182A"/>
    <w:rsid w:val="6F085736"/>
    <w:rsid w:val="6F2D283B"/>
    <w:rsid w:val="6F6124E5"/>
    <w:rsid w:val="6F765F90"/>
    <w:rsid w:val="6FBE16E5"/>
    <w:rsid w:val="700C2451"/>
    <w:rsid w:val="704A4E48"/>
    <w:rsid w:val="705F07D2"/>
    <w:rsid w:val="706D6302"/>
    <w:rsid w:val="708C17E3"/>
    <w:rsid w:val="70BE145A"/>
    <w:rsid w:val="711710AD"/>
    <w:rsid w:val="711A6DEF"/>
    <w:rsid w:val="71241A1C"/>
    <w:rsid w:val="714479C8"/>
    <w:rsid w:val="71997D14"/>
    <w:rsid w:val="721B6FB3"/>
    <w:rsid w:val="724F2AC9"/>
    <w:rsid w:val="730F7282"/>
    <w:rsid w:val="73ED2599"/>
    <w:rsid w:val="74321EB0"/>
    <w:rsid w:val="74566BED"/>
    <w:rsid w:val="745E6FF3"/>
    <w:rsid w:val="746D7236"/>
    <w:rsid w:val="747616A0"/>
    <w:rsid w:val="74786307"/>
    <w:rsid w:val="74D07EF1"/>
    <w:rsid w:val="74DB6895"/>
    <w:rsid w:val="75091655"/>
    <w:rsid w:val="750C6A4F"/>
    <w:rsid w:val="752C0E9F"/>
    <w:rsid w:val="758111EB"/>
    <w:rsid w:val="75AA6994"/>
    <w:rsid w:val="75BD6BB2"/>
    <w:rsid w:val="75CA4550"/>
    <w:rsid w:val="75E33DF5"/>
    <w:rsid w:val="75F61BD9"/>
    <w:rsid w:val="76053BCA"/>
    <w:rsid w:val="760D0CD1"/>
    <w:rsid w:val="76350721"/>
    <w:rsid w:val="763C3364"/>
    <w:rsid w:val="768F5B89"/>
    <w:rsid w:val="76974B9D"/>
    <w:rsid w:val="76CF41D8"/>
    <w:rsid w:val="76F52AFE"/>
    <w:rsid w:val="772B5411"/>
    <w:rsid w:val="773724A9"/>
    <w:rsid w:val="776112D4"/>
    <w:rsid w:val="77674410"/>
    <w:rsid w:val="77742801"/>
    <w:rsid w:val="77C51D8C"/>
    <w:rsid w:val="77C96E79"/>
    <w:rsid w:val="7801636E"/>
    <w:rsid w:val="782D04B7"/>
    <w:rsid w:val="79501600"/>
    <w:rsid w:val="79512818"/>
    <w:rsid w:val="79534C4C"/>
    <w:rsid w:val="797A667D"/>
    <w:rsid w:val="798219D5"/>
    <w:rsid w:val="799314ED"/>
    <w:rsid w:val="79952007"/>
    <w:rsid w:val="79D044EF"/>
    <w:rsid w:val="79FF4DD4"/>
    <w:rsid w:val="7A187C44"/>
    <w:rsid w:val="7A4153ED"/>
    <w:rsid w:val="7A7E03EF"/>
    <w:rsid w:val="7AB83901"/>
    <w:rsid w:val="7ACF5207"/>
    <w:rsid w:val="7B187EFC"/>
    <w:rsid w:val="7B540CE3"/>
    <w:rsid w:val="7B720293"/>
    <w:rsid w:val="7B9B28DB"/>
    <w:rsid w:val="7BC21317"/>
    <w:rsid w:val="7BDA69BE"/>
    <w:rsid w:val="7BDC53CD"/>
    <w:rsid w:val="7C2B1EB0"/>
    <w:rsid w:val="7C2D79D7"/>
    <w:rsid w:val="7C5C1516"/>
    <w:rsid w:val="7C800451"/>
    <w:rsid w:val="7C9B487E"/>
    <w:rsid w:val="7CD44657"/>
    <w:rsid w:val="7D0C7F34"/>
    <w:rsid w:val="7D217FDA"/>
    <w:rsid w:val="7D3E1B08"/>
    <w:rsid w:val="7D5E1E12"/>
    <w:rsid w:val="7D7A4E9D"/>
    <w:rsid w:val="7DA95783"/>
    <w:rsid w:val="7DE7321B"/>
    <w:rsid w:val="7E4B05E8"/>
    <w:rsid w:val="7E7D4A13"/>
    <w:rsid w:val="7E813419"/>
    <w:rsid w:val="7E8D0C00"/>
    <w:rsid w:val="7EC73B8E"/>
    <w:rsid w:val="7ECB34D7"/>
    <w:rsid w:val="7ECD36F3"/>
    <w:rsid w:val="7F122D08"/>
    <w:rsid w:val="7F34107C"/>
    <w:rsid w:val="7F390D88"/>
    <w:rsid w:val="7F82628B"/>
    <w:rsid w:val="7F8518D8"/>
    <w:rsid w:val="7F963AE5"/>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28"/>
      <w:szCs w:val="22"/>
      <w:lang w:val="en-US" w:eastAsia="zh-CN" w:bidi="ar-SA"/>
    </w:rPr>
  </w:style>
  <w:style w:type="paragraph" w:styleId="2">
    <w:name w:val="heading 1"/>
    <w:basedOn w:val="1"/>
    <w:qFormat/>
    <w:uiPriority w:val="1"/>
    <w:pPr>
      <w:ind w:firstLine="0" w:firstLineChars="0"/>
      <w:outlineLvl w:val="0"/>
    </w:pPr>
    <w:rPr>
      <w:rFonts w:cs="Microsoft JhengHei"/>
      <w:b/>
      <w:bCs/>
      <w:sz w:val="30"/>
      <w:szCs w:val="32"/>
    </w:rPr>
  </w:style>
  <w:style w:type="paragraph" w:styleId="3">
    <w:name w:val="heading 2"/>
    <w:basedOn w:val="1"/>
    <w:next w:val="1"/>
    <w:link w:val="17"/>
    <w:unhideWhenUsed/>
    <w:qFormat/>
    <w:uiPriority w:val="9"/>
    <w:pPr>
      <w:keepNext/>
      <w:keepLines/>
      <w:ind w:firstLine="0" w:firstLineChars="0"/>
      <w:outlineLvl w:val="1"/>
    </w:pPr>
    <w:rPr>
      <w:rFonts w:cstheme="majorBidi"/>
      <w:b/>
      <w:bCs/>
      <w:sz w:val="30"/>
      <w:szCs w:val="32"/>
    </w:rPr>
  </w:style>
  <w:style w:type="paragraph" w:styleId="4">
    <w:name w:val="heading 3"/>
    <w:basedOn w:val="1"/>
    <w:next w:val="1"/>
    <w:link w:val="18"/>
    <w:unhideWhenUsed/>
    <w:qFormat/>
    <w:uiPriority w:val="9"/>
    <w:pPr>
      <w:keepNext/>
      <w:keepLines/>
      <w:ind w:firstLine="0" w:firstLineChars="0"/>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 w:val="32"/>
      <w:szCs w:val="32"/>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qFormat/>
    <w:uiPriority w:val="1"/>
    <w:pPr>
      <w:ind w:left="994" w:right="1019"/>
      <w:jc w:val="center"/>
    </w:pPr>
    <w:rPr>
      <w:rFonts w:ascii="宋体" w:hAnsi="宋体" w:eastAsia="宋体"/>
      <w:sz w:val="44"/>
      <w:szCs w:val="44"/>
    </w:rPr>
  </w:style>
  <w:style w:type="character" w:styleId="12">
    <w:name w:val="Strong"/>
    <w:basedOn w:val="11"/>
    <w:qFormat/>
    <w:uiPriority w:val="22"/>
    <w:rPr>
      <w:b/>
    </w:rPr>
  </w:style>
  <w:style w:type="character" w:styleId="13">
    <w:name w:val="Hyperlink"/>
    <w:qFormat/>
    <w:uiPriority w:val="99"/>
    <w:rPr>
      <w:rFonts w:ascii="宋体" w:hAnsi="Times New Roman" w:eastAsia="宋体"/>
      <w:color w:val="auto"/>
      <w:spacing w:val="0"/>
      <w:w w:val="100"/>
      <w:position w:val="0"/>
      <w:sz w:val="21"/>
      <w:u w:val="none"/>
      <w:vertAlign w:val="baselin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161"/>
      <w:ind w:left="1527" w:hanging="481"/>
    </w:pPr>
    <w:rPr>
      <w:rFonts w:ascii="宋体" w:hAnsi="宋体" w:eastAsia="宋体"/>
    </w:rPr>
  </w:style>
  <w:style w:type="paragraph" w:customStyle="1" w:styleId="16">
    <w:name w:val="Table Paragraph"/>
    <w:basedOn w:val="1"/>
    <w:qFormat/>
    <w:uiPriority w:val="1"/>
    <w:rPr>
      <w:rFonts w:ascii="宋体" w:hAnsi="宋体" w:eastAsia="宋体"/>
    </w:rPr>
  </w:style>
  <w:style w:type="character" w:customStyle="1" w:styleId="17">
    <w:name w:val="标题 2 字符"/>
    <w:basedOn w:val="11"/>
    <w:link w:val="3"/>
    <w:qFormat/>
    <w:uiPriority w:val="9"/>
    <w:rPr>
      <w:rFonts w:ascii="Times New Roman" w:hAnsi="Times New Roman" w:eastAsia="仿宋" w:cstheme="majorBidi"/>
      <w:b/>
      <w:bCs/>
      <w:sz w:val="30"/>
      <w:szCs w:val="32"/>
      <w:lang w:eastAsia="zh-CN"/>
    </w:rPr>
  </w:style>
  <w:style w:type="character" w:customStyle="1" w:styleId="18">
    <w:name w:val="标题 3 字符"/>
    <w:basedOn w:val="11"/>
    <w:link w:val="4"/>
    <w:qFormat/>
    <w:uiPriority w:val="9"/>
    <w:rPr>
      <w:rFonts w:ascii="Times New Roman" w:hAnsi="Times New Roman" w:eastAsia="仿宋" w:cs="宋体"/>
      <w:b/>
      <w:bCs/>
      <w:sz w:val="30"/>
      <w:szCs w:val="32"/>
      <w:lang w:eastAsia="zh-CN"/>
    </w:rPr>
  </w:style>
  <w:style w:type="character" w:customStyle="1" w:styleId="19">
    <w:name w:val="页眉 字符"/>
    <w:basedOn w:val="11"/>
    <w:link w:val="7"/>
    <w:qFormat/>
    <w:uiPriority w:val="99"/>
    <w:rPr>
      <w:rFonts w:ascii="Times New Roman" w:hAnsi="Times New Roman" w:eastAsia="仿宋" w:cs="宋体"/>
      <w:sz w:val="18"/>
      <w:szCs w:val="18"/>
      <w:lang w:eastAsia="zh-CN"/>
    </w:rPr>
  </w:style>
  <w:style w:type="character" w:customStyle="1" w:styleId="20">
    <w:name w:val="页脚 字符"/>
    <w:basedOn w:val="11"/>
    <w:link w:val="6"/>
    <w:qFormat/>
    <w:uiPriority w:val="99"/>
    <w:rPr>
      <w:rFonts w:ascii="Times New Roman" w:hAnsi="Times New Roman" w:eastAsia="仿宋" w:cs="宋体"/>
      <w:sz w:val="18"/>
      <w:szCs w:val="18"/>
      <w:lang w:eastAsia="zh-CN"/>
    </w:rPr>
  </w:style>
  <w:style w:type="paragraph" w:customStyle="1" w:styleId="21">
    <w:name w:val="标准文件_段"/>
    <w:qFormat/>
    <w:locked/>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5530</Words>
  <Characters>5648</Characters>
  <Lines>13</Lines>
  <Paragraphs>3</Paragraphs>
  <TotalTime>0</TotalTime>
  <ScaleCrop>false</ScaleCrop>
  <LinksUpToDate>false</LinksUpToDate>
  <CharactersWithSpaces>5679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2025-11-10T09:15:33Z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99C854E014FB4847A1F6EA7DD8030974_13</vt:lpwstr>
  </property>
</Properties>
</file>