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3F34C">
      <w:pPr>
        <w:pStyle w:val="9"/>
        <w:spacing w:before="77"/>
        <w:ind w:left="997" w:firstLine="866"/>
        <w:rPr>
          <w:rFonts w:hint="eastAsia" w:ascii="宋体" w:hAnsi="宋体" w:eastAsia="宋体" w:cs="宋体"/>
          <w:spacing w:val="-7"/>
          <w:lang w:val="en-US" w:eastAsia="zh-CN"/>
        </w:rPr>
      </w:pPr>
      <w:r>
        <w:rPr>
          <w:rFonts w:hint="eastAsia" w:ascii="宋体" w:hAnsi="宋体" w:eastAsia="宋体" w:cs="宋体"/>
          <w:spacing w:val="-7"/>
          <w:lang w:val="en-US" w:eastAsia="zh-CN"/>
        </w:rPr>
        <w:t>《海南消费领域区域公共品牌溯源平台建设技术规范》</w:t>
      </w:r>
    </w:p>
    <w:p w14:paraId="3F2DEC06">
      <w:pPr>
        <w:pStyle w:val="9"/>
        <w:spacing w:before="77"/>
        <w:ind w:left="997" w:firstLine="866"/>
        <w:rPr>
          <w:rFonts w:hint="eastAsia" w:ascii="宋体" w:hAnsi="宋体" w:eastAsia="宋体" w:cs="宋体"/>
          <w:spacing w:val="-7"/>
          <w:lang w:val="en-US" w:eastAsia="zh-CN"/>
        </w:rPr>
      </w:pPr>
      <w:r>
        <w:rPr>
          <w:rFonts w:hint="eastAsia" w:ascii="宋体" w:hAnsi="宋体" w:eastAsia="宋体" w:cs="宋体"/>
          <w:spacing w:val="-7"/>
          <w:lang w:val="en-US" w:eastAsia="zh-CN"/>
        </w:rPr>
        <w:t>团体标准编制说明</w:t>
      </w:r>
    </w:p>
    <w:p w14:paraId="5FC46C6F">
      <w:pPr>
        <w:pStyle w:val="5"/>
        <w:spacing w:before="12"/>
        <w:ind w:left="0" w:firstLine="1240"/>
        <w:rPr>
          <w:sz w:val="62"/>
        </w:rPr>
      </w:pPr>
    </w:p>
    <w:p w14:paraId="0D80B864">
      <w:pPr>
        <w:pStyle w:val="2"/>
        <w:rPr>
          <w:rFonts w:hint="eastAsia" w:ascii="Times New Roman" w:hAnsi="Times New Roman"/>
        </w:rPr>
      </w:pPr>
      <w:r>
        <w:rPr>
          <w:rFonts w:hint="eastAsia" w:ascii="Times New Roman" w:hAnsi="Times New Roman"/>
        </w:rPr>
        <w:t>一、项目简况</w:t>
      </w:r>
    </w:p>
    <w:p w14:paraId="1E2E948B">
      <w:pPr>
        <w:pStyle w:val="2"/>
        <w:rPr>
          <w:rFonts w:hint="eastAsia" w:ascii="Times New Roman" w:hAnsi="Times New Roman"/>
          <w:b w:val="0"/>
          <w:bCs w:val="0"/>
        </w:rPr>
      </w:pPr>
      <w:r>
        <w:rPr>
          <w:rFonts w:hint="eastAsia" w:ascii="Times New Roman" w:hAnsi="Times New Roman"/>
        </w:rPr>
        <w:t>（一）标准名称：</w:t>
      </w:r>
      <w:r>
        <w:rPr>
          <w:rFonts w:hint="eastAsia" w:ascii="Times New Roman" w:hAnsi="Times New Roman"/>
          <w:b w:val="0"/>
          <w:bCs w:val="0"/>
        </w:rPr>
        <w:t xml:space="preserve">《 </w:t>
      </w:r>
      <w:r>
        <w:rPr>
          <w:rFonts w:hint="eastAsia" w:ascii="Times New Roman" w:hAnsi="Times New Roman"/>
          <w:b w:val="0"/>
          <w:bCs w:val="0"/>
          <w:lang w:val="en-US" w:eastAsia="zh-CN"/>
        </w:rPr>
        <w:t>海南消费领域区域公共品牌溯源平台建设技术规范</w:t>
      </w:r>
      <w:r>
        <w:rPr>
          <w:rFonts w:hint="eastAsia" w:ascii="Times New Roman" w:hAnsi="Times New Roman"/>
          <w:b w:val="0"/>
          <w:bCs w:val="0"/>
        </w:rPr>
        <w:t>》。</w:t>
      </w:r>
    </w:p>
    <w:p w14:paraId="7C056585">
      <w:pPr>
        <w:pStyle w:val="2"/>
        <w:rPr>
          <w:rFonts w:hint="eastAsia" w:ascii="Times New Roman" w:hAnsi="Times New Roman"/>
        </w:rPr>
      </w:pPr>
      <w:r>
        <w:rPr>
          <w:rFonts w:hint="eastAsia" w:ascii="Times New Roman" w:hAnsi="Times New Roman"/>
        </w:rPr>
        <w:t>（二）任务来源（项目计划号）：</w:t>
      </w:r>
      <w:r>
        <w:rPr>
          <w:rFonts w:hint="eastAsia" w:ascii="Times New Roman" w:hAnsi="Times New Roman"/>
          <w:b w:val="0"/>
          <w:bCs w:val="0"/>
          <w:lang w:val="en-US" w:eastAsia="zh-CN"/>
        </w:rPr>
        <w:t>HNQA-2025-T14。</w:t>
      </w:r>
    </w:p>
    <w:p w14:paraId="76149507">
      <w:pPr>
        <w:pStyle w:val="2"/>
        <w:rPr>
          <w:rFonts w:hint="eastAsia" w:ascii="Times New Roman" w:hAnsi="Times New Roman"/>
        </w:rPr>
      </w:pPr>
      <w:r>
        <w:rPr>
          <w:rFonts w:hint="eastAsia" w:ascii="Times New Roman" w:hAnsi="Times New Roman"/>
        </w:rPr>
        <w:t xml:space="preserve">（三）起草单位： </w:t>
      </w:r>
      <w:r>
        <w:rPr>
          <w:rFonts w:hint="eastAsia" w:ascii="Times New Roman" w:hAnsi="Times New Roman"/>
          <w:b w:val="0"/>
          <w:bCs w:val="0"/>
          <w:lang w:val="en-US" w:eastAsia="zh-CN"/>
        </w:rPr>
        <w:t>方圆标志认证集团有限公司</w:t>
      </w:r>
      <w:r>
        <w:rPr>
          <w:rFonts w:hint="eastAsia" w:ascii="Times New Roman" w:hAnsi="Times New Roman"/>
          <w:b w:val="0"/>
          <w:bCs w:val="0"/>
        </w:rPr>
        <w:t>。</w:t>
      </w:r>
    </w:p>
    <w:p w14:paraId="0EA6152C">
      <w:pPr>
        <w:pStyle w:val="2"/>
        <w:rPr>
          <w:rFonts w:hint="default" w:ascii="Times New Roman" w:hAnsi="Times New Roman"/>
          <w:lang w:val="en-US"/>
        </w:rPr>
      </w:pPr>
      <w:r>
        <w:rPr>
          <w:rFonts w:hint="eastAsia" w:ascii="Times New Roman" w:hAnsi="Times New Roman"/>
        </w:rPr>
        <w:t>（四）单位地址：</w:t>
      </w:r>
      <w:r>
        <w:rPr>
          <w:rFonts w:hint="eastAsia" w:ascii="Times New Roman" w:hAnsi="Times New Roman"/>
          <w:b w:val="0"/>
          <w:bCs w:val="0"/>
          <w:lang w:val="en-US" w:eastAsia="zh-CN"/>
        </w:rPr>
        <w:t xml:space="preserve"> 北京市海淀区增光路33号。</w:t>
      </w:r>
    </w:p>
    <w:p w14:paraId="1486F48E">
      <w:pPr>
        <w:pStyle w:val="2"/>
        <w:rPr>
          <w:rFonts w:hint="eastAsia" w:ascii="Times New Roman" w:hAnsi="Times New Roman"/>
        </w:rPr>
      </w:pPr>
      <w:r>
        <w:rPr>
          <w:rFonts w:hint="eastAsia" w:ascii="Times New Roman" w:hAnsi="Times New Roman"/>
        </w:rPr>
        <w:t>（五）参与起草单位：</w:t>
      </w:r>
    </w:p>
    <w:p w14:paraId="1860AE93">
      <w:pPr>
        <w:pStyle w:val="2"/>
        <w:rPr>
          <w:rFonts w:hint="eastAsia" w:ascii="Times New Roman" w:hAnsi="Times New Roman"/>
        </w:rPr>
      </w:pPr>
      <w:r>
        <w:rPr>
          <w:rFonts w:hint="eastAsia" w:ascii="Times New Roman" w:hAnsi="Times New Roman"/>
        </w:rPr>
        <w:t>（六）标准起草人：</w:t>
      </w:r>
    </w:p>
    <w:p w14:paraId="5015FFB7">
      <w:pPr>
        <w:ind w:firstLine="0" w:firstLineChars="0"/>
        <w:jc w:val="center"/>
        <w:rPr>
          <w:rFonts w:hint="eastAsia" w:ascii="Times New Roman" w:hAnsi="Times New Roman" w:cs="宋体"/>
          <w:szCs w:val="28"/>
        </w:rPr>
      </w:pPr>
      <w:r>
        <w:rPr>
          <w:rFonts w:hint="eastAsia" w:ascii="Times New Roman" w:hAnsi="Times New Roman" w:cs="宋体"/>
          <w:szCs w:val="28"/>
        </w:rPr>
        <w:t>表1 标准起草人</w:t>
      </w:r>
    </w:p>
    <w:p w14:paraId="76FFDFCD">
      <w:pPr>
        <w:pStyle w:val="5"/>
        <w:spacing w:before="10"/>
        <w:ind w:left="0" w:firstLine="140"/>
        <w:rPr>
          <w:sz w:val="7"/>
        </w:rPr>
      </w:pPr>
    </w:p>
    <w:tbl>
      <w:tblPr>
        <w:tblStyle w:val="12"/>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9"/>
        <w:gridCol w:w="1096"/>
        <w:gridCol w:w="1662"/>
        <w:gridCol w:w="874"/>
        <w:gridCol w:w="845"/>
        <w:gridCol w:w="2840"/>
        <w:gridCol w:w="1276"/>
      </w:tblGrid>
      <w:tr w14:paraId="225D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29" w:type="dxa"/>
            <w:vAlign w:val="center"/>
          </w:tcPr>
          <w:p w14:paraId="5139B0E2">
            <w:pPr>
              <w:pStyle w:val="14"/>
              <w:spacing w:before="74"/>
              <w:ind w:firstLine="0" w:firstLineChars="0"/>
              <w:jc w:val="center"/>
              <w:rPr>
                <w:rFonts w:ascii="宋体" w:hAnsi="宋体" w:eastAsia="宋体" w:cs="宋体"/>
                <w:sz w:val="24"/>
              </w:rPr>
            </w:pPr>
            <w:r>
              <w:rPr>
                <w:rFonts w:ascii="宋体" w:hAnsi="宋体" w:eastAsia="宋体" w:cs="宋体"/>
                <w:sz w:val="24"/>
              </w:rPr>
              <w:t>序号</w:t>
            </w:r>
          </w:p>
        </w:tc>
        <w:tc>
          <w:tcPr>
            <w:tcW w:w="1096" w:type="dxa"/>
            <w:vAlign w:val="center"/>
          </w:tcPr>
          <w:p w14:paraId="2D43C038">
            <w:pPr>
              <w:pStyle w:val="14"/>
              <w:spacing w:before="74"/>
              <w:ind w:firstLine="0" w:firstLineChars="0"/>
              <w:jc w:val="center"/>
              <w:rPr>
                <w:rFonts w:ascii="宋体" w:hAnsi="宋体" w:eastAsia="宋体" w:cs="宋体"/>
                <w:sz w:val="24"/>
              </w:rPr>
            </w:pPr>
            <w:r>
              <w:rPr>
                <w:rFonts w:ascii="宋体" w:hAnsi="宋体" w:eastAsia="宋体" w:cs="宋体"/>
                <w:sz w:val="24"/>
              </w:rPr>
              <w:t>姓名</w:t>
            </w:r>
          </w:p>
        </w:tc>
        <w:tc>
          <w:tcPr>
            <w:tcW w:w="1662" w:type="dxa"/>
            <w:vAlign w:val="center"/>
          </w:tcPr>
          <w:p w14:paraId="1B31F053">
            <w:pPr>
              <w:pStyle w:val="14"/>
              <w:spacing w:before="74"/>
              <w:ind w:firstLine="0" w:firstLineChars="0"/>
              <w:jc w:val="center"/>
              <w:rPr>
                <w:rFonts w:ascii="宋体" w:hAnsi="宋体" w:eastAsia="宋体" w:cs="宋体"/>
                <w:sz w:val="24"/>
              </w:rPr>
            </w:pPr>
            <w:r>
              <w:rPr>
                <w:rFonts w:ascii="宋体" w:hAnsi="宋体" w:eastAsia="宋体" w:cs="宋体"/>
                <w:sz w:val="24"/>
              </w:rPr>
              <w:t>单位</w:t>
            </w:r>
          </w:p>
        </w:tc>
        <w:tc>
          <w:tcPr>
            <w:tcW w:w="874" w:type="dxa"/>
            <w:vAlign w:val="center"/>
          </w:tcPr>
          <w:p w14:paraId="65DD5AAB">
            <w:pPr>
              <w:pStyle w:val="14"/>
              <w:spacing w:before="74"/>
              <w:ind w:firstLine="0" w:firstLineChars="0"/>
              <w:jc w:val="center"/>
              <w:rPr>
                <w:rFonts w:ascii="宋体" w:hAnsi="宋体" w:eastAsia="宋体" w:cs="宋体"/>
                <w:sz w:val="24"/>
              </w:rPr>
            </w:pPr>
            <w:r>
              <w:rPr>
                <w:rFonts w:ascii="宋体" w:hAnsi="宋体" w:eastAsia="宋体" w:cs="宋体"/>
                <w:sz w:val="24"/>
              </w:rPr>
              <w:t>职务</w:t>
            </w:r>
          </w:p>
        </w:tc>
        <w:tc>
          <w:tcPr>
            <w:tcW w:w="845" w:type="dxa"/>
            <w:vAlign w:val="center"/>
          </w:tcPr>
          <w:p w14:paraId="77EC4D00">
            <w:pPr>
              <w:pStyle w:val="14"/>
              <w:spacing w:before="74"/>
              <w:ind w:firstLine="0" w:firstLineChars="0"/>
              <w:jc w:val="center"/>
              <w:rPr>
                <w:rFonts w:ascii="宋体" w:hAnsi="宋体" w:eastAsia="宋体" w:cs="宋体"/>
                <w:sz w:val="24"/>
              </w:rPr>
            </w:pPr>
            <w:r>
              <w:rPr>
                <w:rFonts w:ascii="宋体" w:hAnsi="宋体" w:eastAsia="宋体" w:cs="宋体"/>
                <w:sz w:val="24"/>
              </w:rPr>
              <w:t>职称</w:t>
            </w:r>
          </w:p>
        </w:tc>
        <w:tc>
          <w:tcPr>
            <w:tcW w:w="2840" w:type="dxa"/>
            <w:vAlign w:val="center"/>
          </w:tcPr>
          <w:p w14:paraId="3F52F502">
            <w:pPr>
              <w:pStyle w:val="14"/>
              <w:spacing w:before="74"/>
              <w:ind w:firstLine="0" w:firstLineChars="0"/>
              <w:jc w:val="center"/>
              <w:rPr>
                <w:rFonts w:ascii="宋体" w:hAnsi="宋体" w:eastAsia="宋体" w:cs="宋体"/>
                <w:sz w:val="24"/>
              </w:rPr>
            </w:pPr>
            <w:r>
              <w:rPr>
                <w:rFonts w:ascii="宋体" w:hAnsi="宋体" w:eastAsia="宋体" w:cs="宋体"/>
                <w:sz w:val="24"/>
              </w:rPr>
              <w:t>任务分工</w:t>
            </w:r>
          </w:p>
        </w:tc>
        <w:tc>
          <w:tcPr>
            <w:tcW w:w="1276" w:type="dxa"/>
            <w:vAlign w:val="center"/>
          </w:tcPr>
          <w:p w14:paraId="6C8E18E1">
            <w:pPr>
              <w:pStyle w:val="14"/>
              <w:spacing w:before="74"/>
              <w:ind w:firstLine="0" w:firstLineChars="0"/>
              <w:jc w:val="center"/>
              <w:rPr>
                <w:rFonts w:ascii="宋体" w:hAnsi="宋体" w:eastAsia="宋体" w:cs="宋体"/>
                <w:sz w:val="24"/>
              </w:rPr>
            </w:pPr>
            <w:r>
              <w:rPr>
                <w:rFonts w:ascii="宋体" w:hAnsi="宋体" w:eastAsia="宋体" w:cs="宋体"/>
                <w:sz w:val="24"/>
              </w:rPr>
              <w:t>联系方式</w:t>
            </w:r>
          </w:p>
        </w:tc>
      </w:tr>
      <w:tr w14:paraId="72A4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729" w:type="dxa"/>
            <w:vAlign w:val="center"/>
          </w:tcPr>
          <w:p w14:paraId="70ED984C">
            <w:pPr>
              <w:pStyle w:val="14"/>
              <w:spacing w:before="74"/>
              <w:ind w:firstLine="0" w:firstLineChars="0"/>
              <w:jc w:val="center"/>
              <w:rPr>
                <w:rFonts w:ascii="宋体" w:hAnsi="宋体" w:eastAsia="宋体" w:cs="宋体"/>
                <w:sz w:val="24"/>
              </w:rPr>
            </w:pPr>
            <w:r>
              <w:rPr>
                <w:rFonts w:ascii="宋体" w:hAnsi="宋体" w:eastAsia="宋体" w:cs="宋体"/>
                <w:sz w:val="24"/>
              </w:rPr>
              <w:t>1</w:t>
            </w:r>
          </w:p>
        </w:tc>
        <w:tc>
          <w:tcPr>
            <w:tcW w:w="1096" w:type="dxa"/>
            <w:vAlign w:val="center"/>
          </w:tcPr>
          <w:p w14:paraId="65F8A16E">
            <w:pPr>
              <w:pStyle w:val="14"/>
              <w:spacing w:before="74"/>
              <w:ind w:firstLine="0" w:firstLineChars="0"/>
              <w:jc w:val="center"/>
              <w:rPr>
                <w:rFonts w:hint="default" w:ascii="宋体" w:hAnsi="宋体" w:eastAsia="宋体" w:cs="宋体"/>
                <w:sz w:val="24"/>
                <w:lang w:val="en-US" w:eastAsia="zh-CN"/>
              </w:rPr>
            </w:pPr>
          </w:p>
        </w:tc>
        <w:tc>
          <w:tcPr>
            <w:tcW w:w="1662" w:type="dxa"/>
            <w:vAlign w:val="center"/>
          </w:tcPr>
          <w:p w14:paraId="0E55E2B0">
            <w:pPr>
              <w:pStyle w:val="14"/>
              <w:spacing w:before="74"/>
              <w:ind w:firstLine="0" w:firstLineChars="0"/>
              <w:jc w:val="center"/>
              <w:rPr>
                <w:rFonts w:ascii="宋体" w:hAnsi="宋体" w:eastAsia="宋体" w:cs="宋体"/>
                <w:sz w:val="24"/>
              </w:rPr>
            </w:pPr>
          </w:p>
        </w:tc>
        <w:tc>
          <w:tcPr>
            <w:tcW w:w="874" w:type="dxa"/>
            <w:vAlign w:val="center"/>
          </w:tcPr>
          <w:p w14:paraId="0FE638BB">
            <w:pPr>
              <w:pStyle w:val="14"/>
              <w:spacing w:before="74"/>
              <w:ind w:firstLine="0" w:firstLineChars="0"/>
              <w:jc w:val="center"/>
              <w:rPr>
                <w:rFonts w:ascii="宋体" w:hAnsi="宋体" w:eastAsia="宋体" w:cs="宋体"/>
                <w:sz w:val="24"/>
              </w:rPr>
            </w:pPr>
          </w:p>
        </w:tc>
        <w:tc>
          <w:tcPr>
            <w:tcW w:w="845" w:type="dxa"/>
            <w:vAlign w:val="center"/>
          </w:tcPr>
          <w:p w14:paraId="0E1B19A8">
            <w:pPr>
              <w:pStyle w:val="14"/>
              <w:spacing w:before="74"/>
              <w:ind w:firstLine="0" w:firstLineChars="0"/>
              <w:jc w:val="center"/>
              <w:rPr>
                <w:rFonts w:ascii="宋体" w:hAnsi="宋体" w:eastAsia="宋体" w:cs="宋体"/>
                <w:sz w:val="24"/>
              </w:rPr>
            </w:pPr>
          </w:p>
        </w:tc>
        <w:tc>
          <w:tcPr>
            <w:tcW w:w="2840" w:type="dxa"/>
            <w:vAlign w:val="center"/>
          </w:tcPr>
          <w:p w14:paraId="40B3EC97">
            <w:pPr>
              <w:pStyle w:val="14"/>
              <w:spacing w:before="74"/>
              <w:ind w:firstLine="0" w:firstLineChars="0"/>
              <w:jc w:val="center"/>
              <w:rPr>
                <w:rFonts w:ascii="宋体" w:hAnsi="宋体" w:eastAsia="宋体" w:cs="宋体"/>
                <w:sz w:val="24"/>
              </w:rPr>
            </w:pPr>
          </w:p>
        </w:tc>
        <w:tc>
          <w:tcPr>
            <w:tcW w:w="1276" w:type="dxa"/>
            <w:vAlign w:val="center"/>
          </w:tcPr>
          <w:p w14:paraId="51883D4A">
            <w:pPr>
              <w:pStyle w:val="14"/>
              <w:spacing w:before="74"/>
              <w:ind w:firstLine="0" w:firstLineChars="0"/>
              <w:jc w:val="center"/>
              <w:rPr>
                <w:rFonts w:hint="default" w:ascii="宋体" w:hAnsi="宋体" w:eastAsia="宋体" w:cs="宋体"/>
                <w:sz w:val="24"/>
                <w:lang w:val="en-US" w:eastAsia="zh-CN"/>
              </w:rPr>
            </w:pPr>
          </w:p>
        </w:tc>
      </w:tr>
      <w:tr w14:paraId="2DE3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729" w:type="dxa"/>
            <w:vAlign w:val="center"/>
          </w:tcPr>
          <w:p w14:paraId="1B2B4F03">
            <w:pPr>
              <w:pStyle w:val="14"/>
              <w:spacing w:before="74"/>
              <w:ind w:firstLine="0" w:firstLineChars="0"/>
              <w:jc w:val="center"/>
              <w:rPr>
                <w:rFonts w:ascii="宋体" w:hAnsi="宋体" w:eastAsia="宋体" w:cs="宋体"/>
                <w:sz w:val="24"/>
              </w:rPr>
            </w:pPr>
            <w:r>
              <w:rPr>
                <w:rFonts w:ascii="宋体" w:hAnsi="宋体" w:eastAsia="宋体" w:cs="宋体"/>
                <w:sz w:val="24"/>
              </w:rPr>
              <w:t>2</w:t>
            </w:r>
          </w:p>
        </w:tc>
        <w:tc>
          <w:tcPr>
            <w:tcW w:w="1096" w:type="dxa"/>
            <w:vAlign w:val="center"/>
          </w:tcPr>
          <w:p w14:paraId="6782EEFE">
            <w:pPr>
              <w:pStyle w:val="14"/>
              <w:spacing w:before="74"/>
              <w:ind w:firstLine="0" w:firstLineChars="0"/>
              <w:jc w:val="center"/>
              <w:rPr>
                <w:rFonts w:hint="default" w:ascii="宋体" w:hAnsi="宋体" w:eastAsia="宋体" w:cs="宋体"/>
                <w:sz w:val="24"/>
                <w:lang w:val="en-US" w:eastAsia="zh-CN"/>
              </w:rPr>
            </w:pPr>
          </w:p>
        </w:tc>
        <w:tc>
          <w:tcPr>
            <w:tcW w:w="1662" w:type="dxa"/>
            <w:vAlign w:val="center"/>
          </w:tcPr>
          <w:p w14:paraId="25177C5D">
            <w:pPr>
              <w:pStyle w:val="14"/>
              <w:spacing w:before="74"/>
              <w:ind w:firstLine="0" w:firstLineChars="0"/>
              <w:jc w:val="center"/>
              <w:rPr>
                <w:rFonts w:ascii="宋体" w:hAnsi="宋体" w:eastAsia="宋体" w:cs="宋体"/>
                <w:sz w:val="24"/>
              </w:rPr>
            </w:pPr>
          </w:p>
        </w:tc>
        <w:tc>
          <w:tcPr>
            <w:tcW w:w="874" w:type="dxa"/>
            <w:vAlign w:val="center"/>
          </w:tcPr>
          <w:p w14:paraId="110AB974">
            <w:pPr>
              <w:pStyle w:val="14"/>
              <w:spacing w:before="74"/>
              <w:ind w:firstLine="0" w:firstLineChars="0"/>
              <w:jc w:val="center"/>
              <w:rPr>
                <w:rFonts w:ascii="宋体" w:hAnsi="宋体" w:eastAsia="宋体" w:cs="宋体"/>
                <w:sz w:val="24"/>
              </w:rPr>
            </w:pPr>
          </w:p>
        </w:tc>
        <w:tc>
          <w:tcPr>
            <w:tcW w:w="845" w:type="dxa"/>
            <w:vAlign w:val="center"/>
          </w:tcPr>
          <w:p w14:paraId="63795D6C">
            <w:pPr>
              <w:pStyle w:val="14"/>
              <w:spacing w:before="74"/>
              <w:ind w:firstLine="0" w:firstLineChars="0"/>
              <w:jc w:val="center"/>
              <w:rPr>
                <w:rFonts w:ascii="宋体" w:hAnsi="宋体" w:eastAsia="宋体" w:cs="宋体"/>
                <w:sz w:val="24"/>
              </w:rPr>
            </w:pPr>
          </w:p>
        </w:tc>
        <w:tc>
          <w:tcPr>
            <w:tcW w:w="2840" w:type="dxa"/>
            <w:vAlign w:val="center"/>
          </w:tcPr>
          <w:p w14:paraId="4201E09C">
            <w:pPr>
              <w:pStyle w:val="14"/>
              <w:spacing w:before="74"/>
              <w:ind w:firstLine="0" w:firstLineChars="0"/>
              <w:jc w:val="center"/>
              <w:rPr>
                <w:rFonts w:ascii="宋体" w:hAnsi="宋体" w:eastAsia="宋体" w:cs="宋体"/>
                <w:sz w:val="24"/>
              </w:rPr>
            </w:pPr>
          </w:p>
        </w:tc>
        <w:tc>
          <w:tcPr>
            <w:tcW w:w="1276" w:type="dxa"/>
            <w:vAlign w:val="center"/>
          </w:tcPr>
          <w:p w14:paraId="5D129B7C">
            <w:pPr>
              <w:pStyle w:val="14"/>
              <w:spacing w:before="74"/>
              <w:ind w:firstLine="0" w:firstLineChars="0"/>
              <w:jc w:val="center"/>
              <w:rPr>
                <w:rFonts w:ascii="宋体" w:hAnsi="宋体" w:eastAsia="宋体" w:cs="宋体"/>
                <w:sz w:val="24"/>
              </w:rPr>
            </w:pPr>
          </w:p>
        </w:tc>
      </w:tr>
      <w:tr w14:paraId="2EFB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29" w:type="dxa"/>
            <w:vAlign w:val="center"/>
          </w:tcPr>
          <w:p w14:paraId="15D2F550">
            <w:pPr>
              <w:pStyle w:val="14"/>
              <w:spacing w:before="74"/>
              <w:ind w:firstLine="0" w:firstLineChars="0"/>
              <w:jc w:val="center"/>
              <w:rPr>
                <w:rFonts w:ascii="宋体" w:hAnsi="宋体" w:eastAsia="宋体" w:cs="宋体"/>
                <w:sz w:val="24"/>
              </w:rPr>
            </w:pPr>
            <w:r>
              <w:rPr>
                <w:rFonts w:ascii="宋体" w:hAnsi="宋体" w:eastAsia="宋体" w:cs="宋体"/>
                <w:sz w:val="24"/>
              </w:rPr>
              <w:t>3</w:t>
            </w:r>
          </w:p>
        </w:tc>
        <w:tc>
          <w:tcPr>
            <w:tcW w:w="1096" w:type="dxa"/>
            <w:vAlign w:val="center"/>
          </w:tcPr>
          <w:p w14:paraId="5919AACB">
            <w:pPr>
              <w:pStyle w:val="14"/>
              <w:spacing w:before="74"/>
              <w:ind w:firstLine="0" w:firstLineChars="0"/>
              <w:jc w:val="center"/>
              <w:rPr>
                <w:rFonts w:ascii="宋体" w:hAnsi="宋体" w:eastAsia="宋体" w:cs="宋体"/>
                <w:sz w:val="24"/>
              </w:rPr>
            </w:pPr>
          </w:p>
        </w:tc>
        <w:tc>
          <w:tcPr>
            <w:tcW w:w="1662" w:type="dxa"/>
            <w:vAlign w:val="center"/>
          </w:tcPr>
          <w:p w14:paraId="48BA1872">
            <w:pPr>
              <w:pStyle w:val="14"/>
              <w:spacing w:before="74"/>
              <w:ind w:firstLine="0" w:firstLineChars="0"/>
              <w:jc w:val="center"/>
              <w:rPr>
                <w:rFonts w:ascii="宋体" w:hAnsi="宋体" w:eastAsia="宋体" w:cs="宋体"/>
                <w:sz w:val="24"/>
              </w:rPr>
            </w:pPr>
          </w:p>
        </w:tc>
        <w:tc>
          <w:tcPr>
            <w:tcW w:w="874" w:type="dxa"/>
            <w:vAlign w:val="center"/>
          </w:tcPr>
          <w:p w14:paraId="26489A11">
            <w:pPr>
              <w:pStyle w:val="14"/>
              <w:spacing w:before="74"/>
              <w:ind w:firstLine="0" w:firstLineChars="0"/>
              <w:jc w:val="center"/>
              <w:rPr>
                <w:rFonts w:ascii="宋体" w:hAnsi="宋体" w:eastAsia="宋体" w:cs="宋体"/>
                <w:sz w:val="24"/>
              </w:rPr>
            </w:pPr>
          </w:p>
        </w:tc>
        <w:tc>
          <w:tcPr>
            <w:tcW w:w="845" w:type="dxa"/>
            <w:vAlign w:val="center"/>
          </w:tcPr>
          <w:p w14:paraId="4A4B510C">
            <w:pPr>
              <w:pStyle w:val="14"/>
              <w:spacing w:before="74"/>
              <w:ind w:firstLine="0" w:firstLineChars="0"/>
              <w:jc w:val="center"/>
              <w:rPr>
                <w:rFonts w:ascii="宋体" w:hAnsi="宋体" w:eastAsia="宋体" w:cs="宋体"/>
                <w:sz w:val="24"/>
              </w:rPr>
            </w:pPr>
          </w:p>
        </w:tc>
        <w:tc>
          <w:tcPr>
            <w:tcW w:w="2840" w:type="dxa"/>
            <w:vAlign w:val="center"/>
          </w:tcPr>
          <w:p w14:paraId="46710F27">
            <w:pPr>
              <w:pStyle w:val="14"/>
              <w:spacing w:before="74"/>
              <w:ind w:firstLine="0" w:firstLineChars="0"/>
              <w:jc w:val="center"/>
              <w:rPr>
                <w:rFonts w:ascii="宋体" w:hAnsi="宋体" w:eastAsia="宋体" w:cs="宋体"/>
                <w:sz w:val="24"/>
              </w:rPr>
            </w:pPr>
          </w:p>
        </w:tc>
        <w:tc>
          <w:tcPr>
            <w:tcW w:w="1276" w:type="dxa"/>
            <w:vAlign w:val="center"/>
          </w:tcPr>
          <w:p w14:paraId="7A5F242E">
            <w:pPr>
              <w:pStyle w:val="14"/>
              <w:spacing w:before="74"/>
              <w:ind w:firstLine="0" w:firstLineChars="0"/>
              <w:jc w:val="center"/>
              <w:rPr>
                <w:rFonts w:ascii="宋体" w:hAnsi="宋体" w:eastAsia="宋体" w:cs="宋体"/>
                <w:sz w:val="24"/>
              </w:rPr>
            </w:pPr>
          </w:p>
        </w:tc>
      </w:tr>
      <w:tr w14:paraId="6C47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729" w:type="dxa"/>
            <w:vAlign w:val="center"/>
          </w:tcPr>
          <w:p w14:paraId="125288BA">
            <w:pPr>
              <w:pStyle w:val="14"/>
              <w:spacing w:before="74"/>
              <w:ind w:firstLine="0" w:firstLineChars="0"/>
              <w:jc w:val="center"/>
              <w:rPr>
                <w:rFonts w:ascii="宋体" w:hAnsi="宋体" w:eastAsia="宋体" w:cs="宋体"/>
                <w:sz w:val="24"/>
              </w:rPr>
            </w:pPr>
            <w:r>
              <w:rPr>
                <w:rFonts w:ascii="宋体" w:hAnsi="宋体" w:eastAsia="宋体" w:cs="宋体"/>
                <w:sz w:val="24"/>
              </w:rPr>
              <w:t>4</w:t>
            </w:r>
          </w:p>
        </w:tc>
        <w:tc>
          <w:tcPr>
            <w:tcW w:w="1096" w:type="dxa"/>
            <w:vAlign w:val="center"/>
          </w:tcPr>
          <w:p w14:paraId="0353F249">
            <w:pPr>
              <w:pStyle w:val="14"/>
              <w:spacing w:before="74"/>
              <w:ind w:firstLine="0" w:firstLineChars="0"/>
              <w:jc w:val="center"/>
              <w:rPr>
                <w:rFonts w:ascii="宋体" w:hAnsi="宋体" w:eastAsia="宋体" w:cs="宋体"/>
                <w:sz w:val="24"/>
              </w:rPr>
            </w:pPr>
          </w:p>
        </w:tc>
        <w:tc>
          <w:tcPr>
            <w:tcW w:w="1662" w:type="dxa"/>
            <w:vAlign w:val="center"/>
          </w:tcPr>
          <w:p w14:paraId="46827C2A">
            <w:pPr>
              <w:pStyle w:val="14"/>
              <w:spacing w:before="74"/>
              <w:ind w:firstLine="0" w:firstLineChars="0"/>
              <w:jc w:val="center"/>
              <w:rPr>
                <w:rFonts w:ascii="宋体" w:hAnsi="宋体" w:eastAsia="宋体" w:cs="宋体"/>
                <w:sz w:val="24"/>
              </w:rPr>
            </w:pPr>
          </w:p>
        </w:tc>
        <w:tc>
          <w:tcPr>
            <w:tcW w:w="874" w:type="dxa"/>
            <w:vAlign w:val="center"/>
          </w:tcPr>
          <w:p w14:paraId="16E22018">
            <w:pPr>
              <w:pStyle w:val="14"/>
              <w:spacing w:before="74"/>
              <w:ind w:firstLine="0" w:firstLineChars="0"/>
              <w:jc w:val="center"/>
              <w:rPr>
                <w:rFonts w:ascii="宋体" w:hAnsi="宋体" w:eastAsia="宋体" w:cs="宋体"/>
                <w:sz w:val="24"/>
              </w:rPr>
            </w:pPr>
          </w:p>
        </w:tc>
        <w:tc>
          <w:tcPr>
            <w:tcW w:w="845" w:type="dxa"/>
            <w:vAlign w:val="center"/>
          </w:tcPr>
          <w:p w14:paraId="7BF5F21C">
            <w:pPr>
              <w:pStyle w:val="14"/>
              <w:spacing w:before="74"/>
              <w:ind w:firstLine="0" w:firstLineChars="0"/>
              <w:jc w:val="center"/>
              <w:rPr>
                <w:rFonts w:ascii="宋体" w:hAnsi="宋体" w:eastAsia="宋体" w:cs="宋体"/>
                <w:sz w:val="24"/>
              </w:rPr>
            </w:pPr>
          </w:p>
        </w:tc>
        <w:tc>
          <w:tcPr>
            <w:tcW w:w="2840" w:type="dxa"/>
            <w:vAlign w:val="center"/>
          </w:tcPr>
          <w:p w14:paraId="2556219F">
            <w:pPr>
              <w:pStyle w:val="14"/>
              <w:spacing w:before="74"/>
              <w:ind w:firstLine="0" w:firstLineChars="0"/>
              <w:jc w:val="center"/>
              <w:rPr>
                <w:rFonts w:ascii="宋体" w:hAnsi="宋体" w:eastAsia="宋体" w:cs="宋体"/>
                <w:sz w:val="24"/>
              </w:rPr>
            </w:pPr>
          </w:p>
        </w:tc>
        <w:tc>
          <w:tcPr>
            <w:tcW w:w="1276" w:type="dxa"/>
            <w:vAlign w:val="center"/>
          </w:tcPr>
          <w:p w14:paraId="74549791">
            <w:pPr>
              <w:pStyle w:val="14"/>
              <w:spacing w:before="74"/>
              <w:ind w:firstLine="0" w:firstLineChars="0"/>
              <w:jc w:val="center"/>
              <w:rPr>
                <w:rFonts w:ascii="宋体" w:hAnsi="宋体" w:eastAsia="宋体" w:cs="宋体"/>
                <w:sz w:val="24"/>
              </w:rPr>
            </w:pPr>
          </w:p>
        </w:tc>
      </w:tr>
      <w:tr w14:paraId="39DE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729" w:type="dxa"/>
            <w:vAlign w:val="center"/>
          </w:tcPr>
          <w:p w14:paraId="0F4B2190">
            <w:pPr>
              <w:pStyle w:val="14"/>
              <w:spacing w:before="74"/>
              <w:ind w:firstLine="0" w:firstLineChars="0"/>
              <w:jc w:val="center"/>
              <w:rPr>
                <w:rFonts w:ascii="宋体" w:hAnsi="宋体" w:eastAsia="宋体" w:cs="宋体"/>
                <w:sz w:val="24"/>
              </w:rPr>
            </w:pPr>
            <w:r>
              <w:rPr>
                <w:rFonts w:ascii="宋体" w:hAnsi="宋体" w:eastAsia="宋体" w:cs="宋体"/>
                <w:sz w:val="24"/>
              </w:rPr>
              <w:t>5</w:t>
            </w:r>
          </w:p>
        </w:tc>
        <w:tc>
          <w:tcPr>
            <w:tcW w:w="1096" w:type="dxa"/>
            <w:vAlign w:val="center"/>
          </w:tcPr>
          <w:p w14:paraId="50534D2E">
            <w:pPr>
              <w:pStyle w:val="14"/>
              <w:spacing w:before="74"/>
              <w:ind w:firstLine="0" w:firstLineChars="0"/>
              <w:jc w:val="center"/>
              <w:rPr>
                <w:rFonts w:ascii="宋体" w:hAnsi="宋体" w:eastAsia="宋体" w:cs="宋体"/>
                <w:sz w:val="24"/>
              </w:rPr>
            </w:pPr>
          </w:p>
        </w:tc>
        <w:tc>
          <w:tcPr>
            <w:tcW w:w="1662" w:type="dxa"/>
            <w:vAlign w:val="center"/>
          </w:tcPr>
          <w:p w14:paraId="26C4BC92">
            <w:pPr>
              <w:pStyle w:val="14"/>
              <w:spacing w:before="74"/>
              <w:ind w:firstLine="0" w:firstLineChars="0"/>
              <w:jc w:val="center"/>
              <w:rPr>
                <w:rFonts w:ascii="宋体" w:hAnsi="宋体" w:eastAsia="宋体" w:cs="宋体"/>
                <w:sz w:val="24"/>
              </w:rPr>
            </w:pPr>
          </w:p>
        </w:tc>
        <w:tc>
          <w:tcPr>
            <w:tcW w:w="874" w:type="dxa"/>
            <w:vAlign w:val="center"/>
          </w:tcPr>
          <w:p w14:paraId="6483053A">
            <w:pPr>
              <w:pStyle w:val="14"/>
              <w:spacing w:before="74"/>
              <w:ind w:firstLine="0" w:firstLineChars="0"/>
              <w:jc w:val="center"/>
              <w:rPr>
                <w:rFonts w:ascii="宋体" w:hAnsi="宋体" w:eastAsia="宋体" w:cs="宋体"/>
                <w:sz w:val="24"/>
              </w:rPr>
            </w:pPr>
          </w:p>
        </w:tc>
        <w:tc>
          <w:tcPr>
            <w:tcW w:w="845" w:type="dxa"/>
            <w:vAlign w:val="center"/>
          </w:tcPr>
          <w:p w14:paraId="116C7A42">
            <w:pPr>
              <w:pStyle w:val="14"/>
              <w:spacing w:before="74"/>
              <w:ind w:firstLine="0" w:firstLineChars="0"/>
              <w:jc w:val="center"/>
              <w:rPr>
                <w:rFonts w:ascii="宋体" w:hAnsi="宋体" w:eastAsia="宋体" w:cs="宋体"/>
                <w:sz w:val="24"/>
              </w:rPr>
            </w:pPr>
          </w:p>
        </w:tc>
        <w:tc>
          <w:tcPr>
            <w:tcW w:w="2840" w:type="dxa"/>
            <w:vAlign w:val="center"/>
          </w:tcPr>
          <w:p w14:paraId="099AF6F1">
            <w:pPr>
              <w:pStyle w:val="14"/>
              <w:spacing w:before="74"/>
              <w:ind w:firstLine="0" w:firstLineChars="0"/>
              <w:jc w:val="center"/>
              <w:rPr>
                <w:rFonts w:ascii="宋体" w:hAnsi="宋体" w:eastAsia="宋体" w:cs="宋体"/>
                <w:sz w:val="24"/>
              </w:rPr>
            </w:pPr>
          </w:p>
        </w:tc>
        <w:tc>
          <w:tcPr>
            <w:tcW w:w="1276" w:type="dxa"/>
            <w:vAlign w:val="center"/>
          </w:tcPr>
          <w:p w14:paraId="19004189">
            <w:pPr>
              <w:pStyle w:val="14"/>
              <w:spacing w:before="74"/>
              <w:ind w:firstLine="0" w:firstLineChars="0"/>
              <w:jc w:val="center"/>
              <w:rPr>
                <w:rFonts w:ascii="宋体" w:hAnsi="宋体" w:eastAsia="宋体" w:cs="宋体"/>
                <w:sz w:val="24"/>
              </w:rPr>
            </w:pPr>
          </w:p>
        </w:tc>
      </w:tr>
    </w:tbl>
    <w:p w14:paraId="38DACF5D">
      <w:pPr>
        <w:ind w:firstLine="560"/>
      </w:pPr>
    </w:p>
    <w:p w14:paraId="3D5200D2">
      <w:pPr>
        <w:pStyle w:val="2"/>
        <w:rPr>
          <w:rFonts w:ascii="Times New Roman" w:hAnsi="Times New Roman"/>
        </w:rPr>
      </w:pPr>
      <w:r>
        <w:rPr>
          <w:rFonts w:ascii="Times New Roman" w:hAnsi="Times New Roman"/>
        </w:rPr>
        <w:t>二、编制情况</w:t>
      </w:r>
    </w:p>
    <w:p w14:paraId="0DF6508F">
      <w:pPr>
        <w:pStyle w:val="2"/>
        <w:rPr>
          <w:rFonts w:ascii="Times New Roman" w:hAnsi="Times New Roman"/>
        </w:rPr>
      </w:pPr>
      <w:r>
        <w:rPr>
          <w:rFonts w:ascii="Times New Roman" w:hAnsi="Times New Roman"/>
        </w:rPr>
        <w:t>（一）</w:t>
      </w:r>
      <w:r>
        <w:rPr>
          <w:rFonts w:hint="eastAsia" w:ascii="Times New Roman" w:hAnsi="Times New Roman"/>
        </w:rPr>
        <w:t>编制标准的必要性和意义及背景</w:t>
      </w:r>
    </w:p>
    <w:p w14:paraId="34E5AA13">
      <w:pPr>
        <w:ind w:firstLine="560"/>
        <w:rPr>
          <w:rFonts w:hint="eastAsia" w:ascii="Times New Roman" w:hAnsi="Times New Roman" w:cs="宋体"/>
          <w:lang w:val="en-US" w:eastAsia="zh-CN"/>
        </w:rPr>
      </w:pPr>
      <w:r>
        <w:rPr>
          <w:rFonts w:hint="eastAsia" w:ascii="Times New Roman" w:hAnsi="Times New Roman" w:cs="宋体"/>
          <w:lang w:val="en-US" w:eastAsia="zh-CN"/>
        </w:rPr>
        <w:t>《海南消费领域区域公共品牌溯源平台建设技术规范》标准是“海南消费领域区域公共品牌”系列团体标准之一，规定了海南消费领域区域公共品牌溯源平台建设的平台总体要求、数据标准、安全技术、平台建设质量控制等要求，为</w:t>
      </w:r>
      <w:r>
        <w:rPr>
          <w:rFonts w:hint="eastAsia" w:ascii="Times New Roman" w:hAnsi="Times New Roman" w:cs="宋体"/>
          <w:lang w:val="zh-CN" w:eastAsia="zh-CN"/>
        </w:rPr>
        <w:t>海南消费领域区域公共品牌溯源平台的规划、设计</w:t>
      </w:r>
      <w:r>
        <w:rPr>
          <w:rFonts w:hint="eastAsia" w:ascii="Times New Roman" w:hAnsi="Times New Roman" w:cs="宋体"/>
          <w:lang w:val="en-US" w:eastAsia="zh-CN"/>
        </w:rPr>
        <w:t>和</w:t>
      </w:r>
      <w:r>
        <w:rPr>
          <w:rFonts w:hint="eastAsia" w:ascii="Times New Roman" w:hAnsi="Times New Roman" w:cs="宋体"/>
          <w:lang w:val="zh-CN" w:eastAsia="zh-CN"/>
        </w:rPr>
        <w:t>建设</w:t>
      </w:r>
      <w:r>
        <w:rPr>
          <w:rFonts w:hint="eastAsia" w:ascii="Times New Roman" w:hAnsi="Times New Roman" w:cs="宋体"/>
          <w:lang w:val="en-US" w:eastAsia="zh-CN"/>
        </w:rPr>
        <w:t>提供指南。平台建设单位应严格按照本标准进行海南消费领域区域公共品牌方面溯源平台的建设，确保平台的功能、性能、安全性等符合标准要求。</w:t>
      </w:r>
    </w:p>
    <w:p w14:paraId="0C8293B5">
      <w:pPr>
        <w:pStyle w:val="4"/>
        <w:rPr>
          <w:rFonts w:hint="eastAsia" w:ascii="Times New Roman" w:hAnsi="Times New Roman" w:cs="宋体"/>
          <w:lang w:val="en-US" w:eastAsia="zh-CN"/>
        </w:rPr>
      </w:pPr>
      <w:r>
        <w:rPr>
          <w:rFonts w:hint="eastAsia" w:ascii="Times New Roman" w:hAnsi="Times New Roman" w:cs="宋体"/>
          <w:lang w:val="en-US" w:eastAsia="zh-CN"/>
        </w:rPr>
        <w:t>1、编制的必要性</w:t>
      </w:r>
    </w:p>
    <w:p w14:paraId="04934BE6">
      <w:pPr>
        <w:ind w:firstLine="560"/>
        <w:rPr>
          <w:rFonts w:hint="eastAsia" w:ascii="Times New Roman" w:hAnsi="Times New Roman" w:cs="宋体"/>
          <w:lang w:val="en-US" w:eastAsia="zh-CN"/>
        </w:rPr>
      </w:pPr>
      <w:r>
        <w:rPr>
          <w:rFonts w:hint="eastAsia" w:ascii="Times New Roman" w:hAnsi="Times New Roman" w:cs="宋体"/>
          <w:lang w:val="en-US" w:eastAsia="zh-CN"/>
        </w:rPr>
        <w:t>①现有标准缺失：当前海南消费领域区域公共品牌溯源工作缺乏统一、完善的技术规范标准。各企业和部门在溯源体系建设过程中，采用的技术手段、数据采集标准、信息存储方式等存在差异，导致溯源信息不完整、不准确，无法实现有效互联互通和信息共享，因此迫切需要编制统一规范。</w:t>
      </w:r>
    </w:p>
    <w:p w14:paraId="4FB53289">
      <w:pPr>
        <w:ind w:firstLine="560"/>
        <w:rPr>
          <w:rFonts w:hint="eastAsia" w:ascii="Times New Roman" w:hAnsi="Times New Roman" w:cs="宋体"/>
          <w:lang w:val="en-US" w:eastAsia="zh-CN"/>
        </w:rPr>
      </w:pPr>
      <w:r>
        <w:rPr>
          <w:rFonts w:hint="eastAsia" w:ascii="Times New Roman" w:hAnsi="Times New Roman" w:cs="宋体"/>
          <w:lang w:val="en-US" w:eastAsia="zh-CN"/>
        </w:rPr>
        <w:t>②监管需求迫切：随着海南自由贸易港建设的推进，消费市场日益活跃，产品种类和交易量不断增加。传统的监管方式难以满足当前市场监管需求，需要借助现代化和数字化的溯源技术手段和规范标准，提升监管效能，确保产品质量安全，维护市场稳定。</w:t>
      </w:r>
    </w:p>
    <w:p w14:paraId="1643C431">
      <w:pPr>
        <w:ind w:firstLine="560"/>
        <w:rPr>
          <w:rFonts w:hint="eastAsia" w:ascii="Times New Roman" w:hAnsi="Times New Roman" w:cs="宋体"/>
          <w:lang w:val="en-US" w:eastAsia="zh-CN"/>
        </w:rPr>
      </w:pPr>
      <w:r>
        <w:rPr>
          <w:rFonts w:hint="eastAsia" w:ascii="Times New Roman" w:hAnsi="Times New Roman" w:cs="宋体"/>
          <w:lang w:val="en-US" w:eastAsia="zh-CN"/>
        </w:rPr>
        <w:t>③市场竞争需要：在全球化市场竞争中，消费者对产品质量和安全的关注度越来越高。海南消费领域区域公共品牌要想在国内外市场脱颖而出，必须建立完善的溯源体系，以满足消费者对产品质量追溯的需求，增强市场竞争力。</w:t>
      </w:r>
    </w:p>
    <w:p w14:paraId="7BED84EA">
      <w:pPr>
        <w:pStyle w:val="4"/>
        <w:rPr>
          <w:rFonts w:hint="eastAsia" w:ascii="Times New Roman" w:hAnsi="Times New Roman" w:cs="宋体"/>
          <w:lang w:val="en-US" w:eastAsia="zh-CN"/>
        </w:rPr>
      </w:pPr>
      <w:r>
        <w:rPr>
          <w:rFonts w:hint="eastAsia" w:ascii="Times New Roman" w:hAnsi="Times New Roman" w:cs="宋体"/>
          <w:lang w:val="en-US" w:eastAsia="zh-CN"/>
        </w:rPr>
        <w:t>2、编制的</w:t>
      </w:r>
      <w:bookmarkStart w:id="0" w:name="_GoBack"/>
      <w:bookmarkEnd w:id="0"/>
      <w:r>
        <w:rPr>
          <w:rFonts w:hint="eastAsia" w:ascii="Times New Roman" w:hAnsi="Times New Roman" w:cs="宋体"/>
          <w:lang w:val="en-US" w:eastAsia="zh-CN"/>
        </w:rPr>
        <w:t>意义</w:t>
      </w:r>
    </w:p>
    <w:p w14:paraId="3A96BA54">
      <w:pPr>
        <w:ind w:firstLine="560"/>
        <w:rPr>
          <w:rFonts w:hint="default" w:ascii="Times New Roman" w:hAnsi="Times New Roman" w:cs="宋体"/>
          <w:lang w:val="en-US" w:eastAsia="zh-CN"/>
        </w:rPr>
      </w:pPr>
      <w:r>
        <w:rPr>
          <w:rFonts w:hint="eastAsia" w:ascii="Times New Roman" w:hAnsi="Times New Roman" w:cs="宋体"/>
          <w:lang w:val="en-US" w:eastAsia="zh-CN"/>
        </w:rPr>
        <w:t>通过</w:t>
      </w:r>
      <w:r>
        <w:rPr>
          <w:rFonts w:hint="eastAsia" w:ascii="Times New Roman" w:hAnsi="Times New Roman" w:cs="宋体"/>
          <w:lang w:val="zh-CN" w:eastAsia="zh-CN"/>
        </w:rPr>
        <w:t>聚焦海南本地的消费市场，对本地特色</w:t>
      </w:r>
      <w:r>
        <w:rPr>
          <w:rFonts w:hint="eastAsia" w:ascii="Times New Roman" w:hAnsi="Times New Roman" w:cs="宋体"/>
          <w:lang w:val="en-US" w:eastAsia="zh-CN"/>
        </w:rPr>
        <w:t>产品/服务</w:t>
      </w:r>
      <w:r>
        <w:rPr>
          <w:rFonts w:hint="eastAsia" w:ascii="Times New Roman" w:hAnsi="Times New Roman" w:cs="宋体"/>
          <w:lang w:val="zh-CN" w:eastAsia="zh-CN"/>
        </w:rPr>
        <w:t>消费品牌进行溯源管理，提升海南</w:t>
      </w:r>
      <w:r>
        <w:rPr>
          <w:rFonts w:hint="eastAsia" w:ascii="Times New Roman" w:hAnsi="Times New Roman" w:cs="宋体"/>
          <w:lang w:val="en-US" w:eastAsia="zh-CN"/>
        </w:rPr>
        <w:t>消费</w:t>
      </w:r>
      <w:r>
        <w:rPr>
          <w:rFonts w:hint="eastAsia" w:ascii="Times New Roman" w:hAnsi="Times New Roman" w:cs="宋体"/>
          <w:lang w:val="zh-CN" w:eastAsia="zh-CN"/>
        </w:rPr>
        <w:t>区域公共品牌在市场上的公信力和竞争力。</w:t>
      </w:r>
    </w:p>
    <w:p w14:paraId="7D7DE86E">
      <w:pPr>
        <w:ind w:firstLine="560"/>
        <w:rPr>
          <w:rFonts w:hint="eastAsia" w:ascii="Times New Roman" w:hAnsi="Times New Roman" w:cs="宋体"/>
          <w:lang w:val="en-US" w:eastAsia="zh-CN"/>
        </w:rPr>
      </w:pPr>
      <w:r>
        <w:rPr>
          <w:rFonts w:hint="eastAsia" w:ascii="Times New Roman" w:hAnsi="Times New Roman" w:cs="宋体"/>
          <w:lang w:val="en-US" w:eastAsia="zh-CN"/>
        </w:rPr>
        <w:t>①提供准确信息，保障消费者权益：通过溯源平台建设和数据信息，满足消费者借助平台查询海南消费领域区域公共品牌相关产品和服务业信息的需要，在遭遇产品质量问题时，能快速追溯问题源头，明确责任主体，切实保障自身合法权益。</w:t>
      </w:r>
    </w:p>
    <w:p w14:paraId="6DE62889">
      <w:pPr>
        <w:ind w:firstLine="560"/>
        <w:rPr>
          <w:rFonts w:hint="eastAsia" w:ascii="Times New Roman" w:hAnsi="Times New Roman" w:cs="宋体"/>
          <w:lang w:val="en-US" w:eastAsia="zh-CN"/>
        </w:rPr>
      </w:pPr>
      <w:r>
        <w:rPr>
          <w:rFonts w:hint="eastAsia" w:ascii="Times New Roman" w:hAnsi="Times New Roman" w:cs="宋体"/>
          <w:lang w:val="en-US" w:eastAsia="zh-CN"/>
        </w:rPr>
        <w:t>②规范市场秩序：为海南消费市场提供统一、标准的溯源体系，使监管部门能够实时监控产品流向和质量信息。对违规生产、销售行为进行精准打击，遏制假冒伪劣产品在市场上的流通，营造公平、公正、有序的市场竞争环境。</w:t>
      </w:r>
    </w:p>
    <w:p w14:paraId="784230FF">
      <w:pPr>
        <w:ind w:firstLine="560"/>
        <w:rPr>
          <w:rFonts w:hint="eastAsia" w:ascii="Times New Roman" w:hAnsi="Times New Roman" w:cs="宋体"/>
          <w:lang w:val="en-US" w:eastAsia="zh-CN"/>
        </w:rPr>
      </w:pPr>
      <w:r>
        <w:rPr>
          <w:rFonts w:hint="eastAsia" w:ascii="Times New Roman" w:hAnsi="Times New Roman" w:cs="宋体"/>
          <w:lang w:val="en-US" w:eastAsia="zh-CN"/>
        </w:rPr>
        <w:t>③提升品牌形象：借助溯源平台展示海南消费领域区域公共品牌产品/服务业的优质特性和独特优势，以及严格的质量管控流程。强化海南消费领域区域公共品牌的辨识度和独特形象，形成“海南特色+标准化品质”的品牌形象和体验，提升品牌在国内外市场的知名度和美誉度。</w:t>
      </w:r>
    </w:p>
    <w:p w14:paraId="5961F5DB">
      <w:pPr>
        <w:ind w:firstLine="560"/>
        <w:rPr>
          <w:rFonts w:hint="eastAsia" w:ascii="Times New Roman" w:hAnsi="Times New Roman" w:cs="宋体"/>
          <w:lang w:val="en-US" w:eastAsia="zh-CN"/>
        </w:rPr>
      </w:pPr>
      <w:r>
        <w:rPr>
          <w:rFonts w:hint="eastAsia" w:ascii="Times New Roman" w:hAnsi="Times New Roman" w:cs="宋体"/>
          <w:lang w:val="en-US" w:eastAsia="zh-CN"/>
        </w:rPr>
        <w:t>④促进区域和产业经济发展：溯源平台是优质海南消费区域公共品牌产品和服务形象的“窗口”呈现，能够吸引更多的投资和资源，带动相关产业的协同发展，创造更多的就业机会，增加地方财政收入。通过提升品牌附加值，提高产品的市场售价和市场份额，进一步促进海南区域经济的繁荣发展。</w:t>
      </w:r>
    </w:p>
    <w:p w14:paraId="06B5B615">
      <w:pPr>
        <w:pStyle w:val="2"/>
        <w:rPr>
          <w:rFonts w:ascii="Times New Roman" w:hAnsi="Times New Roman"/>
        </w:rPr>
      </w:pPr>
      <w:r>
        <w:rPr>
          <w:rFonts w:ascii="Times New Roman" w:hAnsi="Times New Roman"/>
        </w:rPr>
        <w:t>（二）</w:t>
      </w:r>
      <w:r>
        <w:rPr>
          <w:rFonts w:hint="eastAsia" w:ascii="Times New Roman" w:hAnsi="Times New Roman"/>
        </w:rPr>
        <w:t>编制过程简介</w:t>
      </w:r>
    </w:p>
    <w:p w14:paraId="0626D2E2">
      <w:pPr>
        <w:ind w:firstLine="560"/>
        <w:rPr>
          <w:rFonts w:hint="eastAsia" w:ascii="Times New Roman" w:hAnsi="Times New Roman" w:cs="宋体"/>
          <w:lang w:val="en-US" w:eastAsia="zh-CN"/>
        </w:rPr>
      </w:pPr>
      <w:r>
        <w:rPr>
          <w:rFonts w:hint="eastAsia" w:ascii="Times New Roman" w:hAnsi="Times New Roman" w:cs="宋体"/>
        </w:rPr>
        <w:t>本技术规范的编制任务</w:t>
      </w:r>
      <w:r>
        <w:rPr>
          <w:rFonts w:hint="eastAsia" w:ascii="Times New Roman" w:hAnsi="Times New Roman" w:cs="宋体"/>
          <w:lang w:val="en-US" w:eastAsia="zh-CN"/>
        </w:rPr>
        <w:t>来</w:t>
      </w:r>
      <w:r>
        <w:rPr>
          <w:rFonts w:hint="eastAsia" w:ascii="Times New Roman" w:hAnsi="Times New Roman" w:cs="宋体"/>
        </w:rPr>
        <w:t>源于海南消费领域区域公共品牌建设与管理的实际需求。</w:t>
      </w:r>
      <w:r>
        <w:rPr>
          <w:rFonts w:hint="eastAsia" w:ascii="Times New Roman" w:hAnsi="Times New Roman" w:cs="宋体"/>
          <w:lang w:val="en-US" w:eastAsia="zh-CN"/>
        </w:rPr>
        <w:t>标准编制过程：</w:t>
      </w:r>
    </w:p>
    <w:p w14:paraId="03286E7F">
      <w:pPr>
        <w:pStyle w:val="4"/>
        <w:rPr>
          <w:rFonts w:hint="eastAsia" w:ascii="Times New Roman" w:hAnsi="Times New Roman" w:cs="宋体"/>
          <w:lang w:val="en-US" w:eastAsia="zh-CN"/>
        </w:rPr>
      </w:pPr>
      <w:r>
        <w:rPr>
          <w:rFonts w:hint="eastAsia" w:ascii="Times New Roman" w:hAnsi="Times New Roman" w:cs="宋体"/>
          <w:lang w:val="en-US" w:eastAsia="zh-CN"/>
        </w:rPr>
        <w:t>1、成立工作组</w:t>
      </w:r>
    </w:p>
    <w:p w14:paraId="570B7F8B">
      <w:pPr>
        <w:ind w:firstLine="640"/>
      </w:pPr>
      <w:r>
        <w:rPr>
          <w:rFonts w:hint="eastAsia"/>
        </w:rPr>
        <w:t>团体标准研制计划下达后，方圆标志认证集团有限公司作为标准研制牵头单位随即</w:t>
      </w:r>
      <w:r>
        <w:rPr>
          <w:rFonts w:hint="eastAsia"/>
          <w:lang w:val="en-US" w:eastAsia="zh-CN"/>
        </w:rPr>
        <w:t>组织</w:t>
      </w:r>
      <w:r>
        <w:rPr>
          <w:rFonts w:hint="eastAsia" w:ascii="Times New Roman" w:hAnsi="Times New Roman" w:cs="宋体"/>
          <w:lang w:val="en-US" w:eastAsia="zh-CN"/>
        </w:rPr>
        <w:t>成立标准编制工作组，</w:t>
      </w:r>
      <w:r>
        <w:rPr>
          <w:rFonts w:hint="eastAsia"/>
        </w:rPr>
        <w:t>对编制工作总体部署和任务分工，明确标准适用范围、主要框架内容、编制时间节点等。</w:t>
      </w:r>
    </w:p>
    <w:p w14:paraId="2FD2DD36">
      <w:pPr>
        <w:pStyle w:val="4"/>
        <w:rPr>
          <w:rFonts w:hint="eastAsia" w:ascii="Times New Roman" w:hAnsi="Times New Roman" w:cs="宋体"/>
          <w:lang w:val="en-US" w:eastAsia="zh-CN"/>
        </w:rPr>
      </w:pPr>
      <w:r>
        <w:rPr>
          <w:rFonts w:hint="eastAsia" w:ascii="Times New Roman" w:hAnsi="Times New Roman" w:cs="宋体"/>
          <w:lang w:val="en-US" w:eastAsia="zh-CN"/>
        </w:rPr>
        <w:t>2、实地调研</w:t>
      </w:r>
    </w:p>
    <w:p w14:paraId="0A46FAE9">
      <w:pPr>
        <w:ind w:firstLine="640"/>
        <w:rPr>
          <w:rFonts w:hint="eastAsia"/>
          <w:lang w:val="en-US" w:eastAsia="zh-CN"/>
        </w:rPr>
      </w:pPr>
      <w:r>
        <w:rPr>
          <w:rFonts w:hint="eastAsia"/>
          <w:lang w:eastAsia="zh-CN"/>
        </w:rPr>
        <w:t>标准工作组</w:t>
      </w:r>
      <w:r>
        <w:rPr>
          <w:rFonts w:hint="eastAsia"/>
          <w:lang w:val="en-US" w:eastAsia="zh-CN"/>
        </w:rPr>
        <w:t>组织</w:t>
      </w:r>
      <w:r>
        <w:rPr>
          <w:rFonts w:hint="eastAsia"/>
        </w:rPr>
        <w:t>实地调研，通过沟通及实地查看等方式，</w:t>
      </w:r>
      <w:r>
        <w:rPr>
          <w:rFonts w:hint="eastAsia"/>
          <w:lang w:val="en-US" w:eastAsia="zh-CN"/>
        </w:rPr>
        <w:t>收集国内外相关标准、政策文件以及海南消费领域区域公共品牌溯源平台建设的现状资料，为规范编制奠定基础。通过实地调研、问卷调查、专家访谈等方式，深入了解海南消费领域各行业对溯源平台的需求，包括农产品、旅游商品、旅游服务、特色餐饮等。同时，考察国内外先进的溯源平台建设经验，总结其优点和可借鉴之处。</w:t>
      </w:r>
    </w:p>
    <w:p w14:paraId="4DB567F3">
      <w:pPr>
        <w:pStyle w:val="4"/>
        <w:rPr>
          <w:rFonts w:hint="eastAsia" w:ascii="Times New Roman" w:hAnsi="Times New Roman" w:cs="宋体"/>
          <w:lang w:val="en-US" w:eastAsia="zh-CN"/>
        </w:rPr>
      </w:pPr>
      <w:r>
        <w:rPr>
          <w:rFonts w:hint="eastAsia" w:ascii="Times New Roman" w:hAnsi="Times New Roman" w:cs="宋体"/>
          <w:lang w:val="en-US" w:eastAsia="zh-CN"/>
        </w:rPr>
        <w:t>3、编制标准草案</w:t>
      </w:r>
    </w:p>
    <w:p w14:paraId="581CD78B">
      <w:pPr>
        <w:ind w:firstLine="640"/>
        <w:rPr>
          <w:rFonts w:hint="eastAsia"/>
          <w:lang w:val="en-US" w:eastAsia="zh-CN"/>
        </w:rPr>
      </w:pPr>
      <w:r>
        <w:rPr>
          <w:rFonts w:hint="eastAsia"/>
          <w:lang w:val="en-US" w:eastAsia="zh-CN"/>
        </w:rPr>
        <w:t>根据调研结果和资料收集情况，结合海南实际情况，组织专家对溯源平台建设的技术要求、功能模块、数据标准等进行深入研究和讨论，形成规范初稿。</w:t>
      </w:r>
    </w:p>
    <w:p w14:paraId="2CDBCBDA">
      <w:r>
        <w:rPr>
          <w:rFonts w:hint="eastAsia" w:ascii="Times New Roman" w:hAnsi="Times New Roman" w:cs="宋体"/>
        </w:rPr>
        <w:t>在标准草案的基础上，在方圆标志认证集团有限公司的统筹安排下，</w:t>
      </w:r>
      <w:r>
        <w:rPr>
          <w:rFonts w:hint="eastAsia" w:ascii="Times New Roman" w:hAnsi="Times New Roman" w:cs="宋体"/>
          <w:lang w:eastAsia="zh-CN"/>
        </w:rPr>
        <w:t>标准工作组</w:t>
      </w:r>
      <w:r>
        <w:rPr>
          <w:rFonts w:hint="eastAsia" w:ascii="Times New Roman" w:hAnsi="Times New Roman" w:cs="宋体"/>
        </w:rPr>
        <w:t>组织标准编制专题研讨会，对标准草案框架及内容进行逐条研讨</w:t>
      </w:r>
      <w:r>
        <w:rPr>
          <w:rFonts w:hint="eastAsia" w:ascii="Times New Roman" w:hAnsi="Times New Roman" w:cs="宋体"/>
          <w:lang w:eastAsia="zh-CN"/>
        </w:rPr>
        <w:t>，</w:t>
      </w:r>
      <w:r>
        <w:rPr>
          <w:rFonts w:hint="eastAsia" w:ascii="Times New Roman" w:hAnsi="Times New Roman" w:cs="宋体"/>
          <w:lang w:val="en-US" w:eastAsia="zh-CN"/>
        </w:rPr>
        <w:t>会后修改完善标准草案</w:t>
      </w:r>
      <w:r>
        <w:rPr>
          <w:rFonts w:hint="eastAsia" w:ascii="Times New Roman" w:hAnsi="Times New Roman" w:cs="宋体"/>
        </w:rPr>
        <w:t>。同时，根据最新的标准编写规范GB/T1.1—2020对标准结构和语言表述进行修改完善</w:t>
      </w:r>
      <w:r>
        <w:rPr>
          <w:rFonts w:hint="eastAsia" w:ascii="Times New Roman" w:hAnsi="Times New Roman" w:cs="宋体"/>
          <w:lang w:eastAsia="zh-CN"/>
        </w:rPr>
        <w:t>，</w:t>
      </w:r>
      <w:r>
        <w:rPr>
          <w:rFonts w:hint="eastAsia" w:ascii="Times New Roman" w:hAnsi="Times New Roman" w:cs="宋体"/>
        </w:rPr>
        <w:t>形成</w:t>
      </w:r>
      <w:r>
        <w:rPr>
          <w:rFonts w:hint="eastAsia" w:cs="宋体"/>
          <w:lang w:eastAsia="zh-CN"/>
        </w:rPr>
        <w:t>标准工作组征求意见稿</w:t>
      </w:r>
      <w:r>
        <w:rPr>
          <w:rFonts w:hint="eastAsia" w:ascii="Times New Roman" w:hAnsi="Times New Roman" w:cs="宋体"/>
        </w:rPr>
        <w:t>（包括标准文本和标准编制说明）。</w:t>
      </w:r>
    </w:p>
    <w:p w14:paraId="07282A09">
      <w:pPr>
        <w:pStyle w:val="2"/>
        <w:rPr>
          <w:rFonts w:ascii="Times New Roman" w:hAnsi="Times New Roman"/>
        </w:rPr>
      </w:pPr>
      <w:r>
        <w:rPr>
          <w:rFonts w:ascii="Times New Roman" w:hAnsi="Times New Roman"/>
        </w:rPr>
        <w:t>（三）制定标准的原则和依据，与现行法律法规、标准的关系</w:t>
      </w:r>
    </w:p>
    <w:p w14:paraId="2AE13DD0">
      <w:pPr>
        <w:pStyle w:val="4"/>
        <w:rPr>
          <w:rFonts w:hint="eastAsia" w:ascii="Times New Roman" w:hAnsi="Times New Roman" w:cs="宋体"/>
          <w:lang w:val="en-US" w:eastAsia="zh-CN"/>
        </w:rPr>
      </w:pPr>
      <w:r>
        <w:rPr>
          <w:rFonts w:hint="eastAsia" w:ascii="Times New Roman" w:hAnsi="Times New Roman" w:cs="宋体"/>
          <w:lang w:val="en-US" w:eastAsia="zh-CN"/>
        </w:rPr>
        <w:t>1、制定标准的原则</w:t>
      </w:r>
    </w:p>
    <w:p w14:paraId="1E0D244A">
      <w:pPr>
        <w:ind w:firstLine="560"/>
        <w:rPr>
          <w:rFonts w:hint="eastAsia" w:ascii="Times New Roman" w:hAnsi="Times New Roman" w:cs="宋体"/>
          <w:lang w:val="en-US" w:eastAsia="zh-CN"/>
        </w:rPr>
      </w:pPr>
      <w:r>
        <w:rPr>
          <w:rFonts w:hint="eastAsia" w:ascii="Times New Roman" w:hAnsi="Times New Roman" w:cs="宋体"/>
          <w:lang w:val="en-US" w:eastAsia="zh-CN"/>
        </w:rPr>
        <w:t xml:space="preserve">本标准编制依据下列原则： </w:t>
      </w:r>
    </w:p>
    <w:p w14:paraId="4A781569">
      <w:pPr>
        <w:ind w:firstLine="560"/>
        <w:rPr>
          <w:rFonts w:hint="eastAsia" w:ascii="Times New Roman" w:hAnsi="Times New Roman" w:cs="宋体"/>
          <w:lang w:val="en-US" w:eastAsia="zh-CN"/>
        </w:rPr>
      </w:pPr>
      <w:r>
        <w:rPr>
          <w:rFonts w:hint="eastAsia" w:ascii="Times New Roman" w:hAnsi="Times New Roman" w:cs="宋体"/>
          <w:lang w:val="en-US" w:eastAsia="zh-CN"/>
        </w:rPr>
        <w:t>①科学性原则：以科学的理论和方法为指导，充分借鉴国内外先进的溯源技术和管理经验，确保规范的技术要求和指标体系具有科学性和合理性。</w:t>
      </w:r>
    </w:p>
    <w:p w14:paraId="61BDF388">
      <w:pPr>
        <w:ind w:firstLine="560"/>
        <w:rPr>
          <w:rFonts w:hint="eastAsia" w:ascii="Times New Roman" w:hAnsi="Times New Roman" w:cs="宋体"/>
          <w:lang w:val="en-US" w:eastAsia="zh-CN"/>
        </w:rPr>
      </w:pPr>
      <w:r>
        <w:rPr>
          <w:rFonts w:hint="eastAsia" w:ascii="Times New Roman" w:hAnsi="Times New Roman" w:cs="宋体"/>
          <w:lang w:val="en-US" w:eastAsia="zh-CN"/>
        </w:rPr>
        <w:t>②实用性原则：紧密结合海南消费领域区域公共品牌溯源平台建设的实际需求，注重规范的可操作性和实用性，能够为平台建设和运营提供切实可行的指导。</w:t>
      </w:r>
    </w:p>
    <w:p w14:paraId="190F2A82">
      <w:pPr>
        <w:ind w:firstLine="560"/>
        <w:rPr>
          <w:rFonts w:hint="eastAsia" w:ascii="Times New Roman" w:hAnsi="Times New Roman" w:cs="宋体"/>
          <w:lang w:val="en-US" w:eastAsia="zh-CN"/>
        </w:rPr>
      </w:pPr>
      <w:r>
        <w:rPr>
          <w:rFonts w:hint="eastAsia" w:ascii="Times New Roman" w:hAnsi="Times New Roman" w:cs="宋体"/>
          <w:lang w:val="en-US" w:eastAsia="zh-CN"/>
        </w:rPr>
        <w:t>③兼容性原则：考虑到溯源平台与现有信息系统的衔接和整合，规范制定过程中充分遵循相关国家标准和行业规范，确保平台具有良好的兼容性和扩展性。</w:t>
      </w:r>
    </w:p>
    <w:p w14:paraId="1EFA8BDC">
      <w:pPr>
        <w:ind w:firstLine="560"/>
        <w:rPr>
          <w:rFonts w:hint="eastAsia" w:ascii="Times New Roman" w:hAnsi="Times New Roman" w:cs="宋体"/>
          <w:lang w:val="en-US" w:eastAsia="zh-CN"/>
        </w:rPr>
      </w:pPr>
      <w:r>
        <w:rPr>
          <w:rFonts w:hint="eastAsia" w:ascii="Times New Roman" w:hAnsi="Times New Roman" w:cs="宋体"/>
          <w:lang w:val="en-US" w:eastAsia="zh-CN"/>
        </w:rPr>
        <w:t xml:space="preserve">④前瞻性原则：关注溯源技术的发展趋势和市场需求的变化，在规范中预留一定的技术升级和功能扩展空间，以适应未来海南消费领域区域公共品牌发展的需要。 </w:t>
      </w:r>
    </w:p>
    <w:p w14:paraId="0CD442FA">
      <w:pPr>
        <w:pStyle w:val="4"/>
        <w:rPr>
          <w:rFonts w:hint="eastAsia" w:ascii="Times New Roman" w:hAnsi="Times New Roman" w:cs="宋体"/>
          <w:lang w:val="en-US" w:eastAsia="zh-CN"/>
        </w:rPr>
      </w:pPr>
      <w:r>
        <w:rPr>
          <w:rFonts w:hint="eastAsia" w:ascii="Times New Roman" w:hAnsi="Times New Roman" w:cs="宋体"/>
          <w:lang w:val="en-US" w:eastAsia="zh-CN"/>
        </w:rPr>
        <w:t>2、制定标准的依据</w:t>
      </w:r>
    </w:p>
    <w:p w14:paraId="461A324F">
      <w:pPr>
        <w:ind w:firstLine="560"/>
        <w:rPr>
          <w:rFonts w:hint="eastAsia" w:ascii="Times New Roman" w:hAnsi="Times New Roman" w:cs="宋体"/>
          <w:lang w:val="en-US" w:eastAsia="zh-CN"/>
        </w:rPr>
      </w:pPr>
      <w:r>
        <w:rPr>
          <w:rFonts w:hint="eastAsia" w:ascii="Times New Roman" w:hAnsi="Times New Roman" w:cs="宋体"/>
          <w:lang w:val="en-US" w:eastAsia="zh-CN"/>
        </w:rPr>
        <w:t>本标准修订主要以公共品牌溯源平台的相关要求制定本标准的主要技术条款。</w:t>
      </w:r>
    </w:p>
    <w:p w14:paraId="7608D118">
      <w:pPr>
        <w:pStyle w:val="4"/>
        <w:rPr>
          <w:rFonts w:hint="eastAsia" w:ascii="Times New Roman" w:hAnsi="Times New Roman" w:cs="宋体"/>
          <w:lang w:val="en-US" w:eastAsia="zh-CN"/>
        </w:rPr>
      </w:pPr>
      <w:r>
        <w:rPr>
          <w:rFonts w:hint="eastAsia" w:ascii="Times New Roman" w:hAnsi="Times New Roman" w:cs="宋体"/>
          <w:lang w:val="en-US" w:eastAsia="zh-CN"/>
        </w:rPr>
        <w:t>3、与有关的现行法律法规、标准的关系</w:t>
      </w:r>
    </w:p>
    <w:p w14:paraId="7B235732">
      <w:pPr>
        <w:ind w:firstLine="560"/>
        <w:rPr>
          <w:rFonts w:hint="eastAsia" w:ascii="Times New Roman" w:hAnsi="Times New Roman" w:cs="宋体"/>
          <w:lang w:val="en-US" w:eastAsia="zh-CN"/>
        </w:rPr>
      </w:pPr>
      <w:r>
        <w:rPr>
          <w:rFonts w:hint="eastAsia" w:ascii="Times New Roman" w:hAnsi="Times New Roman" w:cs="宋体"/>
          <w:lang w:val="en-US" w:eastAsia="zh-CN"/>
        </w:rPr>
        <w:t>拟制定的《海南消费领域区域公共品牌溯源平台建设技术规范》为首次制定，符合我国目前法律、法规和强制性国家标准的规定，与有关法律、法规和国家标准、行业标准相协调，没有矛盾。</w:t>
      </w:r>
    </w:p>
    <w:p w14:paraId="046DE701">
      <w:pPr>
        <w:pStyle w:val="2"/>
        <w:rPr>
          <w:rFonts w:ascii="Times New Roman" w:hAnsi="Times New Roman"/>
        </w:rPr>
      </w:pPr>
      <w:r>
        <w:rPr>
          <w:rFonts w:ascii="Times New Roman" w:hAnsi="Times New Roman"/>
        </w:rPr>
        <w:t>（四）主要条款的说明，主要技术指标、参数、试验验证的论述</w:t>
      </w:r>
    </w:p>
    <w:p w14:paraId="31CC01B6">
      <w:pPr>
        <w:ind w:firstLine="560"/>
        <w:rPr>
          <w:rFonts w:hint="eastAsia" w:ascii="Times New Roman" w:hAnsi="Times New Roman" w:cs="宋体"/>
          <w:lang w:val="en-US" w:eastAsia="zh-CN"/>
        </w:rPr>
      </w:pPr>
      <w:r>
        <w:rPr>
          <w:rFonts w:hint="eastAsia" w:ascii="Times New Roman" w:hAnsi="Times New Roman" w:cs="宋体"/>
          <w:lang w:val="en-US" w:eastAsia="zh-CN"/>
        </w:rPr>
        <w:t>1、范围：明确规范的适用范围，即适用于海南消费领域区域公共品牌溯源平台的建设、运营和管理。</w:t>
      </w:r>
    </w:p>
    <w:p w14:paraId="2F1A9C81">
      <w:pPr>
        <w:ind w:firstLine="560"/>
        <w:rPr>
          <w:rFonts w:hint="eastAsia" w:ascii="Times New Roman" w:hAnsi="Times New Roman" w:cs="宋体"/>
          <w:lang w:val="en-US" w:eastAsia="zh-CN"/>
        </w:rPr>
      </w:pPr>
      <w:r>
        <w:rPr>
          <w:rFonts w:hint="eastAsia" w:ascii="Times New Roman" w:hAnsi="Times New Roman" w:cs="宋体"/>
          <w:lang w:val="en-US" w:eastAsia="zh-CN"/>
        </w:rPr>
        <w:t>2、规范性引用文件：列出本规范引用的相关国家标准、行业标准和地方标准，确保规范的一致性和协调性。</w:t>
      </w:r>
    </w:p>
    <w:p w14:paraId="58EDB7DF">
      <w:pPr>
        <w:ind w:firstLine="560"/>
        <w:rPr>
          <w:rFonts w:hint="eastAsia" w:ascii="Times New Roman" w:hAnsi="Times New Roman" w:cs="宋体"/>
          <w:lang w:val="en-US" w:eastAsia="zh-CN"/>
        </w:rPr>
      </w:pPr>
      <w:r>
        <w:rPr>
          <w:rFonts w:hint="eastAsia" w:ascii="Times New Roman" w:hAnsi="Times New Roman" w:cs="宋体"/>
          <w:lang w:val="en-US" w:eastAsia="zh-CN"/>
        </w:rPr>
        <w:t>3、术语和定义：对规范中涉及的重要术语和概念进行定义和解释，避免产生歧义。</w:t>
      </w:r>
    </w:p>
    <w:p w14:paraId="3953C345">
      <w:pPr>
        <w:ind w:firstLine="560"/>
        <w:rPr>
          <w:rFonts w:hint="eastAsia" w:ascii="Times New Roman" w:hAnsi="Times New Roman" w:cs="宋体"/>
          <w:lang w:val="en-US" w:eastAsia="zh-CN"/>
        </w:rPr>
      </w:pPr>
      <w:r>
        <w:rPr>
          <w:rFonts w:hint="eastAsia" w:ascii="Times New Roman" w:hAnsi="Times New Roman" w:cs="宋体"/>
          <w:lang w:val="en-US" w:eastAsia="zh-CN"/>
        </w:rPr>
        <w:t>4、总体要求：提出溯源平台建设的总体目标、基本原则和总体架构，为平台建设提供宏观指导。</w:t>
      </w:r>
    </w:p>
    <w:p w14:paraId="6C563002">
      <w:pPr>
        <w:ind w:firstLine="560"/>
        <w:rPr>
          <w:rFonts w:hint="eastAsia" w:ascii="Times New Roman" w:hAnsi="Times New Roman" w:cs="宋体"/>
          <w:lang w:val="en-US" w:eastAsia="zh-CN"/>
        </w:rPr>
      </w:pPr>
      <w:r>
        <w:rPr>
          <w:rFonts w:hint="eastAsia" w:ascii="Times New Roman" w:hAnsi="Times New Roman" w:cs="宋体"/>
          <w:lang w:val="en-US" w:eastAsia="zh-CN"/>
        </w:rPr>
        <w:t>5、功能要求：明确溯源平台应具备的功能模块，如产品信息录入、溯源码生成、查询验证、数据分析等，并对各功能模块的具体要求进行描述。</w:t>
      </w:r>
    </w:p>
    <w:p w14:paraId="6B8E18A1">
      <w:pPr>
        <w:ind w:firstLine="560"/>
        <w:rPr>
          <w:rFonts w:hint="eastAsia" w:ascii="Times New Roman" w:hAnsi="Times New Roman" w:cs="宋体"/>
          <w:lang w:val="en-US" w:eastAsia="zh-CN"/>
        </w:rPr>
      </w:pPr>
      <w:r>
        <w:rPr>
          <w:rFonts w:hint="eastAsia" w:ascii="Times New Roman" w:hAnsi="Times New Roman" w:cs="宋体"/>
          <w:lang w:val="en-US" w:eastAsia="zh-CN"/>
        </w:rPr>
        <w:t>6、数据要求：制定溯源平台的数据采集、存储、传输和交换标准，确保数据的准确性、完整性和一致性。</w:t>
      </w:r>
    </w:p>
    <w:p w14:paraId="35023350">
      <w:pPr>
        <w:ind w:firstLine="560"/>
        <w:rPr>
          <w:rFonts w:hint="eastAsia" w:ascii="Times New Roman" w:hAnsi="Times New Roman" w:cs="宋体"/>
          <w:lang w:val="en-US" w:eastAsia="zh-CN"/>
        </w:rPr>
      </w:pPr>
      <w:r>
        <w:rPr>
          <w:rFonts w:hint="eastAsia" w:ascii="Times New Roman" w:hAnsi="Times New Roman" w:cs="宋体"/>
          <w:lang w:val="en-US" w:eastAsia="zh-CN"/>
        </w:rPr>
        <w:t>7、接口规范：规定溯源平台与其他信息系统之间的接口标准和数据交互方式，实现平台之间的互联互通。</w:t>
      </w:r>
    </w:p>
    <w:p w14:paraId="14F2B3A0">
      <w:pPr>
        <w:ind w:firstLine="560"/>
        <w:rPr>
          <w:rFonts w:hint="eastAsia" w:ascii="Times New Roman" w:hAnsi="Times New Roman" w:cs="宋体"/>
          <w:lang w:val="en-US" w:eastAsia="zh-CN"/>
        </w:rPr>
      </w:pPr>
      <w:r>
        <w:rPr>
          <w:rFonts w:hint="eastAsia" w:ascii="Times New Roman" w:hAnsi="Times New Roman" w:cs="宋体"/>
          <w:lang w:val="en-US" w:eastAsia="zh-CN"/>
        </w:rPr>
        <w:t>8、安全要求：强调溯源平台的安全保障措施，包括数据安全、网络安全、用户认证等方面的要求，确保平台数据的保密性、完整性和可用性。</w:t>
      </w:r>
    </w:p>
    <w:p w14:paraId="32BCD916">
      <w:pPr>
        <w:ind w:firstLine="560"/>
        <w:rPr>
          <w:rFonts w:hint="default" w:ascii="仿宋" w:hAnsi="仿宋" w:cs="仿宋"/>
          <w:sz w:val="32"/>
          <w:szCs w:val="32"/>
          <w:lang w:val="en-US" w:eastAsia="zh-CN"/>
        </w:rPr>
      </w:pPr>
      <w:r>
        <w:rPr>
          <w:rFonts w:hint="eastAsia" w:ascii="Times New Roman" w:hAnsi="Times New Roman" w:cs="宋体"/>
          <w:lang w:val="en-US" w:eastAsia="zh-CN"/>
        </w:rPr>
        <w:t>9、运营管理：对溯源平台的运营管理模式、维护机制、服务质量等方面提出要求，保障平台的正常运行和持续发展。</w:t>
      </w:r>
    </w:p>
    <w:p w14:paraId="66C8DF26">
      <w:pPr>
        <w:pStyle w:val="2"/>
        <w:rPr>
          <w:rFonts w:ascii="Times New Roman" w:hAnsi="Times New Roman"/>
        </w:rPr>
      </w:pPr>
      <w:r>
        <w:rPr>
          <w:rFonts w:ascii="Times New Roman" w:hAnsi="Times New Roman"/>
        </w:rPr>
        <w:t>（五）标准中如果涉及专利，应有明确的知识产权说明</w:t>
      </w:r>
    </w:p>
    <w:p w14:paraId="43259E61">
      <w:pPr>
        <w:ind w:firstLine="560"/>
        <w:rPr>
          <w:rFonts w:hint="eastAsia" w:ascii="Times New Roman" w:hAnsi="Times New Roman" w:cs="宋体"/>
          <w:lang w:val="en-US" w:eastAsia="zh-CN"/>
        </w:rPr>
      </w:pPr>
      <w:r>
        <w:rPr>
          <w:rFonts w:hint="eastAsia" w:ascii="Times New Roman" w:hAnsi="Times New Roman" w:cs="宋体"/>
          <w:lang w:val="en-US" w:eastAsia="zh-CN"/>
        </w:rPr>
        <w:t>无。</w:t>
      </w:r>
    </w:p>
    <w:p w14:paraId="1539C675">
      <w:pPr>
        <w:pStyle w:val="2"/>
        <w:rPr>
          <w:rFonts w:ascii="Times New Roman" w:hAnsi="Times New Roman"/>
        </w:rPr>
      </w:pPr>
      <w:r>
        <w:rPr>
          <w:rFonts w:ascii="Times New Roman" w:hAnsi="Times New Roman"/>
        </w:rPr>
        <w:t>（六）采用国际标准或国外先进标准的，说明采标程度，以及国内外同类标准水平的对比情况</w:t>
      </w:r>
    </w:p>
    <w:p w14:paraId="647F3A76">
      <w:pPr>
        <w:pStyle w:val="4"/>
        <w:rPr>
          <w:rFonts w:hint="eastAsia" w:ascii="Times New Roman" w:hAnsi="Times New Roman" w:cs="宋体"/>
        </w:rPr>
      </w:pPr>
      <w:r>
        <w:rPr>
          <w:rFonts w:hint="eastAsia" w:ascii="Times New Roman" w:hAnsi="Times New Roman" w:cs="宋体"/>
        </w:rPr>
        <w:t>1、国内相关标准概况</w:t>
      </w:r>
    </w:p>
    <w:p w14:paraId="7FF2B766">
      <w:pPr>
        <w:ind w:firstLine="560"/>
        <w:rPr>
          <w:rFonts w:hint="eastAsia" w:ascii="Times New Roman" w:hAnsi="Times New Roman" w:cs="宋体"/>
          <w:lang w:val="en-US" w:eastAsia="zh-CN"/>
        </w:rPr>
      </w:pPr>
      <w:r>
        <w:rPr>
          <w:rFonts w:hint="eastAsia" w:ascii="Times New Roman" w:hAnsi="Times New Roman" w:cs="宋体"/>
          <w:lang w:val="en-US" w:eastAsia="zh-CN"/>
        </w:rPr>
        <w:t>与国内有关法律法规和标准水平的对比分析。目前并没有适合海南消费领域区域公共品牌溯源平台的团体标准，因此急需制定《海南消费领域区域公共品牌溯源平台》相关标准。</w:t>
      </w:r>
    </w:p>
    <w:p w14:paraId="1D72D1E5">
      <w:pPr>
        <w:pStyle w:val="4"/>
        <w:rPr>
          <w:rFonts w:hint="eastAsia" w:ascii="Times New Roman" w:hAnsi="Times New Roman" w:cs="宋体"/>
        </w:rPr>
      </w:pPr>
      <w:r>
        <w:rPr>
          <w:rFonts w:hint="eastAsia" w:ascii="Times New Roman" w:hAnsi="Times New Roman" w:cs="宋体"/>
        </w:rPr>
        <w:t>2、国外相关标准概况</w:t>
      </w:r>
    </w:p>
    <w:p w14:paraId="58EB122F">
      <w:pPr>
        <w:ind w:firstLine="560"/>
        <w:rPr>
          <w:rFonts w:hint="eastAsia" w:ascii="Times New Roman" w:hAnsi="Times New Roman" w:cs="宋体"/>
          <w:lang w:val="en-US" w:eastAsia="zh-CN"/>
        </w:rPr>
      </w:pPr>
      <w:r>
        <w:rPr>
          <w:rFonts w:hint="eastAsia" w:ascii="Times New Roman" w:hAnsi="Times New Roman" w:cs="宋体"/>
          <w:lang w:val="en-US" w:eastAsia="zh-CN"/>
        </w:rPr>
        <w:t>本标准没有采用国际标准。</w:t>
      </w:r>
    </w:p>
    <w:p w14:paraId="4D2586AA">
      <w:pPr>
        <w:pStyle w:val="2"/>
        <w:rPr>
          <w:rFonts w:ascii="Times New Roman" w:hAnsi="Times New Roman"/>
        </w:rPr>
      </w:pPr>
      <w:r>
        <w:rPr>
          <w:rFonts w:ascii="Times New Roman" w:hAnsi="Times New Roman"/>
        </w:rPr>
        <w:t>（七）重大分歧意见的处理依据和结果</w:t>
      </w:r>
    </w:p>
    <w:p w14:paraId="33AC0FAF">
      <w:pPr>
        <w:ind w:firstLine="560"/>
        <w:rPr>
          <w:rFonts w:hint="eastAsia" w:ascii="Times New Roman" w:hAnsi="Times New Roman" w:cs="宋体"/>
          <w:lang w:val="en-US" w:eastAsia="zh-CN"/>
        </w:rPr>
      </w:pPr>
      <w:r>
        <w:rPr>
          <w:rFonts w:hint="eastAsia" w:ascii="Times New Roman" w:hAnsi="Times New Roman" w:cs="宋体"/>
          <w:lang w:val="en-US" w:eastAsia="zh-CN"/>
        </w:rPr>
        <w:t>无。</w:t>
      </w:r>
    </w:p>
    <w:p w14:paraId="6AE283F0">
      <w:pPr>
        <w:pStyle w:val="2"/>
        <w:rPr>
          <w:rFonts w:ascii="Times New Roman" w:hAnsi="Times New Roman"/>
        </w:rPr>
      </w:pPr>
      <w:r>
        <w:rPr>
          <w:rFonts w:ascii="Times New Roman" w:hAnsi="Times New Roman"/>
        </w:rPr>
        <w:t>（八）贯彻标准的要求和措施建议（包括组织措施、技术措施、过渡办法、实施日期等）</w:t>
      </w:r>
    </w:p>
    <w:p w14:paraId="23FE2CB0">
      <w:pPr>
        <w:pStyle w:val="4"/>
        <w:rPr>
          <w:rFonts w:hint="eastAsia" w:ascii="Times New Roman" w:hAnsi="Times New Roman" w:cs="宋体"/>
          <w:lang w:val="en-US" w:eastAsia="zh-CN"/>
        </w:rPr>
      </w:pPr>
      <w:r>
        <w:rPr>
          <w:rFonts w:hint="eastAsia" w:ascii="Times New Roman" w:hAnsi="Times New Roman" w:cs="宋体"/>
          <w:lang w:val="en-US" w:eastAsia="zh-CN"/>
        </w:rPr>
        <w:t>1、贯彻标准的要求</w:t>
      </w:r>
    </w:p>
    <w:p w14:paraId="4B8A27EA">
      <w:pPr>
        <w:ind w:firstLine="560"/>
        <w:rPr>
          <w:rFonts w:hint="eastAsia" w:ascii="Times New Roman" w:hAnsi="Times New Roman" w:cs="宋体"/>
          <w:lang w:val="en-US" w:eastAsia="zh-CN"/>
        </w:rPr>
      </w:pPr>
      <w:r>
        <w:rPr>
          <w:rFonts w:hint="eastAsia" w:ascii="Times New Roman" w:hAnsi="Times New Roman" w:cs="宋体"/>
          <w:lang w:val="en-US" w:eastAsia="zh-CN"/>
        </w:rPr>
        <w:t>加强宣传培训：通过举办培训班、研讨会、宣传活动等方式，向海南消费领域区域公共品牌企业、监管部门和消费者宣传本规范的重要意义和主要内容，提高各方对规范的认知度和理解程度。</w:t>
      </w:r>
    </w:p>
    <w:p w14:paraId="539E2275">
      <w:pPr>
        <w:ind w:firstLine="560"/>
        <w:rPr>
          <w:rFonts w:hint="eastAsia" w:ascii="Times New Roman" w:hAnsi="Times New Roman" w:cs="宋体"/>
          <w:lang w:val="en-US" w:eastAsia="zh-CN"/>
        </w:rPr>
      </w:pPr>
      <w:r>
        <w:rPr>
          <w:rFonts w:hint="eastAsia" w:ascii="Times New Roman" w:hAnsi="Times New Roman" w:cs="宋体"/>
          <w:lang w:val="en-US" w:eastAsia="zh-CN"/>
        </w:rPr>
        <w:t>鼓励企业应用：制定相关政策措施，鼓励企业积极采用本规范进行溯源平台建设和运营。对符合规范要求的企业给予一定的政策支持和奖励，如财政补贴、税收优惠等。</w:t>
      </w:r>
    </w:p>
    <w:p w14:paraId="32B4A0C3">
      <w:pPr>
        <w:ind w:firstLine="560"/>
        <w:rPr>
          <w:rFonts w:hint="eastAsia" w:ascii="Times New Roman" w:hAnsi="Times New Roman" w:cs="宋体"/>
          <w:lang w:val="en-US" w:eastAsia="zh-CN"/>
        </w:rPr>
      </w:pPr>
      <w:r>
        <w:rPr>
          <w:rFonts w:hint="eastAsia" w:ascii="Times New Roman" w:hAnsi="Times New Roman" w:cs="宋体"/>
          <w:lang w:val="en-US" w:eastAsia="zh-CN"/>
        </w:rPr>
        <w:t>强化监督管理：建立健全监督管理机制，加强对溯源平台建设和运营的监督检查。对违反规范要求的企业进行督促整改，确保规范的有效实施。</w:t>
      </w:r>
    </w:p>
    <w:p w14:paraId="35EAD177">
      <w:pPr>
        <w:pStyle w:val="4"/>
        <w:rPr>
          <w:rFonts w:hint="eastAsia" w:ascii="Times New Roman" w:hAnsi="Times New Roman" w:cs="宋体"/>
          <w:lang w:val="en-US" w:eastAsia="zh-CN"/>
        </w:rPr>
      </w:pPr>
      <w:r>
        <w:rPr>
          <w:rFonts w:hint="eastAsia" w:ascii="Times New Roman" w:hAnsi="Times New Roman" w:cs="宋体"/>
          <w:lang w:val="en-US" w:eastAsia="zh-CN"/>
        </w:rPr>
        <w:t>2、措施建议</w:t>
      </w:r>
    </w:p>
    <w:p w14:paraId="461A1698">
      <w:pPr>
        <w:ind w:firstLine="560"/>
        <w:rPr>
          <w:rFonts w:hint="eastAsia" w:ascii="Times New Roman" w:hAnsi="Times New Roman" w:cs="宋体"/>
          <w:lang w:val="en-US" w:eastAsia="zh-CN"/>
        </w:rPr>
      </w:pPr>
      <w:r>
        <w:rPr>
          <w:rFonts w:hint="eastAsia" w:ascii="Times New Roman" w:hAnsi="Times New Roman" w:cs="宋体"/>
          <w:lang w:val="en-US" w:eastAsia="zh-CN"/>
        </w:rPr>
        <w:t>建立标准实施反馈机制：设立专门的反馈渠道，收集企业和消费者在标准实施过程中的意见和建议。定期对标准的实施情况进行评估和分析，根据反馈结果及时对标准进行修订和完善。</w:t>
      </w:r>
    </w:p>
    <w:p w14:paraId="2D322984">
      <w:pPr>
        <w:ind w:firstLine="560"/>
        <w:rPr>
          <w:rFonts w:hint="eastAsia" w:ascii="Times New Roman" w:hAnsi="Times New Roman" w:cs="宋体"/>
          <w:lang w:val="en-US" w:eastAsia="zh-CN"/>
        </w:rPr>
      </w:pPr>
      <w:r>
        <w:rPr>
          <w:rFonts w:hint="eastAsia" w:ascii="Times New Roman" w:hAnsi="Times New Roman" w:cs="宋体"/>
          <w:lang w:val="en-US" w:eastAsia="zh-CN"/>
        </w:rPr>
        <w:t>推动标准国际化：关注国际溯源技术标准的发展趋势，积极参与国际标准的制定和交流合作。将海南消费领域区域公共品牌溯源平台建设的经验和成果推向国际市场，提高海南品牌的国际影响力。</w:t>
      </w:r>
    </w:p>
    <w:p w14:paraId="2EC9713C">
      <w:pPr>
        <w:ind w:firstLine="560"/>
        <w:rPr>
          <w:rFonts w:hint="eastAsia" w:ascii="Times New Roman" w:hAnsi="Times New Roman" w:cs="宋体"/>
          <w:lang w:val="en-US" w:eastAsia="zh-CN"/>
        </w:rPr>
      </w:pPr>
      <w:r>
        <w:rPr>
          <w:rFonts w:hint="eastAsia" w:ascii="Times New Roman" w:hAnsi="Times New Roman" w:cs="宋体"/>
          <w:lang w:val="en-US" w:eastAsia="zh-CN"/>
        </w:rPr>
        <w:t>加强技术创新支持：加大对溯源技术研发的投入，鼓励高校、科研机构和企业开展溯源技术创新研究。推动产学研用深度融合，加快溯源技术的成果转化和应用，为海南消费领域区域公共品牌溯源平台建设提供技术支撑。</w:t>
      </w:r>
    </w:p>
    <w:p w14:paraId="22EEB1C9">
      <w:pPr>
        <w:pStyle w:val="2"/>
        <w:rPr>
          <w:rFonts w:hint="eastAsia" w:ascii="Times New Roman" w:hAnsi="Times New Roman"/>
          <w:lang w:val="en-US" w:eastAsia="zh-CN"/>
        </w:rPr>
      </w:pPr>
      <w:r>
        <w:rPr>
          <w:rFonts w:hint="eastAsia" w:ascii="Times New Roman" w:hAnsi="Times New Roman"/>
          <w:lang w:val="en-US" w:eastAsia="zh-CN"/>
        </w:rPr>
        <w:t>（九）预期效果</w:t>
      </w:r>
    </w:p>
    <w:p w14:paraId="3A2734DA">
      <w:pPr>
        <w:ind w:firstLine="560"/>
        <w:rPr>
          <w:rFonts w:hint="eastAsia" w:ascii="Times New Roman" w:hAnsi="Times New Roman" w:cs="宋体"/>
          <w:lang w:val="en-US" w:eastAsia="zh-CN"/>
        </w:rPr>
      </w:pPr>
      <w:r>
        <w:rPr>
          <w:rFonts w:hint="eastAsia" w:ascii="Times New Roman" w:hAnsi="Times New Roman" w:cs="宋体"/>
          <w:lang w:val="en-US" w:eastAsia="zh-CN"/>
        </w:rPr>
        <w:t>1、提升品牌可信度，消费者能够通过溯源平台准确查询海南消费领域区域公共品牌产品从原材料采购、生产加工、物流运输到销售终端的全流程信息。这使得消费者对产品的来源、质量和安全性有清晰的认知，从而增强对品牌的信任。平台记录的真实可靠的溯源信息，在消费者心中树立起品牌严格把控质量的形象。</w:t>
      </w:r>
    </w:p>
    <w:p w14:paraId="3978ADD3">
      <w:pPr>
        <w:ind w:firstLine="560"/>
        <w:rPr>
          <w:rFonts w:hint="eastAsia" w:ascii="Times New Roman" w:hAnsi="Times New Roman" w:cs="宋体"/>
          <w:lang w:val="en-US" w:eastAsia="zh-CN"/>
        </w:rPr>
      </w:pPr>
      <w:r>
        <w:rPr>
          <w:rFonts w:hint="eastAsia" w:ascii="Times New Roman" w:hAnsi="Times New Roman" w:cs="宋体"/>
          <w:lang w:val="en-US" w:eastAsia="zh-CN"/>
        </w:rPr>
        <w:t>2、保障消费安全，借助溯源平台，监管部门可以实时监控产品的整个供应链。一旦发现某个环节存在安全隐患，如原材料受到污染、生产过程不符合卫生标准等，能够迅速定位问题产品及其流向，及时采取召回、整改等措施，最大程度减少不安全产品对消费者的危害。平台的数据可以为食品安全事故的调查和处理提供有力的证据。</w:t>
      </w:r>
    </w:p>
    <w:p w14:paraId="19604459">
      <w:pPr>
        <w:ind w:firstLine="560"/>
        <w:rPr>
          <w:rFonts w:hint="eastAsia" w:ascii="Times New Roman" w:hAnsi="Times New Roman" w:cs="宋体"/>
          <w:lang w:val="en-US" w:eastAsia="zh-CN"/>
        </w:rPr>
      </w:pPr>
      <w:r>
        <w:rPr>
          <w:rFonts w:hint="eastAsia" w:ascii="Times New Roman" w:hAnsi="Times New Roman" w:cs="宋体"/>
          <w:lang w:val="en-US" w:eastAsia="zh-CN"/>
        </w:rPr>
        <w:t>3、促进产业升级，溯源平台的建设促使海南消费领域企业加强内部管理，优化生产流程。企业为了满足溯源平台对信息准确性和完整性的要求，会对原材料采购、生产工艺、质量检测等环节进行精细化管理，提高生产效率和产品质量。</w:t>
      </w:r>
    </w:p>
    <w:p w14:paraId="31D24275">
      <w:pPr>
        <w:ind w:firstLine="560"/>
        <w:rPr>
          <w:rFonts w:hint="eastAsia" w:ascii="Times New Roman" w:hAnsi="Times New Roman" w:cs="宋体"/>
          <w:lang w:val="en-US" w:eastAsia="zh-CN"/>
        </w:rPr>
      </w:pPr>
      <w:r>
        <w:rPr>
          <w:rFonts w:hint="eastAsia" w:ascii="Times New Roman" w:hAnsi="Times New Roman" w:cs="宋体"/>
          <w:lang w:val="en-US" w:eastAsia="zh-CN"/>
        </w:rPr>
        <w:t>4、规范市场秩序，溯源平台可以有效防止假冒伪劣产品进入市场。平台的建设有助于建立公平竞争的市场环境。企业只有提供真实、准确的溯源信息，才能获得消费者的信任。</w:t>
      </w:r>
    </w:p>
    <w:p w14:paraId="31BAF4EE">
      <w:pPr>
        <w:ind w:firstLine="560"/>
        <w:rPr>
          <w:rFonts w:hint="eastAsia" w:ascii="Times New Roman" w:hAnsi="Times New Roman" w:cs="宋体"/>
          <w:lang w:val="en-US" w:eastAsia="zh-CN"/>
        </w:rPr>
      </w:pPr>
      <w:r>
        <w:rPr>
          <w:rFonts w:hint="eastAsia" w:ascii="Times New Roman" w:hAnsi="Times New Roman" w:cs="宋体"/>
          <w:lang w:val="en-US" w:eastAsia="zh-CN"/>
        </w:rPr>
        <w:t>5、推动区域经济发展，海南消费领域区域公共品牌溯源平台的建设，提升了品牌的知名度和美誉度，吸引更多的消费者购买海南的特色产品，扩大了产品的市场份额。这不仅增加了企业的销售收入，还带动了相关产业的发展，如物流、包装、旅游等，促进了区域经济的增长。</w:t>
      </w:r>
    </w:p>
    <w:p w14:paraId="0D2357F4">
      <w:pPr>
        <w:pStyle w:val="2"/>
        <w:rPr>
          <w:rFonts w:hint="eastAsia" w:ascii="Times New Roman" w:hAnsi="Times New Roman"/>
          <w:lang w:val="en-US" w:eastAsia="zh-CN"/>
        </w:rPr>
      </w:pPr>
      <w:r>
        <w:rPr>
          <w:rFonts w:hint="eastAsia" w:ascii="Times New Roman" w:hAnsi="Times New Roman"/>
          <w:lang w:val="en-US" w:eastAsia="zh-CN"/>
        </w:rPr>
        <w:t>（十）其他应予说明的事项</w:t>
      </w:r>
    </w:p>
    <w:p w14:paraId="5A066FEC">
      <w:pPr>
        <w:ind w:firstLine="560"/>
        <w:rPr>
          <w:rFonts w:hint="eastAsia" w:ascii="Times New Roman" w:hAnsi="Times New Roman" w:cs="宋体"/>
          <w:lang w:val="en-US" w:eastAsia="zh-CN"/>
        </w:rPr>
      </w:pPr>
      <w:r>
        <w:rPr>
          <w:rFonts w:hint="eastAsia" w:ascii="Times New Roman" w:hAnsi="Times New Roman" w:cs="宋体"/>
          <w:lang w:val="en-US" w:eastAsia="zh-CN"/>
        </w:rPr>
        <w:t>1、本规范与其他相关标准的衔接：本规范在制定过程中充分考虑了与其他相关标准的衔接和协调，但在实际应用中可能会遇到一些具体问题。建议相关部门加强对标准实施的指导和协调，确保本规范与其他标准的有效衔接。</w:t>
      </w:r>
    </w:p>
    <w:p w14:paraId="54B1DDC2">
      <w:pPr>
        <w:ind w:firstLine="560"/>
        <w:rPr>
          <w:rFonts w:hint="eastAsia" w:ascii="Times New Roman" w:hAnsi="Times New Roman" w:cs="宋体"/>
          <w:lang w:val="en-US" w:eastAsia="zh-CN"/>
        </w:rPr>
      </w:pPr>
      <w:r>
        <w:rPr>
          <w:rFonts w:hint="eastAsia" w:ascii="Times New Roman" w:hAnsi="Times New Roman" w:cs="宋体"/>
          <w:lang w:val="en-US" w:eastAsia="zh-CN"/>
        </w:rPr>
        <w:t>2、标准的实施时间：建议本规范发布后，给予一定的过渡期，以便企业有足够的时间进行平台建设和改造。具体实施时间可根据海南消费领域区域公共品牌发展的实际情况和企业的准备情况确定。</w:t>
      </w:r>
    </w:p>
    <w:p w14:paraId="5E96FB62">
      <w:pPr>
        <w:ind w:firstLine="560"/>
        <w:rPr>
          <w:rFonts w:hint="eastAsia" w:ascii="Times New Roman" w:hAnsi="Times New Roman" w:cs="宋体"/>
          <w:lang w:val="en-US" w:eastAsia="zh-CN"/>
        </w:rPr>
      </w:pPr>
      <w:r>
        <w:rPr>
          <w:rFonts w:hint="eastAsia" w:ascii="Times New Roman" w:hAnsi="Times New Roman" w:cs="宋体"/>
          <w:lang w:val="en-US" w:eastAsia="zh-CN"/>
        </w:rPr>
        <w:t>3、标准的解释权：明确本规范的解释权归属，建议由海南省市场监督管理局负责本规范的解释工作，以确保标准解释的权威性和一致性。</w:t>
      </w:r>
    </w:p>
    <w:p w14:paraId="0AAF6568">
      <w:pPr>
        <w:ind w:firstLine="560"/>
      </w:pPr>
    </w:p>
    <w:p w14:paraId="2FDFDDEA">
      <w:pPr>
        <w:ind w:firstLine="560"/>
      </w:pPr>
    </w:p>
    <w:p w14:paraId="3A5137AB">
      <w:pPr>
        <w:ind w:firstLine="420"/>
        <w:rPr>
          <w:sz w:val="21"/>
        </w:rPr>
        <w:sectPr>
          <w:headerReference r:id="rId7" w:type="first"/>
          <w:footerReference r:id="rId10" w:type="first"/>
          <w:headerReference r:id="rId5" w:type="default"/>
          <w:footerReference r:id="rId8" w:type="default"/>
          <w:headerReference r:id="rId6" w:type="even"/>
          <w:footerReference r:id="rId9" w:type="even"/>
          <w:pgSz w:w="11910" w:h="16840"/>
          <w:pgMar w:top="1920" w:right="1100" w:bottom="880" w:left="1180" w:header="0" w:footer="698" w:gutter="0"/>
          <w:cols w:space="720" w:num="1"/>
        </w:sectPr>
      </w:pPr>
    </w:p>
    <w:p w14:paraId="58D176E8">
      <w:pPr>
        <w:spacing w:before="40"/>
        <w:ind w:left="220" w:firstLine="0" w:firstLineChars="0"/>
        <w:rPr>
          <w:b/>
          <w:sz w:val="47"/>
        </w:rPr>
      </w:pPr>
      <w:r>
        <w:rPr>
          <w:b/>
          <w:spacing w:val="-27"/>
        </w:rPr>
        <w:t xml:space="preserve">附件 </w:t>
      </w:r>
      <w:r>
        <w:rPr>
          <w:b/>
          <w:spacing w:val="-10"/>
        </w:rPr>
        <w:t>1</w:t>
      </w:r>
    </w:p>
    <w:p w14:paraId="76CB8FAC">
      <w:pPr>
        <w:ind w:left="220" w:firstLine="723"/>
        <w:jc w:val="center"/>
        <w:rPr>
          <w:b/>
          <w:sz w:val="36"/>
        </w:rPr>
      </w:pPr>
      <w:r>
        <w:rPr>
          <w:b/>
          <w:sz w:val="36"/>
        </w:rPr>
        <w:t>海南省</w:t>
      </w:r>
      <w:r>
        <w:rPr>
          <w:rFonts w:hint="eastAsia"/>
          <w:b/>
          <w:sz w:val="36"/>
        </w:rPr>
        <w:t>质量协会团体</w:t>
      </w:r>
      <w:r>
        <w:rPr>
          <w:b/>
          <w:sz w:val="36"/>
        </w:rPr>
        <w:t>标准《</w:t>
      </w:r>
      <w:r>
        <w:rPr>
          <w:rFonts w:hint="eastAsia"/>
          <w:b/>
          <w:sz w:val="36"/>
        </w:rPr>
        <w:t>X</w:t>
      </w:r>
      <w:r>
        <w:rPr>
          <w:b/>
          <w:sz w:val="36"/>
        </w:rPr>
        <w:t>XXX</w:t>
      </w:r>
      <w:r>
        <w:rPr>
          <w:b/>
          <w:spacing w:val="-1"/>
          <w:sz w:val="36"/>
        </w:rPr>
        <w:t>》征求意见汇总表</w:t>
      </w:r>
    </w:p>
    <w:p w14:paraId="7A53C12D">
      <w:pPr>
        <w:pStyle w:val="5"/>
        <w:spacing w:before="4"/>
        <w:ind w:left="0" w:firstLine="120"/>
        <w:rPr>
          <w:b/>
          <w:sz w:val="6"/>
        </w:rPr>
      </w:pPr>
    </w:p>
    <w:tbl>
      <w:tblPr>
        <w:tblStyle w:val="12"/>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276"/>
        <w:gridCol w:w="3827"/>
        <w:gridCol w:w="5245"/>
        <w:gridCol w:w="1843"/>
        <w:gridCol w:w="1417"/>
      </w:tblGrid>
      <w:tr w14:paraId="5D571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817" w:type="dxa"/>
            <w:vAlign w:val="center"/>
          </w:tcPr>
          <w:p w14:paraId="7A26D9C0">
            <w:pPr>
              <w:ind w:firstLine="0" w:firstLineChars="0"/>
              <w:jc w:val="center"/>
              <w:rPr>
                <w:sz w:val="24"/>
              </w:rPr>
            </w:pPr>
            <w:r>
              <w:rPr>
                <w:spacing w:val="-7"/>
                <w:sz w:val="24"/>
              </w:rPr>
              <w:t>序号</w:t>
            </w:r>
          </w:p>
        </w:tc>
        <w:tc>
          <w:tcPr>
            <w:tcW w:w="1276" w:type="dxa"/>
            <w:vAlign w:val="center"/>
          </w:tcPr>
          <w:p w14:paraId="3F7C8513">
            <w:pPr>
              <w:ind w:firstLine="0" w:firstLineChars="0"/>
              <w:jc w:val="center"/>
              <w:rPr>
                <w:sz w:val="24"/>
              </w:rPr>
            </w:pPr>
            <w:r>
              <w:rPr>
                <w:spacing w:val="-4"/>
                <w:sz w:val="24"/>
              </w:rPr>
              <w:t>章条编号</w:t>
            </w:r>
          </w:p>
        </w:tc>
        <w:tc>
          <w:tcPr>
            <w:tcW w:w="3827" w:type="dxa"/>
            <w:vAlign w:val="center"/>
          </w:tcPr>
          <w:p w14:paraId="2709FA27">
            <w:pPr>
              <w:ind w:firstLine="0" w:firstLineChars="0"/>
              <w:jc w:val="center"/>
              <w:rPr>
                <w:sz w:val="24"/>
              </w:rPr>
            </w:pPr>
            <w:r>
              <w:rPr>
                <w:spacing w:val="-4"/>
                <w:sz w:val="24"/>
              </w:rPr>
              <w:t>修改意见</w:t>
            </w:r>
          </w:p>
        </w:tc>
        <w:tc>
          <w:tcPr>
            <w:tcW w:w="5245" w:type="dxa"/>
            <w:vAlign w:val="center"/>
          </w:tcPr>
          <w:p w14:paraId="44CE7240">
            <w:pPr>
              <w:ind w:firstLine="0" w:firstLineChars="0"/>
              <w:jc w:val="center"/>
              <w:rPr>
                <w:sz w:val="24"/>
              </w:rPr>
            </w:pPr>
            <w:r>
              <w:rPr>
                <w:spacing w:val="-4"/>
                <w:sz w:val="24"/>
              </w:rPr>
              <w:t>理由或依据</w:t>
            </w:r>
          </w:p>
        </w:tc>
        <w:tc>
          <w:tcPr>
            <w:tcW w:w="1843" w:type="dxa"/>
            <w:vAlign w:val="center"/>
          </w:tcPr>
          <w:p w14:paraId="3F01D10D">
            <w:pPr>
              <w:ind w:firstLine="0" w:firstLineChars="0"/>
              <w:jc w:val="center"/>
              <w:rPr>
                <w:sz w:val="24"/>
              </w:rPr>
            </w:pPr>
            <w:r>
              <w:rPr>
                <w:spacing w:val="-4"/>
                <w:sz w:val="24"/>
              </w:rPr>
              <w:t>提出单位/</w:t>
            </w:r>
            <w:r>
              <w:rPr>
                <w:spacing w:val="-7"/>
                <w:sz w:val="24"/>
              </w:rPr>
              <w:t>人员</w:t>
            </w:r>
          </w:p>
        </w:tc>
        <w:tc>
          <w:tcPr>
            <w:tcW w:w="1417" w:type="dxa"/>
            <w:vAlign w:val="center"/>
          </w:tcPr>
          <w:p w14:paraId="43BDA45B">
            <w:pPr>
              <w:ind w:firstLine="0" w:firstLineChars="0"/>
              <w:jc w:val="center"/>
              <w:rPr>
                <w:sz w:val="24"/>
              </w:rPr>
            </w:pPr>
            <w:r>
              <w:rPr>
                <w:spacing w:val="-4"/>
                <w:sz w:val="24"/>
              </w:rPr>
              <w:t>处理意见</w:t>
            </w:r>
          </w:p>
        </w:tc>
      </w:tr>
      <w:tr w14:paraId="2B391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72637FE0">
            <w:pPr>
              <w:ind w:firstLine="0" w:firstLineChars="0"/>
              <w:jc w:val="center"/>
              <w:rPr>
                <w:sz w:val="24"/>
              </w:rPr>
            </w:pPr>
            <w:r>
              <w:rPr>
                <w:w w:val="118"/>
                <w:sz w:val="24"/>
              </w:rPr>
              <w:t>1</w:t>
            </w:r>
          </w:p>
        </w:tc>
        <w:tc>
          <w:tcPr>
            <w:tcW w:w="1276" w:type="dxa"/>
            <w:vAlign w:val="center"/>
          </w:tcPr>
          <w:p w14:paraId="6E2DB207">
            <w:pPr>
              <w:ind w:firstLine="480"/>
              <w:rPr>
                <w:sz w:val="24"/>
              </w:rPr>
            </w:pPr>
          </w:p>
        </w:tc>
        <w:tc>
          <w:tcPr>
            <w:tcW w:w="3827" w:type="dxa"/>
            <w:vAlign w:val="center"/>
          </w:tcPr>
          <w:p w14:paraId="6A13A7E8">
            <w:pPr>
              <w:ind w:firstLine="0" w:firstLineChars="0"/>
              <w:jc w:val="center"/>
              <w:rPr>
                <w:sz w:val="24"/>
              </w:rPr>
            </w:pPr>
          </w:p>
        </w:tc>
        <w:tc>
          <w:tcPr>
            <w:tcW w:w="5245" w:type="dxa"/>
            <w:vAlign w:val="center"/>
          </w:tcPr>
          <w:p w14:paraId="0F1D68BE">
            <w:pPr>
              <w:ind w:firstLine="0" w:firstLineChars="0"/>
              <w:jc w:val="center"/>
              <w:rPr>
                <w:sz w:val="24"/>
              </w:rPr>
            </w:pPr>
          </w:p>
        </w:tc>
        <w:tc>
          <w:tcPr>
            <w:tcW w:w="1843" w:type="dxa"/>
            <w:vAlign w:val="center"/>
          </w:tcPr>
          <w:p w14:paraId="7648055B">
            <w:pPr>
              <w:ind w:firstLine="0" w:firstLineChars="0"/>
              <w:jc w:val="center"/>
              <w:rPr>
                <w:sz w:val="24"/>
              </w:rPr>
            </w:pPr>
          </w:p>
        </w:tc>
        <w:tc>
          <w:tcPr>
            <w:tcW w:w="1417" w:type="dxa"/>
            <w:vAlign w:val="center"/>
          </w:tcPr>
          <w:p w14:paraId="44026713">
            <w:pPr>
              <w:ind w:firstLine="0" w:firstLineChars="0"/>
              <w:jc w:val="center"/>
              <w:rPr>
                <w:sz w:val="24"/>
              </w:rPr>
            </w:pPr>
          </w:p>
        </w:tc>
      </w:tr>
      <w:tr w14:paraId="592B1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482E5F98">
            <w:pPr>
              <w:ind w:firstLine="0" w:firstLineChars="0"/>
              <w:jc w:val="center"/>
              <w:rPr>
                <w:sz w:val="24"/>
              </w:rPr>
            </w:pPr>
            <w:r>
              <w:rPr>
                <w:w w:val="118"/>
                <w:sz w:val="24"/>
              </w:rPr>
              <w:t>2</w:t>
            </w:r>
          </w:p>
        </w:tc>
        <w:tc>
          <w:tcPr>
            <w:tcW w:w="1276" w:type="dxa"/>
            <w:vAlign w:val="center"/>
          </w:tcPr>
          <w:p w14:paraId="36161F1D">
            <w:pPr>
              <w:ind w:firstLine="480"/>
              <w:rPr>
                <w:sz w:val="24"/>
              </w:rPr>
            </w:pPr>
          </w:p>
        </w:tc>
        <w:tc>
          <w:tcPr>
            <w:tcW w:w="3827" w:type="dxa"/>
            <w:vAlign w:val="center"/>
          </w:tcPr>
          <w:p w14:paraId="09B46DA9">
            <w:pPr>
              <w:ind w:firstLine="0" w:firstLineChars="0"/>
              <w:jc w:val="center"/>
              <w:rPr>
                <w:sz w:val="24"/>
              </w:rPr>
            </w:pPr>
          </w:p>
        </w:tc>
        <w:tc>
          <w:tcPr>
            <w:tcW w:w="5245" w:type="dxa"/>
            <w:vAlign w:val="center"/>
          </w:tcPr>
          <w:p w14:paraId="69DFA2DD">
            <w:pPr>
              <w:ind w:firstLine="0" w:firstLineChars="0"/>
              <w:jc w:val="center"/>
              <w:rPr>
                <w:sz w:val="24"/>
              </w:rPr>
            </w:pPr>
          </w:p>
        </w:tc>
        <w:tc>
          <w:tcPr>
            <w:tcW w:w="1843" w:type="dxa"/>
            <w:vAlign w:val="center"/>
          </w:tcPr>
          <w:p w14:paraId="4377FA83">
            <w:pPr>
              <w:ind w:firstLine="0" w:firstLineChars="0"/>
              <w:jc w:val="center"/>
              <w:rPr>
                <w:sz w:val="24"/>
              </w:rPr>
            </w:pPr>
          </w:p>
        </w:tc>
        <w:tc>
          <w:tcPr>
            <w:tcW w:w="1417" w:type="dxa"/>
            <w:vAlign w:val="center"/>
          </w:tcPr>
          <w:p w14:paraId="6CD24196">
            <w:pPr>
              <w:ind w:firstLine="0" w:firstLineChars="0"/>
              <w:jc w:val="center"/>
              <w:rPr>
                <w:sz w:val="24"/>
              </w:rPr>
            </w:pPr>
          </w:p>
        </w:tc>
      </w:tr>
      <w:tr w14:paraId="038D5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65BA3384">
            <w:pPr>
              <w:ind w:firstLine="0" w:firstLineChars="0"/>
              <w:jc w:val="center"/>
              <w:rPr>
                <w:sz w:val="24"/>
              </w:rPr>
            </w:pPr>
            <w:r>
              <w:rPr>
                <w:w w:val="118"/>
                <w:sz w:val="24"/>
              </w:rPr>
              <w:t>3</w:t>
            </w:r>
          </w:p>
        </w:tc>
        <w:tc>
          <w:tcPr>
            <w:tcW w:w="1276" w:type="dxa"/>
            <w:vAlign w:val="center"/>
          </w:tcPr>
          <w:p w14:paraId="33572EB6">
            <w:pPr>
              <w:ind w:firstLine="480"/>
              <w:rPr>
                <w:sz w:val="24"/>
              </w:rPr>
            </w:pPr>
          </w:p>
        </w:tc>
        <w:tc>
          <w:tcPr>
            <w:tcW w:w="3827" w:type="dxa"/>
            <w:vAlign w:val="center"/>
          </w:tcPr>
          <w:p w14:paraId="32A7DB34">
            <w:pPr>
              <w:ind w:firstLine="0" w:firstLineChars="0"/>
              <w:jc w:val="center"/>
              <w:rPr>
                <w:sz w:val="24"/>
              </w:rPr>
            </w:pPr>
          </w:p>
        </w:tc>
        <w:tc>
          <w:tcPr>
            <w:tcW w:w="5245" w:type="dxa"/>
            <w:vAlign w:val="center"/>
          </w:tcPr>
          <w:p w14:paraId="6C91209F">
            <w:pPr>
              <w:ind w:firstLine="0" w:firstLineChars="0"/>
              <w:jc w:val="center"/>
              <w:rPr>
                <w:sz w:val="24"/>
              </w:rPr>
            </w:pPr>
          </w:p>
        </w:tc>
        <w:tc>
          <w:tcPr>
            <w:tcW w:w="1843" w:type="dxa"/>
            <w:vAlign w:val="center"/>
          </w:tcPr>
          <w:p w14:paraId="169D5F96">
            <w:pPr>
              <w:ind w:firstLine="0" w:firstLineChars="0"/>
              <w:jc w:val="center"/>
              <w:rPr>
                <w:sz w:val="24"/>
              </w:rPr>
            </w:pPr>
          </w:p>
        </w:tc>
        <w:tc>
          <w:tcPr>
            <w:tcW w:w="1417" w:type="dxa"/>
            <w:vAlign w:val="center"/>
          </w:tcPr>
          <w:p w14:paraId="2E68BFA8">
            <w:pPr>
              <w:ind w:firstLine="0" w:firstLineChars="0"/>
              <w:jc w:val="center"/>
              <w:rPr>
                <w:sz w:val="24"/>
              </w:rPr>
            </w:pPr>
          </w:p>
        </w:tc>
      </w:tr>
      <w:tr w14:paraId="288B4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5F9FAA29">
            <w:pPr>
              <w:ind w:firstLine="0" w:firstLineChars="0"/>
              <w:jc w:val="center"/>
              <w:rPr>
                <w:sz w:val="24"/>
              </w:rPr>
            </w:pPr>
            <w:r>
              <w:rPr>
                <w:w w:val="118"/>
                <w:sz w:val="24"/>
              </w:rPr>
              <w:t>4</w:t>
            </w:r>
          </w:p>
        </w:tc>
        <w:tc>
          <w:tcPr>
            <w:tcW w:w="1276" w:type="dxa"/>
            <w:vAlign w:val="center"/>
          </w:tcPr>
          <w:p w14:paraId="0B4FD831">
            <w:pPr>
              <w:ind w:firstLine="480"/>
              <w:rPr>
                <w:sz w:val="24"/>
              </w:rPr>
            </w:pPr>
          </w:p>
        </w:tc>
        <w:tc>
          <w:tcPr>
            <w:tcW w:w="3827" w:type="dxa"/>
            <w:vAlign w:val="center"/>
          </w:tcPr>
          <w:p w14:paraId="1125757E">
            <w:pPr>
              <w:ind w:firstLine="0" w:firstLineChars="0"/>
              <w:jc w:val="center"/>
              <w:rPr>
                <w:sz w:val="24"/>
              </w:rPr>
            </w:pPr>
          </w:p>
        </w:tc>
        <w:tc>
          <w:tcPr>
            <w:tcW w:w="5245" w:type="dxa"/>
            <w:vAlign w:val="center"/>
          </w:tcPr>
          <w:p w14:paraId="65192442">
            <w:pPr>
              <w:ind w:firstLine="0" w:firstLineChars="0"/>
              <w:jc w:val="center"/>
              <w:rPr>
                <w:sz w:val="24"/>
              </w:rPr>
            </w:pPr>
          </w:p>
        </w:tc>
        <w:tc>
          <w:tcPr>
            <w:tcW w:w="1843" w:type="dxa"/>
            <w:vAlign w:val="center"/>
          </w:tcPr>
          <w:p w14:paraId="1090EEBE">
            <w:pPr>
              <w:ind w:firstLine="0" w:firstLineChars="0"/>
              <w:jc w:val="center"/>
              <w:rPr>
                <w:sz w:val="24"/>
              </w:rPr>
            </w:pPr>
          </w:p>
        </w:tc>
        <w:tc>
          <w:tcPr>
            <w:tcW w:w="1417" w:type="dxa"/>
            <w:vAlign w:val="center"/>
          </w:tcPr>
          <w:p w14:paraId="23239EAE">
            <w:pPr>
              <w:ind w:firstLine="0" w:firstLineChars="0"/>
              <w:jc w:val="center"/>
              <w:rPr>
                <w:sz w:val="24"/>
              </w:rPr>
            </w:pPr>
          </w:p>
        </w:tc>
      </w:tr>
      <w:tr w14:paraId="2DF37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01408AF4">
            <w:pPr>
              <w:ind w:firstLine="0" w:firstLineChars="0"/>
              <w:jc w:val="center"/>
              <w:rPr>
                <w:sz w:val="24"/>
              </w:rPr>
            </w:pPr>
            <w:r>
              <w:rPr>
                <w:w w:val="118"/>
                <w:sz w:val="24"/>
              </w:rPr>
              <w:t>5</w:t>
            </w:r>
          </w:p>
        </w:tc>
        <w:tc>
          <w:tcPr>
            <w:tcW w:w="1276" w:type="dxa"/>
            <w:vAlign w:val="center"/>
          </w:tcPr>
          <w:p w14:paraId="241F6DC3">
            <w:pPr>
              <w:ind w:firstLine="480"/>
              <w:rPr>
                <w:sz w:val="24"/>
              </w:rPr>
            </w:pPr>
          </w:p>
        </w:tc>
        <w:tc>
          <w:tcPr>
            <w:tcW w:w="3827" w:type="dxa"/>
            <w:vAlign w:val="center"/>
          </w:tcPr>
          <w:p w14:paraId="64C29161">
            <w:pPr>
              <w:ind w:firstLine="0" w:firstLineChars="0"/>
              <w:jc w:val="center"/>
              <w:rPr>
                <w:sz w:val="24"/>
              </w:rPr>
            </w:pPr>
          </w:p>
        </w:tc>
        <w:tc>
          <w:tcPr>
            <w:tcW w:w="5245" w:type="dxa"/>
            <w:vAlign w:val="center"/>
          </w:tcPr>
          <w:p w14:paraId="17501CC8">
            <w:pPr>
              <w:ind w:firstLine="0" w:firstLineChars="0"/>
              <w:jc w:val="center"/>
              <w:rPr>
                <w:sz w:val="24"/>
              </w:rPr>
            </w:pPr>
          </w:p>
        </w:tc>
        <w:tc>
          <w:tcPr>
            <w:tcW w:w="1843" w:type="dxa"/>
            <w:vAlign w:val="center"/>
          </w:tcPr>
          <w:p w14:paraId="776CDB0D">
            <w:pPr>
              <w:ind w:firstLine="0" w:firstLineChars="0"/>
              <w:jc w:val="center"/>
              <w:rPr>
                <w:sz w:val="24"/>
              </w:rPr>
            </w:pPr>
          </w:p>
        </w:tc>
        <w:tc>
          <w:tcPr>
            <w:tcW w:w="1417" w:type="dxa"/>
            <w:vAlign w:val="center"/>
          </w:tcPr>
          <w:p w14:paraId="261C7CFB">
            <w:pPr>
              <w:ind w:firstLine="0" w:firstLineChars="0"/>
              <w:jc w:val="center"/>
              <w:rPr>
                <w:sz w:val="24"/>
              </w:rPr>
            </w:pPr>
          </w:p>
        </w:tc>
      </w:tr>
    </w:tbl>
    <w:p w14:paraId="70D11C0A">
      <w:pPr>
        <w:pStyle w:val="5"/>
        <w:ind w:left="0" w:firstLine="402"/>
        <w:rPr>
          <w:b/>
          <w:sz w:val="20"/>
        </w:rPr>
      </w:pPr>
    </w:p>
    <w:p w14:paraId="212DA9BD">
      <w:pPr>
        <w:pStyle w:val="5"/>
        <w:ind w:left="0" w:firstLine="402"/>
        <w:rPr>
          <w:b/>
          <w:sz w:val="20"/>
        </w:rPr>
      </w:pPr>
    </w:p>
    <w:p w14:paraId="6FD5861C">
      <w:pPr>
        <w:pStyle w:val="5"/>
        <w:ind w:left="0" w:firstLine="402"/>
        <w:rPr>
          <w:b/>
          <w:sz w:val="20"/>
        </w:rPr>
      </w:pPr>
    </w:p>
    <w:p w14:paraId="6D86C0D4">
      <w:pPr>
        <w:pStyle w:val="5"/>
        <w:ind w:left="0" w:firstLine="402"/>
        <w:rPr>
          <w:b/>
          <w:sz w:val="20"/>
        </w:rPr>
      </w:pPr>
    </w:p>
    <w:p w14:paraId="65A06B24">
      <w:pPr>
        <w:pStyle w:val="5"/>
        <w:ind w:left="0" w:firstLine="402"/>
        <w:rPr>
          <w:b/>
          <w:sz w:val="20"/>
        </w:rPr>
      </w:pPr>
    </w:p>
    <w:p w14:paraId="563B3418">
      <w:pPr>
        <w:pStyle w:val="5"/>
        <w:ind w:left="0" w:firstLine="402"/>
        <w:rPr>
          <w:b/>
          <w:sz w:val="20"/>
        </w:rPr>
      </w:pPr>
    </w:p>
    <w:p w14:paraId="384A6BC3">
      <w:pPr>
        <w:pStyle w:val="5"/>
        <w:ind w:left="0" w:firstLine="402"/>
        <w:rPr>
          <w:b/>
          <w:sz w:val="20"/>
        </w:rPr>
      </w:pPr>
    </w:p>
    <w:p w14:paraId="1A14F906">
      <w:pPr>
        <w:pStyle w:val="5"/>
        <w:ind w:left="0" w:firstLine="402"/>
        <w:rPr>
          <w:b/>
          <w:sz w:val="20"/>
        </w:rPr>
      </w:pPr>
    </w:p>
    <w:p w14:paraId="31A22536">
      <w:pPr>
        <w:ind w:firstLine="0" w:firstLineChars="0"/>
        <w:rPr>
          <w:rFonts w:ascii="宋体" w:hAnsi="宋体" w:eastAsia="宋体"/>
          <w:b/>
          <w:sz w:val="20"/>
          <w:szCs w:val="32"/>
        </w:rPr>
      </w:pPr>
      <w:r>
        <w:rPr>
          <w:b/>
          <w:sz w:val="20"/>
        </w:rPr>
        <w:br w:type="page"/>
      </w:r>
    </w:p>
    <w:p w14:paraId="5A4FDFAA">
      <w:pPr>
        <w:spacing w:before="40"/>
        <w:ind w:left="220" w:firstLine="0" w:firstLineChars="0"/>
        <w:rPr>
          <w:b/>
          <w:sz w:val="47"/>
        </w:rPr>
      </w:pPr>
      <w:r>
        <w:rPr>
          <w:b/>
          <w:spacing w:val="-27"/>
        </w:rPr>
        <w:t xml:space="preserve">附件 </w:t>
      </w:r>
      <w:r>
        <w:rPr>
          <w:b/>
          <w:spacing w:val="-10"/>
        </w:rPr>
        <w:t>2</w:t>
      </w:r>
    </w:p>
    <w:p w14:paraId="45446DE6">
      <w:pPr>
        <w:ind w:left="220" w:firstLine="723"/>
        <w:jc w:val="center"/>
        <w:rPr>
          <w:b/>
          <w:sz w:val="36"/>
        </w:rPr>
      </w:pPr>
      <w:r>
        <w:rPr>
          <w:b/>
          <w:sz w:val="36"/>
        </w:rPr>
        <w:t>海南省</w:t>
      </w:r>
      <w:r>
        <w:rPr>
          <w:rFonts w:hint="eastAsia"/>
          <w:b/>
          <w:sz w:val="36"/>
        </w:rPr>
        <w:t>质量协会团体</w:t>
      </w:r>
      <w:r>
        <w:rPr>
          <w:b/>
          <w:sz w:val="36"/>
        </w:rPr>
        <w:t>标准《</w:t>
      </w:r>
      <w:r>
        <w:rPr>
          <w:rFonts w:hint="eastAsia"/>
          <w:b/>
          <w:sz w:val="36"/>
        </w:rPr>
        <w:t>X</w:t>
      </w:r>
      <w:r>
        <w:rPr>
          <w:b/>
          <w:sz w:val="36"/>
        </w:rPr>
        <w:t>XXX</w:t>
      </w:r>
      <w:r>
        <w:rPr>
          <w:b/>
          <w:spacing w:val="-1"/>
          <w:sz w:val="36"/>
        </w:rPr>
        <w:t>》</w:t>
      </w:r>
      <w:r>
        <w:rPr>
          <w:rFonts w:hint="eastAsia"/>
          <w:b/>
          <w:spacing w:val="-1"/>
          <w:sz w:val="36"/>
        </w:rPr>
        <w:t>审查</w:t>
      </w:r>
      <w:r>
        <w:rPr>
          <w:b/>
          <w:spacing w:val="-1"/>
          <w:sz w:val="36"/>
        </w:rPr>
        <w:t>意见汇总表</w:t>
      </w:r>
    </w:p>
    <w:p w14:paraId="6D38F508">
      <w:pPr>
        <w:pStyle w:val="5"/>
        <w:spacing w:before="4"/>
        <w:ind w:left="0" w:firstLine="120"/>
        <w:rPr>
          <w:b/>
          <w:sz w:val="6"/>
        </w:rPr>
      </w:pPr>
    </w:p>
    <w:tbl>
      <w:tblPr>
        <w:tblStyle w:val="12"/>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276"/>
        <w:gridCol w:w="3827"/>
        <w:gridCol w:w="5245"/>
        <w:gridCol w:w="1843"/>
        <w:gridCol w:w="1417"/>
      </w:tblGrid>
      <w:tr w14:paraId="62227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817" w:type="dxa"/>
            <w:vAlign w:val="center"/>
          </w:tcPr>
          <w:p w14:paraId="3D1D2400">
            <w:pPr>
              <w:ind w:firstLine="0" w:firstLineChars="0"/>
              <w:jc w:val="center"/>
              <w:rPr>
                <w:sz w:val="24"/>
              </w:rPr>
            </w:pPr>
            <w:r>
              <w:rPr>
                <w:spacing w:val="-7"/>
                <w:sz w:val="24"/>
              </w:rPr>
              <w:t>序号</w:t>
            </w:r>
          </w:p>
        </w:tc>
        <w:tc>
          <w:tcPr>
            <w:tcW w:w="1276" w:type="dxa"/>
            <w:vAlign w:val="center"/>
          </w:tcPr>
          <w:p w14:paraId="21FAE3A7">
            <w:pPr>
              <w:ind w:firstLine="0" w:firstLineChars="0"/>
              <w:jc w:val="center"/>
              <w:rPr>
                <w:sz w:val="24"/>
              </w:rPr>
            </w:pPr>
            <w:r>
              <w:rPr>
                <w:spacing w:val="-4"/>
                <w:sz w:val="24"/>
              </w:rPr>
              <w:t>章条编号</w:t>
            </w:r>
          </w:p>
        </w:tc>
        <w:tc>
          <w:tcPr>
            <w:tcW w:w="3827" w:type="dxa"/>
            <w:vAlign w:val="center"/>
          </w:tcPr>
          <w:p w14:paraId="30FC345E">
            <w:pPr>
              <w:ind w:firstLine="0" w:firstLineChars="0"/>
              <w:jc w:val="center"/>
              <w:rPr>
                <w:sz w:val="24"/>
              </w:rPr>
            </w:pPr>
            <w:r>
              <w:rPr>
                <w:spacing w:val="-4"/>
                <w:sz w:val="24"/>
              </w:rPr>
              <w:t>修改意见</w:t>
            </w:r>
          </w:p>
        </w:tc>
        <w:tc>
          <w:tcPr>
            <w:tcW w:w="5245" w:type="dxa"/>
            <w:vAlign w:val="center"/>
          </w:tcPr>
          <w:p w14:paraId="5671C48D">
            <w:pPr>
              <w:ind w:firstLine="0" w:firstLineChars="0"/>
              <w:jc w:val="center"/>
              <w:rPr>
                <w:sz w:val="24"/>
              </w:rPr>
            </w:pPr>
            <w:r>
              <w:rPr>
                <w:spacing w:val="-4"/>
                <w:sz w:val="24"/>
              </w:rPr>
              <w:t>理由或依据</w:t>
            </w:r>
          </w:p>
        </w:tc>
        <w:tc>
          <w:tcPr>
            <w:tcW w:w="1843" w:type="dxa"/>
            <w:vAlign w:val="center"/>
          </w:tcPr>
          <w:p w14:paraId="658E3D39">
            <w:pPr>
              <w:ind w:firstLine="0" w:firstLineChars="0"/>
              <w:jc w:val="center"/>
              <w:rPr>
                <w:sz w:val="24"/>
              </w:rPr>
            </w:pPr>
            <w:r>
              <w:rPr>
                <w:spacing w:val="-4"/>
                <w:sz w:val="24"/>
              </w:rPr>
              <w:t>提出单位/</w:t>
            </w:r>
            <w:r>
              <w:rPr>
                <w:spacing w:val="-7"/>
                <w:sz w:val="24"/>
              </w:rPr>
              <w:t>人员</w:t>
            </w:r>
          </w:p>
        </w:tc>
        <w:tc>
          <w:tcPr>
            <w:tcW w:w="1417" w:type="dxa"/>
            <w:vAlign w:val="center"/>
          </w:tcPr>
          <w:p w14:paraId="1CCF920B">
            <w:pPr>
              <w:ind w:firstLine="0" w:firstLineChars="0"/>
              <w:jc w:val="center"/>
              <w:rPr>
                <w:sz w:val="24"/>
              </w:rPr>
            </w:pPr>
            <w:r>
              <w:rPr>
                <w:spacing w:val="-4"/>
                <w:sz w:val="24"/>
              </w:rPr>
              <w:t>处理意见</w:t>
            </w:r>
          </w:p>
        </w:tc>
      </w:tr>
      <w:tr w14:paraId="0B72C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603FDD3C">
            <w:pPr>
              <w:ind w:firstLine="0" w:firstLineChars="0"/>
              <w:jc w:val="center"/>
              <w:rPr>
                <w:sz w:val="24"/>
              </w:rPr>
            </w:pPr>
            <w:r>
              <w:rPr>
                <w:w w:val="118"/>
                <w:sz w:val="24"/>
              </w:rPr>
              <w:t>1</w:t>
            </w:r>
          </w:p>
        </w:tc>
        <w:tc>
          <w:tcPr>
            <w:tcW w:w="1276" w:type="dxa"/>
            <w:vAlign w:val="center"/>
          </w:tcPr>
          <w:p w14:paraId="0D172B81">
            <w:pPr>
              <w:ind w:firstLine="480"/>
              <w:rPr>
                <w:sz w:val="24"/>
              </w:rPr>
            </w:pPr>
          </w:p>
        </w:tc>
        <w:tc>
          <w:tcPr>
            <w:tcW w:w="3827" w:type="dxa"/>
            <w:vAlign w:val="center"/>
          </w:tcPr>
          <w:p w14:paraId="4CECAC22">
            <w:pPr>
              <w:ind w:firstLine="0" w:firstLineChars="0"/>
              <w:jc w:val="center"/>
              <w:rPr>
                <w:sz w:val="24"/>
              </w:rPr>
            </w:pPr>
          </w:p>
        </w:tc>
        <w:tc>
          <w:tcPr>
            <w:tcW w:w="5245" w:type="dxa"/>
            <w:vAlign w:val="center"/>
          </w:tcPr>
          <w:p w14:paraId="2E947E00">
            <w:pPr>
              <w:ind w:firstLine="0" w:firstLineChars="0"/>
              <w:jc w:val="center"/>
              <w:rPr>
                <w:sz w:val="24"/>
              </w:rPr>
            </w:pPr>
          </w:p>
        </w:tc>
        <w:tc>
          <w:tcPr>
            <w:tcW w:w="1843" w:type="dxa"/>
            <w:vAlign w:val="center"/>
          </w:tcPr>
          <w:p w14:paraId="11B2A430">
            <w:pPr>
              <w:ind w:firstLine="0" w:firstLineChars="0"/>
              <w:jc w:val="center"/>
              <w:rPr>
                <w:sz w:val="24"/>
              </w:rPr>
            </w:pPr>
          </w:p>
        </w:tc>
        <w:tc>
          <w:tcPr>
            <w:tcW w:w="1417" w:type="dxa"/>
            <w:vAlign w:val="center"/>
          </w:tcPr>
          <w:p w14:paraId="0D518548">
            <w:pPr>
              <w:ind w:firstLine="0" w:firstLineChars="0"/>
              <w:jc w:val="center"/>
              <w:rPr>
                <w:sz w:val="24"/>
              </w:rPr>
            </w:pPr>
          </w:p>
        </w:tc>
      </w:tr>
      <w:tr w14:paraId="38C5E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4D097E8F">
            <w:pPr>
              <w:ind w:firstLine="0" w:firstLineChars="0"/>
              <w:jc w:val="center"/>
              <w:rPr>
                <w:sz w:val="24"/>
              </w:rPr>
            </w:pPr>
            <w:r>
              <w:rPr>
                <w:w w:val="118"/>
                <w:sz w:val="24"/>
              </w:rPr>
              <w:t>2</w:t>
            </w:r>
          </w:p>
        </w:tc>
        <w:tc>
          <w:tcPr>
            <w:tcW w:w="1276" w:type="dxa"/>
            <w:vAlign w:val="center"/>
          </w:tcPr>
          <w:p w14:paraId="004919A2">
            <w:pPr>
              <w:ind w:firstLine="480"/>
              <w:rPr>
                <w:sz w:val="24"/>
              </w:rPr>
            </w:pPr>
          </w:p>
        </w:tc>
        <w:tc>
          <w:tcPr>
            <w:tcW w:w="3827" w:type="dxa"/>
            <w:vAlign w:val="center"/>
          </w:tcPr>
          <w:p w14:paraId="0F68FBA0">
            <w:pPr>
              <w:ind w:firstLine="0" w:firstLineChars="0"/>
              <w:jc w:val="center"/>
              <w:rPr>
                <w:sz w:val="24"/>
              </w:rPr>
            </w:pPr>
          </w:p>
        </w:tc>
        <w:tc>
          <w:tcPr>
            <w:tcW w:w="5245" w:type="dxa"/>
            <w:vAlign w:val="center"/>
          </w:tcPr>
          <w:p w14:paraId="4989DD34">
            <w:pPr>
              <w:ind w:firstLine="0" w:firstLineChars="0"/>
              <w:jc w:val="center"/>
              <w:rPr>
                <w:sz w:val="24"/>
              </w:rPr>
            </w:pPr>
          </w:p>
        </w:tc>
        <w:tc>
          <w:tcPr>
            <w:tcW w:w="1843" w:type="dxa"/>
            <w:vAlign w:val="center"/>
          </w:tcPr>
          <w:p w14:paraId="48F7DEF3">
            <w:pPr>
              <w:ind w:firstLine="0" w:firstLineChars="0"/>
              <w:jc w:val="center"/>
              <w:rPr>
                <w:sz w:val="24"/>
              </w:rPr>
            </w:pPr>
          </w:p>
        </w:tc>
        <w:tc>
          <w:tcPr>
            <w:tcW w:w="1417" w:type="dxa"/>
            <w:vAlign w:val="center"/>
          </w:tcPr>
          <w:p w14:paraId="6830F222">
            <w:pPr>
              <w:ind w:firstLine="0" w:firstLineChars="0"/>
              <w:jc w:val="center"/>
              <w:rPr>
                <w:sz w:val="24"/>
              </w:rPr>
            </w:pPr>
          </w:p>
        </w:tc>
      </w:tr>
      <w:tr w14:paraId="6F995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1AE4C6BB">
            <w:pPr>
              <w:ind w:firstLine="0" w:firstLineChars="0"/>
              <w:jc w:val="center"/>
              <w:rPr>
                <w:sz w:val="24"/>
              </w:rPr>
            </w:pPr>
            <w:r>
              <w:rPr>
                <w:w w:val="118"/>
                <w:sz w:val="24"/>
              </w:rPr>
              <w:t>3</w:t>
            </w:r>
          </w:p>
        </w:tc>
        <w:tc>
          <w:tcPr>
            <w:tcW w:w="1276" w:type="dxa"/>
            <w:vAlign w:val="center"/>
          </w:tcPr>
          <w:p w14:paraId="55A8C3E2">
            <w:pPr>
              <w:ind w:firstLine="480"/>
              <w:rPr>
                <w:sz w:val="24"/>
              </w:rPr>
            </w:pPr>
          </w:p>
        </w:tc>
        <w:tc>
          <w:tcPr>
            <w:tcW w:w="3827" w:type="dxa"/>
            <w:vAlign w:val="center"/>
          </w:tcPr>
          <w:p w14:paraId="466F87AC">
            <w:pPr>
              <w:ind w:firstLine="0" w:firstLineChars="0"/>
              <w:jc w:val="center"/>
              <w:rPr>
                <w:sz w:val="24"/>
              </w:rPr>
            </w:pPr>
          </w:p>
        </w:tc>
        <w:tc>
          <w:tcPr>
            <w:tcW w:w="5245" w:type="dxa"/>
            <w:vAlign w:val="center"/>
          </w:tcPr>
          <w:p w14:paraId="3FB4B1C4">
            <w:pPr>
              <w:ind w:firstLine="0" w:firstLineChars="0"/>
              <w:jc w:val="center"/>
              <w:rPr>
                <w:sz w:val="24"/>
              </w:rPr>
            </w:pPr>
          </w:p>
        </w:tc>
        <w:tc>
          <w:tcPr>
            <w:tcW w:w="1843" w:type="dxa"/>
            <w:vAlign w:val="center"/>
          </w:tcPr>
          <w:p w14:paraId="121495B5">
            <w:pPr>
              <w:ind w:firstLine="0" w:firstLineChars="0"/>
              <w:jc w:val="center"/>
              <w:rPr>
                <w:sz w:val="24"/>
              </w:rPr>
            </w:pPr>
          </w:p>
        </w:tc>
        <w:tc>
          <w:tcPr>
            <w:tcW w:w="1417" w:type="dxa"/>
            <w:vAlign w:val="center"/>
          </w:tcPr>
          <w:p w14:paraId="3ABFEAA4">
            <w:pPr>
              <w:ind w:firstLine="0" w:firstLineChars="0"/>
              <w:jc w:val="center"/>
              <w:rPr>
                <w:sz w:val="24"/>
              </w:rPr>
            </w:pPr>
          </w:p>
        </w:tc>
      </w:tr>
      <w:tr w14:paraId="7E514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69AAEC31">
            <w:pPr>
              <w:ind w:firstLine="0" w:firstLineChars="0"/>
              <w:jc w:val="center"/>
              <w:rPr>
                <w:sz w:val="24"/>
              </w:rPr>
            </w:pPr>
            <w:r>
              <w:rPr>
                <w:w w:val="118"/>
                <w:sz w:val="24"/>
              </w:rPr>
              <w:t>4</w:t>
            </w:r>
          </w:p>
        </w:tc>
        <w:tc>
          <w:tcPr>
            <w:tcW w:w="1276" w:type="dxa"/>
            <w:vAlign w:val="center"/>
          </w:tcPr>
          <w:p w14:paraId="5D33FEDF">
            <w:pPr>
              <w:ind w:firstLine="480"/>
              <w:rPr>
                <w:sz w:val="24"/>
              </w:rPr>
            </w:pPr>
          </w:p>
        </w:tc>
        <w:tc>
          <w:tcPr>
            <w:tcW w:w="3827" w:type="dxa"/>
            <w:vAlign w:val="center"/>
          </w:tcPr>
          <w:p w14:paraId="2EC5A082">
            <w:pPr>
              <w:ind w:firstLine="0" w:firstLineChars="0"/>
              <w:jc w:val="center"/>
              <w:rPr>
                <w:sz w:val="24"/>
              </w:rPr>
            </w:pPr>
          </w:p>
        </w:tc>
        <w:tc>
          <w:tcPr>
            <w:tcW w:w="5245" w:type="dxa"/>
            <w:vAlign w:val="center"/>
          </w:tcPr>
          <w:p w14:paraId="6EAB597D">
            <w:pPr>
              <w:ind w:firstLine="0" w:firstLineChars="0"/>
              <w:jc w:val="center"/>
              <w:rPr>
                <w:sz w:val="24"/>
              </w:rPr>
            </w:pPr>
          </w:p>
        </w:tc>
        <w:tc>
          <w:tcPr>
            <w:tcW w:w="1843" w:type="dxa"/>
            <w:vAlign w:val="center"/>
          </w:tcPr>
          <w:p w14:paraId="3E950E71">
            <w:pPr>
              <w:ind w:firstLine="0" w:firstLineChars="0"/>
              <w:jc w:val="center"/>
              <w:rPr>
                <w:sz w:val="24"/>
              </w:rPr>
            </w:pPr>
          </w:p>
        </w:tc>
        <w:tc>
          <w:tcPr>
            <w:tcW w:w="1417" w:type="dxa"/>
            <w:vAlign w:val="center"/>
          </w:tcPr>
          <w:p w14:paraId="7757CC9B">
            <w:pPr>
              <w:ind w:firstLine="0" w:firstLineChars="0"/>
              <w:jc w:val="center"/>
              <w:rPr>
                <w:sz w:val="24"/>
              </w:rPr>
            </w:pPr>
          </w:p>
        </w:tc>
      </w:tr>
      <w:tr w14:paraId="3FA70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0E5FF4B9">
            <w:pPr>
              <w:ind w:firstLine="0" w:firstLineChars="0"/>
              <w:jc w:val="center"/>
              <w:rPr>
                <w:sz w:val="24"/>
              </w:rPr>
            </w:pPr>
            <w:r>
              <w:rPr>
                <w:w w:val="118"/>
                <w:sz w:val="24"/>
              </w:rPr>
              <w:t>5</w:t>
            </w:r>
          </w:p>
        </w:tc>
        <w:tc>
          <w:tcPr>
            <w:tcW w:w="1276" w:type="dxa"/>
            <w:vAlign w:val="center"/>
          </w:tcPr>
          <w:p w14:paraId="123C0466">
            <w:pPr>
              <w:ind w:firstLine="480"/>
              <w:rPr>
                <w:sz w:val="24"/>
              </w:rPr>
            </w:pPr>
          </w:p>
        </w:tc>
        <w:tc>
          <w:tcPr>
            <w:tcW w:w="3827" w:type="dxa"/>
            <w:vAlign w:val="center"/>
          </w:tcPr>
          <w:p w14:paraId="23817075">
            <w:pPr>
              <w:ind w:firstLine="0" w:firstLineChars="0"/>
              <w:jc w:val="center"/>
              <w:rPr>
                <w:sz w:val="24"/>
              </w:rPr>
            </w:pPr>
          </w:p>
        </w:tc>
        <w:tc>
          <w:tcPr>
            <w:tcW w:w="5245" w:type="dxa"/>
            <w:vAlign w:val="center"/>
          </w:tcPr>
          <w:p w14:paraId="37C40335">
            <w:pPr>
              <w:ind w:firstLine="0" w:firstLineChars="0"/>
              <w:jc w:val="center"/>
              <w:rPr>
                <w:sz w:val="24"/>
              </w:rPr>
            </w:pPr>
          </w:p>
        </w:tc>
        <w:tc>
          <w:tcPr>
            <w:tcW w:w="1843" w:type="dxa"/>
            <w:vAlign w:val="center"/>
          </w:tcPr>
          <w:p w14:paraId="75BBE5C3">
            <w:pPr>
              <w:ind w:firstLine="0" w:firstLineChars="0"/>
              <w:jc w:val="center"/>
              <w:rPr>
                <w:sz w:val="24"/>
              </w:rPr>
            </w:pPr>
          </w:p>
        </w:tc>
        <w:tc>
          <w:tcPr>
            <w:tcW w:w="1417" w:type="dxa"/>
            <w:vAlign w:val="center"/>
          </w:tcPr>
          <w:p w14:paraId="446A5E0E">
            <w:pPr>
              <w:ind w:firstLine="0" w:firstLineChars="0"/>
              <w:jc w:val="center"/>
              <w:rPr>
                <w:sz w:val="24"/>
              </w:rPr>
            </w:pPr>
          </w:p>
        </w:tc>
      </w:tr>
    </w:tbl>
    <w:p w14:paraId="06E19FE1">
      <w:pPr>
        <w:pStyle w:val="5"/>
        <w:ind w:left="0" w:firstLine="402"/>
        <w:rPr>
          <w:b/>
          <w:sz w:val="20"/>
        </w:rPr>
      </w:pPr>
    </w:p>
    <w:p w14:paraId="18BF2F44">
      <w:pPr>
        <w:pStyle w:val="5"/>
        <w:ind w:left="0" w:firstLine="402"/>
        <w:rPr>
          <w:b/>
          <w:sz w:val="20"/>
        </w:rPr>
      </w:pPr>
    </w:p>
    <w:p w14:paraId="1F6E0203">
      <w:pPr>
        <w:pStyle w:val="5"/>
        <w:ind w:left="0" w:firstLine="402"/>
        <w:rPr>
          <w:b/>
          <w:sz w:val="20"/>
        </w:rPr>
      </w:pPr>
    </w:p>
    <w:p w14:paraId="347A4DC7">
      <w:pPr>
        <w:spacing w:before="102"/>
        <w:ind w:right="482" w:firstLine="360"/>
        <w:jc w:val="right"/>
        <w:rPr>
          <w:rFonts w:ascii="Gill Sans MT" w:hAnsi="Gill Sans MT"/>
          <w:sz w:val="18"/>
        </w:rPr>
      </w:pPr>
    </w:p>
    <w:sectPr>
      <w:footerReference r:id="rId11" w:type="default"/>
      <w:pgSz w:w="16840" w:h="11910" w:orient="landscape"/>
      <w:pgMar w:top="1100" w:right="960" w:bottom="280" w:left="12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Gill Sans MT">
    <w:panose1 w:val="020B0502020104020203"/>
    <w:charset w:val="00"/>
    <w:family w:val="swiss"/>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A1569">
    <w:pPr>
      <w:pStyle w:val="5"/>
      <w:spacing w:line="14" w:lineRule="auto"/>
      <w:ind w:left="0" w:firstLine="640"/>
      <w:rPr>
        <w:sz w:val="20"/>
      </w:rPr>
    </w:pPr>
    <w:r>
      <mc:AlternateContent>
        <mc:Choice Requires="wps">
          <w:drawing>
            <wp:anchor distT="0" distB="0" distL="114300" distR="114300" simplePos="0" relativeHeight="251659264" behindDoc="1" locked="0" layoutInCell="1" allowOverlap="1">
              <wp:simplePos x="0" y="0"/>
              <wp:positionH relativeFrom="page">
                <wp:posOffset>5962650</wp:posOffset>
              </wp:positionH>
              <wp:positionV relativeFrom="page">
                <wp:posOffset>10109200</wp:posOffset>
              </wp:positionV>
              <wp:extent cx="635000" cy="177800"/>
              <wp:effectExtent l="0" t="0" r="0" b="0"/>
              <wp:wrapNone/>
              <wp:docPr id="2" name="docshape4"/>
              <wp:cNvGraphicFramePr/>
              <a:graphic xmlns:a="http://schemas.openxmlformats.org/drawingml/2006/main">
                <a:graphicData uri="http://schemas.microsoft.com/office/word/2010/wordprocessingShape">
                  <wps:wsp>
                    <wps:cNvSpPr txBox="1">
                      <a:spLocks noChangeArrowheads="1"/>
                    </wps:cNvSpPr>
                    <wps:spPr bwMode="auto">
                      <a:xfrm>
                        <a:off x="0" y="0"/>
                        <a:ext cx="635000" cy="177800"/>
                      </a:xfrm>
                      <a:prstGeom prst="rect">
                        <a:avLst/>
                      </a:prstGeom>
                      <a:noFill/>
                      <a:ln>
                        <a:noFill/>
                      </a:ln>
                    </wps:spPr>
                    <wps:txbx>
                      <w:txbxContent>
                        <w:p w14:paraId="36401386">
                          <w:pPr>
                            <w:spacing w:line="280" w:lineRule="exact"/>
                            <w:ind w:left="20" w:firstLine="480"/>
                            <w:rPr>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2"/>
                              <w:sz w:val="24"/>
                            </w:rPr>
                            <w:t xml:space="preserve"> </w:t>
                          </w:r>
                          <w:r>
                            <w:rPr>
                              <w:spacing w:val="-10"/>
                              <w:sz w:val="24"/>
                            </w:rPr>
                            <w:t>—</w:t>
                          </w:r>
                        </w:p>
                      </w:txbxContent>
                    </wps:txbx>
                    <wps:bodyPr rot="0" vert="horz" wrap="square" lIns="0" tIns="0" rIns="0" bIns="0" anchor="t" anchorCtr="0" upright="1">
                      <a:noAutofit/>
                    </wps:bodyPr>
                  </wps:wsp>
                </a:graphicData>
              </a:graphic>
            </wp:anchor>
          </w:drawing>
        </mc:Choice>
        <mc:Fallback>
          <w:pict>
            <v:shape id="docshape4" o:spid="_x0000_s1026" o:spt="202" type="#_x0000_t202" style="position:absolute;left:0pt;margin-left:469.5pt;margin-top:796pt;height:14pt;width:50pt;mso-position-horizontal-relative:page;mso-position-vertical-relative:page;z-index:-251657216;mso-width-relative:page;mso-height-relative:page;" filled="f" stroked="f" coordsize="21600,21600" o:gfxdata="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gRYwHXAAAADgEAAA8AAAAAAAAAAQAgAAAAIgAAAGRycy9kb3ducmV2Lnht&#10;bFBLAQIUABQAAAAIAIdO4kDdA+dL+gEAAAIEAAAOAAAAAAAAAAEAIAAAACYBAABkcnMvZTJvRG9j&#10;LnhtbFBLBQYAAAAABgAGAFkBAACSBQAAAAA=&#10;">
              <v:fill on="f" focussize="0,0"/>
              <v:stroke on="f"/>
              <v:imagedata o:title=""/>
              <o:lock v:ext="edit" aspectratio="f"/>
              <v:textbox inset="0mm,0mm,0mm,0mm">
                <w:txbxContent>
                  <w:p w14:paraId="36401386">
                    <w:pPr>
                      <w:spacing w:line="280" w:lineRule="exact"/>
                      <w:ind w:left="20" w:firstLine="480"/>
                      <w:rPr>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2"/>
                        <w:sz w:val="24"/>
                      </w:rPr>
                      <w:t xml:space="preserve"> </w:t>
                    </w:r>
                    <w:r>
                      <w:rPr>
                        <w:spacing w:val="-10"/>
                        <w:sz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611FE">
    <w:pPr>
      <w:pStyle w:val="5"/>
      <w:spacing w:line="14" w:lineRule="auto"/>
      <w:ind w:left="0" w:firstLine="640"/>
      <w:rPr>
        <w:sz w:val="20"/>
      </w:rPr>
    </w:pPr>
    <w:r>
      <mc:AlternateContent>
        <mc:Choice Requires="wps">
          <w:drawing>
            <wp:anchor distT="0" distB="0" distL="114300" distR="114300" simplePos="0" relativeHeight="251659264" behindDoc="1" locked="0" layoutInCell="1" allowOverlap="1">
              <wp:simplePos x="0" y="0"/>
              <wp:positionH relativeFrom="page">
                <wp:posOffset>997585</wp:posOffset>
              </wp:positionH>
              <wp:positionV relativeFrom="page">
                <wp:posOffset>10109200</wp:posOffset>
              </wp:positionV>
              <wp:extent cx="635000" cy="177800"/>
              <wp:effectExtent l="0" t="0" r="0" b="0"/>
              <wp:wrapNone/>
              <wp:docPr id="4" name="docshape3"/>
              <wp:cNvGraphicFramePr/>
              <a:graphic xmlns:a="http://schemas.openxmlformats.org/drawingml/2006/main">
                <a:graphicData uri="http://schemas.microsoft.com/office/word/2010/wordprocessingShape">
                  <wps:wsp>
                    <wps:cNvSpPr txBox="1">
                      <a:spLocks noChangeArrowheads="1"/>
                    </wps:cNvSpPr>
                    <wps:spPr bwMode="auto">
                      <a:xfrm>
                        <a:off x="0" y="0"/>
                        <a:ext cx="635000" cy="177800"/>
                      </a:xfrm>
                      <a:prstGeom prst="rect">
                        <a:avLst/>
                      </a:prstGeom>
                      <a:noFill/>
                      <a:ln>
                        <a:noFill/>
                      </a:ln>
                    </wps:spPr>
                    <wps:txbx>
                      <w:txbxContent>
                        <w:p w14:paraId="7C50D83F">
                          <w:pPr>
                            <w:spacing w:line="280" w:lineRule="exact"/>
                            <w:ind w:left="20" w:firstLine="480"/>
                            <w:rPr>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pacing w:val="2"/>
                              <w:sz w:val="24"/>
                            </w:rPr>
                            <w:t xml:space="preserve"> </w:t>
                          </w:r>
                          <w:r>
                            <w:rPr>
                              <w:spacing w:val="-10"/>
                              <w:sz w:val="24"/>
                            </w:rPr>
                            <w:t>—</w:t>
                          </w:r>
                        </w:p>
                      </w:txbxContent>
                    </wps:txbx>
                    <wps:bodyPr rot="0" vert="horz" wrap="square" lIns="0" tIns="0" rIns="0" bIns="0" anchor="t" anchorCtr="0" upright="1">
                      <a:noAutofit/>
                    </wps:bodyPr>
                  </wps:wsp>
                </a:graphicData>
              </a:graphic>
            </wp:anchor>
          </w:drawing>
        </mc:Choice>
        <mc:Fallback>
          <w:pict>
            <v:shape id="docshape3" o:spid="_x0000_s1026" o:spt="202" type="#_x0000_t202" style="position:absolute;left:0pt;margin-left:78.55pt;margin-top:796pt;height:14pt;width:50pt;mso-position-horizontal-relative:page;mso-position-vertical-relative:page;z-index:-251657216;mso-width-relative:page;mso-height-relative:page;" filled="f" stroked="f" coordsize="21600,21600" o:gfxdata="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BV8NYAAAANAQAADwAAAAAAAAABACAAAAAiAAAAZHJzL2Rvd25yZXYueG1s&#10;UEsBAhQAFAAAAAgAh07iQIfxy3/6AQAAAgQAAA4AAAAAAAAAAQAgAAAAJQEAAGRycy9lMm9Eb2Mu&#10;eG1sUEsFBgAAAAAGAAYAWQEAAJEFAAAAAA==&#10;">
              <v:fill on="f" focussize="0,0"/>
              <v:stroke on="f"/>
              <v:imagedata o:title=""/>
              <o:lock v:ext="edit" aspectratio="f"/>
              <v:textbox inset="0mm,0mm,0mm,0mm">
                <w:txbxContent>
                  <w:p w14:paraId="7C50D83F">
                    <w:pPr>
                      <w:spacing w:line="280" w:lineRule="exact"/>
                      <w:ind w:left="20" w:firstLine="480"/>
                      <w:rPr>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pacing w:val="2"/>
                        <w:sz w:val="24"/>
                      </w:rPr>
                      <w:t xml:space="preserve"> </w:t>
                    </w:r>
                    <w:r>
                      <w:rPr>
                        <w:spacing w:val="-10"/>
                        <w:sz w:val="24"/>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9BC7">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E149">
    <w:pPr>
      <w:pStyle w:val="5"/>
      <w:spacing w:line="14" w:lineRule="auto"/>
      <w:ind w:left="0" w:firstLine="4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22BBC">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46CAA">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1A46D">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5E"/>
    <w:rsid w:val="00031498"/>
    <w:rsid w:val="00094349"/>
    <w:rsid w:val="00210530"/>
    <w:rsid w:val="0029007F"/>
    <w:rsid w:val="005A27BA"/>
    <w:rsid w:val="00847CE6"/>
    <w:rsid w:val="008F186C"/>
    <w:rsid w:val="0097706D"/>
    <w:rsid w:val="00A63B9B"/>
    <w:rsid w:val="00AD0DDB"/>
    <w:rsid w:val="00AE3526"/>
    <w:rsid w:val="00B120B8"/>
    <w:rsid w:val="00B8624E"/>
    <w:rsid w:val="00BF1A69"/>
    <w:rsid w:val="00C32551"/>
    <w:rsid w:val="00C53A5E"/>
    <w:rsid w:val="00CF5BFC"/>
    <w:rsid w:val="00DF3D9D"/>
    <w:rsid w:val="00EA63B4"/>
    <w:rsid w:val="00FD3BF3"/>
    <w:rsid w:val="00FF203B"/>
    <w:rsid w:val="0EE619B9"/>
    <w:rsid w:val="0F8E1AAC"/>
    <w:rsid w:val="14AF365F"/>
    <w:rsid w:val="1ABE04FC"/>
    <w:rsid w:val="1CB515F6"/>
    <w:rsid w:val="27D843EB"/>
    <w:rsid w:val="28C826B1"/>
    <w:rsid w:val="2A3C2D16"/>
    <w:rsid w:val="2A7340A8"/>
    <w:rsid w:val="3B3140E6"/>
    <w:rsid w:val="3FE276C6"/>
    <w:rsid w:val="585B3172"/>
    <w:rsid w:val="695A490C"/>
    <w:rsid w:val="71C70D25"/>
    <w:rsid w:val="72824087"/>
    <w:rsid w:val="7E696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ind w:firstLine="200" w:firstLineChars="200"/>
    </w:pPr>
    <w:rPr>
      <w:rFonts w:ascii="Times New Roman" w:hAnsi="Times New Roman" w:eastAsia="仿宋" w:cs="宋体"/>
      <w:sz w:val="28"/>
      <w:szCs w:val="22"/>
      <w:lang w:val="en-US" w:eastAsia="zh-CN" w:bidi="ar-SA"/>
    </w:rPr>
  </w:style>
  <w:style w:type="paragraph" w:styleId="2">
    <w:name w:val="heading 1"/>
    <w:basedOn w:val="1"/>
    <w:qFormat/>
    <w:uiPriority w:val="1"/>
    <w:pPr>
      <w:ind w:firstLine="0" w:firstLineChars="0"/>
      <w:outlineLvl w:val="0"/>
    </w:pPr>
    <w:rPr>
      <w:rFonts w:cs="Microsoft JhengHei"/>
      <w:b/>
      <w:bCs/>
      <w:sz w:val="30"/>
      <w:szCs w:val="32"/>
    </w:rPr>
  </w:style>
  <w:style w:type="paragraph" w:styleId="3">
    <w:name w:val="heading 2"/>
    <w:basedOn w:val="1"/>
    <w:next w:val="1"/>
    <w:link w:val="15"/>
    <w:unhideWhenUsed/>
    <w:qFormat/>
    <w:uiPriority w:val="9"/>
    <w:pPr>
      <w:keepNext/>
      <w:keepLines/>
      <w:ind w:firstLine="0" w:firstLineChars="0"/>
      <w:outlineLvl w:val="1"/>
    </w:pPr>
    <w:rPr>
      <w:rFonts w:cstheme="majorBidi"/>
      <w:b/>
      <w:bCs/>
      <w:sz w:val="30"/>
      <w:szCs w:val="32"/>
    </w:rPr>
  </w:style>
  <w:style w:type="paragraph" w:styleId="4">
    <w:name w:val="heading 3"/>
    <w:basedOn w:val="1"/>
    <w:next w:val="1"/>
    <w:link w:val="16"/>
    <w:unhideWhenUsed/>
    <w:qFormat/>
    <w:uiPriority w:val="9"/>
    <w:pPr>
      <w:keepNext/>
      <w:keepLines/>
      <w:ind w:firstLine="0" w:firstLineChars="0"/>
      <w:outlineLvl w:val="2"/>
    </w:pPr>
    <w:rPr>
      <w:b/>
      <w:bCs/>
      <w:sz w:val="3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406"/>
    </w:pPr>
    <w:rPr>
      <w:rFonts w:ascii="宋体" w:hAnsi="宋体" w:eastAsia="宋体"/>
      <w:sz w:val="32"/>
      <w:szCs w:val="32"/>
    </w:rPr>
  </w:style>
  <w:style w:type="paragraph" w:styleId="6">
    <w:name w:val="footer"/>
    <w:basedOn w:val="1"/>
    <w:link w:val="18"/>
    <w:unhideWhenUsed/>
    <w:qFormat/>
    <w:uiPriority w:val="99"/>
    <w:pPr>
      <w:tabs>
        <w:tab w:val="center" w:pos="4153"/>
        <w:tab w:val="right" w:pos="8306"/>
      </w:tabs>
      <w:snapToGrid w:val="0"/>
    </w:pPr>
    <w:rPr>
      <w:sz w:val="18"/>
      <w:szCs w:val="18"/>
    </w:rPr>
  </w:style>
  <w:style w:type="paragraph" w:styleId="7">
    <w:name w:val="header"/>
    <w:basedOn w:val="1"/>
    <w:link w:val="17"/>
    <w:unhideWhenUsed/>
    <w:qFormat/>
    <w:uiPriority w:val="99"/>
    <w:pP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qFormat/>
    <w:uiPriority w:val="1"/>
    <w:pPr>
      <w:ind w:left="994" w:right="1019"/>
      <w:jc w:val="center"/>
    </w:pPr>
    <w:rPr>
      <w:rFonts w:ascii="宋体" w:hAnsi="宋体" w:eastAsia="宋体"/>
      <w:sz w:val="44"/>
      <w:szCs w:val="44"/>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161"/>
      <w:ind w:left="1527" w:hanging="481"/>
    </w:pPr>
    <w:rPr>
      <w:rFonts w:ascii="宋体" w:hAnsi="宋体" w:eastAsia="宋体"/>
    </w:rPr>
  </w:style>
  <w:style w:type="paragraph" w:customStyle="1" w:styleId="14">
    <w:name w:val="Table Paragraph"/>
    <w:basedOn w:val="1"/>
    <w:qFormat/>
    <w:uiPriority w:val="1"/>
    <w:rPr>
      <w:rFonts w:ascii="宋体" w:hAnsi="宋体" w:eastAsia="宋体"/>
    </w:rPr>
  </w:style>
  <w:style w:type="character" w:customStyle="1" w:styleId="15">
    <w:name w:val="标题 2 字符"/>
    <w:basedOn w:val="11"/>
    <w:link w:val="3"/>
    <w:qFormat/>
    <w:uiPriority w:val="9"/>
    <w:rPr>
      <w:rFonts w:ascii="Times New Roman" w:hAnsi="Times New Roman" w:eastAsia="仿宋" w:cstheme="majorBidi"/>
      <w:b/>
      <w:bCs/>
      <w:sz w:val="30"/>
      <w:szCs w:val="32"/>
      <w:lang w:eastAsia="zh-CN"/>
    </w:rPr>
  </w:style>
  <w:style w:type="character" w:customStyle="1" w:styleId="16">
    <w:name w:val="标题 3 字符"/>
    <w:basedOn w:val="11"/>
    <w:link w:val="4"/>
    <w:qFormat/>
    <w:uiPriority w:val="9"/>
    <w:rPr>
      <w:rFonts w:ascii="Times New Roman" w:hAnsi="Times New Roman" w:eastAsia="仿宋" w:cs="宋体"/>
      <w:b/>
      <w:bCs/>
      <w:sz w:val="30"/>
      <w:szCs w:val="32"/>
      <w:lang w:eastAsia="zh-CN"/>
    </w:rPr>
  </w:style>
  <w:style w:type="character" w:customStyle="1" w:styleId="17">
    <w:name w:val="页眉 字符"/>
    <w:basedOn w:val="11"/>
    <w:link w:val="7"/>
    <w:qFormat/>
    <w:uiPriority w:val="99"/>
    <w:rPr>
      <w:rFonts w:ascii="Times New Roman" w:hAnsi="Times New Roman" w:eastAsia="仿宋" w:cs="宋体"/>
      <w:sz w:val="18"/>
      <w:szCs w:val="18"/>
      <w:lang w:eastAsia="zh-CN"/>
    </w:rPr>
  </w:style>
  <w:style w:type="character" w:customStyle="1" w:styleId="18">
    <w:name w:val="页脚 字符"/>
    <w:basedOn w:val="11"/>
    <w:link w:val="6"/>
    <w:qFormat/>
    <w:uiPriority w:val="99"/>
    <w:rPr>
      <w:rFonts w:ascii="Times New Roman" w:hAnsi="Times New Roman" w:eastAsia="仿宋" w:cs="宋体"/>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B611E6-568C-4392-983C-A3076CE532A0}">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4238</Words>
  <Characters>4263</Characters>
  <Lines>13</Lines>
  <Paragraphs>3</Paragraphs>
  <TotalTime>0</TotalTime>
  <ScaleCrop>false</ScaleCrop>
  <LinksUpToDate>false</LinksUpToDate>
  <CharactersWithSpaces>4278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2023-11-13T06:43:00Z</dcterms:created>
  <dc:creator>Microsoft</dc:creator>
  <cp:lastModifiedBy>菲儿</cp:lastModifiedBy>
  <dcterms:modified xsi:type="dcterms:W3CDTF">2025-11-10T09:27:04Z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WPS 文字</vt:lpwstr>
  </property>
  <property fmtid="{D5CDD505-2E9C-101B-9397-08002B2CF9AE}" pid="4" name="LastSaved">
    <vt:filetime>2023-09-12T00:00:00Z</vt:filetime>
  </property>
  <property fmtid="{D5CDD505-2E9C-101B-9397-08002B2CF9AE}" pid="5" name="SourceModified">
    <vt:lpwstr>D:20230905162248+08'22'</vt:lpwstr>
  </property>
  <property fmtid="{D5CDD505-2E9C-101B-9397-08002B2CF9AE}" pid="6" name="KSOTemplateDocerSaveRecord">
    <vt:lpwstr>eyJoZGlkIjoiN2E5ZGE4MTMwMzdjOGVkZDZlN2Y5OWNiNTFkZThjNjIiLCJ1c2VySWQiOiI0NjkzMTgyMjcifQ==</vt:lpwstr>
  </property>
  <property fmtid="{D5CDD505-2E9C-101B-9397-08002B2CF9AE}" pid="7" name="KSOProductBuildVer">
    <vt:lpwstr>2052-12.1.0.23125</vt:lpwstr>
  </property>
  <property fmtid="{D5CDD505-2E9C-101B-9397-08002B2CF9AE}" pid="8" name="ICV">
    <vt:lpwstr>8864CEF8864F4516926752C960DCF24C_12</vt:lpwstr>
  </property>
</Properties>
</file>