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FE6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BF5924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6FA003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67.020</w:t>
            </w:r>
            <w:r>
              <w:rPr>
                <w:rFonts w:ascii="黑体" w:hAnsi="黑体" w:eastAsia="黑体"/>
                <w:sz w:val="21"/>
                <w:szCs w:val="21"/>
              </w:rPr>
              <w:fldChar w:fldCharType="end"/>
            </w:r>
            <w:bookmarkEnd w:id="0"/>
          </w:p>
        </w:tc>
      </w:tr>
      <w:tr w14:paraId="0393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502F2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5CD98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82D882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0B5CD63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X 10     </w:t>
            </w:r>
            <w:r>
              <w:rPr>
                <w:rFonts w:ascii="黑体" w:hAnsi="黑体" w:eastAsia="黑体"/>
                <w:sz w:val="21"/>
                <w:szCs w:val="21"/>
              </w:rPr>
              <w:fldChar w:fldCharType="end"/>
            </w:r>
            <w:bookmarkEnd w:id="2"/>
          </w:p>
        </w:tc>
      </w:tr>
    </w:tbl>
    <w:p w14:paraId="430AD3B5">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16897D4">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 xml:space="preserve"> </w:t>
      </w:r>
      <w:r>
        <w:rPr>
          <w:rFonts w:hint="eastAsia"/>
          <w:lang w:val="en-US" w:eastAsia="zh-CN"/>
        </w:rPr>
        <w:t xml:space="preserve">   </w:t>
      </w:r>
      <w:r>
        <w:fldChar w:fldCharType="end"/>
      </w:r>
      <w:bookmarkEnd w:id="7"/>
    </w:p>
    <w:p w14:paraId="74956805">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2C4770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1676D8">
      <w:pPr>
        <w:pStyle w:val="50"/>
        <w:framePr w:w="9639" w:h="6976" w:hRule="exact" w:hSpace="0" w:vSpace="0" w:wrap="around" w:hAnchor="page" w:y="6408"/>
        <w:jc w:val="center"/>
        <w:rPr>
          <w:rFonts w:hint="eastAsia" w:ascii="黑体" w:hAnsi="黑体" w:eastAsia="黑体"/>
          <w:b w:val="0"/>
          <w:bCs w:val="0"/>
          <w:w w:val="100"/>
        </w:rPr>
      </w:pPr>
    </w:p>
    <w:p w14:paraId="06DA249F">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海南消费领域区域公共品牌溯源平台建设技术规范</w:t>
      </w:r>
      <w:r>
        <w:fldChar w:fldCharType="end"/>
      </w:r>
      <w:bookmarkEnd w:id="9"/>
    </w:p>
    <w:p w14:paraId="79BBADAB">
      <w:pPr>
        <w:framePr w:w="9639" w:h="6974" w:hRule="exact" w:wrap="around" w:vAnchor="page" w:hAnchor="page" w:x="1419" w:y="6408" w:anchorLock="1"/>
        <w:ind w:left="-1418"/>
      </w:pPr>
    </w:p>
    <w:p w14:paraId="3002650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w:t>
      </w:r>
      <w:r>
        <w:rPr>
          <w:rFonts w:hint="eastAsia" w:eastAsia="黑体"/>
          <w:szCs w:val="28"/>
          <w:lang w:val="en-US" w:eastAsia="zh-CN"/>
        </w:rPr>
        <w:t>s</w:t>
      </w:r>
      <w:r>
        <w:rPr>
          <w:rFonts w:hint="eastAsia" w:eastAsia="黑体"/>
          <w:szCs w:val="28"/>
        </w:rPr>
        <w:t xml:space="preserve">pecifications for the </w:t>
      </w:r>
      <w:r>
        <w:rPr>
          <w:rFonts w:hint="eastAsia" w:eastAsia="黑体"/>
          <w:szCs w:val="28"/>
          <w:lang w:val="en-US" w:eastAsia="zh-CN"/>
        </w:rPr>
        <w:t>c</w:t>
      </w:r>
      <w:r>
        <w:rPr>
          <w:rFonts w:hint="eastAsia" w:eastAsia="黑体"/>
          <w:szCs w:val="28"/>
        </w:rPr>
        <w:t xml:space="preserve">onstruction of the </w:t>
      </w:r>
      <w:r>
        <w:rPr>
          <w:rFonts w:hint="eastAsia" w:eastAsia="黑体"/>
          <w:szCs w:val="28"/>
          <w:lang w:val="en-US" w:eastAsia="zh-CN"/>
        </w:rPr>
        <w:t>t</w:t>
      </w:r>
      <w:r>
        <w:rPr>
          <w:rFonts w:hint="eastAsia" w:eastAsia="黑体"/>
          <w:szCs w:val="28"/>
        </w:rPr>
        <w:t xml:space="preserve">raceability </w:t>
      </w:r>
      <w:r>
        <w:rPr>
          <w:rFonts w:hint="eastAsia" w:eastAsia="黑体"/>
          <w:szCs w:val="28"/>
          <w:lang w:val="en-US" w:eastAsia="zh-CN"/>
        </w:rPr>
        <w:t>p</w:t>
      </w:r>
      <w:r>
        <w:rPr>
          <w:rFonts w:hint="eastAsia" w:eastAsia="黑体"/>
          <w:szCs w:val="28"/>
        </w:rPr>
        <w:t xml:space="preserve">latform for </w:t>
      </w:r>
      <w:r>
        <w:rPr>
          <w:rFonts w:hint="eastAsia" w:eastAsia="黑体"/>
          <w:szCs w:val="28"/>
          <w:lang w:val="en-US" w:eastAsia="zh-CN"/>
        </w:rPr>
        <w:t>r</w:t>
      </w:r>
      <w:r>
        <w:rPr>
          <w:rFonts w:hint="eastAsia" w:eastAsia="黑体"/>
          <w:szCs w:val="28"/>
        </w:rPr>
        <w:t xml:space="preserve">egional </w:t>
      </w:r>
      <w:r>
        <w:rPr>
          <w:rFonts w:hint="eastAsia" w:eastAsia="黑体"/>
          <w:szCs w:val="28"/>
          <w:lang w:val="en-US" w:eastAsia="zh-CN"/>
        </w:rPr>
        <w:t>p</w:t>
      </w:r>
      <w:r>
        <w:rPr>
          <w:rFonts w:hint="eastAsia" w:eastAsia="黑体"/>
          <w:szCs w:val="28"/>
        </w:rPr>
        <w:t xml:space="preserve">ublic </w:t>
      </w:r>
      <w:r>
        <w:rPr>
          <w:rFonts w:hint="eastAsia" w:eastAsia="黑体"/>
          <w:szCs w:val="28"/>
          <w:lang w:val="en-US" w:eastAsia="zh-CN"/>
        </w:rPr>
        <w:t>b</w:t>
      </w:r>
      <w:r>
        <w:rPr>
          <w:rFonts w:hint="eastAsia" w:eastAsia="黑体"/>
          <w:szCs w:val="28"/>
        </w:rPr>
        <w:t xml:space="preserve">rands in the </w:t>
      </w:r>
      <w:r>
        <w:rPr>
          <w:rFonts w:hint="eastAsia" w:eastAsia="黑体"/>
          <w:szCs w:val="28"/>
          <w:lang w:val="en-US" w:eastAsia="zh-CN"/>
        </w:rPr>
        <w:t>c</w:t>
      </w:r>
      <w:r>
        <w:rPr>
          <w:rFonts w:hint="eastAsia" w:eastAsia="黑体"/>
          <w:szCs w:val="28"/>
        </w:rPr>
        <w:t xml:space="preserve">onsumption </w:t>
      </w:r>
      <w:r>
        <w:rPr>
          <w:rFonts w:hint="eastAsia" w:eastAsia="黑体"/>
          <w:szCs w:val="28"/>
          <w:lang w:val="en-US" w:eastAsia="zh-CN"/>
        </w:rPr>
        <w:t>f</w:t>
      </w:r>
      <w:r>
        <w:rPr>
          <w:rFonts w:hint="eastAsia" w:eastAsia="黑体"/>
          <w:szCs w:val="28"/>
        </w:rPr>
        <w:t>ield in Hainan</w:t>
      </w:r>
      <w:r>
        <w:rPr>
          <w:rFonts w:eastAsia="黑体"/>
          <w:szCs w:val="28"/>
        </w:rPr>
        <w:fldChar w:fldCharType="end"/>
      </w:r>
      <w:bookmarkEnd w:id="10"/>
    </w:p>
    <w:p w14:paraId="66EA39DF">
      <w:pPr>
        <w:framePr w:w="9639" w:h="6974" w:hRule="exact" w:wrap="around" w:vAnchor="page" w:hAnchor="page" w:x="1419" w:y="6408" w:anchorLock="1"/>
        <w:spacing w:line="760" w:lineRule="exact"/>
        <w:ind w:left="-1418"/>
      </w:pPr>
    </w:p>
    <w:p w14:paraId="42BAFDAC">
      <w:pPr>
        <w:pStyle w:val="125"/>
        <w:framePr w:w="9639" w:h="6974" w:hRule="exact" w:wrap="around" w:vAnchor="page" w:hAnchor="page" w:x="1419" w:y="6408" w:anchorLock="1"/>
        <w:textAlignment w:val="bottom"/>
        <w:rPr>
          <w:rFonts w:eastAsia="黑体"/>
          <w:szCs w:val="28"/>
        </w:rPr>
      </w:pPr>
    </w:p>
    <w:p w14:paraId="1AA28B4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8C5C37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5E86734">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FCBE77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6"/>
      <w:r>
        <w:rPr>
          <w:rFonts w:hint="eastAsia"/>
        </w:rPr>
        <w:t>发布</w:t>
      </w:r>
    </w:p>
    <w:p w14:paraId="0C7CB00F">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9"/>
      <w:r>
        <w:rPr>
          <w:rFonts w:hint="eastAsia"/>
        </w:rPr>
        <w:t>实施</w:t>
      </w:r>
    </w:p>
    <w:p w14:paraId="267AD66A">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180655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BD9E37">
      <w:pPr>
        <w:pStyle w:val="91"/>
        <w:spacing w:after="360"/>
      </w:pPr>
      <w:bookmarkStart w:id="21" w:name="BookMark1"/>
      <w:r>
        <w:rPr>
          <w:rFonts w:hint="eastAsia"/>
          <w:spacing w:val="320"/>
        </w:rPr>
        <w:t>目</w:t>
      </w:r>
      <w:r>
        <w:rPr>
          <w:rFonts w:hint="eastAsia"/>
        </w:rPr>
        <w:t>次</w:t>
      </w:r>
    </w:p>
    <w:p w14:paraId="56076D51">
      <w:pPr>
        <w:pStyle w:val="19"/>
        <w:tabs>
          <w:tab w:val="right" w:leader="dot" w:pos="9354"/>
        </w:tabs>
      </w:pPr>
      <w:r>
        <w:fldChar w:fldCharType="begin"/>
      </w:r>
      <w:r>
        <w:instrText xml:space="preserve"> TOC \o "1-1" \h </w:instrText>
      </w:r>
      <w:r>
        <w:fldChar w:fldCharType="separate"/>
      </w:r>
      <w:r>
        <w:fldChar w:fldCharType="begin"/>
      </w:r>
      <w:r>
        <w:instrText xml:space="preserve"> HYPERLINK \l _Toc20395 </w:instrText>
      </w:r>
      <w:r>
        <w:fldChar w:fldCharType="separate"/>
      </w:r>
      <w:r>
        <w:rPr>
          <w:spacing w:val="320"/>
        </w:rPr>
        <w:t>前</w:t>
      </w:r>
      <w:r>
        <w:t>言</w:t>
      </w:r>
      <w:r>
        <w:tab/>
      </w:r>
      <w:r>
        <w:fldChar w:fldCharType="begin"/>
      </w:r>
      <w:r>
        <w:instrText xml:space="preserve"> PAGEREF _Toc20395 \h </w:instrText>
      </w:r>
      <w:r>
        <w:fldChar w:fldCharType="separate"/>
      </w:r>
      <w:r>
        <w:t>II</w:t>
      </w:r>
      <w:r>
        <w:fldChar w:fldCharType="end"/>
      </w:r>
      <w:r>
        <w:fldChar w:fldCharType="end"/>
      </w:r>
    </w:p>
    <w:p w14:paraId="38AC186E">
      <w:pPr>
        <w:pStyle w:val="19"/>
        <w:tabs>
          <w:tab w:val="right" w:leader="dot" w:pos="9354"/>
        </w:tabs>
      </w:pPr>
      <w:r>
        <w:fldChar w:fldCharType="begin"/>
      </w:r>
      <w:r>
        <w:instrText xml:space="preserve"> HYPERLINK \l _Toc28636 </w:instrText>
      </w:r>
      <w:r>
        <w:fldChar w:fldCharType="separate"/>
      </w:r>
      <w:r>
        <w:rPr>
          <w:spacing w:val="320"/>
        </w:rPr>
        <w:t>引</w:t>
      </w:r>
      <w:r>
        <w:t>言</w:t>
      </w:r>
      <w:r>
        <w:tab/>
      </w:r>
      <w:r>
        <w:fldChar w:fldCharType="begin"/>
      </w:r>
      <w:r>
        <w:instrText xml:space="preserve"> PAGEREF _Toc28636 \h </w:instrText>
      </w:r>
      <w:r>
        <w:fldChar w:fldCharType="separate"/>
      </w:r>
      <w:r>
        <w:t>III</w:t>
      </w:r>
      <w:r>
        <w:fldChar w:fldCharType="end"/>
      </w:r>
      <w:r>
        <w:fldChar w:fldCharType="end"/>
      </w:r>
    </w:p>
    <w:p w14:paraId="5F344E97">
      <w:pPr>
        <w:pStyle w:val="19"/>
        <w:tabs>
          <w:tab w:val="right" w:leader="dot" w:pos="9354"/>
        </w:tabs>
      </w:pPr>
      <w:r>
        <w:fldChar w:fldCharType="begin"/>
      </w:r>
      <w:r>
        <w:instrText xml:space="preserve"> HYPERLINK \l _Toc20205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_Toc20205 \h </w:instrText>
      </w:r>
      <w:r>
        <w:fldChar w:fldCharType="separate"/>
      </w:r>
      <w:r>
        <w:t>1</w:t>
      </w:r>
      <w:r>
        <w:fldChar w:fldCharType="end"/>
      </w:r>
      <w:r>
        <w:fldChar w:fldCharType="end"/>
      </w:r>
    </w:p>
    <w:p w14:paraId="35749054">
      <w:pPr>
        <w:pStyle w:val="19"/>
        <w:tabs>
          <w:tab w:val="right" w:leader="dot" w:pos="9354"/>
        </w:tabs>
      </w:pPr>
      <w:r>
        <w:fldChar w:fldCharType="begin"/>
      </w:r>
      <w:r>
        <w:instrText xml:space="preserve"> HYPERLINK \l _Toc11451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_Toc11451 \h </w:instrText>
      </w:r>
      <w:r>
        <w:fldChar w:fldCharType="separate"/>
      </w:r>
      <w:r>
        <w:t>1</w:t>
      </w:r>
      <w:r>
        <w:fldChar w:fldCharType="end"/>
      </w:r>
      <w:r>
        <w:fldChar w:fldCharType="end"/>
      </w:r>
    </w:p>
    <w:p w14:paraId="2D32E27A">
      <w:pPr>
        <w:pStyle w:val="19"/>
        <w:tabs>
          <w:tab w:val="right" w:leader="dot" w:pos="9354"/>
        </w:tabs>
      </w:pPr>
      <w:r>
        <w:fldChar w:fldCharType="begin"/>
      </w:r>
      <w:r>
        <w:instrText xml:space="preserve"> HYPERLINK \l _Toc13444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_Toc13444 \h </w:instrText>
      </w:r>
      <w:r>
        <w:fldChar w:fldCharType="separate"/>
      </w:r>
      <w:r>
        <w:t>1</w:t>
      </w:r>
      <w:r>
        <w:fldChar w:fldCharType="end"/>
      </w:r>
      <w:r>
        <w:fldChar w:fldCharType="end"/>
      </w:r>
    </w:p>
    <w:p w14:paraId="212EE1DD">
      <w:pPr>
        <w:pStyle w:val="19"/>
        <w:tabs>
          <w:tab w:val="right" w:leader="dot" w:pos="9354"/>
        </w:tabs>
      </w:pPr>
      <w:r>
        <w:fldChar w:fldCharType="begin"/>
      </w:r>
      <w:r>
        <w:instrText xml:space="preserve"> HYPERLINK \l _Toc17150 </w:instrText>
      </w:r>
      <w:r>
        <w:fldChar w:fldCharType="separate"/>
      </w:r>
      <w:r>
        <w:rPr>
          <w:rFonts w:hint="eastAsia" w:ascii="黑体" w:eastAsia="黑体"/>
          <w:i w:val="0"/>
        </w:rPr>
        <w:t xml:space="preserve">4 </w:t>
      </w:r>
      <w:r>
        <w:rPr>
          <w:rFonts w:hint="eastAsia"/>
          <w:lang w:val="en-US" w:eastAsia="zh-CN"/>
        </w:rPr>
        <w:t>总体要求</w:t>
      </w:r>
      <w:r>
        <w:tab/>
      </w:r>
      <w:r>
        <w:fldChar w:fldCharType="begin"/>
      </w:r>
      <w:r>
        <w:instrText xml:space="preserve"> PAGEREF _Toc17150 \h </w:instrText>
      </w:r>
      <w:r>
        <w:fldChar w:fldCharType="separate"/>
      </w:r>
      <w:r>
        <w:t>1</w:t>
      </w:r>
      <w:r>
        <w:fldChar w:fldCharType="end"/>
      </w:r>
      <w:r>
        <w:fldChar w:fldCharType="end"/>
      </w:r>
    </w:p>
    <w:p w14:paraId="45DA6B90">
      <w:pPr>
        <w:pStyle w:val="19"/>
        <w:tabs>
          <w:tab w:val="right" w:leader="dot" w:pos="9354"/>
        </w:tabs>
      </w:pPr>
      <w:r>
        <w:fldChar w:fldCharType="begin"/>
      </w:r>
      <w:r>
        <w:instrText xml:space="preserve"> HYPERLINK \l _Toc18882 </w:instrText>
      </w:r>
      <w:r>
        <w:fldChar w:fldCharType="separate"/>
      </w:r>
      <w:r>
        <w:rPr>
          <w:rFonts w:hint="eastAsia" w:ascii="黑体" w:eastAsia="黑体"/>
          <w:i w:val="0"/>
        </w:rPr>
        <w:t xml:space="preserve">5 </w:t>
      </w:r>
      <w:r>
        <w:rPr>
          <w:rFonts w:hint="eastAsia"/>
          <w:lang w:val="en-US" w:eastAsia="zh-CN"/>
        </w:rPr>
        <w:t>总体架构</w:t>
      </w:r>
      <w:r>
        <w:tab/>
      </w:r>
      <w:r>
        <w:fldChar w:fldCharType="begin"/>
      </w:r>
      <w:r>
        <w:instrText xml:space="preserve"> PAGEREF _Toc18882 \h </w:instrText>
      </w:r>
      <w:r>
        <w:fldChar w:fldCharType="separate"/>
      </w:r>
      <w:r>
        <w:t>1</w:t>
      </w:r>
      <w:r>
        <w:fldChar w:fldCharType="end"/>
      </w:r>
      <w:r>
        <w:fldChar w:fldCharType="end"/>
      </w:r>
    </w:p>
    <w:p w14:paraId="625BCE4B">
      <w:pPr>
        <w:pStyle w:val="19"/>
        <w:tabs>
          <w:tab w:val="right" w:leader="dot" w:pos="9354"/>
        </w:tabs>
      </w:pPr>
      <w:r>
        <w:fldChar w:fldCharType="begin"/>
      </w:r>
      <w:r>
        <w:instrText xml:space="preserve"> HYPERLINK \l _Toc29652 </w:instrText>
      </w:r>
      <w:r>
        <w:fldChar w:fldCharType="separate"/>
      </w:r>
      <w:r>
        <w:rPr>
          <w:rFonts w:hint="eastAsia" w:ascii="黑体" w:eastAsia="黑体"/>
          <w:i w:val="0"/>
        </w:rPr>
        <w:t xml:space="preserve">6 </w:t>
      </w:r>
      <w:r>
        <w:rPr>
          <w:rFonts w:hint="eastAsia"/>
          <w:lang w:val="en-US" w:eastAsia="zh-CN"/>
        </w:rPr>
        <w:t>功能要求</w:t>
      </w:r>
      <w:r>
        <w:tab/>
      </w:r>
      <w:r>
        <w:fldChar w:fldCharType="begin"/>
      </w:r>
      <w:r>
        <w:instrText xml:space="preserve"> PAGEREF _Toc29652 \h </w:instrText>
      </w:r>
      <w:r>
        <w:fldChar w:fldCharType="separate"/>
      </w:r>
      <w:r>
        <w:t>2</w:t>
      </w:r>
      <w:r>
        <w:fldChar w:fldCharType="end"/>
      </w:r>
      <w:r>
        <w:fldChar w:fldCharType="end"/>
      </w:r>
    </w:p>
    <w:p w14:paraId="0C673122">
      <w:pPr>
        <w:pStyle w:val="19"/>
        <w:tabs>
          <w:tab w:val="right" w:leader="dot" w:pos="9354"/>
        </w:tabs>
      </w:pPr>
      <w:r>
        <w:fldChar w:fldCharType="begin"/>
      </w:r>
      <w:r>
        <w:instrText xml:space="preserve"> HYPERLINK \l _Toc31665 </w:instrText>
      </w:r>
      <w:r>
        <w:fldChar w:fldCharType="separate"/>
      </w:r>
      <w:r>
        <w:rPr>
          <w:rFonts w:hint="eastAsia" w:ascii="黑体" w:eastAsia="黑体"/>
          <w:i w:val="0"/>
        </w:rPr>
        <w:t xml:space="preserve">7 </w:t>
      </w:r>
      <w:r>
        <w:rPr>
          <w:rFonts w:hint="eastAsia"/>
          <w:lang w:val="en-US" w:eastAsia="zh-CN"/>
        </w:rPr>
        <w:t>数据要求</w:t>
      </w:r>
      <w:r>
        <w:tab/>
      </w:r>
      <w:r>
        <w:fldChar w:fldCharType="begin"/>
      </w:r>
      <w:r>
        <w:instrText xml:space="preserve"> PAGEREF _Toc31665 \h </w:instrText>
      </w:r>
      <w:r>
        <w:fldChar w:fldCharType="separate"/>
      </w:r>
      <w:r>
        <w:t>2</w:t>
      </w:r>
      <w:r>
        <w:fldChar w:fldCharType="end"/>
      </w:r>
      <w:r>
        <w:fldChar w:fldCharType="end"/>
      </w:r>
    </w:p>
    <w:p w14:paraId="6EFB94B0">
      <w:pPr>
        <w:pStyle w:val="19"/>
        <w:tabs>
          <w:tab w:val="right" w:leader="dot" w:pos="9354"/>
        </w:tabs>
      </w:pPr>
      <w:r>
        <w:fldChar w:fldCharType="begin"/>
      </w:r>
      <w:r>
        <w:instrText xml:space="preserve"> HYPERLINK \l _Toc20044 </w:instrText>
      </w:r>
      <w:r>
        <w:fldChar w:fldCharType="separate"/>
      </w:r>
      <w:r>
        <w:rPr>
          <w:rFonts w:hint="eastAsia" w:ascii="黑体" w:eastAsia="黑体"/>
          <w:i w:val="0"/>
        </w:rPr>
        <w:t xml:space="preserve">8 </w:t>
      </w:r>
      <w:r>
        <w:rPr>
          <w:rFonts w:hint="eastAsia"/>
          <w:lang w:val="en-US" w:eastAsia="zh-CN"/>
        </w:rPr>
        <w:t>接口规范</w:t>
      </w:r>
      <w:r>
        <w:tab/>
      </w:r>
      <w:r>
        <w:fldChar w:fldCharType="begin"/>
      </w:r>
      <w:r>
        <w:instrText xml:space="preserve"> PAGEREF _Toc20044 \h </w:instrText>
      </w:r>
      <w:r>
        <w:fldChar w:fldCharType="separate"/>
      </w:r>
      <w:r>
        <w:t>3</w:t>
      </w:r>
      <w:r>
        <w:fldChar w:fldCharType="end"/>
      </w:r>
      <w:r>
        <w:fldChar w:fldCharType="end"/>
      </w:r>
    </w:p>
    <w:p w14:paraId="78A6E5AE">
      <w:pPr>
        <w:pStyle w:val="19"/>
        <w:tabs>
          <w:tab w:val="right" w:leader="dot" w:pos="9354"/>
        </w:tabs>
      </w:pPr>
      <w:r>
        <w:fldChar w:fldCharType="begin"/>
      </w:r>
      <w:r>
        <w:instrText xml:space="preserve"> HYPERLINK \l _Toc25234 </w:instrText>
      </w:r>
      <w:r>
        <w:fldChar w:fldCharType="separate"/>
      </w:r>
      <w:r>
        <w:rPr>
          <w:rFonts w:hint="eastAsia" w:ascii="黑体" w:eastAsia="黑体"/>
          <w:i w:val="0"/>
        </w:rPr>
        <w:t xml:space="preserve">9 </w:t>
      </w:r>
      <w:r>
        <w:rPr>
          <w:rFonts w:hint="eastAsia"/>
          <w:lang w:val="en-US" w:eastAsia="zh-CN"/>
        </w:rPr>
        <w:t>安全要求</w:t>
      </w:r>
      <w:r>
        <w:tab/>
      </w:r>
      <w:r>
        <w:fldChar w:fldCharType="begin"/>
      </w:r>
      <w:r>
        <w:instrText xml:space="preserve"> PAGEREF _Toc25234 \h </w:instrText>
      </w:r>
      <w:r>
        <w:fldChar w:fldCharType="separate"/>
      </w:r>
      <w:r>
        <w:t>3</w:t>
      </w:r>
      <w:r>
        <w:fldChar w:fldCharType="end"/>
      </w:r>
      <w:r>
        <w:fldChar w:fldCharType="end"/>
      </w:r>
    </w:p>
    <w:p w14:paraId="16C91B30">
      <w:pPr>
        <w:pStyle w:val="19"/>
        <w:tabs>
          <w:tab w:val="right" w:leader="dot" w:pos="9354"/>
        </w:tabs>
      </w:pPr>
      <w:r>
        <w:fldChar w:fldCharType="begin"/>
      </w:r>
      <w:r>
        <w:instrText xml:space="preserve"> HYPERLINK \l _Toc24940 </w:instrText>
      </w:r>
      <w:r>
        <w:fldChar w:fldCharType="separate"/>
      </w:r>
      <w:r>
        <w:rPr>
          <w:rFonts w:hint="eastAsia" w:ascii="黑体" w:eastAsia="黑体"/>
          <w:i w:val="0"/>
        </w:rPr>
        <w:t xml:space="preserve">10 </w:t>
      </w:r>
      <w:r>
        <w:rPr>
          <w:rFonts w:hint="eastAsia"/>
          <w:lang w:val="en-US" w:eastAsia="zh-CN"/>
        </w:rPr>
        <w:t>运营管理</w:t>
      </w:r>
      <w:r>
        <w:tab/>
      </w:r>
      <w:r>
        <w:fldChar w:fldCharType="begin"/>
      </w:r>
      <w:r>
        <w:instrText xml:space="preserve"> PAGEREF _Toc24940 \h </w:instrText>
      </w:r>
      <w:r>
        <w:fldChar w:fldCharType="separate"/>
      </w:r>
      <w:r>
        <w:t>3</w:t>
      </w:r>
      <w:r>
        <w:fldChar w:fldCharType="end"/>
      </w:r>
      <w:r>
        <w:fldChar w:fldCharType="end"/>
      </w:r>
    </w:p>
    <w:p w14:paraId="48E6FD82">
      <w:pPr>
        <w:pStyle w:val="91"/>
        <w:spacing w:after="36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14:paraId="6098439C">
      <w:pPr>
        <w:pStyle w:val="89"/>
        <w:spacing w:after="360"/>
      </w:pPr>
      <w:bookmarkStart w:id="22" w:name="_Toc20395"/>
      <w:bookmarkStart w:id="23" w:name="BookMark2"/>
      <w:r>
        <w:rPr>
          <w:spacing w:val="320"/>
        </w:rPr>
        <w:t>前</w:t>
      </w:r>
      <w:r>
        <w:t>言</w:t>
      </w:r>
      <w:bookmarkEnd w:id="22"/>
    </w:p>
    <w:p w14:paraId="4C669A47">
      <w:pPr>
        <w:pStyle w:val="56"/>
        <w:ind w:firstLine="420"/>
      </w:pPr>
      <w:r>
        <w:rPr>
          <w:rFonts w:hint="eastAsia"/>
        </w:rPr>
        <w:t>本文件按照GB/T 1.1—2020《标准化工作导则  第1部分：标准化文件的结构和起草规则》的规定起草。</w:t>
      </w:r>
    </w:p>
    <w:p w14:paraId="17397122">
      <w:pPr>
        <w:pStyle w:val="230"/>
        <w:rPr>
          <w:rFonts w:hint="eastAsia"/>
        </w:rPr>
      </w:pPr>
      <w:bookmarkStart w:id="24" w:name="_Hlk112682795"/>
      <w:r>
        <w:rPr>
          <w:rFonts w:hint="eastAsia"/>
        </w:rPr>
        <w:t>请注意本文件的某些内容可能涉及专利。本文件的发布机构不承担识别专利的责任。</w:t>
      </w:r>
    </w:p>
    <w:p w14:paraId="220747E8">
      <w:pPr>
        <w:pStyle w:val="230"/>
        <w:rPr>
          <w:rFonts w:hint="eastAsia" w:eastAsia="宋体"/>
          <w:lang w:eastAsia="zh-CN"/>
        </w:rPr>
      </w:pPr>
      <w:r>
        <w:rPr>
          <w:rFonts w:hint="eastAsia"/>
        </w:rPr>
        <w:t>本文件由方圆标志认证集团有限公司提出</w:t>
      </w:r>
      <w:r>
        <w:rPr>
          <w:rFonts w:hint="eastAsia"/>
          <w:lang w:eastAsia="zh-CN"/>
        </w:rPr>
        <w:t>。</w:t>
      </w:r>
    </w:p>
    <w:p w14:paraId="46159AC5">
      <w:pPr>
        <w:pStyle w:val="230"/>
        <w:rPr>
          <w:rFonts w:hint="eastAsia"/>
        </w:rPr>
      </w:pPr>
      <w:r>
        <w:rPr>
          <w:rFonts w:hint="eastAsia"/>
        </w:rPr>
        <w:t>本文件由海南省质量协会归口。</w:t>
      </w:r>
    </w:p>
    <w:p w14:paraId="43F2B900">
      <w:pPr>
        <w:pStyle w:val="230"/>
        <w:rPr>
          <w:rFonts w:hint="eastAsia" w:eastAsia="宋体"/>
          <w:lang w:eastAsia="zh-CN"/>
        </w:rPr>
      </w:pPr>
      <w:r>
        <w:rPr>
          <w:rFonts w:hint="eastAsia"/>
        </w:rPr>
        <w:t>本文件起草单位：方圆标志认证集团有限公司</w:t>
      </w:r>
      <w:r>
        <w:rPr>
          <w:rFonts w:hint="eastAsia"/>
          <w:lang w:eastAsia="zh-CN"/>
        </w:rPr>
        <w:t>。</w:t>
      </w:r>
    </w:p>
    <w:p w14:paraId="05FF3DD3">
      <w:pPr>
        <w:pStyle w:val="230"/>
        <w:rPr>
          <w:rFonts w:hint="default" w:eastAsia="宋体"/>
          <w:lang w:val="en-US" w:eastAsia="zh-CN"/>
        </w:rPr>
      </w:pPr>
      <w:r>
        <w:rPr>
          <w:rFonts w:hint="eastAsia"/>
        </w:rPr>
        <w:t>本文件主要起草人：</w:t>
      </w:r>
      <w:r>
        <w:rPr>
          <w:rFonts w:hint="eastAsia"/>
          <w:lang w:val="en-US" w:eastAsia="zh-CN"/>
        </w:rPr>
        <w:t xml:space="preserve"> </w:t>
      </w:r>
    </w:p>
    <w:p w14:paraId="2BF37356">
      <w:pPr>
        <w:pStyle w:val="56"/>
        <w:ind w:firstLine="420"/>
      </w:pPr>
      <w:r>
        <w:rPr>
          <w:rFonts w:hint="eastAsia"/>
        </w:rPr>
        <w:t>本文件首次制定。</w:t>
      </w:r>
      <w:bookmarkEnd w:id="24"/>
    </w:p>
    <w:p w14:paraId="359C801C">
      <w:pPr>
        <w:pStyle w:val="56"/>
        <w:ind w:firstLine="420"/>
        <w:sectPr>
          <w:pgSz w:w="11906" w:h="16838"/>
          <w:pgMar w:top="2410" w:right="1134" w:bottom="1134" w:left="1134" w:header="1418" w:footer="1134" w:gutter="284"/>
          <w:pgNumType w:fmt="upperRoman"/>
          <w:cols w:space="425" w:num="1"/>
          <w:formProt w:val="0"/>
          <w:docGrid w:linePitch="312" w:charSpace="0"/>
        </w:sectPr>
      </w:pPr>
    </w:p>
    <w:bookmarkEnd w:id="23"/>
    <w:p w14:paraId="4FEB9228">
      <w:pPr>
        <w:pStyle w:val="89"/>
        <w:spacing w:after="360"/>
      </w:pPr>
      <w:bookmarkStart w:id="25" w:name="_Toc28636"/>
      <w:bookmarkStart w:id="26" w:name="BookMark3"/>
      <w:r>
        <w:rPr>
          <w:spacing w:val="320"/>
        </w:rPr>
        <w:t>引</w:t>
      </w:r>
      <w:r>
        <w:t>言</w:t>
      </w:r>
      <w:bookmarkEnd w:id="25"/>
    </w:p>
    <w:p w14:paraId="56B62702">
      <w:pPr>
        <w:pStyle w:val="230"/>
        <w:rPr>
          <w:rFonts w:hint="eastAsia"/>
        </w:rPr>
      </w:pPr>
      <w:r>
        <w:rPr>
          <w:rFonts w:hint="eastAsia"/>
        </w:rPr>
        <w:t>随着海南自由贸易港建设的深入推进，海南消费市场蓬勃发展，各类特色消费产品不断涌现。</w:t>
      </w:r>
      <w:r>
        <w:rPr>
          <w:rFonts w:hint="eastAsia"/>
          <w:lang w:val="en-US" w:eastAsia="zh-CN"/>
        </w:rPr>
        <w:t>海南消费领域</w:t>
      </w:r>
      <w:r>
        <w:rPr>
          <w:rFonts w:hint="eastAsia"/>
        </w:rPr>
        <w:t>区域公共品牌作为海南消费领域的重要资产，对于提升海南产品的市场竞争力、促进产业发展和推动经济增长具有重要意义。</w:t>
      </w:r>
    </w:p>
    <w:p w14:paraId="3D7FF180">
      <w:pPr>
        <w:pStyle w:val="230"/>
        <w:rPr>
          <w:rFonts w:hint="eastAsia"/>
        </w:rPr>
      </w:pPr>
      <w:r>
        <w:rPr>
          <w:rFonts w:hint="eastAsia"/>
        </w:rPr>
        <w:t>然而，当前海南消费领域区域公共品牌在发展过程中面临着一些挑战。部分品牌存在质量参差不齐、市场信任度不高的问题，消费者难以辨别产品的真伪和质量优劣，这在一定程度上影响了海南区域公共品牌的整体形象和市场价值。建立一套科学、规范、有效的溯源体系，成为保障海南消费领域区域公共品牌健康发展的迫切需求。</w:t>
      </w:r>
    </w:p>
    <w:p w14:paraId="5E87D122">
      <w:pPr>
        <w:pStyle w:val="230"/>
        <w:rPr>
          <w:rFonts w:hint="eastAsia"/>
        </w:rPr>
      </w:pPr>
      <w:r>
        <w:rPr>
          <w:rFonts w:hint="eastAsia"/>
        </w:rPr>
        <w:t>溯源平台作为实现产品全生命周期信息追溯的重要工具，能够为消费者提供产品从生产、加工、流通到销售等各个环节的详细信息，增强消费者对产品质量和安全的信心。同时，溯源平台也有助于品牌管理者加强品牌监管，提升品牌管理效率，实现品牌的精细化运营。</w:t>
      </w:r>
    </w:p>
    <w:p w14:paraId="0414004A">
      <w:pPr>
        <w:pStyle w:val="230"/>
      </w:pPr>
      <w:r>
        <w:rPr>
          <w:rFonts w:hint="eastAsia"/>
        </w:rPr>
        <w:t>为了规范海南消费领域区域公共品牌溯源平台的建设，确保平台的科学性、规范性和实用性，提高溯源信息的准确性和可靠性，特制定本团体标准。本标准参考了国内外相关领域的先进经验和技术规范，结合海南消费领域的实际情况和特点，对溯源平台的建设目标、功能要求、技术架构、数据管理、安全保障等方面进行了详细规定。</w:t>
      </w:r>
    </w:p>
    <w:p w14:paraId="0E5BCE68">
      <w:pPr>
        <w:pStyle w:val="230"/>
        <w:sectPr>
          <w:pgSz w:w="11906" w:h="16838"/>
          <w:pgMar w:top="2410" w:right="1134" w:bottom="1134" w:left="1134" w:header="1418" w:footer="1134" w:gutter="284"/>
          <w:pgNumType w:fmt="upperRoman"/>
          <w:cols w:space="425" w:num="1"/>
          <w:formProt w:val="0"/>
          <w:docGrid w:linePitch="312" w:charSpace="0"/>
        </w:sectPr>
      </w:pPr>
    </w:p>
    <w:bookmarkEnd w:id="26"/>
    <w:p w14:paraId="730A361B">
      <w:pPr>
        <w:spacing w:line="20" w:lineRule="exact"/>
        <w:jc w:val="center"/>
        <w:rPr>
          <w:rFonts w:hint="eastAsia" w:ascii="黑体" w:hAnsi="黑体" w:eastAsia="黑体"/>
          <w:sz w:val="32"/>
          <w:szCs w:val="32"/>
        </w:rPr>
      </w:pPr>
      <w:bookmarkStart w:id="27" w:name="BookMark4"/>
    </w:p>
    <w:p w14:paraId="69CAB134">
      <w:pPr>
        <w:spacing w:line="20" w:lineRule="exact"/>
        <w:jc w:val="center"/>
        <w:rPr>
          <w:rFonts w:hint="eastAsia" w:ascii="黑体" w:hAnsi="黑体" w:eastAsia="黑体"/>
          <w:sz w:val="32"/>
          <w:szCs w:val="32"/>
        </w:rPr>
      </w:pPr>
    </w:p>
    <w:p w14:paraId="1FFCFA6C">
      <w:pPr>
        <w:pStyle w:val="177"/>
        <w:spacing w:before="2" w:beforeLines="1" w:after="528" w:afterLines="220"/>
        <w:rPr>
          <w:rFonts w:hint="eastAsia"/>
        </w:rPr>
      </w:pPr>
      <w:bookmarkStart w:id="28" w:name="NEW_STAND_NAME"/>
      <w:r>
        <w:rPr>
          <w:rFonts w:hint="eastAsia"/>
        </w:rPr>
        <w:t>海南消费领域区域公共品牌溯源平台建设技术规范</w:t>
      </w:r>
    </w:p>
    <w:bookmarkEnd w:id="28"/>
    <w:p w14:paraId="471FD59B">
      <w:pPr>
        <w:pStyle w:val="104"/>
        <w:spacing w:before="240" w:after="240"/>
        <w:ind w:left="-2" w:leftChars="-1"/>
      </w:pPr>
      <w:bookmarkStart w:id="29" w:name="_Toc24884211"/>
      <w:bookmarkStart w:id="30" w:name="_Toc26648465"/>
      <w:bookmarkStart w:id="31" w:name="_Toc26986530"/>
      <w:bookmarkStart w:id="32" w:name="_Toc26986771"/>
      <w:bookmarkStart w:id="33" w:name="_Toc24884218"/>
      <w:bookmarkStart w:id="34" w:name="_Toc17233325"/>
      <w:bookmarkStart w:id="35" w:name="_Toc17233333"/>
      <w:bookmarkStart w:id="36" w:name="_Toc26718930"/>
      <w:bookmarkStart w:id="37" w:name="_Toc20205"/>
      <w:r>
        <w:rPr>
          <w:rFonts w:hint="eastAsia"/>
        </w:rPr>
        <w:t>范围</w:t>
      </w:r>
      <w:bookmarkEnd w:id="29"/>
      <w:bookmarkEnd w:id="30"/>
      <w:bookmarkEnd w:id="31"/>
      <w:bookmarkEnd w:id="32"/>
      <w:bookmarkEnd w:id="33"/>
      <w:bookmarkEnd w:id="34"/>
      <w:bookmarkEnd w:id="35"/>
      <w:bookmarkEnd w:id="36"/>
      <w:bookmarkEnd w:id="37"/>
    </w:p>
    <w:p w14:paraId="7B6707B6">
      <w:pPr>
        <w:pStyle w:val="56"/>
        <w:ind w:firstLine="420"/>
        <w:rPr>
          <w:rFonts w:hint="eastAsia"/>
          <w:color w:val="auto"/>
        </w:rPr>
      </w:pPr>
      <w:bookmarkStart w:id="38" w:name="_Toc24884219"/>
      <w:bookmarkStart w:id="39" w:name="_Toc17233334"/>
      <w:bookmarkStart w:id="40" w:name="_Toc17233326"/>
      <w:bookmarkStart w:id="41" w:name="_Toc24884212"/>
      <w:bookmarkStart w:id="42" w:name="_Toc26648466"/>
      <w:r>
        <w:rPr>
          <w:rFonts w:hint="eastAsia"/>
          <w:color w:val="auto"/>
        </w:rPr>
        <w:t>本技术规范规定了海南消费领域区域公共品牌溯源平台建设的总体要求、技术要求、功能要求、数据要求、接口规范、安全要求、运营管理等</w:t>
      </w:r>
      <w:r>
        <w:rPr>
          <w:rFonts w:hint="eastAsia"/>
          <w:color w:val="auto"/>
          <w:lang w:val="en-US" w:eastAsia="zh-CN"/>
        </w:rPr>
        <w:t>要求</w:t>
      </w:r>
      <w:r>
        <w:rPr>
          <w:rFonts w:hint="eastAsia"/>
          <w:color w:val="auto"/>
        </w:rPr>
        <w:t>。</w:t>
      </w:r>
    </w:p>
    <w:p w14:paraId="12AD63C7">
      <w:pPr>
        <w:pStyle w:val="56"/>
        <w:ind w:firstLine="420"/>
      </w:pPr>
      <w:r>
        <w:rPr>
          <w:rFonts w:hint="eastAsia"/>
          <w:color w:val="auto"/>
        </w:rPr>
        <w:t>本技术规范适用于海南消费领域区域公共品牌溯源平台的规划、设计、开发、部署、运行和维护。</w:t>
      </w:r>
    </w:p>
    <w:p w14:paraId="20D97C2C">
      <w:pPr>
        <w:pStyle w:val="104"/>
        <w:spacing w:before="240" w:after="240"/>
        <w:ind w:left="0"/>
      </w:pPr>
      <w:bookmarkStart w:id="43" w:name="_Toc11451"/>
      <w:bookmarkStart w:id="44" w:name="_Toc26986531"/>
      <w:bookmarkStart w:id="45" w:name="_Toc26718931"/>
      <w:bookmarkStart w:id="46" w:name="_Toc26986772"/>
      <w:r>
        <w:rPr>
          <w:rFonts w:hint="eastAsia"/>
        </w:rPr>
        <w:t>规范性引用文件</w:t>
      </w:r>
      <w:bookmarkEnd w:id="38"/>
      <w:bookmarkEnd w:id="39"/>
      <w:bookmarkEnd w:id="40"/>
      <w:bookmarkEnd w:id="41"/>
      <w:bookmarkEnd w:id="42"/>
      <w:bookmarkEnd w:id="43"/>
      <w:bookmarkEnd w:id="44"/>
      <w:bookmarkEnd w:id="45"/>
      <w:bookmarkEnd w:id="46"/>
    </w:p>
    <w:p w14:paraId="4272EC7F">
      <w:pPr>
        <w:pStyle w:val="56"/>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C64765B">
      <w:pPr>
        <w:pStyle w:val="56"/>
        <w:ind w:firstLine="630" w:firstLineChars="300"/>
        <w:rPr>
          <w:rFonts w:hint="eastAsia"/>
        </w:rPr>
      </w:pPr>
      <w:r>
        <w:rPr>
          <w:rFonts w:hint="eastAsia"/>
        </w:rPr>
        <w:t>GB 50174  数据中心设计规范</w:t>
      </w:r>
    </w:p>
    <w:p w14:paraId="32ED2FD9">
      <w:pPr>
        <w:pStyle w:val="56"/>
        <w:ind w:firstLine="420"/>
        <w:rPr>
          <w:rFonts w:hint="eastAsia"/>
        </w:rPr>
      </w:pPr>
      <w:r>
        <w:rPr>
          <w:rFonts w:hint="eastAsia"/>
        </w:rPr>
        <w:t>GB/T 22239  信息系统安全等级保护基本要求</w:t>
      </w:r>
    </w:p>
    <w:p w14:paraId="604D2C78">
      <w:pPr>
        <w:pStyle w:val="56"/>
        <w:ind w:firstLine="630" w:firstLineChars="300"/>
        <w:rPr>
          <w:rFonts w:hint="eastAsia"/>
        </w:rPr>
      </w:pPr>
      <w:r>
        <w:rPr>
          <w:rFonts w:hint="eastAsia"/>
        </w:rPr>
        <w:t>GB/T 22240    信息安全技术信息系统安全等级保护定级指南</w:t>
      </w:r>
    </w:p>
    <w:p w14:paraId="7A574E98">
      <w:pPr>
        <w:pStyle w:val="56"/>
        <w:ind w:firstLine="630" w:firstLineChars="300"/>
        <w:rPr>
          <w:rFonts w:hint="eastAsia"/>
        </w:rPr>
      </w:pPr>
      <w:r>
        <w:rPr>
          <w:rFonts w:hint="eastAsia"/>
        </w:rPr>
        <w:t>GB/T 25069  信息安全技术术语</w:t>
      </w:r>
    </w:p>
    <w:p w14:paraId="4A33CD84">
      <w:pPr>
        <w:pStyle w:val="56"/>
        <w:ind w:firstLine="420"/>
        <w:rPr>
          <w:rFonts w:hint="eastAsia"/>
        </w:rPr>
      </w:pPr>
      <w:r>
        <w:rPr>
          <w:rFonts w:hint="eastAsia"/>
        </w:rPr>
        <w:t>GB/T 35273  信息安全技术个人信息安全规范</w:t>
      </w:r>
    </w:p>
    <w:p w14:paraId="6917092D">
      <w:pPr>
        <w:pStyle w:val="56"/>
        <w:ind w:firstLine="420"/>
        <w:rPr>
          <w:rFonts w:hint="eastAsia"/>
        </w:rPr>
      </w:pPr>
      <w:r>
        <w:rPr>
          <w:rFonts w:hint="eastAsia"/>
        </w:rPr>
        <w:t>GB/T 35276  信息安全技术SM2密码算法使用规范</w:t>
      </w:r>
    </w:p>
    <w:p w14:paraId="7C494A93">
      <w:pPr>
        <w:pStyle w:val="56"/>
        <w:ind w:firstLine="420"/>
        <w:rPr>
          <w:rFonts w:hint="eastAsia"/>
        </w:rPr>
      </w:pPr>
      <w:r>
        <w:rPr>
          <w:rFonts w:hint="eastAsia"/>
        </w:rPr>
        <w:t>GB/T 32905  信息安全技术SM3密码杂凑算法</w:t>
      </w:r>
    </w:p>
    <w:p w14:paraId="646EE485">
      <w:pPr>
        <w:pStyle w:val="56"/>
        <w:ind w:firstLine="420"/>
        <w:rPr>
          <w:rFonts w:hint="eastAsia"/>
        </w:rPr>
      </w:pPr>
      <w:r>
        <w:rPr>
          <w:rFonts w:hint="eastAsia"/>
        </w:rPr>
        <w:t>GB/T 32907  信息安全技术SM4分组密码算法</w:t>
      </w:r>
    </w:p>
    <w:p w14:paraId="6F02FE0E">
      <w:pPr>
        <w:pStyle w:val="56"/>
        <w:ind w:firstLine="420"/>
        <w:rPr>
          <w:rFonts w:hint="eastAsia"/>
        </w:rPr>
      </w:pPr>
      <w:r>
        <w:rPr>
          <w:rFonts w:hint="eastAsia"/>
        </w:rPr>
        <w:t>GB/T 222399  信息安全技术网络安全等级保护基本要求</w:t>
      </w:r>
    </w:p>
    <w:p w14:paraId="0E090C23">
      <w:pPr>
        <w:pStyle w:val="104"/>
        <w:spacing w:before="240" w:after="240"/>
        <w:ind w:left="0"/>
      </w:pPr>
      <w:bookmarkStart w:id="47" w:name="_Toc13444"/>
      <w:r>
        <w:rPr>
          <w:rFonts w:hint="eastAsia"/>
        </w:rPr>
        <w:t>术语和定义</w:t>
      </w:r>
      <w:bookmarkEnd w:id="47"/>
    </w:p>
    <w:p w14:paraId="699F8F06">
      <w:pPr>
        <w:pStyle w:val="56"/>
        <w:ind w:firstLine="420"/>
        <w:rPr>
          <w:rFonts w:hint="eastAsia"/>
        </w:rPr>
      </w:pPr>
      <w:r>
        <w:rPr>
          <w:rFonts w:hint="eastAsia"/>
        </w:rPr>
        <w:t>下列术语和定义适用于本文件。</w:t>
      </w:r>
    </w:p>
    <w:p w14:paraId="010659B4">
      <w:pPr>
        <w:pStyle w:val="162"/>
        <w:ind w:left="0"/>
        <w:rPr>
          <w:rFonts w:hint="eastAsia" w:ascii="宋体" w:eastAsia="宋体"/>
        </w:rPr>
      </w:pPr>
      <w:r>
        <w:rPr>
          <w:rFonts w:hint="eastAsia" w:ascii="宋体" w:eastAsia="宋体"/>
        </w:rPr>
        <w:t>海南消费领域区域公共品牌</w:t>
      </w:r>
    </w:p>
    <w:p w14:paraId="3E3353F3">
      <w:pPr>
        <w:pStyle w:val="56"/>
        <w:ind w:firstLine="420"/>
        <w:rPr>
          <w:rFonts w:hint="eastAsia"/>
        </w:rPr>
      </w:pPr>
      <w:r>
        <w:rPr>
          <w:rFonts w:hint="eastAsia"/>
        </w:rPr>
        <w:t>指在海南特定区域内，由相关组织或机构授权使用，具有一定市场影响力和美誉度，代表海南特色消费产品或服务的公共品牌。</w:t>
      </w:r>
    </w:p>
    <w:p w14:paraId="77386A27">
      <w:pPr>
        <w:pStyle w:val="162"/>
        <w:ind w:left="0"/>
        <w:rPr>
          <w:rFonts w:hint="eastAsia" w:ascii="宋体" w:eastAsia="宋体"/>
        </w:rPr>
      </w:pPr>
      <w:r>
        <w:rPr>
          <w:rFonts w:hint="eastAsia" w:ascii="宋体" w:eastAsia="宋体"/>
        </w:rPr>
        <w:t>溯源平台</w:t>
      </w:r>
    </w:p>
    <w:p w14:paraId="567298A8">
      <w:pPr>
        <w:pStyle w:val="56"/>
        <w:ind w:firstLine="420"/>
        <w:rPr>
          <w:rFonts w:hint="eastAsia"/>
        </w:rPr>
      </w:pPr>
      <w:r>
        <w:rPr>
          <w:rFonts w:hint="eastAsia"/>
        </w:rPr>
        <w:t>通过信息化手段，对产品或服务的生产、加工、流通、销售等全生命周期信息进行采集、存储、管理和查询，实现信息可追溯的平台。</w:t>
      </w:r>
    </w:p>
    <w:p w14:paraId="4E622A1A">
      <w:pPr>
        <w:pStyle w:val="162"/>
        <w:ind w:left="0"/>
        <w:rPr>
          <w:rFonts w:hint="eastAsia" w:ascii="宋体" w:eastAsia="宋体"/>
        </w:rPr>
      </w:pPr>
      <w:r>
        <w:rPr>
          <w:rFonts w:hint="eastAsia" w:ascii="宋体" w:eastAsia="宋体"/>
        </w:rPr>
        <w:t>溯源码</w:t>
      </w:r>
    </w:p>
    <w:p w14:paraId="0C234640">
      <w:pPr>
        <w:pStyle w:val="56"/>
        <w:ind w:firstLine="420"/>
      </w:pPr>
      <w:r>
        <w:rPr>
          <w:rFonts w:hint="eastAsia"/>
        </w:rPr>
        <w:t>用于唯一标识产品或服务，并关联其溯源信息的代码，可通过扫码设备进行识别和查询。</w:t>
      </w:r>
    </w:p>
    <w:p w14:paraId="404ACD2E">
      <w:pPr>
        <w:pStyle w:val="104"/>
        <w:spacing w:before="240" w:after="240"/>
        <w:ind w:left="0"/>
      </w:pPr>
      <w:bookmarkStart w:id="48" w:name="_Toc17150"/>
      <w:r>
        <w:rPr>
          <w:rFonts w:hint="eastAsia"/>
          <w:lang w:val="en-US" w:eastAsia="zh-CN"/>
        </w:rPr>
        <w:t>总体要求</w:t>
      </w:r>
      <w:bookmarkEnd w:id="48"/>
    </w:p>
    <w:p w14:paraId="7F251B70">
      <w:pPr>
        <w:pStyle w:val="162"/>
        <w:ind w:left="0"/>
        <w:rPr>
          <w:rFonts w:hint="eastAsia" w:ascii="宋体" w:eastAsia="宋体"/>
        </w:rPr>
      </w:pPr>
      <w:r>
        <w:rPr>
          <w:rFonts w:hint="eastAsia" w:ascii="宋体" w:eastAsia="宋体"/>
        </w:rPr>
        <w:t>应具备安全的信息化基础设施及环境，能够支撑海南消费领域区域公共品牌溯源平台运行。</w:t>
      </w:r>
    </w:p>
    <w:p w14:paraId="1919D39A">
      <w:pPr>
        <w:pStyle w:val="162"/>
        <w:ind w:left="0"/>
        <w:rPr>
          <w:rFonts w:hint="eastAsia" w:ascii="宋体" w:eastAsia="宋体"/>
        </w:rPr>
      </w:pPr>
      <w:r>
        <w:rPr>
          <w:rFonts w:hint="eastAsia" w:ascii="宋体" w:eastAsia="宋体"/>
        </w:rPr>
        <w:t>应具有完整的访问控制及安全机制，具备灵活的访问权限配置机制及多层次的安全控制机制。</w:t>
      </w:r>
    </w:p>
    <w:p w14:paraId="0B316318">
      <w:pPr>
        <w:pStyle w:val="162"/>
        <w:ind w:left="0"/>
        <w:rPr>
          <w:rFonts w:hint="eastAsia" w:ascii="宋体" w:eastAsia="宋体"/>
        </w:rPr>
      </w:pPr>
      <w:r>
        <w:rPr>
          <w:rFonts w:hint="eastAsia" w:ascii="宋体" w:eastAsia="宋体"/>
        </w:rPr>
        <w:t>应采用主流成熟技术，平台应按标准设计，可提供与第三方平台无缝链接的能力。</w:t>
      </w:r>
    </w:p>
    <w:p w14:paraId="4B87F1EE">
      <w:pPr>
        <w:pStyle w:val="162"/>
        <w:ind w:left="0"/>
        <w:rPr>
          <w:rFonts w:hint="eastAsia" w:ascii="宋体" w:eastAsia="宋体"/>
        </w:rPr>
      </w:pPr>
      <w:r>
        <w:rPr>
          <w:rFonts w:hint="eastAsia" w:ascii="宋体" w:eastAsia="宋体"/>
        </w:rPr>
        <w:t>应具备良好的响应速度、易用性、容错纠错能力、可维护性、可扩展性、稳定性和兼容性。</w:t>
      </w:r>
    </w:p>
    <w:p w14:paraId="10AE45F0">
      <w:pPr>
        <w:pStyle w:val="162"/>
        <w:ind w:left="0"/>
        <w:rPr>
          <w:rFonts w:hint="eastAsia" w:ascii="宋体" w:eastAsia="宋体"/>
        </w:rPr>
      </w:pPr>
      <w:r>
        <w:rPr>
          <w:rFonts w:hint="eastAsia" w:ascii="宋体" w:eastAsia="宋体"/>
        </w:rPr>
        <w:t>平台规划应满足系统未来发展，能持续运营的要求。</w:t>
      </w:r>
    </w:p>
    <w:p w14:paraId="08BDD511">
      <w:pPr>
        <w:pStyle w:val="104"/>
        <w:spacing w:before="240" w:after="240"/>
        <w:ind w:left="0"/>
      </w:pPr>
      <w:bookmarkStart w:id="49" w:name="_Toc18882"/>
      <w:r>
        <w:rPr>
          <w:rFonts w:hint="eastAsia"/>
          <w:lang w:val="en-US" w:eastAsia="zh-CN"/>
        </w:rPr>
        <w:t>总体架构</w:t>
      </w:r>
      <w:bookmarkEnd w:id="49"/>
    </w:p>
    <w:p w14:paraId="75A3AE96">
      <w:pPr>
        <w:pStyle w:val="162"/>
        <w:ind w:left="0"/>
      </w:pPr>
      <w:r>
        <w:rPr>
          <w:rFonts w:hint="eastAsia"/>
          <w:lang w:val="en-US" w:eastAsia="zh-CN"/>
        </w:rPr>
        <w:t>基本条件</w:t>
      </w:r>
    </w:p>
    <w:p w14:paraId="28F5F145">
      <w:pPr>
        <w:pStyle w:val="56"/>
        <w:ind w:left="0" w:leftChars="0" w:firstLine="0" w:firstLineChars="0"/>
        <w:rPr>
          <w:rFonts w:hint="eastAsia" w:ascii="宋体" w:eastAsia="宋体"/>
        </w:rPr>
      </w:pPr>
      <w:r>
        <w:rPr>
          <w:rFonts w:hint="eastAsia"/>
          <w:lang w:val="en-US" w:eastAsia="zh-CN"/>
        </w:rPr>
        <w:t>5.1.1</w:t>
      </w:r>
      <w:r>
        <w:rPr>
          <w:rFonts w:hint="eastAsia" w:ascii="宋体" w:eastAsia="宋体"/>
        </w:rPr>
        <w:t>平台系统架构应保证实现所有数据的有效、统一管理。</w:t>
      </w:r>
    </w:p>
    <w:p w14:paraId="6F297F37">
      <w:pPr>
        <w:pStyle w:val="56"/>
        <w:ind w:left="0" w:leftChars="0" w:firstLine="0" w:firstLineChars="0"/>
        <w:rPr>
          <w:rFonts w:hint="eastAsia" w:ascii="宋体" w:eastAsia="宋体"/>
        </w:rPr>
      </w:pPr>
      <w:r>
        <w:rPr>
          <w:rFonts w:hint="eastAsia"/>
          <w:lang w:val="en-US" w:eastAsia="zh-CN"/>
        </w:rPr>
        <w:t>5.1.2</w:t>
      </w:r>
      <w:r>
        <w:rPr>
          <w:rFonts w:hint="eastAsia" w:ascii="宋体" w:eastAsia="宋体"/>
        </w:rPr>
        <w:t>溯源平台应采用分层架构设计，包括数据采集层、数据传输层、数据存储层、业务逻辑层和应用展示层。各层之间应保持松耦合，便于系统的扩展和维护。</w:t>
      </w:r>
    </w:p>
    <w:p w14:paraId="236DA04A">
      <w:pPr>
        <w:pStyle w:val="162"/>
        <w:ind w:left="0"/>
      </w:pPr>
      <w:r>
        <w:rPr>
          <w:rFonts w:hint="eastAsia"/>
          <w:lang w:val="en-US" w:eastAsia="zh-CN"/>
        </w:rPr>
        <w:t>数据采集层</w:t>
      </w:r>
    </w:p>
    <w:p w14:paraId="6E1FDB5B">
      <w:pPr>
        <w:pStyle w:val="56"/>
        <w:ind w:firstLine="420"/>
        <w:rPr>
          <w:rFonts w:hint="default" w:ascii="宋体" w:eastAsia="宋体"/>
          <w:lang w:val="en-US" w:eastAsia="zh-CN"/>
        </w:rPr>
      </w:pPr>
      <w:r>
        <w:rPr>
          <w:rFonts w:hint="default" w:ascii="宋体" w:eastAsia="宋体"/>
          <w:lang w:val="en-US" w:eastAsia="zh-CN"/>
        </w:rPr>
        <w:t>负责从各类数据源（如生产企业、物流企业、销售企业等）采集产品或服务的相关信息，包括生产信息、质量检测信息、物流信息、销售信息等。</w:t>
      </w:r>
    </w:p>
    <w:p w14:paraId="4CCD4290">
      <w:pPr>
        <w:pStyle w:val="162"/>
        <w:ind w:left="0"/>
        <w:rPr>
          <w:rFonts w:hint="eastAsia" w:ascii="宋体" w:eastAsia="宋体"/>
          <w:lang w:val="en-US" w:eastAsia="zh-CN"/>
        </w:rPr>
      </w:pPr>
      <w:r>
        <w:rPr>
          <w:rFonts w:hint="eastAsia" w:ascii="宋体" w:eastAsia="宋体"/>
          <w:lang w:val="en-US" w:eastAsia="zh-CN"/>
        </w:rPr>
        <w:t>数据传输层</w:t>
      </w:r>
    </w:p>
    <w:p w14:paraId="2CEB67A6">
      <w:pPr>
        <w:pStyle w:val="56"/>
        <w:ind w:firstLine="420"/>
        <w:rPr>
          <w:rFonts w:hint="eastAsia" w:ascii="宋体" w:eastAsia="宋体"/>
          <w:lang w:val="en-US" w:eastAsia="zh-CN"/>
        </w:rPr>
      </w:pPr>
      <w:r>
        <w:rPr>
          <w:rFonts w:hint="eastAsia" w:ascii="宋体" w:eastAsia="宋体"/>
          <w:lang w:val="en-US" w:eastAsia="zh-CN"/>
        </w:rPr>
        <w:t>采用安全可靠的通信协议，将采集到的数据传输到数据存储层。可根据实际情况选择有线或无线传输方式。</w:t>
      </w:r>
    </w:p>
    <w:p w14:paraId="306B8491">
      <w:pPr>
        <w:pStyle w:val="162"/>
        <w:ind w:left="0"/>
        <w:rPr>
          <w:rFonts w:hint="eastAsia" w:ascii="宋体" w:eastAsia="宋体"/>
          <w:lang w:val="en-US" w:eastAsia="zh-CN"/>
        </w:rPr>
      </w:pPr>
      <w:r>
        <w:rPr>
          <w:rFonts w:hint="eastAsia" w:ascii="宋体" w:eastAsia="宋体"/>
          <w:lang w:val="en-US" w:eastAsia="zh-CN"/>
        </w:rPr>
        <w:t>数据存储层</w:t>
      </w:r>
    </w:p>
    <w:p w14:paraId="2D37946C">
      <w:pPr>
        <w:pStyle w:val="56"/>
        <w:ind w:firstLine="420"/>
        <w:rPr>
          <w:rFonts w:hint="eastAsia" w:ascii="宋体" w:eastAsia="宋体"/>
          <w:lang w:val="en-US" w:eastAsia="zh-CN"/>
        </w:rPr>
      </w:pPr>
      <w:r>
        <w:rPr>
          <w:rFonts w:hint="eastAsia" w:ascii="宋体" w:eastAsia="宋体"/>
          <w:lang w:val="en-US" w:eastAsia="zh-CN"/>
        </w:rPr>
        <w:t>采用分布式数据库或云存储技术，对采集到的数据进行存储和管理。确保数据的安全性、完整性和可扩展性。</w:t>
      </w:r>
    </w:p>
    <w:p w14:paraId="06CFB03C">
      <w:pPr>
        <w:pStyle w:val="162"/>
        <w:ind w:left="0"/>
        <w:rPr>
          <w:rFonts w:hint="eastAsia" w:ascii="宋体" w:eastAsia="宋体"/>
          <w:lang w:val="en-US" w:eastAsia="zh-CN"/>
        </w:rPr>
      </w:pPr>
      <w:r>
        <w:rPr>
          <w:rFonts w:hint="eastAsia" w:ascii="宋体" w:eastAsia="宋体"/>
          <w:lang w:val="en-US" w:eastAsia="zh-CN"/>
        </w:rPr>
        <w:t>业务逻辑层</w:t>
      </w:r>
    </w:p>
    <w:p w14:paraId="1C82D8A6">
      <w:pPr>
        <w:pStyle w:val="56"/>
        <w:ind w:firstLine="420"/>
        <w:rPr>
          <w:rFonts w:hint="eastAsia" w:ascii="宋体" w:eastAsia="宋体"/>
          <w:lang w:val="en-US" w:eastAsia="zh-CN"/>
        </w:rPr>
      </w:pPr>
      <w:r>
        <w:rPr>
          <w:rFonts w:hint="eastAsia" w:ascii="宋体" w:eastAsia="宋体"/>
          <w:lang w:val="en-US" w:eastAsia="zh-CN"/>
        </w:rPr>
        <w:t>实现溯源平台的核心业务逻辑，如数据处理、数据分析、溯源查询、统计报表等。</w:t>
      </w:r>
    </w:p>
    <w:p w14:paraId="769E8587">
      <w:pPr>
        <w:pStyle w:val="162"/>
        <w:ind w:left="0"/>
        <w:rPr>
          <w:rFonts w:hint="eastAsia" w:ascii="宋体" w:eastAsia="宋体"/>
          <w:lang w:val="en-US" w:eastAsia="zh-CN"/>
        </w:rPr>
      </w:pPr>
      <w:r>
        <w:rPr>
          <w:rFonts w:hint="eastAsia" w:ascii="宋体" w:eastAsia="宋体"/>
          <w:lang w:val="en-US" w:eastAsia="zh-CN"/>
        </w:rPr>
        <w:t>应用展示层</w:t>
      </w:r>
    </w:p>
    <w:p w14:paraId="2DB55F7A">
      <w:pPr>
        <w:pStyle w:val="56"/>
        <w:ind w:firstLine="420"/>
      </w:pPr>
      <w:r>
        <w:rPr>
          <w:rFonts w:hint="eastAsia" w:ascii="宋体" w:eastAsia="宋体"/>
          <w:lang w:val="en-US" w:eastAsia="zh-CN"/>
        </w:rPr>
        <w:t>为用户提供友好的交互界面，包括网站、手机APP、微信公众号等，方便用户进行溯源查询和信息展示。</w:t>
      </w:r>
    </w:p>
    <w:p w14:paraId="221C9580">
      <w:pPr>
        <w:pStyle w:val="104"/>
        <w:spacing w:before="240" w:after="240"/>
        <w:ind w:left="0"/>
      </w:pPr>
      <w:bookmarkStart w:id="50" w:name="_Toc29652"/>
      <w:r>
        <w:rPr>
          <w:rFonts w:hint="eastAsia"/>
          <w:lang w:val="en-US" w:eastAsia="zh-CN"/>
        </w:rPr>
        <w:t>功能要求</w:t>
      </w:r>
      <w:bookmarkEnd w:id="50"/>
    </w:p>
    <w:p w14:paraId="4037F23C">
      <w:pPr>
        <w:pStyle w:val="162"/>
        <w:ind w:left="0"/>
        <w:rPr>
          <w:rFonts w:hint="eastAsia"/>
        </w:rPr>
      </w:pPr>
      <w:r>
        <w:rPr>
          <w:rFonts w:hint="eastAsia"/>
        </w:rPr>
        <w:t>产品目录管理</w:t>
      </w:r>
    </w:p>
    <w:p w14:paraId="43F3F6FC">
      <w:pPr>
        <w:pStyle w:val="56"/>
        <w:ind w:firstLine="420"/>
        <w:rPr>
          <w:rFonts w:hint="eastAsia" w:ascii="宋体" w:eastAsia="宋体"/>
          <w:lang w:val="en-US" w:eastAsia="zh-CN"/>
        </w:rPr>
      </w:pPr>
      <w:r>
        <w:rPr>
          <w:rFonts w:hint="eastAsia" w:ascii="宋体" w:eastAsia="宋体"/>
          <w:lang w:val="en-US" w:eastAsia="zh-CN"/>
        </w:rPr>
        <w:t>根据需要，适时调整溯源总体分类目录。结合实际情况，确定纳入溯源体系的产品类别及下级分类目录，分类目录应符合总体分类规则。</w:t>
      </w:r>
    </w:p>
    <w:p w14:paraId="3A4B9C87">
      <w:pPr>
        <w:pStyle w:val="162"/>
        <w:ind w:left="0"/>
        <w:rPr>
          <w:rFonts w:hint="eastAsia"/>
        </w:rPr>
      </w:pPr>
      <w:r>
        <w:rPr>
          <w:rFonts w:hint="eastAsia"/>
        </w:rPr>
        <w:t>数据采集与管理</w:t>
      </w:r>
    </w:p>
    <w:p w14:paraId="5832B60D">
      <w:pPr>
        <w:pStyle w:val="56"/>
        <w:ind w:left="0" w:leftChars="0" w:firstLine="0" w:firstLineChars="0"/>
        <w:rPr>
          <w:rFonts w:hint="eastAsia" w:ascii="宋体" w:eastAsia="宋体"/>
          <w:lang w:val="en-US" w:eastAsia="zh-CN"/>
        </w:rPr>
      </w:pPr>
      <w:r>
        <w:rPr>
          <w:rFonts w:hint="eastAsia"/>
          <w:lang w:val="en-US" w:eastAsia="zh-CN"/>
        </w:rPr>
        <w:t>6.2.1</w:t>
      </w:r>
      <w:r>
        <w:rPr>
          <w:rFonts w:hint="eastAsia" w:ascii="宋体" w:eastAsia="宋体"/>
          <w:lang w:val="en-US" w:eastAsia="zh-CN"/>
        </w:rPr>
        <w:t>支持通过平台登记产品信息。功能包括但不限于追溯产品信息登记、修改、审核等功能。支持信息变更权限设置及同步变更控制。</w:t>
      </w:r>
    </w:p>
    <w:p w14:paraId="18272EF7">
      <w:pPr>
        <w:pStyle w:val="56"/>
        <w:ind w:left="0" w:leftChars="0" w:firstLine="0" w:firstLineChars="0"/>
        <w:rPr>
          <w:rFonts w:hint="eastAsia" w:ascii="宋体" w:eastAsia="宋体"/>
          <w:lang w:val="en-US" w:eastAsia="zh-CN"/>
        </w:rPr>
      </w:pPr>
      <w:r>
        <w:rPr>
          <w:rFonts w:hint="eastAsia"/>
          <w:lang w:val="en-US" w:eastAsia="zh-CN"/>
        </w:rPr>
        <w:t>6.2.2</w:t>
      </w:r>
      <w:r>
        <w:rPr>
          <w:rFonts w:hint="eastAsia" w:ascii="宋体" w:eastAsia="宋体"/>
          <w:lang w:val="en-US" w:eastAsia="zh-CN"/>
        </w:rPr>
        <w:t>支持手动录入数据功能，对于无法实现自动采集的信息，可通过人工方式进行录入。</w:t>
      </w:r>
    </w:p>
    <w:p w14:paraId="0AD985C2">
      <w:pPr>
        <w:pStyle w:val="56"/>
        <w:ind w:left="0" w:leftChars="0" w:firstLine="0" w:firstLineChars="0"/>
        <w:rPr>
          <w:rFonts w:hint="eastAsia" w:ascii="宋体" w:eastAsia="宋体"/>
          <w:lang w:val="en-US" w:eastAsia="zh-CN"/>
        </w:rPr>
      </w:pPr>
      <w:r>
        <w:rPr>
          <w:rFonts w:hint="eastAsia"/>
          <w:lang w:val="en-US" w:eastAsia="zh-CN"/>
        </w:rPr>
        <w:t>6.2.3</w:t>
      </w:r>
      <w:r>
        <w:rPr>
          <w:rFonts w:hint="eastAsia" w:ascii="宋体" w:eastAsia="宋体"/>
          <w:lang w:val="en-US" w:eastAsia="zh-CN"/>
        </w:rPr>
        <w:t>对采集到的数据进行清洗、校验和转换，确保数据的准确性和一致性。</w:t>
      </w:r>
    </w:p>
    <w:p w14:paraId="79EC36FE">
      <w:pPr>
        <w:pStyle w:val="56"/>
        <w:ind w:left="0" w:leftChars="0" w:firstLine="0" w:firstLineChars="0"/>
        <w:rPr>
          <w:rFonts w:hint="eastAsia" w:ascii="宋体" w:eastAsia="宋体"/>
          <w:lang w:val="en-US" w:eastAsia="zh-CN"/>
        </w:rPr>
      </w:pPr>
      <w:r>
        <w:rPr>
          <w:rFonts w:hint="eastAsia"/>
          <w:lang w:val="en-US" w:eastAsia="zh-CN"/>
        </w:rPr>
        <w:t>6.2.4</w:t>
      </w:r>
      <w:r>
        <w:rPr>
          <w:rFonts w:hint="eastAsia" w:ascii="宋体" w:eastAsia="宋体"/>
          <w:lang w:val="en-US" w:eastAsia="zh-CN"/>
        </w:rPr>
        <w:t>建立数据字典，对各类数据进行统一管理和维护。</w:t>
      </w:r>
    </w:p>
    <w:p w14:paraId="43E80453">
      <w:pPr>
        <w:pStyle w:val="162"/>
        <w:ind w:left="0"/>
        <w:rPr>
          <w:rFonts w:hint="eastAsia"/>
        </w:rPr>
      </w:pPr>
      <w:r>
        <w:rPr>
          <w:rFonts w:hint="eastAsia"/>
        </w:rPr>
        <w:t>溯源查询</w:t>
      </w:r>
    </w:p>
    <w:p w14:paraId="450B9890">
      <w:pPr>
        <w:pStyle w:val="56"/>
        <w:ind w:left="0" w:leftChars="0" w:firstLine="0" w:firstLineChars="0"/>
        <w:rPr>
          <w:rFonts w:hint="eastAsia" w:ascii="宋体" w:eastAsia="宋体"/>
          <w:lang w:val="en-US" w:eastAsia="zh-CN"/>
        </w:rPr>
      </w:pPr>
      <w:r>
        <w:rPr>
          <w:rFonts w:hint="eastAsia"/>
          <w:lang w:val="en-US" w:eastAsia="zh-CN"/>
        </w:rPr>
        <w:t>6.3.1</w:t>
      </w:r>
      <w:r>
        <w:rPr>
          <w:rFonts w:hint="eastAsia" w:ascii="宋体" w:eastAsia="宋体"/>
          <w:lang w:val="en-US" w:eastAsia="zh-CN"/>
        </w:rPr>
        <w:t>提供多种溯源查询方式，包括溯源码查询、批次号查询、产品名称查询等。</w:t>
      </w:r>
    </w:p>
    <w:p w14:paraId="296854BA">
      <w:pPr>
        <w:pStyle w:val="56"/>
        <w:ind w:left="0" w:leftChars="0" w:firstLine="0" w:firstLineChars="0"/>
        <w:rPr>
          <w:rFonts w:hint="eastAsia" w:ascii="宋体" w:eastAsia="宋体"/>
          <w:lang w:val="en-US" w:eastAsia="zh-CN"/>
        </w:rPr>
      </w:pPr>
      <w:r>
        <w:rPr>
          <w:rFonts w:hint="eastAsia"/>
          <w:lang w:val="en-US" w:eastAsia="zh-CN"/>
        </w:rPr>
        <w:t>6.3.2</w:t>
      </w:r>
      <w:r>
        <w:rPr>
          <w:rFonts w:hint="eastAsia" w:ascii="宋体" w:eastAsia="宋体"/>
          <w:lang w:val="en-US" w:eastAsia="zh-CN"/>
        </w:rPr>
        <w:t>用户输入查询条件后，系统应快速准确地返回产品或服务的全生命周期溯源信息，包括生产环节、加工环节、物流环节、销售环节等。</w:t>
      </w:r>
    </w:p>
    <w:p w14:paraId="4BBD0994">
      <w:pPr>
        <w:pStyle w:val="56"/>
        <w:ind w:left="0" w:leftChars="0" w:firstLine="0" w:firstLineChars="0"/>
        <w:rPr>
          <w:rFonts w:hint="eastAsia" w:ascii="宋体" w:eastAsia="宋体"/>
          <w:lang w:val="en-US" w:eastAsia="zh-CN"/>
        </w:rPr>
      </w:pPr>
      <w:r>
        <w:rPr>
          <w:rFonts w:hint="eastAsia"/>
          <w:lang w:val="en-US" w:eastAsia="zh-CN"/>
        </w:rPr>
        <w:t>6.3.3</w:t>
      </w:r>
      <w:r>
        <w:rPr>
          <w:rFonts w:hint="eastAsia" w:ascii="宋体" w:eastAsia="宋体"/>
          <w:lang w:val="en-US" w:eastAsia="zh-CN"/>
        </w:rPr>
        <w:t>溯源信息应采用可视化方式展示，如流程图、图表等，便于用户直观了解产品或服务的来源和流向。</w:t>
      </w:r>
    </w:p>
    <w:p w14:paraId="2956E99A">
      <w:pPr>
        <w:pStyle w:val="162"/>
        <w:ind w:left="0"/>
        <w:rPr>
          <w:rFonts w:hint="eastAsia"/>
        </w:rPr>
      </w:pPr>
      <w:r>
        <w:rPr>
          <w:rFonts w:hint="eastAsia"/>
        </w:rPr>
        <w:t>预警与监管</w:t>
      </w:r>
    </w:p>
    <w:p w14:paraId="4EBA76B6">
      <w:pPr>
        <w:pStyle w:val="56"/>
        <w:ind w:left="0" w:leftChars="0" w:firstLine="0" w:firstLineChars="0"/>
        <w:rPr>
          <w:rFonts w:hint="eastAsia" w:ascii="宋体" w:eastAsia="宋体"/>
          <w:lang w:val="en-US" w:eastAsia="zh-CN"/>
        </w:rPr>
      </w:pPr>
      <w:r>
        <w:rPr>
          <w:rFonts w:hint="eastAsia"/>
          <w:lang w:val="en-US" w:eastAsia="zh-CN"/>
        </w:rPr>
        <w:t>6.4.1</w:t>
      </w:r>
      <w:r>
        <w:rPr>
          <w:rFonts w:hint="eastAsia" w:ascii="宋体" w:eastAsia="宋体"/>
          <w:lang w:val="en-US" w:eastAsia="zh-CN"/>
        </w:rPr>
        <w:t>设定质量安全、市场异常等预警规则，当数据出现异常情况时，系统自动发出预警信息。</w:t>
      </w:r>
    </w:p>
    <w:p w14:paraId="3DFEEB66">
      <w:pPr>
        <w:pStyle w:val="56"/>
        <w:ind w:left="0" w:leftChars="0" w:firstLine="0" w:firstLineChars="0"/>
        <w:rPr>
          <w:rFonts w:hint="eastAsia" w:ascii="宋体" w:eastAsia="宋体"/>
          <w:lang w:val="en-US" w:eastAsia="zh-CN"/>
        </w:rPr>
      </w:pPr>
      <w:r>
        <w:rPr>
          <w:rFonts w:hint="eastAsia"/>
          <w:lang w:val="en-US" w:eastAsia="zh-CN"/>
        </w:rPr>
        <w:t>6.4.2</w:t>
      </w:r>
      <w:r>
        <w:rPr>
          <w:rFonts w:hint="eastAsia" w:ascii="宋体" w:eastAsia="宋体"/>
          <w:lang w:val="en-US" w:eastAsia="zh-CN"/>
        </w:rPr>
        <w:t>为监管部门提供监管功能，如企业信息管理、数据审核、违规处理等，确保平台数据的真实性和可靠性。</w:t>
      </w:r>
    </w:p>
    <w:p w14:paraId="75B3BCB5">
      <w:pPr>
        <w:pStyle w:val="162"/>
        <w:ind w:left="0"/>
        <w:rPr>
          <w:rFonts w:hint="eastAsia"/>
        </w:rPr>
      </w:pPr>
      <w:r>
        <w:rPr>
          <w:rFonts w:hint="eastAsia"/>
        </w:rPr>
        <w:t>用户管理</w:t>
      </w:r>
    </w:p>
    <w:p w14:paraId="4E5EA207">
      <w:pPr>
        <w:pStyle w:val="56"/>
        <w:ind w:left="0" w:leftChars="0" w:firstLine="0" w:firstLineChars="0"/>
        <w:rPr>
          <w:rFonts w:hint="eastAsia" w:ascii="宋体" w:eastAsia="宋体"/>
          <w:lang w:val="en-US" w:eastAsia="zh-CN"/>
        </w:rPr>
      </w:pPr>
      <w:r>
        <w:rPr>
          <w:rFonts w:hint="eastAsia"/>
          <w:lang w:val="en-US" w:eastAsia="zh-CN"/>
        </w:rPr>
        <w:t>6.5.1</w:t>
      </w:r>
      <w:r>
        <w:rPr>
          <w:rFonts w:hint="eastAsia"/>
        </w:rPr>
        <w:t>提</w:t>
      </w:r>
      <w:r>
        <w:rPr>
          <w:rFonts w:hint="eastAsia" w:ascii="宋体" w:eastAsia="宋体"/>
          <w:lang w:val="en-US" w:eastAsia="zh-CN"/>
        </w:rPr>
        <w:t>供用户注册、登录、权限管理等功能，根据用户角色分配不同的操作权限。</w:t>
      </w:r>
    </w:p>
    <w:p w14:paraId="2A3C6256">
      <w:pPr>
        <w:pStyle w:val="56"/>
        <w:ind w:left="0" w:leftChars="0" w:firstLine="0" w:firstLineChars="0"/>
        <w:rPr>
          <w:rFonts w:hint="eastAsia" w:ascii="宋体" w:eastAsia="宋体"/>
          <w:lang w:val="en-US" w:eastAsia="zh-CN"/>
        </w:rPr>
      </w:pPr>
      <w:r>
        <w:rPr>
          <w:rFonts w:hint="eastAsia"/>
          <w:lang w:val="en-US" w:eastAsia="zh-CN"/>
        </w:rPr>
        <w:t>6.5.2</w:t>
      </w:r>
      <w:r>
        <w:rPr>
          <w:rFonts w:hint="eastAsia" w:ascii="宋体" w:eastAsia="宋体"/>
          <w:lang w:val="en-US" w:eastAsia="zh-CN"/>
        </w:rPr>
        <w:t>支持用户信息的修改和删除，确保用户信息的安全和隐私。</w:t>
      </w:r>
    </w:p>
    <w:p w14:paraId="6995495E">
      <w:pPr>
        <w:pStyle w:val="104"/>
        <w:spacing w:before="240" w:after="240"/>
        <w:ind w:left="0"/>
      </w:pPr>
      <w:bookmarkStart w:id="51" w:name="_Toc31665"/>
      <w:r>
        <w:rPr>
          <w:rFonts w:hint="eastAsia"/>
          <w:lang w:val="en-US" w:eastAsia="zh-CN"/>
        </w:rPr>
        <w:t>数据要求</w:t>
      </w:r>
      <w:bookmarkEnd w:id="51"/>
    </w:p>
    <w:p w14:paraId="6A0238CB">
      <w:pPr>
        <w:pStyle w:val="162"/>
        <w:ind w:left="0"/>
        <w:rPr>
          <w:rFonts w:hint="eastAsia"/>
        </w:rPr>
      </w:pPr>
      <w:r>
        <w:rPr>
          <w:rFonts w:hint="eastAsia"/>
        </w:rPr>
        <w:t>数据内容</w:t>
      </w:r>
    </w:p>
    <w:p w14:paraId="4F39118B">
      <w:pPr>
        <w:pStyle w:val="56"/>
        <w:ind w:left="0" w:leftChars="0" w:firstLine="0" w:firstLineChars="0"/>
        <w:rPr>
          <w:rFonts w:hint="eastAsia" w:ascii="宋体" w:eastAsia="宋体"/>
        </w:rPr>
      </w:pPr>
      <w:r>
        <w:rPr>
          <w:rFonts w:hint="eastAsia"/>
          <w:lang w:val="en-US" w:eastAsia="zh-CN"/>
        </w:rPr>
        <w:t>7.1.1</w:t>
      </w:r>
      <w:r>
        <w:rPr>
          <w:rFonts w:hint="eastAsia" w:ascii="宋体" w:eastAsia="宋体"/>
        </w:rPr>
        <w:t>生产信息：包括产品名称、规格型号、生产日期、生产批次、生产企业名称、生产地址、生产工艺等。</w:t>
      </w:r>
    </w:p>
    <w:p w14:paraId="231C04E2">
      <w:pPr>
        <w:pStyle w:val="56"/>
        <w:ind w:left="0" w:leftChars="0" w:firstLine="0" w:firstLineChars="0"/>
        <w:rPr>
          <w:rFonts w:hint="eastAsia" w:ascii="宋体" w:eastAsia="宋体"/>
        </w:rPr>
      </w:pPr>
      <w:r>
        <w:rPr>
          <w:rFonts w:hint="eastAsia"/>
          <w:lang w:val="en-US" w:eastAsia="zh-CN"/>
        </w:rPr>
        <w:t>7.1.2</w:t>
      </w:r>
      <w:r>
        <w:rPr>
          <w:rFonts w:hint="eastAsia" w:ascii="宋体" w:eastAsia="宋体"/>
        </w:rPr>
        <w:t>质量检测信息：包括检测机构名称、检测项目、检测结果、检测日期等。</w:t>
      </w:r>
    </w:p>
    <w:p w14:paraId="6AE56379">
      <w:pPr>
        <w:pStyle w:val="56"/>
        <w:ind w:left="0" w:leftChars="0" w:firstLine="0" w:firstLineChars="0"/>
        <w:rPr>
          <w:rFonts w:hint="eastAsia" w:ascii="宋体" w:eastAsia="宋体"/>
        </w:rPr>
      </w:pPr>
      <w:r>
        <w:rPr>
          <w:rFonts w:hint="eastAsia"/>
          <w:lang w:val="en-US" w:eastAsia="zh-CN"/>
        </w:rPr>
        <w:t>7.1.3</w:t>
      </w:r>
      <w:r>
        <w:rPr>
          <w:rFonts w:hint="eastAsia" w:ascii="宋体" w:eastAsia="宋体"/>
        </w:rPr>
        <w:t>物流信息：包括物流企业名称、运输工具、运输路线、发货时间、收货时间等。</w:t>
      </w:r>
    </w:p>
    <w:p w14:paraId="5D4D6EE3">
      <w:pPr>
        <w:pStyle w:val="56"/>
        <w:ind w:left="0" w:leftChars="0" w:firstLine="0" w:firstLineChars="0"/>
        <w:rPr>
          <w:rFonts w:hint="eastAsia" w:ascii="宋体" w:eastAsia="宋体"/>
        </w:rPr>
      </w:pPr>
      <w:r>
        <w:rPr>
          <w:rFonts w:hint="eastAsia"/>
          <w:lang w:val="en-US" w:eastAsia="zh-CN"/>
        </w:rPr>
        <w:t>7.1.4</w:t>
      </w:r>
      <w:r>
        <w:rPr>
          <w:rFonts w:hint="eastAsia" w:ascii="宋体" w:eastAsia="宋体"/>
        </w:rPr>
        <w:t>销售信息：包括销售企业名称、销售地点、销售价格、销售时间等。</w:t>
      </w:r>
    </w:p>
    <w:p w14:paraId="3403D0B4">
      <w:pPr>
        <w:pStyle w:val="56"/>
        <w:ind w:left="0" w:leftChars="0" w:firstLine="0" w:firstLineChars="0"/>
        <w:rPr>
          <w:rFonts w:hint="eastAsia" w:ascii="宋体" w:eastAsia="宋体"/>
        </w:rPr>
      </w:pPr>
      <w:r>
        <w:rPr>
          <w:rFonts w:hint="eastAsia"/>
          <w:lang w:val="en-US" w:eastAsia="zh-CN"/>
        </w:rPr>
        <w:t>7.1.5</w:t>
      </w:r>
      <w:r>
        <w:rPr>
          <w:rFonts w:hint="eastAsia" w:ascii="宋体" w:eastAsia="宋体"/>
        </w:rPr>
        <w:t>服务信息：包括服务提供者、服务时间和地点、服务过程和资源、客户信息、服务合同信息和价格、原材料和商品信息（适用时）等。</w:t>
      </w:r>
    </w:p>
    <w:p w14:paraId="4D3CFF0D">
      <w:pPr>
        <w:pStyle w:val="162"/>
        <w:ind w:left="0"/>
        <w:rPr>
          <w:rFonts w:hint="eastAsia"/>
        </w:rPr>
      </w:pPr>
      <w:r>
        <w:rPr>
          <w:rFonts w:hint="eastAsia"/>
        </w:rPr>
        <w:t>数据格式</w:t>
      </w:r>
    </w:p>
    <w:p w14:paraId="4C3E694F">
      <w:pPr>
        <w:pStyle w:val="56"/>
        <w:ind w:left="0" w:leftChars="0" w:firstLine="0" w:firstLineChars="0"/>
        <w:rPr>
          <w:rFonts w:hint="eastAsia" w:ascii="宋体" w:eastAsia="宋体"/>
        </w:rPr>
      </w:pPr>
      <w:r>
        <w:rPr>
          <w:rFonts w:hint="eastAsia"/>
          <w:lang w:val="en-US" w:eastAsia="zh-CN"/>
        </w:rPr>
        <w:t>7.2.1</w:t>
      </w:r>
      <w:r>
        <w:rPr>
          <w:rFonts w:hint="eastAsia" w:ascii="宋体" w:eastAsia="宋体"/>
        </w:rPr>
        <w:t>数据应采用标准化的格式进行存储和传输，如JSON、XML等。</w:t>
      </w:r>
    </w:p>
    <w:p w14:paraId="08C8FFB1">
      <w:pPr>
        <w:pStyle w:val="56"/>
        <w:ind w:left="0" w:leftChars="0" w:firstLine="0" w:firstLineChars="0"/>
        <w:rPr>
          <w:rFonts w:hint="eastAsia" w:ascii="宋体" w:eastAsia="宋体"/>
        </w:rPr>
      </w:pPr>
      <w:r>
        <w:rPr>
          <w:rFonts w:hint="eastAsia"/>
          <w:lang w:val="en-US" w:eastAsia="zh-CN"/>
        </w:rPr>
        <w:t>7.2.2</w:t>
      </w:r>
      <w:r>
        <w:rPr>
          <w:rFonts w:hint="eastAsia" w:ascii="宋体" w:eastAsia="宋体"/>
        </w:rPr>
        <w:t>对于图片、视频等非结构化数据，应进行格式转换和压缩处理，减少存储空间和传输带宽。</w:t>
      </w:r>
    </w:p>
    <w:p w14:paraId="2A75C645">
      <w:pPr>
        <w:pStyle w:val="162"/>
        <w:ind w:left="0"/>
        <w:rPr>
          <w:rFonts w:hint="eastAsia"/>
        </w:rPr>
      </w:pPr>
      <w:r>
        <w:rPr>
          <w:rFonts w:hint="eastAsia"/>
        </w:rPr>
        <w:t>数据安全</w:t>
      </w:r>
    </w:p>
    <w:p w14:paraId="27B941C1">
      <w:pPr>
        <w:pStyle w:val="56"/>
        <w:ind w:left="0" w:leftChars="0" w:firstLine="0" w:firstLineChars="0"/>
        <w:rPr>
          <w:rFonts w:hint="eastAsia" w:ascii="宋体" w:eastAsia="宋体"/>
        </w:rPr>
      </w:pPr>
      <w:r>
        <w:rPr>
          <w:rFonts w:hint="eastAsia"/>
          <w:lang w:val="en-US" w:eastAsia="zh-CN"/>
        </w:rPr>
        <w:t>7.3.1</w:t>
      </w:r>
      <w:r>
        <w:rPr>
          <w:rFonts w:hint="eastAsia" w:ascii="宋体" w:eastAsia="宋体"/>
        </w:rPr>
        <w:t>对敏感数据进行加密处理，如企业机密信息、用户个人信息等。</w:t>
      </w:r>
    </w:p>
    <w:p w14:paraId="55C50302">
      <w:pPr>
        <w:pStyle w:val="56"/>
        <w:ind w:left="0" w:leftChars="0" w:firstLine="0" w:firstLineChars="0"/>
        <w:rPr>
          <w:rFonts w:hint="eastAsia" w:ascii="宋体" w:eastAsia="宋体"/>
        </w:rPr>
      </w:pPr>
      <w:r>
        <w:rPr>
          <w:rFonts w:hint="eastAsia"/>
          <w:lang w:val="en-US" w:eastAsia="zh-CN"/>
        </w:rPr>
        <w:t>7.3.2</w:t>
      </w:r>
      <w:r>
        <w:rPr>
          <w:rFonts w:hint="eastAsia" w:ascii="宋体" w:eastAsia="宋体"/>
        </w:rPr>
        <w:t>建立数据备份和恢复机制，定期对数据进行备份，确保数据的安全性和可用性。</w:t>
      </w:r>
    </w:p>
    <w:p w14:paraId="00F7BA39">
      <w:pPr>
        <w:pStyle w:val="56"/>
        <w:ind w:left="0" w:leftChars="0" w:firstLine="0" w:firstLineChars="0"/>
        <w:rPr>
          <w:rFonts w:hint="eastAsia" w:ascii="宋体" w:eastAsia="宋体"/>
        </w:rPr>
      </w:pPr>
      <w:r>
        <w:rPr>
          <w:rFonts w:hint="eastAsia"/>
          <w:lang w:val="en-US" w:eastAsia="zh-CN"/>
        </w:rPr>
        <w:t>7.3.3</w:t>
      </w:r>
      <w:r>
        <w:rPr>
          <w:rFonts w:hint="eastAsia" w:ascii="宋体" w:eastAsia="宋体"/>
        </w:rPr>
        <w:t>建立数据安全管理制度和技术防护措施，加强对数据存储和传输过程的安全防护。</w:t>
      </w:r>
    </w:p>
    <w:p w14:paraId="24CF6052">
      <w:pPr>
        <w:pStyle w:val="104"/>
        <w:spacing w:before="240" w:after="240"/>
        <w:ind w:left="0"/>
        <w:rPr>
          <w:rFonts w:hint="eastAsia"/>
        </w:rPr>
      </w:pPr>
      <w:bookmarkStart w:id="52" w:name="_Toc20044"/>
      <w:r>
        <w:rPr>
          <w:rFonts w:hint="eastAsia"/>
          <w:lang w:val="en-US" w:eastAsia="zh-CN"/>
        </w:rPr>
        <w:t>接口规范</w:t>
      </w:r>
      <w:bookmarkEnd w:id="52"/>
    </w:p>
    <w:p w14:paraId="595839A3">
      <w:pPr>
        <w:pStyle w:val="162"/>
        <w:ind w:left="0"/>
        <w:rPr>
          <w:rFonts w:hint="eastAsia" w:ascii="宋体" w:eastAsia="宋体"/>
        </w:rPr>
      </w:pPr>
      <w:r>
        <w:rPr>
          <w:rFonts w:hint="eastAsia" w:ascii="宋体" w:eastAsia="宋体"/>
        </w:rPr>
        <w:t>溯源平台和第三方平台接口数据交互方式应采用HTTPS协议，并以POST请求方式提交，且请求数据与返回数据均使用JSON格式。</w:t>
      </w:r>
    </w:p>
    <w:p w14:paraId="4531918E">
      <w:pPr>
        <w:pStyle w:val="162"/>
        <w:ind w:left="0"/>
        <w:rPr>
          <w:rFonts w:hint="eastAsia" w:ascii="宋体" w:eastAsia="宋体"/>
        </w:rPr>
      </w:pPr>
      <w:r>
        <w:rPr>
          <w:rFonts w:hint="eastAsia" w:ascii="宋体" w:eastAsia="宋体"/>
        </w:rPr>
        <w:t>敏感数据的传输应进行加密处理，依据GB/T35276-2017、GB/T32905-2016、GB/T 32907-2016的要求采用SM2、SM3、SM4国密算法加密。致敏物质管理</w:t>
      </w:r>
    </w:p>
    <w:p w14:paraId="0CBD2B92">
      <w:pPr>
        <w:pStyle w:val="104"/>
        <w:spacing w:before="240" w:after="240"/>
        <w:ind w:left="0"/>
        <w:rPr>
          <w:rFonts w:hint="eastAsia"/>
        </w:rPr>
      </w:pPr>
      <w:bookmarkStart w:id="53" w:name="_Toc25234"/>
      <w:r>
        <w:rPr>
          <w:rFonts w:hint="eastAsia"/>
          <w:lang w:val="en-US" w:eastAsia="zh-CN"/>
        </w:rPr>
        <w:t>安全要求</w:t>
      </w:r>
      <w:bookmarkEnd w:id="53"/>
    </w:p>
    <w:p w14:paraId="4A2481C3">
      <w:pPr>
        <w:pStyle w:val="162"/>
        <w:ind w:left="0"/>
        <w:rPr>
          <w:rFonts w:hint="eastAsia"/>
        </w:rPr>
      </w:pPr>
      <w:r>
        <w:rPr>
          <w:rFonts w:hint="eastAsia"/>
        </w:rPr>
        <w:t>网络安全</w:t>
      </w:r>
    </w:p>
    <w:p w14:paraId="184D225E">
      <w:pPr>
        <w:pStyle w:val="56"/>
        <w:ind w:left="0" w:leftChars="0" w:firstLine="0" w:firstLineChars="0"/>
        <w:rPr>
          <w:rFonts w:hint="eastAsia" w:ascii="宋体" w:eastAsia="宋体"/>
        </w:rPr>
      </w:pPr>
      <w:r>
        <w:rPr>
          <w:rFonts w:hint="eastAsia"/>
          <w:lang w:val="en-US" w:eastAsia="zh-CN"/>
        </w:rPr>
        <w:t>9.1.1</w:t>
      </w:r>
      <w:r>
        <w:rPr>
          <w:rFonts w:hint="eastAsia" w:ascii="宋体" w:eastAsia="宋体"/>
        </w:rPr>
        <w:t>采用防火墙、入侵检测系统（IDS）、入侵防御系统（IPS）等网络安全设备，防止网络攻击和非法入侵。</w:t>
      </w:r>
    </w:p>
    <w:p w14:paraId="6FD3488B">
      <w:pPr>
        <w:pStyle w:val="56"/>
        <w:ind w:left="0" w:leftChars="0" w:firstLine="0" w:firstLineChars="0"/>
        <w:rPr>
          <w:rFonts w:hint="eastAsia" w:ascii="宋体" w:eastAsia="宋体"/>
        </w:rPr>
      </w:pPr>
      <w:r>
        <w:rPr>
          <w:rFonts w:hint="eastAsia"/>
          <w:lang w:val="en-US" w:eastAsia="zh-CN"/>
        </w:rPr>
        <w:t>9.1.2</w:t>
      </w:r>
      <w:bookmarkStart w:id="56" w:name="_GoBack"/>
      <w:bookmarkEnd w:id="56"/>
      <w:r>
        <w:rPr>
          <w:rFonts w:hint="eastAsia" w:ascii="宋体" w:eastAsia="宋体"/>
        </w:rPr>
        <w:t>对网络访问进行严格的权限控制，设置不同的访问级别和访问规则。</w:t>
      </w:r>
    </w:p>
    <w:p w14:paraId="198432C8">
      <w:pPr>
        <w:pStyle w:val="162"/>
        <w:ind w:left="0"/>
        <w:rPr>
          <w:rFonts w:hint="eastAsia"/>
        </w:rPr>
      </w:pPr>
      <w:r>
        <w:rPr>
          <w:rFonts w:hint="eastAsia"/>
        </w:rPr>
        <w:t>数据安全</w:t>
      </w:r>
    </w:p>
    <w:p w14:paraId="433322F8">
      <w:pPr>
        <w:pStyle w:val="56"/>
        <w:ind w:left="0" w:leftChars="0" w:firstLine="0" w:firstLineChars="0"/>
        <w:rPr>
          <w:rFonts w:hint="eastAsia" w:ascii="宋体" w:eastAsia="宋体"/>
        </w:rPr>
      </w:pPr>
      <w:r>
        <w:rPr>
          <w:rFonts w:hint="eastAsia"/>
          <w:lang w:val="en-US" w:eastAsia="zh-CN"/>
        </w:rPr>
        <w:t>9.2.1</w:t>
      </w:r>
      <w:r>
        <w:rPr>
          <w:rFonts w:hint="eastAsia" w:ascii="宋体" w:eastAsia="宋体"/>
        </w:rPr>
        <w:t>对数据进行分类分级管理，根据数据的敏感程度采取不同的安全防护措施。</w:t>
      </w:r>
    </w:p>
    <w:p w14:paraId="1DC29391">
      <w:pPr>
        <w:pStyle w:val="56"/>
        <w:ind w:left="0" w:leftChars="0" w:firstLine="0" w:firstLineChars="0"/>
        <w:rPr>
          <w:rFonts w:hint="eastAsia" w:ascii="宋体" w:eastAsia="宋体"/>
        </w:rPr>
      </w:pPr>
      <w:r>
        <w:rPr>
          <w:rFonts w:hint="eastAsia"/>
          <w:lang w:val="en-US" w:eastAsia="zh-CN"/>
        </w:rPr>
        <w:t>9.2.2</w:t>
      </w:r>
      <w:r>
        <w:rPr>
          <w:rFonts w:hint="eastAsia" w:ascii="宋体" w:eastAsia="宋体"/>
        </w:rPr>
        <w:t>采用数据加密技术，对存储和传输的数据进行加密，防止数据泄露。</w:t>
      </w:r>
    </w:p>
    <w:p w14:paraId="775BBDD1">
      <w:pPr>
        <w:pStyle w:val="162"/>
        <w:ind w:left="0"/>
        <w:rPr>
          <w:rFonts w:hint="eastAsia"/>
        </w:rPr>
      </w:pPr>
      <w:r>
        <w:rPr>
          <w:rFonts w:hint="eastAsia"/>
        </w:rPr>
        <w:t>系统安全</w:t>
      </w:r>
    </w:p>
    <w:p w14:paraId="4C567F4A">
      <w:pPr>
        <w:pStyle w:val="56"/>
        <w:ind w:left="0" w:leftChars="0" w:firstLine="0" w:firstLineChars="0"/>
        <w:rPr>
          <w:rFonts w:hint="eastAsia" w:ascii="宋体" w:eastAsia="宋体"/>
        </w:rPr>
      </w:pPr>
      <w:r>
        <w:rPr>
          <w:rFonts w:hint="eastAsia"/>
          <w:lang w:val="en-US" w:eastAsia="zh-CN"/>
        </w:rPr>
        <w:t>9.3.1</w:t>
      </w:r>
      <w:r>
        <w:rPr>
          <w:rFonts w:hint="eastAsia" w:ascii="宋体" w:eastAsia="宋体"/>
        </w:rPr>
        <w:t>定期对系统进行漏洞扫描和修复，及时更新系统补丁。</w:t>
      </w:r>
    </w:p>
    <w:p w14:paraId="0D5F9271">
      <w:pPr>
        <w:pStyle w:val="56"/>
        <w:ind w:left="0" w:leftChars="0" w:firstLine="0" w:firstLineChars="0"/>
        <w:rPr>
          <w:rFonts w:hint="eastAsia" w:ascii="宋体" w:eastAsia="宋体"/>
        </w:rPr>
      </w:pPr>
      <w:r>
        <w:rPr>
          <w:rFonts w:hint="eastAsia"/>
          <w:lang w:val="en-US" w:eastAsia="zh-CN"/>
        </w:rPr>
        <w:t>9.3.2</w:t>
      </w:r>
      <w:r>
        <w:rPr>
          <w:rFonts w:hint="eastAsia" w:ascii="宋体" w:eastAsia="宋体"/>
        </w:rPr>
        <w:t>对系统进行安全审计，记录系统的操作日志和安全事件，便于事后追溯和分析。</w:t>
      </w:r>
    </w:p>
    <w:p w14:paraId="7ED18008">
      <w:pPr>
        <w:pStyle w:val="162"/>
        <w:ind w:left="0"/>
        <w:rPr>
          <w:rFonts w:hint="eastAsia"/>
        </w:rPr>
      </w:pPr>
      <w:r>
        <w:rPr>
          <w:rFonts w:hint="eastAsia"/>
        </w:rPr>
        <w:t>用户认证与授权</w:t>
      </w:r>
    </w:p>
    <w:p w14:paraId="5958A11A">
      <w:pPr>
        <w:pStyle w:val="56"/>
        <w:ind w:left="0" w:leftChars="0" w:firstLine="0" w:firstLineChars="0"/>
        <w:rPr>
          <w:rFonts w:hint="eastAsia" w:ascii="宋体" w:eastAsia="宋体"/>
        </w:rPr>
      </w:pPr>
      <w:r>
        <w:rPr>
          <w:rFonts w:hint="eastAsia"/>
          <w:lang w:val="en-US" w:eastAsia="zh-CN"/>
        </w:rPr>
        <w:t>9.4.1</w:t>
      </w:r>
      <w:r>
        <w:rPr>
          <w:rFonts w:hint="eastAsia" w:ascii="宋体" w:eastAsia="宋体"/>
        </w:rPr>
        <w:t>采用用户名、密码、验证码等多种认证方式，确保用户身份的真实性和合法性。</w:t>
      </w:r>
    </w:p>
    <w:p w14:paraId="78114592">
      <w:pPr>
        <w:pStyle w:val="56"/>
        <w:ind w:left="0" w:leftChars="0" w:firstLine="0" w:firstLineChars="0"/>
        <w:rPr>
          <w:rFonts w:hint="eastAsia" w:ascii="宋体" w:eastAsia="宋体"/>
        </w:rPr>
      </w:pPr>
      <w:r>
        <w:rPr>
          <w:rFonts w:hint="eastAsia"/>
          <w:lang w:val="en-US" w:eastAsia="zh-CN"/>
        </w:rPr>
        <w:t>9.4.2</w:t>
      </w:r>
      <w:r>
        <w:rPr>
          <w:rFonts w:hint="eastAsia" w:ascii="宋体" w:eastAsia="宋体"/>
        </w:rPr>
        <w:t>根据用户角色和权限，对用户的操作进行授权管理，防止越权操作。</w:t>
      </w:r>
    </w:p>
    <w:p w14:paraId="3E87B224">
      <w:pPr>
        <w:pStyle w:val="104"/>
        <w:spacing w:before="240" w:after="240"/>
        <w:ind w:left="0"/>
        <w:rPr>
          <w:rFonts w:hint="eastAsia"/>
        </w:rPr>
      </w:pPr>
      <w:bookmarkStart w:id="54" w:name="_Toc24940"/>
      <w:r>
        <w:rPr>
          <w:rFonts w:hint="eastAsia"/>
          <w:lang w:val="en-US" w:eastAsia="zh-CN"/>
        </w:rPr>
        <w:t>运营管理</w:t>
      </w:r>
      <w:bookmarkEnd w:id="54"/>
    </w:p>
    <w:p w14:paraId="12AC1807">
      <w:pPr>
        <w:pStyle w:val="162"/>
        <w:ind w:left="0"/>
        <w:rPr>
          <w:rFonts w:hint="eastAsia" w:ascii="宋体" w:eastAsia="宋体"/>
        </w:rPr>
      </w:pPr>
      <w:r>
        <w:rPr>
          <w:rFonts w:hint="eastAsia" w:ascii="宋体" w:eastAsia="宋体"/>
        </w:rPr>
        <w:t>网络基础设施维护</w:t>
      </w:r>
    </w:p>
    <w:p w14:paraId="21204C18">
      <w:pPr>
        <w:pStyle w:val="56"/>
        <w:ind w:firstLine="420"/>
        <w:rPr>
          <w:rFonts w:hint="eastAsia" w:ascii="宋体" w:eastAsia="宋体"/>
        </w:rPr>
      </w:pPr>
      <w:r>
        <w:rPr>
          <w:rFonts w:hint="eastAsia" w:ascii="宋体" w:eastAsia="宋体"/>
        </w:rPr>
        <w:t>应定期评估网络基础平台的性能，制定故障维护预案，及时消除可能的故障隐患，保证路由设备网络交换设备等网络基础设施的安全性、可靠性、可用性。</w:t>
      </w:r>
    </w:p>
    <w:p w14:paraId="6F4F5CAB">
      <w:pPr>
        <w:pStyle w:val="162"/>
        <w:ind w:left="0"/>
        <w:rPr>
          <w:rFonts w:hint="eastAsia" w:ascii="宋体" w:eastAsia="宋体"/>
        </w:rPr>
      </w:pPr>
      <w:r>
        <w:rPr>
          <w:rFonts w:hint="eastAsia" w:ascii="宋体" w:eastAsia="宋体"/>
        </w:rPr>
        <w:t>数据存储设施维护</w:t>
      </w:r>
    </w:p>
    <w:p w14:paraId="32A76FED">
      <w:pPr>
        <w:pStyle w:val="56"/>
        <w:ind w:firstLine="420"/>
        <w:rPr>
          <w:rFonts w:hint="eastAsia" w:ascii="宋体" w:eastAsia="宋体"/>
        </w:rPr>
      </w:pPr>
      <w:r>
        <w:rPr>
          <w:rFonts w:hint="eastAsia" w:ascii="宋体" w:eastAsia="宋体"/>
        </w:rPr>
        <w:t>应定期评估存储设施及软件平台的性能，确认数据存储的安全等级，保证数据存储设施如服务器设备、集群系统、存储阵列、存储网络等以及支撑数据存储设施运行的软件平台的安全性、可靠性和可用性，保证存储数据的安全。</w:t>
      </w:r>
    </w:p>
    <w:p w14:paraId="2B582F15">
      <w:pPr>
        <w:pStyle w:val="56"/>
        <w:ind w:firstLine="420"/>
        <w:rPr>
          <w:rFonts w:hint="eastAsia" w:ascii="宋体" w:eastAsia="宋体"/>
        </w:rPr>
      </w:pPr>
      <w:r>
        <w:rPr>
          <w:rFonts w:hint="eastAsia" w:ascii="宋体" w:eastAsia="宋体"/>
        </w:rPr>
        <w:t>应制定故障应急预案，及时消除故障隐患，保障信息系统的安全、稳定、持续运行。</w:t>
      </w:r>
    </w:p>
    <w:p w14:paraId="0219CC57">
      <w:pPr>
        <w:pStyle w:val="162"/>
        <w:ind w:left="0"/>
        <w:rPr>
          <w:rFonts w:hint="eastAsia" w:ascii="宋体" w:eastAsia="宋体"/>
        </w:rPr>
      </w:pPr>
      <w:r>
        <w:rPr>
          <w:rFonts w:hint="eastAsia" w:ascii="宋体" w:eastAsia="宋体"/>
        </w:rPr>
        <w:t>数据维护</w:t>
      </w:r>
    </w:p>
    <w:p w14:paraId="48DF7DC4">
      <w:pPr>
        <w:pStyle w:val="56"/>
        <w:ind w:firstLine="420"/>
        <w:rPr>
          <w:rFonts w:hint="eastAsia" w:ascii="宋体" w:eastAsia="宋体"/>
        </w:rPr>
      </w:pPr>
      <w:r>
        <w:rPr>
          <w:rFonts w:hint="eastAsia" w:ascii="宋体" w:eastAsia="宋体"/>
        </w:rPr>
        <w:t>应定期评估数据的完整性、安全性、可靠性，保证数据存储、数据访问、数据通信、数据交换的安制定备份、冗灾策略和数据恢复策略，消除可能存在的安全隐患和威胁。</w:t>
      </w:r>
    </w:p>
    <w:p w14:paraId="46511732">
      <w:pPr>
        <w:pStyle w:val="162"/>
        <w:ind w:left="0"/>
        <w:rPr>
          <w:rFonts w:hint="eastAsia" w:ascii="宋体" w:eastAsia="宋体"/>
        </w:rPr>
      </w:pPr>
      <w:r>
        <w:rPr>
          <w:rFonts w:hint="eastAsia" w:ascii="宋体" w:eastAsia="宋体"/>
        </w:rPr>
        <w:t>风险评估</w:t>
      </w:r>
    </w:p>
    <w:p w14:paraId="5125F978">
      <w:pPr>
        <w:pStyle w:val="56"/>
        <w:ind w:firstLine="420"/>
        <w:rPr>
          <w:rFonts w:hint="eastAsia" w:ascii="宋体" w:eastAsia="宋体"/>
        </w:rPr>
      </w:pPr>
      <w:r>
        <w:rPr>
          <w:rFonts w:hint="eastAsia" w:ascii="宋体" w:eastAsia="宋体"/>
        </w:rPr>
        <w:t>应对系统的安全威胁、脆弱性、漏洞以及安全管理进行评估，制定风险应对策略和风险处理机制，及时消除或弱化风险，将残余风险控制在可控范围内。</w:t>
      </w:r>
    </w:p>
    <w:p w14:paraId="6DED8984">
      <w:pPr>
        <w:pStyle w:val="162"/>
        <w:ind w:left="0"/>
        <w:rPr>
          <w:rFonts w:hint="eastAsia" w:ascii="宋体" w:eastAsia="宋体"/>
        </w:rPr>
      </w:pPr>
      <w:r>
        <w:rPr>
          <w:rFonts w:hint="eastAsia" w:ascii="宋体" w:eastAsia="宋体"/>
        </w:rPr>
        <w:t>病毒防护</w:t>
      </w:r>
    </w:p>
    <w:p w14:paraId="3B242659">
      <w:pPr>
        <w:pStyle w:val="56"/>
        <w:ind w:firstLine="420"/>
        <w:rPr>
          <w:rFonts w:hint="eastAsia" w:ascii="宋体" w:eastAsia="宋体"/>
        </w:rPr>
      </w:pPr>
      <w:r>
        <w:rPr>
          <w:rFonts w:hint="eastAsia" w:ascii="宋体" w:eastAsia="宋体"/>
        </w:rPr>
        <w:t>应制定病毒防护和恢复策略，定期评估病毒影响，采取相应的病毒防护措施，制定病毒事件处理预案。</w:t>
      </w:r>
    </w:p>
    <w:p w14:paraId="74DFEA89">
      <w:pPr>
        <w:pStyle w:val="56"/>
        <w:ind w:firstLine="420"/>
      </w:pPr>
    </w:p>
    <w:bookmarkEnd w:id="27"/>
    <w:p w14:paraId="4D35918A">
      <w:pPr>
        <w:pStyle w:val="56"/>
        <w:ind w:firstLine="0" w:firstLineChars="0"/>
        <w:jc w:val="center"/>
      </w:pPr>
      <w:bookmarkStart w:id="55"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3B9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5F05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077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DE4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8BE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63B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515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FA01">
    <w:pPr>
      <w:pStyle w:val="61"/>
      <w:rPr>
        <w:rFonts w:hint="eastAsia"/>
      </w:rPr>
    </w:pPr>
    <w:r>
      <w:fldChar w:fldCharType="begin"/>
    </w:r>
    <w:r>
      <w:instrText xml:space="preserve"> STYLEREF  标准文件_文件编号  \* MERGEFORMAT </w:instrText>
    </w:r>
    <w:r>
      <w:fldChar w:fldCharType="separate"/>
    </w:r>
    <w:r>
      <w:t xml:space="preserve">T/           —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04BE">
    <w:pPr>
      <w:pStyle w:val="18"/>
      <w:jc w:val="right"/>
    </w:pPr>
    <w:r>
      <w:fldChar w:fldCharType="begin"/>
    </w:r>
    <w:r>
      <w:instrText xml:space="preserve"> STYLEREF  标准文件_文件编号  \* MERGEFORMAT </w:instrText>
    </w:r>
    <w:r>
      <w:fldChar w:fldCharType="separate"/>
    </w:r>
    <w:r>
      <w:t xml:space="preserve">T/           —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pStyle w:val="238"/>
      <w:lvlText w:val="%2)"/>
      <w:lvlJc w:val="left"/>
      <w:pPr>
        <w:tabs>
          <w:tab w:val="left" w:pos="1838"/>
        </w:tabs>
        <w:ind w:left="1838" w:hanging="420"/>
      </w:pPr>
    </w:lvl>
    <w:lvl w:ilvl="2" w:tentative="0">
      <w:start w:val="1"/>
      <w:numFmt w:val="lowerRoman"/>
      <w:pStyle w:val="233"/>
      <w:lvlText w:val="%3."/>
      <w:lvlJc w:val="right"/>
      <w:pPr>
        <w:tabs>
          <w:tab w:val="left" w:pos="2258"/>
        </w:tabs>
        <w:ind w:left="2258" w:hanging="420"/>
      </w:pPr>
    </w:lvl>
    <w:lvl w:ilvl="3" w:tentative="0">
      <w:start w:val="1"/>
      <w:numFmt w:val="decimal"/>
      <w:pStyle w:val="235"/>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E32610F"/>
    <w:multiLevelType w:val="multilevel"/>
    <w:tmpl w:val="2E32610F"/>
    <w:lvl w:ilvl="0" w:tentative="0">
      <w:start w:val="1"/>
      <w:numFmt w:val="decimal"/>
      <w:pStyle w:val="237"/>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Cu1BDoVIPXFffo87o3NSWxYg5Ddh2WL86zBFfC+RQvGSP6iRhAa6Y0XC1lp6auKQpioaShAYVxQH7yXIe1CgOw==" w:salt="A6lMQuEZWYr/D65r9MHe5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DdjZmE2YWNlMTUzYWVkNzFlNWVhNDhmZThiYmMifQ=="/>
  </w:docVars>
  <w:rsids>
    <w:rsidRoot w:val="007003F0"/>
    <w:rsid w:val="0000040A"/>
    <w:rsid w:val="00000A94"/>
    <w:rsid w:val="00001972"/>
    <w:rsid w:val="00001D9A"/>
    <w:rsid w:val="0000696B"/>
    <w:rsid w:val="00007B3A"/>
    <w:rsid w:val="000107E0"/>
    <w:rsid w:val="00011719"/>
    <w:rsid w:val="00011FDE"/>
    <w:rsid w:val="00012FFD"/>
    <w:rsid w:val="00014162"/>
    <w:rsid w:val="00014340"/>
    <w:rsid w:val="000169B9"/>
    <w:rsid w:val="00016A9C"/>
    <w:rsid w:val="00022184"/>
    <w:rsid w:val="00022762"/>
    <w:rsid w:val="000238E0"/>
    <w:rsid w:val="000249DB"/>
    <w:rsid w:val="0002595E"/>
    <w:rsid w:val="000303C3"/>
    <w:rsid w:val="00032686"/>
    <w:rsid w:val="000331D3"/>
    <w:rsid w:val="000346A5"/>
    <w:rsid w:val="000359C3"/>
    <w:rsid w:val="00035A7D"/>
    <w:rsid w:val="000365ED"/>
    <w:rsid w:val="0004249A"/>
    <w:rsid w:val="00043282"/>
    <w:rsid w:val="00043B5D"/>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23A"/>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8A4"/>
    <w:rsid w:val="000B3CDA"/>
    <w:rsid w:val="000B6A0B"/>
    <w:rsid w:val="000C0F6C"/>
    <w:rsid w:val="000C11DB"/>
    <w:rsid w:val="000C1492"/>
    <w:rsid w:val="000C2FBD"/>
    <w:rsid w:val="000C4B41"/>
    <w:rsid w:val="000C57D6"/>
    <w:rsid w:val="000C6362"/>
    <w:rsid w:val="000C7666"/>
    <w:rsid w:val="000D0A9C"/>
    <w:rsid w:val="000D1795"/>
    <w:rsid w:val="000D329A"/>
    <w:rsid w:val="000D3E30"/>
    <w:rsid w:val="000D4B9C"/>
    <w:rsid w:val="000D4EB6"/>
    <w:rsid w:val="000D753B"/>
    <w:rsid w:val="000E4C9E"/>
    <w:rsid w:val="000E55F0"/>
    <w:rsid w:val="000E6FD7"/>
    <w:rsid w:val="000F025A"/>
    <w:rsid w:val="000F06E1"/>
    <w:rsid w:val="000F0E3C"/>
    <w:rsid w:val="000F19D5"/>
    <w:rsid w:val="000F31AA"/>
    <w:rsid w:val="000F3C72"/>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4A66"/>
    <w:rsid w:val="00135323"/>
    <w:rsid w:val="001356C4"/>
    <w:rsid w:val="00137565"/>
    <w:rsid w:val="00141114"/>
    <w:rsid w:val="001415F1"/>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7BB"/>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A2B"/>
    <w:rsid w:val="001E1B6A"/>
    <w:rsid w:val="001E2484"/>
    <w:rsid w:val="001E3CC4"/>
    <w:rsid w:val="001E4882"/>
    <w:rsid w:val="001E73AB"/>
    <w:rsid w:val="001F092D"/>
    <w:rsid w:val="001F143A"/>
    <w:rsid w:val="001F1605"/>
    <w:rsid w:val="001F2508"/>
    <w:rsid w:val="001F4816"/>
    <w:rsid w:val="001F69B4"/>
    <w:rsid w:val="001F6DAB"/>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CEA"/>
    <w:rsid w:val="002253A1"/>
    <w:rsid w:val="00225CF8"/>
    <w:rsid w:val="0022794E"/>
    <w:rsid w:val="00233C51"/>
    <w:rsid w:val="00233D64"/>
    <w:rsid w:val="00234674"/>
    <w:rsid w:val="0023482A"/>
    <w:rsid w:val="002359CB"/>
    <w:rsid w:val="00243540"/>
    <w:rsid w:val="00243723"/>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1B5"/>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7AF"/>
    <w:rsid w:val="002B4508"/>
    <w:rsid w:val="002B5779"/>
    <w:rsid w:val="002B7332"/>
    <w:rsid w:val="002B7F51"/>
    <w:rsid w:val="002C09E7"/>
    <w:rsid w:val="002C1E06"/>
    <w:rsid w:val="002C3F07"/>
    <w:rsid w:val="002C5278"/>
    <w:rsid w:val="002C7EBB"/>
    <w:rsid w:val="002D06C1"/>
    <w:rsid w:val="002D2DB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C1A"/>
    <w:rsid w:val="003221B4"/>
    <w:rsid w:val="0032258D"/>
    <w:rsid w:val="00322E62"/>
    <w:rsid w:val="00324D13"/>
    <w:rsid w:val="00324EDD"/>
    <w:rsid w:val="00326ABE"/>
    <w:rsid w:val="003331E4"/>
    <w:rsid w:val="00336C64"/>
    <w:rsid w:val="00337162"/>
    <w:rsid w:val="003400DF"/>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6EF"/>
    <w:rsid w:val="00387ADC"/>
    <w:rsid w:val="00390020"/>
    <w:rsid w:val="003903D6"/>
    <w:rsid w:val="00390EE6"/>
    <w:rsid w:val="0039118F"/>
    <w:rsid w:val="00392AD7"/>
    <w:rsid w:val="003938D9"/>
    <w:rsid w:val="00394376"/>
    <w:rsid w:val="003943FF"/>
    <w:rsid w:val="003961E5"/>
    <w:rsid w:val="003974EB"/>
    <w:rsid w:val="00397CC5"/>
    <w:rsid w:val="003A00E9"/>
    <w:rsid w:val="003A1582"/>
    <w:rsid w:val="003A3D9C"/>
    <w:rsid w:val="003A4077"/>
    <w:rsid w:val="003A4AA7"/>
    <w:rsid w:val="003B09AD"/>
    <w:rsid w:val="003B1F18"/>
    <w:rsid w:val="003B5BF0"/>
    <w:rsid w:val="003B60BF"/>
    <w:rsid w:val="003B6BE3"/>
    <w:rsid w:val="003C010C"/>
    <w:rsid w:val="003C039F"/>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5A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15D"/>
    <w:rsid w:val="00485C89"/>
    <w:rsid w:val="00486BE3"/>
    <w:rsid w:val="004905E4"/>
    <w:rsid w:val="00490A89"/>
    <w:rsid w:val="00490AB4"/>
    <w:rsid w:val="00492F02"/>
    <w:rsid w:val="004939AE"/>
    <w:rsid w:val="004A12DF"/>
    <w:rsid w:val="004A1BA8"/>
    <w:rsid w:val="004A35C2"/>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FB8"/>
    <w:rsid w:val="004F391A"/>
    <w:rsid w:val="004F3CFB"/>
    <w:rsid w:val="004F6456"/>
    <w:rsid w:val="004F696E"/>
    <w:rsid w:val="004F6C71"/>
    <w:rsid w:val="00501139"/>
    <w:rsid w:val="0050363E"/>
    <w:rsid w:val="005039BC"/>
    <w:rsid w:val="005043BB"/>
    <w:rsid w:val="00504A3D"/>
    <w:rsid w:val="00505767"/>
    <w:rsid w:val="00506870"/>
    <w:rsid w:val="005073F0"/>
    <w:rsid w:val="00510A7B"/>
    <w:rsid w:val="00512F6E"/>
    <w:rsid w:val="00513038"/>
    <w:rsid w:val="00514174"/>
    <w:rsid w:val="00514E8E"/>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656"/>
    <w:rsid w:val="00573D9E"/>
    <w:rsid w:val="005801E3"/>
    <w:rsid w:val="00581802"/>
    <w:rsid w:val="005836A8"/>
    <w:rsid w:val="0058409C"/>
    <w:rsid w:val="00584262"/>
    <w:rsid w:val="00586630"/>
    <w:rsid w:val="00587ADD"/>
    <w:rsid w:val="00593655"/>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186"/>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F38"/>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0C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A1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402D"/>
    <w:rsid w:val="006C5A62"/>
    <w:rsid w:val="006C5D68"/>
    <w:rsid w:val="006C6976"/>
    <w:rsid w:val="006C6A70"/>
    <w:rsid w:val="006C6DD0"/>
    <w:rsid w:val="006D04EA"/>
    <w:rsid w:val="006D16C4"/>
    <w:rsid w:val="006D3E96"/>
    <w:rsid w:val="006D4515"/>
    <w:rsid w:val="006D4BB1"/>
    <w:rsid w:val="006D6593"/>
    <w:rsid w:val="006E0769"/>
    <w:rsid w:val="006E566C"/>
    <w:rsid w:val="006F03A8"/>
    <w:rsid w:val="006F2ACA"/>
    <w:rsid w:val="006F2ADC"/>
    <w:rsid w:val="006F2BFE"/>
    <w:rsid w:val="006F31E9"/>
    <w:rsid w:val="006F6284"/>
    <w:rsid w:val="007002C5"/>
    <w:rsid w:val="007003F0"/>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381"/>
    <w:rsid w:val="007439EB"/>
    <w:rsid w:val="00743CB4"/>
    <w:rsid w:val="00743F0A"/>
    <w:rsid w:val="007444E8"/>
    <w:rsid w:val="0074548E"/>
    <w:rsid w:val="00745773"/>
    <w:rsid w:val="00746800"/>
    <w:rsid w:val="007501A8"/>
    <w:rsid w:val="00750D61"/>
    <w:rsid w:val="00750EE1"/>
    <w:rsid w:val="007529AC"/>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65E"/>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D4C"/>
    <w:rsid w:val="007C2D89"/>
    <w:rsid w:val="007C4593"/>
    <w:rsid w:val="007C5309"/>
    <w:rsid w:val="007C6069"/>
    <w:rsid w:val="007D06C4"/>
    <w:rsid w:val="007D1352"/>
    <w:rsid w:val="007D2508"/>
    <w:rsid w:val="007D346A"/>
    <w:rsid w:val="007D3681"/>
    <w:rsid w:val="007D6518"/>
    <w:rsid w:val="007D76BD"/>
    <w:rsid w:val="007E0BF1"/>
    <w:rsid w:val="007E6324"/>
    <w:rsid w:val="007F0ED8"/>
    <w:rsid w:val="007F0F63"/>
    <w:rsid w:val="007F7458"/>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4DF"/>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643"/>
    <w:rsid w:val="00863E05"/>
    <w:rsid w:val="00865ACA"/>
    <w:rsid w:val="00865D28"/>
    <w:rsid w:val="00865F85"/>
    <w:rsid w:val="00867C10"/>
    <w:rsid w:val="00870439"/>
    <w:rsid w:val="00870DA1"/>
    <w:rsid w:val="0087714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45E"/>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4DD3"/>
    <w:rsid w:val="008F70BD"/>
    <w:rsid w:val="008F788F"/>
    <w:rsid w:val="008F7EA2"/>
    <w:rsid w:val="0090106A"/>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7D7"/>
    <w:rsid w:val="0095496B"/>
    <w:rsid w:val="00960F1E"/>
    <w:rsid w:val="009610DC"/>
    <w:rsid w:val="00961490"/>
    <w:rsid w:val="00962F3D"/>
    <w:rsid w:val="0096381A"/>
    <w:rsid w:val="00965E04"/>
    <w:rsid w:val="009674AD"/>
    <w:rsid w:val="00970CDC"/>
    <w:rsid w:val="00975727"/>
    <w:rsid w:val="00976910"/>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EC8"/>
    <w:rsid w:val="009A21CD"/>
    <w:rsid w:val="009A278C"/>
    <w:rsid w:val="009A2BC2"/>
    <w:rsid w:val="009A42C1"/>
    <w:rsid w:val="009A5429"/>
    <w:rsid w:val="009A6047"/>
    <w:rsid w:val="009A72AD"/>
    <w:rsid w:val="009B09E0"/>
    <w:rsid w:val="009B0BC5"/>
    <w:rsid w:val="009B1247"/>
    <w:rsid w:val="009B6029"/>
    <w:rsid w:val="009B6971"/>
    <w:rsid w:val="009C27F1"/>
    <w:rsid w:val="009C3152"/>
    <w:rsid w:val="009C3257"/>
    <w:rsid w:val="009C4CFA"/>
    <w:rsid w:val="009C5070"/>
    <w:rsid w:val="009C5B73"/>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960"/>
    <w:rsid w:val="00A14C8E"/>
    <w:rsid w:val="00A153D9"/>
    <w:rsid w:val="00A15F09"/>
    <w:rsid w:val="00A169B6"/>
    <w:rsid w:val="00A2271D"/>
    <w:rsid w:val="00A237D5"/>
    <w:rsid w:val="00A30EFC"/>
    <w:rsid w:val="00A31984"/>
    <w:rsid w:val="00A31CC3"/>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E61"/>
    <w:rsid w:val="00A648CD"/>
    <w:rsid w:val="00A6537A"/>
    <w:rsid w:val="00A67866"/>
    <w:rsid w:val="00A70B07"/>
    <w:rsid w:val="00A723F8"/>
    <w:rsid w:val="00A740A0"/>
    <w:rsid w:val="00A77CCB"/>
    <w:rsid w:val="00A83D8D"/>
    <w:rsid w:val="00A8446B"/>
    <w:rsid w:val="00A8473F"/>
    <w:rsid w:val="00A862D6"/>
    <w:rsid w:val="00A8715E"/>
    <w:rsid w:val="00A9295B"/>
    <w:rsid w:val="00A93B09"/>
    <w:rsid w:val="00A952D7"/>
    <w:rsid w:val="00A963F7"/>
    <w:rsid w:val="00A96AD8"/>
    <w:rsid w:val="00AA052C"/>
    <w:rsid w:val="00AA1E45"/>
    <w:rsid w:val="00AA2B73"/>
    <w:rsid w:val="00AA4286"/>
    <w:rsid w:val="00AA456B"/>
    <w:rsid w:val="00AA57F5"/>
    <w:rsid w:val="00AA672E"/>
    <w:rsid w:val="00AA6EC9"/>
    <w:rsid w:val="00AB02F3"/>
    <w:rsid w:val="00AB4665"/>
    <w:rsid w:val="00AB6309"/>
    <w:rsid w:val="00AB6C5F"/>
    <w:rsid w:val="00AB7129"/>
    <w:rsid w:val="00AB7A60"/>
    <w:rsid w:val="00AC27A6"/>
    <w:rsid w:val="00AC30F7"/>
    <w:rsid w:val="00AC3A5A"/>
    <w:rsid w:val="00AC4D95"/>
    <w:rsid w:val="00AC5DF4"/>
    <w:rsid w:val="00AC661D"/>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976"/>
    <w:rsid w:val="00B00F97"/>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4A3"/>
    <w:rsid w:val="00B440F4"/>
    <w:rsid w:val="00B447A5"/>
    <w:rsid w:val="00B45DF3"/>
    <w:rsid w:val="00B4654C"/>
    <w:rsid w:val="00B47293"/>
    <w:rsid w:val="00B50E50"/>
    <w:rsid w:val="00B52120"/>
    <w:rsid w:val="00B54ABC"/>
    <w:rsid w:val="00B56FBE"/>
    <w:rsid w:val="00B60ACF"/>
    <w:rsid w:val="00B625C9"/>
    <w:rsid w:val="00B62B58"/>
    <w:rsid w:val="00B65149"/>
    <w:rsid w:val="00B66567"/>
    <w:rsid w:val="00B66F52"/>
    <w:rsid w:val="00B66FE5"/>
    <w:rsid w:val="00B72880"/>
    <w:rsid w:val="00B758BF"/>
    <w:rsid w:val="00B75C87"/>
    <w:rsid w:val="00B77EC8"/>
    <w:rsid w:val="00B827A6"/>
    <w:rsid w:val="00B831CE"/>
    <w:rsid w:val="00B86677"/>
    <w:rsid w:val="00B87131"/>
    <w:rsid w:val="00B928D7"/>
    <w:rsid w:val="00B939B1"/>
    <w:rsid w:val="00B96D40"/>
    <w:rsid w:val="00B97386"/>
    <w:rsid w:val="00BA1131"/>
    <w:rsid w:val="00BA263B"/>
    <w:rsid w:val="00BA42B2"/>
    <w:rsid w:val="00BA58D4"/>
    <w:rsid w:val="00BA5B9E"/>
    <w:rsid w:val="00BA7C9A"/>
    <w:rsid w:val="00BB3CD2"/>
    <w:rsid w:val="00BB5D99"/>
    <w:rsid w:val="00BB5F8F"/>
    <w:rsid w:val="00BB657A"/>
    <w:rsid w:val="00BC1A4E"/>
    <w:rsid w:val="00BC5DC7"/>
    <w:rsid w:val="00BC6B8B"/>
    <w:rsid w:val="00BC73D8"/>
    <w:rsid w:val="00BD52D7"/>
    <w:rsid w:val="00BD5AD2"/>
    <w:rsid w:val="00BD5C4C"/>
    <w:rsid w:val="00BE22F3"/>
    <w:rsid w:val="00BE5B52"/>
    <w:rsid w:val="00BE7B8D"/>
    <w:rsid w:val="00BF0993"/>
    <w:rsid w:val="00BF10A9"/>
    <w:rsid w:val="00BF1703"/>
    <w:rsid w:val="00BF231C"/>
    <w:rsid w:val="00BF4062"/>
    <w:rsid w:val="00BF51E5"/>
    <w:rsid w:val="00BF74A6"/>
    <w:rsid w:val="00C013AD"/>
    <w:rsid w:val="00C04904"/>
    <w:rsid w:val="00C056B3"/>
    <w:rsid w:val="00C103E5"/>
    <w:rsid w:val="00C13319"/>
    <w:rsid w:val="00C13EE9"/>
    <w:rsid w:val="00C14193"/>
    <w:rsid w:val="00C15C2B"/>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4CA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8BD"/>
    <w:rsid w:val="00C92D03"/>
    <w:rsid w:val="00C9319C"/>
    <w:rsid w:val="00C9435D"/>
    <w:rsid w:val="00C94DF2"/>
    <w:rsid w:val="00C96741"/>
    <w:rsid w:val="00CA2A9E"/>
    <w:rsid w:val="00CA2D1B"/>
    <w:rsid w:val="00CA375D"/>
    <w:rsid w:val="00CA662A"/>
    <w:rsid w:val="00CA7AFD"/>
    <w:rsid w:val="00CA7C3C"/>
    <w:rsid w:val="00CB0189"/>
    <w:rsid w:val="00CB0BA2"/>
    <w:rsid w:val="00CB1A42"/>
    <w:rsid w:val="00CB1B0C"/>
    <w:rsid w:val="00CB2C0B"/>
    <w:rsid w:val="00CB4844"/>
    <w:rsid w:val="00CB517D"/>
    <w:rsid w:val="00CB6010"/>
    <w:rsid w:val="00CC038D"/>
    <w:rsid w:val="00CC08DB"/>
    <w:rsid w:val="00CC39FF"/>
    <w:rsid w:val="00CC3C2F"/>
    <w:rsid w:val="00CC4AC8"/>
    <w:rsid w:val="00CC5233"/>
    <w:rsid w:val="00CC5DE6"/>
    <w:rsid w:val="00CC6E4E"/>
    <w:rsid w:val="00CC6FE8"/>
    <w:rsid w:val="00CC7202"/>
    <w:rsid w:val="00CD1788"/>
    <w:rsid w:val="00CD2808"/>
    <w:rsid w:val="00CD28BF"/>
    <w:rsid w:val="00CD4092"/>
    <w:rsid w:val="00CD4A20"/>
    <w:rsid w:val="00CD50A1"/>
    <w:rsid w:val="00CD519E"/>
    <w:rsid w:val="00CE0C4F"/>
    <w:rsid w:val="00CE30EA"/>
    <w:rsid w:val="00CE72D4"/>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5FA6"/>
    <w:rsid w:val="00D2661A"/>
    <w:rsid w:val="00D27582"/>
    <w:rsid w:val="00D27EC4"/>
    <w:rsid w:val="00D32719"/>
    <w:rsid w:val="00D33333"/>
    <w:rsid w:val="00D352A2"/>
    <w:rsid w:val="00D357BF"/>
    <w:rsid w:val="00D35961"/>
    <w:rsid w:val="00D4162B"/>
    <w:rsid w:val="00D4514F"/>
    <w:rsid w:val="00D451E2"/>
    <w:rsid w:val="00D45E89"/>
    <w:rsid w:val="00D45E8D"/>
    <w:rsid w:val="00D466AE"/>
    <w:rsid w:val="00D4734F"/>
    <w:rsid w:val="00D517E2"/>
    <w:rsid w:val="00D51BF3"/>
    <w:rsid w:val="00D66846"/>
    <w:rsid w:val="00D675FB"/>
    <w:rsid w:val="00D71F25"/>
    <w:rsid w:val="00D72A9C"/>
    <w:rsid w:val="00D75D59"/>
    <w:rsid w:val="00D77031"/>
    <w:rsid w:val="00D84941"/>
    <w:rsid w:val="00D84FA1"/>
    <w:rsid w:val="00D851F0"/>
    <w:rsid w:val="00D86DB7"/>
    <w:rsid w:val="00D87BF5"/>
    <w:rsid w:val="00D90721"/>
    <w:rsid w:val="00D926D0"/>
    <w:rsid w:val="00D93030"/>
    <w:rsid w:val="00D937DC"/>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3339"/>
    <w:rsid w:val="00E1361F"/>
    <w:rsid w:val="00E15CCD"/>
    <w:rsid w:val="00E202EF"/>
    <w:rsid w:val="00E210B5"/>
    <w:rsid w:val="00E2552F"/>
    <w:rsid w:val="00E3137A"/>
    <w:rsid w:val="00E32CCF"/>
    <w:rsid w:val="00E34A98"/>
    <w:rsid w:val="00E35D1E"/>
    <w:rsid w:val="00E364F9"/>
    <w:rsid w:val="00E365FA"/>
    <w:rsid w:val="00E36789"/>
    <w:rsid w:val="00E40377"/>
    <w:rsid w:val="00E44A83"/>
    <w:rsid w:val="00E502C1"/>
    <w:rsid w:val="00E502DD"/>
    <w:rsid w:val="00E50D3A"/>
    <w:rsid w:val="00E51387"/>
    <w:rsid w:val="00E51E68"/>
    <w:rsid w:val="00E52570"/>
    <w:rsid w:val="00E52D36"/>
    <w:rsid w:val="00E52EFD"/>
    <w:rsid w:val="00E5408A"/>
    <w:rsid w:val="00E56800"/>
    <w:rsid w:val="00E60C63"/>
    <w:rsid w:val="00E62FF9"/>
    <w:rsid w:val="00E635D6"/>
    <w:rsid w:val="00E639BC"/>
    <w:rsid w:val="00E664CC"/>
    <w:rsid w:val="00E70388"/>
    <w:rsid w:val="00E70F92"/>
    <w:rsid w:val="00E71395"/>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8EF"/>
    <w:rsid w:val="00EA1C9C"/>
    <w:rsid w:val="00EA58D1"/>
    <w:rsid w:val="00EA61BC"/>
    <w:rsid w:val="00EA681A"/>
    <w:rsid w:val="00EA735B"/>
    <w:rsid w:val="00EB1E69"/>
    <w:rsid w:val="00EB2086"/>
    <w:rsid w:val="00EB31ED"/>
    <w:rsid w:val="00EB5EDF"/>
    <w:rsid w:val="00EB60FE"/>
    <w:rsid w:val="00EB74DB"/>
    <w:rsid w:val="00EC21BD"/>
    <w:rsid w:val="00EC5359"/>
    <w:rsid w:val="00EC562A"/>
    <w:rsid w:val="00EC7C8E"/>
    <w:rsid w:val="00ED067A"/>
    <w:rsid w:val="00ED2B50"/>
    <w:rsid w:val="00EE0350"/>
    <w:rsid w:val="00EE0719"/>
    <w:rsid w:val="00EE0E80"/>
    <w:rsid w:val="00EE613F"/>
    <w:rsid w:val="00EE7295"/>
    <w:rsid w:val="00EE7869"/>
    <w:rsid w:val="00EF054A"/>
    <w:rsid w:val="00EF3235"/>
    <w:rsid w:val="00EF7C7B"/>
    <w:rsid w:val="00EF7E72"/>
    <w:rsid w:val="00F04715"/>
    <w:rsid w:val="00F06086"/>
    <w:rsid w:val="00F06D37"/>
    <w:rsid w:val="00F07B9D"/>
    <w:rsid w:val="00F11586"/>
    <w:rsid w:val="00F1183B"/>
    <w:rsid w:val="00F11C9F"/>
    <w:rsid w:val="00F12263"/>
    <w:rsid w:val="00F1409D"/>
    <w:rsid w:val="00F14214"/>
    <w:rsid w:val="00F157A9"/>
    <w:rsid w:val="00F16F00"/>
    <w:rsid w:val="00F20635"/>
    <w:rsid w:val="00F25BB6"/>
    <w:rsid w:val="00F26B7E"/>
    <w:rsid w:val="00F27A3B"/>
    <w:rsid w:val="00F33817"/>
    <w:rsid w:val="00F3452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DC3"/>
    <w:rsid w:val="00F846AF"/>
    <w:rsid w:val="00F84FD0"/>
    <w:rsid w:val="00F859A8"/>
    <w:rsid w:val="00F86D87"/>
    <w:rsid w:val="00F9108B"/>
    <w:rsid w:val="00F91349"/>
    <w:rsid w:val="00F93A8A"/>
    <w:rsid w:val="00F95248"/>
    <w:rsid w:val="00F956A9"/>
    <w:rsid w:val="00F963ED"/>
    <w:rsid w:val="00F966CF"/>
    <w:rsid w:val="00F96CAE"/>
    <w:rsid w:val="00F9782D"/>
    <w:rsid w:val="00F97C99"/>
    <w:rsid w:val="00FA662D"/>
    <w:rsid w:val="00FA73B1"/>
    <w:rsid w:val="00FB0CB9"/>
    <w:rsid w:val="00FB231D"/>
    <w:rsid w:val="00FB45F1"/>
    <w:rsid w:val="00FB4A72"/>
    <w:rsid w:val="00FB54E8"/>
    <w:rsid w:val="00FB7054"/>
    <w:rsid w:val="00FC17B7"/>
    <w:rsid w:val="00FC2CB7"/>
    <w:rsid w:val="00FC4090"/>
    <w:rsid w:val="00FC55B4"/>
    <w:rsid w:val="00FD0056"/>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A9789D"/>
    <w:rsid w:val="098A62B3"/>
    <w:rsid w:val="0ADD11E0"/>
    <w:rsid w:val="0AFE2A83"/>
    <w:rsid w:val="12EC3D00"/>
    <w:rsid w:val="16110064"/>
    <w:rsid w:val="173069C1"/>
    <w:rsid w:val="1BA52DB6"/>
    <w:rsid w:val="1C116575"/>
    <w:rsid w:val="1D320E51"/>
    <w:rsid w:val="21964021"/>
    <w:rsid w:val="243A47DA"/>
    <w:rsid w:val="2AC45F2A"/>
    <w:rsid w:val="2FBC4D4D"/>
    <w:rsid w:val="326D5DC3"/>
    <w:rsid w:val="34637C50"/>
    <w:rsid w:val="347E0B1D"/>
    <w:rsid w:val="35AA485D"/>
    <w:rsid w:val="36554C2D"/>
    <w:rsid w:val="38E64E39"/>
    <w:rsid w:val="40850D15"/>
    <w:rsid w:val="49955B3C"/>
    <w:rsid w:val="49BC3D6B"/>
    <w:rsid w:val="4AF039A1"/>
    <w:rsid w:val="4BCA1434"/>
    <w:rsid w:val="4BD82C07"/>
    <w:rsid w:val="4E904B1F"/>
    <w:rsid w:val="4F2B0E6E"/>
    <w:rsid w:val="52EE03C2"/>
    <w:rsid w:val="5446232B"/>
    <w:rsid w:val="6139161F"/>
    <w:rsid w:val="6BC37928"/>
    <w:rsid w:val="6EE178D5"/>
    <w:rsid w:val="73EC5E11"/>
    <w:rsid w:val="770A3447"/>
    <w:rsid w:val="786541B6"/>
    <w:rsid w:val="7C7A06FF"/>
    <w:rsid w:val="7E633947"/>
    <w:rsid w:val="7FCB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link w:val="231"/>
    <w:qFormat/>
    <w:uiPriority w:val="0"/>
    <w:pPr>
      <w:spacing w:line="240" w:lineRule="auto"/>
      <w:ind w:firstLine="420" w:firstLineChars="200"/>
    </w:pPr>
    <w:rPr>
      <w:rFonts w:ascii="Times New Roman" w:hAnsi="Times New Roman" w:cs="Calibri"/>
    </w:rPr>
  </w:style>
  <w:style w:type="character" w:customStyle="1" w:styleId="231">
    <w:name w:val="段 字符"/>
    <w:basedOn w:val="28"/>
    <w:link w:val="230"/>
    <w:qFormat/>
    <w:uiPriority w:val="0"/>
    <w:rPr>
      <w:rFonts w:ascii="Times New Roman" w:hAnsi="Times New Roman" w:cs="Calibri"/>
      <w:kern w:val="2"/>
      <w:sz w:val="21"/>
      <w:szCs w:val="21"/>
    </w:rPr>
  </w:style>
  <w:style w:type="paragraph" w:customStyle="1" w:styleId="232">
    <w:name w:val="1章标题"/>
    <w:next w:val="56"/>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33">
    <w:name w:val="一级条标题"/>
    <w:basedOn w:val="105"/>
    <w:next w:val="230"/>
    <w:link w:val="234"/>
    <w:qFormat/>
    <w:uiPriority w:val="0"/>
    <w:pPr>
      <w:numPr>
        <w:numId w:val="1"/>
      </w:numPr>
      <w:tabs>
        <w:tab w:val="left" w:pos="1646"/>
        <w:tab w:val="left" w:pos="2258"/>
      </w:tabs>
      <w:spacing w:before="156" w:after="156"/>
    </w:pPr>
    <w:rPr>
      <w:rFonts w:ascii="Times New Roman" w:cs="黑体"/>
      <w:szCs w:val="21"/>
    </w:rPr>
  </w:style>
  <w:style w:type="character" w:customStyle="1" w:styleId="234">
    <w:name w:val="一级条标题 字符"/>
    <w:basedOn w:val="28"/>
    <w:link w:val="233"/>
    <w:qFormat/>
    <w:uiPriority w:val="0"/>
    <w:rPr>
      <w:rFonts w:ascii="Times New Roman" w:hAnsi="Times New Roman" w:eastAsia="黑体" w:cs="黑体"/>
      <w:sz w:val="21"/>
      <w:szCs w:val="21"/>
    </w:rPr>
  </w:style>
  <w:style w:type="paragraph" w:customStyle="1" w:styleId="235">
    <w:name w:val="二级条标题"/>
    <w:basedOn w:val="65"/>
    <w:next w:val="230"/>
    <w:link w:val="236"/>
    <w:qFormat/>
    <w:uiPriority w:val="0"/>
    <w:pPr>
      <w:numPr>
        <w:numId w:val="1"/>
      </w:numPr>
      <w:tabs>
        <w:tab w:val="left" w:pos="2678"/>
      </w:tabs>
      <w:ind w:left="0" w:firstLine="0"/>
    </w:pPr>
    <w:rPr>
      <w:rFonts w:ascii="Times New Roman" w:cs="黑体"/>
      <w:szCs w:val="21"/>
    </w:rPr>
  </w:style>
  <w:style w:type="character" w:customStyle="1" w:styleId="236">
    <w:name w:val="二级条标题 字符"/>
    <w:basedOn w:val="28"/>
    <w:link w:val="235"/>
    <w:qFormat/>
    <w:uiPriority w:val="0"/>
    <w:rPr>
      <w:rFonts w:ascii="Times New Roman" w:hAnsi="Times New Roman" w:eastAsia="黑体" w:cs="黑体"/>
      <w:sz w:val="21"/>
      <w:szCs w:val="21"/>
    </w:rPr>
  </w:style>
  <w:style w:type="paragraph" w:customStyle="1" w:styleId="237">
    <w:name w:val="正文图题"/>
    <w:basedOn w:val="23"/>
    <w:next w:val="230"/>
    <w:qFormat/>
    <w:uiPriority w:val="0"/>
    <w:pPr>
      <w:numPr>
        <w:ilvl w:val="0"/>
        <w:numId w:val="32"/>
      </w:numPr>
      <w:adjustRightInd w:val="0"/>
      <w:spacing w:before="50" w:beforeLines="50" w:after="50" w:afterLines="50"/>
      <w:ind w:left="0" w:firstLine="0"/>
      <w:jc w:val="center"/>
    </w:pPr>
    <w:rPr>
      <w:rFonts w:ascii="Times New Roman" w:hAnsi="Times New Roman" w:eastAsia="黑体" w:cs="Calibri"/>
      <w:szCs w:val="21"/>
    </w:rPr>
  </w:style>
  <w:style w:type="paragraph" w:customStyle="1" w:styleId="238">
    <w:name w:val="章标题"/>
    <w:basedOn w:val="232"/>
    <w:next w:val="230"/>
    <w:link w:val="239"/>
    <w:qFormat/>
    <w:uiPriority w:val="0"/>
    <w:pPr>
      <w:numPr>
        <w:ilvl w:val="1"/>
        <w:numId w:val="1"/>
      </w:numPr>
      <w:tabs>
        <w:tab w:val="clear" w:pos="1838"/>
      </w:tabs>
      <w:spacing w:before="312" w:beforeLines="100" w:after="312" w:afterLines="100"/>
      <w:ind w:left="0" w:firstLine="0"/>
    </w:pPr>
    <w:rPr>
      <w:rFonts w:ascii="Times New Roman"/>
    </w:rPr>
  </w:style>
  <w:style w:type="character" w:customStyle="1" w:styleId="239">
    <w:name w:val="章标题 字符"/>
    <w:basedOn w:val="28"/>
    <w:link w:val="238"/>
    <w:qFormat/>
    <w:uiPriority w:val="0"/>
    <w:rPr>
      <w:rFonts w:ascii="Times New Roman" w:hAnsi="Times New Roman" w:eastAsia="黑体" w:cs="黑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3653</Words>
  <Characters>3940</Characters>
  <Lines>134</Lines>
  <Paragraphs>186</Paragraphs>
  <TotalTime>4</TotalTime>
  <ScaleCrop>false</ScaleCrop>
  <LinksUpToDate>false</LinksUpToDate>
  <CharactersWithSpaces>4038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2025-11-02T01:14:00Z</dcterms:created>
  <dc:creator>Dell</dc:creator>
  <dc:description>&lt;config cover="true" show_menu="true" version="1.0.0" doctype="SDKXY"&gt;_x000d_
&lt;/config&gt;</dc:description>
  <cp:lastModifiedBy>菲儿</cp:lastModifiedBy>
  <cp:lastPrinted>2021-02-02T08:22:00Z</cp:lastPrinted>
  <dcterms:modified xsi:type="dcterms:W3CDTF">2025-11-10T08:19:34Z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398A57ACFB7C4EF78117C9648FCE69E8_13</vt:lpwstr>
  </property>
  <property fmtid="{D5CDD505-2E9C-101B-9397-08002B2CF9AE}" pid="16" name="KSOTemplateDocerSaveRecord">
    <vt:lpwstr>eyJoZGlkIjoiN2E5ZGE4MTMwMzdjOGVkZDZlN2Y5OWNiNTFkZThjNjIiLCJ1c2VySWQiOiI0NjkzMTgyMjcifQ==</vt:lpwstr>
  </property>
</Properties>
</file>