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87A4F8">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《海南消费领域区域公共品牌食品加工技术规范》</w:t>
      </w:r>
    </w:p>
    <w:p w14:paraId="3F2DEC06">
      <w:pPr>
        <w:pStyle w:val="9"/>
        <w:spacing w:before="77"/>
        <w:ind w:left="997" w:firstLine="866"/>
        <w:rPr>
          <w:rFonts w:hint="eastAsia" w:ascii="宋体" w:hAnsi="宋体" w:eastAsia="宋体" w:cs="宋体"/>
          <w:spacing w:val="-7"/>
          <w:lang w:val="en-US" w:eastAsia="zh-CN"/>
        </w:rPr>
      </w:pPr>
      <w:r>
        <w:rPr>
          <w:rFonts w:hint="eastAsia" w:ascii="宋体" w:hAnsi="宋体" w:eastAsia="宋体" w:cs="宋体"/>
          <w:spacing w:val="-7"/>
          <w:lang w:val="en-US" w:eastAsia="zh-CN"/>
        </w:rPr>
        <w:t>团体标准编制说明</w:t>
      </w:r>
    </w:p>
    <w:p w14:paraId="5FC46C6F">
      <w:pPr>
        <w:pStyle w:val="5"/>
        <w:spacing w:before="12"/>
        <w:ind w:left="0" w:firstLine="1240"/>
        <w:rPr>
          <w:sz w:val="62"/>
        </w:rPr>
      </w:pPr>
    </w:p>
    <w:p w14:paraId="0D80B864">
      <w:pPr>
        <w:pStyle w:val="2"/>
        <w:rPr>
          <w:rFonts w:hint="eastAsia" w:ascii="Times New Roman" w:hAnsi="Times New Roman"/>
        </w:rPr>
      </w:pPr>
      <w:r>
        <w:rPr>
          <w:rFonts w:hint="eastAsia" w:ascii="Times New Roman" w:hAnsi="Times New Roman"/>
        </w:rPr>
        <w:t>一、项目简况</w:t>
      </w:r>
    </w:p>
    <w:p w14:paraId="1E2E948B">
      <w:pPr>
        <w:pStyle w:val="2"/>
        <w:rPr>
          <w:rFonts w:hint="eastAsia" w:ascii="Times New Roman" w:hAnsi="Times New Roman" w:eastAsia="仿宋"/>
          <w:lang w:eastAsia="zh-CN"/>
        </w:rPr>
      </w:pPr>
      <w:r>
        <w:rPr>
          <w:rFonts w:hint="eastAsia" w:ascii="Times New Roman" w:hAnsi="Times New Roman"/>
        </w:rPr>
        <w:t>（一）标准名称：</w:t>
      </w:r>
      <w:r>
        <w:rPr>
          <w:rFonts w:hint="eastAsia" w:ascii="Times New Roman" w:hAnsi="Times New Roman"/>
          <w:b w:val="0"/>
          <w:bCs w:val="0"/>
        </w:rPr>
        <w:t>《 海南消费领域区域公共品牌食品加工技术规范》</w:t>
      </w:r>
      <w:r>
        <w:rPr>
          <w:rFonts w:hint="eastAsia" w:ascii="Times New Roman" w:hAnsi="Times New Roman"/>
          <w:b w:val="0"/>
          <w:bCs w:val="0"/>
          <w:lang w:eastAsia="zh-CN"/>
        </w:rPr>
        <w:t>。</w:t>
      </w:r>
    </w:p>
    <w:p w14:paraId="7C056585">
      <w:pPr>
        <w:pStyle w:val="2"/>
        <w:rPr>
          <w:rFonts w:hint="eastAsia" w:ascii="Times New Roman" w:hAnsi="Times New Roman"/>
          <w:b w:val="0"/>
          <w:bCs w:val="0"/>
        </w:rPr>
      </w:pPr>
      <w:r>
        <w:rPr>
          <w:rFonts w:hint="eastAsia" w:ascii="Times New Roman" w:hAnsi="Times New Roman"/>
        </w:rPr>
        <w:t>（二）任务来源（项目计划号）：</w:t>
      </w:r>
      <w:r>
        <w:rPr>
          <w:rFonts w:hint="eastAsia" w:ascii="Times New Roman" w:hAnsi="Times New Roman"/>
          <w:b w:val="0"/>
          <w:bCs w:val="0"/>
          <w:lang w:val="en-US" w:eastAsia="zh-CN"/>
        </w:rPr>
        <w:t>HNQA-2025-T13。</w:t>
      </w:r>
    </w:p>
    <w:p w14:paraId="76149507">
      <w:pPr>
        <w:pStyle w:val="2"/>
        <w:rPr>
          <w:rFonts w:hint="eastAsia" w:ascii="Times New Roman" w:hAnsi="Times New Roman"/>
          <w:b w:val="0"/>
          <w:bCs w:val="0"/>
        </w:rPr>
      </w:pPr>
      <w:r>
        <w:rPr>
          <w:rFonts w:hint="eastAsia" w:ascii="Times New Roman" w:hAnsi="Times New Roman"/>
        </w:rPr>
        <w:t>（三）起草单位：</w:t>
      </w:r>
      <w:r>
        <w:rPr>
          <w:rFonts w:hint="eastAsia" w:ascii="Times New Roman" w:hAnsi="Times New Roman"/>
          <w:b w:val="0"/>
          <w:bCs w:val="0"/>
        </w:rPr>
        <w:t xml:space="preserve"> </w:t>
      </w:r>
      <w:r>
        <w:rPr>
          <w:rFonts w:hint="eastAsia" w:ascii="Times New Roman" w:hAnsi="Times New Roman"/>
          <w:b w:val="0"/>
          <w:bCs w:val="0"/>
          <w:lang w:val="en-US" w:eastAsia="zh-CN"/>
        </w:rPr>
        <w:t>方圆标志认证集团有限公司。</w:t>
      </w:r>
    </w:p>
    <w:p w14:paraId="0EA6152C">
      <w:pPr>
        <w:pStyle w:val="2"/>
        <w:rPr>
          <w:rFonts w:hint="eastAsia" w:ascii="Times New Roman" w:hAnsi="Times New Roman"/>
        </w:rPr>
      </w:pPr>
      <w:r>
        <w:rPr>
          <w:rFonts w:hint="eastAsia" w:ascii="Times New Roman" w:hAnsi="Times New Roman"/>
        </w:rPr>
        <w:t>（四）单位地址：</w:t>
      </w:r>
      <w:r>
        <w:rPr>
          <w:rFonts w:hint="eastAsia" w:ascii="Times New Roman" w:hAnsi="Times New Roman"/>
          <w:lang w:val="en-US" w:eastAsia="zh-CN"/>
        </w:rPr>
        <w:t xml:space="preserve"> </w:t>
      </w:r>
      <w:r>
        <w:rPr>
          <w:rFonts w:hint="eastAsia" w:ascii="Times New Roman" w:hAnsi="Times New Roman"/>
          <w:b w:val="0"/>
          <w:bCs w:val="0"/>
          <w:lang w:val="en-US" w:eastAsia="zh-CN"/>
        </w:rPr>
        <w:t>北京市海淀区增光路33号。</w:t>
      </w:r>
    </w:p>
    <w:p w14:paraId="1486F48E">
      <w:pPr>
        <w:pStyle w:val="2"/>
        <w:rPr>
          <w:rFonts w:hint="default" w:ascii="Times New Roman" w:hAnsi="Times New Roman"/>
          <w:lang w:val="en-US"/>
        </w:rPr>
      </w:pPr>
      <w:r>
        <w:rPr>
          <w:rFonts w:hint="eastAsia" w:ascii="Times New Roman" w:hAnsi="Times New Roman"/>
        </w:rPr>
        <w:t>（五）参与起草单位：</w:t>
      </w:r>
    </w:p>
    <w:p w14:paraId="1860AE93">
      <w:pPr>
        <w:pStyle w:val="2"/>
        <w:rPr>
          <w:rFonts w:hint="eastAsia" w:ascii="Times New Roman" w:hAnsi="Times New Roman"/>
        </w:rPr>
      </w:pPr>
      <w:r>
        <w:rPr>
          <w:rFonts w:hint="eastAsia" w:ascii="Times New Roman" w:hAnsi="Times New Roman"/>
        </w:rPr>
        <w:t>（六）标准起草人：</w:t>
      </w:r>
    </w:p>
    <w:p w14:paraId="5015FFB7">
      <w:pPr>
        <w:ind w:firstLine="0" w:firstLineChars="0"/>
        <w:jc w:val="center"/>
        <w:rPr>
          <w:szCs w:val="28"/>
        </w:rPr>
      </w:pPr>
      <w:r>
        <w:rPr>
          <w:rFonts w:hint="eastAsia"/>
          <w:szCs w:val="28"/>
        </w:rPr>
        <w:t>表1</w:t>
      </w:r>
      <w:r>
        <w:rPr>
          <w:szCs w:val="28"/>
        </w:rPr>
        <w:t xml:space="preserve"> </w:t>
      </w:r>
      <w:r>
        <w:rPr>
          <w:rFonts w:hint="eastAsia"/>
          <w:szCs w:val="28"/>
        </w:rPr>
        <w:t>标准起草人</w:t>
      </w:r>
    </w:p>
    <w:p w14:paraId="76FFDFCD">
      <w:pPr>
        <w:pStyle w:val="5"/>
        <w:spacing w:before="10"/>
        <w:ind w:left="0" w:firstLine="140"/>
        <w:rPr>
          <w:sz w:val="7"/>
        </w:rPr>
      </w:pPr>
    </w:p>
    <w:tbl>
      <w:tblPr>
        <w:tblStyle w:val="12"/>
        <w:tblW w:w="0" w:type="auto"/>
        <w:tblInd w:w="1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9"/>
        <w:gridCol w:w="1096"/>
        <w:gridCol w:w="1662"/>
        <w:gridCol w:w="874"/>
        <w:gridCol w:w="845"/>
        <w:gridCol w:w="2840"/>
        <w:gridCol w:w="1276"/>
      </w:tblGrid>
      <w:tr w14:paraId="225D5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5139B0E2">
            <w:pPr>
              <w:pStyle w:val="14"/>
              <w:spacing w:before="75"/>
              <w:ind w:firstLine="0" w:firstLineChars="0"/>
              <w:jc w:val="center"/>
              <w:rPr>
                <w:sz w:val="24"/>
              </w:rPr>
            </w:pPr>
            <w:r>
              <w:rPr>
                <w:spacing w:val="-5"/>
                <w:sz w:val="24"/>
              </w:rPr>
              <w:t>序号</w:t>
            </w:r>
          </w:p>
        </w:tc>
        <w:tc>
          <w:tcPr>
            <w:tcW w:w="1096" w:type="dxa"/>
            <w:vAlign w:val="center"/>
          </w:tcPr>
          <w:p w14:paraId="2D43C038">
            <w:pPr>
              <w:pStyle w:val="14"/>
              <w:spacing w:before="75"/>
              <w:ind w:firstLine="0" w:firstLineChars="0"/>
              <w:jc w:val="center"/>
              <w:rPr>
                <w:sz w:val="24"/>
              </w:rPr>
            </w:pPr>
            <w:r>
              <w:rPr>
                <w:spacing w:val="-5"/>
                <w:sz w:val="24"/>
              </w:rPr>
              <w:t>姓名</w:t>
            </w:r>
          </w:p>
        </w:tc>
        <w:tc>
          <w:tcPr>
            <w:tcW w:w="1662" w:type="dxa"/>
            <w:vAlign w:val="center"/>
          </w:tcPr>
          <w:p w14:paraId="1B31F053">
            <w:pPr>
              <w:pStyle w:val="14"/>
              <w:spacing w:before="75"/>
              <w:ind w:firstLine="0" w:firstLineChars="0"/>
              <w:jc w:val="center"/>
              <w:rPr>
                <w:sz w:val="24"/>
              </w:rPr>
            </w:pPr>
            <w:r>
              <w:rPr>
                <w:spacing w:val="-5"/>
                <w:sz w:val="24"/>
              </w:rPr>
              <w:t>单位</w:t>
            </w:r>
          </w:p>
        </w:tc>
        <w:tc>
          <w:tcPr>
            <w:tcW w:w="874" w:type="dxa"/>
            <w:vAlign w:val="center"/>
          </w:tcPr>
          <w:p w14:paraId="65DD5AAB">
            <w:pPr>
              <w:pStyle w:val="14"/>
              <w:spacing w:before="75"/>
              <w:ind w:firstLine="0" w:firstLineChars="0"/>
              <w:jc w:val="center"/>
              <w:rPr>
                <w:sz w:val="24"/>
              </w:rPr>
            </w:pPr>
            <w:r>
              <w:rPr>
                <w:spacing w:val="-5"/>
                <w:sz w:val="24"/>
              </w:rPr>
              <w:t>职务</w:t>
            </w:r>
          </w:p>
        </w:tc>
        <w:tc>
          <w:tcPr>
            <w:tcW w:w="845" w:type="dxa"/>
            <w:vAlign w:val="center"/>
          </w:tcPr>
          <w:p w14:paraId="77EC4D00">
            <w:pPr>
              <w:pStyle w:val="14"/>
              <w:spacing w:before="75"/>
              <w:ind w:firstLine="0" w:firstLineChars="0"/>
              <w:jc w:val="center"/>
              <w:rPr>
                <w:sz w:val="24"/>
              </w:rPr>
            </w:pPr>
            <w:r>
              <w:rPr>
                <w:spacing w:val="-5"/>
                <w:sz w:val="24"/>
              </w:rPr>
              <w:t>职称</w:t>
            </w:r>
          </w:p>
        </w:tc>
        <w:tc>
          <w:tcPr>
            <w:tcW w:w="2840" w:type="dxa"/>
            <w:vAlign w:val="center"/>
          </w:tcPr>
          <w:p w14:paraId="3F52F502">
            <w:pPr>
              <w:pStyle w:val="14"/>
              <w:spacing w:before="75"/>
              <w:ind w:firstLine="0" w:firstLineChars="0"/>
              <w:jc w:val="center"/>
              <w:rPr>
                <w:sz w:val="24"/>
              </w:rPr>
            </w:pPr>
            <w:r>
              <w:rPr>
                <w:spacing w:val="-3"/>
                <w:sz w:val="24"/>
              </w:rPr>
              <w:t>任务分工</w:t>
            </w:r>
          </w:p>
        </w:tc>
        <w:tc>
          <w:tcPr>
            <w:tcW w:w="1276" w:type="dxa"/>
            <w:vAlign w:val="center"/>
          </w:tcPr>
          <w:p w14:paraId="6C8E18E1">
            <w:pPr>
              <w:pStyle w:val="14"/>
              <w:spacing w:before="75"/>
              <w:ind w:firstLine="0" w:firstLineChars="0"/>
              <w:jc w:val="center"/>
              <w:rPr>
                <w:sz w:val="24"/>
              </w:rPr>
            </w:pPr>
            <w:r>
              <w:rPr>
                <w:spacing w:val="-3"/>
                <w:sz w:val="24"/>
              </w:rPr>
              <w:t>联系方式</w:t>
            </w:r>
          </w:p>
        </w:tc>
      </w:tr>
      <w:tr w14:paraId="72A4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70ED984C">
            <w:pPr>
              <w:pStyle w:val="14"/>
              <w:spacing w:before="74"/>
              <w:ind w:firstLine="0" w:firstLineChars="0"/>
              <w:jc w:val="center"/>
              <w:rPr>
                <w:sz w:val="24"/>
              </w:rPr>
            </w:pPr>
            <w:r>
              <w:rPr>
                <w:sz w:val="24"/>
              </w:rPr>
              <w:t>1</w:t>
            </w:r>
          </w:p>
        </w:tc>
        <w:tc>
          <w:tcPr>
            <w:tcW w:w="1096" w:type="dxa"/>
            <w:vAlign w:val="center"/>
          </w:tcPr>
          <w:p w14:paraId="65F8A16E">
            <w:pPr>
              <w:pStyle w:val="14"/>
              <w:spacing w:before="74"/>
              <w:ind w:firstLine="0" w:firstLineChars="0"/>
              <w:jc w:val="center"/>
              <w:rPr>
                <w:rFonts w:hint="default" w:eastAsia="宋体"/>
                <w:sz w:val="24"/>
                <w:lang w:val="en-US" w:eastAsia="zh-CN"/>
              </w:rPr>
            </w:pPr>
          </w:p>
        </w:tc>
        <w:tc>
          <w:tcPr>
            <w:tcW w:w="1662" w:type="dxa"/>
            <w:vAlign w:val="center"/>
          </w:tcPr>
          <w:p w14:paraId="0E55E2B0">
            <w:pPr>
              <w:pStyle w:val="14"/>
              <w:spacing w:before="3" w:line="290" w:lineRule="exact"/>
              <w:ind w:firstLine="0" w:firstLineChars="0"/>
              <w:jc w:val="center"/>
              <w:rPr>
                <w:sz w:val="24"/>
              </w:rPr>
            </w:pPr>
          </w:p>
        </w:tc>
        <w:tc>
          <w:tcPr>
            <w:tcW w:w="874" w:type="dxa"/>
            <w:vAlign w:val="center"/>
          </w:tcPr>
          <w:p w14:paraId="0FE638BB">
            <w:pPr>
              <w:pStyle w:val="14"/>
              <w:spacing w:before="74"/>
              <w:ind w:firstLine="0" w:firstLineChars="0"/>
              <w:jc w:val="center"/>
              <w:rPr>
                <w:sz w:val="24"/>
              </w:rPr>
            </w:pPr>
          </w:p>
        </w:tc>
        <w:tc>
          <w:tcPr>
            <w:tcW w:w="845" w:type="dxa"/>
            <w:vAlign w:val="center"/>
          </w:tcPr>
          <w:p w14:paraId="0E1B19A8">
            <w:pPr>
              <w:pStyle w:val="14"/>
              <w:ind w:firstLine="0" w:firstLineChars="0"/>
              <w:jc w:val="center"/>
              <w:rPr>
                <w:rFonts w:ascii="Times New Roman"/>
                <w:sz w:val="30"/>
              </w:rPr>
            </w:pPr>
          </w:p>
        </w:tc>
        <w:tc>
          <w:tcPr>
            <w:tcW w:w="2840" w:type="dxa"/>
            <w:vAlign w:val="center"/>
          </w:tcPr>
          <w:p w14:paraId="40B3EC97">
            <w:pPr>
              <w:pStyle w:val="14"/>
              <w:spacing w:before="74"/>
              <w:ind w:firstLine="0" w:firstLineChars="0"/>
              <w:jc w:val="center"/>
              <w:rPr>
                <w:sz w:val="24"/>
              </w:rPr>
            </w:pPr>
          </w:p>
        </w:tc>
        <w:tc>
          <w:tcPr>
            <w:tcW w:w="1276" w:type="dxa"/>
            <w:vAlign w:val="center"/>
          </w:tcPr>
          <w:p w14:paraId="51883D4A">
            <w:pPr>
              <w:pStyle w:val="14"/>
              <w:ind w:firstLine="0" w:firstLineChars="0"/>
              <w:jc w:val="center"/>
              <w:rPr>
                <w:rFonts w:hint="default" w:ascii="Times New Roman" w:eastAsia="宋体"/>
                <w:sz w:val="30"/>
                <w:lang w:val="en-US" w:eastAsia="zh-CN"/>
              </w:rPr>
            </w:pPr>
          </w:p>
        </w:tc>
      </w:tr>
      <w:tr w14:paraId="2DE3C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trPr>
        <w:tc>
          <w:tcPr>
            <w:tcW w:w="729" w:type="dxa"/>
            <w:vAlign w:val="center"/>
          </w:tcPr>
          <w:p w14:paraId="1B2B4F03">
            <w:pPr>
              <w:pStyle w:val="14"/>
              <w:spacing w:before="83"/>
              <w:ind w:firstLine="0" w:firstLineChars="0"/>
              <w:jc w:val="center"/>
              <w:rPr>
                <w:sz w:val="24"/>
              </w:rPr>
            </w:pPr>
            <w:r>
              <w:rPr>
                <w:sz w:val="24"/>
              </w:rPr>
              <w:t>2</w:t>
            </w:r>
          </w:p>
        </w:tc>
        <w:tc>
          <w:tcPr>
            <w:tcW w:w="1096" w:type="dxa"/>
            <w:vAlign w:val="center"/>
          </w:tcPr>
          <w:p w14:paraId="6782EEFE">
            <w:pPr>
              <w:pStyle w:val="14"/>
              <w:spacing w:before="83"/>
              <w:ind w:firstLine="0" w:firstLineChars="0"/>
              <w:jc w:val="center"/>
              <w:rPr>
                <w:rFonts w:hint="default" w:eastAsia="宋体"/>
                <w:sz w:val="24"/>
                <w:lang w:val="en-US" w:eastAsia="zh-CN"/>
              </w:rPr>
            </w:pPr>
          </w:p>
        </w:tc>
        <w:tc>
          <w:tcPr>
            <w:tcW w:w="1662" w:type="dxa"/>
            <w:vAlign w:val="center"/>
          </w:tcPr>
          <w:p w14:paraId="25177C5D">
            <w:pPr>
              <w:ind w:firstLine="0" w:firstLineChars="0"/>
              <w:jc w:val="center"/>
              <w:rPr>
                <w:sz w:val="2"/>
                <w:szCs w:val="2"/>
              </w:rPr>
            </w:pPr>
          </w:p>
        </w:tc>
        <w:tc>
          <w:tcPr>
            <w:tcW w:w="874" w:type="dxa"/>
            <w:vAlign w:val="center"/>
          </w:tcPr>
          <w:p w14:paraId="110AB974">
            <w:pPr>
              <w:pStyle w:val="14"/>
              <w:spacing w:before="83"/>
              <w:ind w:firstLine="0" w:firstLineChars="0"/>
              <w:jc w:val="center"/>
              <w:rPr>
                <w:sz w:val="24"/>
              </w:rPr>
            </w:pPr>
          </w:p>
        </w:tc>
        <w:tc>
          <w:tcPr>
            <w:tcW w:w="845" w:type="dxa"/>
            <w:vAlign w:val="center"/>
          </w:tcPr>
          <w:p w14:paraId="63795D6C">
            <w:pPr>
              <w:pStyle w:val="14"/>
              <w:ind w:firstLine="0" w:firstLineChars="0"/>
              <w:jc w:val="center"/>
              <w:rPr>
                <w:rFonts w:ascii="Times New Roman"/>
                <w:sz w:val="30"/>
              </w:rPr>
            </w:pPr>
          </w:p>
        </w:tc>
        <w:tc>
          <w:tcPr>
            <w:tcW w:w="2840" w:type="dxa"/>
            <w:vAlign w:val="center"/>
          </w:tcPr>
          <w:p w14:paraId="4201E09C">
            <w:pPr>
              <w:pStyle w:val="14"/>
              <w:spacing w:before="83"/>
              <w:ind w:firstLine="0" w:firstLineChars="0"/>
              <w:jc w:val="center"/>
              <w:rPr>
                <w:sz w:val="24"/>
              </w:rPr>
            </w:pPr>
          </w:p>
        </w:tc>
        <w:tc>
          <w:tcPr>
            <w:tcW w:w="1276" w:type="dxa"/>
            <w:vAlign w:val="center"/>
          </w:tcPr>
          <w:p w14:paraId="5D129B7C">
            <w:pPr>
              <w:pStyle w:val="14"/>
              <w:ind w:firstLine="0" w:firstLineChars="0"/>
              <w:jc w:val="center"/>
              <w:rPr>
                <w:rFonts w:ascii="Times New Roman"/>
                <w:sz w:val="30"/>
              </w:rPr>
            </w:pPr>
          </w:p>
        </w:tc>
      </w:tr>
      <w:tr w14:paraId="2EFBF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trPr>
        <w:tc>
          <w:tcPr>
            <w:tcW w:w="729" w:type="dxa"/>
            <w:vAlign w:val="center"/>
          </w:tcPr>
          <w:p w14:paraId="15D2F550">
            <w:pPr>
              <w:pStyle w:val="14"/>
              <w:spacing w:before="73"/>
              <w:ind w:firstLine="0" w:firstLineChars="0"/>
              <w:jc w:val="center"/>
              <w:rPr>
                <w:sz w:val="24"/>
              </w:rPr>
            </w:pPr>
            <w:r>
              <w:rPr>
                <w:sz w:val="24"/>
              </w:rPr>
              <w:t>3</w:t>
            </w:r>
          </w:p>
        </w:tc>
        <w:tc>
          <w:tcPr>
            <w:tcW w:w="1096" w:type="dxa"/>
            <w:vAlign w:val="center"/>
          </w:tcPr>
          <w:p w14:paraId="5919AACB">
            <w:pPr>
              <w:pStyle w:val="14"/>
              <w:spacing w:before="73"/>
              <w:ind w:firstLine="0" w:firstLineChars="0"/>
              <w:jc w:val="center"/>
              <w:rPr>
                <w:sz w:val="24"/>
              </w:rPr>
            </w:pPr>
          </w:p>
        </w:tc>
        <w:tc>
          <w:tcPr>
            <w:tcW w:w="1662" w:type="dxa"/>
            <w:vAlign w:val="center"/>
          </w:tcPr>
          <w:p w14:paraId="48BA1872">
            <w:pPr>
              <w:pStyle w:val="14"/>
              <w:spacing w:line="242" w:lineRule="auto"/>
              <w:ind w:firstLine="0" w:firstLineChars="0"/>
              <w:jc w:val="center"/>
              <w:rPr>
                <w:sz w:val="24"/>
              </w:rPr>
            </w:pPr>
          </w:p>
        </w:tc>
        <w:tc>
          <w:tcPr>
            <w:tcW w:w="874" w:type="dxa"/>
            <w:vAlign w:val="center"/>
          </w:tcPr>
          <w:p w14:paraId="26489A11">
            <w:pPr>
              <w:pStyle w:val="14"/>
              <w:ind w:firstLine="0" w:firstLineChars="0"/>
              <w:jc w:val="center"/>
              <w:rPr>
                <w:rFonts w:ascii="Times New Roman"/>
                <w:sz w:val="30"/>
              </w:rPr>
            </w:pPr>
          </w:p>
        </w:tc>
        <w:tc>
          <w:tcPr>
            <w:tcW w:w="845" w:type="dxa"/>
            <w:vAlign w:val="center"/>
          </w:tcPr>
          <w:p w14:paraId="4A4B510C">
            <w:pPr>
              <w:pStyle w:val="14"/>
              <w:ind w:firstLine="0" w:firstLineChars="0"/>
              <w:jc w:val="center"/>
              <w:rPr>
                <w:rFonts w:ascii="Times New Roman"/>
                <w:sz w:val="30"/>
              </w:rPr>
            </w:pPr>
          </w:p>
        </w:tc>
        <w:tc>
          <w:tcPr>
            <w:tcW w:w="2840" w:type="dxa"/>
            <w:vAlign w:val="center"/>
          </w:tcPr>
          <w:p w14:paraId="46710F27">
            <w:pPr>
              <w:pStyle w:val="14"/>
              <w:spacing w:line="242" w:lineRule="auto"/>
              <w:ind w:firstLine="0" w:firstLineChars="0"/>
              <w:jc w:val="center"/>
              <w:rPr>
                <w:sz w:val="24"/>
              </w:rPr>
            </w:pPr>
          </w:p>
        </w:tc>
        <w:tc>
          <w:tcPr>
            <w:tcW w:w="1276" w:type="dxa"/>
            <w:vAlign w:val="center"/>
          </w:tcPr>
          <w:p w14:paraId="7A5F242E">
            <w:pPr>
              <w:pStyle w:val="14"/>
              <w:ind w:firstLine="0" w:firstLineChars="0"/>
              <w:jc w:val="center"/>
              <w:rPr>
                <w:sz w:val="24"/>
              </w:rPr>
            </w:pPr>
          </w:p>
        </w:tc>
      </w:tr>
      <w:tr w14:paraId="6C478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3" w:hRule="atLeast"/>
        </w:trPr>
        <w:tc>
          <w:tcPr>
            <w:tcW w:w="729" w:type="dxa"/>
            <w:vAlign w:val="center"/>
          </w:tcPr>
          <w:p w14:paraId="125288BA">
            <w:pPr>
              <w:pStyle w:val="14"/>
              <w:spacing w:before="73"/>
              <w:ind w:firstLine="0" w:firstLineChars="0"/>
              <w:jc w:val="center"/>
              <w:rPr>
                <w:sz w:val="24"/>
              </w:rPr>
            </w:pPr>
            <w:r>
              <w:rPr>
                <w:sz w:val="24"/>
              </w:rPr>
              <w:t>4</w:t>
            </w:r>
          </w:p>
        </w:tc>
        <w:tc>
          <w:tcPr>
            <w:tcW w:w="1096" w:type="dxa"/>
            <w:vAlign w:val="center"/>
          </w:tcPr>
          <w:p w14:paraId="0353F249">
            <w:pPr>
              <w:pStyle w:val="14"/>
              <w:spacing w:before="73"/>
              <w:ind w:firstLine="0" w:firstLineChars="0"/>
              <w:jc w:val="center"/>
              <w:rPr>
                <w:sz w:val="24"/>
              </w:rPr>
            </w:pPr>
          </w:p>
        </w:tc>
        <w:tc>
          <w:tcPr>
            <w:tcW w:w="1662" w:type="dxa"/>
            <w:vAlign w:val="center"/>
          </w:tcPr>
          <w:p w14:paraId="46827C2A">
            <w:pPr>
              <w:ind w:firstLine="0" w:firstLineChars="0"/>
              <w:jc w:val="center"/>
              <w:rPr>
                <w:sz w:val="2"/>
                <w:szCs w:val="2"/>
              </w:rPr>
            </w:pPr>
          </w:p>
        </w:tc>
        <w:tc>
          <w:tcPr>
            <w:tcW w:w="874" w:type="dxa"/>
            <w:vAlign w:val="center"/>
          </w:tcPr>
          <w:p w14:paraId="16E22018">
            <w:pPr>
              <w:pStyle w:val="14"/>
              <w:ind w:firstLine="0" w:firstLineChars="0"/>
              <w:jc w:val="center"/>
              <w:rPr>
                <w:rFonts w:ascii="Times New Roman"/>
                <w:sz w:val="30"/>
              </w:rPr>
            </w:pPr>
          </w:p>
        </w:tc>
        <w:tc>
          <w:tcPr>
            <w:tcW w:w="845" w:type="dxa"/>
            <w:vAlign w:val="center"/>
          </w:tcPr>
          <w:p w14:paraId="7BF5F21C">
            <w:pPr>
              <w:pStyle w:val="14"/>
              <w:ind w:firstLine="0" w:firstLineChars="0"/>
              <w:jc w:val="center"/>
              <w:rPr>
                <w:rFonts w:ascii="Times New Roman"/>
                <w:sz w:val="30"/>
              </w:rPr>
            </w:pPr>
          </w:p>
        </w:tc>
        <w:tc>
          <w:tcPr>
            <w:tcW w:w="2840" w:type="dxa"/>
            <w:vAlign w:val="center"/>
          </w:tcPr>
          <w:p w14:paraId="2556219F">
            <w:pPr>
              <w:ind w:firstLine="0" w:firstLineChars="0"/>
              <w:jc w:val="center"/>
              <w:rPr>
                <w:sz w:val="2"/>
                <w:szCs w:val="2"/>
              </w:rPr>
            </w:pPr>
          </w:p>
        </w:tc>
        <w:tc>
          <w:tcPr>
            <w:tcW w:w="1276" w:type="dxa"/>
            <w:vAlign w:val="center"/>
          </w:tcPr>
          <w:p w14:paraId="74549791">
            <w:pPr>
              <w:ind w:firstLine="0" w:firstLineChars="0"/>
              <w:jc w:val="center"/>
              <w:rPr>
                <w:sz w:val="2"/>
                <w:szCs w:val="2"/>
              </w:rPr>
            </w:pPr>
          </w:p>
        </w:tc>
      </w:tr>
      <w:tr w14:paraId="39DEF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2" w:hRule="atLeast"/>
        </w:trPr>
        <w:tc>
          <w:tcPr>
            <w:tcW w:w="729" w:type="dxa"/>
            <w:vAlign w:val="center"/>
          </w:tcPr>
          <w:p w14:paraId="0F4B2190">
            <w:pPr>
              <w:pStyle w:val="14"/>
              <w:spacing w:before="74"/>
              <w:ind w:firstLine="0" w:firstLineChars="0"/>
              <w:jc w:val="center"/>
              <w:rPr>
                <w:sz w:val="24"/>
              </w:rPr>
            </w:pPr>
            <w:r>
              <w:rPr>
                <w:sz w:val="24"/>
              </w:rPr>
              <w:t>5</w:t>
            </w:r>
          </w:p>
        </w:tc>
        <w:tc>
          <w:tcPr>
            <w:tcW w:w="1096" w:type="dxa"/>
            <w:vAlign w:val="center"/>
          </w:tcPr>
          <w:p w14:paraId="50534D2E">
            <w:pPr>
              <w:pStyle w:val="14"/>
              <w:tabs>
                <w:tab w:val="left" w:pos="487"/>
              </w:tabs>
              <w:spacing w:before="74"/>
              <w:ind w:firstLine="0" w:firstLineChars="0"/>
              <w:jc w:val="center"/>
              <w:rPr>
                <w:sz w:val="24"/>
              </w:rPr>
            </w:pPr>
          </w:p>
        </w:tc>
        <w:tc>
          <w:tcPr>
            <w:tcW w:w="1662" w:type="dxa"/>
            <w:vAlign w:val="center"/>
          </w:tcPr>
          <w:p w14:paraId="26C4BC92">
            <w:pPr>
              <w:ind w:firstLine="0" w:firstLineChars="0"/>
              <w:jc w:val="center"/>
              <w:rPr>
                <w:sz w:val="2"/>
                <w:szCs w:val="2"/>
              </w:rPr>
            </w:pPr>
          </w:p>
        </w:tc>
        <w:tc>
          <w:tcPr>
            <w:tcW w:w="874" w:type="dxa"/>
            <w:vAlign w:val="center"/>
          </w:tcPr>
          <w:p w14:paraId="6483053A">
            <w:pPr>
              <w:pStyle w:val="14"/>
              <w:ind w:firstLine="0" w:firstLineChars="0"/>
              <w:jc w:val="center"/>
              <w:rPr>
                <w:rFonts w:ascii="Times New Roman"/>
                <w:sz w:val="30"/>
              </w:rPr>
            </w:pPr>
          </w:p>
        </w:tc>
        <w:tc>
          <w:tcPr>
            <w:tcW w:w="845" w:type="dxa"/>
            <w:vAlign w:val="center"/>
          </w:tcPr>
          <w:p w14:paraId="116C7A42">
            <w:pPr>
              <w:pStyle w:val="14"/>
              <w:ind w:firstLine="0" w:firstLineChars="0"/>
              <w:jc w:val="center"/>
              <w:rPr>
                <w:rFonts w:ascii="Times New Roman"/>
                <w:sz w:val="30"/>
              </w:rPr>
            </w:pPr>
          </w:p>
        </w:tc>
        <w:tc>
          <w:tcPr>
            <w:tcW w:w="2840" w:type="dxa"/>
            <w:vAlign w:val="center"/>
          </w:tcPr>
          <w:p w14:paraId="099AF6F1">
            <w:pPr>
              <w:ind w:firstLine="0" w:firstLineChars="0"/>
              <w:jc w:val="center"/>
              <w:rPr>
                <w:sz w:val="2"/>
                <w:szCs w:val="2"/>
              </w:rPr>
            </w:pPr>
          </w:p>
        </w:tc>
        <w:tc>
          <w:tcPr>
            <w:tcW w:w="1276" w:type="dxa"/>
            <w:vAlign w:val="center"/>
          </w:tcPr>
          <w:p w14:paraId="19004189">
            <w:pPr>
              <w:ind w:firstLine="0" w:firstLineChars="0"/>
              <w:jc w:val="center"/>
              <w:rPr>
                <w:sz w:val="2"/>
                <w:szCs w:val="2"/>
              </w:rPr>
            </w:pPr>
          </w:p>
        </w:tc>
      </w:tr>
    </w:tbl>
    <w:p w14:paraId="38DACF5D">
      <w:pPr>
        <w:ind w:firstLine="560"/>
      </w:pPr>
    </w:p>
    <w:p w14:paraId="3D5200D2">
      <w:pPr>
        <w:pStyle w:val="2"/>
        <w:rPr>
          <w:rFonts w:ascii="Times New Roman" w:hAnsi="Times New Roman"/>
        </w:rPr>
      </w:pPr>
      <w:r>
        <w:rPr>
          <w:rFonts w:ascii="Times New Roman" w:hAnsi="Times New Roman"/>
        </w:rPr>
        <w:t>二、编制情况</w:t>
      </w:r>
    </w:p>
    <w:p w14:paraId="0DF6508F">
      <w:pPr>
        <w:pStyle w:val="2"/>
        <w:rPr>
          <w:rFonts w:ascii="Times New Roman" w:hAnsi="Times New Roman"/>
        </w:rPr>
      </w:pPr>
      <w:r>
        <w:rPr>
          <w:rFonts w:ascii="Times New Roman" w:hAnsi="Times New Roman"/>
        </w:rPr>
        <w:t>（一）</w:t>
      </w:r>
      <w:r>
        <w:rPr>
          <w:rFonts w:hint="eastAsia" w:ascii="Times New Roman" w:hAnsi="Times New Roman"/>
        </w:rPr>
        <w:t>编制标准的必要性和意义及背景</w:t>
      </w:r>
    </w:p>
    <w:p w14:paraId="79394B28">
      <w:pPr>
        <w:ind w:firstLine="560"/>
        <w:rPr>
          <w:rFonts w:hint="eastAsia" w:ascii="Times New Roman" w:hAnsi="Times New Roman" w:cs="宋体"/>
          <w:lang w:val="en-US" w:eastAsia="zh-CN"/>
        </w:rPr>
      </w:pPr>
      <w:r>
        <w:rPr>
          <w:rFonts w:hint="eastAsia" w:ascii="Times New Roman" w:hAnsi="Times New Roman" w:cs="宋体"/>
          <w:lang w:val="en-US" w:eastAsia="zh-CN"/>
        </w:rPr>
        <w:t>为贯彻《质量强国建设纲要》，落实海南省委省政府《关于以高水平质量建设助力海南自由贸易港高质量发展的意见》（琼发〔2023〕9号）部署要求，为了进一步配合开展海南省“海南消费领域区域公共品牌”建设工作，围绕海南省“特质”、“特色”建设高质量团体标准体系，对符合标准体系、技术规范的特色产品服务和优势产业，通过开展品牌提升和自愿性认证，涵盖各类产业中具有海南省代表性的农业产品、旅游服务、文创产品、工业产品等，围绕热带经济和消费，形成一批集质量、标准、服务、信誉、效益为一体，市场和社会公认的海南消费领域区域公共品牌。</w:t>
      </w:r>
    </w:p>
    <w:p w14:paraId="4F297F8C">
      <w:pPr>
        <w:ind w:firstLine="560"/>
        <w:rPr>
          <w:rFonts w:hint="eastAsia" w:ascii="Times New Roman" w:hAnsi="Times New Roman" w:cs="宋体"/>
          <w:lang w:val="en-US" w:eastAsia="zh-CN"/>
        </w:rPr>
      </w:pPr>
      <w:r>
        <w:rPr>
          <w:rFonts w:hint="eastAsia" w:ascii="Times New Roman" w:hAnsi="Times New Roman" w:cs="宋体"/>
          <w:lang w:val="en-US" w:eastAsia="zh-CN"/>
        </w:rPr>
        <w:t>食品加工产品以农产品等为原料，经过加工制作后进入消费市场，满足人们饮食方面的实物消费需求。《海南消费领域区域公共品牌食品加工技术规范》标准是“海南消费领域区域公共品牌”系列团体标准之一。通过编制《海南消费领域区域公共品牌食品加工技术规范》，规范海南消费领域区域公共品牌相关食品加工场所、设施设备、原辅料、加工过程、废弃物处理、致敏物质、包装、贮藏、运输、质量保障、追溯和召回、文件和记录控制等要求，为食品加工产品生产经营主体开展海南消费领域区域公共品牌建设、地方开展品牌认证/评价及形成统一规范的认证管理提供依据。</w:t>
      </w:r>
    </w:p>
    <w:p w14:paraId="06CEDD28">
      <w:pPr>
        <w:ind w:firstLine="560"/>
        <w:rPr>
          <w:rFonts w:hint="eastAsia" w:ascii="Times New Roman" w:hAnsi="Times New Roman" w:cs="宋体"/>
          <w:lang w:val="en-US" w:eastAsia="zh-CN"/>
        </w:rPr>
      </w:pPr>
      <w:r>
        <w:rPr>
          <w:rFonts w:hint="eastAsia" w:ascii="Times New Roman" w:hAnsi="Times New Roman" w:cs="宋体"/>
          <w:lang w:val="en-US" w:eastAsia="zh-CN"/>
        </w:rPr>
        <w:t>适配自贸港发展的政策要求，完善消费领域标准体系是优化营商环境、吸引产业投资、提升对外开放水平的重要基础。通过“海南消费领域区域公共品牌”系列团体标准，结合标准实施和品牌培育手段逐步实现“海南消费领域区域公共品牌”建设目标，赋能特色食品加工产业和食品加工全链条，筑牢食品安全防线，保障安全品质、强化品牌价值、加速实现品牌提质升级，推动质量延伸，带动优势产业转型升级、持续提升市场影响力、竞争力和溢价能力，适配海南自贸港消费与产业发展需求。同时以本标准作为认证依据，对农食产品生产经营组织开展第三方认证，重点围绕品种优良性、生产标准化、质量安全性等核心维度进行评估。通过认证在供需两端传递质量信号，强化“海南消费领域区域公共品牌”的权威性和公信力。这一过程将形成有效的市场选择机制，助推特色优势食品加工产品提档升级、提质增效。</w:t>
      </w:r>
    </w:p>
    <w:p w14:paraId="06B5B615">
      <w:pPr>
        <w:pStyle w:val="2"/>
        <w:rPr>
          <w:rFonts w:ascii="Times New Roman" w:hAnsi="Times New Roman"/>
        </w:rPr>
      </w:pPr>
      <w:r>
        <w:rPr>
          <w:rFonts w:ascii="Times New Roman" w:hAnsi="Times New Roman"/>
        </w:rPr>
        <w:t>（二）</w:t>
      </w:r>
      <w:r>
        <w:rPr>
          <w:rFonts w:hint="eastAsia" w:ascii="Times New Roman" w:hAnsi="Times New Roman"/>
        </w:rPr>
        <w:t>编制过程简介</w:t>
      </w:r>
    </w:p>
    <w:p w14:paraId="0626D2E2">
      <w:pPr>
        <w:ind w:firstLine="560"/>
        <w:rPr>
          <w:rFonts w:hint="eastAsia" w:ascii="Times New Roman" w:hAnsi="Times New Roman" w:cs="宋体"/>
          <w:lang w:val="en-US" w:eastAsia="zh-CN"/>
        </w:rPr>
      </w:pPr>
      <w:r>
        <w:rPr>
          <w:rFonts w:hint="eastAsia" w:ascii="Times New Roman" w:hAnsi="Times New Roman" w:cs="宋体"/>
        </w:rPr>
        <w:t>本技术规范的编制任务</w:t>
      </w:r>
      <w:r>
        <w:rPr>
          <w:rFonts w:hint="eastAsia" w:ascii="Times New Roman" w:hAnsi="Times New Roman" w:cs="宋体"/>
          <w:lang w:val="en-US" w:eastAsia="zh-CN"/>
        </w:rPr>
        <w:t>来</w:t>
      </w:r>
      <w:r>
        <w:rPr>
          <w:rFonts w:hint="eastAsia" w:ascii="Times New Roman" w:hAnsi="Times New Roman" w:cs="宋体"/>
        </w:rPr>
        <w:t>源于海南消费领域区域公共品牌建设与管理的实际需求。</w:t>
      </w:r>
      <w:r>
        <w:rPr>
          <w:rFonts w:hint="eastAsia" w:ascii="Times New Roman" w:hAnsi="Times New Roman" w:cs="宋体"/>
          <w:lang w:val="en-US" w:eastAsia="zh-CN"/>
        </w:rPr>
        <w:t>标准编制过程：</w:t>
      </w:r>
    </w:p>
    <w:p w14:paraId="03286E7F">
      <w:pPr>
        <w:pStyle w:val="4"/>
        <w:rPr>
          <w:rFonts w:hint="eastAsia" w:cs="宋体"/>
          <w:lang w:val="en-US" w:eastAsia="zh-CN"/>
        </w:rPr>
      </w:pPr>
      <w:r>
        <w:rPr>
          <w:rFonts w:hint="eastAsia" w:cs="宋体"/>
          <w:lang w:val="en-US" w:eastAsia="zh-CN"/>
        </w:rPr>
        <w:t>1、成立工作组</w:t>
      </w:r>
    </w:p>
    <w:p w14:paraId="570B7F8B">
      <w:pPr>
        <w:ind w:firstLine="640"/>
      </w:pPr>
      <w:r>
        <w:rPr>
          <w:rFonts w:hint="eastAsia"/>
        </w:rPr>
        <w:t>团体标准研制计划下达后，方圆标志认证集团有限公司作为标准研制牵头单位随即</w:t>
      </w:r>
      <w:r>
        <w:rPr>
          <w:rFonts w:hint="eastAsia"/>
          <w:lang w:val="en-US" w:eastAsia="zh-CN"/>
        </w:rPr>
        <w:t>组织</w:t>
      </w:r>
      <w:r>
        <w:rPr>
          <w:rFonts w:hint="eastAsia" w:ascii="Times New Roman" w:hAnsi="Times New Roman" w:cs="宋体"/>
          <w:lang w:val="en-US" w:eastAsia="zh-CN"/>
        </w:rPr>
        <w:t>成立标准编制工作组，</w:t>
      </w:r>
      <w:r>
        <w:rPr>
          <w:rFonts w:hint="eastAsia"/>
        </w:rPr>
        <w:t>对编制工作总体部署和任务分工，明确标准适用范围、主要框架内容、编制时间节点等。</w:t>
      </w:r>
    </w:p>
    <w:p w14:paraId="2FD2DD36">
      <w:pPr>
        <w:pStyle w:val="4"/>
        <w:rPr>
          <w:rFonts w:hint="eastAsia"/>
        </w:rPr>
      </w:pPr>
      <w:r>
        <w:rPr>
          <w:rFonts w:hint="eastAsia"/>
          <w:lang w:val="en-US" w:eastAsia="zh-CN"/>
        </w:rPr>
        <w:t>2、</w:t>
      </w:r>
      <w:r>
        <w:rPr>
          <w:rFonts w:hint="eastAsia"/>
        </w:rPr>
        <w:t>实地调研</w:t>
      </w:r>
    </w:p>
    <w:p w14:paraId="52967E7E">
      <w:pPr>
        <w:ind w:firstLine="640"/>
        <w:rPr>
          <w:rFonts w:hint="eastAsia"/>
          <w:lang w:val="en-US" w:eastAsia="zh-CN"/>
        </w:rPr>
      </w:pPr>
      <w:r>
        <w:rPr>
          <w:rFonts w:hint="eastAsia"/>
          <w:lang w:eastAsia="zh-CN"/>
        </w:rPr>
        <w:t>标准工作组</w:t>
      </w:r>
      <w:r>
        <w:rPr>
          <w:rFonts w:hint="eastAsia"/>
          <w:lang w:val="en-US" w:eastAsia="zh-CN"/>
        </w:rPr>
        <w:t>组织</w:t>
      </w:r>
      <w:r>
        <w:rPr>
          <w:rFonts w:hint="eastAsia"/>
        </w:rPr>
        <w:t>实地调研，通过沟通及实地查看等方式，了解和掌握</w:t>
      </w:r>
      <w:r>
        <w:rPr>
          <w:rFonts w:hint="eastAsia"/>
          <w:lang w:val="en-US" w:eastAsia="zh-CN"/>
        </w:rPr>
        <w:t>海南省多个市县食品加工企业、农产品供应链等企业的生产现状、工艺流程、质量控制等方面的情况，总结其优点和可借鉴之处。</w:t>
      </w:r>
    </w:p>
    <w:p w14:paraId="4DB567F3">
      <w:pPr>
        <w:pStyle w:val="4"/>
        <w:rPr>
          <w:rFonts w:hint="eastAsia"/>
          <w:lang w:val="en-US" w:eastAsia="zh-CN"/>
        </w:rPr>
      </w:pPr>
      <w:r>
        <w:rPr>
          <w:rFonts w:hint="eastAsia"/>
          <w:lang w:val="en-US" w:eastAsia="zh-CN"/>
        </w:rPr>
        <w:t>3、编制标准草案</w:t>
      </w:r>
    </w:p>
    <w:p w14:paraId="37E00E8C">
      <w:pPr>
        <w:ind w:firstLine="640"/>
      </w:pPr>
      <w:r>
        <w:rPr>
          <w:rFonts w:hint="eastAsia"/>
          <w:lang w:eastAsia="zh-CN"/>
        </w:rPr>
        <w:t>标准工作组</w:t>
      </w:r>
      <w:r>
        <w:rPr>
          <w:rFonts w:hint="eastAsia"/>
          <w:lang w:val="en-US" w:eastAsia="zh-CN"/>
        </w:rPr>
        <w:t>基于</w:t>
      </w:r>
      <w:r>
        <w:rPr>
          <w:rFonts w:hint="eastAsia" w:ascii="Times New Roman" w:hAnsi="Times New Roman" w:cs="宋体"/>
          <w:lang w:val="en-US" w:eastAsia="zh-CN"/>
        </w:rPr>
        <w:t>收集海南省自贸港、消费领域重要产业发展文件、收集了国内外相关的食品加工技术标准、法规和文献资料，包括国际食品法典委员会（CAC）、欧盟、美国等的食品加工标准，以及我国现行的食品国家标准、行业标准等</w:t>
      </w:r>
      <w:r>
        <w:rPr>
          <w:rFonts w:hint="eastAsia"/>
        </w:rPr>
        <w:t>，按照既兼顾前瞻性和适用性，又确保科学性和</w:t>
      </w:r>
      <w:r>
        <w:rPr>
          <w:rFonts w:hint="eastAsia"/>
          <w:lang w:val="en-US" w:eastAsia="zh-CN"/>
        </w:rPr>
        <w:t>可操作</w:t>
      </w:r>
      <w:r>
        <w:rPr>
          <w:rFonts w:hint="eastAsia"/>
        </w:rPr>
        <w:t>性的原则，搭建标准框架，编制标准草案。</w:t>
      </w:r>
    </w:p>
    <w:p w14:paraId="1C861B93">
      <w:pPr>
        <w:ind w:firstLine="640"/>
        <w:rPr>
          <w:rFonts w:hint="eastAsia" w:ascii="Times New Roman" w:hAnsi="Times New Roman" w:cs="宋体"/>
          <w:lang w:val="en-US" w:eastAsia="zh-CN"/>
        </w:rPr>
      </w:pPr>
      <w:r>
        <w:rPr>
          <w:rFonts w:hint="eastAsia" w:ascii="Times New Roman" w:hAnsi="Times New Roman" w:cs="宋体"/>
        </w:rPr>
        <w:t>在标准草案的基础上，在方圆标志认证集团有限公司的统筹安排下，</w:t>
      </w:r>
      <w:r>
        <w:rPr>
          <w:rFonts w:hint="eastAsia" w:ascii="Times New Roman" w:hAnsi="Times New Roman" w:cs="宋体"/>
          <w:lang w:eastAsia="zh-CN"/>
        </w:rPr>
        <w:t>标准工作组</w:t>
      </w:r>
      <w:r>
        <w:rPr>
          <w:rFonts w:hint="eastAsia" w:ascii="Times New Roman" w:hAnsi="Times New Roman" w:cs="宋体"/>
        </w:rPr>
        <w:t>组织标准编制专题研讨会，对标准草案框架及内容进行逐条研讨</w:t>
      </w:r>
      <w:r>
        <w:rPr>
          <w:rFonts w:hint="eastAsia" w:ascii="Times New Roman" w:hAnsi="Times New Roman" w:cs="宋体"/>
          <w:lang w:eastAsia="zh-CN"/>
        </w:rPr>
        <w:t>，</w:t>
      </w:r>
      <w:r>
        <w:rPr>
          <w:rFonts w:hint="eastAsia" w:ascii="Times New Roman" w:hAnsi="Times New Roman" w:cs="宋体"/>
          <w:lang w:val="en-US" w:eastAsia="zh-CN"/>
        </w:rPr>
        <w:t>会后修改完善标准草案</w:t>
      </w:r>
      <w:r>
        <w:rPr>
          <w:rFonts w:hint="eastAsia" w:ascii="Times New Roman" w:hAnsi="Times New Roman" w:cs="宋体"/>
        </w:rPr>
        <w:t>。同时，根据最新的标准编写规范GB/T1.1—2020对标准结构和语言表述进行修改完善</w:t>
      </w:r>
      <w:r>
        <w:rPr>
          <w:rFonts w:hint="eastAsia" w:ascii="Times New Roman" w:hAnsi="Times New Roman" w:cs="宋体"/>
          <w:lang w:eastAsia="zh-CN"/>
        </w:rPr>
        <w:t>，</w:t>
      </w:r>
      <w:r>
        <w:rPr>
          <w:rFonts w:hint="eastAsia" w:ascii="Times New Roman" w:hAnsi="Times New Roman" w:cs="宋体"/>
        </w:rPr>
        <w:t>形成</w:t>
      </w:r>
      <w:r>
        <w:rPr>
          <w:rFonts w:hint="eastAsia" w:cs="宋体"/>
          <w:lang w:eastAsia="zh-CN"/>
        </w:rPr>
        <w:t>标准工作组征求意见稿</w:t>
      </w:r>
      <w:r>
        <w:rPr>
          <w:rFonts w:hint="eastAsia" w:ascii="Times New Roman" w:hAnsi="Times New Roman" w:cs="宋体"/>
        </w:rPr>
        <w:t>（包括标准文本和标准编制说明）。</w:t>
      </w:r>
      <w:bookmarkStart w:id="2" w:name="_GoBack"/>
      <w:bookmarkEnd w:id="2"/>
    </w:p>
    <w:p w14:paraId="07282A09">
      <w:pPr>
        <w:pStyle w:val="3"/>
      </w:pPr>
      <w:r>
        <w:t>（三）制定标准的原则和依据，与现行法律法规、标准的关系</w:t>
      </w:r>
    </w:p>
    <w:p w14:paraId="2AE13DD0">
      <w:pPr>
        <w:pStyle w:val="4"/>
        <w:rPr>
          <w:rFonts w:hint="eastAsia" w:ascii="Times New Roman" w:hAnsi="Times New Roman" w:cs="宋体"/>
        </w:rPr>
      </w:pPr>
      <w:r>
        <w:rPr>
          <w:rFonts w:hint="eastAsia" w:ascii="Times New Roman" w:hAnsi="Times New Roman" w:cs="宋体"/>
        </w:rPr>
        <w:t>1、制定标准的原则</w:t>
      </w:r>
    </w:p>
    <w:p w14:paraId="1E0D244A">
      <w:pPr>
        <w:ind w:firstLine="560"/>
        <w:rPr>
          <w:rFonts w:hint="eastAsia" w:ascii="Times New Roman" w:hAnsi="Times New Roman" w:cs="宋体"/>
          <w:lang w:val="en-US" w:eastAsia="zh-CN"/>
        </w:rPr>
      </w:pPr>
      <w:r>
        <w:rPr>
          <w:rFonts w:hint="eastAsia" w:ascii="Times New Roman" w:hAnsi="Times New Roman" w:cs="宋体"/>
          <w:lang w:val="en-US" w:eastAsia="zh-CN"/>
        </w:rPr>
        <w:t xml:space="preserve">本标准编制依据下列原则： </w:t>
      </w:r>
    </w:p>
    <w:p w14:paraId="75F4156B">
      <w:pPr>
        <w:ind w:firstLine="560"/>
        <w:rPr>
          <w:rFonts w:hint="eastAsia" w:ascii="Times New Roman" w:hAnsi="Times New Roman" w:cs="宋体"/>
          <w:lang w:val="en-US" w:eastAsia="zh-CN"/>
        </w:rPr>
      </w:pPr>
      <w:r>
        <w:rPr>
          <w:rFonts w:hint="eastAsia" w:ascii="Times New Roman" w:hAnsi="Times New Roman" w:cs="宋体"/>
          <w:lang w:val="en-US" w:eastAsia="zh-CN"/>
        </w:rPr>
        <w:t>①科学性原则：本规范以科学的食品加工理论和技术为基础，充分借鉴国内外先进的食品加工标准和经验，结合海南区域公共品牌食品的特点和实际生产情况，制定了科学合理的技术要求。在确定各项指标和参数时，进行了充分的实验研究和数据分析，确保规范的科学性和准确性。</w:t>
      </w:r>
    </w:p>
    <w:p w14:paraId="4DA51BF3">
      <w:pPr>
        <w:ind w:firstLine="560"/>
        <w:rPr>
          <w:rFonts w:hint="eastAsia" w:ascii="Times New Roman" w:hAnsi="Times New Roman" w:cs="宋体"/>
          <w:lang w:val="en-US" w:eastAsia="zh-CN"/>
        </w:rPr>
      </w:pPr>
      <w:r>
        <w:rPr>
          <w:rFonts w:hint="eastAsia" w:ascii="Times New Roman" w:hAnsi="Times New Roman" w:cs="宋体"/>
          <w:lang w:val="en-US" w:eastAsia="zh-CN"/>
        </w:rPr>
        <w:t>②实用性原则：规范的制定充分考虑了海南食品加工企业的实际生产水平和能力，各项技术要求具有较强的可操作性。在编写过程中，广泛征求了企业的意见和建议，使规范能够切实指导企业的生产实践，解决企业在食品加工过程中遇到的实际问题。</w:t>
      </w:r>
    </w:p>
    <w:p w14:paraId="48AA61A4">
      <w:pPr>
        <w:ind w:firstLine="560"/>
        <w:rPr>
          <w:rFonts w:hint="eastAsia" w:ascii="Times New Roman" w:hAnsi="Times New Roman" w:cs="宋体"/>
          <w:lang w:val="en-US" w:eastAsia="zh-CN"/>
        </w:rPr>
      </w:pPr>
      <w:r>
        <w:rPr>
          <w:rFonts w:hint="eastAsia" w:ascii="Times New Roman" w:hAnsi="Times New Roman" w:cs="宋体"/>
          <w:lang w:val="en-US" w:eastAsia="zh-CN"/>
        </w:rPr>
        <w:t>③安全性原则：将食品安全放在首位，规范对食品加工过程中的各个环节都提出了严格的安全要求，包括原料的采购与验收、生产过程的卫生控制、产品的检验等。确保海南区域公共品牌食品符合国家食品安全标准，保障消费者的健康和权益。</w:t>
      </w:r>
    </w:p>
    <w:p w14:paraId="1EFA8BDC">
      <w:pPr>
        <w:ind w:firstLine="560"/>
        <w:rPr>
          <w:rFonts w:hint="eastAsia" w:ascii="Times New Roman" w:hAnsi="Times New Roman" w:cs="宋体"/>
          <w:lang w:val="en-US" w:eastAsia="zh-CN"/>
        </w:rPr>
      </w:pPr>
      <w:r>
        <w:rPr>
          <w:rFonts w:hint="eastAsia" w:ascii="Times New Roman" w:hAnsi="Times New Roman" w:cs="宋体"/>
          <w:lang w:val="en-US" w:eastAsia="zh-CN"/>
        </w:rPr>
        <w:t xml:space="preserve">④前瞻性原则：规范在制定过程中，充分考虑了食品加工行业的发展趋势和技术创新，具有一定的前瞻性。为海南区域公共品牌食品产业的未来发展提供了技术支持和引导，促进产业的升级和转型。 </w:t>
      </w:r>
    </w:p>
    <w:p w14:paraId="0CD442FA">
      <w:pPr>
        <w:pStyle w:val="4"/>
        <w:rPr>
          <w:rFonts w:hint="eastAsia" w:ascii="Times New Roman" w:hAnsi="Times New Roman" w:cs="宋体"/>
        </w:rPr>
      </w:pPr>
      <w:r>
        <w:rPr>
          <w:rFonts w:hint="eastAsia" w:ascii="Times New Roman" w:hAnsi="Times New Roman" w:cs="宋体"/>
        </w:rPr>
        <w:t>2、制定标准的依据</w:t>
      </w:r>
    </w:p>
    <w:p w14:paraId="461A324F">
      <w:pPr>
        <w:ind w:firstLine="560"/>
        <w:rPr>
          <w:rFonts w:hint="eastAsia" w:ascii="Times New Roman" w:hAnsi="Times New Roman" w:cs="宋体"/>
          <w:lang w:val="en-US" w:eastAsia="zh-CN"/>
        </w:rPr>
      </w:pPr>
      <w:r>
        <w:rPr>
          <w:rFonts w:hint="eastAsia" w:ascii="Times New Roman" w:hAnsi="Times New Roman" w:cs="宋体"/>
          <w:lang w:val="en-US" w:eastAsia="zh-CN"/>
        </w:rPr>
        <w:t>本标准修订主要以食品加工行业的相关要求制定本标准的主要技术条款。</w:t>
      </w:r>
    </w:p>
    <w:p w14:paraId="7608D118">
      <w:pPr>
        <w:pStyle w:val="4"/>
        <w:rPr>
          <w:rFonts w:hint="eastAsia" w:ascii="Times New Roman" w:hAnsi="Times New Roman" w:cs="宋体"/>
        </w:rPr>
      </w:pPr>
      <w:r>
        <w:rPr>
          <w:rFonts w:hint="eastAsia" w:ascii="Times New Roman" w:hAnsi="Times New Roman" w:cs="宋体"/>
        </w:rPr>
        <w:t>3、与有关的现行法律法规、标准的关系</w:t>
      </w:r>
    </w:p>
    <w:p w14:paraId="0A4AFA03">
      <w:pPr>
        <w:ind w:firstLine="560"/>
        <w:rPr>
          <w:rFonts w:hint="eastAsia" w:ascii="Times New Roman" w:hAnsi="Times New Roman" w:cs="宋体"/>
          <w:lang w:val="en-US" w:eastAsia="zh-CN"/>
        </w:rPr>
      </w:pPr>
      <w:r>
        <w:rPr>
          <w:rFonts w:hint="eastAsia" w:ascii="Times New Roman" w:hAnsi="Times New Roman" w:cs="宋体"/>
          <w:lang w:val="en-US" w:eastAsia="zh-CN"/>
        </w:rPr>
        <w:t>拟制定的《海南消费领域区域公共品牌食品加工技术规范》为首次制定，符合我国目前法律、法规和强制性国家标准的规定，与有关法律、法规和国家标准、行业标准相协调，没有矛盾。</w:t>
      </w:r>
    </w:p>
    <w:p w14:paraId="046DE701">
      <w:pPr>
        <w:pStyle w:val="3"/>
      </w:pPr>
      <w:r>
        <w:t>（四）主要条款的说明，主要技术指标、参数、试验验证的论述</w:t>
      </w:r>
    </w:p>
    <w:p w14:paraId="37854C77">
      <w:pPr>
        <w:ind w:firstLine="560"/>
        <w:rPr>
          <w:rFonts w:hint="eastAsia" w:ascii="Times New Roman" w:hAnsi="Times New Roman" w:cs="宋体"/>
          <w:lang w:val="en-US" w:eastAsia="zh-CN"/>
        </w:rPr>
      </w:pPr>
      <w:r>
        <w:rPr>
          <w:rFonts w:hint="eastAsia" w:ascii="Times New Roman" w:hAnsi="Times New Roman" w:cs="宋体"/>
          <w:lang w:val="en-US" w:eastAsia="zh-CN"/>
        </w:rPr>
        <w:t>1、范围：本规范规定了海南消费领域区域公共品牌食品加工场所、设施设备、原辅料、加工过程、废弃物处理、致敏物质、包装、贮藏、运输、质量保障、追溯和召回、文件和记录控制等要求。</w:t>
      </w:r>
    </w:p>
    <w:p w14:paraId="255FAAE6">
      <w:pPr>
        <w:ind w:firstLine="560"/>
        <w:rPr>
          <w:rFonts w:hint="eastAsia" w:ascii="Times New Roman" w:hAnsi="Times New Roman" w:cs="宋体"/>
          <w:lang w:val="en-US" w:eastAsia="zh-CN"/>
        </w:rPr>
      </w:pPr>
      <w:r>
        <w:rPr>
          <w:rFonts w:hint="eastAsia" w:ascii="Times New Roman" w:hAnsi="Times New Roman" w:cs="宋体"/>
          <w:lang w:val="en-US" w:eastAsia="zh-CN"/>
        </w:rPr>
        <w:t>2、规范性引用文件：列出了本规范引用的相关国家标准、行业标准和地方标准，如《生活饮用水卫生标准》、《食品安全国家标准 食品生产通用卫生规范》、《食品安全国家标准 食品添加剂使用标准》、《食品安全国家标准 食品中真菌毒素限量》、《食品安全国家标准 食品中污染物限量》、《食品安全国家标准  食品中农药最大残留限量》、《食品安全国家标准 食品中兽药最大残留量》、《包装回收标志》等，确保规范与其他相关标准的协调一致。</w:t>
      </w:r>
    </w:p>
    <w:p w14:paraId="42CE8C4E">
      <w:pPr>
        <w:ind w:firstLine="560"/>
        <w:rPr>
          <w:rFonts w:hint="eastAsia" w:ascii="Times New Roman" w:hAnsi="Times New Roman" w:cs="宋体"/>
          <w:lang w:val="en-US" w:eastAsia="zh-CN"/>
        </w:rPr>
      </w:pPr>
      <w:r>
        <w:rPr>
          <w:rFonts w:hint="eastAsia" w:ascii="Times New Roman" w:hAnsi="Times New Roman" w:cs="宋体"/>
          <w:lang w:val="en-US" w:eastAsia="zh-CN"/>
        </w:rPr>
        <w:t>3、术语和定义：</w:t>
      </w:r>
      <w:sdt>
        <w:sdtPr>
          <w:rPr>
            <w:rFonts w:hint="eastAsia" w:ascii="Times New Roman" w:hAnsi="Times New Roman" w:cs="宋体"/>
            <w:lang w:val="en-US" w:eastAsia="zh-CN"/>
          </w:rPr>
          <w:id w:val="-1909835108"/>
          <w:placeholder>
            <w:docPart w:val="{61d7baef-a477-4f69-a505-d6b29f6baa3b}"/>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EndPr>
          <w:rPr>
            <w:rFonts w:hint="eastAsia" w:ascii="Times New Roman" w:hAnsi="Times New Roman" w:cs="宋体"/>
            <w:lang w:val="en-US" w:eastAsia="zh-CN"/>
          </w:rPr>
        </w:sdtEndPr>
        <w:sdtContent>
          <w:bookmarkStart w:id="0" w:name="_Toc26986532"/>
          <w:bookmarkEnd w:id="0"/>
          <w:r>
            <w:rPr>
              <w:rFonts w:hint="eastAsia" w:ascii="Times New Roman" w:hAnsi="Times New Roman" w:cs="宋体"/>
              <w:lang w:val="en-US" w:eastAsia="zh-CN"/>
            </w:rPr>
            <w:t>本文件没有需要界定的术语和定义。</w:t>
          </w:r>
        </w:sdtContent>
      </w:sdt>
    </w:p>
    <w:p w14:paraId="755D6152">
      <w:pPr>
        <w:ind w:firstLine="560"/>
        <w:rPr>
          <w:rFonts w:hint="eastAsia" w:ascii="Times New Roman" w:hAnsi="Times New Roman" w:cs="宋体"/>
          <w:lang w:val="en-US" w:eastAsia="zh-CN"/>
        </w:rPr>
      </w:pPr>
      <w:r>
        <w:rPr>
          <w:rFonts w:hint="eastAsia" w:ascii="Times New Roman" w:hAnsi="Times New Roman" w:cs="宋体"/>
          <w:lang w:val="en-US" w:eastAsia="zh-CN"/>
        </w:rPr>
        <w:t>4、加工场所：包括食品加工企业的选址、厂区环境等方面的要求，确保企业具备良好的生产条件。</w:t>
      </w:r>
    </w:p>
    <w:p w14:paraId="28410897">
      <w:pPr>
        <w:ind w:firstLine="560"/>
        <w:rPr>
          <w:rFonts w:hint="eastAsia" w:ascii="Times New Roman" w:hAnsi="Times New Roman" w:cs="宋体"/>
          <w:lang w:val="en-US" w:eastAsia="zh-CN"/>
        </w:rPr>
      </w:pPr>
      <w:r>
        <w:rPr>
          <w:rFonts w:hint="eastAsia" w:ascii="Times New Roman" w:hAnsi="Times New Roman" w:cs="宋体"/>
          <w:lang w:val="en-US" w:eastAsia="zh-CN"/>
        </w:rPr>
        <w:t>5、设施设备：明确厂房设施、设备布局等方面的要求。</w:t>
      </w:r>
    </w:p>
    <w:p w14:paraId="419A04EE">
      <w:pPr>
        <w:ind w:firstLine="560"/>
        <w:rPr>
          <w:rFonts w:hint="eastAsia" w:ascii="Times New Roman" w:hAnsi="Times New Roman" w:cs="宋体"/>
          <w:lang w:val="en-US" w:eastAsia="zh-CN"/>
        </w:rPr>
      </w:pPr>
      <w:r>
        <w:rPr>
          <w:rFonts w:hint="eastAsia" w:ascii="Times New Roman" w:hAnsi="Times New Roman" w:cs="宋体"/>
          <w:lang w:val="en-US" w:eastAsia="zh-CN"/>
        </w:rPr>
        <w:t>6、原辅料：规定了食品原辅料的采购渠道、质量要求、验收标准和方法等。</w:t>
      </w:r>
    </w:p>
    <w:p w14:paraId="4415E151">
      <w:pPr>
        <w:ind w:firstLine="560"/>
        <w:rPr>
          <w:rFonts w:hint="eastAsia" w:ascii="Times New Roman" w:hAnsi="Times New Roman" w:cs="宋体"/>
          <w:lang w:val="en-US" w:eastAsia="zh-CN"/>
        </w:rPr>
      </w:pPr>
      <w:r>
        <w:rPr>
          <w:rFonts w:hint="eastAsia" w:ascii="Times New Roman" w:hAnsi="Times New Roman" w:cs="宋体"/>
          <w:lang w:val="en-US" w:eastAsia="zh-CN"/>
        </w:rPr>
        <w:t>7、生产过程控制：对食品加工过程中的各个环节，如原料处理、加工工艺、卫生控制等进行了详细规定。要求企业严格按照工艺流程进行生产，采取有效的卫生防护措施，防止食品受到污染。同时，对生产过程中的关键控制点进行了明确，要求企业建立相应的监控和记录制度。</w:t>
      </w:r>
    </w:p>
    <w:p w14:paraId="0B62F9EA">
      <w:pPr>
        <w:ind w:firstLine="560"/>
        <w:rPr>
          <w:rFonts w:hint="eastAsia" w:ascii="Times New Roman" w:hAnsi="Times New Roman" w:cs="宋体"/>
          <w:lang w:val="en-US" w:eastAsia="zh-CN"/>
        </w:rPr>
      </w:pPr>
      <w:r>
        <w:rPr>
          <w:rFonts w:hint="eastAsia" w:ascii="Times New Roman" w:hAnsi="Times New Roman" w:cs="宋体"/>
          <w:lang w:val="en-US" w:eastAsia="zh-CN"/>
        </w:rPr>
        <w:t>8、卫生管理：强调食品加工企业的卫生管理制度。</w:t>
      </w:r>
    </w:p>
    <w:p w14:paraId="7955FF57">
      <w:pPr>
        <w:ind w:firstLine="560"/>
        <w:rPr>
          <w:rFonts w:hint="eastAsia" w:ascii="Times New Roman" w:hAnsi="Times New Roman" w:cs="宋体"/>
          <w:lang w:val="en-US" w:eastAsia="zh-CN"/>
        </w:rPr>
      </w:pPr>
      <w:r>
        <w:rPr>
          <w:rFonts w:hint="eastAsia" w:ascii="Times New Roman" w:hAnsi="Times New Roman" w:cs="宋体"/>
          <w:lang w:val="en-US" w:eastAsia="zh-CN"/>
        </w:rPr>
        <w:t>9、废弃物处理：强调废弃物存放清除制度。</w:t>
      </w:r>
    </w:p>
    <w:p w14:paraId="5EA6F468">
      <w:pPr>
        <w:ind w:firstLine="560"/>
        <w:rPr>
          <w:rFonts w:hint="eastAsia" w:ascii="Times New Roman" w:hAnsi="Times New Roman" w:cs="宋体"/>
          <w:lang w:val="en-US" w:eastAsia="zh-CN"/>
        </w:rPr>
      </w:pPr>
      <w:r>
        <w:rPr>
          <w:rFonts w:hint="eastAsia" w:ascii="Times New Roman" w:hAnsi="Times New Roman" w:cs="宋体"/>
          <w:lang w:val="en-US" w:eastAsia="zh-CN"/>
        </w:rPr>
        <w:t>10、致敏物质管理：建立致敏物质管理制度，减少食品受到致敏物质交叉污染的风险。</w:t>
      </w:r>
    </w:p>
    <w:p w14:paraId="43E1C0BF">
      <w:pPr>
        <w:ind w:firstLine="560"/>
        <w:rPr>
          <w:rFonts w:hint="eastAsia" w:ascii="Times New Roman" w:hAnsi="Times New Roman" w:cs="宋体"/>
          <w:lang w:val="en-US" w:eastAsia="zh-CN"/>
        </w:rPr>
      </w:pPr>
      <w:bookmarkStart w:id="1" w:name="_Toc187741978"/>
      <w:r>
        <w:rPr>
          <w:rFonts w:hint="eastAsia" w:ascii="Times New Roman" w:hAnsi="Times New Roman" w:cs="宋体"/>
          <w:lang w:val="en-US" w:eastAsia="zh-CN"/>
        </w:rPr>
        <w:t>11、包装、贮藏、运输、销售</w:t>
      </w:r>
      <w:bookmarkEnd w:id="1"/>
      <w:r>
        <w:rPr>
          <w:rFonts w:hint="eastAsia" w:ascii="Times New Roman" w:hAnsi="Times New Roman" w:cs="宋体"/>
          <w:lang w:val="en-US" w:eastAsia="zh-CN"/>
        </w:rPr>
        <w:t>：对食品的包装材料、包装方式、标识内容、储存条件、储存方式和运输要求等进行了规定。</w:t>
      </w:r>
    </w:p>
    <w:p w14:paraId="57FC02DA">
      <w:pPr>
        <w:ind w:firstLine="560"/>
        <w:rPr>
          <w:rFonts w:hint="eastAsia" w:ascii="Times New Roman" w:hAnsi="Times New Roman" w:cs="宋体"/>
          <w:lang w:val="en-US" w:eastAsia="zh-CN"/>
        </w:rPr>
      </w:pPr>
      <w:r>
        <w:rPr>
          <w:rFonts w:hint="eastAsia" w:ascii="Times New Roman" w:hAnsi="Times New Roman" w:cs="宋体"/>
          <w:lang w:val="en-US" w:eastAsia="zh-CN"/>
        </w:rPr>
        <w:t>12、质量保障：从质量安全和产品检验两个方面去规定相关的要求。</w:t>
      </w:r>
    </w:p>
    <w:p w14:paraId="5D552889">
      <w:pPr>
        <w:ind w:firstLine="560"/>
        <w:rPr>
          <w:rFonts w:hint="eastAsia" w:ascii="Times New Roman" w:hAnsi="Times New Roman" w:cs="宋体"/>
          <w:lang w:val="en-US" w:eastAsia="zh-CN"/>
        </w:rPr>
      </w:pPr>
      <w:r>
        <w:rPr>
          <w:rFonts w:hint="eastAsia" w:ascii="Times New Roman" w:hAnsi="Times New Roman" w:cs="宋体"/>
          <w:lang w:val="en-US" w:eastAsia="zh-CN"/>
        </w:rPr>
        <w:t>13、追溯和召回：强调实施可追潮性系统，规定对被召回的食品处理方式。</w:t>
      </w:r>
    </w:p>
    <w:p w14:paraId="797B7BB1">
      <w:pPr>
        <w:ind w:firstLine="560"/>
        <w:rPr>
          <w:rFonts w:hint="default" w:ascii="Times New Roman" w:hAnsi="Times New Roman" w:cs="宋体"/>
          <w:lang w:val="en-US" w:eastAsia="zh-CN"/>
        </w:rPr>
      </w:pPr>
      <w:r>
        <w:rPr>
          <w:rFonts w:hint="eastAsia" w:ascii="Times New Roman" w:hAnsi="Times New Roman" w:cs="宋体"/>
          <w:lang w:val="en-US" w:eastAsia="zh-CN"/>
        </w:rPr>
        <w:t>14、文件和记录控制：强调建立文件和记录管理制度的要求。</w:t>
      </w:r>
    </w:p>
    <w:p w14:paraId="66C8DF26">
      <w:pPr>
        <w:pStyle w:val="3"/>
      </w:pPr>
      <w:r>
        <w:t>（五）标准中如果涉及专利，应有明确的知识产权说明</w:t>
      </w:r>
    </w:p>
    <w:p w14:paraId="43259E61">
      <w:pPr>
        <w:ind w:firstLine="560"/>
        <w:rPr>
          <w:rFonts w:hint="eastAsia" w:ascii="Times New Roman" w:hAnsi="Times New Roman" w:cs="宋体"/>
          <w:lang w:val="en-US" w:eastAsia="zh-CN"/>
        </w:rPr>
      </w:pPr>
      <w:r>
        <w:rPr>
          <w:rFonts w:hint="eastAsia" w:ascii="Times New Roman" w:hAnsi="Times New Roman" w:cs="宋体"/>
          <w:lang w:val="en-US" w:eastAsia="zh-CN"/>
        </w:rPr>
        <w:t>无。</w:t>
      </w:r>
    </w:p>
    <w:p w14:paraId="1539C675">
      <w:pPr>
        <w:pStyle w:val="3"/>
      </w:pPr>
      <w:r>
        <w:t>（六）采用国际标准或国外先进标准的，说明采标程度，以及国内外同类标准水平的对比情况</w:t>
      </w:r>
    </w:p>
    <w:p w14:paraId="647F3A76">
      <w:pPr>
        <w:pStyle w:val="4"/>
        <w:rPr>
          <w:rFonts w:hint="eastAsia" w:ascii="Times New Roman" w:hAnsi="Times New Roman" w:cs="宋体"/>
        </w:rPr>
      </w:pPr>
      <w:r>
        <w:rPr>
          <w:rFonts w:hint="eastAsia" w:ascii="Times New Roman" w:hAnsi="Times New Roman" w:cs="宋体"/>
        </w:rPr>
        <w:t>1、国内相关标准概况</w:t>
      </w:r>
    </w:p>
    <w:p w14:paraId="7FF2B766">
      <w:pPr>
        <w:ind w:firstLine="560"/>
        <w:rPr>
          <w:rFonts w:hint="eastAsia" w:ascii="Times New Roman" w:hAnsi="Times New Roman" w:cs="宋体"/>
          <w:lang w:val="en-US" w:eastAsia="zh-CN"/>
        </w:rPr>
      </w:pPr>
      <w:r>
        <w:rPr>
          <w:rFonts w:hint="eastAsia" w:ascii="Times New Roman" w:hAnsi="Times New Roman" w:cs="宋体"/>
          <w:lang w:val="en-US" w:eastAsia="zh-CN"/>
        </w:rPr>
        <w:t>与国内有关法律法规和标准水平的对比分析。目前并没有适合海南消费领域区域公共品牌食品加工行业的团体标准，因此急需制定《海南消费领域区域公共品牌食品加工技术规范》相关标准。</w:t>
      </w:r>
    </w:p>
    <w:p w14:paraId="1D72D1E5">
      <w:pPr>
        <w:pStyle w:val="4"/>
        <w:rPr>
          <w:rFonts w:hint="eastAsia" w:ascii="Times New Roman" w:hAnsi="Times New Roman" w:cs="宋体"/>
        </w:rPr>
      </w:pPr>
      <w:r>
        <w:rPr>
          <w:rFonts w:hint="eastAsia" w:ascii="Times New Roman" w:hAnsi="Times New Roman" w:cs="宋体"/>
        </w:rPr>
        <w:t>2、国外相关标准概况</w:t>
      </w:r>
    </w:p>
    <w:p w14:paraId="58EB122F">
      <w:pPr>
        <w:ind w:firstLine="560"/>
        <w:rPr>
          <w:rFonts w:hint="eastAsia" w:ascii="Times New Roman" w:hAnsi="Times New Roman" w:cs="宋体"/>
          <w:lang w:val="en-US" w:eastAsia="zh-CN"/>
        </w:rPr>
      </w:pPr>
      <w:r>
        <w:rPr>
          <w:rFonts w:hint="eastAsia" w:ascii="Times New Roman" w:hAnsi="Times New Roman" w:cs="宋体"/>
          <w:lang w:val="en-US" w:eastAsia="zh-CN"/>
        </w:rPr>
        <w:t>本标准没有采用国际标准。</w:t>
      </w:r>
    </w:p>
    <w:p w14:paraId="4D2586AA">
      <w:pPr>
        <w:pStyle w:val="3"/>
      </w:pPr>
      <w:r>
        <w:t>（七）重大分歧意见的处理依据和结果</w:t>
      </w:r>
    </w:p>
    <w:p w14:paraId="33AC0FAF">
      <w:pPr>
        <w:ind w:firstLine="560"/>
        <w:rPr>
          <w:rFonts w:hint="eastAsia" w:ascii="Times New Roman" w:hAnsi="Times New Roman" w:cs="宋体"/>
          <w:lang w:val="en-US" w:eastAsia="zh-CN"/>
        </w:rPr>
      </w:pPr>
      <w:r>
        <w:rPr>
          <w:rFonts w:hint="eastAsia" w:ascii="Times New Roman" w:hAnsi="Times New Roman" w:cs="宋体"/>
          <w:lang w:val="en-US" w:eastAsia="zh-CN"/>
        </w:rPr>
        <w:t>无。</w:t>
      </w:r>
    </w:p>
    <w:p w14:paraId="6AE283F0">
      <w:pPr>
        <w:pStyle w:val="3"/>
      </w:pPr>
      <w:r>
        <w:t>（八）贯彻标准的要求和措施建议（包括组织措施、技术措施、过渡办法、实施日期等）</w:t>
      </w:r>
    </w:p>
    <w:p w14:paraId="638AECB7">
      <w:pPr>
        <w:pStyle w:val="4"/>
        <w:rPr>
          <w:rFonts w:hint="eastAsia" w:ascii="Times New Roman" w:hAnsi="Times New Roman" w:cs="宋体"/>
          <w:lang w:val="en-US" w:eastAsia="zh-CN"/>
        </w:rPr>
      </w:pPr>
      <w:r>
        <w:rPr>
          <w:rFonts w:hint="eastAsia" w:ascii="Times New Roman" w:hAnsi="Times New Roman" w:cs="宋体"/>
          <w:lang w:val="en-US" w:eastAsia="zh-CN"/>
        </w:rPr>
        <w:t>1、贯彻标准的要求</w:t>
      </w:r>
    </w:p>
    <w:p w14:paraId="578595D1">
      <w:pPr>
        <w:ind w:firstLine="560"/>
        <w:rPr>
          <w:rFonts w:hint="eastAsia" w:ascii="Times New Roman" w:hAnsi="Times New Roman" w:cs="宋体"/>
          <w:lang w:val="en-US" w:eastAsia="zh-CN"/>
        </w:rPr>
      </w:pPr>
      <w:r>
        <w:rPr>
          <w:rFonts w:hint="eastAsia" w:ascii="Times New Roman" w:hAnsi="Times New Roman" w:cs="宋体"/>
          <w:lang w:val="en-US" w:eastAsia="zh-CN"/>
        </w:rPr>
        <w:t>加强宣传培训：相关部门应组织开展本规范的宣传培训工作，通过举办培训班、研讨会、发放宣传资料等形式，向海南区域内的食品加工企业、监管部门和消费者宣传本规范的内容和要求。提高企业和监管人员对规范的认识和理解，增强企业执行规范的自觉性和主动性，引导消费者正确选择和消费海南区域公共品牌食品。</w:t>
      </w:r>
    </w:p>
    <w:p w14:paraId="1E66F3AD">
      <w:pPr>
        <w:pStyle w:val="4"/>
        <w:rPr>
          <w:rFonts w:hint="eastAsia" w:ascii="Times New Roman" w:hAnsi="Times New Roman" w:cs="宋体"/>
          <w:lang w:val="en-US" w:eastAsia="zh-CN"/>
        </w:rPr>
      </w:pPr>
      <w:r>
        <w:rPr>
          <w:rFonts w:hint="eastAsia" w:ascii="Times New Roman" w:hAnsi="Times New Roman" w:cs="宋体"/>
          <w:lang w:val="en-US" w:eastAsia="zh-CN"/>
        </w:rPr>
        <w:t>2、措施建议</w:t>
      </w:r>
    </w:p>
    <w:p w14:paraId="55789D9C">
      <w:pPr>
        <w:ind w:firstLine="560"/>
        <w:rPr>
          <w:rFonts w:hint="eastAsia" w:ascii="Times New Roman" w:hAnsi="Times New Roman" w:cs="宋体"/>
          <w:lang w:val="en-US" w:eastAsia="zh-CN"/>
        </w:rPr>
      </w:pPr>
      <w:r>
        <w:rPr>
          <w:rFonts w:hint="eastAsia" w:ascii="Times New Roman" w:hAnsi="Times New Roman" w:cs="宋体"/>
          <w:lang w:val="en-US" w:eastAsia="zh-CN"/>
        </w:rPr>
        <w:t>①强化监督管理：监管部门应加强对海南区域公共品牌食品加工企业的监督管理，将本规范的执行情况纳入日常监管范围。定期对企业进行检查和抽检，对违反规范要求的企业依法进行处理，确保规范的有效实施。同时，建立健全投诉举报机制，鼓励消费者对不符合规范要求的食品和企业进行举报。</w:t>
      </w:r>
    </w:p>
    <w:p w14:paraId="4AFA1E25">
      <w:pPr>
        <w:ind w:firstLine="560"/>
        <w:rPr>
          <w:rFonts w:hint="eastAsia" w:ascii="Times New Roman" w:hAnsi="Times New Roman" w:cs="宋体"/>
          <w:lang w:val="en-US" w:eastAsia="zh-CN"/>
        </w:rPr>
      </w:pPr>
      <w:r>
        <w:rPr>
          <w:rFonts w:hint="eastAsia" w:ascii="Times New Roman" w:hAnsi="Times New Roman" w:cs="宋体"/>
          <w:lang w:val="en-US" w:eastAsia="zh-CN"/>
        </w:rPr>
        <w:t>②政策支持：政府应出台相关政策，对积极执行本规范的企业给予支持和鼓励。例如，给予财政补贴、税收优惠、项目扶持等，引导企业加大在技术创新、设备更新、质量控制等方面的投入，提高企业的生产水平和竞争力。同时，支持企业开展品牌建设和市场推广活动，提高海南区域公共品牌食品的市场知名度和美誉度。</w:t>
      </w:r>
    </w:p>
    <w:p w14:paraId="22EEB1C9">
      <w:pPr>
        <w:pStyle w:val="3"/>
        <w:rPr>
          <w:rFonts w:hint="eastAsia" w:ascii="Times New Roman" w:hAnsi="Times New Roman"/>
          <w:lang w:val="en-US" w:eastAsia="zh-CN"/>
        </w:rPr>
      </w:pPr>
      <w:r>
        <w:rPr>
          <w:rFonts w:hint="eastAsia" w:ascii="Times New Roman" w:hAnsi="Times New Roman"/>
          <w:lang w:val="en-US" w:eastAsia="zh-CN"/>
        </w:rPr>
        <w:t>（九）预期效果</w:t>
      </w:r>
    </w:p>
    <w:p w14:paraId="3A2734DA">
      <w:pPr>
        <w:ind w:firstLine="560"/>
        <w:rPr>
          <w:rFonts w:hint="eastAsia" w:ascii="Times New Roman" w:hAnsi="Times New Roman" w:cs="宋体"/>
          <w:lang w:val="en-US" w:eastAsia="zh-CN"/>
        </w:rPr>
      </w:pPr>
      <w:r>
        <w:rPr>
          <w:rFonts w:hint="eastAsia" w:ascii="Times New Roman" w:hAnsi="Times New Roman" w:cs="宋体"/>
          <w:lang w:val="en-US" w:eastAsia="zh-CN"/>
        </w:rPr>
        <w:t>1、推动海南食品产业标准化发展，为海南食品加工企业提供统一的技术标准和操作规范，使企业在生产过程中有章可循。促进食品产业上下游企业之间的协同发展。原材料供应商可以根据规范提供符合要求的原料，包装企业能够生产出适配的包装材料，物流企业也能按照规定的条件进行运输和储存。这种产业协同将提高整个产业链的运行效率，降低生产成本，推动海南食品产业向标准化、规模化方向发展。</w:t>
      </w:r>
    </w:p>
    <w:p w14:paraId="3978ADD3">
      <w:pPr>
        <w:ind w:firstLine="560"/>
        <w:rPr>
          <w:rFonts w:hint="eastAsia" w:ascii="Times New Roman" w:hAnsi="Times New Roman" w:cs="宋体"/>
          <w:lang w:val="en-US" w:eastAsia="zh-CN"/>
        </w:rPr>
      </w:pPr>
      <w:r>
        <w:rPr>
          <w:rFonts w:hint="eastAsia" w:ascii="Times New Roman" w:hAnsi="Times New Roman" w:cs="宋体"/>
          <w:lang w:val="en-US" w:eastAsia="zh-CN"/>
        </w:rPr>
        <w:t>2、增强海南食品品牌竞争力，统一的技术规范有助于打造具有海南特色的食品品牌形象。通过规范加工工艺和产品标准，突出海南食品的地域特色和风味，使海南食品在众多品牌中脱颖而出。提升海南食品在国内外市场的知名度和美誉度。符合规范的食品更容易获得国际认证和市场准入，有助于海南食品走出国门，参与国际竞争。</w:t>
      </w:r>
    </w:p>
    <w:p w14:paraId="19604459">
      <w:pPr>
        <w:ind w:firstLine="560"/>
        <w:rPr>
          <w:rFonts w:hint="eastAsia" w:ascii="Times New Roman" w:hAnsi="Times New Roman" w:cs="宋体"/>
          <w:lang w:val="en-US" w:eastAsia="zh-CN"/>
        </w:rPr>
      </w:pPr>
      <w:r>
        <w:rPr>
          <w:rFonts w:hint="eastAsia" w:ascii="Times New Roman" w:hAnsi="Times New Roman" w:cs="宋体"/>
          <w:lang w:val="en-US" w:eastAsia="zh-CN"/>
        </w:rPr>
        <w:t>3、带动海南相关产业发展，食品加工产业的发展将带动海南农业、包装、物流等相关产业的协同发展。规范的食品加工技术要求优质的原材料供应，这将促进海南农业的标准化种植和养殖，提高农产品的附加值。</w:t>
      </w:r>
    </w:p>
    <w:p w14:paraId="0D2357F4">
      <w:pPr>
        <w:pStyle w:val="3"/>
      </w:pPr>
      <w:r>
        <w:t>（十）其他应予说明的事项</w:t>
      </w:r>
    </w:p>
    <w:p w14:paraId="1F2E5ADF">
      <w:pPr>
        <w:ind w:firstLine="560"/>
        <w:rPr>
          <w:rFonts w:hint="eastAsia" w:ascii="Times New Roman" w:hAnsi="Times New Roman" w:cs="宋体"/>
          <w:lang w:val="en-US" w:eastAsia="zh-CN"/>
        </w:rPr>
      </w:pPr>
      <w:r>
        <w:rPr>
          <w:rFonts w:hint="eastAsia" w:ascii="Times New Roman" w:hAnsi="Times New Roman" w:cs="宋体"/>
          <w:lang w:val="en-US" w:eastAsia="zh-CN"/>
        </w:rPr>
        <w:t>在本规范的编制过程中，虽然进行了大量的调研和试验工作，但由于食品加工行业的复杂性和多样性，可能还存在一些不足之处。在规范实施过程中，编制组将密切关注企业的反馈意见和市场的变化情况，及时对规范进行修订和完善，以适应海南区域公共品牌食品产业的发展需求。同时，建议相关部门加强对食品加工新技术、新方法的研究和跟踪，及时将成熟的技术和方法纳入规范，保持规范的先进性和科学性。</w:t>
      </w:r>
    </w:p>
    <w:p w14:paraId="5060E28B">
      <w:pPr>
        <w:ind w:firstLine="560"/>
      </w:pPr>
    </w:p>
    <w:p w14:paraId="2FDFDDEA">
      <w:pPr>
        <w:ind w:firstLine="560"/>
      </w:pPr>
    </w:p>
    <w:p w14:paraId="3A5137AB">
      <w:pPr>
        <w:ind w:firstLine="420"/>
        <w:rPr>
          <w:sz w:val="21"/>
        </w:rPr>
        <w:sectPr>
          <w:headerReference r:id="rId7" w:type="first"/>
          <w:footerReference r:id="rId10" w:type="first"/>
          <w:headerReference r:id="rId5" w:type="default"/>
          <w:footerReference r:id="rId8" w:type="default"/>
          <w:headerReference r:id="rId6" w:type="even"/>
          <w:footerReference r:id="rId9" w:type="even"/>
          <w:pgSz w:w="11910" w:h="16840"/>
          <w:pgMar w:top="1920" w:right="1100" w:bottom="880" w:left="1180" w:header="0" w:footer="698" w:gutter="0"/>
          <w:cols w:space="720" w:num="1"/>
        </w:sectPr>
      </w:pPr>
    </w:p>
    <w:p w14:paraId="58D176E8">
      <w:pPr>
        <w:spacing w:before="40"/>
        <w:ind w:left="220" w:firstLine="0" w:firstLineChars="0"/>
        <w:rPr>
          <w:b/>
          <w:sz w:val="47"/>
        </w:rPr>
      </w:pPr>
      <w:r>
        <w:rPr>
          <w:b/>
          <w:spacing w:val="-27"/>
        </w:rPr>
        <w:t xml:space="preserve">附件 </w:t>
      </w:r>
      <w:r>
        <w:rPr>
          <w:b/>
          <w:spacing w:val="-10"/>
        </w:rPr>
        <w:t>1</w:t>
      </w:r>
    </w:p>
    <w:p w14:paraId="76CB8FAC">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》征求意见汇总表</w:t>
      </w:r>
    </w:p>
    <w:p w14:paraId="7A53C12D">
      <w:pPr>
        <w:pStyle w:val="5"/>
        <w:spacing w:before="4"/>
        <w:ind w:left="0" w:firstLine="120"/>
        <w:rPr>
          <w:b/>
          <w:sz w:val="6"/>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5D571F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7A26D9C0">
            <w:pPr>
              <w:ind w:firstLine="0" w:firstLineChars="0"/>
              <w:jc w:val="center"/>
              <w:rPr>
                <w:sz w:val="24"/>
              </w:rPr>
            </w:pPr>
            <w:r>
              <w:rPr>
                <w:spacing w:val="-7"/>
                <w:sz w:val="24"/>
              </w:rPr>
              <w:t>序号</w:t>
            </w:r>
          </w:p>
        </w:tc>
        <w:tc>
          <w:tcPr>
            <w:tcW w:w="1276" w:type="dxa"/>
            <w:vAlign w:val="center"/>
          </w:tcPr>
          <w:p w14:paraId="3F7C8513">
            <w:pPr>
              <w:ind w:firstLine="0" w:firstLineChars="0"/>
              <w:jc w:val="center"/>
              <w:rPr>
                <w:sz w:val="24"/>
              </w:rPr>
            </w:pPr>
            <w:r>
              <w:rPr>
                <w:spacing w:val="-4"/>
                <w:sz w:val="24"/>
              </w:rPr>
              <w:t>章条编号</w:t>
            </w:r>
          </w:p>
        </w:tc>
        <w:tc>
          <w:tcPr>
            <w:tcW w:w="3827" w:type="dxa"/>
            <w:vAlign w:val="center"/>
          </w:tcPr>
          <w:p w14:paraId="2709FA27">
            <w:pPr>
              <w:ind w:firstLine="0" w:firstLineChars="0"/>
              <w:jc w:val="center"/>
              <w:rPr>
                <w:sz w:val="24"/>
              </w:rPr>
            </w:pPr>
            <w:r>
              <w:rPr>
                <w:spacing w:val="-4"/>
                <w:sz w:val="24"/>
              </w:rPr>
              <w:t>修改意见</w:t>
            </w:r>
          </w:p>
        </w:tc>
        <w:tc>
          <w:tcPr>
            <w:tcW w:w="5245" w:type="dxa"/>
            <w:vAlign w:val="center"/>
          </w:tcPr>
          <w:p w14:paraId="44CE7240">
            <w:pPr>
              <w:ind w:firstLine="0" w:firstLineChars="0"/>
              <w:jc w:val="center"/>
              <w:rPr>
                <w:sz w:val="24"/>
              </w:rPr>
            </w:pPr>
            <w:r>
              <w:rPr>
                <w:spacing w:val="-4"/>
                <w:sz w:val="24"/>
              </w:rPr>
              <w:t>理由或依据</w:t>
            </w:r>
          </w:p>
        </w:tc>
        <w:tc>
          <w:tcPr>
            <w:tcW w:w="1843" w:type="dxa"/>
            <w:vAlign w:val="center"/>
          </w:tcPr>
          <w:p w14:paraId="3F01D10D">
            <w:pPr>
              <w:ind w:firstLine="0" w:firstLineChars="0"/>
              <w:jc w:val="center"/>
              <w:rPr>
                <w:sz w:val="24"/>
              </w:rPr>
            </w:pPr>
            <w:r>
              <w:rPr>
                <w:spacing w:val="-4"/>
                <w:sz w:val="24"/>
              </w:rPr>
              <w:t>提出单位/</w:t>
            </w:r>
            <w:r>
              <w:rPr>
                <w:spacing w:val="-7"/>
                <w:sz w:val="24"/>
              </w:rPr>
              <w:t>人员</w:t>
            </w:r>
          </w:p>
        </w:tc>
        <w:tc>
          <w:tcPr>
            <w:tcW w:w="1417" w:type="dxa"/>
            <w:vAlign w:val="center"/>
          </w:tcPr>
          <w:p w14:paraId="43BDA45B">
            <w:pPr>
              <w:ind w:firstLine="0" w:firstLineChars="0"/>
              <w:jc w:val="center"/>
              <w:rPr>
                <w:sz w:val="24"/>
              </w:rPr>
            </w:pPr>
            <w:r>
              <w:rPr>
                <w:spacing w:val="-4"/>
                <w:sz w:val="24"/>
              </w:rPr>
              <w:t>处理意见</w:t>
            </w:r>
          </w:p>
        </w:tc>
      </w:tr>
      <w:tr w14:paraId="2B391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72637FE0">
            <w:pPr>
              <w:ind w:firstLine="0" w:firstLineChars="0"/>
              <w:jc w:val="center"/>
              <w:rPr>
                <w:sz w:val="24"/>
              </w:rPr>
            </w:pPr>
            <w:r>
              <w:rPr>
                <w:w w:val="118"/>
                <w:sz w:val="24"/>
              </w:rPr>
              <w:t>1</w:t>
            </w:r>
          </w:p>
        </w:tc>
        <w:tc>
          <w:tcPr>
            <w:tcW w:w="1276" w:type="dxa"/>
            <w:vAlign w:val="center"/>
          </w:tcPr>
          <w:p w14:paraId="6E2DB207">
            <w:pPr>
              <w:ind w:firstLine="480"/>
              <w:rPr>
                <w:sz w:val="24"/>
              </w:rPr>
            </w:pPr>
          </w:p>
        </w:tc>
        <w:tc>
          <w:tcPr>
            <w:tcW w:w="3827" w:type="dxa"/>
            <w:vAlign w:val="center"/>
          </w:tcPr>
          <w:p w14:paraId="6A13A7E8">
            <w:pPr>
              <w:ind w:firstLine="0" w:firstLineChars="0"/>
              <w:jc w:val="center"/>
              <w:rPr>
                <w:sz w:val="24"/>
              </w:rPr>
            </w:pPr>
          </w:p>
        </w:tc>
        <w:tc>
          <w:tcPr>
            <w:tcW w:w="5245" w:type="dxa"/>
            <w:vAlign w:val="center"/>
          </w:tcPr>
          <w:p w14:paraId="0F1D68BE">
            <w:pPr>
              <w:ind w:firstLine="0" w:firstLineChars="0"/>
              <w:jc w:val="center"/>
              <w:rPr>
                <w:sz w:val="24"/>
              </w:rPr>
            </w:pPr>
          </w:p>
        </w:tc>
        <w:tc>
          <w:tcPr>
            <w:tcW w:w="1843" w:type="dxa"/>
            <w:vAlign w:val="center"/>
          </w:tcPr>
          <w:p w14:paraId="7648055B">
            <w:pPr>
              <w:ind w:firstLine="0" w:firstLineChars="0"/>
              <w:jc w:val="center"/>
              <w:rPr>
                <w:sz w:val="24"/>
              </w:rPr>
            </w:pPr>
          </w:p>
        </w:tc>
        <w:tc>
          <w:tcPr>
            <w:tcW w:w="1417" w:type="dxa"/>
            <w:vAlign w:val="center"/>
          </w:tcPr>
          <w:p w14:paraId="44026713">
            <w:pPr>
              <w:ind w:firstLine="0" w:firstLineChars="0"/>
              <w:jc w:val="center"/>
              <w:rPr>
                <w:sz w:val="24"/>
              </w:rPr>
            </w:pPr>
          </w:p>
        </w:tc>
      </w:tr>
      <w:tr w14:paraId="592B1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82E5F98">
            <w:pPr>
              <w:ind w:firstLine="0" w:firstLineChars="0"/>
              <w:jc w:val="center"/>
              <w:rPr>
                <w:sz w:val="24"/>
              </w:rPr>
            </w:pPr>
            <w:r>
              <w:rPr>
                <w:w w:val="118"/>
                <w:sz w:val="24"/>
              </w:rPr>
              <w:t>2</w:t>
            </w:r>
          </w:p>
        </w:tc>
        <w:tc>
          <w:tcPr>
            <w:tcW w:w="1276" w:type="dxa"/>
            <w:vAlign w:val="center"/>
          </w:tcPr>
          <w:p w14:paraId="36161F1D">
            <w:pPr>
              <w:ind w:firstLine="480"/>
              <w:rPr>
                <w:sz w:val="24"/>
              </w:rPr>
            </w:pPr>
          </w:p>
        </w:tc>
        <w:tc>
          <w:tcPr>
            <w:tcW w:w="3827" w:type="dxa"/>
            <w:vAlign w:val="center"/>
          </w:tcPr>
          <w:p w14:paraId="09B46DA9">
            <w:pPr>
              <w:ind w:firstLine="0" w:firstLineChars="0"/>
              <w:jc w:val="center"/>
              <w:rPr>
                <w:sz w:val="24"/>
              </w:rPr>
            </w:pPr>
          </w:p>
        </w:tc>
        <w:tc>
          <w:tcPr>
            <w:tcW w:w="5245" w:type="dxa"/>
            <w:vAlign w:val="center"/>
          </w:tcPr>
          <w:p w14:paraId="69DFA2DD">
            <w:pPr>
              <w:ind w:firstLine="0" w:firstLineChars="0"/>
              <w:jc w:val="center"/>
              <w:rPr>
                <w:sz w:val="24"/>
              </w:rPr>
            </w:pPr>
          </w:p>
        </w:tc>
        <w:tc>
          <w:tcPr>
            <w:tcW w:w="1843" w:type="dxa"/>
            <w:vAlign w:val="center"/>
          </w:tcPr>
          <w:p w14:paraId="4377FA83">
            <w:pPr>
              <w:ind w:firstLine="0" w:firstLineChars="0"/>
              <w:jc w:val="center"/>
              <w:rPr>
                <w:sz w:val="24"/>
              </w:rPr>
            </w:pPr>
          </w:p>
        </w:tc>
        <w:tc>
          <w:tcPr>
            <w:tcW w:w="1417" w:type="dxa"/>
            <w:vAlign w:val="center"/>
          </w:tcPr>
          <w:p w14:paraId="6CD24196">
            <w:pPr>
              <w:ind w:firstLine="0" w:firstLineChars="0"/>
              <w:jc w:val="center"/>
              <w:rPr>
                <w:sz w:val="24"/>
              </w:rPr>
            </w:pPr>
          </w:p>
        </w:tc>
      </w:tr>
      <w:tr w14:paraId="038D52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5BA3384">
            <w:pPr>
              <w:ind w:firstLine="0" w:firstLineChars="0"/>
              <w:jc w:val="center"/>
              <w:rPr>
                <w:sz w:val="24"/>
              </w:rPr>
            </w:pPr>
            <w:r>
              <w:rPr>
                <w:w w:val="118"/>
                <w:sz w:val="24"/>
              </w:rPr>
              <w:t>3</w:t>
            </w:r>
          </w:p>
        </w:tc>
        <w:tc>
          <w:tcPr>
            <w:tcW w:w="1276" w:type="dxa"/>
            <w:vAlign w:val="center"/>
          </w:tcPr>
          <w:p w14:paraId="33572EB6">
            <w:pPr>
              <w:ind w:firstLine="480"/>
              <w:rPr>
                <w:sz w:val="24"/>
              </w:rPr>
            </w:pPr>
          </w:p>
        </w:tc>
        <w:tc>
          <w:tcPr>
            <w:tcW w:w="3827" w:type="dxa"/>
            <w:vAlign w:val="center"/>
          </w:tcPr>
          <w:p w14:paraId="32A7DB34">
            <w:pPr>
              <w:ind w:firstLine="0" w:firstLineChars="0"/>
              <w:jc w:val="center"/>
              <w:rPr>
                <w:sz w:val="24"/>
              </w:rPr>
            </w:pPr>
          </w:p>
        </w:tc>
        <w:tc>
          <w:tcPr>
            <w:tcW w:w="5245" w:type="dxa"/>
            <w:vAlign w:val="center"/>
          </w:tcPr>
          <w:p w14:paraId="6C91209F">
            <w:pPr>
              <w:ind w:firstLine="0" w:firstLineChars="0"/>
              <w:jc w:val="center"/>
              <w:rPr>
                <w:sz w:val="24"/>
              </w:rPr>
            </w:pPr>
          </w:p>
        </w:tc>
        <w:tc>
          <w:tcPr>
            <w:tcW w:w="1843" w:type="dxa"/>
            <w:vAlign w:val="center"/>
          </w:tcPr>
          <w:p w14:paraId="169D5F96">
            <w:pPr>
              <w:ind w:firstLine="0" w:firstLineChars="0"/>
              <w:jc w:val="center"/>
              <w:rPr>
                <w:sz w:val="24"/>
              </w:rPr>
            </w:pPr>
          </w:p>
        </w:tc>
        <w:tc>
          <w:tcPr>
            <w:tcW w:w="1417" w:type="dxa"/>
            <w:vAlign w:val="center"/>
          </w:tcPr>
          <w:p w14:paraId="2E68BFA8">
            <w:pPr>
              <w:ind w:firstLine="0" w:firstLineChars="0"/>
              <w:jc w:val="center"/>
              <w:rPr>
                <w:sz w:val="24"/>
              </w:rPr>
            </w:pPr>
          </w:p>
        </w:tc>
      </w:tr>
      <w:tr w14:paraId="288B40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5F9FAA29">
            <w:pPr>
              <w:ind w:firstLine="0" w:firstLineChars="0"/>
              <w:jc w:val="center"/>
              <w:rPr>
                <w:sz w:val="24"/>
              </w:rPr>
            </w:pPr>
            <w:r>
              <w:rPr>
                <w:w w:val="118"/>
                <w:sz w:val="24"/>
              </w:rPr>
              <w:t>4</w:t>
            </w:r>
          </w:p>
        </w:tc>
        <w:tc>
          <w:tcPr>
            <w:tcW w:w="1276" w:type="dxa"/>
            <w:vAlign w:val="center"/>
          </w:tcPr>
          <w:p w14:paraId="0B4FD831">
            <w:pPr>
              <w:ind w:firstLine="480"/>
              <w:rPr>
                <w:sz w:val="24"/>
              </w:rPr>
            </w:pPr>
          </w:p>
        </w:tc>
        <w:tc>
          <w:tcPr>
            <w:tcW w:w="3827" w:type="dxa"/>
            <w:vAlign w:val="center"/>
          </w:tcPr>
          <w:p w14:paraId="1125757E">
            <w:pPr>
              <w:ind w:firstLine="0" w:firstLineChars="0"/>
              <w:jc w:val="center"/>
              <w:rPr>
                <w:sz w:val="24"/>
              </w:rPr>
            </w:pPr>
          </w:p>
        </w:tc>
        <w:tc>
          <w:tcPr>
            <w:tcW w:w="5245" w:type="dxa"/>
            <w:vAlign w:val="center"/>
          </w:tcPr>
          <w:p w14:paraId="65192442">
            <w:pPr>
              <w:ind w:firstLine="0" w:firstLineChars="0"/>
              <w:jc w:val="center"/>
              <w:rPr>
                <w:sz w:val="24"/>
              </w:rPr>
            </w:pPr>
          </w:p>
        </w:tc>
        <w:tc>
          <w:tcPr>
            <w:tcW w:w="1843" w:type="dxa"/>
            <w:vAlign w:val="center"/>
          </w:tcPr>
          <w:p w14:paraId="1090EEBE">
            <w:pPr>
              <w:ind w:firstLine="0" w:firstLineChars="0"/>
              <w:jc w:val="center"/>
              <w:rPr>
                <w:sz w:val="24"/>
              </w:rPr>
            </w:pPr>
          </w:p>
        </w:tc>
        <w:tc>
          <w:tcPr>
            <w:tcW w:w="1417" w:type="dxa"/>
            <w:vAlign w:val="center"/>
          </w:tcPr>
          <w:p w14:paraId="23239EAE">
            <w:pPr>
              <w:ind w:firstLine="0" w:firstLineChars="0"/>
              <w:jc w:val="center"/>
              <w:rPr>
                <w:sz w:val="24"/>
              </w:rPr>
            </w:pPr>
          </w:p>
        </w:tc>
      </w:tr>
      <w:tr w14:paraId="2DF37B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1408AF4">
            <w:pPr>
              <w:ind w:firstLine="0" w:firstLineChars="0"/>
              <w:jc w:val="center"/>
              <w:rPr>
                <w:sz w:val="24"/>
              </w:rPr>
            </w:pPr>
            <w:r>
              <w:rPr>
                <w:w w:val="118"/>
                <w:sz w:val="24"/>
              </w:rPr>
              <w:t>5</w:t>
            </w:r>
          </w:p>
        </w:tc>
        <w:tc>
          <w:tcPr>
            <w:tcW w:w="1276" w:type="dxa"/>
            <w:vAlign w:val="center"/>
          </w:tcPr>
          <w:p w14:paraId="241F6DC3">
            <w:pPr>
              <w:ind w:firstLine="480"/>
              <w:rPr>
                <w:sz w:val="24"/>
              </w:rPr>
            </w:pPr>
          </w:p>
        </w:tc>
        <w:tc>
          <w:tcPr>
            <w:tcW w:w="3827" w:type="dxa"/>
            <w:vAlign w:val="center"/>
          </w:tcPr>
          <w:p w14:paraId="64C29161">
            <w:pPr>
              <w:ind w:firstLine="0" w:firstLineChars="0"/>
              <w:jc w:val="center"/>
              <w:rPr>
                <w:sz w:val="24"/>
              </w:rPr>
            </w:pPr>
          </w:p>
        </w:tc>
        <w:tc>
          <w:tcPr>
            <w:tcW w:w="5245" w:type="dxa"/>
            <w:vAlign w:val="center"/>
          </w:tcPr>
          <w:p w14:paraId="17501CC8">
            <w:pPr>
              <w:ind w:firstLine="0" w:firstLineChars="0"/>
              <w:jc w:val="center"/>
              <w:rPr>
                <w:sz w:val="24"/>
              </w:rPr>
            </w:pPr>
          </w:p>
        </w:tc>
        <w:tc>
          <w:tcPr>
            <w:tcW w:w="1843" w:type="dxa"/>
            <w:vAlign w:val="center"/>
          </w:tcPr>
          <w:p w14:paraId="776CDB0D">
            <w:pPr>
              <w:ind w:firstLine="0" w:firstLineChars="0"/>
              <w:jc w:val="center"/>
              <w:rPr>
                <w:sz w:val="24"/>
              </w:rPr>
            </w:pPr>
          </w:p>
        </w:tc>
        <w:tc>
          <w:tcPr>
            <w:tcW w:w="1417" w:type="dxa"/>
            <w:vAlign w:val="center"/>
          </w:tcPr>
          <w:p w14:paraId="261C7CFB">
            <w:pPr>
              <w:ind w:firstLine="0" w:firstLineChars="0"/>
              <w:jc w:val="center"/>
              <w:rPr>
                <w:sz w:val="24"/>
              </w:rPr>
            </w:pPr>
          </w:p>
        </w:tc>
      </w:tr>
    </w:tbl>
    <w:p w14:paraId="70D11C0A">
      <w:pPr>
        <w:pStyle w:val="5"/>
        <w:ind w:left="0" w:firstLine="402"/>
        <w:rPr>
          <w:b/>
          <w:sz w:val="20"/>
        </w:rPr>
      </w:pPr>
    </w:p>
    <w:p w14:paraId="212DA9BD">
      <w:pPr>
        <w:pStyle w:val="5"/>
        <w:ind w:left="0" w:firstLine="402"/>
        <w:rPr>
          <w:b/>
          <w:sz w:val="20"/>
        </w:rPr>
      </w:pPr>
    </w:p>
    <w:p w14:paraId="6FD5861C">
      <w:pPr>
        <w:pStyle w:val="5"/>
        <w:ind w:left="0" w:firstLine="402"/>
        <w:rPr>
          <w:b/>
          <w:sz w:val="20"/>
        </w:rPr>
      </w:pPr>
    </w:p>
    <w:p w14:paraId="6D86C0D4">
      <w:pPr>
        <w:pStyle w:val="5"/>
        <w:ind w:left="0" w:firstLine="402"/>
        <w:rPr>
          <w:b/>
          <w:sz w:val="20"/>
        </w:rPr>
      </w:pPr>
    </w:p>
    <w:p w14:paraId="65A06B24">
      <w:pPr>
        <w:pStyle w:val="5"/>
        <w:ind w:left="0" w:firstLine="402"/>
        <w:rPr>
          <w:b/>
          <w:sz w:val="20"/>
        </w:rPr>
      </w:pPr>
    </w:p>
    <w:p w14:paraId="563B3418">
      <w:pPr>
        <w:pStyle w:val="5"/>
        <w:ind w:left="0" w:firstLine="402"/>
        <w:rPr>
          <w:b/>
          <w:sz w:val="20"/>
        </w:rPr>
      </w:pPr>
    </w:p>
    <w:p w14:paraId="384A6BC3">
      <w:pPr>
        <w:pStyle w:val="5"/>
        <w:ind w:left="0" w:firstLine="402"/>
        <w:rPr>
          <w:b/>
          <w:sz w:val="20"/>
        </w:rPr>
      </w:pPr>
    </w:p>
    <w:p w14:paraId="1A14F906">
      <w:pPr>
        <w:pStyle w:val="5"/>
        <w:ind w:left="0" w:firstLine="402"/>
        <w:rPr>
          <w:b/>
          <w:sz w:val="20"/>
        </w:rPr>
      </w:pPr>
    </w:p>
    <w:p w14:paraId="31A22536">
      <w:pPr>
        <w:ind w:firstLine="0" w:firstLineChars="0"/>
        <w:rPr>
          <w:rFonts w:ascii="宋体" w:hAnsi="宋体" w:eastAsia="宋体"/>
          <w:b/>
          <w:sz w:val="20"/>
          <w:szCs w:val="32"/>
        </w:rPr>
      </w:pPr>
      <w:r>
        <w:rPr>
          <w:b/>
          <w:sz w:val="20"/>
        </w:rPr>
        <w:br w:type="page"/>
      </w:r>
    </w:p>
    <w:p w14:paraId="5A4FDFAA">
      <w:pPr>
        <w:spacing w:before="40"/>
        <w:ind w:left="220" w:firstLine="0" w:firstLineChars="0"/>
        <w:rPr>
          <w:b/>
          <w:sz w:val="47"/>
        </w:rPr>
      </w:pPr>
      <w:r>
        <w:rPr>
          <w:b/>
          <w:spacing w:val="-27"/>
        </w:rPr>
        <w:t xml:space="preserve">附件 </w:t>
      </w:r>
      <w:r>
        <w:rPr>
          <w:b/>
          <w:spacing w:val="-10"/>
        </w:rPr>
        <w:t>2</w:t>
      </w:r>
    </w:p>
    <w:p w14:paraId="45446DE6">
      <w:pPr>
        <w:ind w:left="220" w:firstLine="723"/>
        <w:jc w:val="center"/>
        <w:rPr>
          <w:b/>
          <w:sz w:val="36"/>
        </w:rPr>
      </w:pPr>
      <w:r>
        <w:rPr>
          <w:b/>
          <w:sz w:val="36"/>
        </w:rPr>
        <w:t>海南省</w:t>
      </w:r>
      <w:r>
        <w:rPr>
          <w:rFonts w:hint="eastAsia"/>
          <w:b/>
          <w:sz w:val="36"/>
        </w:rPr>
        <w:t>质量协会团体</w:t>
      </w:r>
      <w:r>
        <w:rPr>
          <w:b/>
          <w:sz w:val="36"/>
        </w:rPr>
        <w:t>标准《</w:t>
      </w:r>
      <w:r>
        <w:rPr>
          <w:rFonts w:hint="eastAsia"/>
          <w:b/>
          <w:sz w:val="36"/>
        </w:rPr>
        <w:t>X</w:t>
      </w:r>
      <w:r>
        <w:rPr>
          <w:b/>
          <w:sz w:val="36"/>
        </w:rPr>
        <w:t>XXX</w:t>
      </w:r>
      <w:r>
        <w:rPr>
          <w:b/>
          <w:spacing w:val="-1"/>
          <w:sz w:val="36"/>
        </w:rPr>
        <w:t>》</w:t>
      </w:r>
      <w:r>
        <w:rPr>
          <w:rFonts w:hint="eastAsia"/>
          <w:b/>
          <w:spacing w:val="-1"/>
          <w:sz w:val="36"/>
        </w:rPr>
        <w:t>审查</w:t>
      </w:r>
      <w:r>
        <w:rPr>
          <w:b/>
          <w:spacing w:val="-1"/>
          <w:sz w:val="36"/>
        </w:rPr>
        <w:t>意见汇总表</w:t>
      </w:r>
    </w:p>
    <w:p w14:paraId="6D38F508">
      <w:pPr>
        <w:pStyle w:val="5"/>
        <w:spacing w:before="4"/>
        <w:ind w:left="0" w:firstLine="120"/>
        <w:rPr>
          <w:b/>
          <w:sz w:val="6"/>
        </w:rPr>
      </w:pPr>
    </w:p>
    <w:tbl>
      <w:tblPr>
        <w:tblStyle w:val="12"/>
        <w:tblW w:w="0" w:type="auto"/>
        <w:tblInd w:w="11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17"/>
        <w:gridCol w:w="1276"/>
        <w:gridCol w:w="3827"/>
        <w:gridCol w:w="5245"/>
        <w:gridCol w:w="1843"/>
        <w:gridCol w:w="1417"/>
      </w:tblGrid>
      <w:tr w14:paraId="62227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8" w:hRule="atLeast"/>
        </w:trPr>
        <w:tc>
          <w:tcPr>
            <w:tcW w:w="817" w:type="dxa"/>
            <w:vAlign w:val="center"/>
          </w:tcPr>
          <w:p w14:paraId="3D1D2400">
            <w:pPr>
              <w:ind w:firstLine="0" w:firstLineChars="0"/>
              <w:jc w:val="center"/>
              <w:rPr>
                <w:sz w:val="24"/>
              </w:rPr>
            </w:pPr>
            <w:r>
              <w:rPr>
                <w:spacing w:val="-7"/>
                <w:sz w:val="24"/>
              </w:rPr>
              <w:t>序号</w:t>
            </w:r>
          </w:p>
        </w:tc>
        <w:tc>
          <w:tcPr>
            <w:tcW w:w="1276" w:type="dxa"/>
            <w:vAlign w:val="center"/>
          </w:tcPr>
          <w:p w14:paraId="21FAE3A7">
            <w:pPr>
              <w:ind w:firstLine="0" w:firstLineChars="0"/>
              <w:jc w:val="center"/>
              <w:rPr>
                <w:sz w:val="24"/>
              </w:rPr>
            </w:pPr>
            <w:r>
              <w:rPr>
                <w:spacing w:val="-4"/>
                <w:sz w:val="24"/>
              </w:rPr>
              <w:t>章条编号</w:t>
            </w:r>
          </w:p>
        </w:tc>
        <w:tc>
          <w:tcPr>
            <w:tcW w:w="3827" w:type="dxa"/>
            <w:vAlign w:val="center"/>
          </w:tcPr>
          <w:p w14:paraId="30FC345E">
            <w:pPr>
              <w:ind w:firstLine="0" w:firstLineChars="0"/>
              <w:jc w:val="center"/>
              <w:rPr>
                <w:sz w:val="24"/>
              </w:rPr>
            </w:pPr>
            <w:r>
              <w:rPr>
                <w:spacing w:val="-4"/>
                <w:sz w:val="24"/>
              </w:rPr>
              <w:t>修改意见</w:t>
            </w:r>
          </w:p>
        </w:tc>
        <w:tc>
          <w:tcPr>
            <w:tcW w:w="5245" w:type="dxa"/>
            <w:vAlign w:val="center"/>
          </w:tcPr>
          <w:p w14:paraId="5671C48D">
            <w:pPr>
              <w:ind w:firstLine="0" w:firstLineChars="0"/>
              <w:jc w:val="center"/>
              <w:rPr>
                <w:sz w:val="24"/>
              </w:rPr>
            </w:pPr>
            <w:r>
              <w:rPr>
                <w:spacing w:val="-4"/>
                <w:sz w:val="24"/>
              </w:rPr>
              <w:t>理由或依据</w:t>
            </w:r>
          </w:p>
        </w:tc>
        <w:tc>
          <w:tcPr>
            <w:tcW w:w="1843" w:type="dxa"/>
            <w:vAlign w:val="center"/>
          </w:tcPr>
          <w:p w14:paraId="658E3D39">
            <w:pPr>
              <w:ind w:firstLine="0" w:firstLineChars="0"/>
              <w:jc w:val="center"/>
              <w:rPr>
                <w:sz w:val="24"/>
              </w:rPr>
            </w:pPr>
            <w:r>
              <w:rPr>
                <w:spacing w:val="-4"/>
                <w:sz w:val="24"/>
              </w:rPr>
              <w:t>提出单位/</w:t>
            </w:r>
            <w:r>
              <w:rPr>
                <w:spacing w:val="-7"/>
                <w:sz w:val="24"/>
              </w:rPr>
              <w:t>人员</w:t>
            </w:r>
          </w:p>
        </w:tc>
        <w:tc>
          <w:tcPr>
            <w:tcW w:w="1417" w:type="dxa"/>
            <w:vAlign w:val="center"/>
          </w:tcPr>
          <w:p w14:paraId="1CCF920B">
            <w:pPr>
              <w:ind w:firstLine="0" w:firstLineChars="0"/>
              <w:jc w:val="center"/>
              <w:rPr>
                <w:sz w:val="24"/>
              </w:rPr>
            </w:pPr>
            <w:r>
              <w:rPr>
                <w:spacing w:val="-4"/>
                <w:sz w:val="24"/>
              </w:rPr>
              <w:t>处理意见</w:t>
            </w:r>
          </w:p>
        </w:tc>
      </w:tr>
      <w:tr w14:paraId="0B72C5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03FDD3C">
            <w:pPr>
              <w:ind w:firstLine="0" w:firstLineChars="0"/>
              <w:jc w:val="center"/>
              <w:rPr>
                <w:sz w:val="24"/>
              </w:rPr>
            </w:pPr>
            <w:r>
              <w:rPr>
                <w:w w:val="118"/>
                <w:sz w:val="24"/>
              </w:rPr>
              <w:t>1</w:t>
            </w:r>
          </w:p>
        </w:tc>
        <w:tc>
          <w:tcPr>
            <w:tcW w:w="1276" w:type="dxa"/>
            <w:vAlign w:val="center"/>
          </w:tcPr>
          <w:p w14:paraId="0D172B81">
            <w:pPr>
              <w:ind w:firstLine="480"/>
              <w:rPr>
                <w:sz w:val="24"/>
              </w:rPr>
            </w:pPr>
          </w:p>
        </w:tc>
        <w:tc>
          <w:tcPr>
            <w:tcW w:w="3827" w:type="dxa"/>
            <w:vAlign w:val="center"/>
          </w:tcPr>
          <w:p w14:paraId="4CECAC22">
            <w:pPr>
              <w:ind w:firstLine="0" w:firstLineChars="0"/>
              <w:jc w:val="center"/>
              <w:rPr>
                <w:sz w:val="24"/>
              </w:rPr>
            </w:pPr>
          </w:p>
        </w:tc>
        <w:tc>
          <w:tcPr>
            <w:tcW w:w="5245" w:type="dxa"/>
            <w:vAlign w:val="center"/>
          </w:tcPr>
          <w:p w14:paraId="2E947E00">
            <w:pPr>
              <w:ind w:firstLine="0" w:firstLineChars="0"/>
              <w:jc w:val="center"/>
              <w:rPr>
                <w:sz w:val="24"/>
              </w:rPr>
            </w:pPr>
          </w:p>
        </w:tc>
        <w:tc>
          <w:tcPr>
            <w:tcW w:w="1843" w:type="dxa"/>
            <w:vAlign w:val="center"/>
          </w:tcPr>
          <w:p w14:paraId="11B2A430">
            <w:pPr>
              <w:ind w:firstLine="0" w:firstLineChars="0"/>
              <w:jc w:val="center"/>
              <w:rPr>
                <w:sz w:val="24"/>
              </w:rPr>
            </w:pPr>
          </w:p>
        </w:tc>
        <w:tc>
          <w:tcPr>
            <w:tcW w:w="1417" w:type="dxa"/>
            <w:vAlign w:val="center"/>
          </w:tcPr>
          <w:p w14:paraId="0D518548">
            <w:pPr>
              <w:ind w:firstLine="0" w:firstLineChars="0"/>
              <w:jc w:val="center"/>
              <w:rPr>
                <w:sz w:val="24"/>
              </w:rPr>
            </w:pPr>
          </w:p>
        </w:tc>
      </w:tr>
      <w:tr w14:paraId="38C5E4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4D097E8F">
            <w:pPr>
              <w:ind w:firstLine="0" w:firstLineChars="0"/>
              <w:jc w:val="center"/>
              <w:rPr>
                <w:sz w:val="24"/>
              </w:rPr>
            </w:pPr>
            <w:r>
              <w:rPr>
                <w:w w:val="118"/>
                <w:sz w:val="24"/>
              </w:rPr>
              <w:t>2</w:t>
            </w:r>
          </w:p>
        </w:tc>
        <w:tc>
          <w:tcPr>
            <w:tcW w:w="1276" w:type="dxa"/>
            <w:vAlign w:val="center"/>
          </w:tcPr>
          <w:p w14:paraId="004919A2">
            <w:pPr>
              <w:ind w:firstLine="480"/>
              <w:rPr>
                <w:sz w:val="24"/>
              </w:rPr>
            </w:pPr>
          </w:p>
        </w:tc>
        <w:tc>
          <w:tcPr>
            <w:tcW w:w="3827" w:type="dxa"/>
            <w:vAlign w:val="center"/>
          </w:tcPr>
          <w:p w14:paraId="0F68FBA0">
            <w:pPr>
              <w:ind w:firstLine="0" w:firstLineChars="0"/>
              <w:jc w:val="center"/>
              <w:rPr>
                <w:sz w:val="24"/>
              </w:rPr>
            </w:pPr>
          </w:p>
        </w:tc>
        <w:tc>
          <w:tcPr>
            <w:tcW w:w="5245" w:type="dxa"/>
            <w:vAlign w:val="center"/>
          </w:tcPr>
          <w:p w14:paraId="4989DD34">
            <w:pPr>
              <w:ind w:firstLine="0" w:firstLineChars="0"/>
              <w:jc w:val="center"/>
              <w:rPr>
                <w:sz w:val="24"/>
              </w:rPr>
            </w:pPr>
          </w:p>
        </w:tc>
        <w:tc>
          <w:tcPr>
            <w:tcW w:w="1843" w:type="dxa"/>
            <w:vAlign w:val="center"/>
          </w:tcPr>
          <w:p w14:paraId="48F7DEF3">
            <w:pPr>
              <w:ind w:firstLine="0" w:firstLineChars="0"/>
              <w:jc w:val="center"/>
              <w:rPr>
                <w:sz w:val="24"/>
              </w:rPr>
            </w:pPr>
          </w:p>
        </w:tc>
        <w:tc>
          <w:tcPr>
            <w:tcW w:w="1417" w:type="dxa"/>
            <w:vAlign w:val="center"/>
          </w:tcPr>
          <w:p w14:paraId="6830F222">
            <w:pPr>
              <w:ind w:firstLine="0" w:firstLineChars="0"/>
              <w:jc w:val="center"/>
              <w:rPr>
                <w:sz w:val="24"/>
              </w:rPr>
            </w:pPr>
          </w:p>
        </w:tc>
      </w:tr>
      <w:tr w14:paraId="6F995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1AE4C6BB">
            <w:pPr>
              <w:ind w:firstLine="0" w:firstLineChars="0"/>
              <w:jc w:val="center"/>
              <w:rPr>
                <w:sz w:val="24"/>
              </w:rPr>
            </w:pPr>
            <w:r>
              <w:rPr>
                <w:w w:val="118"/>
                <w:sz w:val="24"/>
              </w:rPr>
              <w:t>3</w:t>
            </w:r>
          </w:p>
        </w:tc>
        <w:tc>
          <w:tcPr>
            <w:tcW w:w="1276" w:type="dxa"/>
            <w:vAlign w:val="center"/>
          </w:tcPr>
          <w:p w14:paraId="55A8C3E2">
            <w:pPr>
              <w:ind w:firstLine="480"/>
              <w:rPr>
                <w:sz w:val="24"/>
              </w:rPr>
            </w:pPr>
          </w:p>
        </w:tc>
        <w:tc>
          <w:tcPr>
            <w:tcW w:w="3827" w:type="dxa"/>
            <w:vAlign w:val="center"/>
          </w:tcPr>
          <w:p w14:paraId="466F87AC">
            <w:pPr>
              <w:ind w:firstLine="0" w:firstLineChars="0"/>
              <w:jc w:val="center"/>
              <w:rPr>
                <w:sz w:val="24"/>
              </w:rPr>
            </w:pPr>
          </w:p>
        </w:tc>
        <w:tc>
          <w:tcPr>
            <w:tcW w:w="5245" w:type="dxa"/>
            <w:vAlign w:val="center"/>
          </w:tcPr>
          <w:p w14:paraId="3FB4B1C4">
            <w:pPr>
              <w:ind w:firstLine="0" w:firstLineChars="0"/>
              <w:jc w:val="center"/>
              <w:rPr>
                <w:sz w:val="24"/>
              </w:rPr>
            </w:pPr>
          </w:p>
        </w:tc>
        <w:tc>
          <w:tcPr>
            <w:tcW w:w="1843" w:type="dxa"/>
            <w:vAlign w:val="center"/>
          </w:tcPr>
          <w:p w14:paraId="121495B5">
            <w:pPr>
              <w:ind w:firstLine="0" w:firstLineChars="0"/>
              <w:jc w:val="center"/>
              <w:rPr>
                <w:sz w:val="24"/>
              </w:rPr>
            </w:pPr>
          </w:p>
        </w:tc>
        <w:tc>
          <w:tcPr>
            <w:tcW w:w="1417" w:type="dxa"/>
            <w:vAlign w:val="center"/>
          </w:tcPr>
          <w:p w14:paraId="3ABFEAA4">
            <w:pPr>
              <w:ind w:firstLine="0" w:firstLineChars="0"/>
              <w:jc w:val="center"/>
              <w:rPr>
                <w:sz w:val="24"/>
              </w:rPr>
            </w:pPr>
          </w:p>
        </w:tc>
      </w:tr>
      <w:tr w14:paraId="7E5142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69AAEC31">
            <w:pPr>
              <w:ind w:firstLine="0" w:firstLineChars="0"/>
              <w:jc w:val="center"/>
              <w:rPr>
                <w:sz w:val="24"/>
              </w:rPr>
            </w:pPr>
            <w:r>
              <w:rPr>
                <w:w w:val="118"/>
                <w:sz w:val="24"/>
              </w:rPr>
              <w:t>4</w:t>
            </w:r>
          </w:p>
        </w:tc>
        <w:tc>
          <w:tcPr>
            <w:tcW w:w="1276" w:type="dxa"/>
            <w:vAlign w:val="center"/>
          </w:tcPr>
          <w:p w14:paraId="5D33FEDF">
            <w:pPr>
              <w:ind w:firstLine="480"/>
              <w:rPr>
                <w:sz w:val="24"/>
              </w:rPr>
            </w:pPr>
          </w:p>
        </w:tc>
        <w:tc>
          <w:tcPr>
            <w:tcW w:w="3827" w:type="dxa"/>
            <w:vAlign w:val="center"/>
          </w:tcPr>
          <w:p w14:paraId="2EC5A082">
            <w:pPr>
              <w:ind w:firstLine="0" w:firstLineChars="0"/>
              <w:jc w:val="center"/>
              <w:rPr>
                <w:sz w:val="24"/>
              </w:rPr>
            </w:pPr>
          </w:p>
        </w:tc>
        <w:tc>
          <w:tcPr>
            <w:tcW w:w="5245" w:type="dxa"/>
            <w:vAlign w:val="center"/>
          </w:tcPr>
          <w:p w14:paraId="6EAB597D">
            <w:pPr>
              <w:ind w:firstLine="0" w:firstLineChars="0"/>
              <w:jc w:val="center"/>
              <w:rPr>
                <w:sz w:val="24"/>
              </w:rPr>
            </w:pPr>
          </w:p>
        </w:tc>
        <w:tc>
          <w:tcPr>
            <w:tcW w:w="1843" w:type="dxa"/>
            <w:vAlign w:val="center"/>
          </w:tcPr>
          <w:p w14:paraId="3E950E71">
            <w:pPr>
              <w:ind w:firstLine="0" w:firstLineChars="0"/>
              <w:jc w:val="center"/>
              <w:rPr>
                <w:sz w:val="24"/>
              </w:rPr>
            </w:pPr>
          </w:p>
        </w:tc>
        <w:tc>
          <w:tcPr>
            <w:tcW w:w="1417" w:type="dxa"/>
            <w:vAlign w:val="center"/>
          </w:tcPr>
          <w:p w14:paraId="7757CC9B">
            <w:pPr>
              <w:ind w:firstLine="0" w:firstLineChars="0"/>
              <w:jc w:val="center"/>
              <w:rPr>
                <w:sz w:val="24"/>
              </w:rPr>
            </w:pPr>
          </w:p>
        </w:tc>
      </w:tr>
      <w:tr w14:paraId="3FA70E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0" w:hRule="atLeast"/>
        </w:trPr>
        <w:tc>
          <w:tcPr>
            <w:tcW w:w="817" w:type="dxa"/>
            <w:vAlign w:val="center"/>
          </w:tcPr>
          <w:p w14:paraId="0E5FF4B9">
            <w:pPr>
              <w:ind w:firstLine="0" w:firstLineChars="0"/>
              <w:jc w:val="center"/>
              <w:rPr>
                <w:sz w:val="24"/>
              </w:rPr>
            </w:pPr>
            <w:r>
              <w:rPr>
                <w:w w:val="118"/>
                <w:sz w:val="24"/>
              </w:rPr>
              <w:t>5</w:t>
            </w:r>
          </w:p>
        </w:tc>
        <w:tc>
          <w:tcPr>
            <w:tcW w:w="1276" w:type="dxa"/>
            <w:vAlign w:val="center"/>
          </w:tcPr>
          <w:p w14:paraId="123C0466">
            <w:pPr>
              <w:ind w:firstLine="480"/>
              <w:rPr>
                <w:sz w:val="24"/>
              </w:rPr>
            </w:pPr>
          </w:p>
        </w:tc>
        <w:tc>
          <w:tcPr>
            <w:tcW w:w="3827" w:type="dxa"/>
            <w:vAlign w:val="center"/>
          </w:tcPr>
          <w:p w14:paraId="23817075">
            <w:pPr>
              <w:ind w:firstLine="0" w:firstLineChars="0"/>
              <w:jc w:val="center"/>
              <w:rPr>
                <w:sz w:val="24"/>
              </w:rPr>
            </w:pPr>
          </w:p>
        </w:tc>
        <w:tc>
          <w:tcPr>
            <w:tcW w:w="5245" w:type="dxa"/>
            <w:vAlign w:val="center"/>
          </w:tcPr>
          <w:p w14:paraId="37C40335">
            <w:pPr>
              <w:ind w:firstLine="0" w:firstLineChars="0"/>
              <w:jc w:val="center"/>
              <w:rPr>
                <w:sz w:val="24"/>
              </w:rPr>
            </w:pPr>
          </w:p>
        </w:tc>
        <w:tc>
          <w:tcPr>
            <w:tcW w:w="1843" w:type="dxa"/>
            <w:vAlign w:val="center"/>
          </w:tcPr>
          <w:p w14:paraId="75BBE5C3">
            <w:pPr>
              <w:ind w:firstLine="0" w:firstLineChars="0"/>
              <w:jc w:val="center"/>
              <w:rPr>
                <w:sz w:val="24"/>
              </w:rPr>
            </w:pPr>
          </w:p>
        </w:tc>
        <w:tc>
          <w:tcPr>
            <w:tcW w:w="1417" w:type="dxa"/>
            <w:vAlign w:val="center"/>
          </w:tcPr>
          <w:p w14:paraId="446A5E0E">
            <w:pPr>
              <w:ind w:firstLine="0" w:firstLineChars="0"/>
              <w:jc w:val="center"/>
              <w:rPr>
                <w:sz w:val="24"/>
              </w:rPr>
            </w:pPr>
          </w:p>
        </w:tc>
      </w:tr>
    </w:tbl>
    <w:p w14:paraId="06E19FE1">
      <w:pPr>
        <w:pStyle w:val="5"/>
        <w:ind w:left="0" w:firstLine="402"/>
        <w:rPr>
          <w:b/>
          <w:sz w:val="20"/>
        </w:rPr>
      </w:pPr>
    </w:p>
    <w:p w14:paraId="18BF2F44">
      <w:pPr>
        <w:pStyle w:val="5"/>
        <w:ind w:left="0" w:firstLine="402"/>
        <w:rPr>
          <w:b/>
          <w:sz w:val="20"/>
        </w:rPr>
      </w:pPr>
    </w:p>
    <w:p w14:paraId="1F6E0203">
      <w:pPr>
        <w:pStyle w:val="5"/>
        <w:ind w:left="0" w:firstLine="402"/>
        <w:rPr>
          <w:b/>
          <w:sz w:val="20"/>
        </w:rPr>
      </w:pPr>
    </w:p>
    <w:p w14:paraId="347A4DC7">
      <w:pPr>
        <w:spacing w:before="102"/>
        <w:ind w:right="482" w:firstLine="360"/>
        <w:jc w:val="right"/>
        <w:rPr>
          <w:rFonts w:ascii="Gill Sans MT" w:hAnsi="Gill Sans MT"/>
          <w:sz w:val="18"/>
        </w:rPr>
      </w:pPr>
    </w:p>
    <w:sectPr>
      <w:footerReference r:id="rId11" w:type="default"/>
      <w:pgSz w:w="16840" w:h="11910" w:orient="landscape"/>
      <w:pgMar w:top="1100" w:right="960" w:bottom="280" w:left="122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560"/>
      </w:pPr>
      <w:r>
        <w:separator/>
      </w:r>
    </w:p>
  </w:endnote>
  <w:endnote w:type="continuationSeparator" w:id="1">
    <w:p>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Gill Sans MT">
    <w:panose1 w:val="020B0502020104020203"/>
    <w:charset w:val="00"/>
    <w:family w:val="swiss"/>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3A1569">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5962650</wp:posOffset>
              </wp:positionH>
              <wp:positionV relativeFrom="page">
                <wp:posOffset>10109200</wp:posOffset>
              </wp:positionV>
              <wp:extent cx="635000" cy="177800"/>
              <wp:effectExtent l="0" t="0" r="0" b="0"/>
              <wp:wrapNone/>
              <wp:docPr id="2" name="docshape4"/>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4" o:spid="_x0000_s1026" o:spt="202" type="#_x0000_t202" style="position:absolute;left:0pt;margin-left:469.5pt;margin-top:796pt;height:14pt;width:50pt;mso-position-horizontal-relative:page;mso-position-vertical-relative:page;z-index:-251657216;mso-width-relative:page;mso-height-relative:page;" filled="f" stroked="f" coordsize="21600,21600" o:gfxdata="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gRYwHXAAAADgEAAA8AAAAAAAAAAQAgAAAAIgAAAGRycy9kb3ducmV2Lnht&#10;bFBLAQIUABQAAAAIAIdO4kDdA+dL+gEAAAIEAAAOAAAAAAAAAAEAIAAAACYBAABkcnMvZTJvRG9j&#10;LnhtbFBLBQYAAAAABgAGAFkBAACSBQAAAAA=&#10;">
              <v:fill on="f" focussize="0,0"/>
              <v:stroke on="f"/>
              <v:imagedata o:title=""/>
              <o:lock v:ext="edit" aspectratio="f"/>
              <v:textbox inset="0mm,0mm,0mm,0mm">
                <w:txbxContent>
                  <w:p w14:paraId="36401386">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1</w:t>
                    </w:r>
                    <w:r>
                      <w:rPr>
                        <w:sz w:val="24"/>
                      </w:rPr>
                      <w:fldChar w:fldCharType="end"/>
                    </w:r>
                    <w:r>
                      <w:rPr>
                        <w:spacing w:val="2"/>
                        <w:sz w:val="24"/>
                      </w:rPr>
                      <w:t xml:space="preserve"> </w:t>
                    </w:r>
                    <w:r>
                      <w:rPr>
                        <w:spacing w:val="-10"/>
                        <w:sz w:val="24"/>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3611FE">
    <w:pPr>
      <w:pStyle w:val="5"/>
      <w:spacing w:line="14" w:lineRule="auto"/>
      <w:ind w:left="0" w:firstLine="640"/>
      <w:rPr>
        <w:sz w:val="20"/>
      </w:rPr>
    </w:pPr>
    <w:r>
      <mc:AlternateContent>
        <mc:Choice Requires="wps">
          <w:drawing>
            <wp:anchor distT="0" distB="0" distL="114300" distR="114300" simplePos="0" relativeHeight="251659264" behindDoc="1" locked="0" layoutInCell="1" allowOverlap="1">
              <wp:simplePos x="0" y="0"/>
              <wp:positionH relativeFrom="page">
                <wp:posOffset>997585</wp:posOffset>
              </wp:positionH>
              <wp:positionV relativeFrom="page">
                <wp:posOffset>10109200</wp:posOffset>
              </wp:positionV>
              <wp:extent cx="635000" cy="177800"/>
              <wp:effectExtent l="0" t="0" r="0" b="0"/>
              <wp:wrapNone/>
              <wp:docPr id="4" name="docshape3"/>
              <wp:cNvGraphicFramePr/>
              <a:graphic xmlns:a="http://schemas.openxmlformats.org/drawingml/2006/main">
                <a:graphicData uri="http://schemas.microsoft.com/office/word/2010/wordprocessingShape">
                  <wps:wsp>
                    <wps:cNvSpPr txBox="1">
                      <a:spLocks noChangeArrowheads="1"/>
                    </wps:cNvSpPr>
                    <wps:spPr bwMode="auto">
                      <a:xfrm>
                        <a:off x="0" y="0"/>
                        <a:ext cx="635000" cy="177800"/>
                      </a:xfrm>
                      <a:prstGeom prst="rect">
                        <a:avLst/>
                      </a:prstGeom>
                      <a:noFill/>
                      <a:ln>
                        <a:noFill/>
                      </a:ln>
                    </wps:spPr>
                    <wps:txbx>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wps:txbx>
                    <wps:bodyPr rot="0" vert="horz" wrap="square" lIns="0" tIns="0" rIns="0" bIns="0" anchor="t" anchorCtr="0" upright="1">
                      <a:noAutofit/>
                    </wps:bodyPr>
                  </wps:wsp>
                </a:graphicData>
              </a:graphic>
            </wp:anchor>
          </w:drawing>
        </mc:Choice>
        <mc:Fallback>
          <w:pict>
            <v:shape id="docshape3" o:spid="_x0000_s1026" o:spt="202" type="#_x0000_t202" style="position:absolute;left:0pt;margin-left:78.55pt;margin-top:796pt;height:14pt;width:50pt;mso-position-horizontal-relative:page;mso-position-vertical-relative:page;z-index:-251657216;mso-width-relative:page;mso-height-relative:page;" filled="f" stroked="f" coordsize="21600,21600" o:gfxdata="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M+BV8NYAAAANAQAADwAAAAAAAAABACAAAAAiAAAAZHJzL2Rvd25yZXYueG1s&#10;UEsBAhQAFAAAAAgAh07iQIfxy3/6AQAAAgQAAA4AAAAAAAAAAQAgAAAAJQEAAGRycy9lMm9Eb2Mu&#10;eG1sUEsFBgAAAAAGAAYAWQEAAJEFAAAAAA==&#10;">
              <v:fill on="f" focussize="0,0"/>
              <v:stroke on="f"/>
              <v:imagedata o:title=""/>
              <o:lock v:ext="edit" aspectratio="f"/>
              <v:textbox inset="0mm,0mm,0mm,0mm">
                <w:txbxContent>
                  <w:p w14:paraId="7C50D83F">
                    <w:pPr>
                      <w:spacing w:line="280" w:lineRule="exact"/>
                      <w:ind w:left="20" w:firstLine="480"/>
                      <w:rPr>
                        <w:sz w:val="24"/>
                      </w:rPr>
                    </w:pPr>
                    <w:r>
                      <w:rPr>
                        <w:sz w:val="24"/>
                      </w:rPr>
                      <w:t xml:space="preserve">— </w:t>
                    </w:r>
                    <w:r>
                      <w:rPr>
                        <w:sz w:val="24"/>
                      </w:rPr>
                      <w:fldChar w:fldCharType="begin"/>
                    </w:r>
                    <w:r>
                      <w:rPr>
                        <w:sz w:val="24"/>
                      </w:rPr>
                      <w:instrText xml:space="preserve"> PAGE </w:instrText>
                    </w:r>
                    <w:r>
                      <w:rPr>
                        <w:sz w:val="24"/>
                      </w:rPr>
                      <w:fldChar w:fldCharType="separate"/>
                    </w:r>
                    <w:r>
                      <w:rPr>
                        <w:sz w:val="24"/>
                      </w:rPr>
                      <w:t>2</w:t>
                    </w:r>
                    <w:r>
                      <w:rPr>
                        <w:sz w:val="24"/>
                      </w:rPr>
                      <w:fldChar w:fldCharType="end"/>
                    </w:r>
                    <w:r>
                      <w:rPr>
                        <w:spacing w:val="2"/>
                        <w:sz w:val="24"/>
                      </w:rPr>
                      <w:t xml:space="preserve"> </w:t>
                    </w:r>
                    <w:r>
                      <w:rPr>
                        <w:spacing w:val="-10"/>
                        <w:sz w:val="24"/>
                      </w:rP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09BC7">
    <w:pPr>
      <w:pStyle w:val="6"/>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8AE149">
    <w:pPr>
      <w:pStyle w:val="5"/>
      <w:spacing w:line="14" w:lineRule="auto"/>
      <w:ind w:left="0" w:firstLine="40"/>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560"/>
      </w:pPr>
      <w:r>
        <w:separator/>
      </w:r>
    </w:p>
  </w:footnote>
  <w:footnote w:type="continuationSeparator" w:id="1">
    <w:p>
      <w:pPr>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122BBC">
    <w:pPr>
      <w:pStyle w:val="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246CAA">
    <w:pPr>
      <w:pStyle w:val="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E1A46D">
    <w:pPr>
      <w:pStyle w:val="7"/>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720"/>
  <w:evenAndOddHeaders w:val="1"/>
  <w:drawingGridHorizontalSpacing w:val="110"/>
  <w:displayHorizontalDrawingGridEvery w:val="1"/>
  <w:displayVerticalDrawingGridEvery w:val="1"/>
  <w:noPunctuationKerning w:val="1"/>
  <w:characterSpacingControl w:val="doNotCompress"/>
  <w:footnotePr>
    <w:footnote w:id="0"/>
    <w:footnote w:id="1"/>
  </w:footnotePr>
  <w:endnotePr>
    <w:endnote w:id="0"/>
    <w:endnote w:id="1"/>
  </w:endnotePr>
  <w:compat>
    <w:ulTrailSpace/>
    <w:doNotExpandShiftReturn/>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A5E"/>
    <w:rsid w:val="00031498"/>
    <w:rsid w:val="00094349"/>
    <w:rsid w:val="00210530"/>
    <w:rsid w:val="0029007F"/>
    <w:rsid w:val="005A27BA"/>
    <w:rsid w:val="00847CE6"/>
    <w:rsid w:val="008F186C"/>
    <w:rsid w:val="0097706D"/>
    <w:rsid w:val="00A63B9B"/>
    <w:rsid w:val="00AD0DDB"/>
    <w:rsid w:val="00AE3526"/>
    <w:rsid w:val="00B120B8"/>
    <w:rsid w:val="00B8624E"/>
    <w:rsid w:val="00BF1A69"/>
    <w:rsid w:val="00C32551"/>
    <w:rsid w:val="00C53A5E"/>
    <w:rsid w:val="00CF5BFC"/>
    <w:rsid w:val="00DF3D9D"/>
    <w:rsid w:val="00EA63B4"/>
    <w:rsid w:val="00FD3BF3"/>
    <w:rsid w:val="00FF203B"/>
    <w:rsid w:val="14AF365F"/>
    <w:rsid w:val="1B0D1CC9"/>
    <w:rsid w:val="23D63FAA"/>
    <w:rsid w:val="2A3C2D16"/>
    <w:rsid w:val="34A1057C"/>
    <w:rsid w:val="3AB44171"/>
    <w:rsid w:val="51FD18BA"/>
    <w:rsid w:val="67296E7A"/>
    <w:rsid w:val="679E38AB"/>
    <w:rsid w:val="7B6B55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ind w:firstLine="200" w:firstLineChars="200"/>
    </w:pPr>
    <w:rPr>
      <w:rFonts w:ascii="Times New Roman" w:hAnsi="Times New Roman" w:eastAsia="仿宋" w:cs="宋体"/>
      <w:sz w:val="28"/>
      <w:szCs w:val="22"/>
      <w:lang w:val="en-US" w:eastAsia="zh-CN" w:bidi="ar-SA"/>
    </w:rPr>
  </w:style>
  <w:style w:type="paragraph" w:styleId="2">
    <w:name w:val="heading 1"/>
    <w:basedOn w:val="1"/>
    <w:qFormat/>
    <w:uiPriority w:val="1"/>
    <w:pPr>
      <w:ind w:firstLine="0" w:firstLineChars="0"/>
      <w:outlineLvl w:val="0"/>
    </w:pPr>
    <w:rPr>
      <w:rFonts w:cs="Microsoft JhengHei"/>
      <w:b/>
      <w:bCs/>
      <w:sz w:val="30"/>
      <w:szCs w:val="32"/>
    </w:rPr>
  </w:style>
  <w:style w:type="paragraph" w:styleId="3">
    <w:name w:val="heading 2"/>
    <w:basedOn w:val="1"/>
    <w:next w:val="1"/>
    <w:link w:val="15"/>
    <w:unhideWhenUsed/>
    <w:qFormat/>
    <w:uiPriority w:val="9"/>
    <w:pPr>
      <w:keepNext/>
      <w:keepLines/>
      <w:ind w:firstLine="0" w:firstLineChars="0"/>
      <w:outlineLvl w:val="1"/>
    </w:pPr>
    <w:rPr>
      <w:rFonts w:cstheme="majorBidi"/>
      <w:b/>
      <w:bCs/>
      <w:sz w:val="30"/>
      <w:szCs w:val="32"/>
    </w:rPr>
  </w:style>
  <w:style w:type="paragraph" w:styleId="4">
    <w:name w:val="heading 3"/>
    <w:basedOn w:val="1"/>
    <w:next w:val="1"/>
    <w:link w:val="16"/>
    <w:unhideWhenUsed/>
    <w:qFormat/>
    <w:uiPriority w:val="9"/>
    <w:pPr>
      <w:keepNext/>
      <w:keepLines/>
      <w:ind w:firstLine="0" w:firstLineChars="0"/>
      <w:outlineLvl w:val="2"/>
    </w:pPr>
    <w:rPr>
      <w:b/>
      <w:bCs/>
      <w:sz w:val="30"/>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pPr>
      <w:ind w:left="406"/>
    </w:pPr>
    <w:rPr>
      <w:rFonts w:ascii="宋体" w:hAnsi="宋体" w:eastAsia="宋体"/>
      <w:sz w:val="32"/>
      <w:szCs w:val="32"/>
    </w:rPr>
  </w:style>
  <w:style w:type="paragraph" w:styleId="6">
    <w:name w:val="footer"/>
    <w:basedOn w:val="1"/>
    <w:link w:val="18"/>
    <w:unhideWhenUsed/>
    <w:qFormat/>
    <w:uiPriority w:val="99"/>
    <w:pPr>
      <w:tabs>
        <w:tab w:val="center" w:pos="4153"/>
        <w:tab w:val="right" w:pos="8306"/>
      </w:tabs>
      <w:snapToGrid w:val="0"/>
    </w:pPr>
    <w:rPr>
      <w:sz w:val="18"/>
      <w:szCs w:val="18"/>
    </w:rPr>
  </w:style>
  <w:style w:type="paragraph" w:styleId="7">
    <w:name w:val="header"/>
    <w:basedOn w:val="1"/>
    <w:link w:val="17"/>
    <w:unhideWhenUsed/>
    <w:qFormat/>
    <w:uiPriority w:val="99"/>
    <w:pP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Title"/>
    <w:basedOn w:val="1"/>
    <w:qFormat/>
    <w:uiPriority w:val="1"/>
    <w:pPr>
      <w:ind w:left="994" w:right="1019"/>
      <w:jc w:val="center"/>
    </w:pPr>
    <w:rPr>
      <w:rFonts w:ascii="宋体" w:hAnsi="宋体" w:eastAsia="宋体"/>
      <w:sz w:val="44"/>
      <w:szCs w:val="44"/>
    </w:rPr>
  </w:style>
  <w:style w:type="table" w:customStyle="1" w:styleId="12">
    <w:name w:val="Table Normal"/>
    <w:semiHidden/>
    <w:unhideWhenUsed/>
    <w:qFormat/>
    <w:uiPriority w:val="2"/>
    <w:tblPr>
      <w:tblCellMar>
        <w:top w:w="0" w:type="dxa"/>
        <w:left w:w="0" w:type="dxa"/>
        <w:bottom w:w="0" w:type="dxa"/>
        <w:right w:w="0" w:type="dxa"/>
      </w:tblCellMar>
    </w:tblPr>
  </w:style>
  <w:style w:type="paragraph" w:styleId="13">
    <w:name w:val="List Paragraph"/>
    <w:basedOn w:val="1"/>
    <w:qFormat/>
    <w:uiPriority w:val="1"/>
    <w:pPr>
      <w:spacing w:before="161"/>
      <w:ind w:left="1527" w:hanging="481"/>
    </w:pPr>
    <w:rPr>
      <w:rFonts w:ascii="宋体" w:hAnsi="宋体" w:eastAsia="宋体"/>
    </w:rPr>
  </w:style>
  <w:style w:type="paragraph" w:customStyle="1" w:styleId="14">
    <w:name w:val="Table Paragraph"/>
    <w:basedOn w:val="1"/>
    <w:qFormat/>
    <w:uiPriority w:val="1"/>
    <w:rPr>
      <w:rFonts w:ascii="宋体" w:hAnsi="宋体" w:eastAsia="宋体"/>
    </w:rPr>
  </w:style>
  <w:style w:type="character" w:customStyle="1" w:styleId="15">
    <w:name w:val="标题 2 字符"/>
    <w:basedOn w:val="11"/>
    <w:link w:val="3"/>
    <w:qFormat/>
    <w:uiPriority w:val="9"/>
    <w:rPr>
      <w:rFonts w:ascii="Times New Roman" w:hAnsi="Times New Roman" w:eastAsia="仿宋" w:cstheme="majorBidi"/>
      <w:b/>
      <w:bCs/>
      <w:sz w:val="30"/>
      <w:szCs w:val="32"/>
      <w:lang w:eastAsia="zh-CN"/>
    </w:rPr>
  </w:style>
  <w:style w:type="character" w:customStyle="1" w:styleId="16">
    <w:name w:val="标题 3 字符"/>
    <w:basedOn w:val="11"/>
    <w:link w:val="4"/>
    <w:qFormat/>
    <w:uiPriority w:val="9"/>
    <w:rPr>
      <w:rFonts w:ascii="Times New Roman" w:hAnsi="Times New Roman" w:eastAsia="仿宋" w:cs="宋体"/>
      <w:b/>
      <w:bCs/>
      <w:sz w:val="30"/>
      <w:szCs w:val="32"/>
      <w:lang w:eastAsia="zh-CN"/>
    </w:rPr>
  </w:style>
  <w:style w:type="character" w:customStyle="1" w:styleId="17">
    <w:name w:val="页眉 字符"/>
    <w:basedOn w:val="11"/>
    <w:link w:val="7"/>
    <w:qFormat/>
    <w:uiPriority w:val="99"/>
    <w:rPr>
      <w:rFonts w:ascii="Times New Roman" w:hAnsi="Times New Roman" w:eastAsia="仿宋" w:cs="宋体"/>
      <w:sz w:val="18"/>
      <w:szCs w:val="18"/>
      <w:lang w:eastAsia="zh-CN"/>
    </w:rPr>
  </w:style>
  <w:style w:type="character" w:customStyle="1" w:styleId="18">
    <w:name w:val="页脚 字符"/>
    <w:basedOn w:val="11"/>
    <w:link w:val="6"/>
    <w:qFormat/>
    <w:uiPriority w:val="99"/>
    <w:rPr>
      <w:rFonts w:ascii="Times New Roman" w:hAnsi="Times New Roman" w:eastAsia="仿宋" w:cs="宋体"/>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61d7baef-a477-4f69-a505-d6b29f6baa3b}"/>
        <w:style w:val=""/>
        <w:category>
          <w:name w:val="常规"/>
          <w:gallery w:val="placeholder"/>
        </w:category>
        <w:types>
          <w:type w:val="bbPlcHdr"/>
        </w:types>
        <w:behaviors>
          <w:behavior w:val="content"/>
        </w:behaviors>
        <w:description w:val=""/>
        <w:guid w:val="{61d7baef-a477-4f69-a505-d6b29f6baa3b}"/>
      </w:docPartPr>
      <w:docPartBody>
        <w:p w14:paraId="611D49AB">
          <w:pPr>
            <w:pStyle w:val="2"/>
            <w:rPr>
              <w:rFonts w:hint="eastAsia"/>
            </w:rPr>
          </w:pPr>
          <w:r>
            <w:rPr>
              <w:rStyle w:val="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iPriority="1" w:name="Default Paragraph Font"/>
    <w:lsdException w:qFormat="1" w:unhideWhenUsed="0" w:uiPriority="99" w:name="Placeholder Text"/>
  </w:latentStyles>
  <w:style w:type="character" w:default="1" w:styleId="1">
    <w:name w:val="Default Paragraph Font"/>
    <w:semiHidden/>
    <w:unhideWhenUsed/>
    <w:qFormat/>
    <w:uiPriority w:val="1"/>
  </w:style>
  <w:style w:type="paragraph" w:customStyle="1" w:styleId="2">
    <w:name w:val="14F93C733903408391A1E5B083029C4C"/>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styleId="3">
    <w:name w:val="Placeholder Text"/>
    <w:basedOn w:val="1"/>
    <w:semiHidden/>
    <w:qFormat/>
    <w:uiPriority w:val="99"/>
    <w:rPr>
      <w:color w:val="808080"/>
    </w:rPr>
  </w:style>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B611E6-568C-4392-983C-A3076CE532A0}">
  <ds:schemaRefs/>
</ds:datastoreItem>
</file>

<file path=docProps/app.xml><?xml version="1.0" encoding="utf-8"?>
<Properties xmlns="http://schemas.openxmlformats.org/officeDocument/2006/extended-properties" xmlns:vt="http://schemas.openxmlformats.org/officeDocument/2006/docPropsVTypes">
  <Template>Normal.dotm</Template>
  <Pages>7</Pages>
  <Words>4117</Words>
  <Characters>4152</Characters>
  <Lines>13</Lines>
  <Paragraphs>3</Paragraphs>
  <TotalTime>2</TotalTime>
  <ScaleCrop>false</ScaleCrop>
  <LinksUpToDate>false</LinksUpToDate>
  <CharactersWithSpaces>4174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2023-11-13T06:43:00Z</dcterms:created>
  <dc:creator>Microsoft</dc:creator>
  <cp:lastModifiedBy>菲儿</cp:lastModifiedBy>
  <dcterms:modified xsi:type="dcterms:W3CDTF">2025-11-10T09:33:31Z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2023-09-05T00:00:00Z</vt:filetime>
  </property>
  <property fmtid="{D5CDD505-2E9C-101B-9397-08002B2CF9AE}" pid="3" name="Creator">
    <vt:lpwstr>WPS 文字</vt:lpwstr>
  </property>
  <property fmtid="{D5CDD505-2E9C-101B-9397-08002B2CF9AE}" pid="4" name="LastSaved">
    <vt:filetime>2023-09-12T00:00:00Z</vt:filetime>
  </property>
  <property fmtid="{D5CDD505-2E9C-101B-9397-08002B2CF9AE}" pid="5" name="SourceModified">
    <vt:lpwstr>D:20230905162248+08'22'</vt:lpwstr>
  </property>
  <property fmtid="{D5CDD505-2E9C-101B-9397-08002B2CF9AE}" pid="6" name="KSOTemplateDocerSaveRecord">
    <vt:lpwstr>eyJoZGlkIjoiN2E5ZGE4MTMwMzdjOGVkZDZlN2Y5OWNiNTFkZThjNjIiLCJ1c2VySWQiOiI0NjkzMTgyMjcifQ==</vt:lpwstr>
  </property>
  <property fmtid="{D5CDD505-2E9C-101B-9397-08002B2CF9AE}" pid="7" name="KSOProductBuildVer">
    <vt:lpwstr>2052-12.1.0.23125</vt:lpwstr>
  </property>
  <property fmtid="{D5CDD505-2E9C-101B-9397-08002B2CF9AE}" pid="8" name="ICV">
    <vt:lpwstr>8864CEF8864F4516926752C960DCF24C_12</vt:lpwstr>
  </property>
</Properties>
</file>