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FE6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F5924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6FA003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67.020</w:t>
            </w:r>
            <w:r>
              <w:rPr>
                <w:rFonts w:ascii="黑体" w:hAnsi="黑体" w:eastAsia="黑体"/>
                <w:sz w:val="21"/>
                <w:szCs w:val="21"/>
              </w:rPr>
              <w:fldChar w:fldCharType="end"/>
            </w:r>
            <w:bookmarkEnd w:id="0"/>
          </w:p>
        </w:tc>
      </w:tr>
      <w:tr w14:paraId="0393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502F2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5CD98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82D882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0B5CD63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X 10     </w:t>
            </w:r>
            <w:r>
              <w:rPr>
                <w:rFonts w:ascii="黑体" w:hAnsi="黑体" w:eastAsia="黑体"/>
                <w:sz w:val="21"/>
                <w:szCs w:val="21"/>
              </w:rPr>
              <w:fldChar w:fldCharType="end"/>
            </w:r>
            <w:bookmarkEnd w:id="2"/>
          </w:p>
        </w:tc>
      </w:tr>
    </w:tbl>
    <w:p w14:paraId="430AD3B5">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海南省质量协</w:t>
      </w:r>
      <w:r>
        <w:rPr>
          <w:rFonts w:hint="eastAsia" w:ascii="黑体" w:eastAsia="黑体"/>
          <w:b w:val="0"/>
          <w:w w:val="100"/>
          <w:sz w:val="48"/>
          <w:lang w:eastAsia="zh-CN"/>
        </w:rPr>
        <w:t>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16897D4">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     </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 xml:space="preserve"> </w:t>
      </w:r>
      <w:r>
        <w:rPr>
          <w:rFonts w:hint="eastAsia"/>
          <w:lang w:val="en-US" w:eastAsia="zh-CN"/>
        </w:rPr>
        <w:t xml:space="preserve">   </w:t>
      </w:r>
      <w:r>
        <w:fldChar w:fldCharType="end"/>
      </w:r>
      <w:bookmarkEnd w:id="7"/>
    </w:p>
    <w:p w14:paraId="74956805">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2C4770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1676D8">
      <w:pPr>
        <w:pStyle w:val="50"/>
        <w:framePr w:w="9639" w:h="6976" w:hRule="exact" w:hSpace="0" w:vSpace="0" w:wrap="around" w:hAnchor="page" w:y="6408"/>
        <w:jc w:val="center"/>
        <w:rPr>
          <w:rFonts w:hint="eastAsia" w:ascii="黑体" w:hAnsi="黑体" w:eastAsia="黑体"/>
          <w:b w:val="0"/>
          <w:bCs w:val="0"/>
          <w:w w:val="100"/>
        </w:rPr>
      </w:pPr>
    </w:p>
    <w:p w14:paraId="06DA249F">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海南消费领域区域公共品牌食品加工技术规范</w:t>
      </w:r>
      <w:r>
        <w:fldChar w:fldCharType="end"/>
      </w:r>
      <w:bookmarkEnd w:id="9"/>
    </w:p>
    <w:p w14:paraId="79BBADAB">
      <w:pPr>
        <w:framePr w:w="9639" w:h="6974" w:hRule="exact" w:wrap="around" w:vAnchor="page" w:hAnchor="page" w:x="1419" w:y="6408" w:anchorLock="1"/>
        <w:ind w:left="-1418"/>
      </w:pPr>
    </w:p>
    <w:p w14:paraId="3002650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w:t>
      </w:r>
      <w:r>
        <w:rPr>
          <w:rFonts w:hint="eastAsia" w:eastAsia="黑体"/>
          <w:szCs w:val="28"/>
          <w:lang w:val="en-US" w:eastAsia="zh-CN"/>
        </w:rPr>
        <w:t>s</w:t>
      </w:r>
      <w:r>
        <w:rPr>
          <w:rFonts w:hint="eastAsia" w:eastAsia="黑体"/>
          <w:szCs w:val="28"/>
        </w:rPr>
        <w:t xml:space="preserve">pecifications for </w:t>
      </w:r>
      <w:r>
        <w:rPr>
          <w:rFonts w:hint="eastAsia" w:eastAsia="黑体"/>
          <w:szCs w:val="28"/>
          <w:lang w:val="en-US" w:eastAsia="zh-CN"/>
        </w:rPr>
        <w:t>f</w:t>
      </w:r>
      <w:r>
        <w:rPr>
          <w:rFonts w:hint="eastAsia" w:eastAsia="黑体"/>
          <w:szCs w:val="28"/>
        </w:rPr>
        <w:t xml:space="preserve">ood </w:t>
      </w:r>
      <w:r>
        <w:rPr>
          <w:rFonts w:hint="eastAsia" w:eastAsia="黑体"/>
          <w:szCs w:val="28"/>
          <w:lang w:val="en-US" w:eastAsia="zh-CN"/>
        </w:rPr>
        <w:t>p</w:t>
      </w:r>
      <w:r>
        <w:rPr>
          <w:rFonts w:hint="eastAsia" w:eastAsia="黑体"/>
          <w:szCs w:val="28"/>
        </w:rPr>
        <w:t>rocessing of</w:t>
      </w:r>
      <w:r>
        <w:rPr>
          <w:rFonts w:hint="eastAsia" w:eastAsia="黑体"/>
          <w:szCs w:val="28"/>
          <w:lang w:val="en-US" w:eastAsia="zh-CN"/>
        </w:rPr>
        <w:t xml:space="preserve"> r</w:t>
      </w:r>
      <w:r>
        <w:rPr>
          <w:rFonts w:hint="eastAsia" w:eastAsia="黑体"/>
          <w:szCs w:val="28"/>
        </w:rPr>
        <w:t xml:space="preserve">egional </w:t>
      </w:r>
      <w:r>
        <w:rPr>
          <w:rFonts w:hint="eastAsia" w:eastAsia="黑体"/>
          <w:szCs w:val="28"/>
          <w:lang w:val="en-US" w:eastAsia="zh-CN"/>
        </w:rPr>
        <w:t>p</w:t>
      </w:r>
      <w:r>
        <w:rPr>
          <w:rFonts w:hint="eastAsia" w:eastAsia="黑体"/>
          <w:szCs w:val="28"/>
        </w:rPr>
        <w:t xml:space="preserve">ublic </w:t>
      </w:r>
      <w:r>
        <w:rPr>
          <w:rFonts w:hint="eastAsia" w:eastAsia="黑体"/>
          <w:szCs w:val="28"/>
          <w:lang w:val="en-US" w:eastAsia="zh-CN"/>
        </w:rPr>
        <w:t>b</w:t>
      </w:r>
      <w:r>
        <w:rPr>
          <w:rFonts w:hint="eastAsia" w:eastAsia="黑体"/>
          <w:szCs w:val="28"/>
        </w:rPr>
        <w:t xml:space="preserve">rands in Hainan's </w:t>
      </w:r>
      <w:r>
        <w:rPr>
          <w:rFonts w:hint="eastAsia" w:eastAsia="黑体"/>
          <w:szCs w:val="28"/>
          <w:lang w:val="en-US" w:eastAsia="zh-CN"/>
        </w:rPr>
        <w:t>c</w:t>
      </w:r>
      <w:r>
        <w:rPr>
          <w:rFonts w:hint="eastAsia" w:eastAsia="黑体"/>
          <w:szCs w:val="28"/>
        </w:rPr>
        <w:t xml:space="preserve">onsumption </w:t>
      </w:r>
      <w:r>
        <w:rPr>
          <w:rFonts w:hint="eastAsia" w:eastAsia="黑体"/>
          <w:szCs w:val="28"/>
          <w:lang w:val="en-US" w:eastAsia="zh-CN"/>
        </w:rPr>
        <w:t>s</w:t>
      </w:r>
      <w:r>
        <w:rPr>
          <w:rFonts w:hint="eastAsia" w:eastAsia="黑体"/>
          <w:szCs w:val="28"/>
        </w:rPr>
        <w:t>ector</w:t>
      </w:r>
      <w:r>
        <w:rPr>
          <w:rFonts w:eastAsia="黑体"/>
          <w:szCs w:val="28"/>
        </w:rPr>
        <w:fldChar w:fldCharType="end"/>
      </w:r>
      <w:bookmarkEnd w:id="10"/>
    </w:p>
    <w:p w14:paraId="66EA39DF">
      <w:pPr>
        <w:framePr w:w="9639" w:h="6974" w:hRule="exact" w:wrap="around" w:vAnchor="page" w:hAnchor="page" w:x="1419" w:y="6408" w:anchorLock="1"/>
        <w:spacing w:line="760" w:lineRule="exact"/>
        <w:ind w:left="-1418"/>
      </w:pPr>
    </w:p>
    <w:p w14:paraId="42BAFDAC">
      <w:pPr>
        <w:pStyle w:val="125"/>
        <w:framePr w:w="9639" w:h="6974" w:hRule="exact" w:wrap="around" w:vAnchor="page" w:hAnchor="page" w:x="1419" w:y="6408" w:anchorLock="1"/>
        <w:textAlignment w:val="bottom"/>
        <w:rPr>
          <w:rFonts w:eastAsia="黑体"/>
          <w:szCs w:val="28"/>
        </w:rPr>
      </w:pPr>
    </w:p>
    <w:p w14:paraId="1AA28B4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8C5C37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5E86734">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FCBE77E">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6"/>
      <w:r>
        <w:rPr>
          <w:rFonts w:hint="eastAsia"/>
        </w:rPr>
        <w:t>发布</w:t>
      </w:r>
    </w:p>
    <w:p w14:paraId="0C7CB00F">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9"/>
      <w:r>
        <w:rPr>
          <w:rFonts w:hint="eastAsia"/>
        </w:rPr>
        <w:t>实施</w:t>
      </w:r>
    </w:p>
    <w:p w14:paraId="267AD66A">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海南省质量协会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180655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BD9E37">
      <w:pPr>
        <w:pStyle w:val="91"/>
        <w:spacing w:after="360"/>
      </w:pPr>
      <w:bookmarkStart w:id="21" w:name="BookMark1"/>
      <w:r>
        <w:rPr>
          <w:rFonts w:hint="eastAsia"/>
          <w:spacing w:val="320"/>
        </w:rPr>
        <w:t>目</w:t>
      </w:r>
      <w:r>
        <w:rPr>
          <w:rFonts w:hint="eastAsia"/>
        </w:rPr>
        <w:t>次</w:t>
      </w:r>
    </w:p>
    <w:p w14:paraId="73587045">
      <w:pPr>
        <w:pStyle w:val="19"/>
        <w:tabs>
          <w:tab w:val="right" w:leader="dot" w:pos="9354"/>
        </w:tabs>
      </w:pPr>
      <w:r>
        <w:fldChar w:fldCharType="begin"/>
      </w:r>
      <w:r>
        <w:instrText xml:space="preserve"> TOC \o "1-1" \h </w:instrText>
      </w:r>
      <w:r>
        <w:fldChar w:fldCharType="separate"/>
      </w:r>
      <w:r>
        <w:fldChar w:fldCharType="begin"/>
      </w:r>
      <w:r>
        <w:instrText xml:space="preserve"> HYPERLINK \l _Toc23307 </w:instrText>
      </w:r>
      <w:r>
        <w:fldChar w:fldCharType="separate"/>
      </w:r>
      <w:r>
        <w:rPr>
          <w:spacing w:val="320"/>
        </w:rPr>
        <w:t>前</w:t>
      </w:r>
      <w:r>
        <w:t>言</w:t>
      </w:r>
      <w:r>
        <w:tab/>
      </w:r>
      <w:r>
        <w:fldChar w:fldCharType="begin"/>
      </w:r>
      <w:r>
        <w:instrText xml:space="preserve"> PAGEREF _Toc23307 \h </w:instrText>
      </w:r>
      <w:r>
        <w:fldChar w:fldCharType="separate"/>
      </w:r>
      <w:r>
        <w:t>II</w:t>
      </w:r>
      <w:r>
        <w:fldChar w:fldCharType="end"/>
      </w:r>
      <w:r>
        <w:fldChar w:fldCharType="end"/>
      </w:r>
    </w:p>
    <w:p w14:paraId="2A9FEC35">
      <w:pPr>
        <w:pStyle w:val="19"/>
        <w:tabs>
          <w:tab w:val="right" w:leader="dot" w:pos="9354"/>
        </w:tabs>
      </w:pPr>
      <w:r>
        <w:fldChar w:fldCharType="begin"/>
      </w:r>
      <w:r>
        <w:instrText xml:space="preserve"> HYPERLINK \l _Toc6317 </w:instrText>
      </w:r>
      <w:r>
        <w:fldChar w:fldCharType="separate"/>
      </w:r>
      <w:r>
        <w:rPr>
          <w:spacing w:val="320"/>
        </w:rPr>
        <w:t>引</w:t>
      </w:r>
      <w:r>
        <w:t>言</w:t>
      </w:r>
      <w:r>
        <w:tab/>
      </w:r>
      <w:r>
        <w:fldChar w:fldCharType="begin"/>
      </w:r>
      <w:r>
        <w:instrText xml:space="preserve"> PAGEREF _Toc6317 \h </w:instrText>
      </w:r>
      <w:r>
        <w:fldChar w:fldCharType="separate"/>
      </w:r>
      <w:r>
        <w:t>III</w:t>
      </w:r>
      <w:r>
        <w:fldChar w:fldCharType="end"/>
      </w:r>
      <w:r>
        <w:fldChar w:fldCharType="end"/>
      </w:r>
    </w:p>
    <w:p w14:paraId="3E53FAE0">
      <w:pPr>
        <w:pStyle w:val="19"/>
        <w:tabs>
          <w:tab w:val="right" w:leader="dot" w:pos="9354"/>
        </w:tabs>
      </w:pPr>
      <w:r>
        <w:fldChar w:fldCharType="begin"/>
      </w:r>
      <w:r>
        <w:instrText xml:space="preserve"> HYPERLINK \l _Toc26618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_Toc26618 \h </w:instrText>
      </w:r>
      <w:r>
        <w:fldChar w:fldCharType="separate"/>
      </w:r>
      <w:r>
        <w:t>1</w:t>
      </w:r>
      <w:r>
        <w:fldChar w:fldCharType="end"/>
      </w:r>
      <w:r>
        <w:fldChar w:fldCharType="end"/>
      </w:r>
    </w:p>
    <w:p w14:paraId="72F6058E">
      <w:pPr>
        <w:pStyle w:val="19"/>
        <w:tabs>
          <w:tab w:val="right" w:leader="dot" w:pos="9354"/>
        </w:tabs>
      </w:pPr>
      <w:r>
        <w:fldChar w:fldCharType="begin"/>
      </w:r>
      <w:r>
        <w:instrText xml:space="preserve"> HYPERLINK \l _Toc2603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_Toc2603 \h </w:instrText>
      </w:r>
      <w:r>
        <w:fldChar w:fldCharType="separate"/>
      </w:r>
      <w:r>
        <w:t>1</w:t>
      </w:r>
      <w:r>
        <w:fldChar w:fldCharType="end"/>
      </w:r>
      <w:r>
        <w:fldChar w:fldCharType="end"/>
      </w:r>
    </w:p>
    <w:p w14:paraId="50C57F2B">
      <w:pPr>
        <w:pStyle w:val="19"/>
        <w:tabs>
          <w:tab w:val="right" w:leader="dot" w:pos="9354"/>
        </w:tabs>
      </w:pPr>
      <w:r>
        <w:fldChar w:fldCharType="begin"/>
      </w:r>
      <w:r>
        <w:instrText xml:space="preserve"> HYPERLINK \l _Toc14654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_Toc14654 \h </w:instrText>
      </w:r>
      <w:r>
        <w:fldChar w:fldCharType="separate"/>
      </w:r>
      <w:r>
        <w:t>1</w:t>
      </w:r>
      <w:r>
        <w:fldChar w:fldCharType="end"/>
      </w:r>
      <w:r>
        <w:fldChar w:fldCharType="end"/>
      </w:r>
    </w:p>
    <w:p w14:paraId="1BEB50B1">
      <w:pPr>
        <w:pStyle w:val="19"/>
        <w:tabs>
          <w:tab w:val="right" w:leader="dot" w:pos="9354"/>
        </w:tabs>
      </w:pPr>
      <w:r>
        <w:fldChar w:fldCharType="begin"/>
      </w:r>
      <w:r>
        <w:instrText xml:space="preserve"> HYPERLINK \l _Toc22850 </w:instrText>
      </w:r>
      <w:r>
        <w:fldChar w:fldCharType="separate"/>
      </w:r>
      <w:r>
        <w:rPr>
          <w:rFonts w:hint="eastAsia" w:ascii="黑体" w:eastAsia="黑体"/>
          <w:i w:val="0"/>
        </w:rPr>
        <w:t xml:space="preserve">4 </w:t>
      </w:r>
      <w:r>
        <w:rPr>
          <w:rFonts w:hint="eastAsia"/>
          <w:lang w:eastAsia="zh-CN"/>
        </w:rPr>
        <w:t>加工</w:t>
      </w:r>
      <w:r>
        <w:rPr>
          <w:rFonts w:hint="eastAsia"/>
        </w:rPr>
        <w:t>场所</w:t>
      </w:r>
      <w:r>
        <w:tab/>
      </w:r>
      <w:r>
        <w:fldChar w:fldCharType="begin"/>
      </w:r>
      <w:r>
        <w:instrText xml:space="preserve"> PAGEREF _Toc22850 \h </w:instrText>
      </w:r>
      <w:r>
        <w:fldChar w:fldCharType="separate"/>
      </w:r>
      <w:r>
        <w:t>1</w:t>
      </w:r>
      <w:r>
        <w:fldChar w:fldCharType="end"/>
      </w:r>
      <w:r>
        <w:fldChar w:fldCharType="end"/>
      </w:r>
    </w:p>
    <w:p w14:paraId="2552B668">
      <w:pPr>
        <w:pStyle w:val="19"/>
        <w:tabs>
          <w:tab w:val="right" w:leader="dot" w:pos="9354"/>
        </w:tabs>
      </w:pPr>
      <w:r>
        <w:fldChar w:fldCharType="begin"/>
      </w:r>
      <w:r>
        <w:instrText xml:space="preserve"> HYPERLINK \l _Toc26347 </w:instrText>
      </w:r>
      <w:r>
        <w:fldChar w:fldCharType="separate"/>
      </w:r>
      <w:r>
        <w:rPr>
          <w:rFonts w:hint="eastAsia" w:ascii="黑体" w:eastAsia="黑体"/>
          <w:i w:val="0"/>
        </w:rPr>
        <w:t xml:space="preserve">5 </w:t>
      </w:r>
      <w:r>
        <w:rPr>
          <w:rFonts w:hint="eastAsia"/>
        </w:rPr>
        <w:t>设施设备</w:t>
      </w:r>
      <w:r>
        <w:tab/>
      </w:r>
      <w:r>
        <w:fldChar w:fldCharType="begin"/>
      </w:r>
      <w:r>
        <w:instrText xml:space="preserve"> PAGEREF _Toc26347 \h </w:instrText>
      </w:r>
      <w:r>
        <w:fldChar w:fldCharType="separate"/>
      </w:r>
      <w:r>
        <w:t>1</w:t>
      </w:r>
      <w:r>
        <w:fldChar w:fldCharType="end"/>
      </w:r>
      <w:r>
        <w:fldChar w:fldCharType="end"/>
      </w:r>
    </w:p>
    <w:p w14:paraId="5F1C7DD9">
      <w:pPr>
        <w:pStyle w:val="19"/>
        <w:tabs>
          <w:tab w:val="right" w:leader="dot" w:pos="9354"/>
        </w:tabs>
      </w:pPr>
      <w:r>
        <w:fldChar w:fldCharType="begin"/>
      </w:r>
      <w:r>
        <w:instrText xml:space="preserve"> HYPERLINK \l _Toc21635 </w:instrText>
      </w:r>
      <w:r>
        <w:fldChar w:fldCharType="separate"/>
      </w:r>
      <w:r>
        <w:rPr>
          <w:rFonts w:hint="eastAsia" w:ascii="黑体" w:eastAsia="黑体"/>
          <w:i w:val="0"/>
        </w:rPr>
        <w:t xml:space="preserve">6 </w:t>
      </w:r>
      <w:r>
        <w:rPr>
          <w:rFonts w:hint="eastAsia"/>
        </w:rPr>
        <w:t>原辅料</w:t>
      </w:r>
      <w:r>
        <w:tab/>
      </w:r>
      <w:r>
        <w:fldChar w:fldCharType="begin"/>
      </w:r>
      <w:r>
        <w:instrText xml:space="preserve"> PAGEREF _Toc21635 \h </w:instrText>
      </w:r>
      <w:r>
        <w:fldChar w:fldCharType="separate"/>
      </w:r>
      <w:r>
        <w:t>1</w:t>
      </w:r>
      <w:r>
        <w:fldChar w:fldCharType="end"/>
      </w:r>
      <w:r>
        <w:fldChar w:fldCharType="end"/>
      </w:r>
    </w:p>
    <w:p w14:paraId="0ED508D0">
      <w:pPr>
        <w:pStyle w:val="19"/>
        <w:tabs>
          <w:tab w:val="right" w:leader="dot" w:pos="9354"/>
        </w:tabs>
      </w:pPr>
      <w:r>
        <w:fldChar w:fldCharType="begin"/>
      </w:r>
      <w:r>
        <w:instrText xml:space="preserve"> HYPERLINK \l _Toc26865 </w:instrText>
      </w:r>
      <w:r>
        <w:fldChar w:fldCharType="separate"/>
      </w:r>
      <w:r>
        <w:rPr>
          <w:rFonts w:hint="eastAsia" w:ascii="黑体" w:eastAsia="黑体"/>
          <w:i w:val="0"/>
        </w:rPr>
        <w:t xml:space="preserve">7 </w:t>
      </w:r>
      <w:r>
        <w:rPr>
          <w:rFonts w:hint="eastAsia"/>
        </w:rPr>
        <w:t>生产过程控制</w:t>
      </w:r>
      <w:r>
        <w:tab/>
      </w:r>
      <w:r>
        <w:fldChar w:fldCharType="begin"/>
      </w:r>
      <w:r>
        <w:instrText xml:space="preserve"> PAGEREF _Toc26865 \h </w:instrText>
      </w:r>
      <w:r>
        <w:fldChar w:fldCharType="separate"/>
      </w:r>
      <w:r>
        <w:t>2</w:t>
      </w:r>
      <w:r>
        <w:fldChar w:fldCharType="end"/>
      </w:r>
      <w:r>
        <w:fldChar w:fldCharType="end"/>
      </w:r>
    </w:p>
    <w:p w14:paraId="7B9C2F50">
      <w:pPr>
        <w:pStyle w:val="19"/>
        <w:tabs>
          <w:tab w:val="right" w:leader="dot" w:pos="9354"/>
        </w:tabs>
      </w:pPr>
      <w:r>
        <w:fldChar w:fldCharType="begin"/>
      </w:r>
      <w:r>
        <w:instrText xml:space="preserve"> HYPERLINK \l _Toc28982 </w:instrText>
      </w:r>
      <w:r>
        <w:fldChar w:fldCharType="separate"/>
      </w:r>
      <w:r>
        <w:rPr>
          <w:rFonts w:hint="eastAsia" w:ascii="黑体" w:eastAsia="黑体"/>
          <w:i w:val="0"/>
        </w:rPr>
        <w:t xml:space="preserve">8 </w:t>
      </w:r>
      <w:r>
        <w:rPr>
          <w:rFonts w:hint="eastAsia"/>
        </w:rPr>
        <w:t>卫生管理</w:t>
      </w:r>
      <w:r>
        <w:tab/>
      </w:r>
      <w:r>
        <w:fldChar w:fldCharType="begin"/>
      </w:r>
      <w:r>
        <w:instrText xml:space="preserve"> PAGEREF _Toc28982 \h </w:instrText>
      </w:r>
      <w:r>
        <w:fldChar w:fldCharType="separate"/>
      </w:r>
      <w:r>
        <w:t>2</w:t>
      </w:r>
      <w:r>
        <w:fldChar w:fldCharType="end"/>
      </w:r>
      <w:r>
        <w:fldChar w:fldCharType="end"/>
      </w:r>
    </w:p>
    <w:p w14:paraId="1F18605D">
      <w:pPr>
        <w:pStyle w:val="19"/>
        <w:tabs>
          <w:tab w:val="right" w:leader="dot" w:pos="9354"/>
        </w:tabs>
      </w:pPr>
      <w:r>
        <w:fldChar w:fldCharType="begin"/>
      </w:r>
      <w:r>
        <w:instrText xml:space="preserve"> HYPERLINK \l _Toc12328 </w:instrText>
      </w:r>
      <w:r>
        <w:fldChar w:fldCharType="separate"/>
      </w:r>
      <w:r>
        <w:rPr>
          <w:rFonts w:hint="eastAsia" w:ascii="黑体" w:eastAsia="黑体"/>
          <w:i w:val="0"/>
        </w:rPr>
        <w:t xml:space="preserve">9 </w:t>
      </w:r>
      <w:r>
        <w:rPr>
          <w:rFonts w:hint="eastAsia"/>
        </w:rPr>
        <w:t>废弃物处理</w:t>
      </w:r>
      <w:r>
        <w:tab/>
      </w:r>
      <w:r>
        <w:fldChar w:fldCharType="begin"/>
      </w:r>
      <w:r>
        <w:instrText xml:space="preserve"> PAGEREF _Toc12328 \h </w:instrText>
      </w:r>
      <w:r>
        <w:fldChar w:fldCharType="separate"/>
      </w:r>
      <w:r>
        <w:t>2</w:t>
      </w:r>
      <w:r>
        <w:fldChar w:fldCharType="end"/>
      </w:r>
      <w:r>
        <w:fldChar w:fldCharType="end"/>
      </w:r>
    </w:p>
    <w:p w14:paraId="049DB8A3">
      <w:pPr>
        <w:pStyle w:val="19"/>
        <w:tabs>
          <w:tab w:val="right" w:leader="dot" w:pos="9354"/>
        </w:tabs>
      </w:pPr>
      <w:r>
        <w:fldChar w:fldCharType="begin"/>
      </w:r>
      <w:r>
        <w:instrText xml:space="preserve"> HYPERLINK \l _Toc12989 </w:instrText>
      </w:r>
      <w:r>
        <w:fldChar w:fldCharType="separate"/>
      </w:r>
      <w:r>
        <w:rPr>
          <w:rFonts w:hint="eastAsia" w:ascii="黑体" w:eastAsia="黑体"/>
          <w:i w:val="0"/>
        </w:rPr>
        <w:t xml:space="preserve">10 </w:t>
      </w:r>
      <w:r>
        <w:rPr>
          <w:rFonts w:hint="eastAsia"/>
        </w:rPr>
        <w:t>致敏物质管理</w:t>
      </w:r>
      <w:r>
        <w:tab/>
      </w:r>
      <w:r>
        <w:fldChar w:fldCharType="begin"/>
      </w:r>
      <w:r>
        <w:instrText xml:space="preserve"> PAGEREF _Toc12989 \h </w:instrText>
      </w:r>
      <w:r>
        <w:fldChar w:fldCharType="separate"/>
      </w:r>
      <w:r>
        <w:t>2</w:t>
      </w:r>
      <w:r>
        <w:fldChar w:fldCharType="end"/>
      </w:r>
      <w:r>
        <w:fldChar w:fldCharType="end"/>
      </w:r>
    </w:p>
    <w:p w14:paraId="4CD4BBDE">
      <w:pPr>
        <w:pStyle w:val="19"/>
        <w:tabs>
          <w:tab w:val="right" w:leader="dot" w:pos="9354"/>
        </w:tabs>
      </w:pPr>
      <w:r>
        <w:fldChar w:fldCharType="begin"/>
      </w:r>
      <w:r>
        <w:instrText xml:space="preserve"> HYPERLINK \l _Toc22705 </w:instrText>
      </w:r>
      <w:r>
        <w:fldChar w:fldCharType="separate"/>
      </w:r>
      <w:r>
        <w:rPr>
          <w:rFonts w:hint="eastAsia" w:ascii="黑体" w:eastAsia="黑体"/>
          <w:i w:val="0"/>
        </w:rPr>
        <w:t xml:space="preserve">11 </w:t>
      </w:r>
      <w:r>
        <w:rPr>
          <w:rFonts w:hint="eastAsia"/>
        </w:rPr>
        <w:t>包装、贮藏、运输、销售</w:t>
      </w:r>
      <w:r>
        <w:tab/>
      </w:r>
      <w:r>
        <w:fldChar w:fldCharType="begin"/>
      </w:r>
      <w:r>
        <w:instrText xml:space="preserve"> PAGEREF _Toc22705 \h </w:instrText>
      </w:r>
      <w:r>
        <w:fldChar w:fldCharType="separate"/>
      </w:r>
      <w:r>
        <w:t>2</w:t>
      </w:r>
      <w:r>
        <w:fldChar w:fldCharType="end"/>
      </w:r>
      <w:r>
        <w:fldChar w:fldCharType="end"/>
      </w:r>
    </w:p>
    <w:p w14:paraId="4FB921F1">
      <w:pPr>
        <w:pStyle w:val="19"/>
        <w:tabs>
          <w:tab w:val="right" w:leader="dot" w:pos="9354"/>
        </w:tabs>
      </w:pPr>
      <w:r>
        <w:fldChar w:fldCharType="begin"/>
      </w:r>
      <w:r>
        <w:instrText xml:space="preserve"> HYPERLINK \l _Toc23024 </w:instrText>
      </w:r>
      <w:r>
        <w:fldChar w:fldCharType="separate"/>
      </w:r>
      <w:r>
        <w:rPr>
          <w:rFonts w:hint="eastAsia" w:ascii="黑体" w:eastAsia="黑体"/>
          <w:i w:val="0"/>
        </w:rPr>
        <w:t xml:space="preserve">12 </w:t>
      </w:r>
      <w:r>
        <w:rPr>
          <w:rFonts w:hint="eastAsia"/>
        </w:rPr>
        <w:t>质量保障</w:t>
      </w:r>
      <w:r>
        <w:tab/>
      </w:r>
      <w:r>
        <w:fldChar w:fldCharType="begin"/>
      </w:r>
      <w:r>
        <w:instrText xml:space="preserve"> PAGEREF _Toc23024 \h </w:instrText>
      </w:r>
      <w:r>
        <w:fldChar w:fldCharType="separate"/>
      </w:r>
      <w:r>
        <w:t>3</w:t>
      </w:r>
      <w:r>
        <w:fldChar w:fldCharType="end"/>
      </w:r>
      <w:r>
        <w:fldChar w:fldCharType="end"/>
      </w:r>
    </w:p>
    <w:p w14:paraId="232ECA32">
      <w:pPr>
        <w:pStyle w:val="19"/>
        <w:tabs>
          <w:tab w:val="right" w:leader="dot" w:pos="9354"/>
        </w:tabs>
      </w:pPr>
      <w:r>
        <w:fldChar w:fldCharType="begin"/>
      </w:r>
      <w:r>
        <w:instrText xml:space="preserve"> HYPERLINK \l _Toc18512 </w:instrText>
      </w:r>
      <w:r>
        <w:fldChar w:fldCharType="separate"/>
      </w:r>
      <w:r>
        <w:rPr>
          <w:rFonts w:hint="eastAsia" w:ascii="黑体" w:eastAsia="黑体"/>
          <w:i w:val="0"/>
        </w:rPr>
        <w:t xml:space="preserve">13 </w:t>
      </w:r>
      <w:r>
        <w:rPr>
          <w:rFonts w:hint="eastAsia"/>
        </w:rPr>
        <w:t>追溯和召回</w:t>
      </w:r>
      <w:r>
        <w:tab/>
      </w:r>
      <w:r>
        <w:fldChar w:fldCharType="begin"/>
      </w:r>
      <w:r>
        <w:instrText xml:space="preserve"> PAGEREF _Toc18512 \h </w:instrText>
      </w:r>
      <w:r>
        <w:fldChar w:fldCharType="separate"/>
      </w:r>
      <w:r>
        <w:t>3</w:t>
      </w:r>
      <w:r>
        <w:fldChar w:fldCharType="end"/>
      </w:r>
      <w:r>
        <w:fldChar w:fldCharType="end"/>
      </w:r>
    </w:p>
    <w:p w14:paraId="65711A97">
      <w:pPr>
        <w:pStyle w:val="19"/>
        <w:tabs>
          <w:tab w:val="right" w:leader="dot" w:pos="9354"/>
        </w:tabs>
      </w:pPr>
      <w:r>
        <w:fldChar w:fldCharType="begin"/>
      </w:r>
      <w:r>
        <w:instrText xml:space="preserve"> HYPERLINK \l _Toc1165 </w:instrText>
      </w:r>
      <w:r>
        <w:fldChar w:fldCharType="separate"/>
      </w:r>
      <w:r>
        <w:rPr>
          <w:rFonts w:hint="eastAsia" w:ascii="黑体" w:eastAsia="黑体"/>
          <w:i w:val="0"/>
        </w:rPr>
        <w:t xml:space="preserve">14 </w:t>
      </w:r>
      <w:r>
        <w:rPr>
          <w:rFonts w:hint="eastAsia"/>
        </w:rPr>
        <w:t>文件和记录控制</w:t>
      </w:r>
      <w:r>
        <w:tab/>
      </w:r>
      <w:r>
        <w:fldChar w:fldCharType="begin"/>
      </w:r>
      <w:r>
        <w:instrText xml:space="preserve"> PAGEREF _Toc1165 \h </w:instrText>
      </w:r>
      <w:r>
        <w:fldChar w:fldCharType="separate"/>
      </w:r>
      <w:r>
        <w:t>3</w:t>
      </w:r>
      <w:r>
        <w:fldChar w:fldCharType="end"/>
      </w:r>
      <w:r>
        <w:fldChar w:fldCharType="end"/>
      </w:r>
    </w:p>
    <w:p w14:paraId="48E6FD82">
      <w:pPr>
        <w:pStyle w:val="91"/>
        <w:spacing w:after="36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21"/>
    <w:p w14:paraId="6098439C">
      <w:pPr>
        <w:pStyle w:val="89"/>
        <w:spacing w:after="360"/>
      </w:pPr>
      <w:bookmarkStart w:id="22" w:name="_Toc23307"/>
      <w:bookmarkStart w:id="23" w:name="BookMark2"/>
      <w:r>
        <w:rPr>
          <w:spacing w:val="320"/>
        </w:rPr>
        <w:t>前</w:t>
      </w:r>
      <w:r>
        <w:t>言</w:t>
      </w:r>
      <w:bookmarkEnd w:id="22"/>
    </w:p>
    <w:p w14:paraId="4C669A47">
      <w:pPr>
        <w:pStyle w:val="56"/>
        <w:ind w:firstLine="420"/>
      </w:pPr>
      <w:r>
        <w:rPr>
          <w:rFonts w:hint="eastAsia"/>
        </w:rPr>
        <w:t>本文件按照GB/T 1.1—2020《标准化工作导则  第1部分：标准化文件的结构和起草规则》的规定起草。</w:t>
      </w:r>
    </w:p>
    <w:p w14:paraId="17397122">
      <w:pPr>
        <w:pStyle w:val="230"/>
      </w:pPr>
      <w:bookmarkStart w:id="24" w:name="_Hlk112682795"/>
      <w:r>
        <w:rPr>
          <w:rFonts w:hint="eastAsia"/>
        </w:rPr>
        <w:t>请注意本文件的某些内容可能涉及专利。本文件的发布机构不承担识别专利的责任。</w:t>
      </w:r>
    </w:p>
    <w:p w14:paraId="220747E8">
      <w:pPr>
        <w:pStyle w:val="230"/>
        <w:rPr>
          <w:rFonts w:hint="eastAsia" w:eastAsia="宋体"/>
          <w:lang w:eastAsia="zh-CN"/>
        </w:rPr>
      </w:pPr>
      <w:r>
        <w:rPr>
          <w:rFonts w:hint="eastAsia"/>
        </w:rPr>
        <w:t>本文件由方圆标志认证集团有限公司提出</w:t>
      </w:r>
      <w:r>
        <w:rPr>
          <w:rFonts w:hint="eastAsia"/>
          <w:lang w:eastAsia="zh-CN"/>
        </w:rPr>
        <w:t>。</w:t>
      </w:r>
    </w:p>
    <w:p w14:paraId="46159AC5">
      <w:pPr>
        <w:pStyle w:val="230"/>
        <w:rPr>
          <w:rFonts w:hint="eastAsia"/>
        </w:rPr>
      </w:pPr>
      <w:r>
        <w:rPr>
          <w:rFonts w:hint="eastAsia"/>
        </w:rPr>
        <w:t>本文件由海南省质量协会归口。</w:t>
      </w:r>
    </w:p>
    <w:p w14:paraId="43F2B900">
      <w:pPr>
        <w:pStyle w:val="230"/>
        <w:rPr>
          <w:rFonts w:hint="eastAsia" w:eastAsia="宋体"/>
          <w:lang w:eastAsia="zh-CN"/>
        </w:rPr>
      </w:pPr>
      <w:r>
        <w:rPr>
          <w:rFonts w:hint="eastAsia"/>
        </w:rPr>
        <w:t>本文件起草单位：方圆标志认证集团有限公司</w:t>
      </w:r>
      <w:r>
        <w:rPr>
          <w:rFonts w:hint="eastAsia"/>
          <w:lang w:eastAsia="zh-CN"/>
        </w:rPr>
        <w:t>。</w:t>
      </w:r>
    </w:p>
    <w:p w14:paraId="099CE798">
      <w:pPr>
        <w:pStyle w:val="230"/>
        <w:rPr>
          <w:rFonts w:hint="default" w:eastAsia="宋体"/>
          <w:lang w:val="en-US" w:eastAsia="zh-CN"/>
        </w:rPr>
      </w:pPr>
      <w:r>
        <w:rPr>
          <w:rFonts w:hint="eastAsia"/>
        </w:rPr>
        <w:t>本文件主要起草人：</w:t>
      </w:r>
      <w:r>
        <w:rPr>
          <w:rFonts w:hint="eastAsia"/>
          <w:lang w:val="en-US" w:eastAsia="zh-CN"/>
        </w:rPr>
        <w:t xml:space="preserve"> </w:t>
      </w:r>
    </w:p>
    <w:p w14:paraId="343A5DEA">
      <w:pPr>
        <w:pStyle w:val="56"/>
        <w:ind w:firstLine="420"/>
      </w:pPr>
      <w:r>
        <w:rPr>
          <w:rFonts w:hint="eastAsia"/>
        </w:rPr>
        <w:t>本文件首次制定。</w:t>
      </w:r>
    </w:p>
    <w:bookmarkEnd w:id="24"/>
    <w:p w14:paraId="2BF37356">
      <w:pPr>
        <w:pStyle w:val="56"/>
        <w:ind w:firstLine="420"/>
      </w:pPr>
    </w:p>
    <w:p w14:paraId="359C801C">
      <w:pPr>
        <w:pStyle w:val="56"/>
        <w:ind w:firstLine="420"/>
        <w:sectPr>
          <w:pgSz w:w="11906" w:h="16838"/>
          <w:pgMar w:top="2410" w:right="1134" w:bottom="1134" w:left="1134" w:header="1418" w:footer="1134" w:gutter="284"/>
          <w:pgNumType w:fmt="upperRoman"/>
          <w:cols w:space="425" w:num="1"/>
          <w:formProt w:val="0"/>
          <w:docGrid w:linePitch="312" w:charSpace="0"/>
        </w:sectPr>
      </w:pPr>
    </w:p>
    <w:bookmarkEnd w:id="23"/>
    <w:p w14:paraId="4FEB9228">
      <w:pPr>
        <w:pStyle w:val="89"/>
        <w:spacing w:after="360"/>
      </w:pPr>
      <w:bookmarkStart w:id="25" w:name="_Toc6317"/>
      <w:bookmarkStart w:id="26" w:name="BookMark3"/>
      <w:r>
        <w:rPr>
          <w:spacing w:val="320"/>
        </w:rPr>
        <w:t>引</w:t>
      </w:r>
      <w:r>
        <w:t>言</w:t>
      </w:r>
      <w:bookmarkEnd w:id="25"/>
    </w:p>
    <w:p w14:paraId="1B52D629">
      <w:pPr>
        <w:pStyle w:val="230"/>
      </w:pPr>
      <w:r>
        <w:rPr>
          <w:rFonts w:hint="eastAsia"/>
        </w:rPr>
        <w:t>为贯彻《质量强国建设纲要》，落实海南省委省政府《关于以高水平质量建设助力海南自由贸易港高质量发展的意见》（琼发〔2023〕9号）部署要求，为了进一步配合开展海南省“海南消费领域区域公共品牌”建设工作，围绕海南省“特质”、“特色”建设高质量团体标准体系，对符合标准体系、技术规范的特色产品服务和优势产业，通过开展品牌提升和自愿性认证，涵盖各类产业中具有海南省代表性的农业产品、旅游服务、文创产品、工业产品等，围绕热带经济和消费，形成一批集质量、标准、服务、信誉、效益为一体，市场和社会公认的海南消费领域区域公共品牌。</w:t>
      </w:r>
    </w:p>
    <w:p w14:paraId="53EE9D43">
      <w:pPr>
        <w:pStyle w:val="230"/>
      </w:pPr>
      <w:r>
        <w:rPr>
          <w:rFonts w:hint="eastAsia"/>
        </w:rPr>
        <w:t>食品加工产品以农产品等为原料，经过加工制作后进入消费市场，满足人们饮食方面的食物消费需求。《海南消费领域区域公共品牌食品加工技术规范》标准是“海南消费领域区域公共品牌”系列团体标准之一。通过编制《海南消费领域区域公共品牌食品加工技术规范》，规范海南消费领域区域公共品牌相关食品加工产品的原料要求、加工过程、质量控制、检验规则以及包装、标识、贮存和运输等方面的技术要求，为食品加工产品生产经营主体开展海南消费领域区域公共品牌建设、地方开展品牌认证/评价及形成统一规范的认证管理提供依据。</w:t>
      </w:r>
    </w:p>
    <w:p w14:paraId="0414004A">
      <w:pPr>
        <w:pStyle w:val="230"/>
      </w:pPr>
      <w:r>
        <w:rPr>
          <w:rFonts w:hint="eastAsia"/>
        </w:rPr>
        <w:t>本技术规范规定了海南消费领域区域公共品牌相关的食品加工活动。具体涵盖了在海南省内，以海南消费领域区域公共品牌名义进行生产加工的各类食品，包括但不限于具有海南特色的热带水果加工品、海产品加工品、特色粮油加工品、传统糕点及特色风味小吃加工品等。同时，适用于参与这些食品加工的各类生产企业、加工厂以及小作坊等经营主体，从原材料采购、加工过程控制到成品包装等一系列环节均受本技术规范约束。但不包括仅进行食品简单分装且不涉及实质加工工艺改变的活动。</w:t>
      </w:r>
    </w:p>
    <w:p w14:paraId="0E5BCE68">
      <w:pPr>
        <w:pStyle w:val="230"/>
        <w:sectPr>
          <w:pgSz w:w="11906" w:h="16838"/>
          <w:pgMar w:top="2410" w:right="1134" w:bottom="1134" w:left="1134" w:header="1418" w:footer="1134" w:gutter="284"/>
          <w:pgNumType w:fmt="upperRoman"/>
          <w:cols w:space="425" w:num="1"/>
          <w:formProt w:val="0"/>
          <w:docGrid w:linePitch="312" w:charSpace="0"/>
        </w:sectPr>
      </w:pPr>
    </w:p>
    <w:bookmarkEnd w:id="26"/>
    <w:p w14:paraId="730A361B">
      <w:pPr>
        <w:spacing w:line="20" w:lineRule="exact"/>
        <w:jc w:val="center"/>
        <w:rPr>
          <w:rFonts w:hint="eastAsia" w:ascii="黑体" w:hAnsi="黑体" w:eastAsia="黑体"/>
          <w:sz w:val="32"/>
          <w:szCs w:val="32"/>
        </w:rPr>
      </w:pPr>
      <w:bookmarkStart w:id="27" w:name="BookMark4"/>
    </w:p>
    <w:p w14:paraId="69CAB134">
      <w:pPr>
        <w:spacing w:line="20" w:lineRule="exact"/>
        <w:jc w:val="center"/>
        <w:rPr>
          <w:rFonts w:hint="eastAsia" w:ascii="黑体" w:hAnsi="黑体" w:eastAsia="黑体"/>
          <w:sz w:val="32"/>
          <w:szCs w:val="32"/>
        </w:rPr>
      </w:pPr>
    </w:p>
    <w:sdt>
      <w:sdtPr>
        <w:tag w:val="NEW_STAND_NAME"/>
        <w:id w:val="595910757"/>
        <w:lock w:val="sdtLocked"/>
        <w:placeholder>
          <w:docPart w:val="E656C0B2BBCE4372A56A9725FD00371C"/>
        </w:placeholder>
      </w:sdtPr>
      <w:sdtContent>
        <w:p w14:paraId="1FFCFA6C">
          <w:pPr>
            <w:pStyle w:val="177"/>
            <w:spacing w:before="2" w:beforeLines="1" w:after="528" w:afterLines="220"/>
            <w:rPr>
              <w:rFonts w:hint="eastAsia"/>
            </w:rPr>
          </w:pPr>
          <w:bookmarkStart w:id="28" w:name="NEW_STAND_NAME"/>
          <w:r>
            <w:rPr>
              <w:rFonts w:hint="eastAsia" w:ascii="宋体" w:hAnsi="宋体" w:cs="宋体"/>
              <w:szCs w:val="21"/>
            </w:rPr>
            <w:t>海南消费领域区域公共品牌食品加工技术规范</w:t>
          </w:r>
        </w:p>
      </w:sdtContent>
    </w:sdt>
    <w:bookmarkEnd w:id="28"/>
    <w:p w14:paraId="471FD59B">
      <w:pPr>
        <w:pStyle w:val="104"/>
        <w:spacing w:before="240" w:after="240"/>
        <w:ind w:left="-2" w:leftChars="-1"/>
      </w:pPr>
      <w:bookmarkStart w:id="29" w:name="_Toc17233325"/>
      <w:bookmarkStart w:id="30" w:name="_Toc17233333"/>
      <w:bookmarkStart w:id="31" w:name="_Toc26718930"/>
      <w:bookmarkStart w:id="32" w:name="_Toc24884211"/>
      <w:bookmarkStart w:id="33" w:name="_Toc26986771"/>
      <w:bookmarkStart w:id="34" w:name="_Toc26618"/>
      <w:bookmarkStart w:id="35" w:name="_Toc26986530"/>
      <w:bookmarkStart w:id="36" w:name="_Toc26648465"/>
      <w:bookmarkStart w:id="37" w:name="_Toc24884218"/>
      <w:r>
        <w:rPr>
          <w:rFonts w:hint="eastAsia"/>
        </w:rPr>
        <w:t>范围</w:t>
      </w:r>
      <w:bookmarkEnd w:id="29"/>
      <w:bookmarkEnd w:id="30"/>
      <w:bookmarkEnd w:id="31"/>
      <w:bookmarkEnd w:id="32"/>
      <w:bookmarkEnd w:id="33"/>
      <w:bookmarkEnd w:id="34"/>
      <w:bookmarkEnd w:id="35"/>
      <w:bookmarkEnd w:id="36"/>
      <w:bookmarkEnd w:id="37"/>
    </w:p>
    <w:p w14:paraId="2B526304">
      <w:pPr>
        <w:pStyle w:val="56"/>
        <w:ind w:firstLine="420"/>
      </w:pPr>
      <w:bookmarkStart w:id="38" w:name="_Toc24884212"/>
      <w:bookmarkStart w:id="39" w:name="_Toc26648466"/>
      <w:bookmarkStart w:id="40" w:name="_Toc17233326"/>
      <w:bookmarkStart w:id="41" w:name="_Toc24884219"/>
      <w:bookmarkStart w:id="42" w:name="_Toc17233334"/>
      <w:r>
        <w:rPr>
          <w:rFonts w:hint="eastAsia"/>
          <w:color w:val="auto"/>
        </w:rPr>
        <w:t>文件规</w:t>
      </w:r>
      <w:r>
        <w:rPr>
          <w:rFonts w:hint="eastAsia" w:hAnsi="Times New Roman" w:cs="Times New Roman"/>
          <w:color w:val="auto"/>
          <w:lang w:eastAsia="zh-CN"/>
        </w:rPr>
        <w:t>定了海南消费领域区域公共品牌食品加工场所、设施设备、原辅料、加工过程、</w:t>
      </w:r>
      <w:r>
        <w:rPr>
          <w:rFonts w:hint="eastAsia" w:hAnsi="Times New Roman" w:cs="Times New Roman"/>
          <w:color w:val="auto"/>
          <w:lang w:val="en-US" w:eastAsia="zh-CN"/>
        </w:rPr>
        <w:t>废弃物处理、</w:t>
      </w:r>
      <w:r>
        <w:rPr>
          <w:rFonts w:hint="eastAsia" w:hAnsi="Times New Roman" w:cs="Times New Roman"/>
          <w:color w:val="auto"/>
          <w:lang w:eastAsia="zh-CN"/>
        </w:rPr>
        <w:t>致敏</w:t>
      </w:r>
      <w:r>
        <w:rPr>
          <w:rFonts w:hint="eastAsia"/>
          <w:color w:val="auto"/>
        </w:rPr>
        <w:t>物质</w:t>
      </w:r>
      <w:r>
        <w:rPr>
          <w:rFonts w:hint="eastAsia"/>
          <w:color w:val="auto"/>
          <w:lang w:eastAsia="zh-CN"/>
        </w:rPr>
        <w:t>、</w:t>
      </w:r>
      <w:r>
        <w:rPr>
          <w:rFonts w:hint="eastAsia"/>
          <w:color w:val="auto"/>
        </w:rPr>
        <w:t>包装、贮藏、运输、质量</w:t>
      </w:r>
      <w:r>
        <w:rPr>
          <w:rFonts w:hint="eastAsia"/>
          <w:color w:val="auto"/>
          <w:lang w:eastAsia="zh-CN"/>
        </w:rPr>
        <w:t>保障、追溯和召回、文件和记录控制</w:t>
      </w:r>
      <w:r>
        <w:rPr>
          <w:rFonts w:hint="eastAsia"/>
        </w:rPr>
        <w:t>等要求。</w:t>
      </w:r>
    </w:p>
    <w:p w14:paraId="12AD63C7">
      <w:pPr>
        <w:pStyle w:val="56"/>
        <w:ind w:firstLine="420"/>
      </w:pPr>
      <w:r>
        <w:rPr>
          <w:rFonts w:hint="eastAsia"/>
        </w:rPr>
        <w:t>本文件适用于海南省内海南消费领域区域公共品牌相关的食品加工生产经营者的食品加工活动、自我评价和第三方认证。</w:t>
      </w:r>
    </w:p>
    <w:p w14:paraId="20D97C2C">
      <w:pPr>
        <w:pStyle w:val="104"/>
        <w:spacing w:before="240" w:after="240"/>
        <w:ind w:left="0"/>
      </w:pPr>
      <w:bookmarkStart w:id="43" w:name="_Toc26986772"/>
      <w:bookmarkStart w:id="44" w:name="_Toc26718931"/>
      <w:bookmarkStart w:id="45" w:name="_Toc2603"/>
      <w:bookmarkStart w:id="46" w:name="_Toc26986531"/>
      <w:r>
        <w:rPr>
          <w:rFonts w:hint="eastAsia"/>
        </w:rPr>
        <w:t>规范性引用文件</w:t>
      </w:r>
      <w:bookmarkEnd w:id="38"/>
      <w:bookmarkEnd w:id="39"/>
      <w:bookmarkEnd w:id="40"/>
      <w:bookmarkEnd w:id="41"/>
      <w:bookmarkEnd w:id="42"/>
      <w:bookmarkEnd w:id="43"/>
      <w:bookmarkEnd w:id="44"/>
      <w:bookmarkEnd w:id="45"/>
      <w:bookmarkEnd w:id="46"/>
    </w:p>
    <w:sdt>
      <w:sdtPr>
        <w:rPr>
          <w:rFonts w:hint="eastAsia"/>
        </w:rPr>
        <w:id w:val="715848253"/>
        <w:placeholder>
          <w:docPart w:val="7927301156B74BB69B18519C33749E9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27D644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CB4A81">
      <w:pPr>
        <w:pStyle w:val="56"/>
        <w:ind w:firstLine="420"/>
        <w:rPr>
          <w:rFonts w:hint="eastAsia"/>
        </w:rPr>
      </w:pPr>
      <w:r>
        <w:rPr>
          <w:rFonts w:hint="eastAsia"/>
        </w:rPr>
        <w:t>GB 2760  食品安全国家标准 食品添加剂使用标准</w:t>
      </w:r>
    </w:p>
    <w:p w14:paraId="4F1EED62">
      <w:pPr>
        <w:pStyle w:val="56"/>
        <w:ind w:firstLine="420"/>
        <w:rPr>
          <w:rFonts w:hint="eastAsia"/>
        </w:rPr>
      </w:pPr>
      <w:r>
        <w:rPr>
          <w:rFonts w:hint="eastAsia"/>
        </w:rPr>
        <w:t>GB 2761  食品安全国家标准 食品中真菌毒素限量</w:t>
      </w:r>
    </w:p>
    <w:p w14:paraId="16D0F624">
      <w:pPr>
        <w:pStyle w:val="56"/>
        <w:ind w:firstLine="420"/>
        <w:rPr>
          <w:rFonts w:hint="eastAsia"/>
        </w:rPr>
      </w:pPr>
      <w:r>
        <w:rPr>
          <w:rFonts w:hint="eastAsia"/>
        </w:rPr>
        <w:t>GB 2762  食品安全国家标准 食品中污染物限量</w:t>
      </w:r>
    </w:p>
    <w:p w14:paraId="3D6C6D39">
      <w:pPr>
        <w:pStyle w:val="56"/>
        <w:ind w:firstLine="420"/>
        <w:rPr>
          <w:rFonts w:hint="eastAsia"/>
        </w:rPr>
      </w:pPr>
      <w:r>
        <w:rPr>
          <w:rFonts w:hint="eastAsia"/>
        </w:rPr>
        <w:t>GB 2763  食品安全国家标准  食品中农药最大残留限量</w:t>
      </w:r>
    </w:p>
    <w:p w14:paraId="7910D2F2">
      <w:pPr>
        <w:pStyle w:val="56"/>
        <w:ind w:firstLine="420"/>
        <w:rPr>
          <w:rFonts w:hint="eastAsia"/>
        </w:rPr>
      </w:pPr>
      <w:r>
        <w:rPr>
          <w:rFonts w:hint="eastAsia"/>
        </w:rPr>
        <w:t>GB 5749  生活饮用水卫生标准</w:t>
      </w:r>
    </w:p>
    <w:p w14:paraId="312FB394">
      <w:pPr>
        <w:pStyle w:val="56"/>
        <w:ind w:firstLine="420"/>
        <w:rPr>
          <w:rFonts w:hint="eastAsia"/>
        </w:rPr>
      </w:pPr>
      <w:r>
        <w:rPr>
          <w:rFonts w:hint="eastAsia"/>
        </w:rPr>
        <w:t>GB 14881  食品安全国家标准 食品生产通用卫生规范</w:t>
      </w:r>
    </w:p>
    <w:p w14:paraId="6F53970F">
      <w:pPr>
        <w:pStyle w:val="56"/>
        <w:ind w:firstLine="420"/>
        <w:rPr>
          <w:rFonts w:hint="eastAsia"/>
        </w:rPr>
      </w:pPr>
      <w:r>
        <w:rPr>
          <w:rFonts w:hint="eastAsia"/>
        </w:rPr>
        <w:t>GB/T 18455  包装回收标志</w:t>
      </w:r>
    </w:p>
    <w:p w14:paraId="5C49CB7F">
      <w:pPr>
        <w:pStyle w:val="56"/>
        <w:ind w:firstLine="420"/>
        <w:rPr>
          <w:rFonts w:hint="eastAsia"/>
        </w:rPr>
      </w:pPr>
      <w:r>
        <w:rPr>
          <w:rFonts w:hint="eastAsia"/>
        </w:rPr>
        <w:t>GB 31650  食品安全国家标准 食品中兽药最大残留量</w:t>
      </w:r>
    </w:p>
    <w:p w14:paraId="0E090C23">
      <w:pPr>
        <w:pStyle w:val="104"/>
        <w:spacing w:before="240" w:after="240"/>
        <w:ind w:left="0"/>
      </w:pPr>
      <w:bookmarkStart w:id="47" w:name="_Toc14654"/>
      <w:r>
        <w:rPr>
          <w:rFonts w:hint="eastAsia"/>
        </w:rPr>
        <w:t>术语和定义</w:t>
      </w:r>
      <w:bookmarkEnd w:id="47"/>
    </w:p>
    <w:sdt>
      <w:sdtPr>
        <w:id w:val="-1909835108"/>
        <w:placeholder>
          <w:docPart w:val="14F93C733903408391A1E5B083029C4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C234640">
          <w:pPr>
            <w:pStyle w:val="56"/>
            <w:ind w:firstLine="420"/>
          </w:pPr>
          <w:bookmarkStart w:id="48" w:name="_Toc26986532"/>
          <w:bookmarkEnd w:id="48"/>
          <w:r>
            <w:t>本文件没有需要界定的术语和定义。</w:t>
          </w:r>
        </w:p>
      </w:sdtContent>
    </w:sdt>
    <w:p w14:paraId="404ACD2E">
      <w:pPr>
        <w:pStyle w:val="104"/>
        <w:spacing w:before="240" w:after="240"/>
        <w:ind w:left="0"/>
      </w:pPr>
      <w:bookmarkStart w:id="49" w:name="_Toc22850"/>
      <w:r>
        <w:rPr>
          <w:rFonts w:hint="eastAsia"/>
          <w:lang w:eastAsia="zh-CN"/>
        </w:rPr>
        <w:t>加工</w:t>
      </w:r>
      <w:r>
        <w:rPr>
          <w:rFonts w:hint="eastAsia"/>
        </w:rPr>
        <w:t>场所</w:t>
      </w:r>
      <w:bookmarkEnd w:id="49"/>
    </w:p>
    <w:p w14:paraId="10AE45F0">
      <w:pPr>
        <w:pStyle w:val="162"/>
        <w:numPr>
          <w:ilvl w:val="0"/>
          <w:numId w:val="0"/>
        </w:numPr>
        <w:ind w:firstLine="420" w:firstLineChars="200"/>
      </w:pPr>
      <w:r>
        <w:rPr>
          <w:rFonts w:hint="eastAsia"/>
        </w:rPr>
        <w:t>食品加工场所的选址，厂区环境，厂房和车间的设计和布局、内部结构与布局等应符合GB 14881及相关标准的规定。</w:t>
      </w:r>
    </w:p>
    <w:p w14:paraId="08BDD511">
      <w:pPr>
        <w:pStyle w:val="104"/>
        <w:spacing w:before="240" w:after="240"/>
        <w:ind w:left="0"/>
      </w:pPr>
      <w:bookmarkStart w:id="50" w:name="_Toc26347"/>
      <w:r>
        <w:rPr>
          <w:rFonts w:hint="eastAsia"/>
        </w:rPr>
        <w:t>设施设备</w:t>
      </w:r>
      <w:bookmarkEnd w:id="50"/>
    </w:p>
    <w:p w14:paraId="75A3AE96">
      <w:pPr>
        <w:pStyle w:val="162"/>
        <w:ind w:left="0"/>
      </w:pPr>
      <w:r>
        <w:rPr>
          <w:rFonts w:hint="eastAsia"/>
        </w:rPr>
        <w:t>应配备与加工的食品品种、数量相适应的加工设备，并根据需要配置满足要求的设施，包括供水、排水、照明、通风、温控、贮藏、清洗和消毒、个人卫生、虫害控制、废弃物存放等设施。</w:t>
      </w:r>
    </w:p>
    <w:p w14:paraId="236DA04A">
      <w:pPr>
        <w:pStyle w:val="162"/>
        <w:ind w:left="0"/>
      </w:pPr>
      <w:r>
        <w:rPr>
          <w:rFonts w:hint="eastAsia"/>
        </w:rPr>
        <w:t>应对设施、设备进行日常维护、保养、检查，保持其运行正常，应保持相关记录。</w:t>
      </w:r>
    </w:p>
    <w:p w14:paraId="3FAAEAA9">
      <w:pPr>
        <w:pStyle w:val="162"/>
        <w:ind w:left="0"/>
      </w:pPr>
      <w:r>
        <w:rPr>
          <w:rFonts w:hint="eastAsia"/>
        </w:rPr>
        <w:t>与原材料、半成品、成品直接接触的设备、设施、工器具等的接触面的材质应符合相关食品安全标准，明确区分，防止混用、误用。</w:t>
      </w:r>
    </w:p>
    <w:p w14:paraId="1AF91C94">
      <w:pPr>
        <w:pStyle w:val="162"/>
        <w:ind w:left="0"/>
      </w:pPr>
      <w:r>
        <w:rPr>
          <w:rFonts w:hint="eastAsia"/>
        </w:rPr>
        <w:t>应对温度计、湿度计等监控设备定期进行校准/检定、维护，确保其处于有效状态。</w:t>
      </w:r>
    </w:p>
    <w:p w14:paraId="61CA22AB">
      <w:pPr>
        <w:pStyle w:val="104"/>
        <w:spacing w:before="240" w:after="240"/>
        <w:ind w:left="0"/>
      </w:pPr>
      <w:bookmarkStart w:id="51" w:name="_Toc21635"/>
      <w:r>
        <w:rPr>
          <w:rFonts w:hint="eastAsia"/>
        </w:rPr>
        <w:t>原辅料</w:t>
      </w:r>
      <w:bookmarkEnd w:id="51"/>
    </w:p>
    <w:p w14:paraId="22A0F036">
      <w:pPr>
        <w:pStyle w:val="162"/>
        <w:ind w:left="0"/>
      </w:pPr>
      <w:r>
        <w:rPr>
          <w:rFonts w:hint="eastAsia"/>
        </w:rPr>
        <w:t>应建立食品原料、食品添加剂和食品相关产品的采购、验收、贮藏和运输管理制度，确保所用的原辅料应符合相关标准的要求。</w:t>
      </w:r>
    </w:p>
    <w:p w14:paraId="132C0549">
      <w:pPr>
        <w:pStyle w:val="162"/>
        <w:ind w:left="0"/>
      </w:pPr>
      <w:r>
        <w:rPr>
          <w:rFonts w:hint="eastAsia"/>
        </w:rPr>
        <w:t>食品原料、食品添加剂和食品相关产品应采购自具有相关法定资质的合格供应商。</w:t>
      </w:r>
    </w:p>
    <w:p w14:paraId="1AD387CE">
      <w:pPr>
        <w:pStyle w:val="162"/>
        <w:ind w:left="0"/>
      </w:pPr>
      <w:r>
        <w:rPr>
          <w:rFonts w:hint="eastAsia"/>
        </w:rPr>
        <w:t>采购原料应查验产品合格证明文件、留存相关证件及票据等</w:t>
      </w:r>
    </w:p>
    <w:p w14:paraId="400DABD9">
      <w:pPr>
        <w:pStyle w:val="162"/>
        <w:ind w:left="0"/>
      </w:pPr>
      <w:r>
        <w:rPr>
          <w:rFonts w:hint="eastAsia"/>
        </w:rPr>
        <w:t>原料贮藏环境应做到清洁、卫生，温湿度符合要求。必要时，配备冷藏、冷冻等设施。</w:t>
      </w:r>
    </w:p>
    <w:p w14:paraId="67867EA5">
      <w:pPr>
        <w:pStyle w:val="162"/>
        <w:ind w:left="0"/>
      </w:pPr>
      <w:r>
        <w:rPr>
          <w:rFonts w:hint="eastAsia"/>
        </w:rPr>
        <w:t>食品添加剂应单独存放、标识。</w:t>
      </w:r>
    </w:p>
    <w:p w14:paraId="2DB55F7A">
      <w:pPr>
        <w:pStyle w:val="162"/>
        <w:ind w:left="0"/>
      </w:pPr>
      <w:r>
        <w:rPr>
          <w:rFonts w:hint="eastAsia"/>
        </w:rPr>
        <w:t>食品加工用水的水质应符合GB 5749的规定。</w:t>
      </w:r>
    </w:p>
    <w:p w14:paraId="221C9580">
      <w:pPr>
        <w:pStyle w:val="104"/>
        <w:spacing w:before="240" w:after="240"/>
        <w:ind w:left="0"/>
      </w:pPr>
      <w:bookmarkStart w:id="52" w:name="_Toc26865"/>
      <w:r>
        <w:rPr>
          <w:rFonts w:hint="eastAsia"/>
        </w:rPr>
        <w:t>生产过程控制</w:t>
      </w:r>
      <w:bookmarkEnd w:id="52"/>
    </w:p>
    <w:p w14:paraId="3DA02299">
      <w:pPr>
        <w:pStyle w:val="162"/>
        <w:ind w:left="0"/>
      </w:pPr>
      <w:r>
        <w:rPr>
          <w:rFonts w:hint="eastAsia"/>
        </w:rPr>
        <w:t>应建立和实施与加工规模、工艺技术水平和产品种类特性相适应，符合相关食品安全要求的加工管理制度。</w:t>
      </w:r>
    </w:p>
    <w:p w14:paraId="435C0BEB">
      <w:pPr>
        <w:pStyle w:val="162"/>
        <w:ind w:left="0"/>
      </w:pPr>
      <w:r>
        <w:rPr>
          <w:rFonts w:hint="eastAsia"/>
        </w:rPr>
        <w:t>应配备符合相关岗位要求的人员，并采取措施保证人员能力持续满足要求。</w:t>
      </w:r>
    </w:p>
    <w:p w14:paraId="3D420306">
      <w:pPr>
        <w:pStyle w:val="162"/>
        <w:ind w:left="0"/>
      </w:pPr>
      <w:r>
        <w:rPr>
          <w:rFonts w:hint="eastAsia"/>
        </w:rPr>
        <w:t>应根据产品和工艺特点，控制加工场所温湿度等环境条件，保持卫生清洁。</w:t>
      </w:r>
    </w:p>
    <w:p w14:paraId="287AD00D">
      <w:pPr>
        <w:pStyle w:val="162"/>
        <w:ind w:left="0"/>
      </w:pPr>
      <w:r>
        <w:rPr>
          <w:rFonts w:hint="eastAsia"/>
        </w:rPr>
        <w:t>应合理存放和使用清洁剂、消毒剂、杀虫剂等化学品并建立台账，采取措施避免其对食品造成污染。</w:t>
      </w:r>
    </w:p>
    <w:p w14:paraId="0A8C5885">
      <w:pPr>
        <w:pStyle w:val="162"/>
        <w:ind w:left="0"/>
      </w:pPr>
      <w:r>
        <w:rPr>
          <w:rFonts w:hint="eastAsia"/>
        </w:rPr>
        <w:t>应采取有效措施控制有害生物侵入、孳生，建立有害生物防治记录。</w:t>
      </w:r>
    </w:p>
    <w:p w14:paraId="452C98F8">
      <w:pPr>
        <w:pStyle w:val="162"/>
        <w:ind w:left="0"/>
      </w:pPr>
      <w:r>
        <w:rPr>
          <w:rFonts w:hint="eastAsia"/>
        </w:rPr>
        <w:t>应及时清除废弃物，</w:t>
      </w:r>
      <w:r>
        <w:t>防止虫害孳生</w:t>
      </w:r>
      <w:r>
        <w:rPr>
          <w:rFonts w:hint="eastAsia"/>
        </w:rPr>
        <w:t>、</w:t>
      </w:r>
      <w:r>
        <w:t>不良气味或有害有毒气体溢出</w:t>
      </w:r>
      <w:r>
        <w:rPr>
          <w:rFonts w:hint="eastAsia"/>
        </w:rPr>
        <w:t>。</w:t>
      </w:r>
    </w:p>
    <w:p w14:paraId="5AF533D7">
      <w:pPr>
        <w:pStyle w:val="162"/>
        <w:ind w:left="0"/>
      </w:pPr>
      <w:r>
        <w:rPr>
          <w:rFonts w:hint="eastAsia"/>
        </w:rPr>
        <w:t>加工过程中，不应添加非食用物质和其他可能危害人体健康物质，不应使用过期、失效、变质、污秽不洁、回收及受到其他污染的原材料。</w:t>
      </w:r>
    </w:p>
    <w:p w14:paraId="0BD29F77">
      <w:pPr>
        <w:pStyle w:val="162"/>
        <w:ind w:left="0"/>
      </w:pPr>
      <w:r>
        <w:rPr>
          <w:rFonts w:hint="eastAsia"/>
        </w:rPr>
        <w:t>非必要不使用食品添加剂。食品添加剂的使用应符合GB 2760 的规定。</w:t>
      </w:r>
    </w:p>
    <w:p w14:paraId="2A3C6256">
      <w:pPr>
        <w:pStyle w:val="162"/>
        <w:ind w:left="0"/>
      </w:pPr>
      <w:r>
        <w:rPr>
          <w:rFonts w:hint="eastAsia"/>
        </w:rPr>
        <w:t>鼓励通过危害分析方法明确加工过程中的食品安全关键环节，制定和实施食品安全关键环节的控制措施，以消除、减少或降低任何潜在的物理、化学或生物危害，保障食品安全。</w:t>
      </w:r>
    </w:p>
    <w:p w14:paraId="6995495E">
      <w:pPr>
        <w:pStyle w:val="104"/>
        <w:spacing w:before="240" w:after="240"/>
        <w:ind w:left="0"/>
      </w:pPr>
      <w:bookmarkStart w:id="53" w:name="_Toc28982"/>
      <w:r>
        <w:rPr>
          <w:rFonts w:hint="eastAsia"/>
        </w:rPr>
        <w:t>卫生管理</w:t>
      </w:r>
      <w:bookmarkEnd w:id="53"/>
    </w:p>
    <w:p w14:paraId="1F2C89F8">
      <w:pPr>
        <w:pStyle w:val="162"/>
        <w:ind w:left="0"/>
      </w:pPr>
      <w:r>
        <w:rPr>
          <w:rFonts w:hint="eastAsia"/>
        </w:rPr>
        <w:t>应建立并实施符合GB 14881及相关标准要求的卫生管理制度，包括但不限于加工环境、设施设备、工器具的卫生管理，食品加工人员健康与卫生管理，虫害控制、废弃物处理，工作服管理，清洁消毒等制度。</w:t>
      </w:r>
    </w:p>
    <w:p w14:paraId="0AB5BB60">
      <w:pPr>
        <w:pStyle w:val="162"/>
        <w:ind w:left="0"/>
      </w:pPr>
      <w:r>
        <w:rPr>
          <w:rFonts w:hint="eastAsia"/>
        </w:rPr>
        <w:t>应建立加工环境、食品加工人员、设施设备及工器具等的卫生监控制度，确定监控的范围、对象和频率，并保持监控结果的记录。</w:t>
      </w:r>
    </w:p>
    <w:p w14:paraId="78E201E7">
      <w:pPr>
        <w:pStyle w:val="162"/>
        <w:ind w:left="0"/>
      </w:pPr>
      <w:r>
        <w:rPr>
          <w:rFonts w:hint="eastAsia"/>
        </w:rPr>
        <w:t>应按规定对设备、工器具、食品接触面等进行清洁、消毒，保持清洁、消毒记录。</w:t>
      </w:r>
    </w:p>
    <w:p w14:paraId="00F7BA39">
      <w:pPr>
        <w:pStyle w:val="162"/>
        <w:ind w:left="0"/>
      </w:pPr>
      <w:r>
        <w:rPr>
          <w:rFonts w:hint="eastAsia"/>
        </w:rPr>
        <w:t>食品加工人员应具有有效的健康证明。</w:t>
      </w:r>
    </w:p>
    <w:p w14:paraId="24CF6052">
      <w:pPr>
        <w:pStyle w:val="104"/>
        <w:spacing w:before="240" w:after="240"/>
        <w:ind w:left="0"/>
        <w:rPr>
          <w:rFonts w:hint="eastAsia"/>
        </w:rPr>
      </w:pPr>
      <w:bookmarkStart w:id="54" w:name="_Toc12328"/>
      <w:r>
        <w:rPr>
          <w:rFonts w:hint="eastAsia"/>
        </w:rPr>
        <w:t>废弃物处理</w:t>
      </w:r>
      <w:bookmarkEnd w:id="54"/>
    </w:p>
    <w:p w14:paraId="4E6D51B2">
      <w:pPr>
        <w:pStyle w:val="162"/>
        <w:ind w:left="0"/>
        <w:rPr>
          <w:rFonts w:hint="eastAsia"/>
        </w:rPr>
      </w:pPr>
      <w:r>
        <w:rPr>
          <w:rFonts w:hint="eastAsia"/>
        </w:rPr>
        <w:t>应制定废弃物存放和清除制度,明确不同废弃物的存放方式和清除要求。车间内废弃物应及时清理,清理过程防止交叉污染;易腐败的废弃物应尽快清除,必要时一物一清;有特殊要求的废弃物,其处理方式应符合有关规定。</w:t>
      </w:r>
    </w:p>
    <w:p w14:paraId="34D0AF3B">
      <w:pPr>
        <w:pStyle w:val="162"/>
        <w:ind w:left="0"/>
        <w:rPr>
          <w:rFonts w:hint="eastAsia"/>
        </w:rPr>
      </w:pPr>
      <w:r>
        <w:rPr>
          <w:rFonts w:hint="eastAsia"/>
        </w:rPr>
        <w:t>车间外废弃物放置场所及处理设施设备应与食品生产场所有效分离或分隔,防止污染废弃物存放设备及场所应定期清洗,必要时消毒,防止不良气味或有害有毒气体溢出,以及有害生物孳生</w:t>
      </w:r>
      <w:r>
        <w:rPr>
          <w:rFonts w:hint="eastAsia"/>
          <w:lang w:eastAsia="zh-CN"/>
        </w:rPr>
        <w:t>。</w:t>
      </w:r>
    </w:p>
    <w:p w14:paraId="4531918E">
      <w:pPr>
        <w:pStyle w:val="104"/>
        <w:spacing w:before="240" w:after="240"/>
        <w:ind w:left="0"/>
        <w:rPr>
          <w:rFonts w:hint="eastAsia"/>
        </w:rPr>
      </w:pPr>
      <w:bookmarkStart w:id="55" w:name="_Toc12989"/>
      <w:r>
        <w:rPr>
          <w:rFonts w:hint="eastAsia"/>
        </w:rPr>
        <w:t>致敏物质管理</w:t>
      </w:r>
      <w:bookmarkEnd w:id="55"/>
    </w:p>
    <w:p w14:paraId="1E4BD188">
      <w:pPr>
        <w:pStyle w:val="162"/>
        <w:ind w:left="0"/>
        <w:rPr>
          <w:rFonts w:hint="eastAsia"/>
        </w:rPr>
      </w:pPr>
      <w:r>
        <w:rPr>
          <w:rFonts w:hint="eastAsia"/>
        </w:rPr>
        <w:t>鼓励建立致敏物质管理制度。宜在评估食品配方、原料,生产工艺和流程的基础上分析识别食品中的致敏物质,准确完整地记录与致敏物质管理的相关内容。</w:t>
      </w:r>
    </w:p>
    <w:p w14:paraId="36FB2A4B">
      <w:pPr>
        <w:pStyle w:val="162"/>
        <w:ind w:left="0"/>
        <w:rPr>
          <w:rFonts w:hint="eastAsia"/>
        </w:rPr>
      </w:pPr>
      <w:r>
        <w:rPr>
          <w:rFonts w:hint="eastAsia"/>
        </w:rPr>
        <w:t>应避免不含致敏物质的产品与含致敏物质的产品,以及含不同致敏物质的产品共线生产,难以避免时应采取清洁措施。鼓励通过产品研发、设备设计、食品安全管理、工器具管理、生产管理、生产过程标识管理及贮存运输管理等措施,减少食品受到致敏物质交叉污染的风险。</w:t>
      </w:r>
    </w:p>
    <w:p w14:paraId="0CBD2B92">
      <w:pPr>
        <w:pStyle w:val="104"/>
        <w:spacing w:before="240" w:after="240"/>
        <w:ind w:left="0"/>
        <w:rPr>
          <w:rFonts w:hint="eastAsia"/>
        </w:rPr>
      </w:pPr>
      <w:bookmarkStart w:id="56" w:name="_Toc22705"/>
      <w:r>
        <w:rPr>
          <w:rFonts w:hint="eastAsia"/>
        </w:rPr>
        <w:t>包装、贮藏、运输、销售</w:t>
      </w:r>
      <w:bookmarkEnd w:id="56"/>
    </w:p>
    <w:p w14:paraId="503D3D08">
      <w:pPr>
        <w:pStyle w:val="162"/>
        <w:ind w:left="0"/>
        <w:rPr>
          <w:rFonts w:hint="eastAsia"/>
        </w:rPr>
      </w:pPr>
      <w:r>
        <w:rPr>
          <w:rFonts w:hint="eastAsia"/>
        </w:rPr>
        <w:t>食品包装应能在正常的贮藏、运输条件下保护食品的安全性和品质，并尽量选用可回收或降解的包装物。</w:t>
      </w:r>
    </w:p>
    <w:p w14:paraId="585B3033">
      <w:pPr>
        <w:pStyle w:val="162"/>
        <w:ind w:left="0"/>
        <w:rPr>
          <w:rFonts w:hint="eastAsia"/>
        </w:rPr>
      </w:pPr>
      <w:r>
        <w:rPr>
          <w:rFonts w:hint="eastAsia"/>
        </w:rPr>
        <w:t>应根据食品的特性选择适宜的贮藏条件，必要时对贮藏情况进行监测和记录；应采取有效措施防止食品在贮藏期间受到污染。</w:t>
      </w:r>
    </w:p>
    <w:p w14:paraId="78114592">
      <w:pPr>
        <w:pStyle w:val="162"/>
        <w:ind w:left="0"/>
        <w:rPr>
          <w:rFonts w:hint="eastAsia"/>
        </w:rPr>
      </w:pPr>
      <w:r>
        <w:rPr>
          <w:rFonts w:hint="eastAsia"/>
        </w:rPr>
        <w:t>应根据食品的特点和卫生需要选择适宜的运输条件，必要时应配备保温、冷藏、保鲜等设施；不得将食品与有毒、有害、或有异味的物品一同运输。</w:t>
      </w:r>
    </w:p>
    <w:p w14:paraId="3E87B224">
      <w:pPr>
        <w:pStyle w:val="104"/>
        <w:spacing w:before="240" w:after="240"/>
        <w:ind w:left="0"/>
        <w:rPr>
          <w:rFonts w:hint="eastAsia"/>
        </w:rPr>
      </w:pPr>
      <w:bookmarkStart w:id="57" w:name="_Toc23024"/>
      <w:r>
        <w:rPr>
          <w:rFonts w:hint="eastAsia"/>
        </w:rPr>
        <w:t>质量保障</w:t>
      </w:r>
      <w:bookmarkEnd w:id="57"/>
    </w:p>
    <w:p w14:paraId="7AAEDD01">
      <w:pPr>
        <w:pStyle w:val="162"/>
        <w:ind w:left="0"/>
        <w:rPr>
          <w:rFonts w:hint="eastAsia"/>
        </w:rPr>
      </w:pPr>
      <w:r>
        <w:rPr>
          <w:rFonts w:hint="eastAsia"/>
        </w:rPr>
        <w:t xml:space="preserve">质量安全  </w:t>
      </w:r>
    </w:p>
    <w:p w14:paraId="07393E4B">
      <w:pPr>
        <w:pStyle w:val="162"/>
        <w:numPr>
          <w:ilvl w:val="0"/>
          <w:numId w:val="0"/>
        </w:numPr>
        <w:rPr>
          <w:rFonts w:hint="eastAsia"/>
        </w:rPr>
      </w:pPr>
      <w:r>
        <w:rPr>
          <w:rFonts w:hint="eastAsia"/>
          <w:lang w:val="en-US" w:eastAsia="zh-CN"/>
        </w:rPr>
        <w:t>12.1.1</w:t>
      </w:r>
      <w:bookmarkStart w:id="61" w:name="_GoBack"/>
      <w:bookmarkEnd w:id="61"/>
      <w:r>
        <w:rPr>
          <w:rFonts w:hint="eastAsia"/>
        </w:rPr>
        <w:t>农药残留限量应符合GB2763的要求；兽药残留限量应符合GB31650的要求。</w:t>
      </w:r>
    </w:p>
    <w:p w14:paraId="38495849">
      <w:pPr>
        <w:pStyle w:val="162"/>
        <w:numPr>
          <w:ilvl w:val="0"/>
          <w:numId w:val="0"/>
        </w:numPr>
        <w:rPr>
          <w:rFonts w:hint="eastAsia"/>
        </w:rPr>
      </w:pPr>
      <w:r>
        <w:rPr>
          <w:rFonts w:hint="eastAsia"/>
          <w:lang w:val="en-US" w:eastAsia="zh-CN"/>
        </w:rPr>
        <w:t>12.1.2</w:t>
      </w:r>
      <w:r>
        <w:rPr>
          <w:rFonts w:hint="eastAsia"/>
        </w:rPr>
        <w:t>污染物限量应符合GB2762的要求；真菌毒素限量应符合GB2761的要求；食品添加剂限量应符合GB2760的要求；微生物限量应符合相关食品国家标准及规定。</w:t>
      </w:r>
    </w:p>
    <w:p w14:paraId="4F399F99">
      <w:pPr>
        <w:pStyle w:val="162"/>
        <w:ind w:left="0"/>
        <w:rPr>
          <w:rFonts w:hint="eastAsia"/>
        </w:rPr>
      </w:pPr>
      <w:r>
        <w:rPr>
          <w:rFonts w:hint="eastAsia"/>
        </w:rPr>
        <w:t>产品检验</w:t>
      </w:r>
    </w:p>
    <w:p w14:paraId="37C8F5C6">
      <w:pPr>
        <w:pStyle w:val="162"/>
        <w:numPr>
          <w:ilvl w:val="0"/>
          <w:numId w:val="0"/>
        </w:numPr>
        <w:rPr>
          <w:rFonts w:hint="eastAsia"/>
        </w:rPr>
      </w:pPr>
      <w:r>
        <w:rPr>
          <w:rFonts w:hint="eastAsia"/>
        </w:rPr>
        <w:t>12.</w:t>
      </w:r>
      <w:r>
        <w:rPr>
          <w:rFonts w:hint="eastAsia"/>
          <w:lang w:val="en-US" w:eastAsia="zh-CN"/>
        </w:rPr>
        <w:t>2</w:t>
      </w:r>
      <w:r>
        <w:rPr>
          <w:rFonts w:hint="eastAsia"/>
        </w:rPr>
        <w:t>.1应通过自行检验或委托具备相应资质的食品检验机构对产品进行检验。自行检验应具备与所检项目适应的检验室和检验能力；由具有相应资质的检验人员按规定的检验项目、频次和方法实施检验；检验仪器设备应定期检定、校准。</w:t>
      </w:r>
    </w:p>
    <w:p w14:paraId="3B242659">
      <w:pPr>
        <w:pStyle w:val="162"/>
        <w:numPr>
          <w:ilvl w:val="0"/>
          <w:numId w:val="0"/>
        </w:numPr>
        <w:rPr>
          <w:rFonts w:hint="eastAsia"/>
        </w:rPr>
      </w:pPr>
      <w:r>
        <w:rPr>
          <w:rFonts w:hint="eastAsia"/>
        </w:rPr>
        <w:t>12．</w:t>
      </w:r>
      <w:r>
        <w:rPr>
          <w:rFonts w:hint="eastAsia"/>
          <w:lang w:val="en-US" w:eastAsia="zh-CN"/>
        </w:rPr>
        <w:t>2</w:t>
      </w:r>
      <w:r>
        <w:rPr>
          <w:rFonts w:hint="eastAsia"/>
        </w:rPr>
        <w:t>.2每年不少于1次委托具备相应资质的食品检验机构对产品进行检验。应当建立检验室管理制度、出厂检验制度、检验记录制度、留样制度，妥善保存相关记录。</w:t>
      </w:r>
    </w:p>
    <w:p w14:paraId="1DAF40A8">
      <w:pPr>
        <w:pStyle w:val="104"/>
        <w:spacing w:before="240" w:after="240"/>
        <w:ind w:left="0"/>
        <w:rPr>
          <w:rFonts w:hint="eastAsia"/>
        </w:rPr>
      </w:pPr>
      <w:bookmarkStart w:id="58" w:name="_Toc18512"/>
      <w:r>
        <w:rPr>
          <w:rFonts w:hint="eastAsia"/>
        </w:rPr>
        <w:t>追溯和召回</w:t>
      </w:r>
      <w:bookmarkEnd w:id="58"/>
    </w:p>
    <w:p w14:paraId="0BE06A5D">
      <w:pPr>
        <w:pStyle w:val="162"/>
        <w:ind w:left="0"/>
        <w:rPr>
          <w:rFonts w:hint="eastAsia"/>
        </w:rPr>
      </w:pPr>
      <w:r>
        <w:rPr>
          <w:rFonts w:hint="eastAsia"/>
        </w:rPr>
        <w:t>应建立且实施可追潮性系统，以确保能够识别产品批次及其与原料批次、生产与交付记录的关系。应按规定的期限保持可追溯性记录。</w:t>
      </w:r>
    </w:p>
    <w:p w14:paraId="516BB1DB">
      <w:pPr>
        <w:pStyle w:val="162"/>
        <w:ind w:left="0"/>
        <w:rPr>
          <w:rFonts w:hint="eastAsia"/>
        </w:rPr>
      </w:pPr>
      <w:r>
        <w:rPr>
          <w:rFonts w:hint="eastAsia"/>
        </w:rPr>
        <w:t>企业可根据自身条件，借助电子标签，实现物联网从原料进厂到成品出售乃至全产业链的应用。</w:t>
      </w:r>
    </w:p>
    <w:p w14:paraId="01B75DE9">
      <w:pPr>
        <w:pStyle w:val="162"/>
        <w:ind w:left="0"/>
        <w:rPr>
          <w:rFonts w:hint="eastAsia"/>
        </w:rPr>
      </w:pPr>
      <w:r>
        <w:rPr>
          <w:rFonts w:hint="eastAsia"/>
        </w:rPr>
        <w:t>对被召回的食品，应当进行无害化处理或者子以销毁，防止其再次流入市场或用于再加工。对因标签、标识或者说明书不符合食品安全标准而被召回的食品，应采取能保证食品安全、且便于重新销售时向消费者明示的补救措施。</w:t>
      </w:r>
    </w:p>
    <w:p w14:paraId="5A27CF69">
      <w:pPr>
        <w:pStyle w:val="104"/>
        <w:spacing w:before="240" w:after="240"/>
        <w:ind w:left="0"/>
        <w:rPr>
          <w:rFonts w:hint="eastAsia"/>
        </w:rPr>
      </w:pPr>
      <w:bookmarkStart w:id="59" w:name="_Toc1165"/>
      <w:r>
        <w:rPr>
          <w:rFonts w:hint="eastAsia"/>
        </w:rPr>
        <w:t>文件和记录控制</w:t>
      </w:r>
      <w:bookmarkEnd w:id="59"/>
    </w:p>
    <w:p w14:paraId="06AB617E">
      <w:pPr>
        <w:pStyle w:val="162"/>
        <w:ind w:left="0"/>
        <w:rPr>
          <w:rFonts w:hint="eastAsia"/>
        </w:rPr>
      </w:pPr>
      <w:r>
        <w:rPr>
          <w:rFonts w:hint="eastAsia"/>
        </w:rPr>
        <w:t>应建立文件管理制度，确保各相关场所使用的文件均为有效版本。</w:t>
      </w:r>
    </w:p>
    <w:p w14:paraId="7BE63277">
      <w:pPr>
        <w:pStyle w:val="162"/>
        <w:ind w:left="0"/>
        <w:rPr>
          <w:rFonts w:hint="eastAsia"/>
        </w:rPr>
      </w:pPr>
      <w:r>
        <w:rPr>
          <w:rFonts w:hint="eastAsia"/>
        </w:rPr>
        <w:t>食品生产中原材料采购时应索证，保持验收记录和相关的资质证明文件。</w:t>
      </w:r>
    </w:p>
    <w:p w14:paraId="0E392BA3">
      <w:pPr>
        <w:pStyle w:val="162"/>
        <w:ind w:left="0"/>
        <w:rPr>
          <w:rFonts w:hint="eastAsia"/>
        </w:rPr>
      </w:pPr>
      <w:r>
        <w:rPr>
          <w:rFonts w:hint="eastAsia"/>
        </w:rPr>
        <w:t>应建立记录管理制度，明确记录的使用、检索、填写和保存要求，记录内容应完整、真实。应及时将记录内容上传至管理系统，确保对产品从原料采购到产品销售的所有环节都可进行有效追溯:应保持本规范所要求的记录</w:t>
      </w:r>
    </w:p>
    <w:p w14:paraId="4854D39F">
      <w:pPr>
        <w:pStyle w:val="162"/>
        <w:ind w:left="0"/>
        <w:rPr>
          <w:rFonts w:hint="eastAsia"/>
        </w:rPr>
      </w:pPr>
      <w:r>
        <w:rPr>
          <w:rFonts w:hint="eastAsia"/>
        </w:rPr>
        <w:t>食品加工企业应根据工艺过程形成并保持生产记录，至少应包括生产加工记录、原料及产品的出入库记录贮存、产品出厂检验记录、销售记录等环节详细记录。</w:t>
      </w:r>
    </w:p>
    <w:p w14:paraId="74DFEA89">
      <w:pPr>
        <w:pStyle w:val="56"/>
        <w:ind w:firstLine="420"/>
      </w:pPr>
    </w:p>
    <w:bookmarkEnd w:id="27"/>
    <w:p w14:paraId="4D35918A">
      <w:pPr>
        <w:pStyle w:val="56"/>
        <w:ind w:firstLine="0" w:firstLineChars="0"/>
        <w:jc w:val="center"/>
      </w:pPr>
      <w:bookmarkStart w:id="60"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03B9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5F05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077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DE4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8BE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63B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515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FA01">
    <w:pPr>
      <w:pStyle w:val="61"/>
      <w:rPr>
        <w:rFonts w:hint="eastAsia"/>
      </w:rPr>
    </w:pPr>
    <w:r>
      <w:fldChar w:fldCharType="begin"/>
    </w:r>
    <w:r>
      <w:instrText xml:space="preserve"> STYLEREF  标准文件_文件编号  \* MERGEFORMAT </w:instrText>
    </w:r>
    <w:r>
      <w:fldChar w:fldCharType="separate"/>
    </w:r>
    <w:r>
      <w:t xml:space="preserve">T/           —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04BE">
    <w:pPr>
      <w:pStyle w:val="18"/>
      <w:jc w:val="right"/>
    </w:pPr>
    <w:r>
      <w:fldChar w:fldCharType="begin"/>
    </w:r>
    <w:r>
      <w:instrText xml:space="preserve"> STYLEREF  标准文件_文件编号  \* MERGEFORMAT </w:instrText>
    </w:r>
    <w:r>
      <w:fldChar w:fldCharType="separate"/>
    </w:r>
    <w:r>
      <w:t xml:space="preserve">T/           —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pStyle w:val="238"/>
      <w:lvlText w:val="%2)"/>
      <w:lvlJc w:val="left"/>
      <w:pPr>
        <w:tabs>
          <w:tab w:val="left" w:pos="1838"/>
        </w:tabs>
        <w:ind w:left="1838" w:hanging="420"/>
      </w:pPr>
    </w:lvl>
    <w:lvl w:ilvl="2" w:tentative="0">
      <w:start w:val="1"/>
      <w:numFmt w:val="lowerRoman"/>
      <w:pStyle w:val="233"/>
      <w:lvlText w:val="%3."/>
      <w:lvlJc w:val="right"/>
      <w:pPr>
        <w:tabs>
          <w:tab w:val="left" w:pos="2258"/>
        </w:tabs>
        <w:ind w:left="2258" w:hanging="420"/>
      </w:pPr>
    </w:lvl>
    <w:lvl w:ilvl="3" w:tentative="0">
      <w:start w:val="1"/>
      <w:numFmt w:val="decimal"/>
      <w:pStyle w:val="235"/>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2E32610F"/>
    <w:multiLevelType w:val="multilevel"/>
    <w:tmpl w:val="2E32610F"/>
    <w:lvl w:ilvl="0" w:tentative="0">
      <w:start w:val="1"/>
      <w:numFmt w:val="decimal"/>
      <w:pStyle w:val="237"/>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42" w:firstLine="0"/>
      </w:pPr>
      <w:rPr>
        <w:rFonts w:hint="eastAsia" w:ascii="黑体" w:eastAsia="黑体"/>
        <w:b w:val="0"/>
        <w:i w:val="0"/>
        <w:sz w:val="21"/>
      </w:rPr>
    </w:lvl>
    <w:lvl w:ilvl="2" w:tentative="0">
      <w:start w:val="1"/>
      <w:numFmt w:val="decimal"/>
      <w:pStyle w:val="105"/>
      <w:suff w:val="nothing"/>
      <w:lvlText w:val="%1%2.%3　"/>
      <w:lvlJc w:val="left"/>
      <w:pPr>
        <w:ind w:left="5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1" w:cryptProviderType="rsaAES" w:cryptAlgorithmClass="hash" w:cryptAlgorithmType="typeAny" w:cryptAlgorithmSid="14" w:cryptSpinCount="100000" w:hash="Cu1BDoVIPXFffo87o3NSWxYg5Ddh2WL86zBFfC+RQvGSP6iRhAa6Y0XC1lp6auKQpioaShAYVxQH7yXIe1CgOw==" w:salt="A6lMQuEZWYr/D65r9MHe5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DdjZmE2YWNlMTUzYWVkNzFlNWVhNDhmZThiYmMifQ=="/>
  </w:docVars>
  <w:rsids>
    <w:rsidRoot w:val="007003F0"/>
    <w:rsid w:val="0000040A"/>
    <w:rsid w:val="00000A94"/>
    <w:rsid w:val="00001972"/>
    <w:rsid w:val="00001D9A"/>
    <w:rsid w:val="0000696B"/>
    <w:rsid w:val="00007B3A"/>
    <w:rsid w:val="000107E0"/>
    <w:rsid w:val="00011719"/>
    <w:rsid w:val="00011FDE"/>
    <w:rsid w:val="00012FFD"/>
    <w:rsid w:val="00014162"/>
    <w:rsid w:val="00014340"/>
    <w:rsid w:val="000169B9"/>
    <w:rsid w:val="00016A9C"/>
    <w:rsid w:val="00022184"/>
    <w:rsid w:val="00022762"/>
    <w:rsid w:val="000238E0"/>
    <w:rsid w:val="000249DB"/>
    <w:rsid w:val="0002595E"/>
    <w:rsid w:val="000303C3"/>
    <w:rsid w:val="00032686"/>
    <w:rsid w:val="000331D3"/>
    <w:rsid w:val="000346A5"/>
    <w:rsid w:val="000359C3"/>
    <w:rsid w:val="00035A7D"/>
    <w:rsid w:val="000365ED"/>
    <w:rsid w:val="0004249A"/>
    <w:rsid w:val="00043282"/>
    <w:rsid w:val="00043B5D"/>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23A"/>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8A4"/>
    <w:rsid w:val="000B3CDA"/>
    <w:rsid w:val="000B6A0B"/>
    <w:rsid w:val="000C0F6C"/>
    <w:rsid w:val="000C11DB"/>
    <w:rsid w:val="000C1492"/>
    <w:rsid w:val="000C2FBD"/>
    <w:rsid w:val="000C4B41"/>
    <w:rsid w:val="000C57D6"/>
    <w:rsid w:val="000C6362"/>
    <w:rsid w:val="000C7666"/>
    <w:rsid w:val="000D0A9C"/>
    <w:rsid w:val="000D1795"/>
    <w:rsid w:val="000D329A"/>
    <w:rsid w:val="000D3E30"/>
    <w:rsid w:val="000D4B9C"/>
    <w:rsid w:val="000D4EB6"/>
    <w:rsid w:val="000D753B"/>
    <w:rsid w:val="000E4C9E"/>
    <w:rsid w:val="000E55F0"/>
    <w:rsid w:val="000E6FD7"/>
    <w:rsid w:val="000F025A"/>
    <w:rsid w:val="000F06E1"/>
    <w:rsid w:val="000F0E3C"/>
    <w:rsid w:val="000F19D5"/>
    <w:rsid w:val="000F31AA"/>
    <w:rsid w:val="000F3C72"/>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4A66"/>
    <w:rsid w:val="00135323"/>
    <w:rsid w:val="001356C4"/>
    <w:rsid w:val="00137565"/>
    <w:rsid w:val="00141114"/>
    <w:rsid w:val="001415F1"/>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7BB"/>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A2B"/>
    <w:rsid w:val="001E1B6A"/>
    <w:rsid w:val="001E2484"/>
    <w:rsid w:val="001E3CC4"/>
    <w:rsid w:val="001E4882"/>
    <w:rsid w:val="001E73AB"/>
    <w:rsid w:val="001F092D"/>
    <w:rsid w:val="001F143A"/>
    <w:rsid w:val="001F1605"/>
    <w:rsid w:val="001F2508"/>
    <w:rsid w:val="001F4816"/>
    <w:rsid w:val="001F69B4"/>
    <w:rsid w:val="001F6DAB"/>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3CEA"/>
    <w:rsid w:val="002253A1"/>
    <w:rsid w:val="00225CF8"/>
    <w:rsid w:val="0022794E"/>
    <w:rsid w:val="00233C51"/>
    <w:rsid w:val="00233D64"/>
    <w:rsid w:val="00234674"/>
    <w:rsid w:val="0023482A"/>
    <w:rsid w:val="002359CB"/>
    <w:rsid w:val="00243540"/>
    <w:rsid w:val="00243723"/>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1B5"/>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7AF"/>
    <w:rsid w:val="002B4508"/>
    <w:rsid w:val="002B5779"/>
    <w:rsid w:val="002B7332"/>
    <w:rsid w:val="002B7F51"/>
    <w:rsid w:val="002C09E7"/>
    <w:rsid w:val="002C1E06"/>
    <w:rsid w:val="002C3F07"/>
    <w:rsid w:val="002C5278"/>
    <w:rsid w:val="002C7EBB"/>
    <w:rsid w:val="002D06C1"/>
    <w:rsid w:val="002D2DB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1C1A"/>
    <w:rsid w:val="003221B4"/>
    <w:rsid w:val="0032258D"/>
    <w:rsid w:val="00322E62"/>
    <w:rsid w:val="00324D13"/>
    <w:rsid w:val="00324EDD"/>
    <w:rsid w:val="00326ABE"/>
    <w:rsid w:val="003331E4"/>
    <w:rsid w:val="00336C64"/>
    <w:rsid w:val="00337162"/>
    <w:rsid w:val="003400DF"/>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6EF"/>
    <w:rsid w:val="00387ADC"/>
    <w:rsid w:val="00390020"/>
    <w:rsid w:val="003903D6"/>
    <w:rsid w:val="00390EE6"/>
    <w:rsid w:val="0039118F"/>
    <w:rsid w:val="00392AD7"/>
    <w:rsid w:val="003938D9"/>
    <w:rsid w:val="00394376"/>
    <w:rsid w:val="003943FF"/>
    <w:rsid w:val="003961E5"/>
    <w:rsid w:val="003974EB"/>
    <w:rsid w:val="00397CC5"/>
    <w:rsid w:val="003A00E9"/>
    <w:rsid w:val="003A1582"/>
    <w:rsid w:val="003A3D9C"/>
    <w:rsid w:val="003A4077"/>
    <w:rsid w:val="003A4AA7"/>
    <w:rsid w:val="003B09AD"/>
    <w:rsid w:val="003B1F18"/>
    <w:rsid w:val="003B5BF0"/>
    <w:rsid w:val="003B60BF"/>
    <w:rsid w:val="003B6BE3"/>
    <w:rsid w:val="003C010C"/>
    <w:rsid w:val="003C039F"/>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5A0"/>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15D"/>
    <w:rsid w:val="00485C89"/>
    <w:rsid w:val="00486BE3"/>
    <w:rsid w:val="004905E4"/>
    <w:rsid w:val="00490A89"/>
    <w:rsid w:val="00490AB4"/>
    <w:rsid w:val="00492F02"/>
    <w:rsid w:val="004939AE"/>
    <w:rsid w:val="004A12DF"/>
    <w:rsid w:val="004A1BA8"/>
    <w:rsid w:val="004A35C2"/>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FB8"/>
    <w:rsid w:val="004F391A"/>
    <w:rsid w:val="004F3CFB"/>
    <w:rsid w:val="004F6456"/>
    <w:rsid w:val="004F696E"/>
    <w:rsid w:val="004F6C71"/>
    <w:rsid w:val="00501139"/>
    <w:rsid w:val="0050363E"/>
    <w:rsid w:val="005039BC"/>
    <w:rsid w:val="005043BB"/>
    <w:rsid w:val="00504A3D"/>
    <w:rsid w:val="00505767"/>
    <w:rsid w:val="00506870"/>
    <w:rsid w:val="005073F0"/>
    <w:rsid w:val="00510A7B"/>
    <w:rsid w:val="00512F6E"/>
    <w:rsid w:val="00513038"/>
    <w:rsid w:val="00514174"/>
    <w:rsid w:val="00514E8E"/>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656"/>
    <w:rsid w:val="00573D9E"/>
    <w:rsid w:val="005801E3"/>
    <w:rsid w:val="00581802"/>
    <w:rsid w:val="005836A8"/>
    <w:rsid w:val="0058409C"/>
    <w:rsid w:val="00584262"/>
    <w:rsid w:val="00586630"/>
    <w:rsid w:val="00587ADD"/>
    <w:rsid w:val="00593655"/>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186"/>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F38"/>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0C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A1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402D"/>
    <w:rsid w:val="006C5A62"/>
    <w:rsid w:val="006C5D68"/>
    <w:rsid w:val="006C6976"/>
    <w:rsid w:val="006C6A70"/>
    <w:rsid w:val="006C6DD0"/>
    <w:rsid w:val="006D04EA"/>
    <w:rsid w:val="006D16C4"/>
    <w:rsid w:val="006D3E96"/>
    <w:rsid w:val="006D4515"/>
    <w:rsid w:val="006D4BB1"/>
    <w:rsid w:val="006D6593"/>
    <w:rsid w:val="006E0769"/>
    <w:rsid w:val="006E566C"/>
    <w:rsid w:val="006F03A8"/>
    <w:rsid w:val="006F2ACA"/>
    <w:rsid w:val="006F2ADC"/>
    <w:rsid w:val="006F2BFE"/>
    <w:rsid w:val="006F31E9"/>
    <w:rsid w:val="006F6284"/>
    <w:rsid w:val="007002C5"/>
    <w:rsid w:val="007003F0"/>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381"/>
    <w:rsid w:val="007439EB"/>
    <w:rsid w:val="00743CB4"/>
    <w:rsid w:val="00743F0A"/>
    <w:rsid w:val="007444E8"/>
    <w:rsid w:val="0074548E"/>
    <w:rsid w:val="00745773"/>
    <w:rsid w:val="00746800"/>
    <w:rsid w:val="007501A8"/>
    <w:rsid w:val="00750D61"/>
    <w:rsid w:val="00750EE1"/>
    <w:rsid w:val="007529AC"/>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65E"/>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D4C"/>
    <w:rsid w:val="007C2D89"/>
    <w:rsid w:val="007C4593"/>
    <w:rsid w:val="007C5309"/>
    <w:rsid w:val="007C6069"/>
    <w:rsid w:val="007D06C4"/>
    <w:rsid w:val="007D1352"/>
    <w:rsid w:val="007D2508"/>
    <w:rsid w:val="007D346A"/>
    <w:rsid w:val="007D3681"/>
    <w:rsid w:val="007D6518"/>
    <w:rsid w:val="007D76BD"/>
    <w:rsid w:val="007E0BF1"/>
    <w:rsid w:val="007E6324"/>
    <w:rsid w:val="007F0ED8"/>
    <w:rsid w:val="007F0F63"/>
    <w:rsid w:val="007F7458"/>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4DF"/>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643"/>
    <w:rsid w:val="00863E05"/>
    <w:rsid w:val="00865ACA"/>
    <w:rsid w:val="00865D28"/>
    <w:rsid w:val="00865F85"/>
    <w:rsid w:val="00867C10"/>
    <w:rsid w:val="00870439"/>
    <w:rsid w:val="00870DA1"/>
    <w:rsid w:val="0087714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45E"/>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4DD3"/>
    <w:rsid w:val="008F70BD"/>
    <w:rsid w:val="008F788F"/>
    <w:rsid w:val="008F7EA2"/>
    <w:rsid w:val="0090106A"/>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7D7"/>
    <w:rsid w:val="0095496B"/>
    <w:rsid w:val="00960F1E"/>
    <w:rsid w:val="009610DC"/>
    <w:rsid w:val="00961490"/>
    <w:rsid w:val="00962F3D"/>
    <w:rsid w:val="0096381A"/>
    <w:rsid w:val="00965E04"/>
    <w:rsid w:val="009674AD"/>
    <w:rsid w:val="00970CDC"/>
    <w:rsid w:val="00975727"/>
    <w:rsid w:val="00976910"/>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EC8"/>
    <w:rsid w:val="009A21CD"/>
    <w:rsid w:val="009A278C"/>
    <w:rsid w:val="009A2BC2"/>
    <w:rsid w:val="009A42C1"/>
    <w:rsid w:val="009A5429"/>
    <w:rsid w:val="009A6047"/>
    <w:rsid w:val="009A72AD"/>
    <w:rsid w:val="009B09E0"/>
    <w:rsid w:val="009B0BC5"/>
    <w:rsid w:val="009B1247"/>
    <w:rsid w:val="009B6029"/>
    <w:rsid w:val="009B6971"/>
    <w:rsid w:val="009C27F1"/>
    <w:rsid w:val="009C3152"/>
    <w:rsid w:val="009C3257"/>
    <w:rsid w:val="009C4CFA"/>
    <w:rsid w:val="009C5070"/>
    <w:rsid w:val="009C5B73"/>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960"/>
    <w:rsid w:val="00A14C8E"/>
    <w:rsid w:val="00A153D9"/>
    <w:rsid w:val="00A15F09"/>
    <w:rsid w:val="00A169B6"/>
    <w:rsid w:val="00A2271D"/>
    <w:rsid w:val="00A237D5"/>
    <w:rsid w:val="00A30EFC"/>
    <w:rsid w:val="00A31984"/>
    <w:rsid w:val="00A31CC3"/>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E61"/>
    <w:rsid w:val="00A648CD"/>
    <w:rsid w:val="00A6537A"/>
    <w:rsid w:val="00A67866"/>
    <w:rsid w:val="00A70B07"/>
    <w:rsid w:val="00A723F8"/>
    <w:rsid w:val="00A740A0"/>
    <w:rsid w:val="00A77CCB"/>
    <w:rsid w:val="00A83D8D"/>
    <w:rsid w:val="00A8446B"/>
    <w:rsid w:val="00A8473F"/>
    <w:rsid w:val="00A862D6"/>
    <w:rsid w:val="00A8715E"/>
    <w:rsid w:val="00A9295B"/>
    <w:rsid w:val="00A93B09"/>
    <w:rsid w:val="00A952D7"/>
    <w:rsid w:val="00A963F7"/>
    <w:rsid w:val="00A96AD8"/>
    <w:rsid w:val="00AA052C"/>
    <w:rsid w:val="00AA1E45"/>
    <w:rsid w:val="00AA2B73"/>
    <w:rsid w:val="00AA4286"/>
    <w:rsid w:val="00AA456B"/>
    <w:rsid w:val="00AA57F5"/>
    <w:rsid w:val="00AA672E"/>
    <w:rsid w:val="00AA6EC9"/>
    <w:rsid w:val="00AB02F3"/>
    <w:rsid w:val="00AB4665"/>
    <w:rsid w:val="00AB6309"/>
    <w:rsid w:val="00AB6C5F"/>
    <w:rsid w:val="00AB7129"/>
    <w:rsid w:val="00AB7A60"/>
    <w:rsid w:val="00AC27A6"/>
    <w:rsid w:val="00AC30F7"/>
    <w:rsid w:val="00AC3A5A"/>
    <w:rsid w:val="00AC4D95"/>
    <w:rsid w:val="00AC5DF4"/>
    <w:rsid w:val="00AC661D"/>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5976"/>
    <w:rsid w:val="00B00F97"/>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4A3"/>
    <w:rsid w:val="00B440F4"/>
    <w:rsid w:val="00B447A5"/>
    <w:rsid w:val="00B45DF3"/>
    <w:rsid w:val="00B4654C"/>
    <w:rsid w:val="00B47293"/>
    <w:rsid w:val="00B50E50"/>
    <w:rsid w:val="00B52120"/>
    <w:rsid w:val="00B54ABC"/>
    <w:rsid w:val="00B56FBE"/>
    <w:rsid w:val="00B60ACF"/>
    <w:rsid w:val="00B625C9"/>
    <w:rsid w:val="00B62B58"/>
    <w:rsid w:val="00B65149"/>
    <w:rsid w:val="00B66567"/>
    <w:rsid w:val="00B66F52"/>
    <w:rsid w:val="00B66FE5"/>
    <w:rsid w:val="00B72880"/>
    <w:rsid w:val="00B758BF"/>
    <w:rsid w:val="00B75C87"/>
    <w:rsid w:val="00B77EC8"/>
    <w:rsid w:val="00B827A6"/>
    <w:rsid w:val="00B831CE"/>
    <w:rsid w:val="00B86677"/>
    <w:rsid w:val="00B87131"/>
    <w:rsid w:val="00B928D7"/>
    <w:rsid w:val="00B939B1"/>
    <w:rsid w:val="00B96D40"/>
    <w:rsid w:val="00B97386"/>
    <w:rsid w:val="00BA1131"/>
    <w:rsid w:val="00BA263B"/>
    <w:rsid w:val="00BA42B2"/>
    <w:rsid w:val="00BA58D4"/>
    <w:rsid w:val="00BA5B9E"/>
    <w:rsid w:val="00BA7C9A"/>
    <w:rsid w:val="00BB3CD2"/>
    <w:rsid w:val="00BB5D99"/>
    <w:rsid w:val="00BB5F8F"/>
    <w:rsid w:val="00BB657A"/>
    <w:rsid w:val="00BC1A4E"/>
    <w:rsid w:val="00BC5DC7"/>
    <w:rsid w:val="00BC6B8B"/>
    <w:rsid w:val="00BC73D8"/>
    <w:rsid w:val="00BD52D7"/>
    <w:rsid w:val="00BD5AD2"/>
    <w:rsid w:val="00BD5C4C"/>
    <w:rsid w:val="00BE22F3"/>
    <w:rsid w:val="00BE5B52"/>
    <w:rsid w:val="00BE7B8D"/>
    <w:rsid w:val="00BF0993"/>
    <w:rsid w:val="00BF10A9"/>
    <w:rsid w:val="00BF1703"/>
    <w:rsid w:val="00BF231C"/>
    <w:rsid w:val="00BF4062"/>
    <w:rsid w:val="00BF51E5"/>
    <w:rsid w:val="00BF74A6"/>
    <w:rsid w:val="00C013AD"/>
    <w:rsid w:val="00C04904"/>
    <w:rsid w:val="00C056B3"/>
    <w:rsid w:val="00C103E5"/>
    <w:rsid w:val="00C13319"/>
    <w:rsid w:val="00C13EE9"/>
    <w:rsid w:val="00C14193"/>
    <w:rsid w:val="00C15C2B"/>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4CA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8BD"/>
    <w:rsid w:val="00C92D03"/>
    <w:rsid w:val="00C9319C"/>
    <w:rsid w:val="00C9435D"/>
    <w:rsid w:val="00C94DF2"/>
    <w:rsid w:val="00C96741"/>
    <w:rsid w:val="00CA2A9E"/>
    <w:rsid w:val="00CA2D1B"/>
    <w:rsid w:val="00CA375D"/>
    <w:rsid w:val="00CA662A"/>
    <w:rsid w:val="00CA7AFD"/>
    <w:rsid w:val="00CA7C3C"/>
    <w:rsid w:val="00CB0189"/>
    <w:rsid w:val="00CB0BA2"/>
    <w:rsid w:val="00CB1A42"/>
    <w:rsid w:val="00CB1B0C"/>
    <w:rsid w:val="00CB2C0B"/>
    <w:rsid w:val="00CB4844"/>
    <w:rsid w:val="00CB517D"/>
    <w:rsid w:val="00CB6010"/>
    <w:rsid w:val="00CC038D"/>
    <w:rsid w:val="00CC08DB"/>
    <w:rsid w:val="00CC39FF"/>
    <w:rsid w:val="00CC3C2F"/>
    <w:rsid w:val="00CC4AC8"/>
    <w:rsid w:val="00CC5233"/>
    <w:rsid w:val="00CC5DE6"/>
    <w:rsid w:val="00CC6E4E"/>
    <w:rsid w:val="00CC6FE8"/>
    <w:rsid w:val="00CC7202"/>
    <w:rsid w:val="00CD1788"/>
    <w:rsid w:val="00CD2808"/>
    <w:rsid w:val="00CD28BF"/>
    <w:rsid w:val="00CD4092"/>
    <w:rsid w:val="00CD4A20"/>
    <w:rsid w:val="00CD50A1"/>
    <w:rsid w:val="00CD519E"/>
    <w:rsid w:val="00CE0C4F"/>
    <w:rsid w:val="00CE30EA"/>
    <w:rsid w:val="00CE72D4"/>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5FA6"/>
    <w:rsid w:val="00D2661A"/>
    <w:rsid w:val="00D27582"/>
    <w:rsid w:val="00D27EC4"/>
    <w:rsid w:val="00D32719"/>
    <w:rsid w:val="00D33333"/>
    <w:rsid w:val="00D352A2"/>
    <w:rsid w:val="00D357BF"/>
    <w:rsid w:val="00D35961"/>
    <w:rsid w:val="00D4162B"/>
    <w:rsid w:val="00D4514F"/>
    <w:rsid w:val="00D451E2"/>
    <w:rsid w:val="00D45E89"/>
    <w:rsid w:val="00D45E8D"/>
    <w:rsid w:val="00D466AE"/>
    <w:rsid w:val="00D4734F"/>
    <w:rsid w:val="00D517E2"/>
    <w:rsid w:val="00D51BF3"/>
    <w:rsid w:val="00D66846"/>
    <w:rsid w:val="00D675FB"/>
    <w:rsid w:val="00D71F25"/>
    <w:rsid w:val="00D72A9C"/>
    <w:rsid w:val="00D75D59"/>
    <w:rsid w:val="00D77031"/>
    <w:rsid w:val="00D84941"/>
    <w:rsid w:val="00D84FA1"/>
    <w:rsid w:val="00D851F0"/>
    <w:rsid w:val="00D86DB7"/>
    <w:rsid w:val="00D87BF5"/>
    <w:rsid w:val="00D90721"/>
    <w:rsid w:val="00D926D0"/>
    <w:rsid w:val="00D93030"/>
    <w:rsid w:val="00D937DC"/>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3339"/>
    <w:rsid w:val="00E1361F"/>
    <w:rsid w:val="00E15CCD"/>
    <w:rsid w:val="00E202EF"/>
    <w:rsid w:val="00E210B5"/>
    <w:rsid w:val="00E2552F"/>
    <w:rsid w:val="00E3137A"/>
    <w:rsid w:val="00E32CCF"/>
    <w:rsid w:val="00E34A98"/>
    <w:rsid w:val="00E35D1E"/>
    <w:rsid w:val="00E364F9"/>
    <w:rsid w:val="00E365FA"/>
    <w:rsid w:val="00E36789"/>
    <w:rsid w:val="00E40377"/>
    <w:rsid w:val="00E44A83"/>
    <w:rsid w:val="00E502C1"/>
    <w:rsid w:val="00E502DD"/>
    <w:rsid w:val="00E50D3A"/>
    <w:rsid w:val="00E51387"/>
    <w:rsid w:val="00E51E68"/>
    <w:rsid w:val="00E52570"/>
    <w:rsid w:val="00E52D36"/>
    <w:rsid w:val="00E52EFD"/>
    <w:rsid w:val="00E5408A"/>
    <w:rsid w:val="00E56800"/>
    <w:rsid w:val="00E60C63"/>
    <w:rsid w:val="00E62FF9"/>
    <w:rsid w:val="00E635D6"/>
    <w:rsid w:val="00E639BC"/>
    <w:rsid w:val="00E664CC"/>
    <w:rsid w:val="00E70388"/>
    <w:rsid w:val="00E70F92"/>
    <w:rsid w:val="00E71395"/>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8EF"/>
    <w:rsid w:val="00EA1C9C"/>
    <w:rsid w:val="00EA58D1"/>
    <w:rsid w:val="00EA61BC"/>
    <w:rsid w:val="00EA681A"/>
    <w:rsid w:val="00EA735B"/>
    <w:rsid w:val="00EB1E69"/>
    <w:rsid w:val="00EB2086"/>
    <w:rsid w:val="00EB31ED"/>
    <w:rsid w:val="00EB5EDF"/>
    <w:rsid w:val="00EB60FE"/>
    <w:rsid w:val="00EB74DB"/>
    <w:rsid w:val="00EC21BD"/>
    <w:rsid w:val="00EC5359"/>
    <w:rsid w:val="00EC562A"/>
    <w:rsid w:val="00EC7C8E"/>
    <w:rsid w:val="00ED067A"/>
    <w:rsid w:val="00ED2B50"/>
    <w:rsid w:val="00EE0350"/>
    <w:rsid w:val="00EE0719"/>
    <w:rsid w:val="00EE0E80"/>
    <w:rsid w:val="00EE613F"/>
    <w:rsid w:val="00EE7295"/>
    <w:rsid w:val="00EE7869"/>
    <w:rsid w:val="00EF054A"/>
    <w:rsid w:val="00EF3235"/>
    <w:rsid w:val="00EF7C7B"/>
    <w:rsid w:val="00EF7E72"/>
    <w:rsid w:val="00F04715"/>
    <w:rsid w:val="00F06086"/>
    <w:rsid w:val="00F06D37"/>
    <w:rsid w:val="00F07B9D"/>
    <w:rsid w:val="00F11586"/>
    <w:rsid w:val="00F1183B"/>
    <w:rsid w:val="00F11C9F"/>
    <w:rsid w:val="00F12263"/>
    <w:rsid w:val="00F1409D"/>
    <w:rsid w:val="00F14214"/>
    <w:rsid w:val="00F157A9"/>
    <w:rsid w:val="00F16F00"/>
    <w:rsid w:val="00F20635"/>
    <w:rsid w:val="00F25BB6"/>
    <w:rsid w:val="00F26B7E"/>
    <w:rsid w:val="00F27A3B"/>
    <w:rsid w:val="00F33817"/>
    <w:rsid w:val="00F3452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DC3"/>
    <w:rsid w:val="00F846AF"/>
    <w:rsid w:val="00F84FD0"/>
    <w:rsid w:val="00F859A8"/>
    <w:rsid w:val="00F86D87"/>
    <w:rsid w:val="00F9108B"/>
    <w:rsid w:val="00F91349"/>
    <w:rsid w:val="00F93A8A"/>
    <w:rsid w:val="00F95248"/>
    <w:rsid w:val="00F956A9"/>
    <w:rsid w:val="00F963ED"/>
    <w:rsid w:val="00F966CF"/>
    <w:rsid w:val="00F96CAE"/>
    <w:rsid w:val="00F9782D"/>
    <w:rsid w:val="00F97C99"/>
    <w:rsid w:val="00FA662D"/>
    <w:rsid w:val="00FA73B1"/>
    <w:rsid w:val="00FB0CB9"/>
    <w:rsid w:val="00FB231D"/>
    <w:rsid w:val="00FB45F1"/>
    <w:rsid w:val="00FB4A72"/>
    <w:rsid w:val="00FB54E8"/>
    <w:rsid w:val="00FB7054"/>
    <w:rsid w:val="00FC17B7"/>
    <w:rsid w:val="00FC2CB7"/>
    <w:rsid w:val="00FC4090"/>
    <w:rsid w:val="00FC55B4"/>
    <w:rsid w:val="00FD0056"/>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496EE6"/>
    <w:rsid w:val="08A9789D"/>
    <w:rsid w:val="08EB6ADA"/>
    <w:rsid w:val="16110064"/>
    <w:rsid w:val="173069C1"/>
    <w:rsid w:val="1D320E51"/>
    <w:rsid w:val="2FBC4D4D"/>
    <w:rsid w:val="326D5DC3"/>
    <w:rsid w:val="34637C50"/>
    <w:rsid w:val="347E0B1D"/>
    <w:rsid w:val="35AA485D"/>
    <w:rsid w:val="3681583F"/>
    <w:rsid w:val="38E64E39"/>
    <w:rsid w:val="42AF0741"/>
    <w:rsid w:val="4AF039A1"/>
    <w:rsid w:val="4BCA1434"/>
    <w:rsid w:val="4BD82C07"/>
    <w:rsid w:val="4E904B1F"/>
    <w:rsid w:val="4F2B0E6E"/>
    <w:rsid w:val="52EE03C2"/>
    <w:rsid w:val="5446232B"/>
    <w:rsid w:val="59C93223"/>
    <w:rsid w:val="5A912E5B"/>
    <w:rsid w:val="6139161F"/>
    <w:rsid w:val="6BC37928"/>
    <w:rsid w:val="6EE178D5"/>
    <w:rsid w:val="73EC5E11"/>
    <w:rsid w:val="770A3447"/>
    <w:rsid w:val="7BA1096B"/>
    <w:rsid w:val="7D9737FA"/>
    <w:rsid w:val="7E63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basedOn w:val="1"/>
    <w:link w:val="231"/>
    <w:qFormat/>
    <w:uiPriority w:val="0"/>
    <w:pPr>
      <w:spacing w:line="240" w:lineRule="auto"/>
      <w:ind w:firstLine="420" w:firstLineChars="200"/>
    </w:pPr>
    <w:rPr>
      <w:rFonts w:ascii="Times New Roman" w:hAnsi="Times New Roman" w:cs="Calibri"/>
    </w:rPr>
  </w:style>
  <w:style w:type="character" w:customStyle="1" w:styleId="231">
    <w:name w:val="段 字符"/>
    <w:basedOn w:val="28"/>
    <w:link w:val="230"/>
    <w:qFormat/>
    <w:uiPriority w:val="0"/>
    <w:rPr>
      <w:rFonts w:ascii="Times New Roman" w:hAnsi="Times New Roman" w:cs="Calibri"/>
      <w:kern w:val="2"/>
      <w:sz w:val="21"/>
      <w:szCs w:val="21"/>
    </w:rPr>
  </w:style>
  <w:style w:type="paragraph" w:customStyle="1" w:styleId="232">
    <w:name w:val="1章标题"/>
    <w:next w:val="56"/>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233">
    <w:name w:val="一级条标题"/>
    <w:basedOn w:val="105"/>
    <w:next w:val="230"/>
    <w:link w:val="234"/>
    <w:qFormat/>
    <w:uiPriority w:val="0"/>
    <w:pPr>
      <w:numPr>
        <w:numId w:val="1"/>
      </w:numPr>
      <w:tabs>
        <w:tab w:val="left" w:pos="1646"/>
        <w:tab w:val="left" w:pos="2258"/>
      </w:tabs>
      <w:spacing w:before="156" w:after="156"/>
    </w:pPr>
    <w:rPr>
      <w:rFonts w:ascii="Times New Roman" w:cs="黑体"/>
      <w:szCs w:val="21"/>
    </w:rPr>
  </w:style>
  <w:style w:type="character" w:customStyle="1" w:styleId="234">
    <w:name w:val="一级条标题 字符"/>
    <w:basedOn w:val="28"/>
    <w:link w:val="233"/>
    <w:qFormat/>
    <w:uiPriority w:val="0"/>
    <w:rPr>
      <w:rFonts w:ascii="Times New Roman" w:hAnsi="Times New Roman" w:eastAsia="黑体" w:cs="黑体"/>
      <w:sz w:val="21"/>
      <w:szCs w:val="21"/>
    </w:rPr>
  </w:style>
  <w:style w:type="paragraph" w:customStyle="1" w:styleId="235">
    <w:name w:val="二级条标题"/>
    <w:basedOn w:val="65"/>
    <w:next w:val="230"/>
    <w:link w:val="236"/>
    <w:qFormat/>
    <w:uiPriority w:val="0"/>
    <w:pPr>
      <w:numPr>
        <w:numId w:val="1"/>
      </w:numPr>
      <w:tabs>
        <w:tab w:val="left" w:pos="2678"/>
      </w:tabs>
      <w:ind w:left="0" w:firstLine="0"/>
    </w:pPr>
    <w:rPr>
      <w:rFonts w:ascii="Times New Roman" w:cs="黑体"/>
      <w:szCs w:val="21"/>
    </w:rPr>
  </w:style>
  <w:style w:type="character" w:customStyle="1" w:styleId="236">
    <w:name w:val="二级条标题 字符"/>
    <w:basedOn w:val="28"/>
    <w:link w:val="235"/>
    <w:qFormat/>
    <w:uiPriority w:val="0"/>
    <w:rPr>
      <w:rFonts w:ascii="Times New Roman" w:hAnsi="Times New Roman" w:eastAsia="黑体" w:cs="黑体"/>
      <w:sz w:val="21"/>
      <w:szCs w:val="21"/>
    </w:rPr>
  </w:style>
  <w:style w:type="paragraph" w:customStyle="1" w:styleId="237">
    <w:name w:val="正文图题"/>
    <w:basedOn w:val="23"/>
    <w:next w:val="230"/>
    <w:qFormat/>
    <w:uiPriority w:val="0"/>
    <w:pPr>
      <w:numPr>
        <w:ilvl w:val="0"/>
        <w:numId w:val="32"/>
      </w:numPr>
      <w:adjustRightInd w:val="0"/>
      <w:spacing w:before="50" w:beforeLines="50" w:after="50" w:afterLines="50"/>
      <w:ind w:left="0" w:firstLine="0"/>
      <w:jc w:val="center"/>
    </w:pPr>
    <w:rPr>
      <w:rFonts w:ascii="Times New Roman" w:hAnsi="Times New Roman" w:eastAsia="黑体" w:cs="Calibri"/>
      <w:szCs w:val="21"/>
    </w:rPr>
  </w:style>
  <w:style w:type="paragraph" w:customStyle="1" w:styleId="238">
    <w:name w:val="章标题"/>
    <w:basedOn w:val="232"/>
    <w:next w:val="230"/>
    <w:link w:val="239"/>
    <w:qFormat/>
    <w:uiPriority w:val="0"/>
    <w:pPr>
      <w:numPr>
        <w:ilvl w:val="1"/>
        <w:numId w:val="1"/>
      </w:numPr>
      <w:tabs>
        <w:tab w:val="clear" w:pos="1838"/>
      </w:tabs>
      <w:spacing w:before="312" w:beforeLines="100" w:after="312" w:afterLines="100"/>
      <w:ind w:left="0" w:firstLine="0"/>
    </w:pPr>
    <w:rPr>
      <w:rFonts w:ascii="Times New Roman"/>
    </w:rPr>
  </w:style>
  <w:style w:type="character" w:customStyle="1" w:styleId="239">
    <w:name w:val="章标题 字符"/>
    <w:basedOn w:val="28"/>
    <w:link w:val="238"/>
    <w:qFormat/>
    <w:uiPriority w:val="0"/>
    <w:rPr>
      <w:rFonts w:ascii="Times New Roman" w:hAnsi="Times New Roman" w:eastAsia="黑体" w:cs="黑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656C0B2BBCE4372A56A9725FD00371C"/>
        <w:style w:val=""/>
        <w:category>
          <w:name w:val="常规"/>
          <w:gallery w:val="placeholder"/>
        </w:category>
        <w:types>
          <w:type w:val="bbPlcHdr"/>
        </w:types>
        <w:behaviors>
          <w:behavior w:val="content"/>
        </w:behaviors>
        <w:description w:val=""/>
        <w:guid w:val="{60D48B2C-5B2C-42D0-8513-130AA1A0E749}"/>
      </w:docPartPr>
      <w:docPartBody>
        <w:p w14:paraId="543A571D">
          <w:pPr>
            <w:pStyle w:val="5"/>
            <w:rPr>
              <w:rFonts w:hint="eastAsia"/>
            </w:rPr>
          </w:pPr>
          <w:r>
            <w:rPr>
              <w:rStyle w:val="4"/>
              <w:rFonts w:hint="eastAsia"/>
            </w:rPr>
            <w:t>单击或点击此处输入文字。</w:t>
          </w:r>
        </w:p>
      </w:docPartBody>
    </w:docPart>
    <w:docPart>
      <w:docPartPr>
        <w:name w:val="7927301156B74BB69B18519C33749E9B"/>
        <w:style w:val=""/>
        <w:category>
          <w:name w:val="常规"/>
          <w:gallery w:val="placeholder"/>
        </w:category>
        <w:types>
          <w:type w:val="bbPlcHdr"/>
        </w:types>
        <w:behaviors>
          <w:behavior w:val="content"/>
        </w:behaviors>
        <w:description w:val=""/>
        <w:guid w:val="{E7CD2E5C-D563-44CE-94BE-C13B07487548}"/>
      </w:docPartPr>
      <w:docPartBody>
        <w:p w14:paraId="24880D2E">
          <w:pPr>
            <w:pStyle w:val="6"/>
            <w:rPr>
              <w:rFonts w:hint="eastAsia"/>
            </w:rPr>
          </w:pPr>
          <w:r>
            <w:rPr>
              <w:rStyle w:val="4"/>
              <w:rFonts w:hint="eastAsia"/>
            </w:rPr>
            <w:t>选择一项。</w:t>
          </w:r>
        </w:p>
      </w:docPartBody>
    </w:docPart>
    <w:docPart>
      <w:docPartPr>
        <w:name w:val="14F93C733903408391A1E5B083029C4C"/>
        <w:style w:val=""/>
        <w:category>
          <w:name w:val="常规"/>
          <w:gallery w:val="placeholder"/>
        </w:category>
        <w:types>
          <w:type w:val="bbPlcHdr"/>
        </w:types>
        <w:behaviors>
          <w:behavior w:val="content"/>
        </w:behaviors>
        <w:description w:val=""/>
        <w:guid w:val="{48812D09-3E2A-42B9-BD6D-325CCB47D2E1}"/>
      </w:docPartPr>
      <w:docPartBody>
        <w:p w14:paraId="4F39785A">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C3"/>
    <w:rsid w:val="00011719"/>
    <w:rsid w:val="001D0DB2"/>
    <w:rsid w:val="00223CEA"/>
    <w:rsid w:val="002423C3"/>
    <w:rsid w:val="002A0E1E"/>
    <w:rsid w:val="002D2DB1"/>
    <w:rsid w:val="00511C9D"/>
    <w:rsid w:val="00672A10"/>
    <w:rsid w:val="006E0769"/>
    <w:rsid w:val="006F7F22"/>
    <w:rsid w:val="00845BDA"/>
    <w:rsid w:val="008C5C0C"/>
    <w:rsid w:val="00981E8D"/>
    <w:rsid w:val="009B1CB8"/>
    <w:rsid w:val="00A82615"/>
    <w:rsid w:val="00AC661D"/>
    <w:rsid w:val="00AE093C"/>
    <w:rsid w:val="00B625C9"/>
    <w:rsid w:val="00BD4EAE"/>
    <w:rsid w:val="00BE69EC"/>
    <w:rsid w:val="00C14193"/>
    <w:rsid w:val="00C52270"/>
    <w:rsid w:val="00D12136"/>
    <w:rsid w:val="00D16BA4"/>
    <w:rsid w:val="00D2335A"/>
    <w:rsid w:val="00F651CA"/>
    <w:rsid w:val="00FD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656C0B2BBCE4372A56A9725FD0037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927301156B74BB69B18519C33749E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4F93C733903408391A1E5B083029C4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3803</Words>
  <Characters>4030</Characters>
  <Lines>134</Lines>
  <Paragraphs>186</Paragraphs>
  <TotalTime>1</TotalTime>
  <ScaleCrop>false</ScaleCrop>
  <LinksUpToDate>false</LinksUpToDate>
  <CharactersWithSpaces>4138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2025-11-02T01:14:00Z</dcterms:created>
  <dc:creator>Dell</dc:creator>
  <dc:description>&lt;config cover="true" show_menu="true" version="1.0.0" doctype="SDKXY"&gt;_x000d_
&lt;/config&gt;</dc:description>
  <cp:lastModifiedBy>菲儿</cp:lastModifiedBy>
  <cp:lastPrinted>2021-02-02T08:22:00Z</cp:lastPrinted>
  <dcterms:modified xsi:type="dcterms:W3CDTF">2025-11-10T08:16:22Z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1493A5645576472E9A84A9912F7E674B</vt:lpwstr>
  </property>
  <property fmtid="{D5CDD505-2E9C-101B-9397-08002B2CF9AE}" pid="16" name="KSOTemplateDocerSaveRecord">
    <vt:lpwstr>eyJoZGlkIjoiN2E5ZGE4MTMwMzdjOGVkZDZlN2Y5OWNiNTFkZThjNjIiLCJ1c2VySWQiOiI0NjkzMTgyMjcifQ==</vt:lpwstr>
  </property>
</Properties>
</file>