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7A4F8">
      <w:pPr>
        <w:pStyle w:val="9"/>
        <w:spacing w:before="77"/>
        <w:ind w:left="997" w:firstLine="866"/>
        <w:rPr>
          <w:rFonts w:hint="eastAsia" w:ascii="宋体" w:hAnsi="宋体" w:eastAsia="宋体" w:cs="宋体"/>
          <w:spacing w:val="-7"/>
          <w:lang w:val="en-US" w:eastAsia="zh-CN"/>
        </w:rPr>
      </w:pPr>
      <w:r>
        <w:rPr>
          <w:rFonts w:hint="eastAsia" w:ascii="宋体" w:hAnsi="宋体" w:eastAsia="宋体" w:cs="宋体"/>
          <w:spacing w:val="-7"/>
          <w:lang w:val="en-US" w:eastAsia="zh-CN"/>
        </w:rPr>
        <w:t>《</w:t>
      </w:r>
      <w:r>
        <w:rPr>
          <w:rFonts w:hint="eastAsia" w:cs="宋体"/>
          <w:spacing w:val="-7"/>
          <w:lang w:val="en-US" w:eastAsia="zh-CN"/>
        </w:rPr>
        <w:t>海南消费领域区域公共品牌服务业 通用要求</w:t>
      </w:r>
      <w:r>
        <w:rPr>
          <w:rFonts w:hint="eastAsia" w:ascii="宋体" w:hAnsi="宋体" w:eastAsia="宋体" w:cs="宋体"/>
          <w:spacing w:val="-7"/>
          <w:lang w:val="en-US" w:eastAsia="zh-CN"/>
        </w:rPr>
        <w:t>》</w:t>
      </w:r>
    </w:p>
    <w:p w14:paraId="3F2DEC06">
      <w:pPr>
        <w:pStyle w:val="9"/>
        <w:spacing w:before="77"/>
        <w:ind w:left="997" w:firstLine="866"/>
        <w:rPr>
          <w:rFonts w:hint="eastAsia" w:ascii="宋体" w:hAnsi="宋体" w:eastAsia="宋体" w:cs="宋体"/>
          <w:spacing w:val="-7"/>
          <w:lang w:val="en-US" w:eastAsia="zh-CN"/>
        </w:rPr>
      </w:pPr>
      <w:r>
        <w:rPr>
          <w:rFonts w:hint="eastAsia" w:ascii="宋体" w:hAnsi="宋体" w:eastAsia="宋体" w:cs="宋体"/>
          <w:spacing w:val="-7"/>
          <w:lang w:val="en-US" w:eastAsia="zh-CN"/>
        </w:rPr>
        <w:t>团体标准编制说明</w:t>
      </w:r>
    </w:p>
    <w:p w14:paraId="5FC46C6F">
      <w:pPr>
        <w:pStyle w:val="5"/>
        <w:spacing w:before="12"/>
        <w:ind w:left="0" w:firstLine="1240"/>
        <w:rPr>
          <w:sz w:val="62"/>
        </w:rPr>
      </w:pPr>
    </w:p>
    <w:p w14:paraId="0D80B864">
      <w:pPr>
        <w:pStyle w:val="2"/>
        <w:rPr>
          <w:rFonts w:hint="eastAsia" w:ascii="Times New Roman" w:hAnsi="Times New Roman" w:eastAsia="仿宋"/>
          <w:sz w:val="30"/>
        </w:rPr>
      </w:pPr>
      <w:r>
        <w:rPr>
          <w:rFonts w:hint="eastAsia" w:ascii="Times New Roman" w:hAnsi="Times New Roman" w:eastAsia="仿宋"/>
          <w:sz w:val="30"/>
        </w:rPr>
        <w:t>一、项目简况</w:t>
      </w:r>
    </w:p>
    <w:p w14:paraId="1E2E948B">
      <w:pPr>
        <w:pStyle w:val="2"/>
        <w:rPr>
          <w:rFonts w:hint="eastAsia" w:ascii="Times New Roman" w:hAnsi="Times New Roman" w:eastAsia="仿宋"/>
          <w:b w:val="0"/>
          <w:bCs w:val="0"/>
          <w:sz w:val="30"/>
        </w:rPr>
      </w:pPr>
      <w:r>
        <w:rPr>
          <w:rFonts w:hint="eastAsia" w:ascii="Times New Roman" w:hAnsi="Times New Roman" w:eastAsia="仿宋"/>
          <w:sz w:val="30"/>
        </w:rPr>
        <w:t>（一）标准名称：</w:t>
      </w:r>
      <w:r>
        <w:rPr>
          <w:rFonts w:hint="eastAsia" w:ascii="Times New Roman" w:hAnsi="Times New Roman" w:eastAsia="仿宋"/>
          <w:b w:val="0"/>
          <w:bCs w:val="0"/>
          <w:sz w:val="30"/>
        </w:rPr>
        <w:t>《</w:t>
      </w:r>
      <w:r>
        <w:rPr>
          <w:rFonts w:hint="eastAsia"/>
          <w:b w:val="0"/>
          <w:bCs w:val="0"/>
          <w:sz w:val="30"/>
          <w:lang w:eastAsia="zh-CN"/>
        </w:rPr>
        <w:t>海南消费领域区域公共品牌服务业 通用要求</w:t>
      </w:r>
      <w:r>
        <w:rPr>
          <w:rFonts w:hint="eastAsia" w:ascii="Times New Roman" w:hAnsi="Times New Roman" w:eastAsia="仿宋"/>
          <w:b w:val="0"/>
          <w:bCs w:val="0"/>
          <w:sz w:val="30"/>
        </w:rPr>
        <w:t xml:space="preserve"> 》。</w:t>
      </w:r>
    </w:p>
    <w:p w14:paraId="7C056585">
      <w:pPr>
        <w:pStyle w:val="2"/>
        <w:rPr>
          <w:rFonts w:hint="eastAsia" w:ascii="Times New Roman" w:hAnsi="Times New Roman" w:eastAsia="仿宋"/>
          <w:sz w:val="30"/>
          <w:lang w:val="en-US" w:eastAsia="zh-CN"/>
        </w:rPr>
      </w:pPr>
      <w:r>
        <w:rPr>
          <w:rFonts w:hint="eastAsia" w:ascii="Times New Roman" w:hAnsi="Times New Roman" w:eastAsia="仿宋"/>
          <w:sz w:val="30"/>
        </w:rPr>
        <w:t>（二）任务来源（项目计划号）：HNQA-2025-T1</w:t>
      </w:r>
      <w:r>
        <w:rPr>
          <w:rFonts w:hint="eastAsia" w:ascii="Times New Roman" w:hAnsi="Times New Roman" w:eastAsia="仿宋"/>
          <w:sz w:val="30"/>
          <w:lang w:val="en-US" w:eastAsia="zh-CN"/>
        </w:rPr>
        <w:t>2</w:t>
      </w:r>
    </w:p>
    <w:p w14:paraId="76149507">
      <w:pPr>
        <w:pStyle w:val="2"/>
        <w:rPr>
          <w:rFonts w:hint="eastAsia" w:ascii="Times New Roman" w:hAnsi="Times New Roman" w:eastAsia="仿宋"/>
          <w:sz w:val="30"/>
        </w:rPr>
      </w:pPr>
      <w:r>
        <w:rPr>
          <w:rFonts w:hint="eastAsia" w:ascii="Times New Roman" w:hAnsi="Times New Roman" w:eastAsia="仿宋"/>
          <w:sz w:val="30"/>
        </w:rPr>
        <w:t>（三）起草单位：</w:t>
      </w:r>
      <w:r>
        <w:rPr>
          <w:rFonts w:hint="eastAsia" w:ascii="Times New Roman" w:hAnsi="Times New Roman" w:eastAsia="仿宋"/>
          <w:sz w:val="30"/>
          <w:lang w:val="en-US" w:eastAsia="zh-CN"/>
        </w:rPr>
        <w:t>方圆标志认证集团有限公司</w:t>
      </w:r>
    </w:p>
    <w:p w14:paraId="0EA6152C">
      <w:pPr>
        <w:pStyle w:val="2"/>
        <w:rPr>
          <w:rFonts w:hint="eastAsia" w:ascii="Times New Roman" w:hAnsi="Times New Roman" w:eastAsia="仿宋"/>
          <w:sz w:val="30"/>
        </w:rPr>
      </w:pPr>
      <w:r>
        <w:rPr>
          <w:rFonts w:hint="eastAsia" w:ascii="Times New Roman" w:hAnsi="Times New Roman" w:eastAsia="仿宋"/>
          <w:sz w:val="30"/>
        </w:rPr>
        <w:t xml:space="preserve">（四）单位地址：北京市海淀区增光路33号 </w:t>
      </w:r>
    </w:p>
    <w:p w14:paraId="1486F48E">
      <w:pPr>
        <w:pStyle w:val="2"/>
        <w:rPr>
          <w:rFonts w:hint="default" w:ascii="Times New Roman" w:hAnsi="Times New Roman" w:eastAsia="仿宋"/>
          <w:sz w:val="30"/>
          <w:lang w:val="en-US"/>
        </w:rPr>
      </w:pPr>
      <w:r>
        <w:rPr>
          <w:rFonts w:hint="eastAsia" w:ascii="Times New Roman" w:hAnsi="Times New Roman" w:eastAsia="仿宋"/>
          <w:sz w:val="30"/>
        </w:rPr>
        <w:t>（五）参与起草单位：</w:t>
      </w:r>
    </w:p>
    <w:p w14:paraId="1860AE93">
      <w:pPr>
        <w:pStyle w:val="2"/>
        <w:rPr>
          <w:rFonts w:hint="eastAsia" w:ascii="Times New Roman" w:hAnsi="Times New Roman" w:eastAsia="仿宋"/>
          <w:sz w:val="30"/>
        </w:rPr>
      </w:pPr>
      <w:r>
        <w:rPr>
          <w:rFonts w:hint="eastAsia" w:ascii="Times New Roman" w:hAnsi="Times New Roman" w:eastAsia="仿宋"/>
          <w:sz w:val="30"/>
        </w:rPr>
        <w:t>（六）标准起草人：</w:t>
      </w:r>
    </w:p>
    <w:p w14:paraId="5015FFB7">
      <w:pPr>
        <w:ind w:firstLine="0" w:firstLineChars="0"/>
        <w:jc w:val="center"/>
        <w:rPr>
          <w:szCs w:val="28"/>
        </w:rPr>
      </w:pPr>
      <w:r>
        <w:rPr>
          <w:rFonts w:hint="eastAsia"/>
          <w:szCs w:val="28"/>
        </w:rPr>
        <w:t>表1</w:t>
      </w:r>
      <w:r>
        <w:rPr>
          <w:szCs w:val="28"/>
        </w:rPr>
        <w:t xml:space="preserve"> </w:t>
      </w:r>
      <w:r>
        <w:rPr>
          <w:rFonts w:hint="eastAsia"/>
          <w:szCs w:val="28"/>
        </w:rPr>
        <w:t>标准起草人</w:t>
      </w:r>
    </w:p>
    <w:p w14:paraId="76FFDFCD">
      <w:pPr>
        <w:pStyle w:val="5"/>
        <w:spacing w:before="10"/>
        <w:ind w:left="0" w:firstLine="140"/>
        <w:rPr>
          <w:sz w:val="7"/>
        </w:rPr>
      </w:pPr>
    </w:p>
    <w:tbl>
      <w:tblPr>
        <w:tblStyle w:val="14"/>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9"/>
        <w:gridCol w:w="1096"/>
        <w:gridCol w:w="1662"/>
        <w:gridCol w:w="874"/>
        <w:gridCol w:w="845"/>
        <w:gridCol w:w="2840"/>
        <w:gridCol w:w="1276"/>
      </w:tblGrid>
      <w:tr w14:paraId="225D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29" w:type="dxa"/>
            <w:vAlign w:val="center"/>
          </w:tcPr>
          <w:p w14:paraId="5139B0E2">
            <w:pPr>
              <w:pStyle w:val="16"/>
              <w:spacing w:before="75"/>
              <w:ind w:firstLine="0" w:firstLineChars="0"/>
              <w:jc w:val="center"/>
              <w:rPr>
                <w:sz w:val="24"/>
              </w:rPr>
            </w:pPr>
            <w:r>
              <w:rPr>
                <w:spacing w:val="-5"/>
                <w:sz w:val="24"/>
              </w:rPr>
              <w:t>序号</w:t>
            </w:r>
          </w:p>
        </w:tc>
        <w:tc>
          <w:tcPr>
            <w:tcW w:w="1096" w:type="dxa"/>
            <w:vAlign w:val="center"/>
          </w:tcPr>
          <w:p w14:paraId="2D43C038">
            <w:pPr>
              <w:pStyle w:val="16"/>
              <w:spacing w:before="75"/>
              <w:ind w:firstLine="0" w:firstLineChars="0"/>
              <w:jc w:val="center"/>
              <w:rPr>
                <w:sz w:val="24"/>
              </w:rPr>
            </w:pPr>
            <w:r>
              <w:rPr>
                <w:spacing w:val="-5"/>
                <w:sz w:val="24"/>
              </w:rPr>
              <w:t>姓名</w:t>
            </w:r>
          </w:p>
        </w:tc>
        <w:tc>
          <w:tcPr>
            <w:tcW w:w="1662" w:type="dxa"/>
            <w:vAlign w:val="center"/>
          </w:tcPr>
          <w:p w14:paraId="1B31F053">
            <w:pPr>
              <w:pStyle w:val="16"/>
              <w:spacing w:before="75"/>
              <w:ind w:firstLine="0" w:firstLineChars="0"/>
              <w:jc w:val="center"/>
              <w:rPr>
                <w:sz w:val="24"/>
              </w:rPr>
            </w:pPr>
            <w:r>
              <w:rPr>
                <w:spacing w:val="-5"/>
                <w:sz w:val="24"/>
              </w:rPr>
              <w:t>单位</w:t>
            </w:r>
          </w:p>
        </w:tc>
        <w:tc>
          <w:tcPr>
            <w:tcW w:w="874" w:type="dxa"/>
            <w:vAlign w:val="center"/>
          </w:tcPr>
          <w:p w14:paraId="65DD5AAB">
            <w:pPr>
              <w:pStyle w:val="16"/>
              <w:spacing w:before="75"/>
              <w:ind w:firstLine="0" w:firstLineChars="0"/>
              <w:jc w:val="center"/>
              <w:rPr>
                <w:sz w:val="24"/>
              </w:rPr>
            </w:pPr>
            <w:r>
              <w:rPr>
                <w:spacing w:val="-5"/>
                <w:sz w:val="24"/>
              </w:rPr>
              <w:t>职务</w:t>
            </w:r>
          </w:p>
        </w:tc>
        <w:tc>
          <w:tcPr>
            <w:tcW w:w="845" w:type="dxa"/>
            <w:vAlign w:val="center"/>
          </w:tcPr>
          <w:p w14:paraId="77EC4D00">
            <w:pPr>
              <w:pStyle w:val="16"/>
              <w:spacing w:before="75"/>
              <w:ind w:firstLine="0" w:firstLineChars="0"/>
              <w:jc w:val="center"/>
              <w:rPr>
                <w:sz w:val="24"/>
              </w:rPr>
            </w:pPr>
            <w:r>
              <w:rPr>
                <w:spacing w:val="-5"/>
                <w:sz w:val="24"/>
              </w:rPr>
              <w:t>职称</w:t>
            </w:r>
          </w:p>
        </w:tc>
        <w:tc>
          <w:tcPr>
            <w:tcW w:w="2840" w:type="dxa"/>
            <w:vAlign w:val="center"/>
          </w:tcPr>
          <w:p w14:paraId="3F52F502">
            <w:pPr>
              <w:pStyle w:val="16"/>
              <w:spacing w:before="75"/>
              <w:ind w:firstLine="0" w:firstLineChars="0"/>
              <w:jc w:val="center"/>
              <w:rPr>
                <w:sz w:val="24"/>
              </w:rPr>
            </w:pPr>
            <w:r>
              <w:rPr>
                <w:spacing w:val="-3"/>
                <w:sz w:val="24"/>
              </w:rPr>
              <w:t>任务分工</w:t>
            </w:r>
          </w:p>
        </w:tc>
        <w:tc>
          <w:tcPr>
            <w:tcW w:w="1276" w:type="dxa"/>
            <w:vAlign w:val="center"/>
          </w:tcPr>
          <w:p w14:paraId="6C8E18E1">
            <w:pPr>
              <w:pStyle w:val="16"/>
              <w:spacing w:before="75"/>
              <w:ind w:firstLine="0" w:firstLineChars="0"/>
              <w:jc w:val="center"/>
              <w:rPr>
                <w:sz w:val="24"/>
              </w:rPr>
            </w:pPr>
            <w:r>
              <w:rPr>
                <w:spacing w:val="-3"/>
                <w:sz w:val="24"/>
              </w:rPr>
              <w:t>联系方式</w:t>
            </w:r>
          </w:p>
        </w:tc>
      </w:tr>
      <w:tr w14:paraId="72A4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729" w:type="dxa"/>
            <w:vAlign w:val="center"/>
          </w:tcPr>
          <w:p w14:paraId="70ED984C">
            <w:pPr>
              <w:pStyle w:val="16"/>
              <w:spacing w:before="74"/>
              <w:ind w:firstLine="0" w:firstLineChars="0"/>
              <w:jc w:val="center"/>
              <w:rPr>
                <w:sz w:val="24"/>
              </w:rPr>
            </w:pPr>
            <w:r>
              <w:rPr>
                <w:sz w:val="24"/>
              </w:rPr>
              <w:t>1</w:t>
            </w:r>
          </w:p>
        </w:tc>
        <w:tc>
          <w:tcPr>
            <w:tcW w:w="1096" w:type="dxa"/>
            <w:vAlign w:val="center"/>
          </w:tcPr>
          <w:p w14:paraId="65F8A16E">
            <w:pPr>
              <w:pStyle w:val="16"/>
              <w:spacing w:before="74"/>
              <w:ind w:firstLine="0" w:firstLineChars="0"/>
              <w:jc w:val="center"/>
              <w:rPr>
                <w:sz w:val="24"/>
              </w:rPr>
            </w:pPr>
          </w:p>
        </w:tc>
        <w:tc>
          <w:tcPr>
            <w:tcW w:w="1662" w:type="dxa"/>
            <w:vAlign w:val="center"/>
          </w:tcPr>
          <w:p w14:paraId="0E55E2B0">
            <w:pPr>
              <w:pStyle w:val="16"/>
              <w:spacing w:before="3" w:line="290" w:lineRule="exact"/>
              <w:ind w:firstLine="0" w:firstLineChars="0"/>
              <w:jc w:val="center"/>
              <w:rPr>
                <w:sz w:val="24"/>
              </w:rPr>
            </w:pPr>
          </w:p>
        </w:tc>
        <w:tc>
          <w:tcPr>
            <w:tcW w:w="874" w:type="dxa"/>
            <w:vAlign w:val="center"/>
          </w:tcPr>
          <w:p w14:paraId="0FE638BB">
            <w:pPr>
              <w:pStyle w:val="16"/>
              <w:spacing w:before="74"/>
              <w:ind w:firstLine="0" w:firstLineChars="0"/>
              <w:jc w:val="center"/>
              <w:rPr>
                <w:sz w:val="24"/>
              </w:rPr>
            </w:pPr>
          </w:p>
        </w:tc>
        <w:tc>
          <w:tcPr>
            <w:tcW w:w="845" w:type="dxa"/>
            <w:vAlign w:val="center"/>
          </w:tcPr>
          <w:p w14:paraId="0E1B19A8">
            <w:pPr>
              <w:pStyle w:val="16"/>
              <w:ind w:firstLine="0" w:firstLineChars="0"/>
              <w:jc w:val="center"/>
              <w:rPr>
                <w:rFonts w:ascii="Times New Roman"/>
                <w:sz w:val="30"/>
              </w:rPr>
            </w:pPr>
          </w:p>
        </w:tc>
        <w:tc>
          <w:tcPr>
            <w:tcW w:w="2840" w:type="dxa"/>
            <w:vAlign w:val="center"/>
          </w:tcPr>
          <w:p w14:paraId="40B3EC97">
            <w:pPr>
              <w:pStyle w:val="16"/>
              <w:spacing w:before="74"/>
              <w:ind w:firstLine="0" w:firstLineChars="0"/>
              <w:jc w:val="center"/>
              <w:rPr>
                <w:sz w:val="24"/>
              </w:rPr>
            </w:pPr>
          </w:p>
        </w:tc>
        <w:tc>
          <w:tcPr>
            <w:tcW w:w="1276" w:type="dxa"/>
            <w:vAlign w:val="center"/>
          </w:tcPr>
          <w:p w14:paraId="51883D4A">
            <w:pPr>
              <w:pStyle w:val="16"/>
              <w:ind w:firstLine="0" w:firstLineChars="0"/>
              <w:jc w:val="center"/>
              <w:rPr>
                <w:rFonts w:ascii="Times New Roman"/>
                <w:sz w:val="30"/>
              </w:rPr>
            </w:pPr>
          </w:p>
        </w:tc>
      </w:tr>
      <w:tr w14:paraId="2DE3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729" w:type="dxa"/>
            <w:vAlign w:val="center"/>
          </w:tcPr>
          <w:p w14:paraId="1B2B4F03">
            <w:pPr>
              <w:pStyle w:val="16"/>
              <w:spacing w:before="83"/>
              <w:ind w:firstLine="0" w:firstLineChars="0"/>
              <w:jc w:val="center"/>
              <w:rPr>
                <w:sz w:val="24"/>
              </w:rPr>
            </w:pPr>
            <w:r>
              <w:rPr>
                <w:sz w:val="24"/>
              </w:rPr>
              <w:t>2</w:t>
            </w:r>
          </w:p>
        </w:tc>
        <w:tc>
          <w:tcPr>
            <w:tcW w:w="1096" w:type="dxa"/>
            <w:vAlign w:val="center"/>
          </w:tcPr>
          <w:p w14:paraId="6782EEFE">
            <w:pPr>
              <w:pStyle w:val="16"/>
              <w:spacing w:before="83"/>
              <w:ind w:firstLine="0" w:firstLineChars="0"/>
              <w:jc w:val="center"/>
              <w:rPr>
                <w:sz w:val="24"/>
              </w:rPr>
            </w:pPr>
          </w:p>
        </w:tc>
        <w:tc>
          <w:tcPr>
            <w:tcW w:w="1662" w:type="dxa"/>
            <w:vAlign w:val="center"/>
          </w:tcPr>
          <w:p w14:paraId="25177C5D">
            <w:pPr>
              <w:ind w:firstLine="0" w:firstLineChars="0"/>
              <w:jc w:val="center"/>
              <w:rPr>
                <w:sz w:val="2"/>
                <w:szCs w:val="2"/>
              </w:rPr>
            </w:pPr>
          </w:p>
        </w:tc>
        <w:tc>
          <w:tcPr>
            <w:tcW w:w="874" w:type="dxa"/>
            <w:vAlign w:val="center"/>
          </w:tcPr>
          <w:p w14:paraId="110AB974">
            <w:pPr>
              <w:pStyle w:val="16"/>
              <w:spacing w:before="83"/>
              <w:ind w:firstLine="0" w:firstLineChars="0"/>
              <w:jc w:val="center"/>
              <w:rPr>
                <w:sz w:val="24"/>
              </w:rPr>
            </w:pPr>
          </w:p>
        </w:tc>
        <w:tc>
          <w:tcPr>
            <w:tcW w:w="845" w:type="dxa"/>
            <w:vAlign w:val="center"/>
          </w:tcPr>
          <w:p w14:paraId="63795D6C">
            <w:pPr>
              <w:pStyle w:val="16"/>
              <w:ind w:firstLine="0" w:firstLineChars="0"/>
              <w:jc w:val="center"/>
              <w:rPr>
                <w:rFonts w:ascii="Times New Roman"/>
                <w:sz w:val="30"/>
              </w:rPr>
            </w:pPr>
          </w:p>
        </w:tc>
        <w:tc>
          <w:tcPr>
            <w:tcW w:w="2840" w:type="dxa"/>
            <w:vAlign w:val="center"/>
          </w:tcPr>
          <w:p w14:paraId="4201E09C">
            <w:pPr>
              <w:pStyle w:val="16"/>
              <w:spacing w:before="83"/>
              <w:ind w:firstLine="0" w:firstLineChars="0"/>
              <w:jc w:val="center"/>
              <w:rPr>
                <w:sz w:val="24"/>
              </w:rPr>
            </w:pPr>
          </w:p>
        </w:tc>
        <w:tc>
          <w:tcPr>
            <w:tcW w:w="1276" w:type="dxa"/>
            <w:vAlign w:val="center"/>
          </w:tcPr>
          <w:p w14:paraId="5D129B7C">
            <w:pPr>
              <w:pStyle w:val="16"/>
              <w:ind w:firstLine="0" w:firstLineChars="0"/>
              <w:jc w:val="center"/>
              <w:rPr>
                <w:rFonts w:ascii="Times New Roman"/>
                <w:sz w:val="30"/>
              </w:rPr>
            </w:pPr>
          </w:p>
        </w:tc>
      </w:tr>
      <w:tr w14:paraId="2EFB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29" w:type="dxa"/>
            <w:vAlign w:val="center"/>
          </w:tcPr>
          <w:p w14:paraId="15D2F550">
            <w:pPr>
              <w:pStyle w:val="16"/>
              <w:spacing w:before="73"/>
              <w:ind w:firstLine="0" w:firstLineChars="0"/>
              <w:jc w:val="center"/>
              <w:rPr>
                <w:sz w:val="24"/>
              </w:rPr>
            </w:pPr>
            <w:r>
              <w:rPr>
                <w:sz w:val="24"/>
              </w:rPr>
              <w:t>3</w:t>
            </w:r>
          </w:p>
        </w:tc>
        <w:tc>
          <w:tcPr>
            <w:tcW w:w="1096" w:type="dxa"/>
            <w:vAlign w:val="center"/>
          </w:tcPr>
          <w:p w14:paraId="5919AACB">
            <w:pPr>
              <w:pStyle w:val="16"/>
              <w:spacing w:before="73"/>
              <w:ind w:firstLine="0" w:firstLineChars="0"/>
              <w:jc w:val="center"/>
              <w:rPr>
                <w:sz w:val="24"/>
              </w:rPr>
            </w:pPr>
          </w:p>
        </w:tc>
        <w:tc>
          <w:tcPr>
            <w:tcW w:w="1662" w:type="dxa"/>
            <w:vAlign w:val="center"/>
          </w:tcPr>
          <w:p w14:paraId="48BA1872">
            <w:pPr>
              <w:pStyle w:val="16"/>
              <w:spacing w:line="242" w:lineRule="auto"/>
              <w:ind w:firstLine="0" w:firstLineChars="0"/>
              <w:jc w:val="center"/>
              <w:rPr>
                <w:sz w:val="24"/>
              </w:rPr>
            </w:pPr>
          </w:p>
        </w:tc>
        <w:tc>
          <w:tcPr>
            <w:tcW w:w="874" w:type="dxa"/>
            <w:vAlign w:val="center"/>
          </w:tcPr>
          <w:p w14:paraId="26489A11">
            <w:pPr>
              <w:pStyle w:val="16"/>
              <w:ind w:firstLine="0" w:firstLineChars="0"/>
              <w:jc w:val="center"/>
              <w:rPr>
                <w:rFonts w:ascii="Times New Roman"/>
                <w:sz w:val="30"/>
              </w:rPr>
            </w:pPr>
          </w:p>
        </w:tc>
        <w:tc>
          <w:tcPr>
            <w:tcW w:w="845" w:type="dxa"/>
            <w:vAlign w:val="center"/>
          </w:tcPr>
          <w:p w14:paraId="4A4B510C">
            <w:pPr>
              <w:pStyle w:val="16"/>
              <w:ind w:firstLine="0" w:firstLineChars="0"/>
              <w:jc w:val="center"/>
              <w:rPr>
                <w:rFonts w:ascii="Times New Roman"/>
                <w:sz w:val="30"/>
              </w:rPr>
            </w:pPr>
          </w:p>
        </w:tc>
        <w:tc>
          <w:tcPr>
            <w:tcW w:w="2840" w:type="dxa"/>
            <w:vAlign w:val="center"/>
          </w:tcPr>
          <w:p w14:paraId="46710F27">
            <w:pPr>
              <w:pStyle w:val="16"/>
              <w:spacing w:line="242" w:lineRule="auto"/>
              <w:ind w:firstLine="0" w:firstLineChars="0"/>
              <w:jc w:val="center"/>
              <w:rPr>
                <w:sz w:val="24"/>
              </w:rPr>
            </w:pPr>
          </w:p>
        </w:tc>
        <w:tc>
          <w:tcPr>
            <w:tcW w:w="1276" w:type="dxa"/>
            <w:vAlign w:val="center"/>
          </w:tcPr>
          <w:p w14:paraId="7A5F242E">
            <w:pPr>
              <w:pStyle w:val="16"/>
              <w:ind w:firstLine="0" w:firstLineChars="0"/>
              <w:jc w:val="center"/>
              <w:rPr>
                <w:sz w:val="24"/>
              </w:rPr>
            </w:pPr>
          </w:p>
        </w:tc>
      </w:tr>
      <w:tr w14:paraId="6C47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729" w:type="dxa"/>
            <w:vAlign w:val="center"/>
          </w:tcPr>
          <w:p w14:paraId="125288BA">
            <w:pPr>
              <w:pStyle w:val="16"/>
              <w:spacing w:before="73"/>
              <w:ind w:firstLine="0" w:firstLineChars="0"/>
              <w:jc w:val="center"/>
              <w:rPr>
                <w:sz w:val="24"/>
              </w:rPr>
            </w:pPr>
            <w:r>
              <w:rPr>
                <w:sz w:val="24"/>
              </w:rPr>
              <w:t>4</w:t>
            </w:r>
          </w:p>
        </w:tc>
        <w:tc>
          <w:tcPr>
            <w:tcW w:w="1096" w:type="dxa"/>
            <w:vAlign w:val="center"/>
          </w:tcPr>
          <w:p w14:paraId="0353F249">
            <w:pPr>
              <w:pStyle w:val="16"/>
              <w:spacing w:before="73"/>
              <w:ind w:firstLine="0" w:firstLineChars="0"/>
              <w:jc w:val="center"/>
              <w:rPr>
                <w:sz w:val="24"/>
              </w:rPr>
            </w:pPr>
          </w:p>
        </w:tc>
        <w:tc>
          <w:tcPr>
            <w:tcW w:w="1662" w:type="dxa"/>
            <w:vAlign w:val="center"/>
          </w:tcPr>
          <w:p w14:paraId="46827C2A">
            <w:pPr>
              <w:ind w:firstLine="0" w:firstLineChars="0"/>
              <w:jc w:val="center"/>
              <w:rPr>
                <w:sz w:val="2"/>
                <w:szCs w:val="2"/>
              </w:rPr>
            </w:pPr>
          </w:p>
        </w:tc>
        <w:tc>
          <w:tcPr>
            <w:tcW w:w="874" w:type="dxa"/>
            <w:vAlign w:val="center"/>
          </w:tcPr>
          <w:p w14:paraId="16E22018">
            <w:pPr>
              <w:pStyle w:val="16"/>
              <w:ind w:firstLine="0" w:firstLineChars="0"/>
              <w:jc w:val="center"/>
              <w:rPr>
                <w:rFonts w:ascii="Times New Roman"/>
                <w:sz w:val="30"/>
              </w:rPr>
            </w:pPr>
          </w:p>
        </w:tc>
        <w:tc>
          <w:tcPr>
            <w:tcW w:w="845" w:type="dxa"/>
            <w:vAlign w:val="center"/>
          </w:tcPr>
          <w:p w14:paraId="7BF5F21C">
            <w:pPr>
              <w:pStyle w:val="16"/>
              <w:ind w:firstLine="0" w:firstLineChars="0"/>
              <w:jc w:val="center"/>
              <w:rPr>
                <w:rFonts w:ascii="Times New Roman"/>
                <w:sz w:val="30"/>
              </w:rPr>
            </w:pPr>
          </w:p>
        </w:tc>
        <w:tc>
          <w:tcPr>
            <w:tcW w:w="2840" w:type="dxa"/>
            <w:vAlign w:val="center"/>
          </w:tcPr>
          <w:p w14:paraId="2556219F">
            <w:pPr>
              <w:ind w:firstLine="0" w:firstLineChars="0"/>
              <w:jc w:val="center"/>
              <w:rPr>
                <w:sz w:val="2"/>
                <w:szCs w:val="2"/>
              </w:rPr>
            </w:pPr>
          </w:p>
        </w:tc>
        <w:tc>
          <w:tcPr>
            <w:tcW w:w="1276" w:type="dxa"/>
            <w:vAlign w:val="center"/>
          </w:tcPr>
          <w:p w14:paraId="74549791">
            <w:pPr>
              <w:ind w:firstLine="0" w:firstLineChars="0"/>
              <w:jc w:val="center"/>
              <w:rPr>
                <w:sz w:val="2"/>
                <w:szCs w:val="2"/>
              </w:rPr>
            </w:pPr>
          </w:p>
        </w:tc>
      </w:tr>
      <w:tr w14:paraId="39DE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729" w:type="dxa"/>
            <w:vAlign w:val="center"/>
          </w:tcPr>
          <w:p w14:paraId="0F4B2190">
            <w:pPr>
              <w:pStyle w:val="16"/>
              <w:spacing w:before="74"/>
              <w:ind w:firstLine="0" w:firstLineChars="0"/>
              <w:jc w:val="center"/>
              <w:rPr>
                <w:sz w:val="24"/>
              </w:rPr>
            </w:pPr>
            <w:r>
              <w:rPr>
                <w:sz w:val="24"/>
              </w:rPr>
              <w:t>5</w:t>
            </w:r>
          </w:p>
        </w:tc>
        <w:tc>
          <w:tcPr>
            <w:tcW w:w="1096" w:type="dxa"/>
            <w:vAlign w:val="center"/>
          </w:tcPr>
          <w:p w14:paraId="50534D2E">
            <w:pPr>
              <w:pStyle w:val="16"/>
              <w:tabs>
                <w:tab w:val="left" w:pos="487"/>
              </w:tabs>
              <w:spacing w:before="74"/>
              <w:ind w:firstLine="0" w:firstLineChars="0"/>
              <w:jc w:val="center"/>
              <w:rPr>
                <w:sz w:val="24"/>
              </w:rPr>
            </w:pPr>
          </w:p>
        </w:tc>
        <w:tc>
          <w:tcPr>
            <w:tcW w:w="1662" w:type="dxa"/>
            <w:vAlign w:val="center"/>
          </w:tcPr>
          <w:p w14:paraId="26C4BC92">
            <w:pPr>
              <w:ind w:firstLine="0" w:firstLineChars="0"/>
              <w:jc w:val="center"/>
              <w:rPr>
                <w:sz w:val="2"/>
                <w:szCs w:val="2"/>
              </w:rPr>
            </w:pPr>
          </w:p>
        </w:tc>
        <w:tc>
          <w:tcPr>
            <w:tcW w:w="874" w:type="dxa"/>
            <w:vAlign w:val="center"/>
          </w:tcPr>
          <w:p w14:paraId="6483053A">
            <w:pPr>
              <w:pStyle w:val="16"/>
              <w:ind w:firstLine="0" w:firstLineChars="0"/>
              <w:jc w:val="center"/>
              <w:rPr>
                <w:rFonts w:ascii="Times New Roman"/>
                <w:sz w:val="30"/>
              </w:rPr>
            </w:pPr>
          </w:p>
        </w:tc>
        <w:tc>
          <w:tcPr>
            <w:tcW w:w="845" w:type="dxa"/>
            <w:vAlign w:val="center"/>
          </w:tcPr>
          <w:p w14:paraId="116C7A42">
            <w:pPr>
              <w:pStyle w:val="16"/>
              <w:ind w:firstLine="0" w:firstLineChars="0"/>
              <w:jc w:val="center"/>
              <w:rPr>
                <w:rFonts w:ascii="Times New Roman"/>
                <w:sz w:val="30"/>
              </w:rPr>
            </w:pPr>
          </w:p>
        </w:tc>
        <w:tc>
          <w:tcPr>
            <w:tcW w:w="2840" w:type="dxa"/>
            <w:vAlign w:val="center"/>
          </w:tcPr>
          <w:p w14:paraId="099AF6F1">
            <w:pPr>
              <w:ind w:firstLine="0" w:firstLineChars="0"/>
              <w:jc w:val="center"/>
              <w:rPr>
                <w:sz w:val="2"/>
                <w:szCs w:val="2"/>
              </w:rPr>
            </w:pPr>
          </w:p>
        </w:tc>
        <w:tc>
          <w:tcPr>
            <w:tcW w:w="1276" w:type="dxa"/>
            <w:vAlign w:val="center"/>
          </w:tcPr>
          <w:p w14:paraId="19004189">
            <w:pPr>
              <w:ind w:firstLine="0" w:firstLineChars="0"/>
              <w:jc w:val="center"/>
              <w:rPr>
                <w:sz w:val="2"/>
                <w:szCs w:val="2"/>
              </w:rPr>
            </w:pPr>
          </w:p>
        </w:tc>
      </w:tr>
    </w:tbl>
    <w:p w14:paraId="38DACF5D">
      <w:pPr>
        <w:ind w:firstLine="560"/>
      </w:pPr>
    </w:p>
    <w:p w14:paraId="3D5200D2">
      <w:pPr>
        <w:pStyle w:val="2"/>
        <w:rPr>
          <w:rFonts w:ascii="Times New Roman" w:hAnsi="Times New Roman"/>
        </w:rPr>
      </w:pPr>
      <w:r>
        <w:rPr>
          <w:rFonts w:ascii="Times New Roman" w:hAnsi="Times New Roman"/>
        </w:rPr>
        <w:t>二、编制情况</w:t>
      </w:r>
    </w:p>
    <w:p w14:paraId="0DF6508F">
      <w:pPr>
        <w:pStyle w:val="2"/>
        <w:rPr>
          <w:rFonts w:ascii="Times New Roman" w:hAnsi="Times New Roman"/>
        </w:rPr>
      </w:pPr>
      <w:r>
        <w:rPr>
          <w:rFonts w:ascii="Times New Roman" w:hAnsi="Times New Roman"/>
        </w:rPr>
        <w:t>（一）</w:t>
      </w:r>
      <w:r>
        <w:rPr>
          <w:rFonts w:hint="eastAsia" w:ascii="Times New Roman" w:hAnsi="Times New Roman"/>
        </w:rPr>
        <w:t>编制标准的必要性和意义及背景</w:t>
      </w:r>
    </w:p>
    <w:p w14:paraId="57963BE1">
      <w:pPr>
        <w:pStyle w:val="4"/>
        <w:rPr>
          <w:rFonts w:hint="eastAsia" w:ascii="Times New Roman" w:hAnsi="Times New Roman" w:cs="宋体"/>
        </w:rPr>
      </w:pPr>
      <w:r>
        <w:rPr>
          <w:rFonts w:hint="eastAsia" w:ascii="Times New Roman" w:hAnsi="Times New Roman" w:cs="宋体"/>
          <w:lang w:val="en-US" w:eastAsia="zh-CN"/>
        </w:rPr>
        <w:t>1、编制标准的背景</w:t>
      </w:r>
    </w:p>
    <w:p w14:paraId="140BA943">
      <w:pPr>
        <w:ind w:firstLine="560"/>
        <w:rPr>
          <w:rFonts w:hint="eastAsia" w:ascii="Times New Roman" w:hAnsi="Times New Roman" w:cs="宋体"/>
        </w:rPr>
      </w:pPr>
      <w:r>
        <w:rPr>
          <w:rFonts w:hint="eastAsia" w:ascii="Times New Roman" w:hAnsi="Times New Roman" w:cs="宋体"/>
        </w:rPr>
        <w:t>为贯彻《质量强国建设纲要》，落实海南省委省政府《关于以高水平质量建设助力海南自由贸易港高质量发展的意见》</w:t>
      </w:r>
      <w:r>
        <w:rPr>
          <w:rFonts w:hint="eastAsia" w:ascii="Times New Roman" w:hAnsi="Times New Roman" w:cs="宋体"/>
          <w:lang w:eastAsia="zh-CN"/>
        </w:rPr>
        <w:t>（</w:t>
      </w:r>
      <w:r>
        <w:rPr>
          <w:rFonts w:hint="eastAsia" w:ascii="Times New Roman" w:hAnsi="Times New Roman" w:cs="宋体"/>
          <w:lang w:val="en-US" w:eastAsia="zh-CN"/>
        </w:rPr>
        <w:t>琼发〔2023〕9号</w:t>
      </w:r>
      <w:r>
        <w:rPr>
          <w:rFonts w:hint="eastAsia" w:ascii="Times New Roman" w:hAnsi="Times New Roman" w:cs="宋体"/>
          <w:lang w:eastAsia="zh-CN"/>
        </w:rPr>
        <w:t>）</w:t>
      </w:r>
      <w:r>
        <w:rPr>
          <w:rFonts w:hint="eastAsia" w:ascii="Times New Roman" w:hAnsi="Times New Roman" w:cs="宋体"/>
        </w:rPr>
        <w:t>部署要求，</w:t>
      </w:r>
      <w:r>
        <w:rPr>
          <w:rFonts w:hint="eastAsia" w:ascii="Times New Roman" w:hAnsi="Times New Roman" w:cs="宋体"/>
          <w:lang w:eastAsia="zh-CN"/>
        </w:rPr>
        <w:t>“</w:t>
      </w:r>
      <w:r>
        <w:rPr>
          <w:rFonts w:hint="eastAsia" w:ascii="Times New Roman" w:hAnsi="Times New Roman" w:cs="宋体"/>
          <w:lang w:val="en-US" w:eastAsia="zh-CN"/>
        </w:rPr>
        <w:t>实施海南品牌建设工程</w:t>
      </w:r>
      <w:r>
        <w:rPr>
          <w:rFonts w:hint="eastAsia" w:ascii="Times New Roman" w:hAnsi="Times New Roman" w:cs="宋体"/>
        </w:rPr>
        <w:t>，</w:t>
      </w:r>
      <w:r>
        <w:rPr>
          <w:rFonts w:hint="eastAsia" w:ascii="Times New Roman" w:hAnsi="Times New Roman" w:cs="宋体"/>
          <w:lang w:val="en-US" w:eastAsia="zh-CN"/>
        </w:rPr>
        <w:t>推动打造一流产品、一流企业、一流品牌。</w:t>
      </w:r>
      <w:r>
        <w:rPr>
          <w:rFonts w:hint="eastAsia" w:ascii="Times New Roman" w:hAnsi="Times New Roman" w:cs="宋体"/>
          <w:lang w:eastAsia="zh-CN"/>
        </w:rPr>
        <w:t>”，</w:t>
      </w:r>
      <w:r>
        <w:rPr>
          <w:rFonts w:hint="eastAsia" w:ascii="Times New Roman" w:hAnsi="Times New Roman" w:cs="宋体"/>
          <w:lang w:val="en-US" w:eastAsia="zh-CN"/>
        </w:rPr>
        <w:t>省市场监管局大力推进</w:t>
      </w:r>
      <w:r>
        <w:rPr>
          <w:rFonts w:hint="eastAsia" w:cs="宋体"/>
          <w:lang w:val="en-US" w:eastAsia="zh-CN"/>
        </w:rPr>
        <w:t>海南消费领域区域公共品牌</w:t>
      </w:r>
      <w:r>
        <w:rPr>
          <w:rFonts w:hint="eastAsia" w:ascii="Times New Roman" w:hAnsi="Times New Roman" w:cs="宋体"/>
          <w:lang w:val="en-US" w:eastAsia="zh-CN"/>
        </w:rPr>
        <w:t>建设，全力服务海南高质量发展，对符合认证标准、技术规范的地方特色产品和优势产业开展自愿性认证，形成集质量、标准、服务、信誉、效益、融合为一体的市场认可区域公共品牌。</w:t>
      </w:r>
      <w:r>
        <w:rPr>
          <w:rFonts w:hint="eastAsia" w:cs="宋体"/>
          <w:lang w:val="en-US" w:eastAsia="zh-CN"/>
        </w:rPr>
        <w:t>为</w:t>
      </w:r>
      <w:r>
        <w:rPr>
          <w:rFonts w:hint="eastAsia" w:ascii="Times New Roman" w:hAnsi="Times New Roman" w:cs="宋体"/>
        </w:rPr>
        <w:t>推动海南消费领域高质量发展，提升服务业标准化水平，</w:t>
      </w:r>
      <w:r>
        <w:rPr>
          <w:rFonts w:hint="eastAsia"/>
        </w:rPr>
        <w:t>围绕海南省“特质”、“特色”建设高质量团体标准体系</w:t>
      </w:r>
      <w:r>
        <w:rPr>
          <w:rFonts w:hint="eastAsia"/>
          <w:lang w:val="en-US" w:eastAsia="zh-CN"/>
        </w:rPr>
        <w:t>。</w:t>
      </w:r>
      <w:r>
        <w:rPr>
          <w:rFonts w:hint="eastAsia" w:ascii="Times New Roman" w:hAnsi="Times New Roman" w:cs="宋体"/>
        </w:rPr>
        <w:t>制定本通用要求具有重要意义。</w:t>
      </w:r>
    </w:p>
    <w:p w14:paraId="621D4FC1">
      <w:pPr>
        <w:ind w:left="0" w:leftChars="0" w:firstLine="560" w:firstLineChars="200"/>
        <w:rPr>
          <w:rFonts w:hint="default" w:ascii="Times New Roman" w:hAnsi="Times New Roman" w:cs="宋体"/>
        </w:rPr>
      </w:pPr>
      <w:r>
        <w:rPr>
          <w:rFonts w:hint="eastAsia" w:cs="宋体"/>
          <w:lang w:eastAsia="zh-CN"/>
        </w:rPr>
        <w:t>海南消费领域区域公共品牌</w:t>
      </w:r>
      <w:r>
        <w:rPr>
          <w:rFonts w:hint="default" w:ascii="Times New Roman" w:hAnsi="Times New Roman" w:cs="宋体"/>
        </w:rPr>
        <w:t>系列团体标准是支撑</w:t>
      </w:r>
      <w:r>
        <w:rPr>
          <w:rFonts w:hint="eastAsia" w:cs="宋体"/>
          <w:lang w:val="en-US" w:eastAsia="zh-CN"/>
        </w:rPr>
        <w:t>海南消费领域区域公共品牌</w:t>
      </w:r>
      <w:r>
        <w:rPr>
          <w:rFonts w:hint="default" w:ascii="Times New Roman" w:hAnsi="Times New Roman" w:cs="宋体"/>
        </w:rPr>
        <w:t>建设的技术基础，围绕"标准引领，以质取胜"的基本原则，由海南省质量协会引导行业专家和企业共同编制。该系列标准采用分层级设计：</w:t>
      </w:r>
    </w:p>
    <w:p w14:paraId="06EFDB35">
      <w:pPr>
        <w:ind w:firstLine="560"/>
        <w:rPr>
          <w:rFonts w:hint="eastAsia" w:ascii="Times New Roman" w:hAnsi="Times New Roman" w:cs="宋体"/>
          <w:lang w:val="en-US" w:eastAsia="zh-CN"/>
        </w:rPr>
      </w:pPr>
      <w:r>
        <w:rPr>
          <w:rFonts w:hint="default" w:ascii="Times New Roman" w:hAnsi="Times New Roman" w:cs="宋体"/>
        </w:rPr>
        <w:t xml:space="preserve">第一层级：T/XXX </w:t>
      </w:r>
      <w:r>
        <w:rPr>
          <w:rFonts w:hint="eastAsia" w:ascii="Times New Roman" w:hAnsi="Times New Roman" w:cs="宋体"/>
          <w:lang w:val="en-US" w:eastAsia="zh-CN"/>
        </w:rPr>
        <w:t>XX</w:t>
      </w:r>
      <w:r>
        <w:rPr>
          <w:rFonts w:hint="default" w:ascii="Times New Roman" w:hAnsi="Times New Roman" w:cs="宋体"/>
        </w:rPr>
        <w:t>-2025《</w:t>
      </w:r>
      <w:r>
        <w:rPr>
          <w:rFonts w:hint="eastAsia" w:cs="宋体"/>
          <w:lang w:eastAsia="zh-CN"/>
        </w:rPr>
        <w:t>海南消费领域区域公共品牌服务业 通用要求</w:t>
      </w:r>
      <w:r>
        <w:rPr>
          <w:rFonts w:hint="default" w:ascii="Times New Roman" w:hAnsi="Times New Roman" w:cs="宋体"/>
        </w:rPr>
        <w:t>》</w:t>
      </w:r>
      <w:r>
        <w:rPr>
          <w:rFonts w:hint="eastAsia" w:cs="宋体"/>
          <w:lang w:eastAsia="zh-CN"/>
        </w:rPr>
        <w:t>（</w:t>
      </w:r>
      <w:r>
        <w:rPr>
          <w:rFonts w:hint="eastAsia" w:cs="宋体"/>
          <w:lang w:val="en-US" w:eastAsia="zh-CN"/>
        </w:rPr>
        <w:t>本标准）</w:t>
      </w:r>
      <w:r>
        <w:rPr>
          <w:rFonts w:hint="eastAsia" w:ascii="Times New Roman" w:hAnsi="Times New Roman" w:cs="宋体"/>
          <w:lang w:val="en-US" w:eastAsia="zh-CN"/>
        </w:rPr>
        <w:t>；</w:t>
      </w:r>
    </w:p>
    <w:p w14:paraId="058C0E5B">
      <w:pPr>
        <w:ind w:firstLine="560"/>
        <w:rPr>
          <w:rFonts w:hint="eastAsia" w:ascii="Times New Roman" w:hAnsi="Times New Roman" w:eastAsia="仿宋" w:cs="宋体"/>
          <w:lang w:eastAsia="zh-CN"/>
        </w:rPr>
      </w:pPr>
      <w:r>
        <w:rPr>
          <w:rFonts w:hint="default" w:ascii="Times New Roman" w:hAnsi="Times New Roman" w:cs="宋体"/>
        </w:rPr>
        <w:t>第二层级：各类特色服务技术规范</w:t>
      </w:r>
      <w:r>
        <w:rPr>
          <w:rFonts w:hint="eastAsia" w:ascii="Times New Roman" w:hAnsi="Times New Roman" w:cs="宋体"/>
          <w:lang w:eastAsia="zh-CN"/>
        </w:rPr>
        <w:t>。</w:t>
      </w:r>
    </w:p>
    <w:p w14:paraId="77D3C6E6">
      <w:pPr>
        <w:pStyle w:val="4"/>
        <w:rPr>
          <w:rFonts w:hint="default" w:ascii="Times New Roman" w:hAnsi="Times New Roman" w:cs="宋体"/>
          <w:lang w:val="en-US" w:eastAsia="zh-CN"/>
        </w:rPr>
      </w:pPr>
      <w:r>
        <w:rPr>
          <w:rFonts w:hint="eastAsia" w:cs="宋体"/>
          <w:lang w:val="en-US" w:eastAsia="zh-CN"/>
        </w:rPr>
        <w:t>2、</w:t>
      </w:r>
      <w:r>
        <w:rPr>
          <w:rFonts w:hint="eastAsia" w:ascii="Times New Roman" w:hAnsi="Times New Roman" w:cs="宋体"/>
          <w:lang w:val="en-US" w:eastAsia="zh-CN"/>
        </w:rPr>
        <w:t>编制标准的必要性和意义</w:t>
      </w:r>
    </w:p>
    <w:p w14:paraId="18C3B0B9">
      <w:pPr>
        <w:ind w:firstLine="560"/>
        <w:rPr>
          <w:rFonts w:hint="eastAsia" w:ascii="Times New Roman" w:hAnsi="Times New Roman" w:cs="宋体"/>
          <w:color w:val="auto"/>
          <w:lang w:val="en-US" w:eastAsia="zh-CN"/>
        </w:rPr>
      </w:pPr>
      <w:r>
        <w:rPr>
          <w:rFonts w:hint="eastAsia" w:ascii="Times New Roman" w:hAnsi="Times New Roman" w:cs="宋体"/>
          <w:color w:val="auto"/>
          <w:lang w:val="en-US" w:eastAsia="zh-CN"/>
        </w:rPr>
        <w:t>通过标准化手段，打造</w:t>
      </w:r>
      <w:r>
        <w:rPr>
          <w:rFonts w:hint="eastAsia" w:cs="宋体"/>
          <w:color w:val="auto"/>
          <w:lang w:val="en-US" w:eastAsia="zh-CN"/>
        </w:rPr>
        <w:t>海南消费领域区域公共品牌</w:t>
      </w:r>
      <w:r>
        <w:rPr>
          <w:rFonts w:hint="eastAsia" w:ascii="Times New Roman" w:hAnsi="Times New Roman" w:cs="宋体"/>
          <w:color w:val="auto"/>
          <w:lang w:val="en-US" w:eastAsia="zh-CN"/>
        </w:rPr>
        <w:t>，推动服务业提质增效，增强海南服务业的国际竞争力</w:t>
      </w:r>
      <w:r>
        <w:rPr>
          <w:rFonts w:hint="eastAsia" w:cs="宋体"/>
          <w:color w:val="auto"/>
          <w:lang w:val="en-US" w:eastAsia="zh-CN"/>
        </w:rPr>
        <w:t>。</w:t>
      </w:r>
    </w:p>
    <w:p w14:paraId="51CB16D3">
      <w:pPr>
        <w:ind w:firstLine="560"/>
        <w:rPr>
          <w:rFonts w:hint="default" w:ascii="Times New Roman" w:hAnsi="Times New Roman" w:cs="宋体"/>
          <w:lang w:val="en-US" w:eastAsia="zh-CN"/>
        </w:rPr>
      </w:pPr>
      <w:r>
        <w:rPr>
          <w:rFonts w:hint="eastAsia" w:ascii="Times New Roman" w:hAnsi="Times New Roman" w:cs="宋体"/>
          <w:lang w:val="en-US" w:eastAsia="zh-CN"/>
        </w:rPr>
        <w:t>服务海南自贸港建设需求，构建与国际接轨的服务标准体系：随着海南自贸港建设的加快推进，消费产业呈现扩大发展态势，共享经济、新旅文商结合模式、线上线下融合等新业态、新模式不断涌现。然而，</w:t>
      </w:r>
      <w:r>
        <w:rPr>
          <w:rFonts w:hint="eastAsia" w:cs="宋体"/>
          <w:lang w:val="en-US" w:eastAsia="zh-CN"/>
        </w:rPr>
        <w:t>传统服务业和</w:t>
      </w:r>
      <w:r>
        <w:rPr>
          <w:rFonts w:hint="eastAsia" w:ascii="Times New Roman" w:hAnsi="Times New Roman" w:cs="宋体"/>
          <w:lang w:val="en-US" w:eastAsia="zh-CN"/>
        </w:rPr>
        <w:t>当前新业态的管理水平和服务能力亟待规范化、标准化。为适应扩大消费趋势</w:t>
      </w:r>
      <w:r>
        <w:rPr>
          <w:rFonts w:hint="eastAsia" w:cs="宋体"/>
          <w:lang w:val="en-US" w:eastAsia="zh-CN"/>
        </w:rPr>
        <w:t>，构建与国际接轨的服务标准体系</w:t>
      </w:r>
      <w:r>
        <w:rPr>
          <w:rFonts w:hint="eastAsia" w:ascii="Times New Roman" w:hAnsi="Times New Roman" w:cs="宋体"/>
          <w:lang w:val="en-US" w:eastAsia="zh-CN"/>
        </w:rPr>
        <w:t>，亟需通过本标准明确</w:t>
      </w:r>
      <w:r>
        <w:rPr>
          <w:rFonts w:hint="eastAsia" w:cs="宋体"/>
          <w:lang w:val="en-US" w:eastAsia="zh-CN"/>
        </w:rPr>
        <w:t>消费领域服务行业的服务要求和管理规范，</w:t>
      </w:r>
      <w:r>
        <w:rPr>
          <w:rFonts w:hint="eastAsia" w:ascii="Times New Roman" w:hAnsi="Times New Roman" w:cs="宋体"/>
          <w:lang w:val="en-US" w:eastAsia="zh-CN"/>
        </w:rPr>
        <w:t>这不仅能帮助企业更好地把握发展方向，还能为消费者提供安全、可靠的消费环境，从而促进消费新业态的蓬勃发展。</w:t>
      </w:r>
    </w:p>
    <w:p w14:paraId="402913C5">
      <w:pPr>
        <w:ind w:firstLine="560"/>
        <w:rPr>
          <w:rFonts w:hint="eastAsia" w:ascii="Times New Roman" w:hAnsi="Times New Roman" w:cs="宋体"/>
          <w:lang w:val="en-US" w:eastAsia="zh-CN"/>
        </w:rPr>
      </w:pPr>
      <w:r>
        <w:rPr>
          <w:rFonts w:hint="eastAsia" w:ascii="Times New Roman" w:hAnsi="Times New Roman" w:cs="宋体"/>
          <w:lang w:val="en-US" w:eastAsia="zh-CN"/>
        </w:rPr>
        <w:t>服务业品牌管理标准较分散：目前ISO标准中尚无专门针对“服务业区域公共品牌管理”的独立标准，相关要求主要分散在通用或特定领域标准，通过规范服务流程、质量与安全，间接支撑品牌建设。如，ISO9001中以客户为导向，通过建立质量管理体系（如流程优化、风险控制、持续改进）提升服务质量和客户满意度，是服务业提升品牌信誉的基础工具。ISO 14001、45001</w:t>
      </w:r>
      <w:r>
        <w:rPr>
          <w:rFonts w:hint="default" w:ascii="Times New Roman" w:hAnsi="Times New Roman" w:cs="宋体"/>
          <w:lang w:val="en-US" w:eastAsia="zh-CN"/>
        </w:rPr>
        <w:t>：分别关注环境管理和职业健康安全，</w:t>
      </w:r>
      <w:r>
        <w:rPr>
          <w:rFonts w:hint="eastAsia" w:ascii="Times New Roman" w:hAnsi="Times New Roman" w:cs="宋体"/>
          <w:lang w:val="en-US" w:eastAsia="zh-CN"/>
        </w:rPr>
        <w:t>虽并非</w:t>
      </w:r>
      <w:r>
        <w:rPr>
          <w:rFonts w:hint="default" w:ascii="Times New Roman" w:hAnsi="Times New Roman" w:cs="宋体"/>
          <w:lang w:val="en-US" w:eastAsia="zh-CN"/>
        </w:rPr>
        <w:t>直接针对品牌管理，但通过提升企业社会责任形象，助力品牌价值提升。</w:t>
      </w:r>
      <w:r>
        <w:rPr>
          <w:rFonts w:hint="eastAsia" w:ascii="Times New Roman" w:hAnsi="Times New Roman" w:cs="宋体"/>
          <w:lang w:val="en-US" w:eastAsia="zh-CN"/>
        </w:rPr>
        <w:t>而通过本标准，将明确提出海南消费领域区域公共品牌服务业的整体服务和特色化服务的通用服务能力和要求，再加以具体/特定的技术规范明确具体的特色化服务特性和控制要求，有助于较系统地赋能海南消费领域区域公共品牌建设,因此迫切需要编制统一规范。</w:t>
      </w:r>
    </w:p>
    <w:p w14:paraId="1392B546">
      <w:pPr>
        <w:ind w:firstLine="560"/>
        <w:rPr>
          <w:rFonts w:hint="eastAsia" w:ascii="Times New Roman" w:hAnsi="Times New Roman" w:cs="宋体"/>
          <w:lang w:val="en-US" w:eastAsia="zh-CN"/>
        </w:rPr>
      </w:pPr>
      <w:r>
        <w:rPr>
          <w:rFonts w:hint="eastAsia" w:ascii="Times New Roman" w:hAnsi="Times New Roman" w:cs="宋体"/>
          <w:lang w:val="en-US" w:eastAsia="zh-CN"/>
        </w:rPr>
        <w:t>规范服务业组织经营管理，提高服务质量和顾客满意度</w:t>
      </w:r>
      <w:r>
        <w:rPr>
          <w:rFonts w:hint="eastAsia" w:cs="宋体"/>
          <w:lang w:val="en-US" w:eastAsia="zh-CN"/>
        </w:rPr>
        <w:t>：</w:t>
      </w:r>
      <w:r>
        <w:rPr>
          <w:rFonts w:hint="eastAsia" w:ascii="Times New Roman" w:hAnsi="Times New Roman" w:cs="宋体"/>
          <w:lang w:val="en-US" w:eastAsia="zh-CN"/>
        </w:rPr>
        <w:t>海南消费领域区域公共品牌高质量发展需要规范引领，通过</w:t>
      </w:r>
      <w:r>
        <w:rPr>
          <w:rFonts w:hint="eastAsia" w:ascii="Times New Roman" w:hAnsi="Times New Roman" w:cs="宋体"/>
          <w:lang w:val="zh-CN" w:eastAsia="zh-CN"/>
        </w:rPr>
        <w:t>聚焦海南本地的消费市场、</w:t>
      </w:r>
      <w:r>
        <w:rPr>
          <w:rFonts w:hint="eastAsia" w:ascii="Times New Roman" w:hAnsi="Times New Roman" w:cs="宋体"/>
          <w:lang w:val="en-US" w:eastAsia="zh-CN"/>
        </w:rPr>
        <w:t>特色产品/服务和优势产业，通过管理过程要求和核心技术服务指标，推动企业提升内部管理水平，</w:t>
      </w:r>
      <w:r>
        <w:rPr>
          <w:rFonts w:hint="eastAsia" w:cs="宋体"/>
          <w:lang w:val="en-US" w:eastAsia="zh-CN"/>
        </w:rPr>
        <w:t>提高服务质量和顾客满意度，</w:t>
      </w:r>
      <w:r>
        <w:rPr>
          <w:rFonts w:hint="eastAsia" w:ascii="Times New Roman" w:hAnsi="Times New Roman" w:cs="宋体"/>
          <w:lang w:val="en-US" w:eastAsia="zh-CN"/>
        </w:rPr>
        <w:t>塑造海南消费领域统一品牌形象，提高海南消费领域整体品牌形象。</w:t>
      </w:r>
    </w:p>
    <w:p w14:paraId="112B1CB1">
      <w:pPr>
        <w:ind w:firstLine="560"/>
        <w:rPr>
          <w:rFonts w:hint="default" w:ascii="Times New Roman" w:hAnsi="Times New Roman" w:cs="宋体"/>
          <w:lang w:val="en-US" w:eastAsia="zh-CN"/>
        </w:rPr>
      </w:pPr>
      <w:r>
        <w:rPr>
          <w:rFonts w:hint="eastAsia" w:cs="宋体"/>
        </w:rPr>
        <w:t>统一海南消费领域区域公共品牌认证依据，提升品牌</w:t>
      </w:r>
      <w:r>
        <w:rPr>
          <w:rFonts w:hint="eastAsia" w:cs="宋体"/>
          <w:lang w:val="en-US" w:eastAsia="zh-CN"/>
        </w:rPr>
        <w:t>权威性和</w:t>
      </w:r>
      <w:r>
        <w:rPr>
          <w:rFonts w:hint="eastAsia" w:cs="宋体"/>
        </w:rPr>
        <w:t>公信力</w:t>
      </w:r>
      <w:r>
        <w:rPr>
          <w:rFonts w:hint="eastAsia" w:ascii="Times New Roman" w:hAnsi="Times New Roman" w:cs="宋体"/>
          <w:lang w:val="en-US" w:eastAsia="zh-CN"/>
        </w:rPr>
        <w:t>：为开展</w:t>
      </w:r>
      <w:r>
        <w:rPr>
          <w:rFonts w:hint="eastAsia" w:cs="宋体"/>
          <w:lang w:val="en-US" w:eastAsia="zh-CN"/>
        </w:rPr>
        <w:t>海南消费领域区域公共品牌</w:t>
      </w:r>
      <w:r>
        <w:rPr>
          <w:rFonts w:hint="eastAsia" w:ascii="Times New Roman" w:hAnsi="Times New Roman" w:cs="宋体"/>
          <w:lang w:val="en-US" w:eastAsia="zh-CN"/>
        </w:rPr>
        <w:t>自愿性认证提供技术依据，</w:t>
      </w:r>
      <w:r>
        <w:rPr>
          <w:rFonts w:hint="eastAsia"/>
        </w:rPr>
        <w:t>以</w:t>
      </w:r>
      <w:r>
        <w:rPr>
          <w:rFonts w:hint="eastAsia"/>
          <w:lang w:eastAsia="zh-CN"/>
        </w:rPr>
        <w:t>本标准</w:t>
      </w:r>
      <w:r>
        <w:rPr>
          <w:rFonts w:hint="eastAsia"/>
        </w:rPr>
        <w:t>作为</w:t>
      </w:r>
      <w:r>
        <w:rPr>
          <w:rFonts w:hint="eastAsia"/>
          <w:lang w:val="en-US" w:eastAsia="zh-CN"/>
        </w:rPr>
        <w:t>认证评价</w:t>
      </w:r>
      <w:r>
        <w:rPr>
          <w:rFonts w:hint="eastAsia"/>
        </w:rPr>
        <w:t>依据</w:t>
      </w:r>
      <w:r>
        <w:rPr>
          <w:rFonts w:hint="eastAsia"/>
          <w:lang w:val="en-US" w:eastAsia="zh-CN"/>
        </w:rPr>
        <w:t>开展</w:t>
      </w:r>
      <w:r>
        <w:rPr>
          <w:rFonts w:hint="eastAsia"/>
        </w:rPr>
        <w:t>第三方</w:t>
      </w:r>
      <w:r>
        <w:rPr>
          <w:rFonts w:hint="eastAsia"/>
          <w:lang w:val="en-US" w:eastAsia="zh-CN"/>
        </w:rPr>
        <w:t>服务</w:t>
      </w:r>
      <w:r>
        <w:rPr>
          <w:rFonts w:hint="eastAsia"/>
        </w:rPr>
        <w:t>认证</w:t>
      </w:r>
      <w:r>
        <w:rPr>
          <w:rFonts w:hint="eastAsia"/>
          <w:lang w:val="en-US" w:eastAsia="zh-CN"/>
        </w:rPr>
        <w:t>评价</w:t>
      </w:r>
      <w:r>
        <w:rPr>
          <w:rFonts w:hint="eastAsia"/>
        </w:rPr>
        <w:t>，通过认证</w:t>
      </w:r>
      <w:r>
        <w:rPr>
          <w:rFonts w:hint="eastAsia"/>
          <w:lang w:val="en-US" w:eastAsia="zh-CN"/>
        </w:rPr>
        <w:t>评价</w:t>
      </w:r>
      <w:r>
        <w:rPr>
          <w:rFonts w:hint="eastAsia"/>
        </w:rPr>
        <w:t>在供需两端传递质量信号</w:t>
      </w:r>
      <w:r>
        <w:rPr>
          <w:rFonts w:hint="eastAsia"/>
          <w:lang w:val="en-US" w:eastAsia="zh-CN"/>
        </w:rPr>
        <w:t>和信任</w:t>
      </w:r>
      <w:r>
        <w:rPr>
          <w:rFonts w:hint="eastAsia"/>
        </w:rPr>
        <w:t>，提高</w:t>
      </w:r>
      <w:r>
        <w:rPr>
          <w:rFonts w:hint="eastAsia"/>
          <w:lang w:eastAsia="zh-CN"/>
        </w:rPr>
        <w:t>海南消费领域区域公共品牌</w:t>
      </w:r>
      <w:r>
        <w:rPr>
          <w:rFonts w:hint="eastAsia"/>
        </w:rPr>
        <w:t>品牌权威性和公信力，形成有效的市场选择机制，</w:t>
      </w:r>
      <w:r>
        <w:rPr>
          <w:rFonts w:hint="eastAsia" w:ascii="Times New Roman" w:hAnsi="Times New Roman" w:cs="宋体"/>
          <w:lang w:val="en-US" w:eastAsia="zh-CN"/>
        </w:rPr>
        <w:t>助推服务业和特色服务提档升级、提质增效。</w:t>
      </w:r>
    </w:p>
    <w:p w14:paraId="529F54E8">
      <w:pPr>
        <w:ind w:firstLine="560"/>
        <w:rPr>
          <w:rFonts w:hint="eastAsia" w:ascii="Times New Roman" w:hAnsi="Times New Roman" w:cs="宋体"/>
          <w:lang w:val="en-US" w:eastAsia="zh-CN"/>
        </w:rPr>
      </w:pPr>
      <w:r>
        <w:rPr>
          <w:rFonts w:hint="eastAsia" w:ascii="Times New Roman" w:hAnsi="Times New Roman" w:cs="宋体"/>
          <w:lang w:val="en-US" w:eastAsia="zh-CN"/>
        </w:rPr>
        <w:t>符合监管需求：随着海南自由贸易港建设的推进，消费市场日益活跃，产品/服务种类和交易量不断增加。规范标准，为监管提供明确的监管依据和范围，确保产品和服务质量安全，维护市场稳定。</w:t>
      </w:r>
    </w:p>
    <w:p w14:paraId="17E7A865">
      <w:pPr>
        <w:ind w:firstLine="560"/>
        <w:rPr>
          <w:rFonts w:hint="eastAsia" w:ascii="Times New Roman" w:hAnsi="Times New Roman" w:cs="宋体"/>
          <w:color w:val="auto"/>
          <w:lang w:val="en-US" w:eastAsia="zh-CN"/>
        </w:rPr>
      </w:pPr>
      <w:r>
        <w:rPr>
          <w:rFonts w:hint="eastAsia" w:ascii="Times New Roman" w:hAnsi="Times New Roman" w:cs="宋体"/>
          <w:lang w:val="en-US" w:eastAsia="zh-CN"/>
        </w:rPr>
        <w:t>促进服务业可持续发展，实现经济、社会、环境效益统一：海</w:t>
      </w:r>
      <w:r>
        <w:rPr>
          <w:rFonts w:hint="eastAsia"/>
        </w:rPr>
        <w:t>南自由贸易港建设是国家重大战略部署，海南自由贸易港“4+3+3”</w:t>
      </w:r>
      <w:r>
        <w:rPr>
          <w:rFonts w:hint="eastAsia"/>
          <w:lang w:val="en-US" w:eastAsia="zh-CN"/>
        </w:rPr>
        <w:t>特色产业部署为海南带来新机遇和挑战，对服务业服务质量</w:t>
      </w:r>
      <w:r>
        <w:rPr>
          <w:rFonts w:hint="eastAsia"/>
        </w:rPr>
        <w:t>提出了更高要求。</w:t>
      </w:r>
      <w:r>
        <w:rPr>
          <w:rFonts w:hint="default" w:ascii="Times New Roman" w:hAnsi="Times New Roman" w:eastAsia="仿宋" w:cs="宋体"/>
          <w:kern w:val="0"/>
          <w:sz w:val="28"/>
          <w:szCs w:val="22"/>
          <w:lang w:val="en-US" w:eastAsia="zh-CN" w:bidi="ar-SA"/>
        </w:rPr>
        <w:t>提升海南</w:t>
      </w:r>
      <w:r>
        <w:rPr>
          <w:rFonts w:hint="eastAsia" w:cs="宋体"/>
          <w:kern w:val="0"/>
          <w:sz w:val="28"/>
          <w:szCs w:val="22"/>
          <w:lang w:val="en-US" w:eastAsia="zh-CN" w:bidi="ar-SA"/>
        </w:rPr>
        <w:t>服务业可持续发展</w:t>
      </w:r>
      <w:r>
        <w:rPr>
          <w:rFonts w:hint="default" w:ascii="Times New Roman" w:hAnsi="Times New Roman" w:eastAsia="仿宋" w:cs="宋体"/>
          <w:kern w:val="0"/>
          <w:sz w:val="28"/>
          <w:szCs w:val="22"/>
          <w:lang w:val="en-US" w:eastAsia="zh-CN" w:bidi="ar-SA"/>
        </w:rPr>
        <w:t>，需要</w:t>
      </w:r>
      <w:r>
        <w:rPr>
          <w:rFonts w:hint="eastAsia" w:cs="宋体"/>
          <w:kern w:val="0"/>
          <w:sz w:val="28"/>
          <w:szCs w:val="22"/>
          <w:lang w:val="en-US" w:eastAsia="zh-CN" w:bidi="ar-SA"/>
        </w:rPr>
        <w:t>提高核心竞争力，</w:t>
      </w:r>
      <w:r>
        <w:rPr>
          <w:rFonts w:hint="default" w:ascii="Times New Roman" w:hAnsi="Times New Roman" w:eastAsia="仿宋" w:cs="宋体"/>
          <w:kern w:val="0"/>
          <w:sz w:val="28"/>
          <w:szCs w:val="22"/>
          <w:lang w:val="en-US" w:eastAsia="zh-CN" w:bidi="ar-SA"/>
        </w:rPr>
        <w:t>规范引领和标准支撑</w:t>
      </w:r>
      <w:r>
        <w:rPr>
          <w:rFonts w:hint="eastAsia" w:ascii="Times New Roman" w:hAnsi="Times New Roman" w:cs="宋体"/>
          <w:kern w:val="0"/>
          <w:sz w:val="28"/>
          <w:szCs w:val="22"/>
          <w:lang w:val="en-US" w:eastAsia="zh-CN" w:bidi="ar-SA"/>
        </w:rPr>
        <w:t>。</w:t>
      </w:r>
      <w:r>
        <w:rPr>
          <w:rFonts w:hint="eastAsia" w:ascii="Times New Roman" w:hAnsi="Times New Roman" w:cs="宋体"/>
          <w:lang w:val="en-US" w:eastAsia="zh-CN"/>
        </w:rPr>
        <w:t>《</w:t>
      </w:r>
      <w:r>
        <w:rPr>
          <w:rFonts w:hint="eastAsia" w:cs="宋体"/>
          <w:lang w:val="en-US" w:eastAsia="zh-CN"/>
        </w:rPr>
        <w:t>海南消费领域区域公共品牌服务业 通用要求</w:t>
      </w:r>
      <w:r>
        <w:rPr>
          <w:rFonts w:hint="eastAsia" w:ascii="Times New Roman" w:hAnsi="Times New Roman" w:cs="宋体"/>
          <w:lang w:val="en-US" w:eastAsia="zh-CN"/>
        </w:rPr>
        <w:t>》标准是</w:t>
      </w:r>
      <w:r>
        <w:rPr>
          <w:rFonts w:hint="eastAsia" w:cs="宋体"/>
          <w:lang w:val="en-US" w:eastAsia="zh-CN"/>
        </w:rPr>
        <w:t>海南消费领域区域公共品牌</w:t>
      </w:r>
      <w:r>
        <w:rPr>
          <w:rFonts w:hint="eastAsia" w:ascii="Times New Roman" w:hAnsi="Times New Roman" w:cs="宋体"/>
          <w:lang w:val="en-US" w:eastAsia="zh-CN"/>
        </w:rPr>
        <w:t>系列团体标准之一，立足海南自由贸易港建设战略定位，坚持“国际视野、中国特色、海南特点</w:t>
      </w:r>
      <w:r>
        <w:rPr>
          <w:rFonts w:hint="default" w:ascii="Times New Roman" w:hAnsi="Times New Roman" w:cs="宋体"/>
          <w:lang w:val="en-US" w:eastAsia="zh-CN"/>
        </w:rPr>
        <w:t>”</w:t>
      </w:r>
      <w:r>
        <w:rPr>
          <w:rFonts w:hint="eastAsia" w:ascii="Times New Roman" w:hAnsi="Times New Roman" w:cs="宋体"/>
          <w:lang w:val="en-US" w:eastAsia="zh-CN"/>
        </w:rPr>
        <w:t>，以标准化引领海南</w:t>
      </w:r>
      <w:r>
        <w:rPr>
          <w:rFonts w:hint="eastAsia" w:cs="宋体"/>
          <w:lang w:val="en-US" w:eastAsia="zh-CN"/>
        </w:rPr>
        <w:t>服</w:t>
      </w:r>
      <w:r>
        <w:rPr>
          <w:rFonts w:hint="eastAsia" w:ascii="Times New Roman" w:hAnsi="Times New Roman" w:cs="宋体"/>
          <w:lang w:val="en-US" w:eastAsia="zh-CN"/>
        </w:rPr>
        <w:t>务业高质量发展</w:t>
      </w:r>
      <w:r>
        <w:rPr>
          <w:rFonts w:hint="eastAsia" w:cs="宋体"/>
          <w:lang w:val="en-US" w:eastAsia="zh-CN"/>
        </w:rPr>
        <w:t>，促进经济、社会、环境效益统一</w:t>
      </w:r>
      <w:r>
        <w:rPr>
          <w:rFonts w:hint="eastAsia" w:ascii="Times New Roman" w:hAnsi="Times New Roman" w:cs="宋体"/>
          <w:lang w:val="en-US" w:eastAsia="zh-CN"/>
        </w:rPr>
        <w:t>。</w:t>
      </w:r>
    </w:p>
    <w:p w14:paraId="06B5B615">
      <w:pPr>
        <w:pStyle w:val="3"/>
        <w:rPr>
          <w:rFonts w:ascii="Times New Roman" w:hAnsi="Times New Roman"/>
        </w:rPr>
      </w:pPr>
      <w:r>
        <w:rPr>
          <w:rFonts w:ascii="Times New Roman" w:hAnsi="Times New Roman"/>
        </w:rPr>
        <w:t>（二）</w:t>
      </w:r>
      <w:r>
        <w:rPr>
          <w:rFonts w:hint="eastAsia" w:ascii="Times New Roman" w:hAnsi="Times New Roman"/>
        </w:rPr>
        <w:t>编制过程简介</w:t>
      </w:r>
    </w:p>
    <w:p w14:paraId="0626D2E2">
      <w:pPr>
        <w:ind w:firstLine="560"/>
        <w:rPr>
          <w:rFonts w:hint="eastAsia" w:ascii="Times New Roman" w:hAnsi="Times New Roman" w:cs="宋体"/>
          <w:lang w:val="en-US" w:eastAsia="zh-CN"/>
        </w:rPr>
      </w:pPr>
      <w:r>
        <w:rPr>
          <w:rFonts w:hint="eastAsia" w:ascii="Times New Roman" w:hAnsi="Times New Roman" w:cs="宋体"/>
        </w:rPr>
        <w:t>本技术规范的编制任务</w:t>
      </w:r>
      <w:r>
        <w:rPr>
          <w:rFonts w:hint="eastAsia" w:ascii="Times New Roman" w:hAnsi="Times New Roman" w:cs="宋体"/>
          <w:lang w:val="en-US" w:eastAsia="zh-CN"/>
        </w:rPr>
        <w:t>来</w:t>
      </w:r>
      <w:r>
        <w:rPr>
          <w:rFonts w:hint="eastAsia" w:ascii="Times New Roman" w:hAnsi="Times New Roman" w:cs="宋体"/>
        </w:rPr>
        <w:t>源于海南消费领域区域公共品牌建设与管理的实际需求。</w:t>
      </w:r>
      <w:r>
        <w:rPr>
          <w:rFonts w:hint="eastAsia" w:ascii="Times New Roman" w:hAnsi="Times New Roman" w:cs="宋体"/>
          <w:lang w:val="en-US" w:eastAsia="zh-CN"/>
        </w:rPr>
        <w:t>标准编制过程：</w:t>
      </w:r>
    </w:p>
    <w:p w14:paraId="03286E7F">
      <w:pPr>
        <w:pStyle w:val="4"/>
        <w:rPr>
          <w:rFonts w:hint="eastAsia" w:cs="宋体"/>
          <w:lang w:val="en-US" w:eastAsia="zh-CN"/>
        </w:rPr>
      </w:pPr>
      <w:bookmarkStart w:id="1" w:name="_GoBack"/>
      <w:r>
        <w:rPr>
          <w:rFonts w:hint="eastAsia" w:cs="宋体"/>
          <w:lang w:val="en-US" w:eastAsia="zh-CN"/>
        </w:rPr>
        <w:t>1、成立工作组</w:t>
      </w:r>
    </w:p>
    <w:bookmarkEnd w:id="1"/>
    <w:p w14:paraId="570B7F8B">
      <w:pPr>
        <w:ind w:firstLine="640"/>
      </w:pPr>
      <w:r>
        <w:rPr>
          <w:rFonts w:hint="eastAsia"/>
        </w:rPr>
        <w:t>团体标准研制计划下达后，方圆标志认证集团有限公司作为标准研制牵头单位随即</w:t>
      </w:r>
      <w:r>
        <w:rPr>
          <w:rFonts w:hint="eastAsia"/>
          <w:lang w:val="en-US" w:eastAsia="zh-CN"/>
        </w:rPr>
        <w:t>组织</w:t>
      </w:r>
      <w:r>
        <w:rPr>
          <w:rFonts w:hint="eastAsia" w:ascii="Times New Roman" w:hAnsi="Times New Roman" w:cs="宋体"/>
          <w:lang w:val="en-US" w:eastAsia="zh-CN"/>
        </w:rPr>
        <w:t>成立标准编制工作组，</w:t>
      </w:r>
      <w:r>
        <w:rPr>
          <w:rFonts w:hint="eastAsia"/>
        </w:rPr>
        <w:t>对编制工作总体部署和任务分工，明确标准适用范围、主要框架内容、编制时间节点等。</w:t>
      </w:r>
    </w:p>
    <w:p w14:paraId="2FD2DD36">
      <w:pPr>
        <w:pStyle w:val="4"/>
        <w:rPr>
          <w:rFonts w:hint="eastAsia"/>
        </w:rPr>
      </w:pPr>
      <w:r>
        <w:rPr>
          <w:rFonts w:hint="eastAsia"/>
          <w:lang w:val="en-US" w:eastAsia="zh-CN"/>
        </w:rPr>
        <w:t>2、</w:t>
      </w:r>
      <w:r>
        <w:rPr>
          <w:rFonts w:hint="eastAsia"/>
        </w:rPr>
        <w:t>实地调研</w:t>
      </w:r>
    </w:p>
    <w:p w14:paraId="52967E7E">
      <w:pPr>
        <w:ind w:firstLine="640"/>
        <w:rPr>
          <w:rFonts w:hint="eastAsia"/>
          <w:lang w:val="en-US" w:eastAsia="zh-CN"/>
        </w:rPr>
      </w:pPr>
      <w:r>
        <w:rPr>
          <w:rFonts w:hint="eastAsia"/>
          <w:lang w:eastAsia="zh-CN"/>
        </w:rPr>
        <w:t>标准工作组</w:t>
      </w:r>
      <w:r>
        <w:rPr>
          <w:rFonts w:hint="eastAsia"/>
          <w:lang w:val="en-US" w:eastAsia="zh-CN"/>
        </w:rPr>
        <w:t>组织</w:t>
      </w:r>
      <w:r>
        <w:rPr>
          <w:rFonts w:hint="eastAsia"/>
        </w:rPr>
        <w:t>实地调研，通过沟通及实地查看等方式，了解和掌握</w:t>
      </w:r>
      <w:r>
        <w:rPr>
          <w:rFonts w:hint="eastAsia"/>
          <w:lang w:val="en-US" w:eastAsia="zh-CN"/>
        </w:rPr>
        <w:t>海南省多个市县旅游业、旅游商品、有税/免税购物、农产品供应链、税收奖补等主要服务业资源、服务业服务现状和存在问题，对消费领域产业协同发展的需求和期望，总结其优点和可借鉴之处。</w:t>
      </w:r>
    </w:p>
    <w:p w14:paraId="4DB567F3">
      <w:pPr>
        <w:pStyle w:val="4"/>
        <w:rPr>
          <w:rFonts w:hint="eastAsia"/>
          <w:lang w:val="en-US" w:eastAsia="zh-CN"/>
        </w:rPr>
      </w:pPr>
      <w:r>
        <w:rPr>
          <w:rFonts w:hint="eastAsia"/>
          <w:lang w:val="en-US" w:eastAsia="zh-CN"/>
        </w:rPr>
        <w:t>3、编制标准草案</w:t>
      </w:r>
    </w:p>
    <w:p w14:paraId="37E00E8C">
      <w:pPr>
        <w:ind w:firstLine="640"/>
      </w:pPr>
      <w:r>
        <w:rPr>
          <w:rFonts w:hint="eastAsia"/>
          <w:lang w:eastAsia="zh-CN"/>
        </w:rPr>
        <w:t>标准工作组</w:t>
      </w:r>
      <w:r>
        <w:rPr>
          <w:rFonts w:hint="eastAsia"/>
          <w:lang w:val="en-US" w:eastAsia="zh-CN"/>
        </w:rPr>
        <w:t>基于</w:t>
      </w:r>
      <w:r>
        <w:rPr>
          <w:rFonts w:hint="eastAsia" w:ascii="Times New Roman" w:hAnsi="Times New Roman" w:cs="宋体"/>
          <w:lang w:val="en-US" w:eastAsia="zh-CN"/>
        </w:rPr>
        <w:t>收集海南省自贸港、消费领域重要产业发展文件、</w:t>
      </w:r>
      <w:r>
        <w:rPr>
          <w:rFonts w:hint="eastAsia"/>
          <w:lang w:val="en-US" w:eastAsia="zh-CN"/>
        </w:rPr>
        <w:t>服务业通用国内外</w:t>
      </w:r>
      <w:r>
        <w:rPr>
          <w:rFonts w:hint="eastAsia"/>
        </w:rPr>
        <w:t>相关法律法规、政策文件和标准，包括国家标准、行业标准、国际标准和国外先进标准</w:t>
      </w:r>
      <w:r>
        <w:rPr>
          <w:rFonts w:hint="eastAsia"/>
          <w:lang w:eastAsia="zh-CN"/>
        </w:rPr>
        <w:t>，</w:t>
      </w:r>
      <w:r>
        <w:rPr>
          <w:rFonts w:hint="eastAsia"/>
          <w:lang w:val="en-US" w:eastAsia="zh-CN"/>
        </w:rPr>
        <w:t>以及</w:t>
      </w:r>
      <w:r>
        <w:rPr>
          <w:rFonts w:hint="eastAsia"/>
        </w:rPr>
        <w:t>外省地方标准和团体标准情况，在资料搜集和研读的基础上，摸清</w:t>
      </w:r>
      <w:r>
        <w:rPr>
          <w:rFonts w:hint="eastAsia"/>
          <w:lang w:val="en-US" w:eastAsia="zh-CN"/>
        </w:rPr>
        <w:t>服务业</w:t>
      </w:r>
      <w:r>
        <w:rPr>
          <w:rFonts w:hint="eastAsia"/>
        </w:rPr>
        <w:t>现状及标准化相关情况</w:t>
      </w:r>
      <w:r>
        <w:rPr>
          <w:rFonts w:hint="eastAsia"/>
          <w:lang w:eastAsia="zh-CN"/>
        </w:rPr>
        <w:t>，</w:t>
      </w:r>
      <w:r>
        <w:rPr>
          <w:rFonts w:hint="eastAsia"/>
          <w:lang w:val="en-US" w:eastAsia="zh-CN"/>
        </w:rPr>
        <w:t>深入</w:t>
      </w:r>
      <w:r>
        <w:rPr>
          <w:rFonts w:hint="eastAsia"/>
        </w:rPr>
        <w:t>了解海南省</w:t>
      </w:r>
      <w:r>
        <w:rPr>
          <w:rFonts w:hint="eastAsia"/>
          <w:lang w:val="en-US" w:eastAsia="zh-CN"/>
        </w:rPr>
        <w:t>服务业提供服务的</w:t>
      </w:r>
      <w:r>
        <w:rPr>
          <w:rFonts w:hint="eastAsia"/>
        </w:rPr>
        <w:t>典型案例，经过总结、提炼、识别、梳理后，按照既兼顾前瞻性和适用性，又确保科学性和</w:t>
      </w:r>
      <w:r>
        <w:rPr>
          <w:rFonts w:hint="eastAsia"/>
          <w:lang w:val="en-US" w:eastAsia="zh-CN"/>
        </w:rPr>
        <w:t>可操作</w:t>
      </w:r>
      <w:r>
        <w:rPr>
          <w:rFonts w:hint="eastAsia"/>
        </w:rPr>
        <w:t>性的原则，搭建标准框架，编制标准草案。</w:t>
      </w:r>
    </w:p>
    <w:p w14:paraId="2CDBCBDA">
      <w:pPr>
        <w:ind w:firstLine="640"/>
      </w:pPr>
      <w:r>
        <w:rPr>
          <w:rFonts w:hint="eastAsia" w:ascii="Times New Roman" w:hAnsi="Times New Roman" w:cs="宋体"/>
        </w:rPr>
        <w:t>在标准草案的基础上，在方圆标志认证集团有限公司的统筹安排下，</w:t>
      </w:r>
      <w:r>
        <w:rPr>
          <w:rFonts w:hint="eastAsia" w:ascii="Times New Roman" w:hAnsi="Times New Roman" w:cs="宋体"/>
          <w:lang w:eastAsia="zh-CN"/>
        </w:rPr>
        <w:t>标准工作组</w:t>
      </w:r>
      <w:r>
        <w:rPr>
          <w:rFonts w:hint="eastAsia" w:ascii="Times New Roman" w:hAnsi="Times New Roman" w:cs="宋体"/>
        </w:rPr>
        <w:t>组织标准编制专题研讨会，对标准草案框架及内容进行逐条研讨</w:t>
      </w:r>
      <w:r>
        <w:rPr>
          <w:rFonts w:hint="eastAsia" w:ascii="Times New Roman" w:hAnsi="Times New Roman" w:cs="宋体"/>
          <w:lang w:eastAsia="zh-CN"/>
        </w:rPr>
        <w:t>，</w:t>
      </w:r>
      <w:r>
        <w:rPr>
          <w:rFonts w:hint="eastAsia" w:ascii="Times New Roman" w:hAnsi="Times New Roman" w:cs="宋体"/>
          <w:lang w:val="en-US" w:eastAsia="zh-CN"/>
        </w:rPr>
        <w:t>会后修改完善标准草案</w:t>
      </w:r>
      <w:r>
        <w:rPr>
          <w:rFonts w:hint="eastAsia" w:ascii="Times New Roman" w:hAnsi="Times New Roman" w:cs="宋体"/>
        </w:rPr>
        <w:t>。同时，根据最新的标准编写规范GB/T1.1—2020对标准结构和语言表述进行修改完善</w:t>
      </w:r>
      <w:r>
        <w:rPr>
          <w:rFonts w:hint="eastAsia" w:ascii="Times New Roman" w:hAnsi="Times New Roman" w:cs="宋体"/>
          <w:lang w:eastAsia="zh-CN"/>
        </w:rPr>
        <w:t>，</w:t>
      </w:r>
      <w:r>
        <w:rPr>
          <w:rFonts w:hint="eastAsia" w:ascii="Times New Roman" w:hAnsi="Times New Roman" w:cs="宋体"/>
        </w:rPr>
        <w:t>形成</w:t>
      </w:r>
      <w:r>
        <w:rPr>
          <w:rFonts w:hint="eastAsia" w:cs="宋体"/>
          <w:lang w:eastAsia="zh-CN"/>
        </w:rPr>
        <w:t>标准工作组征求意见稿</w:t>
      </w:r>
      <w:r>
        <w:rPr>
          <w:rFonts w:hint="eastAsia" w:ascii="Times New Roman" w:hAnsi="Times New Roman" w:cs="宋体"/>
        </w:rPr>
        <w:t>（包括标准文本和标准编制说明）。</w:t>
      </w:r>
    </w:p>
    <w:p w14:paraId="07282A09">
      <w:pPr>
        <w:pStyle w:val="3"/>
        <w:rPr>
          <w:rFonts w:ascii="Times New Roman" w:hAnsi="Times New Roman"/>
        </w:rPr>
      </w:pPr>
      <w:r>
        <w:rPr>
          <w:rFonts w:ascii="Times New Roman" w:hAnsi="Times New Roman"/>
        </w:rPr>
        <w:t>（三）制定标准的原则和依据，与现行法律法规、标准的关系</w:t>
      </w:r>
    </w:p>
    <w:p w14:paraId="2AE13DD0">
      <w:pPr>
        <w:pStyle w:val="4"/>
      </w:pPr>
      <w:r>
        <w:t>1</w:t>
      </w:r>
      <w:r>
        <w:rPr>
          <w:rFonts w:hint="eastAsia"/>
        </w:rPr>
        <w:t>、</w:t>
      </w:r>
      <w:r>
        <w:t>制定标准的原则</w:t>
      </w:r>
    </w:p>
    <w:p w14:paraId="4F493F06">
      <w:pPr>
        <w:ind w:firstLine="640"/>
        <w:rPr>
          <w:rFonts w:hint="eastAsia" w:ascii="Times New Roman" w:hAnsi="Times New Roman" w:cs="宋体"/>
          <w:highlight w:val="none"/>
          <w:lang w:val="en-US" w:eastAsia="zh-CN"/>
        </w:rPr>
      </w:pPr>
      <w:r>
        <w:rPr>
          <w:rFonts w:hint="eastAsia" w:ascii="Times New Roman" w:hAnsi="Times New Roman" w:cs="宋体"/>
          <w:highlight w:val="none"/>
        </w:rPr>
        <w:t>①科学性：</w:t>
      </w:r>
      <w:r>
        <w:rPr>
          <w:rFonts w:hint="eastAsia" w:cs="宋体"/>
          <w:highlight w:val="none"/>
          <w:lang w:val="en-US" w:eastAsia="zh-CN"/>
        </w:rPr>
        <w:t>基于服务业质量管理理论和实践，</w:t>
      </w:r>
      <w:r>
        <w:rPr>
          <w:rFonts w:hint="eastAsia" w:ascii="Times New Roman" w:hAnsi="Times New Roman" w:cs="宋体"/>
          <w:highlight w:val="none"/>
          <w:lang w:val="en-US" w:eastAsia="zh-CN"/>
        </w:rPr>
        <w:t>以科学的理论和方法为指导，确保规范的技术要求和指标体系具有科学性和合理性。</w:t>
      </w:r>
    </w:p>
    <w:p w14:paraId="24272F82">
      <w:pPr>
        <w:ind w:firstLine="640"/>
        <w:rPr>
          <w:rFonts w:hint="eastAsia" w:ascii="Times New Roman" w:hAnsi="Times New Roman" w:cs="宋体"/>
          <w:highlight w:val="none"/>
          <w:lang w:val="en-US" w:eastAsia="zh-CN"/>
        </w:rPr>
      </w:pPr>
      <w:r>
        <w:rPr>
          <w:rFonts w:hint="eastAsia" w:ascii="Times New Roman" w:hAnsi="Times New Roman" w:cs="宋体"/>
          <w:highlight w:val="none"/>
        </w:rPr>
        <w:t>②适用性：</w:t>
      </w:r>
      <w:r>
        <w:rPr>
          <w:rFonts w:hint="eastAsia" w:ascii="Times New Roman" w:hAnsi="Times New Roman" w:cs="宋体"/>
          <w:highlight w:val="none"/>
          <w:lang w:val="en-US" w:eastAsia="zh-CN"/>
        </w:rPr>
        <w:t>结合海南特色和自贸港建设需求和服务质量需求，为海南消费领域区域公共品牌建设提供切实可行的指导。</w:t>
      </w:r>
    </w:p>
    <w:p w14:paraId="33B7569B">
      <w:pPr>
        <w:ind w:firstLine="640"/>
        <w:rPr>
          <w:rFonts w:hint="eastAsia"/>
          <w:lang w:val="en-US" w:eastAsia="zh-CN"/>
        </w:rPr>
      </w:pPr>
      <w:r>
        <w:rPr>
          <w:rFonts w:hint="eastAsia" w:ascii="Times New Roman" w:hAnsi="Times New Roman" w:cs="宋体"/>
          <w:highlight w:val="none"/>
        </w:rPr>
        <w:t>③</w:t>
      </w:r>
      <w:r>
        <w:rPr>
          <w:rFonts w:hint="eastAsia" w:ascii="Times New Roman" w:hAnsi="Times New Roman" w:cs="宋体"/>
          <w:highlight w:val="none"/>
          <w:lang w:val="en-US" w:eastAsia="zh-CN"/>
        </w:rPr>
        <w:t>规范性：</w:t>
      </w:r>
      <w:r>
        <w:rPr>
          <w:rFonts w:hint="eastAsia"/>
        </w:rPr>
        <w:t>符合GB/T1.1—2020《标准化工作导则第1部分：标准化文件的结构和起草规则》的编写要求</w:t>
      </w:r>
      <w:r>
        <w:rPr>
          <w:rFonts w:hint="eastAsia"/>
          <w:lang w:eastAsia="zh-CN"/>
        </w:rPr>
        <w:t>，</w:t>
      </w:r>
      <w:r>
        <w:rPr>
          <w:rFonts w:hint="eastAsia"/>
          <w:lang w:val="en-US" w:eastAsia="zh-CN"/>
        </w:rPr>
        <w:t>确保格式规范</w:t>
      </w:r>
      <w:r>
        <w:rPr>
          <w:rFonts w:hint="eastAsia"/>
          <w:lang w:eastAsia="zh-CN"/>
        </w:rPr>
        <w:t>。</w:t>
      </w:r>
    </w:p>
    <w:p w14:paraId="5D3DF6A5">
      <w:pPr>
        <w:ind w:firstLine="640"/>
        <w:rPr>
          <w:rFonts w:hint="eastAsia"/>
          <w:lang w:val="en-US" w:eastAsia="zh-CN"/>
        </w:rPr>
      </w:pPr>
      <w:r>
        <w:rPr>
          <w:rFonts w:hint="default"/>
          <w:lang w:val="en-US" w:eastAsia="zh-CN"/>
        </w:rPr>
        <w:t>④</w:t>
      </w:r>
      <w:r>
        <w:rPr>
          <w:rFonts w:hint="eastAsia"/>
          <w:lang w:val="en-US" w:eastAsia="zh-CN"/>
        </w:rPr>
        <w:t>协调性：</w:t>
      </w:r>
      <w:r>
        <w:rPr>
          <w:rFonts w:hint="eastAsia" w:cs="宋体"/>
          <w:lang w:val="en-US" w:eastAsia="zh-CN"/>
        </w:rPr>
        <w:t>与相关法律法规和政策协调一致。</w:t>
      </w:r>
    </w:p>
    <w:p w14:paraId="66021E83">
      <w:pPr>
        <w:ind w:firstLine="640"/>
        <w:rPr>
          <w:rFonts w:hint="default"/>
          <w:lang w:val="en-US" w:eastAsia="zh-CN"/>
        </w:rPr>
      </w:pPr>
      <w:r>
        <w:rPr>
          <w:rFonts w:hint="default" w:ascii="Times New Roman" w:hAnsi="Times New Roman" w:cs="宋体"/>
          <w:highlight w:val="none"/>
          <w:lang w:val="en-US" w:eastAsia="zh-CN"/>
        </w:rPr>
        <w:t>⑤</w:t>
      </w:r>
      <w:r>
        <w:rPr>
          <w:rFonts w:hint="eastAsia"/>
          <w:lang w:val="en-US" w:eastAsia="zh-CN"/>
        </w:rPr>
        <w:t>兼容性：运用科学的服务理论、技术和方法，持续满足顾客对于服务的需求和期望。与多个标准之间与服务、顾客满意度有关要求兼容和扩展。如ISO质量管理体系标准、服务认证标准等标准兼容性。</w:t>
      </w:r>
    </w:p>
    <w:p w14:paraId="28EF5943">
      <w:pPr>
        <w:ind w:firstLine="640"/>
        <w:rPr>
          <w:rFonts w:hint="eastAsia" w:ascii="Times New Roman" w:hAnsi="Times New Roman" w:cs="宋体"/>
        </w:rPr>
      </w:pPr>
      <w:r>
        <w:rPr>
          <w:rFonts w:hint="default" w:ascii="Times New Roman" w:hAnsi="Times New Roman" w:cs="宋体"/>
          <w:highlight w:val="none"/>
          <w:lang w:val="en-US" w:eastAsia="zh-CN"/>
        </w:rPr>
        <w:t>⑥</w:t>
      </w:r>
      <w:r>
        <w:rPr>
          <w:rFonts w:hint="eastAsia" w:ascii="Times New Roman" w:hAnsi="Times New Roman" w:cs="宋体"/>
          <w:highlight w:val="none"/>
          <w:lang w:val="en-US" w:eastAsia="zh-CN"/>
        </w:rPr>
        <w:t>前瞻性：</w:t>
      </w:r>
      <w:r>
        <w:rPr>
          <w:rFonts w:hint="eastAsia"/>
        </w:rPr>
        <w:t>兼顾</w:t>
      </w:r>
      <w:r>
        <w:rPr>
          <w:rFonts w:hint="eastAsia" w:ascii="Times New Roman" w:hAnsi="Times New Roman" w:cs="宋体"/>
          <w:highlight w:val="none"/>
          <w:lang w:val="en-US" w:eastAsia="zh-CN"/>
        </w:rPr>
        <w:t>未来海南消费领域区域公共品牌发展</w:t>
      </w:r>
      <w:r>
        <w:rPr>
          <w:rFonts w:hint="eastAsia" w:cs="宋体"/>
          <w:highlight w:val="none"/>
          <w:lang w:val="en-US" w:eastAsia="zh-CN"/>
        </w:rPr>
        <w:t>和服务业发展</w:t>
      </w:r>
      <w:r>
        <w:rPr>
          <w:rFonts w:hint="eastAsia" w:ascii="Times New Roman" w:hAnsi="Times New Roman" w:cs="宋体"/>
          <w:highlight w:val="none"/>
          <w:lang w:val="en-US" w:eastAsia="zh-CN"/>
        </w:rPr>
        <w:t>需要</w:t>
      </w:r>
      <w:r>
        <w:rPr>
          <w:rFonts w:hint="eastAsia"/>
        </w:rPr>
        <w:t>，</w:t>
      </w:r>
      <w:r>
        <w:rPr>
          <w:rFonts w:hint="eastAsia" w:ascii="Times New Roman" w:hAnsi="Times New Roman" w:cs="宋体"/>
          <w:highlight w:val="none"/>
          <w:lang w:val="en-US" w:eastAsia="zh-CN"/>
        </w:rPr>
        <w:t>在规范中预留一定的技术升级和功能扩展空间。</w:t>
      </w:r>
    </w:p>
    <w:p w14:paraId="0CD442FA">
      <w:pPr>
        <w:pStyle w:val="4"/>
      </w:pPr>
      <w:r>
        <w:t>2</w:t>
      </w:r>
      <w:r>
        <w:rPr>
          <w:rFonts w:hint="eastAsia"/>
        </w:rPr>
        <w:t>、</w:t>
      </w:r>
      <w:r>
        <w:t>制定标准的依据</w:t>
      </w:r>
    </w:p>
    <w:p w14:paraId="47F15CB6">
      <w:pPr>
        <w:ind w:firstLine="640"/>
      </w:pPr>
      <w:r>
        <w:rPr>
          <w:rFonts w:hint="eastAsia" w:ascii="Times New Roman" w:hAnsi="Times New Roman" w:cs="宋体"/>
          <w:highlight w:val="none"/>
          <w:lang w:val="en-US" w:eastAsia="zh-CN"/>
        </w:rPr>
        <w:t>本标准在编制过程中，重点引用和参考相关法律法规、政府文件及相关技术性文件等，包括：</w:t>
      </w:r>
      <w:r>
        <w:rPr>
          <w:rFonts w:hint="default" w:ascii="Times New Roman" w:hAnsi="Times New Roman" w:cs="宋体"/>
          <w:highlight w:val="none"/>
          <w:lang w:val="en-US" w:eastAsia="zh-CN"/>
        </w:rPr>
        <w:t>海南自由贸易港相关法律法规和政策文件</w:t>
      </w:r>
      <w:r>
        <w:rPr>
          <w:rFonts w:hint="eastAsia" w:cs="宋体"/>
          <w:highlight w:val="none"/>
          <w:lang w:val="en-US" w:eastAsia="zh-CN"/>
        </w:rPr>
        <w:t>、</w:t>
      </w:r>
      <w:r>
        <w:rPr>
          <w:rFonts w:hint="eastAsia" w:ascii="Times New Roman" w:hAnsi="Times New Roman" w:cs="宋体"/>
          <w:highlight w:val="none"/>
          <w:lang w:val="en-US" w:eastAsia="zh-CN"/>
        </w:rPr>
        <w:t>《海南消费领域区域公共品牌战略规划（初稿）》</w:t>
      </w:r>
      <w:r>
        <w:rPr>
          <w:rFonts w:hint="eastAsia" w:cs="宋体"/>
          <w:highlight w:val="none"/>
          <w:lang w:val="en-US" w:eastAsia="zh-CN"/>
        </w:rPr>
        <w:t>、</w:t>
      </w:r>
      <w:r>
        <w:rPr>
          <w:rFonts w:hint="default" w:ascii="Times New Roman" w:hAnsi="Times New Roman" w:cs="宋体"/>
          <w:highlight w:val="none"/>
          <w:lang w:val="en-US" w:eastAsia="zh-CN"/>
        </w:rPr>
        <w:t>国家服务业质量提升相关政策文件</w:t>
      </w:r>
      <w:r>
        <w:rPr>
          <w:rFonts w:hint="eastAsia" w:cs="宋体"/>
          <w:highlight w:val="none"/>
          <w:lang w:val="en-US" w:eastAsia="zh-CN"/>
        </w:rPr>
        <w:t>、</w:t>
      </w:r>
      <w:r>
        <w:rPr>
          <w:rFonts w:hint="default" w:ascii="Times New Roman" w:hAnsi="Times New Roman" w:cs="宋体"/>
          <w:highlight w:val="none"/>
          <w:lang w:val="en-US" w:eastAsia="zh-CN"/>
        </w:rPr>
        <w:t>海南省服务业发展相关规划</w:t>
      </w:r>
      <w:r>
        <w:rPr>
          <w:rFonts w:hint="eastAsia" w:ascii="Times New Roman" w:hAnsi="Times New Roman" w:cs="宋体"/>
          <w:highlight w:val="none"/>
          <w:lang w:val="en-US" w:eastAsia="zh-CN"/>
        </w:rPr>
        <w:t>等</w:t>
      </w:r>
    </w:p>
    <w:p w14:paraId="7608D118">
      <w:pPr>
        <w:pStyle w:val="4"/>
      </w:pPr>
      <w:r>
        <w:t>3</w:t>
      </w:r>
      <w:r>
        <w:rPr>
          <w:rFonts w:hint="eastAsia"/>
        </w:rPr>
        <w:t>、</w:t>
      </w:r>
      <w:r>
        <w:t>与有关的现行法律法规、标准的关系</w:t>
      </w:r>
    </w:p>
    <w:p w14:paraId="6DEB8F02">
      <w:pPr>
        <w:ind w:firstLine="640"/>
      </w:pPr>
      <w:r>
        <w:rPr>
          <w:rFonts w:hint="eastAsia" w:ascii="Times New Roman" w:hAnsi="Times New Roman" w:cs="宋体"/>
          <w:highlight w:val="none"/>
          <w:lang w:val="en-US" w:eastAsia="zh-CN"/>
        </w:rPr>
        <w:t>本标准与《中华人民共和国标准化法》《海南省标准化管理办法》等法律法规相衔接，无冲突。</w:t>
      </w:r>
    </w:p>
    <w:p w14:paraId="046DE701">
      <w:pPr>
        <w:pStyle w:val="3"/>
        <w:rPr>
          <w:rFonts w:ascii="Times New Roman" w:hAnsi="Times New Roman"/>
        </w:rPr>
      </w:pPr>
      <w:r>
        <w:rPr>
          <w:rFonts w:ascii="Times New Roman" w:hAnsi="Times New Roman"/>
        </w:rPr>
        <w:t>（四）主要条款的说明，主要技术指标、参数、试验验证的论述</w:t>
      </w:r>
    </w:p>
    <w:p w14:paraId="0743D6C0">
      <w:pPr>
        <w:pStyle w:val="4"/>
      </w:pPr>
      <w:r>
        <w:t>1</w:t>
      </w:r>
      <w:r>
        <w:rPr>
          <w:rFonts w:hint="eastAsia"/>
        </w:rPr>
        <w:t>、</w:t>
      </w:r>
      <w:r>
        <w:t>主要条款</w:t>
      </w:r>
    </w:p>
    <w:p w14:paraId="260C71BA">
      <w:pPr>
        <w:ind w:firstLine="577"/>
        <w:rPr>
          <w:rFonts w:hint="eastAsia" w:ascii="Times New Roman" w:hAnsi="Times New Roman" w:cs="宋体"/>
          <w:spacing w:val="-12"/>
          <w:lang w:val="en-US" w:eastAsia="zh-CN"/>
        </w:rPr>
      </w:pPr>
      <w:r>
        <w:rPr>
          <w:rFonts w:hint="eastAsia" w:ascii="Times New Roman" w:hAnsi="Times New Roman" w:cs="宋体"/>
          <w:spacing w:val="-12"/>
          <w:lang w:val="en-US" w:eastAsia="zh-CN"/>
        </w:rPr>
        <w:t>本标准作为</w:t>
      </w:r>
      <w:r>
        <w:rPr>
          <w:rFonts w:hint="eastAsia" w:cs="宋体"/>
          <w:spacing w:val="-12"/>
          <w:lang w:val="en-US" w:eastAsia="zh-CN"/>
        </w:rPr>
        <w:t>海南消费领域区域公共品牌</w:t>
      </w:r>
      <w:r>
        <w:rPr>
          <w:rFonts w:hint="eastAsia" w:ascii="Times New Roman" w:hAnsi="Times New Roman" w:cs="宋体"/>
          <w:spacing w:val="-12"/>
          <w:lang w:val="en-US" w:eastAsia="zh-CN"/>
        </w:rPr>
        <w:t>系列标准的第</w:t>
      </w:r>
      <w:r>
        <w:rPr>
          <w:rFonts w:hint="eastAsia" w:cs="宋体"/>
          <w:spacing w:val="-12"/>
          <w:lang w:val="en-US" w:eastAsia="zh-CN"/>
        </w:rPr>
        <w:t>一</w:t>
      </w:r>
      <w:r>
        <w:rPr>
          <w:rFonts w:hint="eastAsia" w:ascii="Times New Roman" w:hAnsi="Times New Roman" w:cs="宋体"/>
          <w:spacing w:val="-12"/>
          <w:lang w:val="en-US" w:eastAsia="zh-CN"/>
        </w:rPr>
        <w:t>层级文件，共</w:t>
      </w:r>
      <w:r>
        <w:rPr>
          <w:rFonts w:hint="eastAsia" w:cs="宋体"/>
          <w:spacing w:val="-12"/>
          <w:lang w:val="en-US" w:eastAsia="zh-CN"/>
        </w:rPr>
        <w:t>6</w:t>
      </w:r>
      <w:r>
        <w:rPr>
          <w:rFonts w:hint="eastAsia" w:ascii="Times New Roman" w:hAnsi="Times New Roman" w:cs="宋体"/>
          <w:spacing w:val="-12"/>
          <w:lang w:val="en-US" w:eastAsia="zh-CN"/>
        </w:rPr>
        <w:t>章。</w:t>
      </w:r>
    </w:p>
    <w:p w14:paraId="33EE8EC6">
      <w:pPr>
        <w:ind w:firstLine="577"/>
        <w:rPr>
          <w:rFonts w:hint="eastAsia"/>
          <w:spacing w:val="-12"/>
          <w:lang w:val="en-US" w:eastAsia="zh-CN"/>
        </w:rPr>
      </w:pPr>
      <w:r>
        <w:rPr>
          <w:rFonts w:hint="eastAsia" w:cs="宋体"/>
          <w:spacing w:val="-12"/>
          <w:lang w:val="en-US" w:eastAsia="zh-CN"/>
        </w:rPr>
        <w:t>本标准的章节由范围、规范性引用文件、术语和定义、服务要求、管理要求、可持续发展要求共6章组成。其中“服务要求”、“管理要求”、“可持续发展要求”是本标准的核心技术内容。</w:t>
      </w:r>
    </w:p>
    <w:p w14:paraId="6CF9988C">
      <w:pPr>
        <w:ind w:firstLine="577"/>
        <w:rPr>
          <w:rFonts w:hint="eastAsia"/>
          <w:spacing w:val="-12"/>
          <w:lang w:val="en-US" w:eastAsia="zh-CN"/>
        </w:rPr>
      </w:pPr>
      <w:r>
        <w:rPr>
          <w:rFonts w:hint="eastAsia"/>
          <w:spacing w:val="-12"/>
          <w:lang w:val="en-US" w:eastAsia="zh-CN"/>
        </w:rPr>
        <w:t>第一至第三章分别给出了该标准的范围、规范性引用文件及术语和定义。</w:t>
      </w:r>
    </w:p>
    <w:p w14:paraId="22076FA8">
      <w:pPr>
        <w:ind w:firstLine="577"/>
        <w:rPr>
          <w:rFonts w:hint="eastAsia" w:cs="宋体"/>
          <w:spacing w:val="-12"/>
          <w:lang w:val="en-US" w:eastAsia="zh-CN"/>
        </w:rPr>
      </w:pPr>
      <w:r>
        <w:rPr>
          <w:rFonts w:hint="eastAsia" w:cs="宋体"/>
          <w:spacing w:val="-12"/>
          <w:lang w:val="en-US" w:eastAsia="zh-CN"/>
        </w:rPr>
        <w:t>-范围：规定了海南消费领域区域公共品牌区域服务业的服务要求、管理要求和可持续发展要求。本文件适用于海南消费领域区域公共品牌的服务提供者的内部自我评价和外部第三方认证。</w:t>
      </w:r>
    </w:p>
    <w:p w14:paraId="003E6461">
      <w:pPr>
        <w:ind w:firstLine="577"/>
        <w:rPr>
          <w:rFonts w:hint="eastAsia" w:cs="宋体"/>
          <w:spacing w:val="-12"/>
          <w:lang w:val="en-US" w:eastAsia="zh-CN"/>
        </w:rPr>
      </w:pPr>
      <w:r>
        <w:rPr>
          <w:rFonts w:hint="eastAsia" w:cs="宋体"/>
          <w:spacing w:val="-12"/>
          <w:lang w:val="en-US" w:eastAsia="zh-CN"/>
        </w:rPr>
        <w:t>-规范性引用文件：本文件没有规范性引用文件。</w:t>
      </w:r>
    </w:p>
    <w:p w14:paraId="127AF531">
      <w:pPr>
        <w:ind w:firstLine="577"/>
        <w:rPr>
          <w:rFonts w:hint="default" w:cs="宋体"/>
          <w:spacing w:val="-12"/>
          <w:lang w:val="en-US" w:eastAsia="zh-CN"/>
        </w:rPr>
      </w:pPr>
      <w:r>
        <w:rPr>
          <w:rFonts w:hint="eastAsia" w:cs="宋体"/>
          <w:spacing w:val="-12"/>
          <w:lang w:val="en-US" w:eastAsia="zh-CN"/>
        </w:rPr>
        <w:t>-术语和定义：该章节给出了“服务业组织”、“海南消费领域区域公共品牌服务业组织”的定义。</w:t>
      </w:r>
    </w:p>
    <w:p w14:paraId="2622DF06">
      <w:pPr>
        <w:ind w:firstLine="577"/>
        <w:rPr>
          <w:rFonts w:hint="eastAsia" w:cs="宋体"/>
          <w:spacing w:val="-12"/>
          <w:lang w:val="en-US" w:eastAsia="zh-CN"/>
        </w:rPr>
      </w:pPr>
      <w:r>
        <w:rPr>
          <w:rFonts w:hint="eastAsia" w:cs="宋体"/>
          <w:spacing w:val="-12"/>
          <w:lang w:val="en-US" w:eastAsia="zh-CN"/>
        </w:rPr>
        <w:t>第四章服务要求，该章节规定基本服务要求和具体服务提供要求。</w:t>
      </w:r>
    </w:p>
    <w:p w14:paraId="67A3D95C">
      <w:pPr>
        <w:ind w:firstLine="577"/>
        <w:rPr>
          <w:rFonts w:hint="eastAsia" w:cs="宋体"/>
          <w:spacing w:val="-12"/>
          <w:lang w:val="en-US" w:eastAsia="zh-CN"/>
        </w:rPr>
      </w:pPr>
      <w:r>
        <w:rPr>
          <w:rFonts w:hint="eastAsia" w:cs="宋体"/>
          <w:spacing w:val="-12"/>
          <w:lang w:val="en-US" w:eastAsia="zh-CN"/>
        </w:rPr>
        <w:t>第五章管理要求，该章节涵盖</w:t>
      </w:r>
      <w:bookmarkStart w:id="0" w:name="_Toc178735101"/>
      <w:r>
        <w:rPr>
          <w:rFonts w:hint="eastAsia" w:cs="宋体"/>
          <w:spacing w:val="-12"/>
          <w:lang w:val="en-US" w:eastAsia="zh-CN"/>
        </w:rPr>
        <w:t>服务过程、人员、健康安全、环境设施、品牌管理和持续改进等管理要求。</w:t>
      </w:r>
    </w:p>
    <w:p w14:paraId="5D4F16AB">
      <w:pPr>
        <w:ind w:firstLine="577"/>
        <w:rPr>
          <w:rFonts w:hint="eastAsia" w:cs="宋体"/>
          <w:spacing w:val="-12"/>
          <w:lang w:val="en-US" w:eastAsia="zh-CN"/>
        </w:rPr>
      </w:pPr>
      <w:r>
        <w:rPr>
          <w:rFonts w:hint="eastAsia" w:cs="宋体"/>
          <w:spacing w:val="-12"/>
          <w:lang w:val="en-US" w:eastAsia="zh-CN"/>
        </w:rPr>
        <w:t>第六章可持续发展</w:t>
      </w:r>
      <w:bookmarkEnd w:id="0"/>
      <w:r>
        <w:rPr>
          <w:rFonts w:hint="eastAsia" w:cs="宋体"/>
          <w:spacing w:val="-12"/>
          <w:lang w:val="en-US" w:eastAsia="zh-CN"/>
        </w:rPr>
        <w:t>，该章节包括资源能源环境和社会责任方面的内容。</w:t>
      </w:r>
    </w:p>
    <w:p w14:paraId="3F1BC0F3">
      <w:pPr>
        <w:ind w:firstLine="577"/>
        <w:rPr>
          <w:spacing w:val="-12"/>
        </w:rPr>
      </w:pPr>
    </w:p>
    <w:p w14:paraId="54418AB0">
      <w:pPr>
        <w:pStyle w:val="4"/>
      </w:pPr>
      <w:r>
        <w:rPr>
          <w:rFonts w:hint="eastAsia"/>
          <w:spacing w:val="-2"/>
        </w:rPr>
        <w:t>2、</w:t>
      </w:r>
      <w:r>
        <w:t xml:space="preserve">主要技术指标、参数 </w:t>
      </w:r>
    </w:p>
    <w:p w14:paraId="7932E5F8">
      <w:pPr>
        <w:ind w:firstLine="577"/>
        <w:rPr>
          <w:rFonts w:hint="default" w:cs="宋体"/>
          <w:spacing w:val="-12"/>
          <w:lang w:val="en-US" w:eastAsia="zh-CN"/>
        </w:rPr>
      </w:pPr>
      <w:r>
        <w:rPr>
          <w:rFonts w:hint="eastAsia" w:cs="宋体"/>
          <w:spacing w:val="-12"/>
          <w:lang w:val="en-US" w:eastAsia="zh-CN"/>
        </w:rPr>
        <w:t>本文件的技术参数主要包括顾客感知维度（功能感知、经济感知、风险感知、价值感知、心理感知）、服务过程关键控制点、可持续发展指标等。</w:t>
      </w:r>
    </w:p>
    <w:p w14:paraId="388948CE">
      <w:pPr>
        <w:pStyle w:val="3"/>
      </w:pPr>
    </w:p>
    <w:p w14:paraId="66C8DF26">
      <w:pPr>
        <w:pStyle w:val="3"/>
      </w:pPr>
      <w:r>
        <w:t>（五）标准中如果涉及专利，应有明确的知识产权说明</w:t>
      </w:r>
    </w:p>
    <w:p w14:paraId="43259E61">
      <w:pPr>
        <w:ind w:firstLine="560"/>
      </w:pPr>
      <w:r>
        <w:t>无。</w:t>
      </w:r>
    </w:p>
    <w:p w14:paraId="0A5B031B">
      <w:pPr>
        <w:ind w:firstLine="560"/>
      </w:pPr>
    </w:p>
    <w:p w14:paraId="1539C675">
      <w:pPr>
        <w:pStyle w:val="3"/>
      </w:pPr>
      <w:r>
        <w:t>（六）采用国际标准或国外先进标准的，说明采标程度，以及国内外同类标准水平的对比情况</w:t>
      </w:r>
    </w:p>
    <w:p w14:paraId="0DB6ACBD">
      <w:pPr>
        <w:ind w:firstLine="640"/>
        <w:rPr>
          <w:rFonts w:hint="eastAsia" w:cs="宋体"/>
          <w:lang w:val="en-US" w:eastAsia="zh-CN"/>
        </w:rPr>
      </w:pPr>
      <w:r>
        <w:rPr>
          <w:rFonts w:hint="eastAsia" w:cs="宋体"/>
          <w:lang w:val="en-US" w:eastAsia="zh-CN"/>
        </w:rPr>
        <w:t>目前国内尚无专门针对消费领域区域公共品牌的服务业通用要求标准。</w:t>
      </w:r>
    </w:p>
    <w:p w14:paraId="212B8418">
      <w:pPr>
        <w:ind w:firstLine="640"/>
        <w:rPr>
          <w:rFonts w:hint="eastAsia" w:cs="宋体"/>
          <w:lang w:val="en-US" w:eastAsia="zh-CN"/>
        </w:rPr>
      </w:pPr>
      <w:r>
        <w:rPr>
          <w:rFonts w:hint="eastAsia" w:cs="宋体"/>
          <w:lang w:val="en-US" w:eastAsia="zh-CN"/>
        </w:rPr>
        <w:t>目前未查询到专门针对区域公共品牌服务业的国际标准。本标准制定过程中参考了ISO 9001质量管理体系、ISO 14001环境管理体系等国际标准理念。</w:t>
      </w:r>
    </w:p>
    <w:p w14:paraId="43C32883">
      <w:pPr>
        <w:ind w:firstLine="640"/>
        <w:rPr>
          <w:rFonts w:hint="eastAsia" w:cs="宋体"/>
          <w:lang w:val="en-US" w:eastAsia="zh-CN"/>
        </w:rPr>
      </w:pPr>
      <w:r>
        <w:rPr>
          <w:rFonts w:hint="eastAsia" w:cs="宋体"/>
          <w:lang w:val="en-US" w:eastAsia="zh-CN"/>
        </w:rPr>
        <w:t>拟制定的《海南消费领域区域公共品牌服务业 通用要求》为首次制定。结合海南特色进行创新。</w:t>
      </w:r>
    </w:p>
    <w:p w14:paraId="74DD245E">
      <w:pPr>
        <w:ind w:firstLine="640"/>
        <w:rPr>
          <w:rFonts w:hint="eastAsia"/>
        </w:rPr>
      </w:pPr>
    </w:p>
    <w:p w14:paraId="4D2586AA">
      <w:pPr>
        <w:pStyle w:val="3"/>
      </w:pPr>
      <w:r>
        <w:t>（七）重大分歧意见的处理依据和结果</w:t>
      </w:r>
    </w:p>
    <w:p w14:paraId="33AC0FAF">
      <w:pPr>
        <w:ind w:firstLine="560"/>
      </w:pPr>
      <w:r>
        <w:t>无</w:t>
      </w:r>
      <w:r>
        <w:rPr>
          <w:rFonts w:hint="eastAsia"/>
          <w:lang w:val="en-US" w:eastAsia="zh-CN"/>
        </w:rPr>
        <w:t>重大分歧意见</w:t>
      </w:r>
      <w:r>
        <w:t>。</w:t>
      </w:r>
    </w:p>
    <w:p w14:paraId="23178468">
      <w:pPr>
        <w:ind w:firstLine="560"/>
      </w:pPr>
    </w:p>
    <w:p w14:paraId="6AE283F0">
      <w:pPr>
        <w:pStyle w:val="3"/>
      </w:pPr>
      <w:r>
        <w:t>（八）贯彻标准的要求和措施建议（包括组织措施、技术措施、过渡办法、实施日期等）</w:t>
      </w:r>
    </w:p>
    <w:p w14:paraId="638AECB7">
      <w:pPr>
        <w:ind w:firstLine="640"/>
        <w:rPr>
          <w:rFonts w:hint="eastAsia" w:ascii="Times New Roman" w:hAnsi="Times New Roman" w:cs="宋体"/>
          <w:lang w:val="en-US" w:eastAsia="zh-CN"/>
        </w:rPr>
      </w:pPr>
      <w:r>
        <w:rPr>
          <w:rFonts w:hint="eastAsia" w:ascii="Times New Roman" w:hAnsi="Times New Roman" w:cs="宋体"/>
          <w:lang w:val="en-US" w:eastAsia="zh-CN"/>
        </w:rPr>
        <w:t>1.贯彻标准的要求</w:t>
      </w:r>
    </w:p>
    <w:p w14:paraId="7BBE27D8">
      <w:pPr>
        <w:ind w:firstLine="640"/>
        <w:rPr>
          <w:rFonts w:hint="eastAsia" w:ascii="Times New Roman" w:hAnsi="Times New Roman" w:cs="宋体"/>
          <w:lang w:val="en-US" w:eastAsia="zh-CN"/>
        </w:rPr>
      </w:pPr>
      <w:r>
        <w:rPr>
          <w:rFonts w:hint="eastAsia" w:ascii="Times New Roman" w:hAnsi="Times New Roman" w:cs="宋体"/>
          <w:lang w:val="en-US" w:eastAsia="zh-CN"/>
        </w:rPr>
        <w:t>品牌协同推进：</w:t>
      </w:r>
      <w:r>
        <w:rPr>
          <w:rFonts w:hint="default" w:ascii="Times New Roman" w:hAnsi="Times New Roman" w:cs="宋体"/>
          <w:lang w:val="en-US" w:eastAsia="zh-CN"/>
        </w:rPr>
        <w:t>与</w:t>
      </w:r>
      <w:r>
        <w:rPr>
          <w:rFonts w:hint="eastAsia" w:ascii="Times New Roman" w:hAnsi="Times New Roman" w:cs="宋体"/>
          <w:lang w:val="en-US" w:eastAsia="zh-CN"/>
        </w:rPr>
        <w:t>海</w:t>
      </w:r>
      <w:r>
        <w:rPr>
          <w:rFonts w:hint="default" w:ascii="Times New Roman" w:hAnsi="Times New Roman" w:cs="宋体"/>
          <w:lang w:val="en-US" w:eastAsia="zh-CN"/>
        </w:rPr>
        <w:t>南消费领域</w:t>
      </w:r>
      <w:r>
        <w:rPr>
          <w:rFonts w:hint="eastAsia" w:ascii="Times New Roman" w:hAnsi="Times New Roman" w:cs="宋体"/>
          <w:lang w:val="en-US" w:eastAsia="zh-CN"/>
        </w:rPr>
        <w:t>区域公共</w:t>
      </w:r>
      <w:r>
        <w:rPr>
          <w:rFonts w:hint="default" w:ascii="Times New Roman" w:hAnsi="Times New Roman" w:cs="宋体"/>
          <w:lang w:val="en-US" w:eastAsia="zh-CN"/>
        </w:rPr>
        <w:t>品牌建设同步推进实施</w:t>
      </w:r>
      <w:r>
        <w:rPr>
          <w:rFonts w:hint="eastAsia" w:cs="宋体"/>
          <w:lang w:val="en-US" w:eastAsia="zh-CN"/>
        </w:rPr>
        <w:t>。</w:t>
      </w:r>
    </w:p>
    <w:p w14:paraId="46F245F5">
      <w:pPr>
        <w:ind w:firstLine="630"/>
        <w:rPr>
          <w:rFonts w:hint="eastAsia" w:ascii="Times New Roman" w:hAnsi="Times New Roman" w:cs="宋体"/>
          <w:lang w:val="en-US" w:eastAsia="zh-CN"/>
        </w:rPr>
      </w:pPr>
      <w:r>
        <w:rPr>
          <w:rFonts w:hint="eastAsia" w:ascii="Times New Roman" w:hAnsi="Times New Roman" w:cs="宋体"/>
          <w:lang w:val="en-US" w:eastAsia="zh-CN"/>
        </w:rPr>
        <w:t>加强宣传培训：标准发布后组织全省服务业相关单位进行宣贯培训，确保标准实施到位。建立健全政府引导、企业为主、多方参与的实施机制，充分发挥标准化对服务业高质量发展的支撑作用。</w:t>
      </w:r>
    </w:p>
    <w:p w14:paraId="2FE94D6D">
      <w:pPr>
        <w:ind w:firstLine="640"/>
        <w:rPr>
          <w:rFonts w:hint="default" w:ascii="Times New Roman" w:hAnsi="Times New Roman" w:cs="宋体"/>
          <w:lang w:val="en-US" w:eastAsia="zh-CN"/>
        </w:rPr>
      </w:pPr>
      <w:r>
        <w:rPr>
          <w:rFonts w:hint="eastAsia" w:cs="宋体"/>
          <w:lang w:val="en-US" w:eastAsia="zh-CN"/>
        </w:rPr>
        <w:t>2.措施建议</w:t>
      </w:r>
    </w:p>
    <w:p w14:paraId="091C9618">
      <w:pPr>
        <w:ind w:firstLine="630"/>
        <w:rPr>
          <w:rFonts w:hint="default" w:ascii="Times New Roman" w:hAnsi="Times New Roman" w:cs="宋体"/>
          <w:lang w:val="en-US" w:eastAsia="zh-CN"/>
        </w:rPr>
      </w:pPr>
      <w:r>
        <w:rPr>
          <w:rFonts w:hint="eastAsia" w:cs="宋体"/>
          <w:lang w:val="en-US" w:eastAsia="zh-CN"/>
        </w:rPr>
        <w:t>政策支持：</w:t>
      </w:r>
      <w:r>
        <w:rPr>
          <w:rFonts w:hint="eastAsia"/>
          <w:w w:val="99"/>
        </w:rPr>
        <w:t>政府应出台相关政策，对积极执行本规范的企业给予支持和鼓励。例如，给予财政补贴、税收优惠、项目扶持等，引导企业加大在技术创新、设备更新、质量控制等方面的投入，提高企业的生产水平和竞争力。同时，支持企业开展品牌建设和市场推广活动，提高海南消费领域区域公共品牌</w:t>
      </w:r>
      <w:r>
        <w:rPr>
          <w:rFonts w:hint="eastAsia"/>
          <w:w w:val="99"/>
          <w:lang w:val="en-US" w:eastAsia="zh-CN"/>
        </w:rPr>
        <w:t>特色服务</w:t>
      </w:r>
      <w:r>
        <w:rPr>
          <w:rFonts w:hint="eastAsia"/>
          <w:w w:val="99"/>
        </w:rPr>
        <w:t>农食产品的市场知名度和美誉度</w:t>
      </w:r>
      <w:r>
        <w:rPr>
          <w:rFonts w:hint="eastAsia"/>
        </w:rPr>
        <w:t>。</w:t>
      </w:r>
      <w:r>
        <w:rPr>
          <w:rFonts w:hint="eastAsia"/>
          <w:lang w:val="en-US" w:eastAsia="zh-CN"/>
        </w:rPr>
        <w:t>还可：</w:t>
      </w:r>
      <w:r>
        <w:rPr>
          <w:rFonts w:hint="default" w:ascii="Times New Roman" w:hAnsi="Times New Roman" w:cs="宋体"/>
          <w:lang w:val="en-US" w:eastAsia="zh-CN"/>
        </w:rPr>
        <w:t>选择基础较好的</w:t>
      </w:r>
      <w:r>
        <w:rPr>
          <w:rFonts w:hint="eastAsia" w:cs="宋体"/>
          <w:lang w:val="en-US" w:eastAsia="zh-CN"/>
        </w:rPr>
        <w:t>服务业</w:t>
      </w:r>
      <w:r>
        <w:rPr>
          <w:rFonts w:hint="default" w:ascii="Times New Roman" w:hAnsi="Times New Roman" w:cs="宋体"/>
          <w:lang w:val="en-US" w:eastAsia="zh-CN"/>
        </w:rPr>
        <w:t>开展</w:t>
      </w:r>
      <w:r>
        <w:rPr>
          <w:rFonts w:hint="eastAsia" w:ascii="Times New Roman" w:hAnsi="Times New Roman" w:cs="宋体"/>
          <w:lang w:val="en-US" w:eastAsia="zh-CN"/>
        </w:rPr>
        <w:t>示范</w:t>
      </w:r>
      <w:r>
        <w:rPr>
          <w:rFonts w:hint="default" w:ascii="Times New Roman" w:hAnsi="Times New Roman" w:cs="宋体"/>
          <w:lang w:val="en-US" w:eastAsia="zh-CN"/>
        </w:rPr>
        <w:t>试点</w:t>
      </w:r>
      <w:r>
        <w:rPr>
          <w:rFonts w:hint="eastAsia" w:ascii="Times New Roman" w:hAnsi="Times New Roman" w:cs="宋体"/>
          <w:lang w:val="en-US" w:eastAsia="zh-CN"/>
        </w:rPr>
        <w:t>。</w:t>
      </w:r>
      <w:r>
        <w:rPr>
          <w:rFonts w:hint="default" w:ascii="Times New Roman" w:hAnsi="Times New Roman" w:cs="宋体"/>
          <w:lang w:val="en-US" w:eastAsia="zh-CN"/>
        </w:rPr>
        <w:t>依托认证机构开展认证</w:t>
      </w:r>
      <w:r>
        <w:rPr>
          <w:rFonts w:hint="eastAsia" w:cs="宋体"/>
          <w:lang w:val="en-US" w:eastAsia="zh-CN"/>
        </w:rPr>
        <w:t>。</w:t>
      </w:r>
    </w:p>
    <w:p w14:paraId="6256C4D2">
      <w:pPr>
        <w:ind w:firstLine="640"/>
        <w:rPr>
          <w:rFonts w:hint="eastAsia" w:ascii="Times New Roman" w:hAnsi="Times New Roman" w:cs="宋体"/>
          <w:lang w:val="en-US" w:eastAsia="zh-CN"/>
        </w:rPr>
      </w:pPr>
      <w:r>
        <w:rPr>
          <w:rFonts w:hint="eastAsia" w:ascii="Times New Roman" w:hAnsi="Times New Roman" w:cs="宋体"/>
          <w:lang w:val="en-US" w:eastAsia="zh-CN"/>
        </w:rPr>
        <w:t>建立标准实施反馈机制：设立专门的反馈渠道，收集企业和消费者在标准实施过程中的意见和建议。定期对标准的实施情况进行评估和分析，根据反馈结果及时对标准进行修订和完善。</w:t>
      </w:r>
    </w:p>
    <w:p w14:paraId="5B58FF07">
      <w:pPr>
        <w:ind w:firstLine="551"/>
        <w:rPr>
          <w:rFonts w:hint="eastAsia"/>
        </w:rPr>
      </w:pPr>
    </w:p>
    <w:p w14:paraId="22EEB1C9">
      <w:pPr>
        <w:pStyle w:val="3"/>
      </w:pPr>
      <w:r>
        <w:t>（九）预期效果</w:t>
      </w:r>
    </w:p>
    <w:p w14:paraId="2A861FDC">
      <w:pPr>
        <w:ind w:firstLine="640"/>
        <w:rPr>
          <w:rFonts w:hint="default" w:ascii="Times New Roman" w:hAnsi="Times New Roman" w:cs="宋体"/>
          <w:lang w:val="en-US" w:eastAsia="zh-CN"/>
        </w:rPr>
      </w:pPr>
      <w:r>
        <w:rPr>
          <w:rFonts w:hint="eastAsia" w:ascii="Times New Roman" w:hAnsi="Times New Roman" w:cs="宋体"/>
          <w:lang w:val="en-US" w:eastAsia="zh-CN"/>
        </w:rPr>
        <w:t>1.</w:t>
      </w:r>
      <w:r>
        <w:rPr>
          <w:rFonts w:hint="eastAsia" w:cs="宋体"/>
          <w:lang w:val="en-US" w:eastAsia="zh-CN"/>
        </w:rPr>
        <w:t>品牌效益：</w:t>
      </w:r>
      <w:r>
        <w:rPr>
          <w:rFonts w:hint="default" w:ascii="Times New Roman" w:hAnsi="Times New Roman" w:cs="宋体"/>
          <w:lang w:val="en-US" w:eastAsia="zh-CN"/>
        </w:rPr>
        <w:t>统一海南消费领域区域公共品牌</w:t>
      </w:r>
      <w:r>
        <w:rPr>
          <w:rFonts w:hint="eastAsia" w:cs="宋体"/>
          <w:lang w:val="en-US" w:eastAsia="zh-CN"/>
        </w:rPr>
        <w:t>服务业</w:t>
      </w:r>
      <w:r>
        <w:rPr>
          <w:rFonts w:hint="default" w:ascii="Times New Roman" w:hAnsi="Times New Roman" w:cs="宋体"/>
          <w:lang w:val="en-US" w:eastAsia="zh-CN"/>
        </w:rPr>
        <w:t>标准</w:t>
      </w:r>
      <w:r>
        <w:rPr>
          <w:rFonts w:hint="eastAsia" w:cs="宋体"/>
          <w:lang w:val="en-US" w:eastAsia="zh-CN"/>
        </w:rPr>
        <w:t>，增强品牌影响力</w:t>
      </w:r>
    </w:p>
    <w:p w14:paraId="0983F7A6">
      <w:pPr>
        <w:ind w:left="0" w:leftChars="0" w:firstLine="560" w:firstLineChars="200"/>
        <w:rPr>
          <w:rFonts w:hint="default" w:cs="宋体"/>
          <w:lang w:val="en-US" w:eastAsia="zh-CN"/>
        </w:rPr>
      </w:pPr>
      <w:r>
        <w:rPr>
          <w:rFonts w:hint="eastAsia" w:cs="宋体"/>
          <w:lang w:val="en-US" w:eastAsia="zh-CN"/>
        </w:rPr>
        <w:t>统一标准：</w:t>
      </w:r>
      <w:r>
        <w:rPr>
          <w:rFonts w:hint="default" w:cs="宋体"/>
          <w:lang w:val="en-US" w:eastAsia="zh-CN"/>
        </w:rPr>
        <w:t>为</w:t>
      </w:r>
      <w:r>
        <w:rPr>
          <w:rFonts w:hint="default" w:ascii="Times New Roman" w:hAnsi="Times New Roman" w:cs="宋体"/>
          <w:lang w:val="en-US" w:eastAsia="zh-CN"/>
        </w:rPr>
        <w:t>海南消费领域区域公共品牌</w:t>
      </w:r>
      <w:r>
        <w:rPr>
          <w:rFonts w:hint="eastAsia" w:cs="宋体"/>
          <w:lang w:val="en-US" w:eastAsia="zh-CN"/>
        </w:rPr>
        <w:t>服务业</w:t>
      </w:r>
      <w:r>
        <w:rPr>
          <w:rFonts w:hint="default" w:cs="宋体"/>
          <w:lang w:val="en-US" w:eastAsia="zh-CN"/>
        </w:rPr>
        <w:t>提供一套科学、统一、可操作的</w:t>
      </w:r>
      <w:r>
        <w:rPr>
          <w:rFonts w:hint="eastAsia" w:cs="宋体"/>
          <w:lang w:val="en-US" w:eastAsia="zh-CN"/>
        </w:rPr>
        <w:t>服务体系和可</w:t>
      </w:r>
      <w:r>
        <w:rPr>
          <w:rFonts w:hint="default" w:cs="宋体"/>
          <w:lang w:val="en-US" w:eastAsia="zh-CN"/>
        </w:rPr>
        <w:t>评估准则，明确服务业组织在服务、管理、可持续发展等方面需达到的基准线，改变过去评价依据不一、尺度各异的局面。作为顶层通用要求，将与旅游景区、康养服务</w:t>
      </w:r>
      <w:r>
        <w:rPr>
          <w:rFonts w:hint="eastAsia" w:cs="宋体"/>
          <w:lang w:val="en-US" w:eastAsia="zh-CN"/>
        </w:rPr>
        <w:t>、特色活动策划运营</w:t>
      </w:r>
      <w:r>
        <w:rPr>
          <w:rFonts w:hint="default" w:cs="宋体"/>
          <w:lang w:val="en-US" w:eastAsia="zh-CN"/>
        </w:rPr>
        <w:t>等具体领域的技术规范配套使用，逐步构建覆盖海南主要消费服务业态的标准化认证体系，实现品牌标准的统一化管理。</w:t>
      </w:r>
    </w:p>
    <w:p w14:paraId="6A3239C6">
      <w:pPr>
        <w:ind w:left="0" w:leftChars="0" w:firstLine="560" w:firstLineChars="200"/>
        <w:rPr>
          <w:rFonts w:hint="default" w:cs="宋体"/>
          <w:lang w:val="en-US" w:eastAsia="zh-CN"/>
        </w:rPr>
      </w:pPr>
      <w:r>
        <w:rPr>
          <w:rFonts w:hint="default" w:cs="宋体"/>
          <w:lang w:val="en-US" w:eastAsia="zh-CN"/>
        </w:rPr>
        <w:t>塑造品牌核心价值：将“特色服务（自贸港</w:t>
      </w:r>
      <w:r>
        <w:rPr>
          <w:rFonts w:hint="eastAsia" w:cs="宋体"/>
          <w:lang w:val="en-US" w:eastAsia="zh-CN"/>
        </w:rPr>
        <w:t>、海岛</w:t>
      </w:r>
      <w:r>
        <w:rPr>
          <w:rFonts w:hint="default" w:cs="宋体"/>
          <w:lang w:val="en-US" w:eastAsia="zh-CN"/>
        </w:rPr>
        <w:t>）、绿色健康、可持续发展、顾客优质体验”等理念固化于标准条款中，通过</w:t>
      </w:r>
      <w:r>
        <w:rPr>
          <w:rFonts w:hint="eastAsia" w:cs="宋体"/>
          <w:lang w:val="en-US" w:eastAsia="zh-CN"/>
        </w:rPr>
        <w:t>建立服务体系和或</w:t>
      </w:r>
      <w:r>
        <w:rPr>
          <w:rFonts w:hint="default" w:cs="宋体"/>
          <w:lang w:val="en-US" w:eastAsia="zh-CN"/>
        </w:rPr>
        <w:t>认证手段，确保</w:t>
      </w:r>
      <w:r>
        <w:rPr>
          <w:rFonts w:hint="eastAsia" w:cs="宋体"/>
          <w:lang w:val="en-US" w:eastAsia="zh-CN"/>
        </w:rPr>
        <w:t>相关</w:t>
      </w:r>
      <w:r>
        <w:rPr>
          <w:rFonts w:hint="default" w:cs="宋体"/>
          <w:lang w:val="en-US" w:eastAsia="zh-CN"/>
        </w:rPr>
        <w:t>组织的服务能切实体现这些核心价值，从而塑造</w:t>
      </w:r>
      <w:r>
        <w:rPr>
          <w:rFonts w:hint="eastAsia" w:cs="宋体"/>
          <w:lang w:val="en-US" w:eastAsia="zh-CN"/>
        </w:rPr>
        <w:t>海南消费领域区域公共品牌</w:t>
      </w:r>
      <w:r>
        <w:rPr>
          <w:rFonts w:hint="default" w:cs="宋体"/>
          <w:lang w:val="en-US" w:eastAsia="zh-CN"/>
        </w:rPr>
        <w:t>品牌独特、可信赖的市场形象。</w:t>
      </w:r>
    </w:p>
    <w:p w14:paraId="570CED11">
      <w:pPr>
        <w:ind w:left="0" w:leftChars="0" w:firstLine="560" w:firstLineChars="200"/>
        <w:rPr>
          <w:rFonts w:hint="default" w:cs="宋体"/>
          <w:lang w:val="en-US" w:eastAsia="zh-CN"/>
        </w:rPr>
      </w:pPr>
      <w:r>
        <w:rPr>
          <w:rFonts w:hint="default" w:cs="宋体"/>
          <w:lang w:val="en-US" w:eastAsia="zh-CN"/>
        </w:rPr>
        <w:t>提升品牌溢价能力：获得认证的组织可使用统一的区域公共品牌标识，形成可视化差异，帮助消费者快速识别高品质服务，增强市场信任度，从而提升企业及整个区域服务品牌的知名度和美誉度，创造品牌附加值。</w:t>
      </w:r>
    </w:p>
    <w:p w14:paraId="6A454D63">
      <w:pPr>
        <w:rPr>
          <w:rFonts w:hint="default" w:ascii="Times New Roman" w:hAnsi="Times New Roman" w:cs="宋体"/>
          <w:lang w:val="en-US" w:eastAsia="zh-CN"/>
        </w:rPr>
      </w:pPr>
      <w:r>
        <w:rPr>
          <w:rFonts w:hint="default" w:ascii="Times New Roman" w:hAnsi="Times New Roman" w:cs="宋体"/>
          <w:lang w:val="en-US" w:eastAsia="zh-CN"/>
        </w:rPr>
        <w:t>2.</w:t>
      </w:r>
      <w:r>
        <w:rPr>
          <w:rFonts w:hint="eastAsia" w:cs="宋体"/>
          <w:lang w:val="en-US" w:eastAsia="zh-CN"/>
        </w:rPr>
        <w:t>经济效益：</w:t>
      </w:r>
      <w:r>
        <w:rPr>
          <w:rFonts w:hint="default" w:ascii="Times New Roman" w:hAnsi="Times New Roman" w:cs="宋体"/>
          <w:lang w:val="en-US" w:eastAsia="zh-CN"/>
        </w:rPr>
        <w:t>提升服务业组织管理水平和服务质量</w:t>
      </w:r>
    </w:p>
    <w:p w14:paraId="03047A6D">
      <w:pPr>
        <w:ind w:left="0" w:leftChars="0" w:firstLine="560" w:firstLineChars="200"/>
        <w:rPr>
          <w:rFonts w:hint="eastAsia" w:cs="宋体"/>
          <w:lang w:val="en-US" w:eastAsia="zh-CN"/>
        </w:rPr>
      </w:pPr>
      <w:r>
        <w:rPr>
          <w:rFonts w:hint="default" w:cs="宋体"/>
          <w:lang w:val="en-US" w:eastAsia="zh-CN"/>
        </w:rPr>
        <w:t>引导规范发展：通过导入服务过程管理、人员培训、应急机制、设施设备管理、持续改进等系统性管理要求，</w:t>
      </w:r>
      <w:r>
        <w:rPr>
          <w:rFonts w:hint="eastAsia" w:cs="宋体"/>
          <w:lang w:val="en-US" w:eastAsia="zh-CN"/>
        </w:rPr>
        <w:t>引导规范发展，</w:t>
      </w:r>
      <w:r>
        <w:rPr>
          <w:rFonts w:hint="default" w:cs="宋体"/>
          <w:lang w:val="en-US" w:eastAsia="zh-CN"/>
        </w:rPr>
        <w:t>引导服务业组织建立并完善内部标准化管理体系，实现从经验式管理向制度化、精细化管理的转变。</w:t>
      </w:r>
    </w:p>
    <w:p w14:paraId="004BCC75">
      <w:pPr>
        <w:ind w:left="0" w:leftChars="0" w:firstLine="560" w:firstLineChars="200"/>
        <w:rPr>
          <w:rFonts w:hint="default" w:cs="宋体"/>
          <w:lang w:val="en-US" w:eastAsia="zh-CN"/>
        </w:rPr>
      </w:pPr>
      <w:r>
        <w:rPr>
          <w:rFonts w:hint="default" w:cs="宋体"/>
          <w:lang w:val="en-US" w:eastAsia="zh-CN"/>
        </w:rPr>
        <w:t>驱动质量提升：通过明确服务提供各环节的要求（如识别顾客需求、保护隐私、关注顾客多维感知），促使组织优化服务流程，规范服务行为，有效控制和提升服务输出的稳定性和高品质，减少服务纠纷和投诉。</w:t>
      </w:r>
    </w:p>
    <w:p w14:paraId="60CF2A41">
      <w:pPr>
        <w:ind w:firstLine="640"/>
        <w:rPr>
          <w:rFonts w:hint="default" w:ascii="Times New Roman" w:hAnsi="Times New Roman" w:cs="宋体"/>
          <w:lang w:val="en-US" w:eastAsia="zh-CN"/>
        </w:rPr>
      </w:pPr>
      <w:r>
        <w:rPr>
          <w:rFonts w:hint="eastAsia" w:cs="宋体"/>
          <w:lang w:val="en-US" w:eastAsia="zh-CN"/>
        </w:rPr>
        <w:t>3</w:t>
      </w:r>
      <w:r>
        <w:rPr>
          <w:rFonts w:hint="default" w:ascii="Times New Roman" w:hAnsi="Times New Roman" w:cs="宋体"/>
          <w:lang w:val="en-US" w:eastAsia="zh-CN"/>
        </w:rPr>
        <w:t>.</w:t>
      </w:r>
      <w:r>
        <w:rPr>
          <w:rFonts w:hint="eastAsia" w:cs="宋体"/>
          <w:lang w:val="en-US" w:eastAsia="zh-CN"/>
        </w:rPr>
        <w:t>生态效益：</w:t>
      </w:r>
      <w:r>
        <w:rPr>
          <w:rFonts w:hint="default" w:ascii="Times New Roman" w:hAnsi="Times New Roman" w:cs="宋体"/>
          <w:lang w:val="en-US" w:eastAsia="zh-CN"/>
        </w:rPr>
        <w:t>促进服务业可持续发展</w:t>
      </w:r>
    </w:p>
    <w:p w14:paraId="3125886C">
      <w:pPr>
        <w:ind w:left="0" w:leftChars="0" w:firstLine="560" w:firstLineChars="200"/>
        <w:rPr>
          <w:rFonts w:hint="default" w:cs="宋体"/>
          <w:lang w:val="en-US" w:eastAsia="zh-CN"/>
        </w:rPr>
      </w:pPr>
      <w:r>
        <w:rPr>
          <w:rFonts w:hint="eastAsia" w:cs="宋体"/>
          <w:lang w:val="en-US" w:eastAsia="zh-CN"/>
        </w:rPr>
        <w:t>提出践行绿色低碳理念，</w:t>
      </w:r>
      <w:r>
        <w:rPr>
          <w:rFonts w:hint="default" w:cs="宋体"/>
          <w:lang w:val="en-US" w:eastAsia="zh-CN"/>
        </w:rPr>
        <w:t>规定资源能源管理、环境保护、减少污染、保护生态等具体责任，推动服务业组织节能减排</w:t>
      </w:r>
      <w:r>
        <w:rPr>
          <w:rFonts w:hint="eastAsia" w:cs="宋体"/>
          <w:lang w:val="en-US" w:eastAsia="zh-CN"/>
        </w:rPr>
        <w:t>、低碳运营</w:t>
      </w:r>
      <w:r>
        <w:rPr>
          <w:rFonts w:hint="default" w:cs="宋体"/>
          <w:lang w:val="en-US" w:eastAsia="zh-CN"/>
        </w:rPr>
        <w:t>，降低运营对环境的负面影响，助力海南国家生态文明试验区建设。</w:t>
      </w:r>
      <w:r>
        <w:rPr>
          <w:rFonts w:hint="eastAsia" w:cs="宋体"/>
          <w:lang w:val="en-US" w:eastAsia="zh-CN"/>
        </w:rPr>
        <w:t>通过</w:t>
      </w:r>
      <w:r>
        <w:rPr>
          <w:rFonts w:hint="default" w:cs="宋体"/>
          <w:lang w:val="en-US" w:eastAsia="zh-CN"/>
        </w:rPr>
        <w:t>强化社会责任</w:t>
      </w:r>
      <w:r>
        <w:rPr>
          <w:rFonts w:hint="eastAsia" w:cs="宋体"/>
          <w:lang w:val="en-US" w:eastAsia="zh-CN"/>
        </w:rPr>
        <w:t>，</w:t>
      </w:r>
      <w:r>
        <w:rPr>
          <w:rFonts w:hint="default" w:cs="宋体"/>
          <w:lang w:val="en-US" w:eastAsia="zh-CN"/>
        </w:rPr>
        <w:t>引导组织关注本地就业、社区参与、行业秩序等社会责任，促进服务业发展与当地社会、文化、环境的和谐共进，实现经济效益、社会效益和环境效益的统一，提升产业发展的韧性和长期竞争力。</w:t>
      </w:r>
    </w:p>
    <w:p w14:paraId="25E290C3">
      <w:pPr>
        <w:ind w:firstLine="640"/>
        <w:rPr>
          <w:rFonts w:hint="default" w:ascii="Times New Roman" w:hAnsi="Times New Roman" w:cs="宋体"/>
          <w:lang w:val="en-US" w:eastAsia="zh-CN"/>
        </w:rPr>
      </w:pPr>
      <w:r>
        <w:rPr>
          <w:rFonts w:hint="default" w:ascii="Times New Roman" w:hAnsi="Times New Roman" w:cs="宋体"/>
          <w:lang w:val="en-US" w:eastAsia="zh-CN"/>
        </w:rPr>
        <w:t>5.</w:t>
      </w:r>
      <w:r>
        <w:rPr>
          <w:rFonts w:hint="eastAsia" w:cs="宋体"/>
          <w:lang w:val="en-US" w:eastAsia="zh-CN"/>
        </w:rPr>
        <w:t>社会效益：</w:t>
      </w:r>
      <w:r>
        <w:rPr>
          <w:rFonts w:hint="default" w:ascii="Times New Roman" w:hAnsi="Times New Roman" w:cs="宋体"/>
          <w:lang w:val="en-US" w:eastAsia="zh-CN"/>
        </w:rPr>
        <w:t>提高顾客满意度和消费体验</w:t>
      </w:r>
    </w:p>
    <w:p w14:paraId="40E27B93">
      <w:pPr>
        <w:ind w:left="0" w:leftChars="0" w:firstLine="560" w:firstLineChars="200"/>
        <w:rPr>
          <w:rFonts w:hint="default" w:cs="宋体"/>
          <w:lang w:val="en-US" w:eastAsia="zh-CN"/>
        </w:rPr>
      </w:pPr>
      <w:r>
        <w:rPr>
          <w:rFonts w:hint="default" w:cs="宋体"/>
          <w:lang w:val="en-US" w:eastAsia="zh-CN"/>
        </w:rPr>
        <w:t>保障体验一致性：为顾客在海南享受服务设立明确的品质预期，无论选择哪家获认证的企业，其核心服务、安全、卫生、环境等都能得到基本保障，减少消费不确定性，增强消费信心。</w:t>
      </w:r>
    </w:p>
    <w:p w14:paraId="32DA7E95">
      <w:pPr>
        <w:ind w:left="0" w:leftChars="0" w:firstLine="560" w:firstLineChars="200"/>
        <w:rPr>
          <w:rFonts w:hint="default" w:cs="宋体"/>
          <w:lang w:val="en-US" w:eastAsia="zh-CN"/>
        </w:rPr>
      </w:pPr>
      <w:r>
        <w:rPr>
          <w:rFonts w:hint="default" w:cs="宋体"/>
          <w:lang w:val="en-US" w:eastAsia="zh-CN"/>
        </w:rPr>
        <w:t>满足高层次需求：通过强调特色文化内涵、心理感知、价值感知以及无障碍设施等要求，推动服务提供者超越基本功能，关注顾客的个性化、情感化需求，提供更具获得感、幸福感和海南特色的高品质消费体验，从而显著提升顾客忠诚度和重游意愿。</w:t>
      </w:r>
    </w:p>
    <w:p w14:paraId="0D2357F4">
      <w:pPr>
        <w:pStyle w:val="3"/>
      </w:pPr>
      <w:r>
        <w:t>（十）其他应予说明的事项</w:t>
      </w:r>
    </w:p>
    <w:p w14:paraId="2FDFDDEA">
      <w:pPr>
        <w:ind w:firstLine="560"/>
      </w:pPr>
      <w:r>
        <w:rPr>
          <w:rFonts w:hint="eastAsia"/>
          <w:w w:val="99"/>
          <w:lang w:val="en-US" w:eastAsia="zh-CN"/>
        </w:rPr>
        <w:t>无。</w:t>
      </w:r>
    </w:p>
    <w:p w14:paraId="3A5137AB">
      <w:pPr>
        <w:ind w:firstLine="420"/>
        <w:rPr>
          <w:sz w:val="21"/>
        </w:rPr>
        <w:sectPr>
          <w:headerReference r:id="rId7" w:type="first"/>
          <w:footerReference r:id="rId10" w:type="first"/>
          <w:headerReference r:id="rId5" w:type="default"/>
          <w:footerReference r:id="rId8" w:type="default"/>
          <w:headerReference r:id="rId6" w:type="even"/>
          <w:footerReference r:id="rId9" w:type="even"/>
          <w:pgSz w:w="11910" w:h="16840"/>
          <w:pgMar w:top="1920" w:right="1100" w:bottom="880" w:left="1180" w:header="0" w:footer="698" w:gutter="0"/>
          <w:cols w:space="720" w:num="1"/>
        </w:sectPr>
      </w:pPr>
    </w:p>
    <w:p w14:paraId="58D176E8">
      <w:pPr>
        <w:spacing w:before="40"/>
        <w:ind w:left="220" w:firstLine="0" w:firstLineChars="0"/>
        <w:rPr>
          <w:b/>
          <w:sz w:val="47"/>
        </w:rPr>
      </w:pPr>
      <w:r>
        <w:rPr>
          <w:b/>
          <w:spacing w:val="-27"/>
        </w:rPr>
        <w:t xml:space="preserve">附件 </w:t>
      </w:r>
      <w:r>
        <w:rPr>
          <w:b/>
          <w:spacing w:val="-10"/>
        </w:rPr>
        <w:t>1</w:t>
      </w:r>
    </w:p>
    <w:p w14:paraId="76CB8FAC">
      <w:pPr>
        <w:ind w:left="220" w:firstLine="723"/>
        <w:jc w:val="center"/>
        <w:rPr>
          <w:b/>
          <w:sz w:val="36"/>
        </w:rPr>
      </w:pPr>
      <w:r>
        <w:rPr>
          <w:b/>
          <w:sz w:val="36"/>
        </w:rPr>
        <w:t>海南省</w:t>
      </w:r>
      <w:r>
        <w:rPr>
          <w:rFonts w:hint="eastAsia"/>
          <w:b/>
          <w:sz w:val="36"/>
        </w:rPr>
        <w:t>质量协会团体</w:t>
      </w:r>
      <w:r>
        <w:rPr>
          <w:b/>
          <w:sz w:val="36"/>
        </w:rPr>
        <w:t>标准《</w:t>
      </w:r>
      <w:r>
        <w:rPr>
          <w:rFonts w:hint="eastAsia"/>
          <w:b/>
          <w:sz w:val="36"/>
        </w:rPr>
        <w:t>X</w:t>
      </w:r>
      <w:r>
        <w:rPr>
          <w:b/>
          <w:sz w:val="36"/>
        </w:rPr>
        <w:t>XXX</w:t>
      </w:r>
      <w:r>
        <w:rPr>
          <w:b/>
          <w:spacing w:val="-1"/>
          <w:sz w:val="36"/>
        </w:rPr>
        <w:t>》征求意见汇总表</w:t>
      </w:r>
    </w:p>
    <w:p w14:paraId="7A53C12D">
      <w:pPr>
        <w:pStyle w:val="5"/>
        <w:spacing w:before="4"/>
        <w:ind w:left="0" w:firstLine="120"/>
        <w:rPr>
          <w:b/>
          <w:sz w:val="6"/>
        </w:rPr>
      </w:pPr>
    </w:p>
    <w:tbl>
      <w:tblPr>
        <w:tblStyle w:val="1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276"/>
        <w:gridCol w:w="3827"/>
        <w:gridCol w:w="5245"/>
        <w:gridCol w:w="1843"/>
        <w:gridCol w:w="1417"/>
      </w:tblGrid>
      <w:tr w14:paraId="5D571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817" w:type="dxa"/>
            <w:vAlign w:val="center"/>
          </w:tcPr>
          <w:p w14:paraId="7A26D9C0">
            <w:pPr>
              <w:ind w:firstLine="0" w:firstLineChars="0"/>
              <w:jc w:val="center"/>
              <w:rPr>
                <w:sz w:val="24"/>
              </w:rPr>
            </w:pPr>
            <w:r>
              <w:rPr>
                <w:spacing w:val="-7"/>
                <w:sz w:val="24"/>
              </w:rPr>
              <w:t>序号</w:t>
            </w:r>
          </w:p>
        </w:tc>
        <w:tc>
          <w:tcPr>
            <w:tcW w:w="1276" w:type="dxa"/>
            <w:vAlign w:val="center"/>
          </w:tcPr>
          <w:p w14:paraId="3F7C8513">
            <w:pPr>
              <w:ind w:firstLine="0" w:firstLineChars="0"/>
              <w:jc w:val="center"/>
              <w:rPr>
                <w:sz w:val="24"/>
              </w:rPr>
            </w:pPr>
            <w:r>
              <w:rPr>
                <w:spacing w:val="-4"/>
                <w:sz w:val="24"/>
              </w:rPr>
              <w:t>章条编号</w:t>
            </w:r>
          </w:p>
        </w:tc>
        <w:tc>
          <w:tcPr>
            <w:tcW w:w="3827" w:type="dxa"/>
            <w:vAlign w:val="center"/>
          </w:tcPr>
          <w:p w14:paraId="2709FA27">
            <w:pPr>
              <w:ind w:firstLine="0" w:firstLineChars="0"/>
              <w:jc w:val="center"/>
              <w:rPr>
                <w:sz w:val="24"/>
              </w:rPr>
            </w:pPr>
            <w:r>
              <w:rPr>
                <w:spacing w:val="-4"/>
                <w:sz w:val="24"/>
              </w:rPr>
              <w:t>修改意见</w:t>
            </w:r>
          </w:p>
        </w:tc>
        <w:tc>
          <w:tcPr>
            <w:tcW w:w="5245" w:type="dxa"/>
            <w:vAlign w:val="center"/>
          </w:tcPr>
          <w:p w14:paraId="44CE7240">
            <w:pPr>
              <w:ind w:firstLine="0" w:firstLineChars="0"/>
              <w:jc w:val="center"/>
              <w:rPr>
                <w:sz w:val="24"/>
              </w:rPr>
            </w:pPr>
            <w:r>
              <w:rPr>
                <w:spacing w:val="-4"/>
                <w:sz w:val="24"/>
              </w:rPr>
              <w:t>理由或依据</w:t>
            </w:r>
          </w:p>
        </w:tc>
        <w:tc>
          <w:tcPr>
            <w:tcW w:w="1843" w:type="dxa"/>
            <w:vAlign w:val="center"/>
          </w:tcPr>
          <w:p w14:paraId="3F01D10D">
            <w:pPr>
              <w:ind w:firstLine="0" w:firstLineChars="0"/>
              <w:jc w:val="center"/>
              <w:rPr>
                <w:sz w:val="24"/>
              </w:rPr>
            </w:pPr>
            <w:r>
              <w:rPr>
                <w:spacing w:val="-4"/>
                <w:sz w:val="24"/>
              </w:rPr>
              <w:t>提出单位/</w:t>
            </w:r>
            <w:r>
              <w:rPr>
                <w:spacing w:val="-7"/>
                <w:sz w:val="24"/>
              </w:rPr>
              <w:t>人员</w:t>
            </w:r>
          </w:p>
        </w:tc>
        <w:tc>
          <w:tcPr>
            <w:tcW w:w="1417" w:type="dxa"/>
            <w:vAlign w:val="center"/>
          </w:tcPr>
          <w:p w14:paraId="43BDA45B">
            <w:pPr>
              <w:ind w:firstLine="0" w:firstLineChars="0"/>
              <w:jc w:val="center"/>
              <w:rPr>
                <w:sz w:val="24"/>
              </w:rPr>
            </w:pPr>
            <w:r>
              <w:rPr>
                <w:spacing w:val="-4"/>
                <w:sz w:val="24"/>
              </w:rPr>
              <w:t>处理意见</w:t>
            </w:r>
          </w:p>
        </w:tc>
      </w:tr>
      <w:tr w14:paraId="2B391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72637FE0">
            <w:pPr>
              <w:ind w:firstLine="0" w:firstLineChars="0"/>
              <w:jc w:val="center"/>
              <w:rPr>
                <w:sz w:val="24"/>
              </w:rPr>
            </w:pPr>
            <w:r>
              <w:rPr>
                <w:w w:val="118"/>
                <w:sz w:val="24"/>
              </w:rPr>
              <w:t>1</w:t>
            </w:r>
          </w:p>
        </w:tc>
        <w:tc>
          <w:tcPr>
            <w:tcW w:w="1276" w:type="dxa"/>
            <w:vAlign w:val="center"/>
          </w:tcPr>
          <w:p w14:paraId="6E2DB207">
            <w:pPr>
              <w:ind w:firstLine="480"/>
              <w:rPr>
                <w:sz w:val="24"/>
              </w:rPr>
            </w:pPr>
          </w:p>
        </w:tc>
        <w:tc>
          <w:tcPr>
            <w:tcW w:w="3827" w:type="dxa"/>
            <w:vAlign w:val="center"/>
          </w:tcPr>
          <w:p w14:paraId="6A13A7E8">
            <w:pPr>
              <w:ind w:firstLine="0" w:firstLineChars="0"/>
              <w:jc w:val="center"/>
              <w:rPr>
                <w:sz w:val="24"/>
              </w:rPr>
            </w:pPr>
          </w:p>
        </w:tc>
        <w:tc>
          <w:tcPr>
            <w:tcW w:w="5245" w:type="dxa"/>
            <w:vAlign w:val="center"/>
          </w:tcPr>
          <w:p w14:paraId="0F1D68BE">
            <w:pPr>
              <w:ind w:firstLine="0" w:firstLineChars="0"/>
              <w:jc w:val="center"/>
              <w:rPr>
                <w:sz w:val="24"/>
              </w:rPr>
            </w:pPr>
          </w:p>
        </w:tc>
        <w:tc>
          <w:tcPr>
            <w:tcW w:w="1843" w:type="dxa"/>
            <w:vAlign w:val="center"/>
          </w:tcPr>
          <w:p w14:paraId="7648055B">
            <w:pPr>
              <w:ind w:firstLine="0" w:firstLineChars="0"/>
              <w:jc w:val="center"/>
              <w:rPr>
                <w:sz w:val="24"/>
              </w:rPr>
            </w:pPr>
          </w:p>
        </w:tc>
        <w:tc>
          <w:tcPr>
            <w:tcW w:w="1417" w:type="dxa"/>
            <w:vAlign w:val="center"/>
          </w:tcPr>
          <w:p w14:paraId="44026713">
            <w:pPr>
              <w:ind w:firstLine="0" w:firstLineChars="0"/>
              <w:jc w:val="center"/>
              <w:rPr>
                <w:sz w:val="24"/>
              </w:rPr>
            </w:pPr>
          </w:p>
        </w:tc>
      </w:tr>
      <w:tr w14:paraId="592B1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482E5F98">
            <w:pPr>
              <w:ind w:firstLine="0" w:firstLineChars="0"/>
              <w:jc w:val="center"/>
              <w:rPr>
                <w:sz w:val="24"/>
              </w:rPr>
            </w:pPr>
            <w:r>
              <w:rPr>
                <w:w w:val="118"/>
                <w:sz w:val="24"/>
              </w:rPr>
              <w:t>2</w:t>
            </w:r>
          </w:p>
        </w:tc>
        <w:tc>
          <w:tcPr>
            <w:tcW w:w="1276" w:type="dxa"/>
            <w:vAlign w:val="center"/>
          </w:tcPr>
          <w:p w14:paraId="36161F1D">
            <w:pPr>
              <w:ind w:firstLine="480"/>
              <w:rPr>
                <w:sz w:val="24"/>
              </w:rPr>
            </w:pPr>
          </w:p>
        </w:tc>
        <w:tc>
          <w:tcPr>
            <w:tcW w:w="3827" w:type="dxa"/>
            <w:vAlign w:val="center"/>
          </w:tcPr>
          <w:p w14:paraId="09B46DA9">
            <w:pPr>
              <w:ind w:firstLine="0" w:firstLineChars="0"/>
              <w:jc w:val="center"/>
              <w:rPr>
                <w:sz w:val="24"/>
              </w:rPr>
            </w:pPr>
          </w:p>
        </w:tc>
        <w:tc>
          <w:tcPr>
            <w:tcW w:w="5245" w:type="dxa"/>
            <w:vAlign w:val="center"/>
          </w:tcPr>
          <w:p w14:paraId="69DFA2DD">
            <w:pPr>
              <w:ind w:firstLine="0" w:firstLineChars="0"/>
              <w:jc w:val="center"/>
              <w:rPr>
                <w:sz w:val="24"/>
              </w:rPr>
            </w:pPr>
          </w:p>
        </w:tc>
        <w:tc>
          <w:tcPr>
            <w:tcW w:w="1843" w:type="dxa"/>
            <w:vAlign w:val="center"/>
          </w:tcPr>
          <w:p w14:paraId="4377FA83">
            <w:pPr>
              <w:ind w:firstLine="0" w:firstLineChars="0"/>
              <w:jc w:val="center"/>
              <w:rPr>
                <w:sz w:val="24"/>
              </w:rPr>
            </w:pPr>
          </w:p>
        </w:tc>
        <w:tc>
          <w:tcPr>
            <w:tcW w:w="1417" w:type="dxa"/>
            <w:vAlign w:val="center"/>
          </w:tcPr>
          <w:p w14:paraId="6CD24196">
            <w:pPr>
              <w:ind w:firstLine="0" w:firstLineChars="0"/>
              <w:jc w:val="center"/>
              <w:rPr>
                <w:sz w:val="24"/>
              </w:rPr>
            </w:pPr>
          </w:p>
        </w:tc>
      </w:tr>
      <w:tr w14:paraId="038D5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65BA3384">
            <w:pPr>
              <w:ind w:firstLine="0" w:firstLineChars="0"/>
              <w:jc w:val="center"/>
              <w:rPr>
                <w:sz w:val="24"/>
              </w:rPr>
            </w:pPr>
            <w:r>
              <w:rPr>
                <w:w w:val="118"/>
                <w:sz w:val="24"/>
              </w:rPr>
              <w:t>3</w:t>
            </w:r>
          </w:p>
        </w:tc>
        <w:tc>
          <w:tcPr>
            <w:tcW w:w="1276" w:type="dxa"/>
            <w:vAlign w:val="center"/>
          </w:tcPr>
          <w:p w14:paraId="33572EB6">
            <w:pPr>
              <w:ind w:firstLine="480"/>
              <w:rPr>
                <w:sz w:val="24"/>
              </w:rPr>
            </w:pPr>
          </w:p>
        </w:tc>
        <w:tc>
          <w:tcPr>
            <w:tcW w:w="3827" w:type="dxa"/>
            <w:vAlign w:val="center"/>
          </w:tcPr>
          <w:p w14:paraId="32A7DB34">
            <w:pPr>
              <w:ind w:firstLine="0" w:firstLineChars="0"/>
              <w:jc w:val="center"/>
              <w:rPr>
                <w:sz w:val="24"/>
              </w:rPr>
            </w:pPr>
          </w:p>
        </w:tc>
        <w:tc>
          <w:tcPr>
            <w:tcW w:w="5245" w:type="dxa"/>
            <w:vAlign w:val="center"/>
          </w:tcPr>
          <w:p w14:paraId="6C91209F">
            <w:pPr>
              <w:ind w:firstLine="0" w:firstLineChars="0"/>
              <w:jc w:val="center"/>
              <w:rPr>
                <w:sz w:val="24"/>
              </w:rPr>
            </w:pPr>
          </w:p>
        </w:tc>
        <w:tc>
          <w:tcPr>
            <w:tcW w:w="1843" w:type="dxa"/>
            <w:vAlign w:val="center"/>
          </w:tcPr>
          <w:p w14:paraId="169D5F96">
            <w:pPr>
              <w:ind w:firstLine="0" w:firstLineChars="0"/>
              <w:jc w:val="center"/>
              <w:rPr>
                <w:sz w:val="24"/>
              </w:rPr>
            </w:pPr>
          </w:p>
        </w:tc>
        <w:tc>
          <w:tcPr>
            <w:tcW w:w="1417" w:type="dxa"/>
            <w:vAlign w:val="center"/>
          </w:tcPr>
          <w:p w14:paraId="2E68BFA8">
            <w:pPr>
              <w:ind w:firstLine="0" w:firstLineChars="0"/>
              <w:jc w:val="center"/>
              <w:rPr>
                <w:sz w:val="24"/>
              </w:rPr>
            </w:pPr>
          </w:p>
        </w:tc>
      </w:tr>
      <w:tr w14:paraId="288B4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5F9FAA29">
            <w:pPr>
              <w:ind w:firstLine="0" w:firstLineChars="0"/>
              <w:jc w:val="center"/>
              <w:rPr>
                <w:sz w:val="24"/>
              </w:rPr>
            </w:pPr>
            <w:r>
              <w:rPr>
                <w:w w:val="118"/>
                <w:sz w:val="24"/>
              </w:rPr>
              <w:t>4</w:t>
            </w:r>
          </w:p>
        </w:tc>
        <w:tc>
          <w:tcPr>
            <w:tcW w:w="1276" w:type="dxa"/>
            <w:vAlign w:val="center"/>
          </w:tcPr>
          <w:p w14:paraId="0B4FD831">
            <w:pPr>
              <w:ind w:firstLine="480"/>
              <w:rPr>
                <w:sz w:val="24"/>
              </w:rPr>
            </w:pPr>
          </w:p>
        </w:tc>
        <w:tc>
          <w:tcPr>
            <w:tcW w:w="3827" w:type="dxa"/>
            <w:vAlign w:val="center"/>
          </w:tcPr>
          <w:p w14:paraId="1125757E">
            <w:pPr>
              <w:ind w:firstLine="0" w:firstLineChars="0"/>
              <w:jc w:val="center"/>
              <w:rPr>
                <w:sz w:val="24"/>
              </w:rPr>
            </w:pPr>
          </w:p>
        </w:tc>
        <w:tc>
          <w:tcPr>
            <w:tcW w:w="5245" w:type="dxa"/>
            <w:vAlign w:val="center"/>
          </w:tcPr>
          <w:p w14:paraId="65192442">
            <w:pPr>
              <w:ind w:firstLine="0" w:firstLineChars="0"/>
              <w:jc w:val="center"/>
              <w:rPr>
                <w:sz w:val="24"/>
              </w:rPr>
            </w:pPr>
          </w:p>
        </w:tc>
        <w:tc>
          <w:tcPr>
            <w:tcW w:w="1843" w:type="dxa"/>
            <w:vAlign w:val="center"/>
          </w:tcPr>
          <w:p w14:paraId="1090EEBE">
            <w:pPr>
              <w:ind w:firstLine="0" w:firstLineChars="0"/>
              <w:jc w:val="center"/>
              <w:rPr>
                <w:sz w:val="24"/>
              </w:rPr>
            </w:pPr>
          </w:p>
        </w:tc>
        <w:tc>
          <w:tcPr>
            <w:tcW w:w="1417" w:type="dxa"/>
            <w:vAlign w:val="center"/>
          </w:tcPr>
          <w:p w14:paraId="23239EAE">
            <w:pPr>
              <w:ind w:firstLine="0" w:firstLineChars="0"/>
              <w:jc w:val="center"/>
              <w:rPr>
                <w:sz w:val="24"/>
              </w:rPr>
            </w:pPr>
          </w:p>
        </w:tc>
      </w:tr>
      <w:tr w14:paraId="2DF37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01408AF4">
            <w:pPr>
              <w:ind w:firstLine="0" w:firstLineChars="0"/>
              <w:jc w:val="center"/>
              <w:rPr>
                <w:sz w:val="24"/>
              </w:rPr>
            </w:pPr>
            <w:r>
              <w:rPr>
                <w:w w:val="118"/>
                <w:sz w:val="24"/>
              </w:rPr>
              <w:t>5</w:t>
            </w:r>
          </w:p>
        </w:tc>
        <w:tc>
          <w:tcPr>
            <w:tcW w:w="1276" w:type="dxa"/>
            <w:vAlign w:val="center"/>
          </w:tcPr>
          <w:p w14:paraId="241F6DC3">
            <w:pPr>
              <w:ind w:firstLine="480"/>
              <w:rPr>
                <w:sz w:val="24"/>
              </w:rPr>
            </w:pPr>
          </w:p>
        </w:tc>
        <w:tc>
          <w:tcPr>
            <w:tcW w:w="3827" w:type="dxa"/>
            <w:vAlign w:val="center"/>
          </w:tcPr>
          <w:p w14:paraId="64C29161">
            <w:pPr>
              <w:ind w:firstLine="0" w:firstLineChars="0"/>
              <w:jc w:val="center"/>
              <w:rPr>
                <w:sz w:val="24"/>
              </w:rPr>
            </w:pPr>
          </w:p>
        </w:tc>
        <w:tc>
          <w:tcPr>
            <w:tcW w:w="5245" w:type="dxa"/>
            <w:vAlign w:val="center"/>
          </w:tcPr>
          <w:p w14:paraId="17501CC8">
            <w:pPr>
              <w:ind w:firstLine="0" w:firstLineChars="0"/>
              <w:jc w:val="center"/>
              <w:rPr>
                <w:sz w:val="24"/>
              </w:rPr>
            </w:pPr>
          </w:p>
        </w:tc>
        <w:tc>
          <w:tcPr>
            <w:tcW w:w="1843" w:type="dxa"/>
            <w:vAlign w:val="center"/>
          </w:tcPr>
          <w:p w14:paraId="776CDB0D">
            <w:pPr>
              <w:ind w:firstLine="0" w:firstLineChars="0"/>
              <w:jc w:val="center"/>
              <w:rPr>
                <w:sz w:val="24"/>
              </w:rPr>
            </w:pPr>
          </w:p>
        </w:tc>
        <w:tc>
          <w:tcPr>
            <w:tcW w:w="1417" w:type="dxa"/>
            <w:vAlign w:val="center"/>
          </w:tcPr>
          <w:p w14:paraId="261C7CFB">
            <w:pPr>
              <w:ind w:firstLine="0" w:firstLineChars="0"/>
              <w:jc w:val="center"/>
              <w:rPr>
                <w:sz w:val="24"/>
              </w:rPr>
            </w:pPr>
          </w:p>
        </w:tc>
      </w:tr>
    </w:tbl>
    <w:p w14:paraId="70D11C0A">
      <w:pPr>
        <w:pStyle w:val="5"/>
        <w:ind w:left="0" w:firstLine="402"/>
        <w:rPr>
          <w:b/>
          <w:sz w:val="20"/>
        </w:rPr>
      </w:pPr>
    </w:p>
    <w:p w14:paraId="212DA9BD">
      <w:pPr>
        <w:pStyle w:val="5"/>
        <w:ind w:left="0" w:firstLine="402"/>
        <w:rPr>
          <w:b/>
          <w:sz w:val="20"/>
        </w:rPr>
      </w:pPr>
    </w:p>
    <w:p w14:paraId="6FD5861C">
      <w:pPr>
        <w:pStyle w:val="5"/>
        <w:ind w:left="0" w:firstLine="402"/>
        <w:rPr>
          <w:b/>
          <w:sz w:val="20"/>
        </w:rPr>
      </w:pPr>
    </w:p>
    <w:p w14:paraId="6D86C0D4">
      <w:pPr>
        <w:pStyle w:val="5"/>
        <w:ind w:left="0" w:firstLine="402"/>
        <w:rPr>
          <w:b/>
          <w:sz w:val="20"/>
        </w:rPr>
      </w:pPr>
    </w:p>
    <w:p w14:paraId="65A06B24">
      <w:pPr>
        <w:pStyle w:val="5"/>
        <w:ind w:left="0" w:firstLine="402"/>
        <w:rPr>
          <w:b/>
          <w:sz w:val="20"/>
        </w:rPr>
      </w:pPr>
    </w:p>
    <w:p w14:paraId="563B3418">
      <w:pPr>
        <w:pStyle w:val="5"/>
        <w:ind w:left="0" w:firstLine="402"/>
        <w:rPr>
          <w:b/>
          <w:sz w:val="20"/>
        </w:rPr>
      </w:pPr>
    </w:p>
    <w:p w14:paraId="384A6BC3">
      <w:pPr>
        <w:pStyle w:val="5"/>
        <w:ind w:left="0" w:firstLine="402"/>
        <w:rPr>
          <w:b/>
          <w:sz w:val="20"/>
        </w:rPr>
      </w:pPr>
    </w:p>
    <w:p w14:paraId="1A14F906">
      <w:pPr>
        <w:pStyle w:val="5"/>
        <w:ind w:left="0" w:firstLine="402"/>
        <w:rPr>
          <w:b/>
          <w:sz w:val="20"/>
        </w:rPr>
      </w:pPr>
    </w:p>
    <w:p w14:paraId="31A22536">
      <w:pPr>
        <w:ind w:firstLine="0" w:firstLineChars="0"/>
        <w:rPr>
          <w:rFonts w:ascii="宋体" w:hAnsi="宋体" w:eastAsia="宋体"/>
          <w:b/>
          <w:sz w:val="20"/>
          <w:szCs w:val="32"/>
        </w:rPr>
      </w:pPr>
      <w:r>
        <w:rPr>
          <w:b/>
          <w:sz w:val="20"/>
        </w:rPr>
        <w:br w:type="page"/>
      </w:r>
    </w:p>
    <w:p w14:paraId="5A4FDFAA">
      <w:pPr>
        <w:spacing w:before="40"/>
        <w:ind w:left="220" w:firstLine="0" w:firstLineChars="0"/>
        <w:rPr>
          <w:b/>
          <w:sz w:val="47"/>
        </w:rPr>
      </w:pPr>
      <w:r>
        <w:rPr>
          <w:b/>
          <w:spacing w:val="-27"/>
        </w:rPr>
        <w:t xml:space="preserve">附件 </w:t>
      </w:r>
      <w:r>
        <w:rPr>
          <w:b/>
          <w:spacing w:val="-10"/>
        </w:rPr>
        <w:t>2</w:t>
      </w:r>
    </w:p>
    <w:p w14:paraId="45446DE6">
      <w:pPr>
        <w:ind w:left="220" w:firstLine="723"/>
        <w:jc w:val="center"/>
        <w:rPr>
          <w:b/>
          <w:sz w:val="36"/>
        </w:rPr>
      </w:pPr>
      <w:r>
        <w:rPr>
          <w:b/>
          <w:sz w:val="36"/>
        </w:rPr>
        <w:t>海南省</w:t>
      </w:r>
      <w:r>
        <w:rPr>
          <w:rFonts w:hint="eastAsia"/>
          <w:b/>
          <w:sz w:val="36"/>
        </w:rPr>
        <w:t>质量协会团体</w:t>
      </w:r>
      <w:r>
        <w:rPr>
          <w:b/>
          <w:sz w:val="36"/>
        </w:rPr>
        <w:t>标准《</w:t>
      </w:r>
      <w:r>
        <w:rPr>
          <w:rFonts w:hint="eastAsia"/>
          <w:b/>
          <w:sz w:val="36"/>
        </w:rPr>
        <w:t>X</w:t>
      </w:r>
      <w:r>
        <w:rPr>
          <w:b/>
          <w:sz w:val="36"/>
        </w:rPr>
        <w:t>XXX</w:t>
      </w:r>
      <w:r>
        <w:rPr>
          <w:b/>
          <w:spacing w:val="-1"/>
          <w:sz w:val="36"/>
        </w:rPr>
        <w:t>》</w:t>
      </w:r>
      <w:r>
        <w:rPr>
          <w:rFonts w:hint="eastAsia"/>
          <w:b/>
          <w:spacing w:val="-1"/>
          <w:sz w:val="36"/>
        </w:rPr>
        <w:t>审查</w:t>
      </w:r>
      <w:r>
        <w:rPr>
          <w:b/>
          <w:spacing w:val="-1"/>
          <w:sz w:val="36"/>
        </w:rPr>
        <w:t>意见汇总表</w:t>
      </w:r>
    </w:p>
    <w:p w14:paraId="6D38F508">
      <w:pPr>
        <w:pStyle w:val="5"/>
        <w:spacing w:before="4"/>
        <w:ind w:left="0" w:firstLine="120"/>
        <w:rPr>
          <w:b/>
          <w:sz w:val="6"/>
        </w:rPr>
      </w:pPr>
    </w:p>
    <w:tbl>
      <w:tblPr>
        <w:tblStyle w:val="1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276"/>
        <w:gridCol w:w="3827"/>
        <w:gridCol w:w="5245"/>
        <w:gridCol w:w="1843"/>
        <w:gridCol w:w="1417"/>
      </w:tblGrid>
      <w:tr w14:paraId="62227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817" w:type="dxa"/>
            <w:vAlign w:val="center"/>
          </w:tcPr>
          <w:p w14:paraId="3D1D2400">
            <w:pPr>
              <w:ind w:firstLine="0" w:firstLineChars="0"/>
              <w:jc w:val="center"/>
              <w:rPr>
                <w:sz w:val="24"/>
              </w:rPr>
            </w:pPr>
            <w:r>
              <w:rPr>
                <w:spacing w:val="-7"/>
                <w:sz w:val="24"/>
              </w:rPr>
              <w:t>序号</w:t>
            </w:r>
          </w:p>
        </w:tc>
        <w:tc>
          <w:tcPr>
            <w:tcW w:w="1276" w:type="dxa"/>
            <w:vAlign w:val="center"/>
          </w:tcPr>
          <w:p w14:paraId="21FAE3A7">
            <w:pPr>
              <w:ind w:firstLine="0" w:firstLineChars="0"/>
              <w:jc w:val="center"/>
              <w:rPr>
                <w:sz w:val="24"/>
              </w:rPr>
            </w:pPr>
            <w:r>
              <w:rPr>
                <w:spacing w:val="-4"/>
                <w:sz w:val="24"/>
              </w:rPr>
              <w:t>章条编号</w:t>
            </w:r>
          </w:p>
        </w:tc>
        <w:tc>
          <w:tcPr>
            <w:tcW w:w="3827" w:type="dxa"/>
            <w:vAlign w:val="center"/>
          </w:tcPr>
          <w:p w14:paraId="30FC345E">
            <w:pPr>
              <w:ind w:firstLine="0" w:firstLineChars="0"/>
              <w:jc w:val="center"/>
              <w:rPr>
                <w:sz w:val="24"/>
              </w:rPr>
            </w:pPr>
            <w:r>
              <w:rPr>
                <w:spacing w:val="-4"/>
                <w:sz w:val="24"/>
              </w:rPr>
              <w:t>修改意见</w:t>
            </w:r>
          </w:p>
        </w:tc>
        <w:tc>
          <w:tcPr>
            <w:tcW w:w="5245" w:type="dxa"/>
            <w:vAlign w:val="center"/>
          </w:tcPr>
          <w:p w14:paraId="5671C48D">
            <w:pPr>
              <w:ind w:firstLine="0" w:firstLineChars="0"/>
              <w:jc w:val="center"/>
              <w:rPr>
                <w:sz w:val="24"/>
              </w:rPr>
            </w:pPr>
            <w:r>
              <w:rPr>
                <w:spacing w:val="-4"/>
                <w:sz w:val="24"/>
              </w:rPr>
              <w:t>理由或依据</w:t>
            </w:r>
          </w:p>
        </w:tc>
        <w:tc>
          <w:tcPr>
            <w:tcW w:w="1843" w:type="dxa"/>
            <w:vAlign w:val="center"/>
          </w:tcPr>
          <w:p w14:paraId="658E3D39">
            <w:pPr>
              <w:ind w:firstLine="0" w:firstLineChars="0"/>
              <w:jc w:val="center"/>
              <w:rPr>
                <w:sz w:val="24"/>
              </w:rPr>
            </w:pPr>
            <w:r>
              <w:rPr>
                <w:spacing w:val="-4"/>
                <w:sz w:val="24"/>
              </w:rPr>
              <w:t>提出单位/</w:t>
            </w:r>
            <w:r>
              <w:rPr>
                <w:spacing w:val="-7"/>
                <w:sz w:val="24"/>
              </w:rPr>
              <w:t>人员</w:t>
            </w:r>
          </w:p>
        </w:tc>
        <w:tc>
          <w:tcPr>
            <w:tcW w:w="1417" w:type="dxa"/>
            <w:vAlign w:val="center"/>
          </w:tcPr>
          <w:p w14:paraId="1CCF920B">
            <w:pPr>
              <w:ind w:firstLine="0" w:firstLineChars="0"/>
              <w:jc w:val="center"/>
              <w:rPr>
                <w:sz w:val="24"/>
              </w:rPr>
            </w:pPr>
            <w:r>
              <w:rPr>
                <w:spacing w:val="-4"/>
                <w:sz w:val="24"/>
              </w:rPr>
              <w:t>处理意见</w:t>
            </w:r>
          </w:p>
        </w:tc>
      </w:tr>
      <w:tr w14:paraId="0B72C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603FDD3C">
            <w:pPr>
              <w:ind w:firstLine="0" w:firstLineChars="0"/>
              <w:jc w:val="center"/>
              <w:rPr>
                <w:sz w:val="24"/>
              </w:rPr>
            </w:pPr>
            <w:r>
              <w:rPr>
                <w:w w:val="118"/>
                <w:sz w:val="24"/>
              </w:rPr>
              <w:t>1</w:t>
            </w:r>
          </w:p>
        </w:tc>
        <w:tc>
          <w:tcPr>
            <w:tcW w:w="1276" w:type="dxa"/>
            <w:vAlign w:val="center"/>
          </w:tcPr>
          <w:p w14:paraId="0D172B81">
            <w:pPr>
              <w:ind w:firstLine="480"/>
              <w:rPr>
                <w:sz w:val="24"/>
              </w:rPr>
            </w:pPr>
          </w:p>
        </w:tc>
        <w:tc>
          <w:tcPr>
            <w:tcW w:w="3827" w:type="dxa"/>
            <w:vAlign w:val="center"/>
          </w:tcPr>
          <w:p w14:paraId="4CECAC22">
            <w:pPr>
              <w:ind w:firstLine="0" w:firstLineChars="0"/>
              <w:jc w:val="center"/>
              <w:rPr>
                <w:sz w:val="24"/>
              </w:rPr>
            </w:pPr>
          </w:p>
        </w:tc>
        <w:tc>
          <w:tcPr>
            <w:tcW w:w="5245" w:type="dxa"/>
            <w:vAlign w:val="center"/>
          </w:tcPr>
          <w:p w14:paraId="2E947E00">
            <w:pPr>
              <w:ind w:firstLine="0" w:firstLineChars="0"/>
              <w:jc w:val="center"/>
              <w:rPr>
                <w:sz w:val="24"/>
              </w:rPr>
            </w:pPr>
          </w:p>
        </w:tc>
        <w:tc>
          <w:tcPr>
            <w:tcW w:w="1843" w:type="dxa"/>
            <w:vAlign w:val="center"/>
          </w:tcPr>
          <w:p w14:paraId="11B2A430">
            <w:pPr>
              <w:ind w:firstLine="0" w:firstLineChars="0"/>
              <w:jc w:val="center"/>
              <w:rPr>
                <w:sz w:val="24"/>
              </w:rPr>
            </w:pPr>
          </w:p>
        </w:tc>
        <w:tc>
          <w:tcPr>
            <w:tcW w:w="1417" w:type="dxa"/>
            <w:vAlign w:val="center"/>
          </w:tcPr>
          <w:p w14:paraId="0D518548">
            <w:pPr>
              <w:ind w:firstLine="0" w:firstLineChars="0"/>
              <w:jc w:val="center"/>
              <w:rPr>
                <w:sz w:val="24"/>
              </w:rPr>
            </w:pPr>
          </w:p>
        </w:tc>
      </w:tr>
      <w:tr w14:paraId="38C5E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4D097E8F">
            <w:pPr>
              <w:ind w:firstLine="0" w:firstLineChars="0"/>
              <w:jc w:val="center"/>
              <w:rPr>
                <w:sz w:val="24"/>
              </w:rPr>
            </w:pPr>
            <w:r>
              <w:rPr>
                <w:w w:val="118"/>
                <w:sz w:val="24"/>
              </w:rPr>
              <w:t>2</w:t>
            </w:r>
          </w:p>
        </w:tc>
        <w:tc>
          <w:tcPr>
            <w:tcW w:w="1276" w:type="dxa"/>
            <w:vAlign w:val="center"/>
          </w:tcPr>
          <w:p w14:paraId="004919A2">
            <w:pPr>
              <w:ind w:firstLine="480"/>
              <w:rPr>
                <w:sz w:val="24"/>
              </w:rPr>
            </w:pPr>
          </w:p>
        </w:tc>
        <w:tc>
          <w:tcPr>
            <w:tcW w:w="3827" w:type="dxa"/>
            <w:vAlign w:val="center"/>
          </w:tcPr>
          <w:p w14:paraId="0F68FBA0">
            <w:pPr>
              <w:ind w:firstLine="0" w:firstLineChars="0"/>
              <w:jc w:val="center"/>
              <w:rPr>
                <w:sz w:val="24"/>
              </w:rPr>
            </w:pPr>
          </w:p>
        </w:tc>
        <w:tc>
          <w:tcPr>
            <w:tcW w:w="5245" w:type="dxa"/>
            <w:vAlign w:val="center"/>
          </w:tcPr>
          <w:p w14:paraId="4989DD34">
            <w:pPr>
              <w:ind w:firstLine="0" w:firstLineChars="0"/>
              <w:jc w:val="center"/>
              <w:rPr>
                <w:sz w:val="24"/>
              </w:rPr>
            </w:pPr>
          </w:p>
        </w:tc>
        <w:tc>
          <w:tcPr>
            <w:tcW w:w="1843" w:type="dxa"/>
            <w:vAlign w:val="center"/>
          </w:tcPr>
          <w:p w14:paraId="48F7DEF3">
            <w:pPr>
              <w:ind w:firstLine="0" w:firstLineChars="0"/>
              <w:jc w:val="center"/>
              <w:rPr>
                <w:sz w:val="24"/>
              </w:rPr>
            </w:pPr>
          </w:p>
        </w:tc>
        <w:tc>
          <w:tcPr>
            <w:tcW w:w="1417" w:type="dxa"/>
            <w:vAlign w:val="center"/>
          </w:tcPr>
          <w:p w14:paraId="6830F222">
            <w:pPr>
              <w:ind w:firstLine="0" w:firstLineChars="0"/>
              <w:jc w:val="center"/>
              <w:rPr>
                <w:sz w:val="24"/>
              </w:rPr>
            </w:pPr>
          </w:p>
        </w:tc>
      </w:tr>
      <w:tr w14:paraId="6F995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1AE4C6BB">
            <w:pPr>
              <w:ind w:firstLine="0" w:firstLineChars="0"/>
              <w:jc w:val="center"/>
              <w:rPr>
                <w:sz w:val="24"/>
              </w:rPr>
            </w:pPr>
            <w:r>
              <w:rPr>
                <w:w w:val="118"/>
                <w:sz w:val="24"/>
              </w:rPr>
              <w:t>3</w:t>
            </w:r>
          </w:p>
        </w:tc>
        <w:tc>
          <w:tcPr>
            <w:tcW w:w="1276" w:type="dxa"/>
            <w:vAlign w:val="center"/>
          </w:tcPr>
          <w:p w14:paraId="55A8C3E2">
            <w:pPr>
              <w:ind w:firstLine="480"/>
              <w:rPr>
                <w:sz w:val="24"/>
              </w:rPr>
            </w:pPr>
          </w:p>
        </w:tc>
        <w:tc>
          <w:tcPr>
            <w:tcW w:w="3827" w:type="dxa"/>
            <w:vAlign w:val="center"/>
          </w:tcPr>
          <w:p w14:paraId="466F87AC">
            <w:pPr>
              <w:ind w:firstLine="0" w:firstLineChars="0"/>
              <w:jc w:val="center"/>
              <w:rPr>
                <w:sz w:val="24"/>
              </w:rPr>
            </w:pPr>
          </w:p>
        </w:tc>
        <w:tc>
          <w:tcPr>
            <w:tcW w:w="5245" w:type="dxa"/>
            <w:vAlign w:val="center"/>
          </w:tcPr>
          <w:p w14:paraId="3FB4B1C4">
            <w:pPr>
              <w:ind w:firstLine="0" w:firstLineChars="0"/>
              <w:jc w:val="center"/>
              <w:rPr>
                <w:sz w:val="24"/>
              </w:rPr>
            </w:pPr>
          </w:p>
        </w:tc>
        <w:tc>
          <w:tcPr>
            <w:tcW w:w="1843" w:type="dxa"/>
            <w:vAlign w:val="center"/>
          </w:tcPr>
          <w:p w14:paraId="121495B5">
            <w:pPr>
              <w:ind w:firstLine="0" w:firstLineChars="0"/>
              <w:jc w:val="center"/>
              <w:rPr>
                <w:sz w:val="24"/>
              </w:rPr>
            </w:pPr>
          </w:p>
        </w:tc>
        <w:tc>
          <w:tcPr>
            <w:tcW w:w="1417" w:type="dxa"/>
            <w:vAlign w:val="center"/>
          </w:tcPr>
          <w:p w14:paraId="3ABFEAA4">
            <w:pPr>
              <w:ind w:firstLine="0" w:firstLineChars="0"/>
              <w:jc w:val="center"/>
              <w:rPr>
                <w:sz w:val="24"/>
              </w:rPr>
            </w:pPr>
          </w:p>
        </w:tc>
      </w:tr>
      <w:tr w14:paraId="7E514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69AAEC31">
            <w:pPr>
              <w:ind w:firstLine="0" w:firstLineChars="0"/>
              <w:jc w:val="center"/>
              <w:rPr>
                <w:sz w:val="24"/>
              </w:rPr>
            </w:pPr>
            <w:r>
              <w:rPr>
                <w:w w:val="118"/>
                <w:sz w:val="24"/>
              </w:rPr>
              <w:t>4</w:t>
            </w:r>
          </w:p>
        </w:tc>
        <w:tc>
          <w:tcPr>
            <w:tcW w:w="1276" w:type="dxa"/>
            <w:vAlign w:val="center"/>
          </w:tcPr>
          <w:p w14:paraId="5D33FEDF">
            <w:pPr>
              <w:ind w:firstLine="480"/>
              <w:rPr>
                <w:sz w:val="24"/>
              </w:rPr>
            </w:pPr>
          </w:p>
        </w:tc>
        <w:tc>
          <w:tcPr>
            <w:tcW w:w="3827" w:type="dxa"/>
            <w:vAlign w:val="center"/>
          </w:tcPr>
          <w:p w14:paraId="2EC5A082">
            <w:pPr>
              <w:ind w:firstLine="0" w:firstLineChars="0"/>
              <w:jc w:val="center"/>
              <w:rPr>
                <w:sz w:val="24"/>
              </w:rPr>
            </w:pPr>
          </w:p>
        </w:tc>
        <w:tc>
          <w:tcPr>
            <w:tcW w:w="5245" w:type="dxa"/>
            <w:vAlign w:val="center"/>
          </w:tcPr>
          <w:p w14:paraId="6EAB597D">
            <w:pPr>
              <w:ind w:firstLine="0" w:firstLineChars="0"/>
              <w:jc w:val="center"/>
              <w:rPr>
                <w:sz w:val="24"/>
              </w:rPr>
            </w:pPr>
          </w:p>
        </w:tc>
        <w:tc>
          <w:tcPr>
            <w:tcW w:w="1843" w:type="dxa"/>
            <w:vAlign w:val="center"/>
          </w:tcPr>
          <w:p w14:paraId="3E950E71">
            <w:pPr>
              <w:ind w:firstLine="0" w:firstLineChars="0"/>
              <w:jc w:val="center"/>
              <w:rPr>
                <w:sz w:val="24"/>
              </w:rPr>
            </w:pPr>
          </w:p>
        </w:tc>
        <w:tc>
          <w:tcPr>
            <w:tcW w:w="1417" w:type="dxa"/>
            <w:vAlign w:val="center"/>
          </w:tcPr>
          <w:p w14:paraId="7757CC9B">
            <w:pPr>
              <w:ind w:firstLine="0" w:firstLineChars="0"/>
              <w:jc w:val="center"/>
              <w:rPr>
                <w:sz w:val="24"/>
              </w:rPr>
            </w:pPr>
          </w:p>
        </w:tc>
      </w:tr>
      <w:tr w14:paraId="3FA70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0E5FF4B9">
            <w:pPr>
              <w:ind w:firstLine="0" w:firstLineChars="0"/>
              <w:jc w:val="center"/>
              <w:rPr>
                <w:sz w:val="24"/>
              </w:rPr>
            </w:pPr>
            <w:r>
              <w:rPr>
                <w:w w:val="118"/>
                <w:sz w:val="24"/>
              </w:rPr>
              <w:t>5</w:t>
            </w:r>
          </w:p>
        </w:tc>
        <w:tc>
          <w:tcPr>
            <w:tcW w:w="1276" w:type="dxa"/>
            <w:vAlign w:val="center"/>
          </w:tcPr>
          <w:p w14:paraId="123C0466">
            <w:pPr>
              <w:ind w:firstLine="480"/>
              <w:rPr>
                <w:sz w:val="24"/>
              </w:rPr>
            </w:pPr>
          </w:p>
        </w:tc>
        <w:tc>
          <w:tcPr>
            <w:tcW w:w="3827" w:type="dxa"/>
            <w:vAlign w:val="center"/>
          </w:tcPr>
          <w:p w14:paraId="23817075">
            <w:pPr>
              <w:ind w:firstLine="0" w:firstLineChars="0"/>
              <w:jc w:val="center"/>
              <w:rPr>
                <w:sz w:val="24"/>
              </w:rPr>
            </w:pPr>
          </w:p>
        </w:tc>
        <w:tc>
          <w:tcPr>
            <w:tcW w:w="5245" w:type="dxa"/>
            <w:vAlign w:val="center"/>
          </w:tcPr>
          <w:p w14:paraId="37C40335">
            <w:pPr>
              <w:ind w:firstLine="0" w:firstLineChars="0"/>
              <w:jc w:val="center"/>
              <w:rPr>
                <w:sz w:val="24"/>
              </w:rPr>
            </w:pPr>
          </w:p>
        </w:tc>
        <w:tc>
          <w:tcPr>
            <w:tcW w:w="1843" w:type="dxa"/>
            <w:vAlign w:val="center"/>
          </w:tcPr>
          <w:p w14:paraId="75BBE5C3">
            <w:pPr>
              <w:ind w:firstLine="0" w:firstLineChars="0"/>
              <w:jc w:val="center"/>
              <w:rPr>
                <w:sz w:val="24"/>
              </w:rPr>
            </w:pPr>
          </w:p>
        </w:tc>
        <w:tc>
          <w:tcPr>
            <w:tcW w:w="1417" w:type="dxa"/>
            <w:vAlign w:val="center"/>
          </w:tcPr>
          <w:p w14:paraId="446A5E0E">
            <w:pPr>
              <w:ind w:firstLine="0" w:firstLineChars="0"/>
              <w:jc w:val="center"/>
              <w:rPr>
                <w:sz w:val="24"/>
              </w:rPr>
            </w:pPr>
          </w:p>
        </w:tc>
      </w:tr>
    </w:tbl>
    <w:p w14:paraId="06E19FE1">
      <w:pPr>
        <w:pStyle w:val="5"/>
        <w:ind w:left="0" w:firstLine="402"/>
        <w:rPr>
          <w:b/>
          <w:sz w:val="20"/>
        </w:rPr>
      </w:pPr>
    </w:p>
    <w:p w14:paraId="18BF2F44">
      <w:pPr>
        <w:pStyle w:val="5"/>
        <w:ind w:left="0" w:firstLine="402"/>
        <w:rPr>
          <w:b/>
          <w:sz w:val="20"/>
        </w:rPr>
      </w:pPr>
    </w:p>
    <w:p w14:paraId="1F6E0203">
      <w:pPr>
        <w:pStyle w:val="5"/>
        <w:ind w:left="0" w:firstLine="402"/>
        <w:rPr>
          <w:b/>
          <w:sz w:val="20"/>
        </w:rPr>
      </w:pPr>
    </w:p>
    <w:p w14:paraId="347A4DC7">
      <w:pPr>
        <w:spacing w:before="102"/>
        <w:ind w:right="482" w:firstLine="360"/>
        <w:jc w:val="right"/>
        <w:rPr>
          <w:rFonts w:ascii="Gill Sans MT" w:hAnsi="Gill Sans MT"/>
          <w:sz w:val="18"/>
        </w:rPr>
      </w:pPr>
    </w:p>
    <w:sectPr>
      <w:footerReference r:id="rId11" w:type="default"/>
      <w:pgSz w:w="16840" w:h="11910" w:orient="landscape"/>
      <w:pgMar w:top="1100" w:right="960" w:bottom="280" w:left="12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Gill Sans MT">
    <w:panose1 w:val="020B0502020104020203"/>
    <w:charset w:val="00"/>
    <w:family w:val="swiss"/>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A1569">
    <w:pPr>
      <w:pStyle w:val="5"/>
      <w:spacing w:line="14" w:lineRule="auto"/>
      <w:ind w:left="0" w:firstLine="640"/>
      <w:rPr>
        <w:sz w:val="20"/>
      </w:rPr>
    </w:pPr>
    <w:r>
      <mc:AlternateContent>
        <mc:Choice Requires="wps">
          <w:drawing>
            <wp:anchor distT="0" distB="0" distL="114300" distR="114300" simplePos="0" relativeHeight="251659264" behindDoc="1" locked="0" layoutInCell="1" allowOverlap="1">
              <wp:simplePos x="0" y="0"/>
              <wp:positionH relativeFrom="page">
                <wp:posOffset>5962650</wp:posOffset>
              </wp:positionH>
              <wp:positionV relativeFrom="page">
                <wp:posOffset>10109200</wp:posOffset>
              </wp:positionV>
              <wp:extent cx="635000" cy="177800"/>
              <wp:effectExtent l="0" t="0" r="0" b="0"/>
              <wp:wrapNone/>
              <wp:docPr id="2" name="docshape4"/>
              <wp:cNvGraphicFramePr/>
              <a:graphic xmlns:a="http://schemas.openxmlformats.org/drawingml/2006/main">
                <a:graphicData uri="http://schemas.microsoft.com/office/word/2010/wordprocessingShape">
                  <wps:wsp>
                    <wps:cNvSpPr txBox="1">
                      <a:spLocks noChangeArrowheads="1"/>
                    </wps:cNvSpPr>
                    <wps:spPr bwMode="auto">
                      <a:xfrm>
                        <a:off x="0" y="0"/>
                        <a:ext cx="635000" cy="177800"/>
                      </a:xfrm>
                      <a:prstGeom prst="rect">
                        <a:avLst/>
                      </a:prstGeom>
                      <a:noFill/>
                      <a:ln>
                        <a:noFill/>
                      </a:ln>
                    </wps:spPr>
                    <wps:txbx>
                      <w:txbxContent>
                        <w:p w14:paraId="36401386">
                          <w:pPr>
                            <w:spacing w:line="280" w:lineRule="exact"/>
                            <w:ind w:left="20" w:firstLine="480"/>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2"/>
                              <w:sz w:val="24"/>
                            </w:rPr>
                            <w:t xml:space="preserve"> </w:t>
                          </w:r>
                          <w:r>
                            <w:rPr>
                              <w:spacing w:val="-10"/>
                              <w:sz w:val="24"/>
                            </w:rPr>
                            <w:t>—</w:t>
                          </w:r>
                        </w:p>
                      </w:txbxContent>
                    </wps:txbx>
                    <wps:bodyPr rot="0" vert="horz" wrap="square" lIns="0" tIns="0" rIns="0" bIns="0" anchor="t" anchorCtr="0" upright="1">
                      <a:noAutofit/>
                    </wps:bodyPr>
                  </wps:wsp>
                </a:graphicData>
              </a:graphic>
            </wp:anchor>
          </w:drawing>
        </mc:Choice>
        <mc:Fallback>
          <w:pict>
            <v:shape id="docshape4" o:spid="_x0000_s1026" o:spt="202" type="#_x0000_t202" style="position:absolute;left:0pt;margin-left:469.5pt;margin-top:796pt;height:14pt;width:50pt;mso-position-horizontal-relative:page;mso-position-vertical-relative:page;z-index:-251657216;mso-width-relative:page;mso-height-relative:page;" filled="f" stroked="f" coordsize="21600,21600" o:gfxdata="UEsDBAoAAAAAAIdO4kAAAAAAAAAAAAAAAAAEAAAAZHJzL1BLAwQUAAAACACHTuJAyBFjAdcAAAAO&#10;AQAADwAAAGRycy9kb3ducmV2LnhtbE1Py07DMBC8I/EP1iJxo3aLiEiIUyEEJyREGg4cnXibWI3X&#10;IXYf/D1bLnCb3RnNo1yf/CgOOEcXSMNyoUAgdcE66jV8NC839yBiMmTNGAg1fGOEdXV5UZrChiPV&#10;eNikXrAJxcJoGFKaCiljN6A3cREmJOa2YfYm8Tn30s7myOZ+lCulMumNI04YzIRPA3a7zd5rePyk&#10;+tl9vbXv9bZ2TZMres12Wl9fLdUDiISn9CeGc32uDhV3asOebBSjhvw25y2Jibt8xegsUb+/llHG&#10;4SCrUv6fUf0AUEsDBBQAAAAIAIdO4kDdA+dL+gEAAAIEAAAOAAAAZHJzL2Uyb0RvYy54bWytU01v&#10;2zAMvQ/YfxB0X+xkW1sYcYquQYcB3QfQ7QcwshwLs0SNUmJnv36UnKRdd+lhF4GiqMf3nqjl9Wh7&#10;sdcUDLpazmelFNopbIzb1vLH97s3V1KECK6BHp2u5UEHeb16/Wo5+EovsMO+0SQYxIVq8LXsYvRV&#10;UQTVaQthhl47PmyRLETe0rZoCAZGt32xKMuLYkBqPKHSIXB2PR3KIyK9BBDb1ii9RrWz2sUJlXQP&#10;kSWFzvggV5lt22oVv7Zt0FH0tWSlMa/chONNWovVEqotge+MOlKAl1B4psmCcdz0DLWGCGJH5h8o&#10;axRhwDbOFNpiEpIdYRXz8pk3Dx14nbWw1cGfTQ//D1Z92X8jYZpaLqRwYPnBG1QhNX6XzBl8qLjm&#10;wXNVHD/gyCOThQZ/j+pnEA5vO3BbfUOEQ6ehYXLzdLN4cnXCCQlkM3zGhrvALmIGGluyyTn2QjA6&#10;P8zh/DB6jEJx8uLt+7LkE8VH88vLK45TB6hOlz2F+FGjFSmoJfG7Z3DY34c4lZ5KUi+Hd6bvOQ9V&#10;7/5KMGbKZPKJ78Q8jpuRq5OiDTYHlkE4jRJ/JA46pN9SDDxGtQy/dkBaiv6TYyvSzJ0COgWbUwBO&#10;8dVaRimm8DZOs7nzZLYdI09mO7xhu1qTpTyyOPLk0chmHMc4zd7Tfa56/Lq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gRYwHXAAAADgEAAA8AAAAAAAAAAQAgAAAAIgAAAGRycy9kb3ducmV2Lnht&#10;bFBLAQIUABQAAAAIAIdO4kDdA+dL+gEAAAIEAAAOAAAAAAAAAAEAIAAAACYBAABkcnMvZTJvRG9j&#10;LnhtbFBLBQYAAAAABgAGAFkBAACSBQAAAAA=&#10;">
              <v:fill on="f" focussize="0,0"/>
              <v:stroke on="f"/>
              <v:imagedata o:title=""/>
              <o:lock v:ext="edit" aspectratio="f"/>
              <v:textbox inset="0mm,0mm,0mm,0mm">
                <w:txbxContent>
                  <w:p w14:paraId="36401386">
                    <w:pPr>
                      <w:spacing w:line="280" w:lineRule="exact"/>
                      <w:ind w:left="20" w:firstLine="480"/>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2"/>
                        <w:sz w:val="24"/>
                      </w:rPr>
                      <w:t xml:space="preserve"> </w:t>
                    </w:r>
                    <w:r>
                      <w:rPr>
                        <w:spacing w:val="-10"/>
                        <w:sz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611FE">
    <w:pPr>
      <w:pStyle w:val="5"/>
      <w:spacing w:line="14" w:lineRule="auto"/>
      <w:ind w:left="0" w:firstLine="640"/>
      <w:rPr>
        <w:sz w:val="20"/>
      </w:rPr>
    </w:pPr>
    <w:r>
      <mc:AlternateContent>
        <mc:Choice Requires="wps">
          <w:drawing>
            <wp:anchor distT="0" distB="0" distL="114300" distR="114300" simplePos="0" relativeHeight="251659264" behindDoc="1" locked="0" layoutInCell="1" allowOverlap="1">
              <wp:simplePos x="0" y="0"/>
              <wp:positionH relativeFrom="page">
                <wp:posOffset>997585</wp:posOffset>
              </wp:positionH>
              <wp:positionV relativeFrom="page">
                <wp:posOffset>10109200</wp:posOffset>
              </wp:positionV>
              <wp:extent cx="635000" cy="177800"/>
              <wp:effectExtent l="0" t="0" r="0" b="0"/>
              <wp:wrapNone/>
              <wp:docPr id="4" name="docshape3"/>
              <wp:cNvGraphicFramePr/>
              <a:graphic xmlns:a="http://schemas.openxmlformats.org/drawingml/2006/main">
                <a:graphicData uri="http://schemas.microsoft.com/office/word/2010/wordprocessingShape">
                  <wps:wsp>
                    <wps:cNvSpPr txBox="1">
                      <a:spLocks noChangeArrowheads="1"/>
                    </wps:cNvSpPr>
                    <wps:spPr bwMode="auto">
                      <a:xfrm>
                        <a:off x="0" y="0"/>
                        <a:ext cx="635000" cy="177800"/>
                      </a:xfrm>
                      <a:prstGeom prst="rect">
                        <a:avLst/>
                      </a:prstGeom>
                      <a:noFill/>
                      <a:ln>
                        <a:noFill/>
                      </a:ln>
                    </wps:spPr>
                    <wps:txbx>
                      <w:txbxContent>
                        <w:p w14:paraId="7C50D83F">
                          <w:pPr>
                            <w:spacing w:line="280" w:lineRule="exact"/>
                            <w:ind w:left="20" w:firstLine="480"/>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2"/>
                              <w:sz w:val="24"/>
                            </w:rPr>
                            <w:t xml:space="preserve"> </w:t>
                          </w:r>
                          <w:r>
                            <w:rPr>
                              <w:spacing w:val="-10"/>
                              <w:sz w:val="24"/>
                            </w:rPr>
                            <w:t>—</w:t>
                          </w:r>
                        </w:p>
                      </w:txbxContent>
                    </wps:txbx>
                    <wps:bodyPr rot="0" vert="horz" wrap="square" lIns="0" tIns="0" rIns="0" bIns="0" anchor="t" anchorCtr="0" upright="1">
                      <a:noAutofit/>
                    </wps:bodyPr>
                  </wps:wsp>
                </a:graphicData>
              </a:graphic>
            </wp:anchor>
          </w:drawing>
        </mc:Choice>
        <mc:Fallback>
          <w:pict>
            <v:shape id="docshape3" o:spid="_x0000_s1026" o:spt="202" type="#_x0000_t202" style="position:absolute;left:0pt;margin-left:78.55pt;margin-top:796pt;height:14pt;width:50pt;mso-position-horizontal-relative:page;mso-position-vertical-relative:page;z-index:-251657216;mso-width-relative:page;mso-height-relative:page;" filled="f" stroked="f" coordsize="21600,21600" o:gfxdata="UEsDBAoAAAAAAIdO4kAAAAAAAAAAAAAAAAAEAAAAZHJzL1BLAwQUAAAACACHTuJAM+BV8NYAAAAN&#10;AQAADwAAAGRycy9kb3ducmV2LnhtbE1Py07DMBC8I/EP1lbiRp1EItA0ToUQnJAQaThwdOJtYjVe&#10;h9h98PdsucBtZ3Y0j3JzdqM44hysJwXpMgGB1HljqVfw0bzcPoAIUZPRoydU8I0BNtX1VakL409U&#10;43Ebe8EmFAqtYIhxKqQM3YBOh6WfkPi387PTkeHcSzPrE5u7UWZJkkunLXHCoCd8GrDbbw9OweMn&#10;1c/26619r3e1bZpVQq/5XqmbRZqsQUQ8xz8xXOpzdai4U+sPZIIYGd/dpyy9HKuMV7Ek+6VapnLO&#10;BlmV8v+K6gdQSwMEFAAAAAgAh07iQIfxy3/6AQAAAgQAAA4AAABkcnMvZTJvRG9jLnhtbK1TwW7b&#10;MAy9D9g/CLovdtqtLYw4Rdegw4BuHdDtAxhZjoVZokYpsbOvHyUnadddethFoCjq8b0nanE92l7s&#10;NAWDrpbzWSmFdgob4za1/PH97t2VFCGCa6BHp2u510FeL9++WQy+0mfYYd9oEgziQjX4WnYx+qoo&#10;guq0hTBDrx0ftkgWIm9pUzQEA6Pbvjgry4tiQGo8odIhcHY1HcoDIr0GENvWKL1CtbXaxQmVdA+R&#10;JYXO+CCXmW3bahUf2jboKPpastKYV27C8TqtxXIB1YbAd0YdKMBrKLzQZME4bnqCWkEEsSXzD5Q1&#10;ijBgG2cKbTEJyY6winn5wpvHDrzOWtjq4E+mh/8Hq77uvpEwTS3fS+HA8oM3qEJqfJ7MGXyouObR&#10;c1UcP+LII5OFBn+P6mcQDm87cBt9Q4RDp6FhcvN0s3h2dcIJCWQ9fMGGu8A2YgYaW7LJOfZCMDo/&#10;zP70MHqMQnHy4vxDWfKJ4qP55eUVx6kDVMfLnkL8pNGKFNSS+N0zOOzuQ5xKjyWpl8M70/ech6p3&#10;fyUYM2Uy+cR3Yh7H9cjVSdEamz3LIJxGiT8SBx3SbykGHqNahl9bIC1F/9mxFWnmjgEdg/UxAKf4&#10;ai2jFFN4G6fZ3Hoym46RJ7Md3rBdrclSnlgcePJoZDMOY5xm7/k+Vz193e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BV8NYAAAANAQAADwAAAAAAAAABACAAAAAiAAAAZHJzL2Rvd25yZXYueG1s&#10;UEsBAhQAFAAAAAgAh07iQIfxy3/6AQAAAgQAAA4AAAAAAAAAAQAgAAAAJQEAAGRycy9lMm9Eb2Mu&#10;eG1sUEsFBgAAAAAGAAYAWQEAAJEFAAAAAA==&#10;">
              <v:fill on="f" focussize="0,0"/>
              <v:stroke on="f"/>
              <v:imagedata o:title=""/>
              <o:lock v:ext="edit" aspectratio="f"/>
              <v:textbox inset="0mm,0mm,0mm,0mm">
                <w:txbxContent>
                  <w:p w14:paraId="7C50D83F">
                    <w:pPr>
                      <w:spacing w:line="280" w:lineRule="exact"/>
                      <w:ind w:left="20" w:firstLine="480"/>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2"/>
                        <w:sz w:val="24"/>
                      </w:rPr>
                      <w:t xml:space="preserve"> </w:t>
                    </w:r>
                    <w:r>
                      <w:rPr>
                        <w:spacing w:val="-10"/>
                        <w:sz w:val="24"/>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9BC7">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E149">
    <w:pPr>
      <w:pStyle w:val="5"/>
      <w:spacing w:line="14" w:lineRule="auto"/>
      <w:ind w:left="0" w:firstLine="4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22BBC">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46CAA">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1A46D">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5E"/>
    <w:rsid w:val="00016D8E"/>
    <w:rsid w:val="00031498"/>
    <w:rsid w:val="000512E1"/>
    <w:rsid w:val="00094349"/>
    <w:rsid w:val="00210530"/>
    <w:rsid w:val="0029007F"/>
    <w:rsid w:val="005A27BA"/>
    <w:rsid w:val="00847CE6"/>
    <w:rsid w:val="008F186C"/>
    <w:rsid w:val="0097706D"/>
    <w:rsid w:val="00A63B9B"/>
    <w:rsid w:val="00AD0DDB"/>
    <w:rsid w:val="00AE3526"/>
    <w:rsid w:val="00B120B8"/>
    <w:rsid w:val="00B52690"/>
    <w:rsid w:val="00B8624E"/>
    <w:rsid w:val="00BF1A69"/>
    <w:rsid w:val="00BF3CC9"/>
    <w:rsid w:val="00C32551"/>
    <w:rsid w:val="00C53A5E"/>
    <w:rsid w:val="00CB5A10"/>
    <w:rsid w:val="00CF5BFC"/>
    <w:rsid w:val="00DF3D9D"/>
    <w:rsid w:val="00EA63B4"/>
    <w:rsid w:val="00FD3BF3"/>
    <w:rsid w:val="00FF203B"/>
    <w:rsid w:val="01277FD4"/>
    <w:rsid w:val="01374C0C"/>
    <w:rsid w:val="013B2B96"/>
    <w:rsid w:val="01536B3C"/>
    <w:rsid w:val="018B2118"/>
    <w:rsid w:val="019127B6"/>
    <w:rsid w:val="01A1683A"/>
    <w:rsid w:val="01AC264C"/>
    <w:rsid w:val="01B36BD0"/>
    <w:rsid w:val="01EF572E"/>
    <w:rsid w:val="025D08EA"/>
    <w:rsid w:val="030B47EA"/>
    <w:rsid w:val="0351077F"/>
    <w:rsid w:val="038369CF"/>
    <w:rsid w:val="03BB1D6C"/>
    <w:rsid w:val="03BE6BB4"/>
    <w:rsid w:val="03C4523A"/>
    <w:rsid w:val="03C85032"/>
    <w:rsid w:val="03F82FC0"/>
    <w:rsid w:val="044C50BA"/>
    <w:rsid w:val="044F0706"/>
    <w:rsid w:val="052221B5"/>
    <w:rsid w:val="05796E8A"/>
    <w:rsid w:val="058C1C12"/>
    <w:rsid w:val="05BB42A5"/>
    <w:rsid w:val="060B7A81"/>
    <w:rsid w:val="06233AA0"/>
    <w:rsid w:val="068C5C42"/>
    <w:rsid w:val="06935222"/>
    <w:rsid w:val="06D118A6"/>
    <w:rsid w:val="06FE6B3F"/>
    <w:rsid w:val="079A613C"/>
    <w:rsid w:val="07C76200"/>
    <w:rsid w:val="07CE18DD"/>
    <w:rsid w:val="07F4584C"/>
    <w:rsid w:val="08163A15"/>
    <w:rsid w:val="083F5094"/>
    <w:rsid w:val="084A2FB6"/>
    <w:rsid w:val="08B33959"/>
    <w:rsid w:val="094822F4"/>
    <w:rsid w:val="095A2027"/>
    <w:rsid w:val="09E055E5"/>
    <w:rsid w:val="0A0F696E"/>
    <w:rsid w:val="0A51342A"/>
    <w:rsid w:val="0AF17E80"/>
    <w:rsid w:val="0B2823DD"/>
    <w:rsid w:val="0B553428"/>
    <w:rsid w:val="0B664CB3"/>
    <w:rsid w:val="0B7A250D"/>
    <w:rsid w:val="0BA61553"/>
    <w:rsid w:val="0BCC68EA"/>
    <w:rsid w:val="0BD458F5"/>
    <w:rsid w:val="0BD53BE7"/>
    <w:rsid w:val="0BED7182"/>
    <w:rsid w:val="0C822B95"/>
    <w:rsid w:val="0CA75583"/>
    <w:rsid w:val="0CA85443"/>
    <w:rsid w:val="0CD8573D"/>
    <w:rsid w:val="0CE57E5A"/>
    <w:rsid w:val="0D2564A8"/>
    <w:rsid w:val="0D826EB5"/>
    <w:rsid w:val="0DAB10A3"/>
    <w:rsid w:val="0DAD4E1B"/>
    <w:rsid w:val="0DB55A7E"/>
    <w:rsid w:val="0DC950AB"/>
    <w:rsid w:val="0DD46CBF"/>
    <w:rsid w:val="0E15651D"/>
    <w:rsid w:val="0E4806A0"/>
    <w:rsid w:val="0E745939"/>
    <w:rsid w:val="0E7B0752"/>
    <w:rsid w:val="0E864564"/>
    <w:rsid w:val="0E937FF7"/>
    <w:rsid w:val="0EA8251A"/>
    <w:rsid w:val="0EB977F0"/>
    <w:rsid w:val="0ED91C40"/>
    <w:rsid w:val="0EF33893"/>
    <w:rsid w:val="0F673852"/>
    <w:rsid w:val="0F725466"/>
    <w:rsid w:val="0FA1450C"/>
    <w:rsid w:val="0FAC4347"/>
    <w:rsid w:val="0FDB1613"/>
    <w:rsid w:val="0FDC19E8"/>
    <w:rsid w:val="105769DE"/>
    <w:rsid w:val="106F4084"/>
    <w:rsid w:val="108A26B0"/>
    <w:rsid w:val="10CE27F7"/>
    <w:rsid w:val="10EA3C90"/>
    <w:rsid w:val="11103304"/>
    <w:rsid w:val="1160654C"/>
    <w:rsid w:val="1191235E"/>
    <w:rsid w:val="11A007F3"/>
    <w:rsid w:val="11EC660C"/>
    <w:rsid w:val="12071A36"/>
    <w:rsid w:val="122006A8"/>
    <w:rsid w:val="125A3098"/>
    <w:rsid w:val="127F48AC"/>
    <w:rsid w:val="128D6FC9"/>
    <w:rsid w:val="12AE4934"/>
    <w:rsid w:val="12BC340B"/>
    <w:rsid w:val="12E34E3B"/>
    <w:rsid w:val="12EA441C"/>
    <w:rsid w:val="12FE7EC7"/>
    <w:rsid w:val="13001549"/>
    <w:rsid w:val="13631AD8"/>
    <w:rsid w:val="13734411"/>
    <w:rsid w:val="13A51648"/>
    <w:rsid w:val="13A66595"/>
    <w:rsid w:val="13C7475D"/>
    <w:rsid w:val="14075E6A"/>
    <w:rsid w:val="140E1078"/>
    <w:rsid w:val="141A488D"/>
    <w:rsid w:val="14777F31"/>
    <w:rsid w:val="148E4E49"/>
    <w:rsid w:val="149E1860"/>
    <w:rsid w:val="14AE4079"/>
    <w:rsid w:val="14BA1BCC"/>
    <w:rsid w:val="14E05AD6"/>
    <w:rsid w:val="15067F8B"/>
    <w:rsid w:val="152C2AC9"/>
    <w:rsid w:val="15EF7F09"/>
    <w:rsid w:val="16077093"/>
    <w:rsid w:val="162B4B2F"/>
    <w:rsid w:val="16565924"/>
    <w:rsid w:val="16B32D77"/>
    <w:rsid w:val="16D62785"/>
    <w:rsid w:val="16D72F09"/>
    <w:rsid w:val="16F455B8"/>
    <w:rsid w:val="173C0FBE"/>
    <w:rsid w:val="175B1444"/>
    <w:rsid w:val="1787048B"/>
    <w:rsid w:val="17982843"/>
    <w:rsid w:val="17A538A6"/>
    <w:rsid w:val="17F57F70"/>
    <w:rsid w:val="180453F5"/>
    <w:rsid w:val="181A30AD"/>
    <w:rsid w:val="18322A41"/>
    <w:rsid w:val="183323C1"/>
    <w:rsid w:val="186C3B20"/>
    <w:rsid w:val="18B31B6D"/>
    <w:rsid w:val="190B2724"/>
    <w:rsid w:val="19663D38"/>
    <w:rsid w:val="19720CC7"/>
    <w:rsid w:val="19923117"/>
    <w:rsid w:val="19AF1F1B"/>
    <w:rsid w:val="19E35721"/>
    <w:rsid w:val="1A5C1707"/>
    <w:rsid w:val="1A662CCE"/>
    <w:rsid w:val="1A7647E7"/>
    <w:rsid w:val="1AAD64AC"/>
    <w:rsid w:val="1AF76A4D"/>
    <w:rsid w:val="1AFB5453"/>
    <w:rsid w:val="1B0D0CA7"/>
    <w:rsid w:val="1B0F40F3"/>
    <w:rsid w:val="1B373F76"/>
    <w:rsid w:val="1B5468D6"/>
    <w:rsid w:val="1B55264E"/>
    <w:rsid w:val="1B723200"/>
    <w:rsid w:val="1BDD4B1E"/>
    <w:rsid w:val="1BF81957"/>
    <w:rsid w:val="1C026332"/>
    <w:rsid w:val="1C26713F"/>
    <w:rsid w:val="1C534DE0"/>
    <w:rsid w:val="1C5E7298"/>
    <w:rsid w:val="1C60574F"/>
    <w:rsid w:val="1C6A2129"/>
    <w:rsid w:val="1C876837"/>
    <w:rsid w:val="1C962C76"/>
    <w:rsid w:val="1C9A47BD"/>
    <w:rsid w:val="1CA27B15"/>
    <w:rsid w:val="1CBA632D"/>
    <w:rsid w:val="1D17405F"/>
    <w:rsid w:val="1D3A1AFC"/>
    <w:rsid w:val="1D3C3AC6"/>
    <w:rsid w:val="1D412E8A"/>
    <w:rsid w:val="1D5752B2"/>
    <w:rsid w:val="1D666D95"/>
    <w:rsid w:val="1D7C1C6E"/>
    <w:rsid w:val="1D8D2573"/>
    <w:rsid w:val="1DEA1774"/>
    <w:rsid w:val="1DF919B7"/>
    <w:rsid w:val="1E0D7210"/>
    <w:rsid w:val="1E195BB5"/>
    <w:rsid w:val="1E6E5F01"/>
    <w:rsid w:val="1E90231B"/>
    <w:rsid w:val="1F070103"/>
    <w:rsid w:val="1F2B3DF2"/>
    <w:rsid w:val="1F494278"/>
    <w:rsid w:val="1F8D7C46"/>
    <w:rsid w:val="1FA13B72"/>
    <w:rsid w:val="1FE60DE3"/>
    <w:rsid w:val="1FEA15B7"/>
    <w:rsid w:val="20054643"/>
    <w:rsid w:val="2008481B"/>
    <w:rsid w:val="201523AC"/>
    <w:rsid w:val="201A2537"/>
    <w:rsid w:val="20783067"/>
    <w:rsid w:val="208B7373"/>
    <w:rsid w:val="20B0298F"/>
    <w:rsid w:val="20C95670"/>
    <w:rsid w:val="20D5619C"/>
    <w:rsid w:val="20E424AA"/>
    <w:rsid w:val="211D776A"/>
    <w:rsid w:val="21837F15"/>
    <w:rsid w:val="21937A2C"/>
    <w:rsid w:val="21BD198C"/>
    <w:rsid w:val="21C57FF4"/>
    <w:rsid w:val="21D87015"/>
    <w:rsid w:val="21ED35E0"/>
    <w:rsid w:val="223631D9"/>
    <w:rsid w:val="224D407F"/>
    <w:rsid w:val="22520EDD"/>
    <w:rsid w:val="2277734E"/>
    <w:rsid w:val="227C3FA3"/>
    <w:rsid w:val="227E692E"/>
    <w:rsid w:val="228C2DF9"/>
    <w:rsid w:val="22DE0AC1"/>
    <w:rsid w:val="23143199"/>
    <w:rsid w:val="23651C9F"/>
    <w:rsid w:val="23827050"/>
    <w:rsid w:val="23902475"/>
    <w:rsid w:val="23C10881"/>
    <w:rsid w:val="23C30A9D"/>
    <w:rsid w:val="23E47FEF"/>
    <w:rsid w:val="2403533D"/>
    <w:rsid w:val="24102138"/>
    <w:rsid w:val="242B4894"/>
    <w:rsid w:val="2432177F"/>
    <w:rsid w:val="243A6885"/>
    <w:rsid w:val="24AD7057"/>
    <w:rsid w:val="24C279DD"/>
    <w:rsid w:val="24D334FA"/>
    <w:rsid w:val="24EA3120"/>
    <w:rsid w:val="250613CB"/>
    <w:rsid w:val="253F23A5"/>
    <w:rsid w:val="2548391D"/>
    <w:rsid w:val="254F010E"/>
    <w:rsid w:val="257A518B"/>
    <w:rsid w:val="259721E1"/>
    <w:rsid w:val="25A71CF8"/>
    <w:rsid w:val="25AE08DF"/>
    <w:rsid w:val="25BC57A4"/>
    <w:rsid w:val="261D6994"/>
    <w:rsid w:val="261F3F85"/>
    <w:rsid w:val="26850942"/>
    <w:rsid w:val="269E134D"/>
    <w:rsid w:val="26D905D7"/>
    <w:rsid w:val="26F43175"/>
    <w:rsid w:val="26FC6074"/>
    <w:rsid w:val="27111B1F"/>
    <w:rsid w:val="27383550"/>
    <w:rsid w:val="27693709"/>
    <w:rsid w:val="277A0E4F"/>
    <w:rsid w:val="278D78E5"/>
    <w:rsid w:val="27A97FAA"/>
    <w:rsid w:val="27BA21B7"/>
    <w:rsid w:val="27BD3A55"/>
    <w:rsid w:val="27C128C8"/>
    <w:rsid w:val="28046B4F"/>
    <w:rsid w:val="28164F13"/>
    <w:rsid w:val="28562DBC"/>
    <w:rsid w:val="285862BF"/>
    <w:rsid w:val="2892519F"/>
    <w:rsid w:val="289730BA"/>
    <w:rsid w:val="28B43155"/>
    <w:rsid w:val="28CF1781"/>
    <w:rsid w:val="294E3354"/>
    <w:rsid w:val="29534671"/>
    <w:rsid w:val="295B6DE6"/>
    <w:rsid w:val="295D54F0"/>
    <w:rsid w:val="29F205DF"/>
    <w:rsid w:val="2A050C55"/>
    <w:rsid w:val="2A285235"/>
    <w:rsid w:val="2A336250"/>
    <w:rsid w:val="2A6308E4"/>
    <w:rsid w:val="2AAD1B5F"/>
    <w:rsid w:val="2ACD0453"/>
    <w:rsid w:val="2ACE4ACA"/>
    <w:rsid w:val="2B006133"/>
    <w:rsid w:val="2B0674C1"/>
    <w:rsid w:val="2B4A3852"/>
    <w:rsid w:val="2BC43604"/>
    <w:rsid w:val="2C0B1F53"/>
    <w:rsid w:val="2C2262F5"/>
    <w:rsid w:val="2C4320AD"/>
    <w:rsid w:val="2C523826"/>
    <w:rsid w:val="2C604FDA"/>
    <w:rsid w:val="2C7C7A3B"/>
    <w:rsid w:val="2CC17B44"/>
    <w:rsid w:val="2D285E15"/>
    <w:rsid w:val="2D3809AB"/>
    <w:rsid w:val="2D4B565F"/>
    <w:rsid w:val="2D66667F"/>
    <w:rsid w:val="2D8C63A3"/>
    <w:rsid w:val="2DA330D0"/>
    <w:rsid w:val="2DC749A6"/>
    <w:rsid w:val="2DF95EFB"/>
    <w:rsid w:val="2E3A7BAD"/>
    <w:rsid w:val="2E3E3C10"/>
    <w:rsid w:val="2E666BF4"/>
    <w:rsid w:val="2E8157DC"/>
    <w:rsid w:val="2E81758A"/>
    <w:rsid w:val="2E924DF5"/>
    <w:rsid w:val="2EB00083"/>
    <w:rsid w:val="2F1F6DA3"/>
    <w:rsid w:val="2F2D7712"/>
    <w:rsid w:val="30515682"/>
    <w:rsid w:val="30AE4883"/>
    <w:rsid w:val="30BF439A"/>
    <w:rsid w:val="30FA1876"/>
    <w:rsid w:val="31557E7B"/>
    <w:rsid w:val="31737B73"/>
    <w:rsid w:val="31813D45"/>
    <w:rsid w:val="31A57A34"/>
    <w:rsid w:val="31AB088A"/>
    <w:rsid w:val="31B1462B"/>
    <w:rsid w:val="31C04FAC"/>
    <w:rsid w:val="32002EBC"/>
    <w:rsid w:val="32381773"/>
    <w:rsid w:val="323E57B8"/>
    <w:rsid w:val="3240775C"/>
    <w:rsid w:val="32801B67"/>
    <w:rsid w:val="33371696"/>
    <w:rsid w:val="33753436"/>
    <w:rsid w:val="33792F26"/>
    <w:rsid w:val="33941A2F"/>
    <w:rsid w:val="33AD12D4"/>
    <w:rsid w:val="33E16D1D"/>
    <w:rsid w:val="33E74334"/>
    <w:rsid w:val="34242218"/>
    <w:rsid w:val="34572B3B"/>
    <w:rsid w:val="34B87A7E"/>
    <w:rsid w:val="351F3659"/>
    <w:rsid w:val="352E5F92"/>
    <w:rsid w:val="35374E47"/>
    <w:rsid w:val="358D4A67"/>
    <w:rsid w:val="35B23FA8"/>
    <w:rsid w:val="35BC0B82"/>
    <w:rsid w:val="35C44201"/>
    <w:rsid w:val="361909F0"/>
    <w:rsid w:val="365E4655"/>
    <w:rsid w:val="36E36908"/>
    <w:rsid w:val="37225683"/>
    <w:rsid w:val="3729227D"/>
    <w:rsid w:val="372C7F91"/>
    <w:rsid w:val="376C4B50"/>
    <w:rsid w:val="3778260F"/>
    <w:rsid w:val="378620B5"/>
    <w:rsid w:val="37B3277F"/>
    <w:rsid w:val="37D64BA7"/>
    <w:rsid w:val="38080D1C"/>
    <w:rsid w:val="380F1889"/>
    <w:rsid w:val="382A2A41"/>
    <w:rsid w:val="383E32D2"/>
    <w:rsid w:val="38623892"/>
    <w:rsid w:val="387A0F38"/>
    <w:rsid w:val="38871C41"/>
    <w:rsid w:val="393F47DD"/>
    <w:rsid w:val="396C0E37"/>
    <w:rsid w:val="39882115"/>
    <w:rsid w:val="39FF6B36"/>
    <w:rsid w:val="3A1A5C49"/>
    <w:rsid w:val="3A541FF7"/>
    <w:rsid w:val="3A756774"/>
    <w:rsid w:val="3A960861"/>
    <w:rsid w:val="3AC23405"/>
    <w:rsid w:val="3B075CE3"/>
    <w:rsid w:val="3B245E6D"/>
    <w:rsid w:val="3B27789D"/>
    <w:rsid w:val="3B3A5239"/>
    <w:rsid w:val="3B4F775C"/>
    <w:rsid w:val="3B934DA1"/>
    <w:rsid w:val="3BC06797"/>
    <w:rsid w:val="3BC7163B"/>
    <w:rsid w:val="3BEE5FE1"/>
    <w:rsid w:val="3BFD046C"/>
    <w:rsid w:val="3BFF41E4"/>
    <w:rsid w:val="3C0C4260"/>
    <w:rsid w:val="3C275327"/>
    <w:rsid w:val="3C2D6FA3"/>
    <w:rsid w:val="3C4340D1"/>
    <w:rsid w:val="3C60501B"/>
    <w:rsid w:val="3C6D73A0"/>
    <w:rsid w:val="3C7249B6"/>
    <w:rsid w:val="3C7626F9"/>
    <w:rsid w:val="3D471A96"/>
    <w:rsid w:val="3D7D3B8B"/>
    <w:rsid w:val="3D956BAE"/>
    <w:rsid w:val="3D9A41C5"/>
    <w:rsid w:val="3D9B618F"/>
    <w:rsid w:val="3E111FAD"/>
    <w:rsid w:val="3E2D6890"/>
    <w:rsid w:val="3E927592"/>
    <w:rsid w:val="3E9B6EC4"/>
    <w:rsid w:val="3EB72B54"/>
    <w:rsid w:val="3EBE0387"/>
    <w:rsid w:val="3ED734A6"/>
    <w:rsid w:val="3EEB2146"/>
    <w:rsid w:val="3F0C5EFE"/>
    <w:rsid w:val="3F400D9C"/>
    <w:rsid w:val="3F446ADE"/>
    <w:rsid w:val="3FC0408E"/>
    <w:rsid w:val="3FC75019"/>
    <w:rsid w:val="3FD339BE"/>
    <w:rsid w:val="3FFA0F4B"/>
    <w:rsid w:val="3FFE79A1"/>
    <w:rsid w:val="40061FE5"/>
    <w:rsid w:val="400B75FC"/>
    <w:rsid w:val="402D5FD6"/>
    <w:rsid w:val="40477F08"/>
    <w:rsid w:val="40807FDE"/>
    <w:rsid w:val="411C6A34"/>
    <w:rsid w:val="41485D02"/>
    <w:rsid w:val="414D3EAF"/>
    <w:rsid w:val="4184568E"/>
    <w:rsid w:val="41FE1AD4"/>
    <w:rsid w:val="42872932"/>
    <w:rsid w:val="42C41CE4"/>
    <w:rsid w:val="431467C7"/>
    <w:rsid w:val="43192030"/>
    <w:rsid w:val="4351587E"/>
    <w:rsid w:val="435E7112"/>
    <w:rsid w:val="439C4B3A"/>
    <w:rsid w:val="43BA782C"/>
    <w:rsid w:val="43DA6CD7"/>
    <w:rsid w:val="43F62371"/>
    <w:rsid w:val="43FB7987"/>
    <w:rsid w:val="44115CBC"/>
    <w:rsid w:val="4413593C"/>
    <w:rsid w:val="441D16AC"/>
    <w:rsid w:val="44246EDE"/>
    <w:rsid w:val="44562F2D"/>
    <w:rsid w:val="4464552C"/>
    <w:rsid w:val="44676DCB"/>
    <w:rsid w:val="447D039C"/>
    <w:rsid w:val="448B4867"/>
    <w:rsid w:val="44906321"/>
    <w:rsid w:val="44C413B9"/>
    <w:rsid w:val="44C85ABB"/>
    <w:rsid w:val="451A5BEB"/>
    <w:rsid w:val="452B1BA6"/>
    <w:rsid w:val="45322F35"/>
    <w:rsid w:val="45693CEF"/>
    <w:rsid w:val="4582210E"/>
    <w:rsid w:val="45CA7611"/>
    <w:rsid w:val="465813F9"/>
    <w:rsid w:val="46752F28"/>
    <w:rsid w:val="46780E1B"/>
    <w:rsid w:val="46D73EC6"/>
    <w:rsid w:val="46E14BDC"/>
    <w:rsid w:val="46E22739"/>
    <w:rsid w:val="47507FEA"/>
    <w:rsid w:val="475E7E09"/>
    <w:rsid w:val="47627C1A"/>
    <w:rsid w:val="47A24893"/>
    <w:rsid w:val="47AF2F63"/>
    <w:rsid w:val="47B73BC5"/>
    <w:rsid w:val="48311BC9"/>
    <w:rsid w:val="48671159"/>
    <w:rsid w:val="487F2F7D"/>
    <w:rsid w:val="48D32C81"/>
    <w:rsid w:val="48D90193"/>
    <w:rsid w:val="49107A31"/>
    <w:rsid w:val="492D2689"/>
    <w:rsid w:val="49492299"/>
    <w:rsid w:val="49493392"/>
    <w:rsid w:val="495906E1"/>
    <w:rsid w:val="49EC224C"/>
    <w:rsid w:val="4A3C1FD9"/>
    <w:rsid w:val="4A934476"/>
    <w:rsid w:val="4A9F106C"/>
    <w:rsid w:val="4B236A53"/>
    <w:rsid w:val="4B26353C"/>
    <w:rsid w:val="4B2B6DA4"/>
    <w:rsid w:val="4B2E23F0"/>
    <w:rsid w:val="4B44280B"/>
    <w:rsid w:val="4B552AA6"/>
    <w:rsid w:val="4B7F716D"/>
    <w:rsid w:val="4B83098E"/>
    <w:rsid w:val="4B895879"/>
    <w:rsid w:val="4BBC374F"/>
    <w:rsid w:val="4BD72A88"/>
    <w:rsid w:val="4BD905AE"/>
    <w:rsid w:val="4C1208DA"/>
    <w:rsid w:val="4C26756B"/>
    <w:rsid w:val="4C4A5008"/>
    <w:rsid w:val="4C4C77BA"/>
    <w:rsid w:val="4C5600CA"/>
    <w:rsid w:val="4C5916EF"/>
    <w:rsid w:val="4C72455F"/>
    <w:rsid w:val="4CB86415"/>
    <w:rsid w:val="4DC96B69"/>
    <w:rsid w:val="4DE44058"/>
    <w:rsid w:val="4E0403D5"/>
    <w:rsid w:val="4E563300"/>
    <w:rsid w:val="4E9B5FEF"/>
    <w:rsid w:val="4EB42C0C"/>
    <w:rsid w:val="4ECA55D0"/>
    <w:rsid w:val="4EDF237F"/>
    <w:rsid w:val="4EE03A01"/>
    <w:rsid w:val="4EE334F2"/>
    <w:rsid w:val="4F13254C"/>
    <w:rsid w:val="4F18319B"/>
    <w:rsid w:val="4F277882"/>
    <w:rsid w:val="4F4A3571"/>
    <w:rsid w:val="4FD74E04"/>
    <w:rsid w:val="50256815"/>
    <w:rsid w:val="50487AB0"/>
    <w:rsid w:val="506875FB"/>
    <w:rsid w:val="509E1DC6"/>
    <w:rsid w:val="50C17C89"/>
    <w:rsid w:val="50CE2822"/>
    <w:rsid w:val="50D77086"/>
    <w:rsid w:val="50F56E5E"/>
    <w:rsid w:val="510438B8"/>
    <w:rsid w:val="519901E5"/>
    <w:rsid w:val="51A90A23"/>
    <w:rsid w:val="51A927D1"/>
    <w:rsid w:val="51AB6549"/>
    <w:rsid w:val="51B43D99"/>
    <w:rsid w:val="51BF4329"/>
    <w:rsid w:val="51C615D4"/>
    <w:rsid w:val="51D977EB"/>
    <w:rsid w:val="51E44568"/>
    <w:rsid w:val="51ED6B61"/>
    <w:rsid w:val="52120376"/>
    <w:rsid w:val="523C29F9"/>
    <w:rsid w:val="525766D1"/>
    <w:rsid w:val="52684B42"/>
    <w:rsid w:val="526B3F2A"/>
    <w:rsid w:val="52B1623B"/>
    <w:rsid w:val="52D715BF"/>
    <w:rsid w:val="52EC6E19"/>
    <w:rsid w:val="53281E1B"/>
    <w:rsid w:val="53332C9A"/>
    <w:rsid w:val="533F163E"/>
    <w:rsid w:val="53566988"/>
    <w:rsid w:val="53EE4E13"/>
    <w:rsid w:val="53FD0BB2"/>
    <w:rsid w:val="540248E3"/>
    <w:rsid w:val="544D1B39"/>
    <w:rsid w:val="544E765F"/>
    <w:rsid w:val="545A6004"/>
    <w:rsid w:val="546926EB"/>
    <w:rsid w:val="54837309"/>
    <w:rsid w:val="548E7BE3"/>
    <w:rsid w:val="549079CA"/>
    <w:rsid w:val="54B40BE7"/>
    <w:rsid w:val="54FB1595"/>
    <w:rsid w:val="553F0A67"/>
    <w:rsid w:val="55456CB4"/>
    <w:rsid w:val="55833339"/>
    <w:rsid w:val="5590756D"/>
    <w:rsid w:val="55AA399A"/>
    <w:rsid w:val="55C67A47"/>
    <w:rsid w:val="56062A2F"/>
    <w:rsid w:val="57256D9D"/>
    <w:rsid w:val="57330F18"/>
    <w:rsid w:val="57576ED8"/>
    <w:rsid w:val="57711FE2"/>
    <w:rsid w:val="5794182D"/>
    <w:rsid w:val="57A06424"/>
    <w:rsid w:val="57B12A6A"/>
    <w:rsid w:val="57F112D5"/>
    <w:rsid w:val="582B2191"/>
    <w:rsid w:val="585D60C3"/>
    <w:rsid w:val="58612C0E"/>
    <w:rsid w:val="587873A1"/>
    <w:rsid w:val="58832DC3"/>
    <w:rsid w:val="58F20F01"/>
    <w:rsid w:val="59142C25"/>
    <w:rsid w:val="59154BEF"/>
    <w:rsid w:val="59525A19"/>
    <w:rsid w:val="59AF0BA0"/>
    <w:rsid w:val="59B9557B"/>
    <w:rsid w:val="59FF13B5"/>
    <w:rsid w:val="5A097746"/>
    <w:rsid w:val="5A284778"/>
    <w:rsid w:val="5A3E3CD2"/>
    <w:rsid w:val="5A5D23AA"/>
    <w:rsid w:val="5A6B2D19"/>
    <w:rsid w:val="5A6E746B"/>
    <w:rsid w:val="5A7A7400"/>
    <w:rsid w:val="5ABF12B7"/>
    <w:rsid w:val="5AE4292D"/>
    <w:rsid w:val="5AF50835"/>
    <w:rsid w:val="5B0D5B7E"/>
    <w:rsid w:val="5B7C2D04"/>
    <w:rsid w:val="5B7E2649"/>
    <w:rsid w:val="5BA858A7"/>
    <w:rsid w:val="5BE34B31"/>
    <w:rsid w:val="5CA40764"/>
    <w:rsid w:val="5CB62246"/>
    <w:rsid w:val="5CE13766"/>
    <w:rsid w:val="5CFC234E"/>
    <w:rsid w:val="5D207CD9"/>
    <w:rsid w:val="5D3024F2"/>
    <w:rsid w:val="5D643C45"/>
    <w:rsid w:val="5D7D6D6E"/>
    <w:rsid w:val="5D7F1174"/>
    <w:rsid w:val="5DBF512A"/>
    <w:rsid w:val="5DDB01B6"/>
    <w:rsid w:val="5DF125B0"/>
    <w:rsid w:val="5DFC50BD"/>
    <w:rsid w:val="5E7D126D"/>
    <w:rsid w:val="5ED510A9"/>
    <w:rsid w:val="5EFA466C"/>
    <w:rsid w:val="5F3A715E"/>
    <w:rsid w:val="5F5543F5"/>
    <w:rsid w:val="5F5D2E4C"/>
    <w:rsid w:val="5F62370B"/>
    <w:rsid w:val="5F64242D"/>
    <w:rsid w:val="5F697A43"/>
    <w:rsid w:val="5F833C40"/>
    <w:rsid w:val="5F8B1768"/>
    <w:rsid w:val="5F906D7E"/>
    <w:rsid w:val="60140FB0"/>
    <w:rsid w:val="602B6AA7"/>
    <w:rsid w:val="60427C5D"/>
    <w:rsid w:val="604A33D1"/>
    <w:rsid w:val="60793CB6"/>
    <w:rsid w:val="60EA0710"/>
    <w:rsid w:val="613F1997"/>
    <w:rsid w:val="615D7134"/>
    <w:rsid w:val="617443F0"/>
    <w:rsid w:val="619F774C"/>
    <w:rsid w:val="61A316BC"/>
    <w:rsid w:val="61C763F8"/>
    <w:rsid w:val="61CB28D4"/>
    <w:rsid w:val="61CE3B8D"/>
    <w:rsid w:val="61E433B1"/>
    <w:rsid w:val="61FD68D2"/>
    <w:rsid w:val="61FE0AD0"/>
    <w:rsid w:val="620D46B6"/>
    <w:rsid w:val="62566E28"/>
    <w:rsid w:val="62593D9F"/>
    <w:rsid w:val="62774225"/>
    <w:rsid w:val="62832BCA"/>
    <w:rsid w:val="62B72874"/>
    <w:rsid w:val="62BD2580"/>
    <w:rsid w:val="63035AB9"/>
    <w:rsid w:val="631C6D2A"/>
    <w:rsid w:val="63DF02D4"/>
    <w:rsid w:val="64095351"/>
    <w:rsid w:val="643028DD"/>
    <w:rsid w:val="64520AA6"/>
    <w:rsid w:val="64783763"/>
    <w:rsid w:val="647E5DD0"/>
    <w:rsid w:val="649A40E6"/>
    <w:rsid w:val="64DB6CED"/>
    <w:rsid w:val="64DC7C04"/>
    <w:rsid w:val="65083052"/>
    <w:rsid w:val="653A12A3"/>
    <w:rsid w:val="6585261B"/>
    <w:rsid w:val="65C46E98"/>
    <w:rsid w:val="65E41BD1"/>
    <w:rsid w:val="65F20792"/>
    <w:rsid w:val="65FA7647"/>
    <w:rsid w:val="662D6DA8"/>
    <w:rsid w:val="66660838"/>
    <w:rsid w:val="668D30D8"/>
    <w:rsid w:val="66D93700"/>
    <w:rsid w:val="66E77BCB"/>
    <w:rsid w:val="672F50CE"/>
    <w:rsid w:val="6732696D"/>
    <w:rsid w:val="67332E10"/>
    <w:rsid w:val="67E73BFB"/>
    <w:rsid w:val="683A01CF"/>
    <w:rsid w:val="68423799"/>
    <w:rsid w:val="684756A2"/>
    <w:rsid w:val="685079F2"/>
    <w:rsid w:val="68CC36FD"/>
    <w:rsid w:val="68DE6E9B"/>
    <w:rsid w:val="68F14D31"/>
    <w:rsid w:val="69147375"/>
    <w:rsid w:val="692C5D69"/>
    <w:rsid w:val="69320EA6"/>
    <w:rsid w:val="698D7F38"/>
    <w:rsid w:val="699B4C9D"/>
    <w:rsid w:val="69C0748D"/>
    <w:rsid w:val="69DD324F"/>
    <w:rsid w:val="6A1A2066"/>
    <w:rsid w:val="6A7E0B45"/>
    <w:rsid w:val="6B3A3476"/>
    <w:rsid w:val="6B607F4C"/>
    <w:rsid w:val="6B7C46CC"/>
    <w:rsid w:val="6B9F0C1C"/>
    <w:rsid w:val="6BCA3618"/>
    <w:rsid w:val="6BE26BB3"/>
    <w:rsid w:val="6BE33C8F"/>
    <w:rsid w:val="6BE446D9"/>
    <w:rsid w:val="6BEA109C"/>
    <w:rsid w:val="6BEF5524"/>
    <w:rsid w:val="6C0C3C30"/>
    <w:rsid w:val="6C444C2E"/>
    <w:rsid w:val="6C501D6F"/>
    <w:rsid w:val="6C507FC1"/>
    <w:rsid w:val="6C7A3290"/>
    <w:rsid w:val="6CA2084A"/>
    <w:rsid w:val="6CFA1CDB"/>
    <w:rsid w:val="6D01750D"/>
    <w:rsid w:val="6D0B213A"/>
    <w:rsid w:val="6D2E042E"/>
    <w:rsid w:val="6D464F20"/>
    <w:rsid w:val="6D9E2FAE"/>
    <w:rsid w:val="6DC5053A"/>
    <w:rsid w:val="6E0A23F1"/>
    <w:rsid w:val="6E3C4D68"/>
    <w:rsid w:val="6E600263"/>
    <w:rsid w:val="6E7E1055"/>
    <w:rsid w:val="6E8D386E"/>
    <w:rsid w:val="6EDF562C"/>
    <w:rsid w:val="6EEE4B8C"/>
    <w:rsid w:val="6EFF182A"/>
    <w:rsid w:val="6F085736"/>
    <w:rsid w:val="6F2D283B"/>
    <w:rsid w:val="6F6124E5"/>
    <w:rsid w:val="6F765F90"/>
    <w:rsid w:val="6F9476CF"/>
    <w:rsid w:val="6FBE16E5"/>
    <w:rsid w:val="700C2451"/>
    <w:rsid w:val="704A4E48"/>
    <w:rsid w:val="705F07D2"/>
    <w:rsid w:val="706D6302"/>
    <w:rsid w:val="708C17E3"/>
    <w:rsid w:val="70BE145A"/>
    <w:rsid w:val="70DF1913"/>
    <w:rsid w:val="711710AD"/>
    <w:rsid w:val="711A6DEF"/>
    <w:rsid w:val="71241A1C"/>
    <w:rsid w:val="714479C8"/>
    <w:rsid w:val="71997D14"/>
    <w:rsid w:val="721B6FB3"/>
    <w:rsid w:val="724F2AC9"/>
    <w:rsid w:val="730F7282"/>
    <w:rsid w:val="73ED2599"/>
    <w:rsid w:val="74321EB0"/>
    <w:rsid w:val="74566BED"/>
    <w:rsid w:val="745E6FF3"/>
    <w:rsid w:val="746D7236"/>
    <w:rsid w:val="747616A0"/>
    <w:rsid w:val="74786307"/>
    <w:rsid w:val="74D07EF1"/>
    <w:rsid w:val="74DB6895"/>
    <w:rsid w:val="75091655"/>
    <w:rsid w:val="750C6A4F"/>
    <w:rsid w:val="752C0E9F"/>
    <w:rsid w:val="758111EB"/>
    <w:rsid w:val="75AA6994"/>
    <w:rsid w:val="75BD6BB2"/>
    <w:rsid w:val="75CA4550"/>
    <w:rsid w:val="75E33DF5"/>
    <w:rsid w:val="75F61BD9"/>
    <w:rsid w:val="76053BCA"/>
    <w:rsid w:val="760D0CD1"/>
    <w:rsid w:val="76350721"/>
    <w:rsid w:val="763C3364"/>
    <w:rsid w:val="768F5B89"/>
    <w:rsid w:val="76974B9D"/>
    <w:rsid w:val="76CF41D8"/>
    <w:rsid w:val="76F52AFE"/>
    <w:rsid w:val="772B5411"/>
    <w:rsid w:val="773724A9"/>
    <w:rsid w:val="776112D4"/>
    <w:rsid w:val="77674410"/>
    <w:rsid w:val="77742801"/>
    <w:rsid w:val="778154D2"/>
    <w:rsid w:val="77C51D8C"/>
    <w:rsid w:val="77C96E79"/>
    <w:rsid w:val="7801636E"/>
    <w:rsid w:val="781C344D"/>
    <w:rsid w:val="782B18E2"/>
    <w:rsid w:val="782D04B7"/>
    <w:rsid w:val="79501600"/>
    <w:rsid w:val="79512818"/>
    <w:rsid w:val="79534C4C"/>
    <w:rsid w:val="797A667D"/>
    <w:rsid w:val="798219D5"/>
    <w:rsid w:val="799314ED"/>
    <w:rsid w:val="79952007"/>
    <w:rsid w:val="79B31B8F"/>
    <w:rsid w:val="79D044EF"/>
    <w:rsid w:val="79FF4DD4"/>
    <w:rsid w:val="7A187C44"/>
    <w:rsid w:val="7A4153ED"/>
    <w:rsid w:val="7A7E03EF"/>
    <w:rsid w:val="7AB83901"/>
    <w:rsid w:val="7ACF5207"/>
    <w:rsid w:val="7AE74AB5"/>
    <w:rsid w:val="7B187EFC"/>
    <w:rsid w:val="7B540CE3"/>
    <w:rsid w:val="7B720293"/>
    <w:rsid w:val="7B810197"/>
    <w:rsid w:val="7B9B28DB"/>
    <w:rsid w:val="7BC21317"/>
    <w:rsid w:val="7BDA69BE"/>
    <w:rsid w:val="7BDC53CD"/>
    <w:rsid w:val="7C2B1EB0"/>
    <w:rsid w:val="7C2D79D7"/>
    <w:rsid w:val="7C5C1516"/>
    <w:rsid w:val="7C800451"/>
    <w:rsid w:val="7C9B487E"/>
    <w:rsid w:val="7CD44657"/>
    <w:rsid w:val="7D0C7F34"/>
    <w:rsid w:val="7D217FDA"/>
    <w:rsid w:val="7D3E1B08"/>
    <w:rsid w:val="7D4C0002"/>
    <w:rsid w:val="7D5E1E12"/>
    <w:rsid w:val="7D7A4E9D"/>
    <w:rsid w:val="7D9A72EE"/>
    <w:rsid w:val="7DA95783"/>
    <w:rsid w:val="7DE7321B"/>
    <w:rsid w:val="7E341AFB"/>
    <w:rsid w:val="7E4B05E8"/>
    <w:rsid w:val="7E7D4A13"/>
    <w:rsid w:val="7E813419"/>
    <w:rsid w:val="7E8D0C00"/>
    <w:rsid w:val="7EC73B8E"/>
    <w:rsid w:val="7ECB34D7"/>
    <w:rsid w:val="7ECD36F3"/>
    <w:rsid w:val="7F122D08"/>
    <w:rsid w:val="7F34107C"/>
    <w:rsid w:val="7F390D88"/>
    <w:rsid w:val="7F82628B"/>
    <w:rsid w:val="7F8518D8"/>
    <w:rsid w:val="7F963AE5"/>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ind w:firstLine="200" w:firstLineChars="200"/>
    </w:pPr>
    <w:rPr>
      <w:rFonts w:ascii="Times New Roman" w:hAnsi="Times New Roman" w:eastAsia="仿宋" w:cs="宋体"/>
      <w:sz w:val="28"/>
      <w:szCs w:val="22"/>
      <w:lang w:val="en-US" w:eastAsia="zh-CN" w:bidi="ar-SA"/>
    </w:rPr>
  </w:style>
  <w:style w:type="paragraph" w:styleId="2">
    <w:name w:val="heading 1"/>
    <w:basedOn w:val="1"/>
    <w:qFormat/>
    <w:uiPriority w:val="1"/>
    <w:pPr>
      <w:ind w:firstLine="0" w:firstLineChars="0"/>
      <w:outlineLvl w:val="0"/>
    </w:pPr>
    <w:rPr>
      <w:rFonts w:cs="Microsoft JhengHei"/>
      <w:b/>
      <w:bCs/>
      <w:sz w:val="30"/>
      <w:szCs w:val="32"/>
    </w:rPr>
  </w:style>
  <w:style w:type="paragraph" w:styleId="3">
    <w:name w:val="heading 2"/>
    <w:basedOn w:val="1"/>
    <w:next w:val="1"/>
    <w:link w:val="17"/>
    <w:unhideWhenUsed/>
    <w:qFormat/>
    <w:uiPriority w:val="9"/>
    <w:pPr>
      <w:keepNext/>
      <w:keepLines/>
      <w:ind w:firstLine="0" w:firstLineChars="0"/>
      <w:outlineLvl w:val="1"/>
    </w:pPr>
    <w:rPr>
      <w:rFonts w:cstheme="majorBidi"/>
      <w:b/>
      <w:bCs/>
      <w:sz w:val="30"/>
      <w:szCs w:val="32"/>
    </w:rPr>
  </w:style>
  <w:style w:type="paragraph" w:styleId="4">
    <w:name w:val="heading 3"/>
    <w:basedOn w:val="1"/>
    <w:next w:val="1"/>
    <w:link w:val="18"/>
    <w:unhideWhenUsed/>
    <w:qFormat/>
    <w:uiPriority w:val="9"/>
    <w:pPr>
      <w:keepNext/>
      <w:keepLines/>
      <w:ind w:firstLine="0" w:firstLineChars="0"/>
      <w:outlineLvl w:val="2"/>
    </w:pPr>
    <w:rPr>
      <w:b/>
      <w:bCs/>
      <w:sz w:val="3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406"/>
    </w:pPr>
    <w:rPr>
      <w:rFonts w:ascii="宋体" w:hAnsi="宋体" w:eastAsia="宋体"/>
      <w:sz w:val="32"/>
      <w:szCs w:val="32"/>
    </w:rPr>
  </w:style>
  <w:style w:type="paragraph" w:styleId="6">
    <w:name w:val="footer"/>
    <w:basedOn w:val="1"/>
    <w:link w:val="20"/>
    <w:unhideWhenUsed/>
    <w:qFormat/>
    <w:uiPriority w:val="99"/>
    <w:pPr>
      <w:tabs>
        <w:tab w:val="center" w:pos="4153"/>
        <w:tab w:val="right" w:pos="8306"/>
      </w:tabs>
      <w:snapToGrid w:val="0"/>
    </w:pPr>
    <w:rPr>
      <w:sz w:val="18"/>
      <w:szCs w:val="18"/>
    </w:rPr>
  </w:style>
  <w:style w:type="paragraph" w:styleId="7">
    <w:name w:val="header"/>
    <w:basedOn w:val="1"/>
    <w:link w:val="19"/>
    <w:unhideWhenUsed/>
    <w:qFormat/>
    <w:uiPriority w:val="99"/>
    <w:pP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qFormat/>
    <w:uiPriority w:val="1"/>
    <w:pPr>
      <w:ind w:left="994" w:right="1019"/>
      <w:jc w:val="center"/>
    </w:pPr>
    <w:rPr>
      <w:rFonts w:ascii="宋体" w:hAnsi="宋体" w:eastAsia="宋体"/>
      <w:sz w:val="44"/>
      <w:szCs w:val="44"/>
    </w:rPr>
  </w:style>
  <w:style w:type="character" w:styleId="12">
    <w:name w:val="Strong"/>
    <w:basedOn w:val="11"/>
    <w:qFormat/>
    <w:uiPriority w:val="22"/>
    <w:rPr>
      <w:b/>
    </w:rPr>
  </w:style>
  <w:style w:type="character" w:styleId="13">
    <w:name w:val="Hyperlink"/>
    <w:qFormat/>
    <w:uiPriority w:val="99"/>
    <w:rPr>
      <w:rFonts w:ascii="宋体" w:hAnsi="Times New Roman" w:eastAsia="宋体"/>
      <w:color w:val="auto"/>
      <w:spacing w:val="0"/>
      <w:w w:val="100"/>
      <w:position w:val="0"/>
      <w:sz w:val="21"/>
      <w:u w:val="none"/>
      <w:vertAlign w:val="baseline"/>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spacing w:before="161"/>
      <w:ind w:left="1527" w:hanging="481"/>
    </w:pPr>
    <w:rPr>
      <w:rFonts w:ascii="宋体" w:hAnsi="宋体" w:eastAsia="宋体"/>
    </w:rPr>
  </w:style>
  <w:style w:type="paragraph" w:customStyle="1" w:styleId="16">
    <w:name w:val="Table Paragraph"/>
    <w:basedOn w:val="1"/>
    <w:qFormat/>
    <w:uiPriority w:val="1"/>
    <w:rPr>
      <w:rFonts w:ascii="宋体" w:hAnsi="宋体" w:eastAsia="宋体"/>
    </w:rPr>
  </w:style>
  <w:style w:type="character" w:customStyle="1" w:styleId="17">
    <w:name w:val="标题 2 字符"/>
    <w:basedOn w:val="11"/>
    <w:link w:val="3"/>
    <w:qFormat/>
    <w:uiPriority w:val="9"/>
    <w:rPr>
      <w:rFonts w:ascii="Times New Roman" w:hAnsi="Times New Roman" w:eastAsia="仿宋" w:cstheme="majorBidi"/>
      <w:b/>
      <w:bCs/>
      <w:sz w:val="30"/>
      <w:szCs w:val="32"/>
      <w:lang w:eastAsia="zh-CN"/>
    </w:rPr>
  </w:style>
  <w:style w:type="character" w:customStyle="1" w:styleId="18">
    <w:name w:val="标题 3 字符"/>
    <w:basedOn w:val="11"/>
    <w:link w:val="4"/>
    <w:qFormat/>
    <w:uiPriority w:val="9"/>
    <w:rPr>
      <w:rFonts w:ascii="Times New Roman" w:hAnsi="Times New Roman" w:eastAsia="仿宋" w:cs="宋体"/>
      <w:b/>
      <w:bCs/>
      <w:sz w:val="30"/>
      <w:szCs w:val="32"/>
      <w:lang w:eastAsia="zh-CN"/>
    </w:rPr>
  </w:style>
  <w:style w:type="character" w:customStyle="1" w:styleId="19">
    <w:name w:val="页眉 字符"/>
    <w:basedOn w:val="11"/>
    <w:link w:val="7"/>
    <w:qFormat/>
    <w:uiPriority w:val="99"/>
    <w:rPr>
      <w:rFonts w:ascii="Times New Roman" w:hAnsi="Times New Roman" w:eastAsia="仿宋" w:cs="宋体"/>
      <w:sz w:val="18"/>
      <w:szCs w:val="18"/>
      <w:lang w:eastAsia="zh-CN"/>
    </w:rPr>
  </w:style>
  <w:style w:type="character" w:customStyle="1" w:styleId="20">
    <w:name w:val="页脚 字符"/>
    <w:basedOn w:val="11"/>
    <w:link w:val="6"/>
    <w:qFormat/>
    <w:uiPriority w:val="99"/>
    <w:rPr>
      <w:rFonts w:ascii="Times New Roman" w:hAnsi="Times New Roman" w:eastAsia="仿宋" w:cs="宋体"/>
      <w:sz w:val="18"/>
      <w:szCs w:val="18"/>
      <w:lang w:eastAsia="zh-CN"/>
    </w:rPr>
  </w:style>
  <w:style w:type="paragraph" w:customStyle="1" w:styleId="21">
    <w:name w:val="标准文件_段"/>
    <w:qFormat/>
    <w:locked/>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B611E6-568C-4392-983C-A3076CE532A0}">
  <ds:schemaRefs/>
</ds:datastoreItem>
</file>

<file path=docProps/app.xml><?xml version="1.0" encoding="utf-8"?>
<Properties xmlns="http://schemas.openxmlformats.org/officeDocument/2006/extended-properties" xmlns:vt="http://schemas.openxmlformats.org/officeDocument/2006/docPropsVTypes">
  <Template>Normal.dotm</Template>
  <Pages>8</Pages>
  <Words>5347</Words>
  <Characters>5438</Characters>
  <Lines>13</Lines>
  <Paragraphs>3</Paragraphs>
  <TotalTime>2</TotalTime>
  <ScaleCrop>false</ScaleCrop>
  <LinksUpToDate>false</LinksUpToDate>
  <CharactersWithSpaces>5453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2023-11-13T06:43:00Z</dcterms:created>
  <dc:creator>Microsoft</dc:creator>
  <cp:lastModifiedBy>菲儿</cp:lastModifiedBy>
  <dcterms:modified xsi:type="dcterms:W3CDTF">2025-11-10T09:17:17Z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WPS 文字</vt:lpwstr>
  </property>
  <property fmtid="{D5CDD505-2E9C-101B-9397-08002B2CF9AE}" pid="4" name="LastSaved">
    <vt:filetime>2023-09-12T00:00:00Z</vt:filetime>
  </property>
  <property fmtid="{D5CDD505-2E9C-101B-9397-08002B2CF9AE}" pid="5" name="SourceModified">
    <vt:lpwstr>D:20230905162248+08'22'</vt:lpwstr>
  </property>
  <property fmtid="{D5CDD505-2E9C-101B-9397-08002B2CF9AE}" pid="6" name="KSOTemplateDocerSaveRecord">
    <vt:lpwstr>eyJoZGlkIjoiN2E5ZGE4MTMwMzdjOGVkZDZlN2Y5OWNiNTFkZThjNjIiLCJ1c2VySWQiOiI0NjkzMTgyMjcifQ==</vt:lpwstr>
  </property>
  <property fmtid="{D5CDD505-2E9C-101B-9397-08002B2CF9AE}" pid="7" name="KSOProductBuildVer">
    <vt:lpwstr>2052-12.1.0.23125</vt:lpwstr>
  </property>
  <property fmtid="{D5CDD505-2E9C-101B-9397-08002B2CF9AE}" pid="8" name="ICV">
    <vt:lpwstr>99C854E014FB4847A1F6EA7DD8030974_13</vt:lpwstr>
  </property>
</Properties>
</file>